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3C02" w14:textId="53C21A36" w:rsidR="00AB5CB1" w:rsidRPr="00F3586D" w:rsidRDefault="00000A1A" w:rsidP="00853D54">
      <w:pPr>
        <w:pStyle w:val="Heading2"/>
      </w:pPr>
      <w:r w:rsidRPr="00987D7F">
        <w:t>Call to Order</w:t>
      </w:r>
    </w:p>
    <w:p w14:paraId="4C3BC4DA" w14:textId="77777777" w:rsidR="00000A1A" w:rsidRPr="00F3586D" w:rsidRDefault="00000A1A" w:rsidP="00000A1A">
      <w:pPr>
        <w:spacing w:after="0" w:line="240" w:lineRule="auto"/>
        <w:rPr>
          <w:sz w:val="20"/>
          <w:szCs w:val="20"/>
        </w:rPr>
      </w:pPr>
    </w:p>
    <w:p w14:paraId="045D4E13" w14:textId="1DB3377E" w:rsidR="00000A1A" w:rsidRPr="00F3586D" w:rsidRDefault="00AB3CDA" w:rsidP="00000A1A">
      <w:pPr>
        <w:spacing w:after="0" w:line="240" w:lineRule="auto"/>
        <w:rPr>
          <w:sz w:val="20"/>
          <w:szCs w:val="20"/>
        </w:rPr>
      </w:pPr>
      <w:r w:rsidRPr="00F3586D">
        <w:rPr>
          <w:sz w:val="20"/>
          <w:szCs w:val="20"/>
        </w:rPr>
        <w:t>Kevin Beagan, Deputy Commissioner of the Health Care Access Bureau</w:t>
      </w:r>
      <w:r w:rsidR="00957936">
        <w:rPr>
          <w:sz w:val="20"/>
          <w:szCs w:val="20"/>
        </w:rPr>
        <w:t>,</w:t>
      </w:r>
      <w:r w:rsidRPr="00F358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presided over the </w:t>
      </w:r>
      <w:r w:rsidR="00AF1510">
        <w:rPr>
          <w:sz w:val="20"/>
          <w:szCs w:val="20"/>
        </w:rPr>
        <w:t xml:space="preserve">Fifth </w:t>
      </w:r>
      <w:r w:rsidR="00985623">
        <w:rPr>
          <w:sz w:val="20"/>
          <w:szCs w:val="20"/>
        </w:rPr>
        <w:t>M</w:t>
      </w:r>
      <w:r w:rsidR="00000A1A" w:rsidRPr="00F3586D">
        <w:rPr>
          <w:sz w:val="20"/>
          <w:szCs w:val="20"/>
        </w:rPr>
        <w:t xml:space="preserve">eeting of the Commission on Step Therapy Protocols </w:t>
      </w:r>
      <w:r w:rsidR="00531059">
        <w:rPr>
          <w:sz w:val="20"/>
          <w:szCs w:val="20"/>
        </w:rPr>
        <w:t xml:space="preserve">(Commission) </w:t>
      </w:r>
      <w:r w:rsidR="00000A1A" w:rsidRPr="00F3586D">
        <w:rPr>
          <w:sz w:val="20"/>
          <w:szCs w:val="20"/>
        </w:rPr>
        <w:t xml:space="preserve">held </w:t>
      </w:r>
      <w:r>
        <w:rPr>
          <w:sz w:val="20"/>
          <w:szCs w:val="20"/>
        </w:rPr>
        <w:t xml:space="preserve">virtually </w:t>
      </w:r>
      <w:r w:rsidR="00000A1A" w:rsidRPr="00F3586D">
        <w:rPr>
          <w:sz w:val="20"/>
          <w:szCs w:val="20"/>
        </w:rPr>
        <w:t xml:space="preserve">on </w:t>
      </w:r>
      <w:r w:rsidR="00AF1510">
        <w:rPr>
          <w:sz w:val="20"/>
          <w:szCs w:val="20"/>
        </w:rPr>
        <w:t>March 12</w:t>
      </w:r>
      <w:r w:rsidR="00000A1A" w:rsidRPr="00F3586D">
        <w:rPr>
          <w:sz w:val="20"/>
          <w:szCs w:val="20"/>
        </w:rPr>
        <w:t>, 202</w:t>
      </w:r>
      <w:r w:rsidR="00AF1510">
        <w:rPr>
          <w:sz w:val="20"/>
          <w:szCs w:val="20"/>
        </w:rPr>
        <w:t>6</w:t>
      </w:r>
      <w:r>
        <w:rPr>
          <w:sz w:val="20"/>
          <w:szCs w:val="20"/>
        </w:rPr>
        <w:t>, beginning at</w:t>
      </w:r>
      <w:r w:rsidR="00000A1A" w:rsidRPr="00F3586D">
        <w:rPr>
          <w:sz w:val="20"/>
          <w:szCs w:val="20"/>
        </w:rPr>
        <w:t xml:space="preserve"> </w:t>
      </w:r>
      <w:r w:rsidR="005628F0">
        <w:rPr>
          <w:sz w:val="20"/>
          <w:szCs w:val="20"/>
        </w:rPr>
        <w:t>9</w:t>
      </w:r>
      <w:r w:rsidR="00000A1A" w:rsidRPr="00F3586D">
        <w:rPr>
          <w:sz w:val="20"/>
          <w:szCs w:val="20"/>
        </w:rPr>
        <w:t>:00</w:t>
      </w:r>
      <w:r w:rsidR="00BB78E5">
        <w:rPr>
          <w:sz w:val="20"/>
          <w:szCs w:val="20"/>
        </w:rPr>
        <w:t> </w:t>
      </w:r>
      <w:r w:rsidR="00000A1A" w:rsidRPr="00F3586D">
        <w:rPr>
          <w:sz w:val="20"/>
          <w:szCs w:val="20"/>
        </w:rPr>
        <w:t>AM EST</w:t>
      </w:r>
      <w:r>
        <w:rPr>
          <w:sz w:val="20"/>
          <w:szCs w:val="20"/>
        </w:rPr>
        <w:t>.</w:t>
      </w:r>
      <w:r w:rsidR="00000A1A" w:rsidRPr="00F3586D">
        <w:rPr>
          <w:sz w:val="20"/>
          <w:szCs w:val="20"/>
        </w:rPr>
        <w:t xml:space="preserve"> </w:t>
      </w:r>
      <w:r w:rsidR="004709A0">
        <w:rPr>
          <w:sz w:val="20"/>
          <w:szCs w:val="20"/>
        </w:rPr>
        <w:t>Kevin</w:t>
      </w:r>
      <w:r w:rsidR="00000A1A" w:rsidRPr="00F3586D">
        <w:rPr>
          <w:sz w:val="20"/>
          <w:szCs w:val="20"/>
        </w:rPr>
        <w:t xml:space="preserve"> </w:t>
      </w:r>
      <w:r w:rsidR="001574B5">
        <w:rPr>
          <w:sz w:val="20"/>
          <w:szCs w:val="20"/>
        </w:rPr>
        <w:t xml:space="preserve">called the meeting to order and </w:t>
      </w:r>
      <w:r w:rsidR="00000A1A" w:rsidRPr="00F3586D">
        <w:rPr>
          <w:sz w:val="20"/>
          <w:szCs w:val="20"/>
        </w:rPr>
        <w:t xml:space="preserve">introduced </w:t>
      </w:r>
      <w:r w:rsidR="008A76DE">
        <w:rPr>
          <w:sz w:val="20"/>
          <w:szCs w:val="20"/>
        </w:rPr>
        <w:t xml:space="preserve">the </w:t>
      </w:r>
      <w:r w:rsidR="0027349A">
        <w:rPr>
          <w:sz w:val="20"/>
          <w:szCs w:val="20"/>
        </w:rPr>
        <w:t xml:space="preserve">following </w:t>
      </w:r>
      <w:r w:rsidR="00537409">
        <w:rPr>
          <w:sz w:val="20"/>
          <w:szCs w:val="20"/>
        </w:rPr>
        <w:t>agenda</w:t>
      </w:r>
      <w:r w:rsidR="00957936">
        <w:rPr>
          <w:sz w:val="20"/>
          <w:szCs w:val="20"/>
        </w:rPr>
        <w:t xml:space="preserve"> items</w:t>
      </w:r>
      <w:r w:rsidR="008A76DE">
        <w:rPr>
          <w:sz w:val="20"/>
          <w:szCs w:val="20"/>
        </w:rPr>
        <w:t>:</w:t>
      </w:r>
    </w:p>
    <w:p w14:paraId="78E54898" w14:textId="77777777" w:rsidR="00817D36" w:rsidRPr="00F3586D" w:rsidRDefault="00817D36" w:rsidP="00000A1A">
      <w:pPr>
        <w:spacing w:after="0" w:line="240" w:lineRule="auto"/>
        <w:rPr>
          <w:sz w:val="20"/>
          <w:szCs w:val="20"/>
        </w:rPr>
      </w:pPr>
    </w:p>
    <w:p w14:paraId="1350E582" w14:textId="060B927B" w:rsidR="00817D36" w:rsidRPr="00F3586D" w:rsidRDefault="00F3586D" w:rsidP="00F3586D">
      <w:pPr>
        <w:spacing w:after="0" w:line="240" w:lineRule="auto"/>
        <w:rPr>
          <w:b/>
          <w:bCs/>
          <w:sz w:val="20"/>
          <w:szCs w:val="20"/>
        </w:rPr>
      </w:pPr>
      <w:r w:rsidRPr="00F3586D">
        <w:rPr>
          <w:b/>
          <w:bCs/>
          <w:sz w:val="20"/>
          <w:szCs w:val="20"/>
        </w:rPr>
        <w:t>Agenda</w:t>
      </w:r>
    </w:p>
    <w:p w14:paraId="4A512975" w14:textId="182B4151" w:rsidR="00F3586D" w:rsidRPr="00000396" w:rsidRDefault="001574B5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Welcome</w:t>
      </w:r>
    </w:p>
    <w:p w14:paraId="3E622020" w14:textId="6C19F763" w:rsidR="00F3586D" w:rsidRPr="00000396" w:rsidRDefault="004572D7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Approval of </w:t>
      </w:r>
      <w:r w:rsidR="001574B5">
        <w:rPr>
          <w:sz w:val="20"/>
          <w:szCs w:val="20"/>
        </w:rPr>
        <w:t>Minutes</w:t>
      </w:r>
    </w:p>
    <w:p w14:paraId="739EBFB6" w14:textId="4CD1CDDB" w:rsidR="00D13C28" w:rsidRDefault="00D13C28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Schedule of Future Meetings</w:t>
      </w:r>
    </w:p>
    <w:p w14:paraId="7F773B9A" w14:textId="661FA19A" w:rsidR="00F3586D" w:rsidRPr="00000396" w:rsidRDefault="00FA7995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 Draft – Exception Requests for Prescription Drugs</w:t>
      </w:r>
    </w:p>
    <w:p w14:paraId="1344CD62" w14:textId="5B00C902" w:rsidR="00F3586D" w:rsidRDefault="00927D93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Continuity of Coverage Plans</w:t>
      </w:r>
    </w:p>
    <w:p w14:paraId="7446709F" w14:textId="12D5CB8F" w:rsidR="00FA7995" w:rsidRDefault="00FA7995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Turnaround Times</w:t>
      </w:r>
    </w:p>
    <w:p w14:paraId="27A3590F" w14:textId="7AF10566" w:rsidR="00D14BE9" w:rsidRDefault="00D14BE9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DOI Pharmacy Benefit Manager Regulation</w:t>
      </w:r>
    </w:p>
    <w:p w14:paraId="4CF377E9" w14:textId="3947756F" w:rsidR="00C45088" w:rsidRDefault="00C45088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 Matters</w:t>
      </w:r>
    </w:p>
    <w:p w14:paraId="57E9E5BE" w14:textId="0B78DCC9" w:rsidR="00C45088" w:rsidRPr="00000396" w:rsidRDefault="00C45088" w:rsidP="00000396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Adjournment</w:t>
      </w:r>
    </w:p>
    <w:p w14:paraId="6A064DE8" w14:textId="77777777" w:rsidR="00F3586D" w:rsidRDefault="00F3586D" w:rsidP="00F3586D">
      <w:pPr>
        <w:spacing w:after="0" w:line="240" w:lineRule="auto"/>
        <w:rPr>
          <w:sz w:val="20"/>
          <w:szCs w:val="20"/>
        </w:rPr>
      </w:pPr>
    </w:p>
    <w:p w14:paraId="67F05729" w14:textId="30753513" w:rsidR="00F3586D" w:rsidRPr="00000396" w:rsidRDefault="00C45088" w:rsidP="005876CB">
      <w:pPr>
        <w:pStyle w:val="Heading2"/>
        <w:numPr>
          <w:ilvl w:val="0"/>
          <w:numId w:val="36"/>
        </w:numPr>
      </w:pPr>
      <w:r>
        <w:t>Welcome - Attend</w:t>
      </w:r>
      <w:r w:rsidR="004D2D6F">
        <w:t>ees</w:t>
      </w:r>
    </w:p>
    <w:p w14:paraId="6BD4A84F" w14:textId="77777777" w:rsidR="00F3586D" w:rsidRPr="00F3586D" w:rsidRDefault="00F3586D" w:rsidP="00F3586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F3586D" w:rsidRPr="00F3586D" w14:paraId="7945C490" w14:textId="77777777" w:rsidTr="00382AE3">
        <w:trPr>
          <w:trHeight w:val="290"/>
        </w:trPr>
        <w:tc>
          <w:tcPr>
            <w:tcW w:w="2544" w:type="dxa"/>
          </w:tcPr>
          <w:p w14:paraId="05A8FB4B" w14:textId="6D6D21F2" w:rsidR="00F3586D" w:rsidRPr="00F3586D" w:rsidRDefault="00D50080" w:rsidP="00F358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Commission Members</w:t>
            </w:r>
          </w:p>
        </w:tc>
        <w:tc>
          <w:tcPr>
            <w:tcW w:w="6806" w:type="dxa"/>
          </w:tcPr>
          <w:p w14:paraId="3EBD251E" w14:textId="04C3D22B" w:rsidR="00F3586D" w:rsidRPr="00F3586D" w:rsidRDefault="00F3586D" w:rsidP="00F3586D">
            <w:pPr>
              <w:rPr>
                <w:b/>
                <w:bCs/>
                <w:sz w:val="20"/>
                <w:szCs w:val="20"/>
              </w:rPr>
            </w:pPr>
            <w:r w:rsidRPr="00F3586D">
              <w:rPr>
                <w:b/>
                <w:bCs/>
                <w:sz w:val="20"/>
                <w:szCs w:val="20"/>
              </w:rPr>
              <w:t xml:space="preserve">Member </w:t>
            </w:r>
            <w:r w:rsidR="00D50080">
              <w:rPr>
                <w:b/>
                <w:bCs/>
                <w:sz w:val="20"/>
                <w:szCs w:val="20"/>
              </w:rPr>
              <w:t>Information</w:t>
            </w:r>
          </w:p>
        </w:tc>
      </w:tr>
      <w:tr w:rsidR="00F3586D" w:rsidRPr="00F3586D" w14:paraId="2C0DFC78" w14:textId="77777777" w:rsidTr="00382AE3">
        <w:trPr>
          <w:trHeight w:val="290"/>
        </w:trPr>
        <w:tc>
          <w:tcPr>
            <w:tcW w:w="2544" w:type="dxa"/>
            <w:hideMark/>
          </w:tcPr>
          <w:p w14:paraId="73BE855B" w14:textId="77777777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Nancy Ryan</w:t>
            </w:r>
          </w:p>
        </w:tc>
        <w:tc>
          <w:tcPr>
            <w:tcW w:w="6806" w:type="dxa"/>
            <w:hideMark/>
          </w:tcPr>
          <w:p w14:paraId="6F0EF65B" w14:textId="3DCA5799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Designee of Executive Director David Seltz of the Health Policy Commission (OPP)</w:t>
            </w:r>
          </w:p>
        </w:tc>
      </w:tr>
      <w:tr w:rsidR="00F3586D" w:rsidRPr="00F3586D" w14:paraId="57861A92" w14:textId="77777777" w:rsidTr="00382AE3">
        <w:trPr>
          <w:trHeight w:val="580"/>
        </w:trPr>
        <w:tc>
          <w:tcPr>
            <w:tcW w:w="2544" w:type="dxa"/>
            <w:hideMark/>
          </w:tcPr>
          <w:p w14:paraId="273BC410" w14:textId="77777777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Caitlin Sullivan</w:t>
            </w:r>
          </w:p>
        </w:tc>
        <w:tc>
          <w:tcPr>
            <w:tcW w:w="6806" w:type="dxa"/>
            <w:hideMark/>
          </w:tcPr>
          <w:p w14:paraId="3ADD5156" w14:textId="77777777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Designee of Executive Director Lauren Peters of the Center for Health Information and Analysis</w:t>
            </w:r>
          </w:p>
        </w:tc>
      </w:tr>
      <w:tr w:rsidR="00F3586D" w:rsidRPr="00F3586D" w14:paraId="5D469C09" w14:textId="77777777" w:rsidTr="00382AE3">
        <w:trPr>
          <w:trHeight w:val="290"/>
        </w:trPr>
        <w:tc>
          <w:tcPr>
            <w:tcW w:w="2544" w:type="dxa"/>
            <w:hideMark/>
          </w:tcPr>
          <w:p w14:paraId="4EB63412" w14:textId="7A7E68B1" w:rsidR="007B7883" w:rsidRPr="00F3586D" w:rsidRDefault="00F3586D" w:rsidP="00D14BE9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Cheryl Bartlett</w:t>
            </w:r>
          </w:p>
        </w:tc>
        <w:tc>
          <w:tcPr>
            <w:tcW w:w="6806" w:type="dxa"/>
            <w:hideMark/>
          </w:tcPr>
          <w:p w14:paraId="3EF878FF" w14:textId="733AB4F0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representative of the Massachusetts Public Health Association</w:t>
            </w:r>
          </w:p>
        </w:tc>
      </w:tr>
      <w:tr w:rsidR="00F3586D" w:rsidRPr="00F3586D" w14:paraId="4D3FD466" w14:textId="77777777" w:rsidTr="00382AE3">
        <w:trPr>
          <w:trHeight w:val="290"/>
        </w:trPr>
        <w:tc>
          <w:tcPr>
            <w:tcW w:w="2544" w:type="dxa"/>
            <w:hideMark/>
          </w:tcPr>
          <w:p w14:paraId="641A5B23" w14:textId="63237BCC" w:rsidR="00C76D71" w:rsidRDefault="00C76D71" w:rsidP="00F3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Leah Dart </w:t>
            </w:r>
            <w:r w:rsidR="00E45138">
              <w:rPr>
                <w:sz w:val="20"/>
                <w:szCs w:val="20"/>
              </w:rPr>
              <w:t>(attending for</w:t>
            </w:r>
          </w:p>
          <w:p w14:paraId="78DCF775" w14:textId="739B94CC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Paul Jones</w:t>
            </w:r>
            <w:r w:rsidR="00E45138">
              <w:rPr>
                <w:sz w:val="20"/>
                <w:szCs w:val="20"/>
              </w:rPr>
              <w:t>, non-voting)</w:t>
            </w:r>
          </w:p>
        </w:tc>
        <w:tc>
          <w:tcPr>
            <w:tcW w:w="6806" w:type="dxa"/>
            <w:hideMark/>
          </w:tcPr>
          <w:p w14:paraId="500E3CD0" w14:textId="77777777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representative of Blue Cross and Blue Shield of Massachusetts, Inc.</w:t>
            </w:r>
          </w:p>
        </w:tc>
      </w:tr>
      <w:tr w:rsidR="00F3586D" w:rsidRPr="00F3586D" w14:paraId="23D652B9" w14:textId="77777777" w:rsidTr="00382AE3">
        <w:trPr>
          <w:trHeight w:val="290"/>
        </w:trPr>
        <w:tc>
          <w:tcPr>
            <w:tcW w:w="2544" w:type="dxa"/>
            <w:hideMark/>
          </w:tcPr>
          <w:p w14:paraId="24C428EB" w14:textId="49F35AA4" w:rsidR="00F3586D" w:rsidRPr="00F3586D" w:rsidRDefault="00D733E9" w:rsidP="00F3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</w:t>
            </w:r>
            <w:r w:rsidR="00F3586D" w:rsidRPr="00F3586D">
              <w:rPr>
                <w:sz w:val="20"/>
                <w:szCs w:val="20"/>
              </w:rPr>
              <w:t xml:space="preserve"> Chiaramida</w:t>
            </w:r>
          </w:p>
        </w:tc>
        <w:tc>
          <w:tcPr>
            <w:tcW w:w="6806" w:type="dxa"/>
            <w:hideMark/>
          </w:tcPr>
          <w:p w14:paraId="14628D60" w14:textId="77777777" w:rsidR="00F3586D" w:rsidRPr="00F3586D" w:rsidRDefault="00F3586D" w:rsidP="00F3586D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representative of the Massachusetts Association of Health Plans, Inc.</w:t>
            </w:r>
          </w:p>
        </w:tc>
      </w:tr>
      <w:tr w:rsidR="008302F3" w:rsidRPr="00F3586D" w14:paraId="12FD1AE3" w14:textId="77777777" w:rsidTr="00BB34F4">
        <w:trPr>
          <w:trHeight w:val="290"/>
        </w:trPr>
        <w:tc>
          <w:tcPr>
            <w:tcW w:w="2544" w:type="dxa"/>
            <w:hideMark/>
          </w:tcPr>
          <w:p w14:paraId="3F8FEFA7" w14:textId="77777777" w:rsidR="008302F3" w:rsidRPr="00F3586D" w:rsidRDefault="008302F3" w:rsidP="00BB34F4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Kimberly Lenz</w:t>
            </w:r>
          </w:p>
        </w:tc>
        <w:tc>
          <w:tcPr>
            <w:tcW w:w="6806" w:type="dxa"/>
            <w:hideMark/>
          </w:tcPr>
          <w:p w14:paraId="0FE9AF77" w14:textId="77777777" w:rsidR="008302F3" w:rsidRPr="00F3586D" w:rsidRDefault="008302F3" w:rsidP="00BB34F4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Designee of Assistant Secretary for MassHealth Michael Levine</w:t>
            </w:r>
          </w:p>
        </w:tc>
      </w:tr>
      <w:tr w:rsidR="00675DF0" w:rsidRPr="00F3586D" w14:paraId="34F8E987" w14:textId="77777777" w:rsidTr="00E413FB">
        <w:trPr>
          <w:trHeight w:val="290"/>
        </w:trPr>
        <w:tc>
          <w:tcPr>
            <w:tcW w:w="2544" w:type="dxa"/>
            <w:hideMark/>
          </w:tcPr>
          <w:p w14:paraId="3E48666C" w14:textId="18168333" w:rsidR="00675DF0" w:rsidRPr="00F3586D" w:rsidRDefault="00675DF0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Marc Hymovitz</w:t>
            </w:r>
          </w:p>
        </w:tc>
        <w:tc>
          <w:tcPr>
            <w:tcW w:w="6806" w:type="dxa"/>
            <w:hideMark/>
          </w:tcPr>
          <w:p w14:paraId="7A8E023D" w14:textId="77777777" w:rsidR="00675DF0" w:rsidRPr="00F3586D" w:rsidRDefault="00675DF0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representative of a patient advocacy organization (ACSCan)</w:t>
            </w:r>
          </w:p>
        </w:tc>
      </w:tr>
      <w:tr w:rsidR="00675DF0" w:rsidRPr="00F3586D" w14:paraId="5AD3E9A1" w14:textId="77777777" w:rsidTr="00E413FB">
        <w:trPr>
          <w:trHeight w:val="290"/>
        </w:trPr>
        <w:tc>
          <w:tcPr>
            <w:tcW w:w="2544" w:type="dxa"/>
            <w:hideMark/>
          </w:tcPr>
          <w:p w14:paraId="4C23B430" w14:textId="719E34C1" w:rsidR="00675DF0" w:rsidRPr="00F3586D" w:rsidRDefault="00675DF0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Clinton Pong</w:t>
            </w:r>
          </w:p>
        </w:tc>
        <w:tc>
          <w:tcPr>
            <w:tcW w:w="6806" w:type="dxa"/>
            <w:hideMark/>
          </w:tcPr>
          <w:p w14:paraId="10C46E9B" w14:textId="77777777" w:rsidR="00675DF0" w:rsidRPr="00F3586D" w:rsidRDefault="00675DF0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licensed physician in the Commonwealth (PCP, Family Practice)</w:t>
            </w:r>
          </w:p>
        </w:tc>
      </w:tr>
      <w:tr w:rsidR="00BB18C1" w:rsidRPr="00F3586D" w14:paraId="5A0647B0" w14:textId="77777777" w:rsidTr="00E413FB">
        <w:trPr>
          <w:trHeight w:val="290"/>
        </w:trPr>
        <w:tc>
          <w:tcPr>
            <w:tcW w:w="2544" w:type="dxa"/>
          </w:tcPr>
          <w:p w14:paraId="79CAF085" w14:textId="364E90E1" w:rsidR="00BB18C1" w:rsidRPr="00F3586D" w:rsidRDefault="00BB18C1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Eileen McAnneny</w:t>
            </w:r>
          </w:p>
        </w:tc>
        <w:tc>
          <w:tcPr>
            <w:tcW w:w="6806" w:type="dxa"/>
          </w:tcPr>
          <w:p w14:paraId="797A0B09" w14:textId="62E647E0" w:rsidR="00BB18C1" w:rsidRPr="00F3586D" w:rsidRDefault="00BB18C1" w:rsidP="00E413FB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representative of an employer organization</w:t>
            </w:r>
          </w:p>
        </w:tc>
      </w:tr>
    </w:tbl>
    <w:p w14:paraId="21F0F896" w14:textId="77777777" w:rsidR="00F3586D" w:rsidRPr="00F3586D" w:rsidRDefault="00F3586D" w:rsidP="00F3586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D50080" w:rsidRPr="00F3586D" w14:paraId="3DF3CE21" w14:textId="77777777" w:rsidTr="00D50080">
        <w:trPr>
          <w:trHeight w:val="290"/>
        </w:trPr>
        <w:tc>
          <w:tcPr>
            <w:tcW w:w="2544" w:type="dxa"/>
          </w:tcPr>
          <w:p w14:paraId="525D5FC5" w14:textId="36F08BA8" w:rsidR="00D50080" w:rsidRPr="00F3586D" w:rsidRDefault="00D50080" w:rsidP="007C45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Commission Members Not in Attendance</w:t>
            </w:r>
          </w:p>
        </w:tc>
        <w:tc>
          <w:tcPr>
            <w:tcW w:w="6806" w:type="dxa"/>
          </w:tcPr>
          <w:p w14:paraId="632FDB10" w14:textId="763B3663" w:rsidR="00D50080" w:rsidRPr="00F3586D" w:rsidRDefault="00D50080" w:rsidP="007C45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 Information</w:t>
            </w:r>
          </w:p>
        </w:tc>
      </w:tr>
      <w:tr w:rsidR="003D7F51" w:rsidRPr="00F3586D" w14:paraId="3F1D0D0E" w14:textId="77777777" w:rsidTr="00BB34F4">
        <w:trPr>
          <w:trHeight w:val="580"/>
        </w:trPr>
        <w:tc>
          <w:tcPr>
            <w:tcW w:w="2544" w:type="dxa"/>
            <w:hideMark/>
          </w:tcPr>
          <w:p w14:paraId="6CE1E1EB" w14:textId="77777777" w:rsidR="003D7F51" w:rsidRPr="00F3586D" w:rsidRDefault="003D7F51" w:rsidP="00BB34F4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Darlene Sawicki, CNP</w:t>
            </w:r>
          </w:p>
        </w:tc>
        <w:tc>
          <w:tcPr>
            <w:tcW w:w="6806" w:type="dxa"/>
            <w:hideMark/>
          </w:tcPr>
          <w:p w14:paraId="30A4D8C7" w14:textId="77777777" w:rsidR="003D7F51" w:rsidRPr="00F3586D" w:rsidRDefault="003D7F51" w:rsidP="00BB34F4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A licensed clinician, other than a physician who has prescribing authority under the scope of her license (MGH)</w:t>
            </w:r>
          </w:p>
        </w:tc>
      </w:tr>
    </w:tbl>
    <w:p w14:paraId="56A9FD0A" w14:textId="77777777" w:rsidR="00D50080" w:rsidRDefault="00D50080" w:rsidP="00F3586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6820"/>
      </w:tblGrid>
      <w:tr w:rsidR="00CE33DA" w:rsidRPr="00F3586D" w14:paraId="4C295FB5" w14:textId="77777777" w:rsidTr="00382AE3">
        <w:trPr>
          <w:trHeight w:val="290"/>
        </w:trPr>
        <w:tc>
          <w:tcPr>
            <w:tcW w:w="2530" w:type="dxa"/>
          </w:tcPr>
          <w:p w14:paraId="3EDBE2CF" w14:textId="77777777" w:rsidR="00CE33DA" w:rsidRPr="00F3586D" w:rsidRDefault="00CE33DA" w:rsidP="002821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Guests</w:t>
            </w:r>
          </w:p>
        </w:tc>
        <w:tc>
          <w:tcPr>
            <w:tcW w:w="6820" w:type="dxa"/>
          </w:tcPr>
          <w:p w14:paraId="1498FCDD" w14:textId="77777777" w:rsidR="00CE33DA" w:rsidRPr="00F3586D" w:rsidRDefault="00CE33DA" w:rsidP="002821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 Information</w:t>
            </w:r>
          </w:p>
        </w:tc>
      </w:tr>
      <w:tr w:rsidR="00CE33DA" w:rsidRPr="00F3586D" w14:paraId="65B58DAE" w14:textId="77777777" w:rsidTr="00382AE3">
        <w:trPr>
          <w:trHeight w:val="290"/>
        </w:trPr>
        <w:tc>
          <w:tcPr>
            <w:tcW w:w="2530" w:type="dxa"/>
            <w:hideMark/>
          </w:tcPr>
          <w:p w14:paraId="6A499026" w14:textId="77777777" w:rsidR="00CE33DA" w:rsidRPr="00F3586D" w:rsidRDefault="00CE33DA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Butler</w:t>
            </w:r>
          </w:p>
        </w:tc>
        <w:tc>
          <w:tcPr>
            <w:tcW w:w="6820" w:type="dxa"/>
            <w:hideMark/>
          </w:tcPr>
          <w:p w14:paraId="232BE323" w14:textId="7674EA5E" w:rsidR="00CE33DA" w:rsidRPr="00F3586D" w:rsidRDefault="00CE33DA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 to the Commissioner</w:t>
            </w:r>
            <w:r w:rsidR="001B191D">
              <w:rPr>
                <w:sz w:val="20"/>
                <w:szCs w:val="20"/>
              </w:rPr>
              <w:t>, Division of Insurance</w:t>
            </w:r>
          </w:p>
        </w:tc>
      </w:tr>
      <w:tr w:rsidR="007C1624" w:rsidRPr="00F3586D" w14:paraId="00D76093" w14:textId="77777777" w:rsidTr="00382AE3">
        <w:trPr>
          <w:trHeight w:val="290"/>
        </w:trPr>
        <w:tc>
          <w:tcPr>
            <w:tcW w:w="2530" w:type="dxa"/>
          </w:tcPr>
          <w:p w14:paraId="1CF5A6E9" w14:textId="759C7F2A" w:rsidR="007C1624" w:rsidRDefault="00F758A7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 Lynch</w:t>
            </w:r>
          </w:p>
        </w:tc>
        <w:tc>
          <w:tcPr>
            <w:tcW w:w="6820" w:type="dxa"/>
          </w:tcPr>
          <w:p w14:paraId="1710F6C3" w14:textId="766425C7" w:rsidR="007C1624" w:rsidRDefault="00E661B4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Research Analyst, Healthcare Access Bureau, Division of Insurance</w:t>
            </w:r>
          </w:p>
        </w:tc>
      </w:tr>
      <w:tr w:rsidR="00CE33DA" w:rsidRPr="00F3586D" w14:paraId="2321AFF4" w14:textId="77777777" w:rsidTr="00382AE3">
        <w:trPr>
          <w:trHeight w:val="290"/>
        </w:trPr>
        <w:tc>
          <w:tcPr>
            <w:tcW w:w="2530" w:type="dxa"/>
          </w:tcPr>
          <w:p w14:paraId="22597D00" w14:textId="77777777" w:rsidR="00CE33DA" w:rsidRDefault="00CE33DA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Gall</w:t>
            </w:r>
            <w:r w:rsidR="00050448">
              <w:rPr>
                <w:sz w:val="20"/>
                <w:szCs w:val="20"/>
              </w:rPr>
              <w:t>o</w:t>
            </w:r>
          </w:p>
          <w:p w14:paraId="097F3C8D" w14:textId="13AA4370" w:rsidR="00050448" w:rsidRDefault="00050448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0317">
              <w:rPr>
                <w:sz w:val="20"/>
                <w:szCs w:val="20"/>
              </w:rPr>
              <w:t xml:space="preserve">Meeting </w:t>
            </w:r>
            <w:r>
              <w:rPr>
                <w:sz w:val="20"/>
                <w:szCs w:val="20"/>
              </w:rPr>
              <w:t>Minute</w:t>
            </w:r>
            <w:r w:rsidR="00F10317">
              <w:rPr>
                <w:sz w:val="20"/>
                <w:szCs w:val="20"/>
              </w:rPr>
              <w:t>s)</w:t>
            </w:r>
          </w:p>
        </w:tc>
        <w:tc>
          <w:tcPr>
            <w:tcW w:w="6820" w:type="dxa"/>
          </w:tcPr>
          <w:p w14:paraId="71429A2D" w14:textId="01BA758D" w:rsidR="00CE33DA" w:rsidRDefault="00B77916" w:rsidP="002821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Analyst, Bureau of Managed Care, Division of Insurance</w:t>
            </w:r>
          </w:p>
        </w:tc>
      </w:tr>
    </w:tbl>
    <w:p w14:paraId="441042B5" w14:textId="77777777" w:rsidR="00CE33DA" w:rsidRDefault="00CE33DA" w:rsidP="00F3586D">
      <w:pPr>
        <w:spacing w:after="0" w:line="240" w:lineRule="auto"/>
        <w:rPr>
          <w:sz w:val="20"/>
          <w:szCs w:val="20"/>
        </w:rPr>
      </w:pPr>
    </w:p>
    <w:p w14:paraId="677293DB" w14:textId="604AE409" w:rsidR="00D50080" w:rsidRPr="0036081E" w:rsidRDefault="00E65D5B" w:rsidP="005876CB">
      <w:pPr>
        <w:pStyle w:val="Heading2"/>
        <w:numPr>
          <w:ilvl w:val="0"/>
          <w:numId w:val="36"/>
        </w:numPr>
      </w:pPr>
      <w:r>
        <w:lastRenderedPageBreak/>
        <w:t xml:space="preserve">Approval of </w:t>
      </w:r>
      <w:r w:rsidR="00742D49">
        <w:t>Minutes</w:t>
      </w:r>
    </w:p>
    <w:p w14:paraId="345DCE5E" w14:textId="77777777" w:rsidR="008060D2" w:rsidRDefault="008060D2" w:rsidP="008060D2">
      <w:pPr>
        <w:spacing w:after="0" w:line="240" w:lineRule="auto"/>
        <w:rPr>
          <w:sz w:val="20"/>
          <w:szCs w:val="20"/>
        </w:rPr>
      </w:pPr>
    </w:p>
    <w:p w14:paraId="3C010C62" w14:textId="42298C35" w:rsidR="002A1E08" w:rsidRPr="00903F46" w:rsidRDefault="002A1E08" w:rsidP="002A1E0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Motion to Approve the Minutes of the </w:t>
      </w:r>
      <w:r w:rsidR="001944BF">
        <w:rPr>
          <w:b/>
          <w:bCs/>
          <w:sz w:val="20"/>
          <w:szCs w:val="20"/>
        </w:rPr>
        <w:t xml:space="preserve">Fourth </w:t>
      </w:r>
      <w:r>
        <w:rPr>
          <w:b/>
          <w:bCs/>
          <w:sz w:val="20"/>
          <w:szCs w:val="20"/>
        </w:rPr>
        <w:t xml:space="preserve">Meeting of the Commission, Held </w:t>
      </w:r>
      <w:r w:rsidR="001944BF">
        <w:rPr>
          <w:b/>
          <w:bCs/>
          <w:sz w:val="20"/>
          <w:szCs w:val="20"/>
        </w:rPr>
        <w:t>December 11</w:t>
      </w:r>
      <w:r>
        <w:rPr>
          <w:b/>
          <w:bCs/>
          <w:sz w:val="20"/>
          <w:szCs w:val="20"/>
        </w:rPr>
        <w:t>, 2025</w:t>
      </w:r>
    </w:p>
    <w:p w14:paraId="0F44D256" w14:textId="701CB738" w:rsidR="002A1E08" w:rsidRDefault="002A1E08" w:rsidP="002A1E08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Introduced by </w:t>
      </w:r>
      <w:r w:rsidR="00D07EF9">
        <w:rPr>
          <w:sz w:val="20"/>
          <w:szCs w:val="20"/>
        </w:rPr>
        <w:t>Nancy</w:t>
      </w:r>
      <w:r>
        <w:rPr>
          <w:sz w:val="20"/>
          <w:szCs w:val="20"/>
        </w:rPr>
        <w:t xml:space="preserve">; seconded by </w:t>
      </w:r>
      <w:r w:rsidR="00843094">
        <w:rPr>
          <w:sz w:val="20"/>
          <w:szCs w:val="20"/>
        </w:rPr>
        <w:t>Cheryl</w:t>
      </w:r>
      <w:r>
        <w:rPr>
          <w:sz w:val="20"/>
          <w:szCs w:val="20"/>
        </w:rPr>
        <w:t>; no discussion requested</w:t>
      </w:r>
    </w:p>
    <w:p w14:paraId="5E45F2B3" w14:textId="77777777" w:rsidR="002A1E08" w:rsidRDefault="002A1E08" w:rsidP="002A1E08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Motion passed unanimously by all Commission members in attendance:</w:t>
      </w:r>
    </w:p>
    <w:p w14:paraId="3C7CA57A" w14:textId="77777777" w:rsidR="002A1E08" w:rsidRDefault="002A1E08" w:rsidP="002A1E0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960"/>
        <w:gridCol w:w="960"/>
        <w:gridCol w:w="3460"/>
      </w:tblGrid>
      <w:tr w:rsidR="002A1E08" w:rsidRPr="009C769D" w14:paraId="6A479F48" w14:textId="77777777" w:rsidTr="00F815CE">
        <w:trPr>
          <w:trHeight w:val="290"/>
          <w:tblHeader/>
        </w:trPr>
        <w:tc>
          <w:tcPr>
            <w:tcW w:w="2600" w:type="dxa"/>
            <w:noWrap/>
            <w:hideMark/>
          </w:tcPr>
          <w:p w14:paraId="14E51B1B" w14:textId="77777777" w:rsidR="002A1E08" w:rsidRPr="009C769D" w:rsidRDefault="002A1E08" w:rsidP="00F815CE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Voting Member Name</w:t>
            </w:r>
          </w:p>
        </w:tc>
        <w:tc>
          <w:tcPr>
            <w:tcW w:w="960" w:type="dxa"/>
            <w:noWrap/>
            <w:hideMark/>
          </w:tcPr>
          <w:p w14:paraId="344D8FDC" w14:textId="77777777" w:rsidR="002A1E08" w:rsidRPr="009C769D" w:rsidRDefault="002A1E08" w:rsidP="00F815CE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1E94B57A" w14:textId="77777777" w:rsidR="002A1E08" w:rsidRPr="009C769D" w:rsidRDefault="002A1E08" w:rsidP="00F815CE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460" w:type="dxa"/>
            <w:noWrap/>
            <w:hideMark/>
          </w:tcPr>
          <w:p w14:paraId="4A02D8E5" w14:textId="77777777" w:rsidR="002A1E08" w:rsidRPr="009C769D" w:rsidRDefault="002A1E08" w:rsidP="00F815CE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="002A1E08" w:rsidRPr="009C769D" w14:paraId="10E471E9" w14:textId="77777777" w:rsidTr="00F815CE">
        <w:trPr>
          <w:trHeight w:val="290"/>
        </w:trPr>
        <w:tc>
          <w:tcPr>
            <w:tcW w:w="2600" w:type="dxa"/>
            <w:hideMark/>
          </w:tcPr>
          <w:p w14:paraId="58B6820B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Kevin Beagan</w:t>
            </w:r>
          </w:p>
        </w:tc>
        <w:tc>
          <w:tcPr>
            <w:tcW w:w="960" w:type="dxa"/>
            <w:noWrap/>
            <w:hideMark/>
          </w:tcPr>
          <w:p w14:paraId="6CA7C79F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7BA2009D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10FE8FEF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2A1E08" w:rsidRPr="009C769D" w14:paraId="0F0E2208" w14:textId="77777777" w:rsidTr="00F815CE">
        <w:trPr>
          <w:trHeight w:val="290"/>
        </w:trPr>
        <w:tc>
          <w:tcPr>
            <w:tcW w:w="2600" w:type="dxa"/>
            <w:hideMark/>
          </w:tcPr>
          <w:p w14:paraId="26F29FF5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Nancy Ryan</w:t>
            </w:r>
          </w:p>
        </w:tc>
        <w:tc>
          <w:tcPr>
            <w:tcW w:w="960" w:type="dxa"/>
            <w:noWrap/>
            <w:hideMark/>
          </w:tcPr>
          <w:p w14:paraId="44EF4934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2AD82982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41BD1CFE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2A1E08" w:rsidRPr="009C769D" w14:paraId="5BF52824" w14:textId="77777777" w:rsidTr="00F815CE">
        <w:trPr>
          <w:trHeight w:val="290"/>
        </w:trPr>
        <w:tc>
          <w:tcPr>
            <w:tcW w:w="2600" w:type="dxa"/>
            <w:hideMark/>
          </w:tcPr>
          <w:p w14:paraId="211F19A3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Caitlin Sullivan</w:t>
            </w:r>
          </w:p>
        </w:tc>
        <w:tc>
          <w:tcPr>
            <w:tcW w:w="960" w:type="dxa"/>
            <w:noWrap/>
            <w:hideMark/>
          </w:tcPr>
          <w:p w14:paraId="41275790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1D56F586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2C15D0BA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2A1E08" w:rsidRPr="009C769D" w14:paraId="1E5BFCD4" w14:textId="77777777" w:rsidTr="00F815CE">
        <w:trPr>
          <w:trHeight w:val="290"/>
        </w:trPr>
        <w:tc>
          <w:tcPr>
            <w:tcW w:w="2600" w:type="dxa"/>
            <w:hideMark/>
          </w:tcPr>
          <w:p w14:paraId="6711CC3C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Cheryl Bartlett</w:t>
            </w:r>
          </w:p>
        </w:tc>
        <w:tc>
          <w:tcPr>
            <w:tcW w:w="960" w:type="dxa"/>
            <w:noWrap/>
            <w:hideMark/>
          </w:tcPr>
          <w:p w14:paraId="30D50DDD" w14:textId="717116A8" w:rsidR="002A1E08" w:rsidRPr="009C769D" w:rsidRDefault="00D07558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7881989F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1EC8F497" w14:textId="172122CB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</w:tr>
      <w:tr w:rsidR="002A1E08" w:rsidRPr="009C769D" w14:paraId="599CF615" w14:textId="77777777" w:rsidTr="00F815CE">
        <w:trPr>
          <w:trHeight w:val="290"/>
        </w:trPr>
        <w:tc>
          <w:tcPr>
            <w:tcW w:w="2600" w:type="dxa"/>
            <w:hideMark/>
          </w:tcPr>
          <w:p w14:paraId="49FF1ECA" w14:textId="57492D78" w:rsidR="002A1E08" w:rsidRPr="009C769D" w:rsidRDefault="000115A1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 Dart</w:t>
            </w:r>
          </w:p>
        </w:tc>
        <w:tc>
          <w:tcPr>
            <w:tcW w:w="960" w:type="dxa"/>
            <w:noWrap/>
            <w:hideMark/>
          </w:tcPr>
          <w:p w14:paraId="5B4D1A0D" w14:textId="2D624B0F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7ED496D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2526B93C" w14:textId="71832E30" w:rsidR="002A1E08" w:rsidRPr="009C769D" w:rsidRDefault="000115A1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Non-Voting Attendee</w:t>
            </w:r>
          </w:p>
        </w:tc>
      </w:tr>
      <w:tr w:rsidR="002A1E08" w:rsidRPr="009C769D" w14:paraId="0295B139" w14:textId="77777777" w:rsidTr="00F815CE">
        <w:trPr>
          <w:trHeight w:val="290"/>
        </w:trPr>
        <w:tc>
          <w:tcPr>
            <w:tcW w:w="2600" w:type="dxa"/>
            <w:hideMark/>
          </w:tcPr>
          <w:p w14:paraId="759961D0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Sarah Chiaramida</w:t>
            </w:r>
          </w:p>
        </w:tc>
        <w:tc>
          <w:tcPr>
            <w:tcW w:w="960" w:type="dxa"/>
            <w:noWrap/>
            <w:hideMark/>
          </w:tcPr>
          <w:p w14:paraId="184A4EC4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75BC85C0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5C63FAB4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2A1E08" w:rsidRPr="009C769D" w14:paraId="6EB20E16" w14:textId="77777777" w:rsidTr="00F815CE">
        <w:trPr>
          <w:trHeight w:val="290"/>
        </w:trPr>
        <w:tc>
          <w:tcPr>
            <w:tcW w:w="2600" w:type="dxa"/>
            <w:hideMark/>
          </w:tcPr>
          <w:p w14:paraId="43BC856A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Marc Hymovitz</w:t>
            </w:r>
          </w:p>
        </w:tc>
        <w:tc>
          <w:tcPr>
            <w:tcW w:w="960" w:type="dxa"/>
            <w:noWrap/>
            <w:hideMark/>
          </w:tcPr>
          <w:p w14:paraId="325705B5" w14:textId="328525EE" w:rsidR="002A1E08" w:rsidRPr="009C769D" w:rsidRDefault="00D07EF9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2A1E08" w:rsidRPr="009C769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F82C533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66D40433" w14:textId="3D73E774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</w:tr>
      <w:tr w:rsidR="002A1E08" w:rsidRPr="009C769D" w14:paraId="43C7117C" w14:textId="77777777" w:rsidTr="00F815CE">
        <w:trPr>
          <w:trHeight w:val="290"/>
        </w:trPr>
        <w:tc>
          <w:tcPr>
            <w:tcW w:w="2600" w:type="dxa"/>
          </w:tcPr>
          <w:p w14:paraId="3FD361F8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Clinton Pong</w:t>
            </w:r>
          </w:p>
        </w:tc>
        <w:tc>
          <w:tcPr>
            <w:tcW w:w="960" w:type="dxa"/>
            <w:noWrap/>
          </w:tcPr>
          <w:p w14:paraId="2B624A3A" w14:textId="60BBCBBE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14:paraId="74C65275" w14:textId="77777777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noWrap/>
          </w:tcPr>
          <w:p w14:paraId="775645F7" w14:textId="6D408F06" w:rsidR="002A1E08" w:rsidRPr="009C769D" w:rsidRDefault="00D0755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Vote; Late Arrival</w:t>
            </w:r>
            <w:r w:rsidRPr="009C769D">
              <w:rPr>
                <w:sz w:val="20"/>
                <w:szCs w:val="20"/>
              </w:rPr>
              <w:t> </w:t>
            </w:r>
          </w:p>
        </w:tc>
      </w:tr>
      <w:tr w:rsidR="002A1E08" w:rsidRPr="009C769D" w14:paraId="3DBCBA53" w14:textId="77777777" w:rsidTr="00F815CE">
        <w:trPr>
          <w:trHeight w:val="290"/>
        </w:trPr>
        <w:tc>
          <w:tcPr>
            <w:tcW w:w="2600" w:type="dxa"/>
            <w:hideMark/>
          </w:tcPr>
          <w:p w14:paraId="46F6AC85" w14:textId="591A7B42" w:rsidR="002A1E08" w:rsidRPr="009C769D" w:rsidRDefault="000115A1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Lenz</w:t>
            </w:r>
          </w:p>
        </w:tc>
        <w:tc>
          <w:tcPr>
            <w:tcW w:w="960" w:type="dxa"/>
            <w:noWrap/>
            <w:hideMark/>
          </w:tcPr>
          <w:p w14:paraId="0045486E" w14:textId="67F76C10" w:rsidR="002A1E08" w:rsidRPr="009C769D" w:rsidRDefault="002A1E08" w:rsidP="00F815C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CF85CD4" w14:textId="77777777" w:rsidR="002A1E08" w:rsidRPr="009C769D" w:rsidRDefault="002A1E08" w:rsidP="00F815CE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5F0E2C0C" w14:textId="3752BFF7" w:rsidR="002A1E08" w:rsidRPr="009C769D" w:rsidRDefault="000115A1" w:rsidP="00F81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Vote; Late Arrival</w:t>
            </w:r>
          </w:p>
        </w:tc>
      </w:tr>
    </w:tbl>
    <w:p w14:paraId="0C44E68F" w14:textId="77777777" w:rsidR="002A1E08" w:rsidRDefault="002A1E08" w:rsidP="002A1E08">
      <w:pPr>
        <w:spacing w:after="0" w:line="240" w:lineRule="auto"/>
        <w:rPr>
          <w:sz w:val="20"/>
          <w:szCs w:val="20"/>
        </w:rPr>
      </w:pPr>
    </w:p>
    <w:p w14:paraId="679AC686" w14:textId="669E527E" w:rsidR="004A04CD" w:rsidRDefault="00DB401B" w:rsidP="009C76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Upon approval of the Minutes, </w:t>
      </w:r>
      <w:r w:rsidR="004709A0">
        <w:rPr>
          <w:sz w:val="20"/>
          <w:szCs w:val="20"/>
        </w:rPr>
        <w:t>Kevin</w:t>
      </w:r>
      <w:r w:rsidR="00525A00">
        <w:rPr>
          <w:sz w:val="20"/>
          <w:szCs w:val="20"/>
        </w:rPr>
        <w:t xml:space="preserve"> proceeded with </w:t>
      </w:r>
      <w:r w:rsidR="00D12859">
        <w:rPr>
          <w:sz w:val="20"/>
          <w:szCs w:val="20"/>
        </w:rPr>
        <w:t xml:space="preserve">the </w:t>
      </w:r>
      <w:r w:rsidR="0078564F">
        <w:rPr>
          <w:sz w:val="20"/>
          <w:szCs w:val="20"/>
        </w:rPr>
        <w:t>A</w:t>
      </w:r>
      <w:r w:rsidR="00D12859">
        <w:rPr>
          <w:sz w:val="20"/>
          <w:szCs w:val="20"/>
        </w:rPr>
        <w:t>genda.</w:t>
      </w:r>
    </w:p>
    <w:p w14:paraId="5BF8AD8F" w14:textId="77777777" w:rsidR="00D12859" w:rsidRDefault="00D12859" w:rsidP="009C769D">
      <w:pPr>
        <w:spacing w:after="0" w:line="240" w:lineRule="auto"/>
        <w:rPr>
          <w:sz w:val="20"/>
          <w:szCs w:val="20"/>
        </w:rPr>
      </w:pPr>
    </w:p>
    <w:p w14:paraId="714C5295" w14:textId="3CACE062" w:rsidR="00D12859" w:rsidRPr="00FA66CC" w:rsidRDefault="003339E6" w:rsidP="005876CB">
      <w:pPr>
        <w:pStyle w:val="Heading2"/>
        <w:numPr>
          <w:ilvl w:val="0"/>
          <w:numId w:val="36"/>
        </w:numPr>
      </w:pPr>
      <w:r>
        <w:t>Schedule of Future Meetings</w:t>
      </w:r>
    </w:p>
    <w:p w14:paraId="162D776D" w14:textId="77777777" w:rsidR="008256DF" w:rsidRDefault="008256DF" w:rsidP="008256DF">
      <w:pPr>
        <w:spacing w:after="0" w:line="240" w:lineRule="auto"/>
        <w:rPr>
          <w:sz w:val="20"/>
          <w:szCs w:val="20"/>
        </w:rPr>
      </w:pPr>
    </w:p>
    <w:p w14:paraId="5B06F6D0" w14:textId="0861737E" w:rsidR="00541447" w:rsidRDefault="004709A0" w:rsidP="008256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Kevin</w:t>
      </w:r>
      <w:r w:rsidR="00AE7F37">
        <w:rPr>
          <w:sz w:val="20"/>
          <w:szCs w:val="20"/>
        </w:rPr>
        <w:t xml:space="preserve"> </w:t>
      </w:r>
      <w:r w:rsidR="00026C3A">
        <w:rPr>
          <w:sz w:val="20"/>
          <w:szCs w:val="20"/>
        </w:rPr>
        <w:t xml:space="preserve">advised the </w:t>
      </w:r>
      <w:r w:rsidR="00CC07F9">
        <w:rPr>
          <w:sz w:val="20"/>
          <w:szCs w:val="20"/>
        </w:rPr>
        <w:t xml:space="preserve">group that future meetings are currently scheduled for </w:t>
      </w:r>
      <w:r w:rsidR="00D05E56">
        <w:rPr>
          <w:sz w:val="20"/>
          <w:szCs w:val="20"/>
        </w:rPr>
        <w:t>June </w:t>
      </w:r>
      <w:r w:rsidR="00CC07F9">
        <w:rPr>
          <w:sz w:val="20"/>
          <w:szCs w:val="20"/>
        </w:rPr>
        <w:t>1</w:t>
      </w:r>
      <w:r w:rsidR="00FA3C11">
        <w:rPr>
          <w:sz w:val="20"/>
          <w:szCs w:val="20"/>
        </w:rPr>
        <w:t>2</w:t>
      </w:r>
      <w:r w:rsidR="00D05E56">
        <w:rPr>
          <w:sz w:val="20"/>
          <w:szCs w:val="20"/>
        </w:rPr>
        <w:t xml:space="preserve">, </w:t>
      </w:r>
      <w:r w:rsidR="00CC07F9">
        <w:rPr>
          <w:sz w:val="20"/>
          <w:szCs w:val="20"/>
        </w:rPr>
        <w:t>2026</w:t>
      </w:r>
      <w:r w:rsidR="00FA3C11">
        <w:rPr>
          <w:sz w:val="20"/>
          <w:szCs w:val="20"/>
        </w:rPr>
        <w:t xml:space="preserve"> (</w:t>
      </w:r>
      <w:r w:rsidR="00FA3C11" w:rsidRPr="002B716D">
        <w:rPr>
          <w:i/>
          <w:iCs/>
          <w:sz w:val="20"/>
          <w:szCs w:val="20"/>
        </w:rPr>
        <w:t>sic</w:t>
      </w:r>
      <w:r w:rsidR="002B716D">
        <w:rPr>
          <w:sz w:val="20"/>
          <w:szCs w:val="20"/>
        </w:rPr>
        <w:t xml:space="preserve"> – correct date: June 11, 2026</w:t>
      </w:r>
      <w:r w:rsidR="00FA3C11">
        <w:rPr>
          <w:sz w:val="20"/>
          <w:szCs w:val="20"/>
        </w:rPr>
        <w:t>)</w:t>
      </w:r>
      <w:r w:rsidR="00D05E56">
        <w:rPr>
          <w:sz w:val="20"/>
          <w:szCs w:val="20"/>
        </w:rPr>
        <w:t>,</w:t>
      </w:r>
      <w:r w:rsidR="00492760">
        <w:rPr>
          <w:sz w:val="20"/>
          <w:szCs w:val="20"/>
        </w:rPr>
        <w:t xml:space="preserve"> </w:t>
      </w:r>
      <w:r w:rsidR="00D05E56">
        <w:rPr>
          <w:sz w:val="20"/>
          <w:szCs w:val="20"/>
        </w:rPr>
        <w:t xml:space="preserve">September </w:t>
      </w:r>
      <w:r w:rsidR="00492760">
        <w:rPr>
          <w:sz w:val="20"/>
          <w:szCs w:val="20"/>
        </w:rPr>
        <w:t>10</w:t>
      </w:r>
      <w:r w:rsidR="00D05E56">
        <w:rPr>
          <w:sz w:val="20"/>
          <w:szCs w:val="20"/>
        </w:rPr>
        <w:t xml:space="preserve">, </w:t>
      </w:r>
      <w:r w:rsidR="00492760">
        <w:rPr>
          <w:sz w:val="20"/>
          <w:szCs w:val="20"/>
        </w:rPr>
        <w:t>2026</w:t>
      </w:r>
      <w:r w:rsidR="009B776E">
        <w:rPr>
          <w:sz w:val="20"/>
          <w:szCs w:val="20"/>
        </w:rPr>
        <w:t>,</w:t>
      </w:r>
      <w:r w:rsidR="00492760">
        <w:rPr>
          <w:sz w:val="20"/>
          <w:szCs w:val="20"/>
        </w:rPr>
        <w:t xml:space="preserve"> </w:t>
      </w:r>
      <w:r w:rsidR="002B716D">
        <w:rPr>
          <w:sz w:val="20"/>
          <w:szCs w:val="20"/>
        </w:rPr>
        <w:t>and December 10</w:t>
      </w:r>
      <w:r w:rsidR="00587C61">
        <w:rPr>
          <w:sz w:val="20"/>
          <w:szCs w:val="20"/>
        </w:rPr>
        <w:t>, 2026. Kevin confirmed that:</w:t>
      </w:r>
      <w:r w:rsidR="00803DE8">
        <w:rPr>
          <w:sz w:val="20"/>
          <w:szCs w:val="20"/>
        </w:rPr>
        <w:t xml:space="preserve"> (i)</w:t>
      </w:r>
      <w:r w:rsidR="00587C61">
        <w:rPr>
          <w:sz w:val="20"/>
          <w:szCs w:val="20"/>
        </w:rPr>
        <w:t xml:space="preserve"> the start time </w:t>
      </w:r>
      <w:r w:rsidR="00803DE8">
        <w:rPr>
          <w:sz w:val="20"/>
          <w:szCs w:val="20"/>
        </w:rPr>
        <w:t xml:space="preserve">for all upcoming Commission meetings has been </w:t>
      </w:r>
      <w:r w:rsidR="00587C61">
        <w:rPr>
          <w:sz w:val="20"/>
          <w:szCs w:val="20"/>
        </w:rPr>
        <w:t>changed from 10:00 AM to 9:00 AM</w:t>
      </w:r>
      <w:r w:rsidR="00AD047B">
        <w:rPr>
          <w:sz w:val="20"/>
          <w:szCs w:val="20"/>
        </w:rPr>
        <w:t xml:space="preserve">, as previously agreed upon by </w:t>
      </w:r>
      <w:r w:rsidR="001D3123">
        <w:rPr>
          <w:sz w:val="20"/>
          <w:szCs w:val="20"/>
        </w:rPr>
        <w:t>Commission members</w:t>
      </w:r>
      <w:r w:rsidR="00803DE8">
        <w:rPr>
          <w:sz w:val="20"/>
          <w:szCs w:val="20"/>
        </w:rPr>
        <w:t xml:space="preserve">, and (ii) </w:t>
      </w:r>
      <w:r w:rsidR="00B77002">
        <w:rPr>
          <w:sz w:val="20"/>
          <w:szCs w:val="20"/>
        </w:rPr>
        <w:t xml:space="preserve">it is important that the </w:t>
      </w:r>
      <w:r w:rsidR="00492760">
        <w:rPr>
          <w:sz w:val="20"/>
          <w:szCs w:val="20"/>
        </w:rPr>
        <w:t xml:space="preserve">Commission </w:t>
      </w:r>
      <w:r w:rsidR="00F750E1">
        <w:rPr>
          <w:sz w:val="20"/>
          <w:szCs w:val="20"/>
        </w:rPr>
        <w:t xml:space="preserve">utilize the September 10, 2026 meeting to </w:t>
      </w:r>
      <w:r w:rsidR="004D1B9A">
        <w:rPr>
          <w:sz w:val="20"/>
          <w:szCs w:val="20"/>
        </w:rPr>
        <w:t xml:space="preserve">review </w:t>
      </w:r>
      <w:r w:rsidR="00F750E1">
        <w:rPr>
          <w:sz w:val="20"/>
          <w:szCs w:val="20"/>
        </w:rPr>
        <w:t xml:space="preserve">and vote on </w:t>
      </w:r>
      <w:r w:rsidR="00492760">
        <w:rPr>
          <w:sz w:val="20"/>
          <w:szCs w:val="20"/>
        </w:rPr>
        <w:t xml:space="preserve">the </w:t>
      </w:r>
      <w:r w:rsidR="00EA451B">
        <w:rPr>
          <w:sz w:val="20"/>
          <w:szCs w:val="20"/>
        </w:rPr>
        <w:t xml:space="preserve">final </w:t>
      </w:r>
      <w:r w:rsidR="00492760">
        <w:rPr>
          <w:sz w:val="20"/>
          <w:szCs w:val="20"/>
        </w:rPr>
        <w:t xml:space="preserve">report </w:t>
      </w:r>
      <w:r w:rsidR="00EA451B">
        <w:rPr>
          <w:sz w:val="20"/>
          <w:szCs w:val="20"/>
        </w:rPr>
        <w:t xml:space="preserve">of the Commission, which is </w:t>
      </w:r>
      <w:r w:rsidR="00F23B5B">
        <w:rPr>
          <w:sz w:val="20"/>
          <w:szCs w:val="20"/>
        </w:rPr>
        <w:t xml:space="preserve">due </w:t>
      </w:r>
      <w:r w:rsidR="00EA451B">
        <w:rPr>
          <w:sz w:val="20"/>
          <w:szCs w:val="20"/>
        </w:rPr>
        <w:t xml:space="preserve">under the law on </w:t>
      </w:r>
      <w:r w:rsidR="004A39B6">
        <w:rPr>
          <w:sz w:val="20"/>
          <w:szCs w:val="20"/>
        </w:rPr>
        <w:t xml:space="preserve">October </w:t>
      </w:r>
      <w:r w:rsidR="00F23B5B">
        <w:rPr>
          <w:sz w:val="20"/>
          <w:szCs w:val="20"/>
        </w:rPr>
        <w:t>1</w:t>
      </w:r>
      <w:r w:rsidR="004A39B6">
        <w:rPr>
          <w:sz w:val="20"/>
          <w:szCs w:val="20"/>
        </w:rPr>
        <w:t xml:space="preserve">, </w:t>
      </w:r>
      <w:r w:rsidR="00F23B5B">
        <w:rPr>
          <w:sz w:val="20"/>
          <w:szCs w:val="20"/>
        </w:rPr>
        <w:t xml:space="preserve">2026. </w:t>
      </w:r>
      <w:r w:rsidR="00B25EFD">
        <w:rPr>
          <w:sz w:val="20"/>
          <w:szCs w:val="20"/>
        </w:rPr>
        <w:t xml:space="preserve">Kevin added that Commission members could advise whether they believe a summer meeting is necessary. </w:t>
      </w:r>
      <w:r w:rsidR="00420018">
        <w:rPr>
          <w:sz w:val="20"/>
          <w:szCs w:val="20"/>
        </w:rPr>
        <w:t xml:space="preserve">Kevin </w:t>
      </w:r>
      <w:r w:rsidR="00CF515D">
        <w:rPr>
          <w:sz w:val="20"/>
          <w:szCs w:val="20"/>
        </w:rPr>
        <w:t xml:space="preserve">indicated that the current meeting will be </w:t>
      </w:r>
      <w:r w:rsidR="009D5715">
        <w:rPr>
          <w:sz w:val="20"/>
          <w:szCs w:val="20"/>
        </w:rPr>
        <w:t xml:space="preserve">used to provide members with a chance to react to the </w:t>
      </w:r>
      <w:r w:rsidR="00E43260">
        <w:rPr>
          <w:sz w:val="20"/>
          <w:szCs w:val="20"/>
        </w:rPr>
        <w:t xml:space="preserve">materials </w:t>
      </w:r>
      <w:r w:rsidR="009D5715">
        <w:rPr>
          <w:sz w:val="20"/>
          <w:szCs w:val="20"/>
        </w:rPr>
        <w:t xml:space="preserve">distributed </w:t>
      </w:r>
      <w:r w:rsidR="00E43260">
        <w:rPr>
          <w:sz w:val="20"/>
          <w:szCs w:val="20"/>
        </w:rPr>
        <w:t>with the meeting notice, as outlined on the Agenda</w:t>
      </w:r>
      <w:r w:rsidR="0073536F">
        <w:rPr>
          <w:sz w:val="20"/>
          <w:szCs w:val="20"/>
        </w:rPr>
        <w:t>.</w:t>
      </w:r>
    </w:p>
    <w:p w14:paraId="49E1BBE4" w14:textId="77777777" w:rsidR="00DC2190" w:rsidRDefault="00DC2190" w:rsidP="00DC2190">
      <w:pPr>
        <w:spacing w:after="0" w:line="240" w:lineRule="auto"/>
        <w:rPr>
          <w:sz w:val="20"/>
          <w:szCs w:val="20"/>
        </w:rPr>
      </w:pPr>
    </w:p>
    <w:p w14:paraId="7FE326B4" w14:textId="6D8DD150" w:rsidR="00DB4691" w:rsidRPr="00DB4691" w:rsidRDefault="00DB4691" w:rsidP="005876CB">
      <w:pPr>
        <w:pStyle w:val="Heading2"/>
        <w:numPr>
          <w:ilvl w:val="0"/>
          <w:numId w:val="36"/>
        </w:numPr>
      </w:pPr>
      <w:r w:rsidRPr="00DB4691">
        <w:t>Review Draft – Exception Requests for Prescription Drugs</w:t>
      </w:r>
    </w:p>
    <w:p w14:paraId="685B676C" w14:textId="77777777" w:rsidR="00DB4691" w:rsidRDefault="00DB4691" w:rsidP="00DB4691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098F99C2" w14:textId="71B69A3C" w:rsidR="00DB4691" w:rsidRDefault="007C7C04" w:rsidP="00FB2555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076503">
        <w:rPr>
          <w:sz w:val="20"/>
          <w:szCs w:val="20"/>
        </w:rPr>
        <w:t xml:space="preserve">presented the </w:t>
      </w:r>
      <w:r w:rsidR="00D93482">
        <w:rPr>
          <w:sz w:val="20"/>
          <w:szCs w:val="20"/>
        </w:rPr>
        <w:t>2025 R</w:t>
      </w:r>
      <w:r>
        <w:rPr>
          <w:sz w:val="20"/>
          <w:szCs w:val="20"/>
        </w:rPr>
        <w:t xml:space="preserve">eport of Exception Requests for Prescription Drugs </w:t>
      </w:r>
      <w:r w:rsidR="001758DE">
        <w:rPr>
          <w:sz w:val="20"/>
          <w:szCs w:val="20"/>
        </w:rPr>
        <w:t xml:space="preserve">(2025 Report) </w:t>
      </w:r>
      <w:r>
        <w:rPr>
          <w:sz w:val="20"/>
          <w:szCs w:val="20"/>
        </w:rPr>
        <w:t xml:space="preserve">for </w:t>
      </w:r>
      <w:r w:rsidR="00963AA1">
        <w:rPr>
          <w:sz w:val="20"/>
          <w:szCs w:val="20"/>
        </w:rPr>
        <w:t>comment from the members</w:t>
      </w:r>
      <w:r w:rsidR="00E84C47">
        <w:rPr>
          <w:sz w:val="20"/>
          <w:szCs w:val="20"/>
        </w:rPr>
        <w:t>:</w:t>
      </w:r>
    </w:p>
    <w:p w14:paraId="73D0F393" w14:textId="622FFC24" w:rsidR="00664F4F" w:rsidRDefault="001F4492" w:rsidP="00E84C47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Nancy </w:t>
      </w:r>
      <w:r w:rsidR="00BB586B">
        <w:rPr>
          <w:sz w:val="20"/>
          <w:szCs w:val="20"/>
        </w:rPr>
        <w:t xml:space="preserve">indicated that, as </w:t>
      </w:r>
      <w:r w:rsidR="001F559C">
        <w:rPr>
          <w:sz w:val="20"/>
          <w:szCs w:val="20"/>
        </w:rPr>
        <w:t xml:space="preserve">she </w:t>
      </w:r>
      <w:r w:rsidR="00BB586B">
        <w:rPr>
          <w:sz w:val="20"/>
          <w:szCs w:val="20"/>
        </w:rPr>
        <w:t>previously</w:t>
      </w:r>
      <w:r w:rsidR="001F559C" w:rsidRPr="001F559C">
        <w:rPr>
          <w:sz w:val="20"/>
          <w:szCs w:val="20"/>
        </w:rPr>
        <w:t xml:space="preserve"> </w:t>
      </w:r>
      <w:r w:rsidR="001F559C">
        <w:rPr>
          <w:sz w:val="20"/>
          <w:szCs w:val="20"/>
        </w:rPr>
        <w:t>stated</w:t>
      </w:r>
      <w:r w:rsidR="00BB586B">
        <w:rPr>
          <w:sz w:val="20"/>
          <w:szCs w:val="20"/>
        </w:rPr>
        <w:t xml:space="preserve">, </w:t>
      </w:r>
      <w:r w:rsidR="00266014">
        <w:rPr>
          <w:sz w:val="20"/>
          <w:szCs w:val="20"/>
        </w:rPr>
        <w:t xml:space="preserve">the </w:t>
      </w:r>
      <w:r w:rsidR="00BB586B">
        <w:rPr>
          <w:sz w:val="20"/>
          <w:szCs w:val="20"/>
        </w:rPr>
        <w:t xml:space="preserve">external reviews </w:t>
      </w:r>
      <w:r w:rsidR="00266014">
        <w:rPr>
          <w:sz w:val="20"/>
          <w:szCs w:val="20"/>
        </w:rPr>
        <w:t xml:space="preserve">reported by plans </w:t>
      </w:r>
      <w:r w:rsidR="00003DF1">
        <w:rPr>
          <w:sz w:val="20"/>
          <w:szCs w:val="20"/>
        </w:rPr>
        <w:t xml:space="preserve">in this report do </w:t>
      </w:r>
      <w:r w:rsidR="00BB586B">
        <w:rPr>
          <w:sz w:val="20"/>
          <w:szCs w:val="20"/>
        </w:rPr>
        <w:t xml:space="preserve">not necessarily line up with </w:t>
      </w:r>
      <w:r w:rsidR="00A84816">
        <w:rPr>
          <w:sz w:val="20"/>
          <w:szCs w:val="20"/>
        </w:rPr>
        <w:t xml:space="preserve">the external reviews tracked by </w:t>
      </w:r>
      <w:r w:rsidR="007B63F5">
        <w:rPr>
          <w:sz w:val="20"/>
          <w:szCs w:val="20"/>
        </w:rPr>
        <w:t>the Office of Patient Protection (</w:t>
      </w:r>
      <w:r w:rsidR="00A84816">
        <w:rPr>
          <w:sz w:val="20"/>
          <w:szCs w:val="20"/>
        </w:rPr>
        <w:t>OP</w:t>
      </w:r>
      <w:r w:rsidR="007B63F5">
        <w:rPr>
          <w:sz w:val="20"/>
          <w:szCs w:val="20"/>
        </w:rPr>
        <w:t>P)</w:t>
      </w:r>
      <w:r w:rsidR="00B77195">
        <w:rPr>
          <w:sz w:val="20"/>
          <w:szCs w:val="20"/>
        </w:rPr>
        <w:t xml:space="preserve">, possibly due to plans’ not reporting </w:t>
      </w:r>
      <w:r w:rsidR="00C02FD1">
        <w:rPr>
          <w:sz w:val="20"/>
          <w:szCs w:val="20"/>
        </w:rPr>
        <w:t>certain appeals as step therapy appeals.</w:t>
      </w:r>
    </w:p>
    <w:p w14:paraId="7B24E99A" w14:textId="2554B3C8" w:rsidR="002F0305" w:rsidRDefault="002F0305" w:rsidP="00E84C47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added that the </w:t>
      </w:r>
      <w:r w:rsidR="001758DE">
        <w:rPr>
          <w:sz w:val="20"/>
          <w:szCs w:val="20"/>
        </w:rPr>
        <w:t xml:space="preserve">2025 Report </w:t>
      </w:r>
      <w:r>
        <w:rPr>
          <w:sz w:val="20"/>
          <w:szCs w:val="20"/>
        </w:rPr>
        <w:t xml:space="preserve">contains unaudited data for 2024, as reported by the companies, and the next report is due May 1, </w:t>
      </w:r>
      <w:r w:rsidR="00076503">
        <w:rPr>
          <w:sz w:val="20"/>
          <w:szCs w:val="20"/>
        </w:rPr>
        <w:t>2026,</w:t>
      </w:r>
      <w:r>
        <w:rPr>
          <w:sz w:val="20"/>
          <w:szCs w:val="20"/>
        </w:rPr>
        <w:t xml:space="preserve"> for the 2025 reporting year</w:t>
      </w:r>
      <w:r w:rsidR="00420C16">
        <w:rPr>
          <w:sz w:val="20"/>
          <w:szCs w:val="20"/>
        </w:rPr>
        <w:t>.</w:t>
      </w:r>
      <w:r w:rsidR="00581F04">
        <w:rPr>
          <w:sz w:val="20"/>
          <w:szCs w:val="20"/>
        </w:rPr>
        <w:t xml:space="preserve"> </w:t>
      </w:r>
      <w:r w:rsidR="00420C16">
        <w:rPr>
          <w:sz w:val="20"/>
          <w:szCs w:val="20"/>
        </w:rPr>
        <w:t xml:space="preserve">Kevin noted that there are </w:t>
      </w:r>
      <w:r w:rsidR="00771359">
        <w:rPr>
          <w:sz w:val="20"/>
          <w:szCs w:val="20"/>
        </w:rPr>
        <w:t xml:space="preserve">variations </w:t>
      </w:r>
      <w:r w:rsidR="00420C16">
        <w:rPr>
          <w:sz w:val="20"/>
          <w:szCs w:val="20"/>
        </w:rPr>
        <w:t xml:space="preserve">in the data reported by carriers, e.g., a </w:t>
      </w:r>
      <w:r w:rsidR="00E47AE3">
        <w:rPr>
          <w:sz w:val="20"/>
          <w:szCs w:val="20"/>
        </w:rPr>
        <w:t>higher number of exceptions reported by MGBHP compared to other carriers</w:t>
      </w:r>
      <w:r w:rsidR="006C0037">
        <w:rPr>
          <w:sz w:val="20"/>
          <w:szCs w:val="20"/>
        </w:rPr>
        <w:t>,</w:t>
      </w:r>
      <w:r w:rsidR="00E47AE3">
        <w:rPr>
          <w:sz w:val="20"/>
          <w:szCs w:val="20"/>
        </w:rPr>
        <w:t xml:space="preserve"> and </w:t>
      </w:r>
      <w:r w:rsidR="006C0037">
        <w:rPr>
          <w:sz w:val="20"/>
          <w:szCs w:val="20"/>
        </w:rPr>
        <w:t xml:space="preserve">he </w:t>
      </w:r>
      <w:r w:rsidR="00F56DF8">
        <w:rPr>
          <w:sz w:val="20"/>
          <w:szCs w:val="20"/>
        </w:rPr>
        <w:t xml:space="preserve">solicited comments from members to help the Division to </w:t>
      </w:r>
      <w:r w:rsidR="0025644B">
        <w:rPr>
          <w:sz w:val="20"/>
          <w:szCs w:val="20"/>
        </w:rPr>
        <w:t xml:space="preserve">craft refined guidance to carriers within the next month to enhance the usefulness of </w:t>
      </w:r>
      <w:r w:rsidR="003038E9">
        <w:rPr>
          <w:sz w:val="20"/>
          <w:szCs w:val="20"/>
        </w:rPr>
        <w:t xml:space="preserve">this </w:t>
      </w:r>
      <w:r w:rsidR="0025644B">
        <w:rPr>
          <w:sz w:val="20"/>
          <w:szCs w:val="20"/>
        </w:rPr>
        <w:t>report.</w:t>
      </w:r>
    </w:p>
    <w:p w14:paraId="20436BA3" w14:textId="32459F2E" w:rsidR="00FB15E7" w:rsidRDefault="00FB15E7" w:rsidP="00E84C47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Sarah stated that she would take the 2025 Report back to </w:t>
      </w:r>
      <w:r w:rsidR="00B612AA">
        <w:rPr>
          <w:sz w:val="20"/>
          <w:szCs w:val="20"/>
        </w:rPr>
        <w:t xml:space="preserve">carriers for further discussion </w:t>
      </w:r>
      <w:r w:rsidR="00EC0E79">
        <w:rPr>
          <w:sz w:val="20"/>
          <w:szCs w:val="20"/>
        </w:rPr>
        <w:t xml:space="preserve">through MAHP </w:t>
      </w:r>
      <w:r w:rsidR="00B612AA">
        <w:rPr>
          <w:sz w:val="20"/>
          <w:szCs w:val="20"/>
        </w:rPr>
        <w:t>and determine what questions they might have regarding the reporting requirements</w:t>
      </w:r>
      <w:r w:rsidR="006450BB">
        <w:rPr>
          <w:sz w:val="20"/>
          <w:szCs w:val="20"/>
        </w:rPr>
        <w:t>. Sarah also noted that Fallon’s data is not reflected in the 2025 Report.</w:t>
      </w:r>
    </w:p>
    <w:p w14:paraId="05C9A8DC" w14:textId="523F2DF5" w:rsidR="006450BB" w:rsidRDefault="006450BB" w:rsidP="006450BB">
      <w:pPr>
        <w:pStyle w:val="ListParagraph"/>
        <w:numPr>
          <w:ilvl w:val="1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Shannon </w:t>
      </w:r>
      <w:r w:rsidR="00764496">
        <w:rPr>
          <w:sz w:val="20"/>
          <w:szCs w:val="20"/>
        </w:rPr>
        <w:t xml:space="preserve">responded </w:t>
      </w:r>
      <w:r w:rsidR="005F2E73">
        <w:rPr>
          <w:sz w:val="20"/>
          <w:szCs w:val="20"/>
        </w:rPr>
        <w:t xml:space="preserve">that she </w:t>
      </w:r>
      <w:r w:rsidR="00BC290E">
        <w:rPr>
          <w:sz w:val="20"/>
          <w:szCs w:val="20"/>
        </w:rPr>
        <w:t>would</w:t>
      </w:r>
      <w:r w:rsidR="005F2E73">
        <w:rPr>
          <w:sz w:val="20"/>
          <w:szCs w:val="20"/>
        </w:rPr>
        <w:t xml:space="preserve"> check to see if Fallon submitted data and, if so, </w:t>
      </w:r>
      <w:r w:rsidR="00267177">
        <w:rPr>
          <w:sz w:val="20"/>
          <w:szCs w:val="20"/>
        </w:rPr>
        <w:t xml:space="preserve">she </w:t>
      </w:r>
      <w:r w:rsidR="00EC0E79">
        <w:rPr>
          <w:sz w:val="20"/>
          <w:szCs w:val="20"/>
        </w:rPr>
        <w:t>would</w:t>
      </w:r>
      <w:r w:rsidR="00267177">
        <w:rPr>
          <w:sz w:val="20"/>
          <w:szCs w:val="20"/>
        </w:rPr>
        <w:t xml:space="preserve"> amend the 2025 Report accordingly.</w:t>
      </w:r>
    </w:p>
    <w:p w14:paraId="7C5F91AF" w14:textId="00B6C70B" w:rsidR="00267177" w:rsidRDefault="00267177" w:rsidP="00267177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Eileen </w:t>
      </w:r>
      <w:r w:rsidR="00711277">
        <w:rPr>
          <w:sz w:val="20"/>
          <w:szCs w:val="20"/>
        </w:rPr>
        <w:t xml:space="preserve">indicated that the variations in carrier data are startling and asked whether we </w:t>
      </w:r>
      <w:r w:rsidR="00BC290E">
        <w:rPr>
          <w:sz w:val="20"/>
          <w:szCs w:val="20"/>
        </w:rPr>
        <w:t>can</w:t>
      </w:r>
      <w:r w:rsidR="00711277">
        <w:rPr>
          <w:sz w:val="20"/>
          <w:szCs w:val="20"/>
        </w:rPr>
        <w:t xml:space="preserve"> supply carriers with </w:t>
      </w:r>
      <w:r w:rsidR="00FA3370">
        <w:rPr>
          <w:sz w:val="20"/>
          <w:szCs w:val="20"/>
        </w:rPr>
        <w:t>a more uniform spreadsheet to ensure more consistent results</w:t>
      </w:r>
      <w:r w:rsidR="00BC290E">
        <w:rPr>
          <w:sz w:val="20"/>
          <w:szCs w:val="20"/>
        </w:rPr>
        <w:t>.</w:t>
      </w:r>
    </w:p>
    <w:p w14:paraId="06B6ED23" w14:textId="56090D9C" w:rsidR="00BC290E" w:rsidRDefault="00BC290E" w:rsidP="00803D3F">
      <w:pPr>
        <w:pStyle w:val="ListParagraph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9963EA">
        <w:rPr>
          <w:sz w:val="20"/>
          <w:szCs w:val="20"/>
        </w:rPr>
        <w:t xml:space="preserve">responded </w:t>
      </w:r>
      <w:r>
        <w:rPr>
          <w:sz w:val="20"/>
          <w:szCs w:val="20"/>
        </w:rPr>
        <w:t xml:space="preserve">that </w:t>
      </w:r>
      <w:r w:rsidR="00764496">
        <w:rPr>
          <w:sz w:val="20"/>
          <w:szCs w:val="20"/>
        </w:rPr>
        <w:t xml:space="preserve">the Division did </w:t>
      </w:r>
      <w:r w:rsidR="00E05BF0">
        <w:rPr>
          <w:sz w:val="20"/>
          <w:szCs w:val="20"/>
        </w:rPr>
        <w:t>provide all carriers with the same spreadsheet to complete, along with guidance for completing the report</w:t>
      </w:r>
      <w:r w:rsidR="00773AC8">
        <w:rPr>
          <w:sz w:val="20"/>
          <w:szCs w:val="20"/>
        </w:rPr>
        <w:t>, but that the data might have been collected inconsistently</w:t>
      </w:r>
      <w:r w:rsidR="00566C2C">
        <w:rPr>
          <w:sz w:val="20"/>
          <w:szCs w:val="20"/>
        </w:rPr>
        <w:t xml:space="preserve">, e.g., </w:t>
      </w:r>
      <w:r w:rsidR="00446880">
        <w:rPr>
          <w:sz w:val="20"/>
          <w:szCs w:val="20"/>
        </w:rPr>
        <w:t>the distinction of reporting data by drug vs. provider type</w:t>
      </w:r>
      <w:r w:rsidR="00773AC8">
        <w:rPr>
          <w:sz w:val="20"/>
          <w:szCs w:val="20"/>
        </w:rPr>
        <w:t xml:space="preserve">. Kevin added </w:t>
      </w:r>
      <w:r w:rsidR="00A30DEC">
        <w:rPr>
          <w:sz w:val="20"/>
          <w:szCs w:val="20"/>
        </w:rPr>
        <w:t xml:space="preserve">for the group </w:t>
      </w:r>
      <w:r w:rsidR="00773AC8">
        <w:rPr>
          <w:sz w:val="20"/>
          <w:szCs w:val="20"/>
        </w:rPr>
        <w:t xml:space="preserve">that </w:t>
      </w:r>
      <w:r w:rsidR="002026A9">
        <w:rPr>
          <w:sz w:val="20"/>
          <w:szCs w:val="20"/>
        </w:rPr>
        <w:t>provid</w:t>
      </w:r>
      <w:r w:rsidR="00FD113F">
        <w:rPr>
          <w:sz w:val="20"/>
          <w:szCs w:val="20"/>
        </w:rPr>
        <w:t>ing</w:t>
      </w:r>
      <w:r w:rsidR="002026A9">
        <w:rPr>
          <w:sz w:val="20"/>
          <w:szCs w:val="20"/>
        </w:rPr>
        <w:t xml:space="preserve"> carriers </w:t>
      </w:r>
      <w:r w:rsidR="00FD113F">
        <w:rPr>
          <w:sz w:val="20"/>
          <w:szCs w:val="20"/>
        </w:rPr>
        <w:t xml:space="preserve">with clearer </w:t>
      </w:r>
      <w:r w:rsidR="00A83503">
        <w:rPr>
          <w:sz w:val="20"/>
          <w:szCs w:val="20"/>
        </w:rPr>
        <w:t xml:space="preserve">guidance </w:t>
      </w:r>
      <w:r w:rsidR="00D757E9">
        <w:rPr>
          <w:sz w:val="20"/>
          <w:szCs w:val="20"/>
        </w:rPr>
        <w:t xml:space="preserve">could </w:t>
      </w:r>
      <w:r w:rsidR="00566C2C">
        <w:rPr>
          <w:sz w:val="20"/>
          <w:szCs w:val="20"/>
        </w:rPr>
        <w:t>enhance data quality</w:t>
      </w:r>
      <w:r w:rsidR="003D722B">
        <w:rPr>
          <w:sz w:val="20"/>
          <w:szCs w:val="20"/>
        </w:rPr>
        <w:t xml:space="preserve"> in the next report</w:t>
      </w:r>
      <w:r w:rsidR="00566C2C">
        <w:rPr>
          <w:sz w:val="20"/>
          <w:szCs w:val="20"/>
        </w:rPr>
        <w:t>.</w:t>
      </w:r>
    </w:p>
    <w:p w14:paraId="0F295F95" w14:textId="77777777" w:rsidR="00FB2555" w:rsidRDefault="00FB2555" w:rsidP="00FB2555">
      <w:pPr>
        <w:spacing w:after="0" w:line="240" w:lineRule="auto"/>
        <w:rPr>
          <w:sz w:val="20"/>
          <w:szCs w:val="20"/>
        </w:rPr>
      </w:pPr>
    </w:p>
    <w:p w14:paraId="3E1853ED" w14:textId="77777777" w:rsidR="00045750" w:rsidRDefault="00045750" w:rsidP="00045750">
      <w:pPr>
        <w:spacing w:after="0" w:line="240" w:lineRule="auto"/>
        <w:rPr>
          <w:sz w:val="20"/>
          <w:szCs w:val="20"/>
        </w:rPr>
      </w:pPr>
    </w:p>
    <w:p w14:paraId="578CC89E" w14:textId="77777777" w:rsidR="00DB4691" w:rsidRPr="00DB4691" w:rsidRDefault="00DB4691" w:rsidP="00DB4691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12701BCD" w14:textId="3152D0C2" w:rsidR="008A2606" w:rsidRPr="0050069D" w:rsidRDefault="00953DB7" w:rsidP="005876CB">
      <w:pPr>
        <w:pStyle w:val="Heading2"/>
        <w:numPr>
          <w:ilvl w:val="0"/>
          <w:numId w:val="36"/>
        </w:numPr>
      </w:pPr>
      <w:r>
        <w:t>Continuity of Coverage Plans</w:t>
      </w:r>
    </w:p>
    <w:p w14:paraId="070769E9" w14:textId="003B01C4" w:rsidR="00E324DE" w:rsidRDefault="004709A0" w:rsidP="00584318">
      <w:pPr>
        <w:spacing w:after="0" w:line="240" w:lineRule="auto"/>
        <w:rPr>
          <w:sz w:val="20"/>
          <w:szCs w:val="20"/>
        </w:rPr>
      </w:pPr>
      <w:r w:rsidRPr="00584318">
        <w:rPr>
          <w:sz w:val="20"/>
          <w:szCs w:val="20"/>
        </w:rPr>
        <w:t>Kevin</w:t>
      </w:r>
      <w:r w:rsidR="00A21E48" w:rsidRPr="00584318">
        <w:rPr>
          <w:sz w:val="20"/>
          <w:szCs w:val="20"/>
        </w:rPr>
        <w:t xml:space="preserve"> </w:t>
      </w:r>
      <w:r w:rsidR="00A04D56" w:rsidRPr="00584318">
        <w:rPr>
          <w:sz w:val="20"/>
          <w:szCs w:val="20"/>
        </w:rPr>
        <w:t xml:space="preserve">presented </w:t>
      </w:r>
      <w:r w:rsidR="0009547B">
        <w:rPr>
          <w:sz w:val="20"/>
          <w:szCs w:val="20"/>
        </w:rPr>
        <w:t xml:space="preserve">the </w:t>
      </w:r>
      <w:r w:rsidR="00FE6163" w:rsidRPr="00584318">
        <w:rPr>
          <w:sz w:val="20"/>
          <w:szCs w:val="20"/>
        </w:rPr>
        <w:t xml:space="preserve">Continuity of Coverage </w:t>
      </w:r>
      <w:r w:rsidR="00AF053F">
        <w:rPr>
          <w:sz w:val="20"/>
          <w:szCs w:val="20"/>
        </w:rPr>
        <w:t>P</w:t>
      </w:r>
      <w:r w:rsidR="00A41EB9">
        <w:rPr>
          <w:sz w:val="20"/>
          <w:szCs w:val="20"/>
        </w:rPr>
        <w:t>lan</w:t>
      </w:r>
      <w:r w:rsidR="0009547B">
        <w:rPr>
          <w:sz w:val="20"/>
          <w:szCs w:val="20"/>
        </w:rPr>
        <w:t>s</w:t>
      </w:r>
      <w:r w:rsidR="00FE6163" w:rsidRPr="00584318">
        <w:rPr>
          <w:sz w:val="20"/>
          <w:szCs w:val="20"/>
        </w:rPr>
        <w:t xml:space="preserve"> </w:t>
      </w:r>
      <w:r w:rsidR="00AF053F">
        <w:rPr>
          <w:sz w:val="20"/>
          <w:szCs w:val="20"/>
        </w:rPr>
        <w:t xml:space="preserve">(“Plans”) </w:t>
      </w:r>
      <w:r w:rsidR="00210D06">
        <w:rPr>
          <w:sz w:val="20"/>
          <w:szCs w:val="20"/>
        </w:rPr>
        <w:t xml:space="preserve">submitted by all carriers, </w:t>
      </w:r>
      <w:r w:rsidR="00C019D6">
        <w:rPr>
          <w:sz w:val="20"/>
          <w:szCs w:val="20"/>
        </w:rPr>
        <w:t xml:space="preserve">allowing </w:t>
      </w:r>
      <w:r w:rsidR="00946751">
        <w:rPr>
          <w:sz w:val="20"/>
          <w:szCs w:val="20"/>
        </w:rPr>
        <w:t xml:space="preserve">coverage </w:t>
      </w:r>
      <w:r w:rsidR="00C056A4">
        <w:rPr>
          <w:sz w:val="20"/>
          <w:szCs w:val="20"/>
        </w:rPr>
        <w:t xml:space="preserve">under a prior plan </w:t>
      </w:r>
      <w:r w:rsidR="00946751">
        <w:rPr>
          <w:sz w:val="20"/>
          <w:szCs w:val="20"/>
        </w:rPr>
        <w:t xml:space="preserve">to continue </w:t>
      </w:r>
      <w:r w:rsidR="002A2CC6">
        <w:rPr>
          <w:sz w:val="20"/>
          <w:szCs w:val="20"/>
        </w:rPr>
        <w:t xml:space="preserve">for 30 days after coverage ends. </w:t>
      </w:r>
      <w:r w:rsidR="00FE460E">
        <w:rPr>
          <w:sz w:val="20"/>
          <w:szCs w:val="20"/>
        </w:rPr>
        <w:t xml:space="preserve">Kevin added </w:t>
      </w:r>
      <w:r w:rsidR="00210D06">
        <w:rPr>
          <w:sz w:val="20"/>
          <w:szCs w:val="20"/>
        </w:rPr>
        <w:t>that this submission is also due May 1, 2026</w:t>
      </w:r>
      <w:r w:rsidR="004D35FA">
        <w:rPr>
          <w:sz w:val="20"/>
          <w:szCs w:val="20"/>
        </w:rPr>
        <w:t>,</w:t>
      </w:r>
      <w:r w:rsidR="00725B20">
        <w:rPr>
          <w:sz w:val="20"/>
          <w:szCs w:val="20"/>
        </w:rPr>
        <w:t xml:space="preserve"> and </w:t>
      </w:r>
      <w:r w:rsidR="00FE460E">
        <w:rPr>
          <w:sz w:val="20"/>
          <w:szCs w:val="20"/>
        </w:rPr>
        <w:t xml:space="preserve">that </w:t>
      </w:r>
      <w:r w:rsidR="007A6A8F">
        <w:rPr>
          <w:sz w:val="20"/>
          <w:szCs w:val="20"/>
        </w:rPr>
        <w:t xml:space="preserve">if there is a way to collect this </w:t>
      </w:r>
      <w:r w:rsidR="00B75DCC">
        <w:rPr>
          <w:sz w:val="20"/>
          <w:szCs w:val="20"/>
        </w:rPr>
        <w:t>information more consistently as well, members are welcome to offer comment.</w:t>
      </w:r>
      <w:r w:rsidR="00831FB9">
        <w:rPr>
          <w:sz w:val="20"/>
          <w:szCs w:val="20"/>
        </w:rPr>
        <w:t xml:space="preserve"> Kevin noted that the </w:t>
      </w:r>
      <w:r w:rsidR="00296157">
        <w:rPr>
          <w:sz w:val="20"/>
          <w:szCs w:val="20"/>
        </w:rPr>
        <w:t>P</w:t>
      </w:r>
      <w:r w:rsidR="00190179">
        <w:rPr>
          <w:sz w:val="20"/>
          <w:szCs w:val="20"/>
        </w:rPr>
        <w:t xml:space="preserve">lans </w:t>
      </w:r>
      <w:r w:rsidR="00831FB9">
        <w:rPr>
          <w:sz w:val="20"/>
          <w:szCs w:val="20"/>
        </w:rPr>
        <w:t xml:space="preserve">presented </w:t>
      </w:r>
      <w:r w:rsidR="00FF407F">
        <w:rPr>
          <w:sz w:val="20"/>
          <w:szCs w:val="20"/>
        </w:rPr>
        <w:t xml:space="preserve">generally </w:t>
      </w:r>
      <w:r w:rsidR="00831FB9">
        <w:rPr>
          <w:sz w:val="20"/>
          <w:szCs w:val="20"/>
        </w:rPr>
        <w:t xml:space="preserve">include </w:t>
      </w:r>
      <w:r w:rsidR="00C137AC">
        <w:rPr>
          <w:sz w:val="20"/>
          <w:szCs w:val="20"/>
        </w:rPr>
        <w:t xml:space="preserve">information regarding how the carrier does appropriate checks for safe </w:t>
      </w:r>
      <w:r w:rsidR="00AF7A99">
        <w:rPr>
          <w:sz w:val="20"/>
          <w:szCs w:val="20"/>
        </w:rPr>
        <w:t>c</w:t>
      </w:r>
      <w:r w:rsidR="00C137AC">
        <w:rPr>
          <w:sz w:val="20"/>
          <w:szCs w:val="20"/>
        </w:rPr>
        <w:t xml:space="preserve">ontinuation of </w:t>
      </w:r>
      <w:r w:rsidR="00AF7A99">
        <w:rPr>
          <w:sz w:val="20"/>
          <w:szCs w:val="20"/>
        </w:rPr>
        <w:t>coverage and the steps carriers take to ensure that coverage is continued as required.</w:t>
      </w:r>
    </w:p>
    <w:p w14:paraId="00B5CFDF" w14:textId="0E67EBEF" w:rsidR="00F40AB0" w:rsidRDefault="0011098E" w:rsidP="00E324DE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Caitlin asked whether exclusions apply and if that information is reflected in the plans appro</w:t>
      </w:r>
      <w:r w:rsidR="004D35FA">
        <w:rPr>
          <w:sz w:val="20"/>
          <w:szCs w:val="20"/>
        </w:rPr>
        <w:t>priately.</w:t>
      </w:r>
      <w:r w:rsidR="00894EB4" w:rsidRPr="00E324DE">
        <w:rPr>
          <w:sz w:val="20"/>
          <w:szCs w:val="20"/>
        </w:rPr>
        <w:t xml:space="preserve"> </w:t>
      </w:r>
    </w:p>
    <w:p w14:paraId="6288E89C" w14:textId="14EE4636" w:rsidR="00F40AB0" w:rsidRDefault="00F22404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EC306F">
        <w:rPr>
          <w:sz w:val="20"/>
          <w:szCs w:val="20"/>
        </w:rPr>
        <w:t>indicated that exclusions may apply and asked if</w:t>
      </w:r>
      <w:r w:rsidR="00C70516">
        <w:rPr>
          <w:sz w:val="20"/>
          <w:szCs w:val="20"/>
        </w:rPr>
        <w:t xml:space="preserve"> carriers should</w:t>
      </w:r>
      <w:r w:rsidR="007C6835">
        <w:rPr>
          <w:sz w:val="20"/>
          <w:szCs w:val="20"/>
        </w:rPr>
        <w:t>: (i)</w:t>
      </w:r>
      <w:r w:rsidR="00EC306F">
        <w:rPr>
          <w:sz w:val="20"/>
          <w:szCs w:val="20"/>
        </w:rPr>
        <w:t xml:space="preserve"> spell out </w:t>
      </w:r>
      <w:r w:rsidR="007C6835">
        <w:rPr>
          <w:sz w:val="20"/>
          <w:szCs w:val="20"/>
        </w:rPr>
        <w:t xml:space="preserve">Continuity </w:t>
      </w:r>
      <w:r w:rsidR="00EC306F">
        <w:rPr>
          <w:sz w:val="20"/>
          <w:szCs w:val="20"/>
        </w:rPr>
        <w:t xml:space="preserve">of </w:t>
      </w:r>
      <w:r w:rsidR="007C6835">
        <w:rPr>
          <w:sz w:val="20"/>
          <w:szCs w:val="20"/>
        </w:rPr>
        <w:t xml:space="preserve">Coverage </w:t>
      </w:r>
      <w:r w:rsidR="008225DE">
        <w:rPr>
          <w:sz w:val="20"/>
          <w:szCs w:val="20"/>
        </w:rPr>
        <w:t>in the P</w:t>
      </w:r>
      <w:r w:rsidR="00F15DAF">
        <w:rPr>
          <w:sz w:val="20"/>
          <w:szCs w:val="20"/>
        </w:rPr>
        <w:t xml:space="preserve">lans </w:t>
      </w:r>
      <w:r w:rsidR="007C6835">
        <w:rPr>
          <w:sz w:val="20"/>
          <w:szCs w:val="20"/>
        </w:rPr>
        <w:t>differently, (ii)</w:t>
      </w:r>
      <w:r w:rsidR="00F15DAF">
        <w:rPr>
          <w:sz w:val="20"/>
          <w:szCs w:val="20"/>
        </w:rPr>
        <w:t xml:space="preserve"> represent Continuity of Coverage </w:t>
      </w:r>
      <w:r w:rsidR="008225DE">
        <w:rPr>
          <w:sz w:val="20"/>
          <w:szCs w:val="20"/>
        </w:rPr>
        <w:t>in the P</w:t>
      </w:r>
      <w:r w:rsidR="00F15DAF">
        <w:rPr>
          <w:sz w:val="20"/>
          <w:szCs w:val="20"/>
        </w:rPr>
        <w:t xml:space="preserve">lans in a way that is more easily understood by treating providers, </w:t>
      </w:r>
      <w:r w:rsidR="00C70516">
        <w:rPr>
          <w:sz w:val="20"/>
          <w:szCs w:val="20"/>
        </w:rPr>
        <w:t xml:space="preserve">and (iii) </w:t>
      </w:r>
      <w:r w:rsidR="000A3CC2">
        <w:rPr>
          <w:sz w:val="20"/>
          <w:szCs w:val="20"/>
        </w:rPr>
        <w:t xml:space="preserve">post </w:t>
      </w:r>
      <w:r w:rsidR="002A5596">
        <w:rPr>
          <w:sz w:val="20"/>
          <w:szCs w:val="20"/>
        </w:rPr>
        <w:t>P</w:t>
      </w:r>
      <w:r w:rsidR="000A3CC2">
        <w:rPr>
          <w:sz w:val="20"/>
          <w:szCs w:val="20"/>
        </w:rPr>
        <w:t>lans on their websites in a clear</w:t>
      </w:r>
      <w:r w:rsidR="006C5EAD">
        <w:rPr>
          <w:sz w:val="20"/>
          <w:szCs w:val="20"/>
        </w:rPr>
        <w:t>er</w:t>
      </w:r>
      <w:r w:rsidR="000A3CC2">
        <w:rPr>
          <w:sz w:val="20"/>
          <w:szCs w:val="20"/>
        </w:rPr>
        <w:t xml:space="preserve"> format</w:t>
      </w:r>
      <w:r w:rsidR="00FB229A">
        <w:rPr>
          <w:sz w:val="20"/>
          <w:szCs w:val="20"/>
        </w:rPr>
        <w:t>.</w:t>
      </w:r>
    </w:p>
    <w:p w14:paraId="3E7EFEEC" w14:textId="73F73777" w:rsidR="00FB229A" w:rsidRDefault="00FB229A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Eileen asked whether the Commission could piece together</w:t>
      </w:r>
      <w:r w:rsidR="000A18D9">
        <w:rPr>
          <w:sz w:val="20"/>
          <w:szCs w:val="20"/>
        </w:rPr>
        <w:t xml:space="preserve"> best practices from these submissions.</w:t>
      </w:r>
    </w:p>
    <w:p w14:paraId="210056F4" w14:textId="50E4BE57" w:rsidR="000A18D9" w:rsidRDefault="003711FB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responded </w:t>
      </w:r>
      <w:r w:rsidR="00FB24A2">
        <w:rPr>
          <w:sz w:val="20"/>
          <w:szCs w:val="20"/>
        </w:rPr>
        <w:t xml:space="preserve">that it might be possible to determine best practices based on these submissions </w:t>
      </w:r>
      <w:r w:rsidR="0016541C">
        <w:rPr>
          <w:sz w:val="20"/>
          <w:szCs w:val="20"/>
        </w:rPr>
        <w:t xml:space="preserve">but added that not </w:t>
      </w:r>
      <w:r w:rsidR="00316D52">
        <w:rPr>
          <w:sz w:val="20"/>
          <w:szCs w:val="20"/>
        </w:rPr>
        <w:t>all</w:t>
      </w:r>
      <w:r w:rsidR="0016541C">
        <w:rPr>
          <w:sz w:val="20"/>
          <w:szCs w:val="20"/>
        </w:rPr>
        <w:t xml:space="preserve"> the </w:t>
      </w:r>
      <w:r w:rsidR="005D7EF3">
        <w:rPr>
          <w:sz w:val="20"/>
          <w:szCs w:val="20"/>
        </w:rPr>
        <w:t>P</w:t>
      </w:r>
      <w:r w:rsidR="0016541C">
        <w:rPr>
          <w:sz w:val="20"/>
          <w:szCs w:val="20"/>
        </w:rPr>
        <w:t xml:space="preserve">lans </w:t>
      </w:r>
      <w:r w:rsidR="00FE310B">
        <w:rPr>
          <w:sz w:val="20"/>
          <w:szCs w:val="20"/>
        </w:rPr>
        <w:t>provide clear procedures for providers to follow</w:t>
      </w:r>
      <w:r w:rsidR="00D14070">
        <w:rPr>
          <w:sz w:val="20"/>
          <w:szCs w:val="20"/>
        </w:rPr>
        <w:t xml:space="preserve"> when Continuity of Coverage </w:t>
      </w:r>
      <w:r w:rsidR="006E7354">
        <w:rPr>
          <w:sz w:val="20"/>
          <w:szCs w:val="20"/>
        </w:rPr>
        <w:t xml:space="preserve">is applicable. Kevin </w:t>
      </w:r>
      <w:r w:rsidR="00BB7FEF">
        <w:rPr>
          <w:sz w:val="20"/>
          <w:szCs w:val="20"/>
        </w:rPr>
        <w:t xml:space="preserve">suggested that the </w:t>
      </w:r>
      <w:r w:rsidR="005D7EF3">
        <w:rPr>
          <w:sz w:val="20"/>
          <w:szCs w:val="20"/>
        </w:rPr>
        <w:t>P</w:t>
      </w:r>
      <w:r w:rsidR="00BB7FEF">
        <w:rPr>
          <w:sz w:val="20"/>
          <w:szCs w:val="20"/>
        </w:rPr>
        <w:t xml:space="preserve">lans </w:t>
      </w:r>
      <w:r w:rsidR="00315756">
        <w:rPr>
          <w:sz w:val="20"/>
          <w:szCs w:val="20"/>
        </w:rPr>
        <w:t xml:space="preserve">may need to be more instructional and </w:t>
      </w:r>
      <w:r w:rsidR="006E7354">
        <w:rPr>
          <w:sz w:val="20"/>
          <w:szCs w:val="20"/>
        </w:rPr>
        <w:t>added that there is too much information in too many places</w:t>
      </w:r>
      <w:r w:rsidR="00011DB2">
        <w:rPr>
          <w:sz w:val="20"/>
          <w:szCs w:val="20"/>
        </w:rPr>
        <w:t>, which might be why some carriers hav</w:t>
      </w:r>
      <w:r w:rsidR="00316D52">
        <w:rPr>
          <w:sz w:val="20"/>
          <w:szCs w:val="20"/>
        </w:rPr>
        <w:t xml:space="preserve">e such low step therapy numbers. Kevin requested that </w:t>
      </w:r>
      <w:r w:rsidR="00D71AF6">
        <w:rPr>
          <w:sz w:val="20"/>
          <w:szCs w:val="20"/>
        </w:rPr>
        <w:t xml:space="preserve">members review </w:t>
      </w:r>
      <w:r w:rsidR="00BA7D6D">
        <w:rPr>
          <w:sz w:val="20"/>
          <w:szCs w:val="20"/>
        </w:rPr>
        <w:t>the P</w:t>
      </w:r>
      <w:r w:rsidR="00D71AF6">
        <w:rPr>
          <w:sz w:val="20"/>
          <w:szCs w:val="20"/>
        </w:rPr>
        <w:t xml:space="preserve">lans prior to the next meeting and come prepared with suggestions to help </w:t>
      </w:r>
      <w:r w:rsidR="0008646F">
        <w:rPr>
          <w:sz w:val="20"/>
          <w:szCs w:val="20"/>
        </w:rPr>
        <w:t xml:space="preserve">make them </w:t>
      </w:r>
      <w:r w:rsidR="00CB37DA">
        <w:rPr>
          <w:sz w:val="20"/>
          <w:szCs w:val="20"/>
        </w:rPr>
        <w:t xml:space="preserve">clearer and </w:t>
      </w:r>
      <w:r w:rsidR="0008646F">
        <w:rPr>
          <w:sz w:val="20"/>
          <w:szCs w:val="20"/>
        </w:rPr>
        <w:t>more uniform.</w:t>
      </w:r>
    </w:p>
    <w:p w14:paraId="28A59A6C" w14:textId="701F5735" w:rsidR="0008646F" w:rsidRDefault="00215C96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Sarah </w:t>
      </w:r>
      <w:r w:rsidR="00CB37DA">
        <w:rPr>
          <w:sz w:val="20"/>
          <w:szCs w:val="20"/>
        </w:rPr>
        <w:t>agre</w:t>
      </w:r>
      <w:r w:rsidR="00AA0D80">
        <w:rPr>
          <w:sz w:val="20"/>
          <w:szCs w:val="20"/>
        </w:rPr>
        <w:t xml:space="preserve">ed that the Commission has an opportunity to improve the </w:t>
      </w:r>
      <w:r w:rsidR="00BA7D6D">
        <w:rPr>
          <w:sz w:val="20"/>
          <w:szCs w:val="20"/>
        </w:rPr>
        <w:t>P</w:t>
      </w:r>
      <w:r w:rsidR="00AA0D80">
        <w:rPr>
          <w:sz w:val="20"/>
          <w:szCs w:val="20"/>
        </w:rPr>
        <w:t xml:space="preserve">lans and noted that </w:t>
      </w:r>
      <w:r w:rsidR="00077C3A">
        <w:rPr>
          <w:sz w:val="20"/>
          <w:szCs w:val="20"/>
        </w:rPr>
        <w:t>the current submission was prepared with a short turnaround time. Sarah also favors</w:t>
      </w:r>
      <w:r w:rsidR="00DD0440">
        <w:rPr>
          <w:sz w:val="20"/>
          <w:szCs w:val="20"/>
        </w:rPr>
        <w:t xml:space="preserve"> a more instructional format.</w:t>
      </w:r>
    </w:p>
    <w:p w14:paraId="04835A72" w14:textId="14FC954E" w:rsidR="00541C3E" w:rsidRDefault="00541C3E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Kimberly indicated that some carriers’ step therapy procedures build </w:t>
      </w:r>
      <w:r w:rsidR="009D10DA">
        <w:rPr>
          <w:sz w:val="20"/>
          <w:szCs w:val="20"/>
        </w:rPr>
        <w:t xml:space="preserve">certain exception criteria into the approval process, e.g., adverse reaction, </w:t>
      </w:r>
      <w:r w:rsidR="001F0B5C">
        <w:rPr>
          <w:sz w:val="20"/>
          <w:szCs w:val="20"/>
        </w:rPr>
        <w:t xml:space="preserve">which would increase </w:t>
      </w:r>
      <w:r w:rsidR="00F625A0">
        <w:rPr>
          <w:sz w:val="20"/>
          <w:szCs w:val="20"/>
        </w:rPr>
        <w:t xml:space="preserve">initial </w:t>
      </w:r>
      <w:r w:rsidR="001F0B5C">
        <w:rPr>
          <w:sz w:val="20"/>
          <w:szCs w:val="20"/>
        </w:rPr>
        <w:t>approvals</w:t>
      </w:r>
      <w:r w:rsidR="00F625A0">
        <w:rPr>
          <w:sz w:val="20"/>
          <w:szCs w:val="20"/>
        </w:rPr>
        <w:t>. As the requested drug is not denied</w:t>
      </w:r>
      <w:r w:rsidR="001F0B5C">
        <w:rPr>
          <w:sz w:val="20"/>
          <w:szCs w:val="20"/>
        </w:rPr>
        <w:t xml:space="preserve">, </w:t>
      </w:r>
      <w:r w:rsidR="00F625A0">
        <w:rPr>
          <w:sz w:val="20"/>
          <w:szCs w:val="20"/>
        </w:rPr>
        <w:t xml:space="preserve">a </w:t>
      </w:r>
      <w:r w:rsidR="001F0B5C">
        <w:rPr>
          <w:sz w:val="20"/>
          <w:szCs w:val="20"/>
        </w:rPr>
        <w:t>step therapy exception request</w:t>
      </w:r>
      <w:r w:rsidR="00F625A0">
        <w:rPr>
          <w:sz w:val="20"/>
          <w:szCs w:val="20"/>
        </w:rPr>
        <w:t xml:space="preserve"> </w:t>
      </w:r>
      <w:r w:rsidR="00984B71">
        <w:rPr>
          <w:sz w:val="20"/>
          <w:szCs w:val="20"/>
        </w:rPr>
        <w:t xml:space="preserve">is not submitted, lowering the number of </w:t>
      </w:r>
      <w:r w:rsidR="001F0B5C">
        <w:rPr>
          <w:sz w:val="20"/>
          <w:szCs w:val="20"/>
        </w:rPr>
        <w:t xml:space="preserve">reported </w:t>
      </w:r>
      <w:r w:rsidR="00984B71">
        <w:rPr>
          <w:sz w:val="20"/>
          <w:szCs w:val="20"/>
        </w:rPr>
        <w:t xml:space="preserve">step therapy </w:t>
      </w:r>
      <w:r w:rsidR="001F0B5C">
        <w:rPr>
          <w:sz w:val="20"/>
          <w:szCs w:val="20"/>
        </w:rPr>
        <w:t>incidents</w:t>
      </w:r>
      <w:r w:rsidR="00984B71">
        <w:rPr>
          <w:sz w:val="20"/>
          <w:szCs w:val="20"/>
        </w:rPr>
        <w:t>.</w:t>
      </w:r>
    </w:p>
    <w:p w14:paraId="546D6367" w14:textId="1DEA8AAE" w:rsidR="00A96EA1" w:rsidRDefault="00FE5214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Sarah concurred </w:t>
      </w:r>
      <w:r w:rsidR="008A6EA1">
        <w:rPr>
          <w:sz w:val="20"/>
          <w:szCs w:val="20"/>
        </w:rPr>
        <w:t xml:space="preserve">and added that if the exception criteria are built into the initial </w:t>
      </w:r>
      <w:r w:rsidR="006A5503">
        <w:rPr>
          <w:sz w:val="20"/>
          <w:szCs w:val="20"/>
        </w:rPr>
        <w:t>review</w:t>
      </w:r>
      <w:r w:rsidR="00A72820">
        <w:rPr>
          <w:sz w:val="20"/>
          <w:szCs w:val="20"/>
        </w:rPr>
        <w:t xml:space="preserve"> process</w:t>
      </w:r>
      <w:r w:rsidR="006A5503">
        <w:rPr>
          <w:sz w:val="20"/>
          <w:szCs w:val="20"/>
        </w:rPr>
        <w:t>, and the drug is approved, carriers are also not using the form developed for this process.</w:t>
      </w:r>
    </w:p>
    <w:p w14:paraId="4E3F4C3B" w14:textId="5E61EA49" w:rsidR="00886CE0" w:rsidRDefault="00886CE0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Marc indicated that it might be necessary to know </w:t>
      </w:r>
      <w:r w:rsidR="00896DAA">
        <w:rPr>
          <w:sz w:val="20"/>
          <w:szCs w:val="20"/>
        </w:rPr>
        <w:t>all members whose prescription drug [claims] were approved based on step therapy exception</w:t>
      </w:r>
      <w:r w:rsidR="00F03BB4">
        <w:rPr>
          <w:sz w:val="20"/>
          <w:szCs w:val="20"/>
        </w:rPr>
        <w:t xml:space="preserve"> to capture step therapy incidents that were not reported based on denial/</w:t>
      </w:r>
      <w:r w:rsidR="002A14ED">
        <w:rPr>
          <w:sz w:val="20"/>
          <w:szCs w:val="20"/>
        </w:rPr>
        <w:t xml:space="preserve">using submitted </w:t>
      </w:r>
      <w:r w:rsidR="00A72820">
        <w:rPr>
          <w:sz w:val="20"/>
          <w:szCs w:val="20"/>
        </w:rPr>
        <w:t xml:space="preserve">exception </w:t>
      </w:r>
      <w:r w:rsidR="002A14ED">
        <w:rPr>
          <w:sz w:val="20"/>
          <w:szCs w:val="20"/>
        </w:rPr>
        <w:t>form.</w:t>
      </w:r>
    </w:p>
    <w:p w14:paraId="66399924" w14:textId="52F294C1" w:rsidR="00B835BF" w:rsidRDefault="00B835BF" w:rsidP="00F40AB0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Kevin indicated that reporting should accurately reflect</w:t>
      </w:r>
      <w:r w:rsidR="00BD5732">
        <w:rPr>
          <w:sz w:val="20"/>
          <w:szCs w:val="20"/>
        </w:rPr>
        <w:t xml:space="preserve"> that the process outlined in the law is being followed. Kevin added that he would like to schedule a meeting </w:t>
      </w:r>
      <w:r w:rsidR="00114775">
        <w:rPr>
          <w:sz w:val="20"/>
          <w:szCs w:val="20"/>
        </w:rPr>
        <w:t>with Sarah’s carriers to discuss these procedures and to solicit comments</w:t>
      </w:r>
      <w:r w:rsidR="002907FE">
        <w:rPr>
          <w:sz w:val="20"/>
          <w:szCs w:val="20"/>
        </w:rPr>
        <w:t xml:space="preserve"> regarding the </w:t>
      </w:r>
      <w:r w:rsidR="00877D6A">
        <w:rPr>
          <w:sz w:val="20"/>
          <w:szCs w:val="20"/>
        </w:rPr>
        <w:t>P</w:t>
      </w:r>
      <w:r w:rsidR="002907FE">
        <w:rPr>
          <w:sz w:val="20"/>
          <w:szCs w:val="20"/>
        </w:rPr>
        <w:t xml:space="preserve">lans for the Commission’s June meeting. </w:t>
      </w:r>
    </w:p>
    <w:p w14:paraId="14A20AB6" w14:textId="77777777" w:rsidR="00D90526" w:rsidRDefault="00D90526" w:rsidP="00B114C6">
      <w:pPr>
        <w:spacing w:after="0" w:line="240" w:lineRule="auto"/>
        <w:rPr>
          <w:sz w:val="20"/>
          <w:szCs w:val="20"/>
        </w:rPr>
      </w:pPr>
    </w:p>
    <w:p w14:paraId="06988827" w14:textId="21B00FE5" w:rsidR="00B114C6" w:rsidRPr="00B114C6" w:rsidRDefault="00B114C6" w:rsidP="005876CB">
      <w:pPr>
        <w:pStyle w:val="Heading2"/>
        <w:numPr>
          <w:ilvl w:val="0"/>
          <w:numId w:val="36"/>
        </w:numPr>
      </w:pPr>
      <w:r w:rsidRPr="00B114C6">
        <w:t>Turnaround Times</w:t>
      </w:r>
    </w:p>
    <w:p w14:paraId="28B39967" w14:textId="77777777" w:rsidR="00B114C6" w:rsidRPr="00B114C6" w:rsidRDefault="00B114C6" w:rsidP="00B114C6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0CC9008E" w14:textId="72573442" w:rsidR="00E26F6A" w:rsidRDefault="00164766" w:rsidP="00E26F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167835">
        <w:rPr>
          <w:sz w:val="20"/>
          <w:szCs w:val="20"/>
        </w:rPr>
        <w:t xml:space="preserve">asked Cheryl if she </w:t>
      </w:r>
      <w:r w:rsidR="00DE02E7">
        <w:rPr>
          <w:sz w:val="20"/>
          <w:szCs w:val="20"/>
        </w:rPr>
        <w:t>i</w:t>
      </w:r>
      <w:r w:rsidR="00167835">
        <w:rPr>
          <w:sz w:val="20"/>
          <w:szCs w:val="20"/>
        </w:rPr>
        <w:t>s satisfied with the turnaround times de</w:t>
      </w:r>
      <w:r w:rsidR="00A1429F">
        <w:rPr>
          <w:sz w:val="20"/>
          <w:szCs w:val="20"/>
        </w:rPr>
        <w:t xml:space="preserve">tailed in the 2025 Report, as this was a concern she had raised in a previous Commission meeting. </w:t>
      </w:r>
      <w:r w:rsidR="004D12B6">
        <w:rPr>
          <w:sz w:val="20"/>
          <w:szCs w:val="20"/>
        </w:rPr>
        <w:t>Cheryl responded that she is satisfied with the turnaround times and added that a more instructional format would be helpful to both pharmacists and consumers</w:t>
      </w:r>
      <w:r w:rsidR="009E7005">
        <w:rPr>
          <w:sz w:val="20"/>
          <w:szCs w:val="20"/>
        </w:rPr>
        <w:t>.</w:t>
      </w:r>
    </w:p>
    <w:p w14:paraId="0E97C47A" w14:textId="77777777" w:rsidR="006C1400" w:rsidRDefault="006C1400" w:rsidP="00E26F6A">
      <w:pPr>
        <w:spacing w:after="0" w:line="240" w:lineRule="auto"/>
        <w:rPr>
          <w:sz w:val="20"/>
          <w:szCs w:val="20"/>
        </w:rPr>
      </w:pPr>
    </w:p>
    <w:p w14:paraId="69F56D85" w14:textId="70AADDCF" w:rsidR="0035129C" w:rsidRPr="0035129C" w:rsidRDefault="0035129C" w:rsidP="005876CB">
      <w:pPr>
        <w:pStyle w:val="Heading2"/>
        <w:numPr>
          <w:ilvl w:val="0"/>
          <w:numId w:val="36"/>
        </w:numPr>
      </w:pPr>
      <w:r w:rsidRPr="0035129C">
        <w:t>DOI Pharmacy Benefit Manager Regulation</w:t>
      </w:r>
    </w:p>
    <w:p w14:paraId="0A4CE7E8" w14:textId="77777777" w:rsidR="0035129C" w:rsidRDefault="0035129C" w:rsidP="00E26F6A">
      <w:pPr>
        <w:spacing w:after="0" w:line="240" w:lineRule="auto"/>
        <w:rPr>
          <w:sz w:val="20"/>
          <w:szCs w:val="20"/>
        </w:rPr>
      </w:pPr>
    </w:p>
    <w:p w14:paraId="01C1F309" w14:textId="47888469" w:rsidR="0035129C" w:rsidRDefault="00D26038" w:rsidP="00E26F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1277C4">
        <w:rPr>
          <w:sz w:val="20"/>
          <w:szCs w:val="20"/>
        </w:rPr>
        <w:t xml:space="preserve">updated the Commission on the status of </w:t>
      </w:r>
      <w:r w:rsidR="002F4B43">
        <w:rPr>
          <w:sz w:val="20"/>
          <w:szCs w:val="20"/>
        </w:rPr>
        <w:t xml:space="preserve">the </w:t>
      </w:r>
      <w:r w:rsidR="001277C4">
        <w:rPr>
          <w:sz w:val="20"/>
          <w:szCs w:val="20"/>
        </w:rPr>
        <w:t xml:space="preserve">Pharmacy Benefit Manager (PBM) Regulation. The </w:t>
      </w:r>
      <w:r w:rsidR="00823BCD">
        <w:rPr>
          <w:sz w:val="20"/>
          <w:szCs w:val="20"/>
        </w:rPr>
        <w:t xml:space="preserve">Division is issuing the </w:t>
      </w:r>
      <w:r w:rsidR="001277C4">
        <w:rPr>
          <w:sz w:val="20"/>
          <w:szCs w:val="20"/>
        </w:rPr>
        <w:t xml:space="preserve">PBM Regulation </w:t>
      </w:r>
      <w:r w:rsidR="00823BCD">
        <w:rPr>
          <w:sz w:val="20"/>
          <w:szCs w:val="20"/>
        </w:rPr>
        <w:t xml:space="preserve">tomorrow [March 13, 2026], at which time </w:t>
      </w:r>
      <w:r w:rsidR="00B94705">
        <w:rPr>
          <w:sz w:val="20"/>
          <w:szCs w:val="20"/>
        </w:rPr>
        <w:t>the Division will have licensed 42 PBMs for an interim 1-year term.</w:t>
      </w:r>
      <w:r w:rsidR="00376781">
        <w:rPr>
          <w:sz w:val="20"/>
          <w:szCs w:val="20"/>
        </w:rPr>
        <w:t xml:space="preserve"> Kevin added that renewal licensing applications are due </w:t>
      </w:r>
      <w:r w:rsidR="009C4959">
        <w:rPr>
          <w:sz w:val="20"/>
          <w:szCs w:val="20"/>
        </w:rPr>
        <w:t xml:space="preserve">in July 2026 for </w:t>
      </w:r>
      <w:r w:rsidR="001F123A">
        <w:rPr>
          <w:sz w:val="20"/>
          <w:szCs w:val="20"/>
        </w:rPr>
        <w:t xml:space="preserve">the </w:t>
      </w:r>
      <w:r w:rsidR="009C4959">
        <w:rPr>
          <w:sz w:val="20"/>
          <w:szCs w:val="20"/>
        </w:rPr>
        <w:t>2027-2029</w:t>
      </w:r>
      <w:r w:rsidR="001F123A">
        <w:rPr>
          <w:sz w:val="20"/>
          <w:szCs w:val="20"/>
        </w:rPr>
        <w:t xml:space="preserve"> period. Kevin will forward copies of the newly issued PBM Regulation to all Commission members</w:t>
      </w:r>
      <w:r w:rsidR="00EC1AC4">
        <w:rPr>
          <w:sz w:val="20"/>
          <w:szCs w:val="20"/>
        </w:rPr>
        <w:t xml:space="preserve"> for comment, as PBMs will be required to adhere to step therapy requirements</w:t>
      </w:r>
      <w:r w:rsidR="006644F2">
        <w:rPr>
          <w:sz w:val="20"/>
          <w:szCs w:val="20"/>
        </w:rPr>
        <w:t>.</w:t>
      </w:r>
    </w:p>
    <w:p w14:paraId="60A13BC1" w14:textId="77777777" w:rsidR="0035129C" w:rsidRDefault="0035129C" w:rsidP="00E26F6A">
      <w:pPr>
        <w:spacing w:after="0" w:line="240" w:lineRule="auto"/>
        <w:rPr>
          <w:sz w:val="20"/>
          <w:szCs w:val="20"/>
        </w:rPr>
      </w:pPr>
    </w:p>
    <w:p w14:paraId="24D4583D" w14:textId="73FD0057" w:rsidR="00CD1668" w:rsidRPr="00173DCF" w:rsidRDefault="00173DCF" w:rsidP="005876CB">
      <w:pPr>
        <w:pStyle w:val="Heading2"/>
        <w:numPr>
          <w:ilvl w:val="0"/>
          <w:numId w:val="36"/>
        </w:numPr>
      </w:pPr>
      <w:r>
        <w:t>Other Matters</w:t>
      </w:r>
    </w:p>
    <w:p w14:paraId="29B02665" w14:textId="77777777" w:rsidR="00CD1668" w:rsidRDefault="00CD1668" w:rsidP="00E26F6A">
      <w:pPr>
        <w:spacing w:after="0" w:line="240" w:lineRule="auto"/>
        <w:rPr>
          <w:sz w:val="20"/>
          <w:szCs w:val="20"/>
        </w:rPr>
      </w:pPr>
    </w:p>
    <w:p w14:paraId="4376BCF4" w14:textId="22312893" w:rsidR="00234E90" w:rsidRDefault="007E30C5" w:rsidP="006754DE">
      <w:pPr>
        <w:pStyle w:val="ListParagraph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7E30C5">
        <w:rPr>
          <w:sz w:val="20"/>
          <w:szCs w:val="20"/>
          <w:u w:val="single"/>
        </w:rPr>
        <w:t>Prior Authorization Requirements</w:t>
      </w:r>
      <w:r>
        <w:rPr>
          <w:sz w:val="20"/>
          <w:szCs w:val="20"/>
        </w:rPr>
        <w:t xml:space="preserve">: Kevin indicated that he recently circulated </w:t>
      </w:r>
      <w:r w:rsidR="00C74395">
        <w:rPr>
          <w:sz w:val="20"/>
          <w:szCs w:val="20"/>
        </w:rPr>
        <w:t xml:space="preserve">proposed </w:t>
      </w:r>
      <w:r w:rsidR="00F75531">
        <w:rPr>
          <w:sz w:val="20"/>
          <w:szCs w:val="20"/>
        </w:rPr>
        <w:t>amendments to 211 CMR 52.00</w:t>
      </w:r>
      <w:r w:rsidR="0029079B">
        <w:rPr>
          <w:sz w:val="20"/>
          <w:szCs w:val="20"/>
        </w:rPr>
        <w:t xml:space="preserve"> (Regulation 52)</w:t>
      </w:r>
      <w:r w:rsidR="00F75531">
        <w:rPr>
          <w:sz w:val="20"/>
          <w:szCs w:val="20"/>
        </w:rPr>
        <w:t xml:space="preserve">, </w:t>
      </w:r>
      <w:r w:rsidR="00C74395">
        <w:rPr>
          <w:sz w:val="20"/>
          <w:szCs w:val="20"/>
        </w:rPr>
        <w:t>providing</w:t>
      </w:r>
      <w:r w:rsidR="009B2C04">
        <w:rPr>
          <w:sz w:val="20"/>
          <w:szCs w:val="20"/>
        </w:rPr>
        <w:t xml:space="preserve">, among other things, </w:t>
      </w:r>
      <w:r w:rsidR="00DE56CB">
        <w:rPr>
          <w:sz w:val="20"/>
          <w:szCs w:val="20"/>
        </w:rPr>
        <w:t xml:space="preserve">that carriers </w:t>
      </w:r>
      <w:r w:rsidR="006E6E52">
        <w:rPr>
          <w:sz w:val="20"/>
          <w:szCs w:val="20"/>
        </w:rPr>
        <w:t xml:space="preserve">review </w:t>
      </w:r>
      <w:r w:rsidR="00E20AC6">
        <w:rPr>
          <w:sz w:val="20"/>
          <w:szCs w:val="20"/>
        </w:rPr>
        <w:t xml:space="preserve">service codes </w:t>
      </w:r>
      <w:r w:rsidR="006E6E52">
        <w:rPr>
          <w:sz w:val="20"/>
          <w:szCs w:val="20"/>
        </w:rPr>
        <w:t xml:space="preserve">periodically </w:t>
      </w:r>
      <w:r w:rsidR="00E20AC6">
        <w:rPr>
          <w:sz w:val="20"/>
          <w:szCs w:val="20"/>
        </w:rPr>
        <w:t xml:space="preserve">to </w:t>
      </w:r>
      <w:r w:rsidR="005A0BBC">
        <w:rPr>
          <w:sz w:val="20"/>
          <w:szCs w:val="20"/>
        </w:rPr>
        <w:t xml:space="preserve">determine </w:t>
      </w:r>
      <w:r w:rsidR="00DE56CB">
        <w:rPr>
          <w:sz w:val="20"/>
          <w:szCs w:val="20"/>
        </w:rPr>
        <w:t xml:space="preserve">whether </w:t>
      </w:r>
      <w:r w:rsidR="00E20AC6">
        <w:rPr>
          <w:sz w:val="20"/>
          <w:szCs w:val="20"/>
        </w:rPr>
        <w:t xml:space="preserve">prior authorization </w:t>
      </w:r>
      <w:r w:rsidR="0047464A">
        <w:rPr>
          <w:sz w:val="20"/>
          <w:szCs w:val="20"/>
        </w:rPr>
        <w:t xml:space="preserve">remains an appropriate requirement </w:t>
      </w:r>
      <w:r w:rsidR="00F14D20">
        <w:rPr>
          <w:sz w:val="20"/>
          <w:szCs w:val="20"/>
        </w:rPr>
        <w:t xml:space="preserve">for </w:t>
      </w:r>
      <w:r w:rsidR="0047464A">
        <w:rPr>
          <w:sz w:val="20"/>
          <w:szCs w:val="20"/>
        </w:rPr>
        <w:t xml:space="preserve">each </w:t>
      </w:r>
      <w:r w:rsidR="00F14D20">
        <w:rPr>
          <w:sz w:val="20"/>
          <w:szCs w:val="20"/>
        </w:rPr>
        <w:t>covered service</w:t>
      </w:r>
      <w:r w:rsidR="006E6E52">
        <w:rPr>
          <w:sz w:val="20"/>
          <w:szCs w:val="20"/>
        </w:rPr>
        <w:t xml:space="preserve"> or benefit</w:t>
      </w:r>
      <w:r w:rsidR="00F14D20">
        <w:rPr>
          <w:sz w:val="20"/>
          <w:szCs w:val="20"/>
        </w:rPr>
        <w:t xml:space="preserve">. </w:t>
      </w:r>
      <w:r w:rsidR="006739F6">
        <w:rPr>
          <w:sz w:val="20"/>
          <w:szCs w:val="20"/>
        </w:rPr>
        <w:t>Proposed amendments to R</w:t>
      </w:r>
      <w:r w:rsidR="00F14D20">
        <w:rPr>
          <w:sz w:val="20"/>
          <w:szCs w:val="20"/>
        </w:rPr>
        <w:t xml:space="preserve">egulation </w:t>
      </w:r>
      <w:r w:rsidR="006739F6">
        <w:rPr>
          <w:sz w:val="20"/>
          <w:szCs w:val="20"/>
        </w:rPr>
        <w:t xml:space="preserve">52 </w:t>
      </w:r>
      <w:r w:rsidR="00F14D20">
        <w:rPr>
          <w:sz w:val="20"/>
          <w:szCs w:val="20"/>
        </w:rPr>
        <w:t>also</w:t>
      </w:r>
      <w:r w:rsidR="00C4537D">
        <w:rPr>
          <w:sz w:val="20"/>
          <w:szCs w:val="20"/>
        </w:rPr>
        <w:t>: (i)</w:t>
      </w:r>
      <w:r w:rsidR="00F14D20">
        <w:rPr>
          <w:sz w:val="20"/>
          <w:szCs w:val="20"/>
        </w:rPr>
        <w:t xml:space="preserve"> require that carriers submit </w:t>
      </w:r>
      <w:r w:rsidR="00C4537D">
        <w:rPr>
          <w:sz w:val="20"/>
          <w:szCs w:val="20"/>
        </w:rPr>
        <w:t xml:space="preserve">their </w:t>
      </w:r>
      <w:r w:rsidR="00F20B8E">
        <w:rPr>
          <w:sz w:val="20"/>
          <w:szCs w:val="20"/>
        </w:rPr>
        <w:t xml:space="preserve">service codes </w:t>
      </w:r>
      <w:r w:rsidR="00C4537D">
        <w:rPr>
          <w:sz w:val="20"/>
          <w:szCs w:val="20"/>
        </w:rPr>
        <w:t xml:space="preserve">with prior authorization requirements </w:t>
      </w:r>
      <w:r w:rsidR="00F20B8E">
        <w:rPr>
          <w:sz w:val="20"/>
          <w:szCs w:val="20"/>
        </w:rPr>
        <w:t>to the Division as part of their managed care accreditation filings every two years</w:t>
      </w:r>
      <w:r w:rsidR="00B936F6">
        <w:rPr>
          <w:sz w:val="20"/>
          <w:szCs w:val="20"/>
        </w:rPr>
        <w:t xml:space="preserve">, </w:t>
      </w:r>
      <w:r w:rsidR="00C4537D">
        <w:rPr>
          <w:sz w:val="20"/>
          <w:szCs w:val="20"/>
        </w:rPr>
        <w:t xml:space="preserve">and (ii) extend </w:t>
      </w:r>
      <w:r w:rsidR="00B936F6">
        <w:rPr>
          <w:sz w:val="20"/>
          <w:szCs w:val="20"/>
        </w:rPr>
        <w:t>the Continuity of Care period from 30 days to 90 days</w:t>
      </w:r>
      <w:r w:rsidR="00C43231">
        <w:rPr>
          <w:sz w:val="20"/>
          <w:szCs w:val="20"/>
        </w:rPr>
        <w:t xml:space="preserve">, which could impact step therapy </w:t>
      </w:r>
      <w:r w:rsidR="00D55577">
        <w:rPr>
          <w:sz w:val="20"/>
          <w:szCs w:val="20"/>
        </w:rPr>
        <w:t>requests</w:t>
      </w:r>
      <w:r w:rsidR="00B936F6">
        <w:rPr>
          <w:sz w:val="20"/>
          <w:szCs w:val="20"/>
        </w:rPr>
        <w:t>.</w:t>
      </w:r>
      <w:r w:rsidR="00995BF1">
        <w:rPr>
          <w:sz w:val="20"/>
          <w:szCs w:val="20"/>
        </w:rPr>
        <w:t xml:space="preserve"> The Division recently </w:t>
      </w:r>
      <w:r w:rsidR="00736FD0">
        <w:rPr>
          <w:sz w:val="20"/>
          <w:szCs w:val="20"/>
        </w:rPr>
        <w:t xml:space="preserve">conducted a public hearing on </w:t>
      </w:r>
      <w:r w:rsidR="00FC7890">
        <w:rPr>
          <w:sz w:val="20"/>
          <w:szCs w:val="20"/>
        </w:rPr>
        <w:t xml:space="preserve">the </w:t>
      </w:r>
      <w:r w:rsidR="00DB237A">
        <w:rPr>
          <w:sz w:val="20"/>
          <w:szCs w:val="20"/>
        </w:rPr>
        <w:t xml:space="preserve">proposed amendments </w:t>
      </w:r>
      <w:r w:rsidR="00995BF1">
        <w:rPr>
          <w:sz w:val="20"/>
          <w:szCs w:val="20"/>
        </w:rPr>
        <w:t>and is currently</w:t>
      </w:r>
      <w:r w:rsidR="00826C10">
        <w:rPr>
          <w:sz w:val="20"/>
          <w:szCs w:val="20"/>
        </w:rPr>
        <w:t xml:space="preserve"> reviewing formal </w:t>
      </w:r>
      <w:r w:rsidR="00C43231">
        <w:rPr>
          <w:sz w:val="20"/>
          <w:szCs w:val="20"/>
        </w:rPr>
        <w:t xml:space="preserve">comments </w:t>
      </w:r>
      <w:r w:rsidR="00DB237A">
        <w:rPr>
          <w:sz w:val="20"/>
          <w:szCs w:val="20"/>
        </w:rPr>
        <w:t xml:space="preserve">received </w:t>
      </w:r>
      <w:r w:rsidR="00C43231">
        <w:rPr>
          <w:sz w:val="20"/>
          <w:szCs w:val="20"/>
        </w:rPr>
        <w:t>from carriers and other</w:t>
      </w:r>
      <w:r w:rsidR="00DB237A">
        <w:rPr>
          <w:sz w:val="20"/>
          <w:szCs w:val="20"/>
        </w:rPr>
        <w:t xml:space="preserve"> interested parties</w:t>
      </w:r>
      <w:r w:rsidR="00C43231">
        <w:rPr>
          <w:sz w:val="20"/>
          <w:szCs w:val="20"/>
        </w:rPr>
        <w:t xml:space="preserve">. </w:t>
      </w:r>
      <w:r w:rsidR="00457EFD">
        <w:rPr>
          <w:sz w:val="20"/>
          <w:szCs w:val="20"/>
        </w:rPr>
        <w:t xml:space="preserve">Kevin indicated that if </w:t>
      </w:r>
      <w:r w:rsidR="00A21A40">
        <w:rPr>
          <w:sz w:val="20"/>
          <w:szCs w:val="20"/>
        </w:rPr>
        <w:t>R</w:t>
      </w:r>
      <w:r w:rsidR="00457EFD">
        <w:rPr>
          <w:sz w:val="20"/>
          <w:szCs w:val="20"/>
        </w:rPr>
        <w:t xml:space="preserve">egulation </w:t>
      </w:r>
      <w:r w:rsidR="00A21A40">
        <w:rPr>
          <w:sz w:val="20"/>
          <w:szCs w:val="20"/>
        </w:rPr>
        <w:t xml:space="preserve">52 </w:t>
      </w:r>
      <w:r w:rsidR="00457EFD">
        <w:rPr>
          <w:sz w:val="20"/>
          <w:szCs w:val="20"/>
        </w:rPr>
        <w:t xml:space="preserve">is adopted </w:t>
      </w:r>
      <w:r w:rsidR="001F08A4">
        <w:rPr>
          <w:sz w:val="20"/>
          <w:szCs w:val="20"/>
        </w:rPr>
        <w:t xml:space="preserve">as amended </w:t>
      </w:r>
      <w:r w:rsidR="00457EFD">
        <w:rPr>
          <w:sz w:val="20"/>
          <w:szCs w:val="20"/>
        </w:rPr>
        <w:t>prior to the next meeting, he will</w:t>
      </w:r>
      <w:r w:rsidR="00CB175E">
        <w:rPr>
          <w:sz w:val="20"/>
          <w:szCs w:val="20"/>
        </w:rPr>
        <w:t xml:space="preserve"> provide Commission members with the final version.</w:t>
      </w:r>
    </w:p>
    <w:p w14:paraId="5AF2F88F" w14:textId="46879131" w:rsidR="008F64F9" w:rsidRDefault="00FA3AFB" w:rsidP="00FA3AFB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Kim shared </w:t>
      </w:r>
      <w:r w:rsidR="00835A64">
        <w:rPr>
          <w:sz w:val="20"/>
          <w:szCs w:val="20"/>
        </w:rPr>
        <w:t xml:space="preserve">the </w:t>
      </w:r>
      <w:r>
        <w:rPr>
          <w:sz w:val="20"/>
          <w:szCs w:val="20"/>
        </w:rPr>
        <w:t>provider feedback she received indicat</w:t>
      </w:r>
      <w:r w:rsidR="00835A64">
        <w:rPr>
          <w:sz w:val="20"/>
          <w:szCs w:val="20"/>
        </w:rPr>
        <w:t>ing</w:t>
      </w:r>
      <w:r>
        <w:rPr>
          <w:sz w:val="20"/>
          <w:szCs w:val="20"/>
        </w:rPr>
        <w:t xml:space="preserve"> that Massachusetts had passed the “gold card” on </w:t>
      </w:r>
      <w:r w:rsidR="00974753">
        <w:rPr>
          <w:sz w:val="20"/>
          <w:szCs w:val="20"/>
        </w:rPr>
        <w:t>prior authorization, adding that she found their feedback to be helpful.</w:t>
      </w:r>
    </w:p>
    <w:p w14:paraId="6A620F2F" w14:textId="60D2CA9C" w:rsidR="00974753" w:rsidRDefault="00974753" w:rsidP="00FA3AFB">
      <w:pPr>
        <w:pStyle w:val="ListParagraph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012FB2">
        <w:rPr>
          <w:sz w:val="20"/>
          <w:szCs w:val="20"/>
        </w:rPr>
        <w:t>anticipates that the Division will need to spend a great deal of tim</w:t>
      </w:r>
      <w:r w:rsidR="005A1F09">
        <w:rPr>
          <w:sz w:val="20"/>
          <w:szCs w:val="20"/>
        </w:rPr>
        <w:t xml:space="preserve">e clarifying </w:t>
      </w:r>
      <w:r w:rsidR="00193FB2">
        <w:rPr>
          <w:sz w:val="20"/>
          <w:szCs w:val="20"/>
        </w:rPr>
        <w:t xml:space="preserve">the new </w:t>
      </w:r>
      <w:r w:rsidR="005A1F09">
        <w:rPr>
          <w:sz w:val="20"/>
          <w:szCs w:val="20"/>
        </w:rPr>
        <w:t>requirements for carriers</w:t>
      </w:r>
      <w:r w:rsidR="00147A23">
        <w:rPr>
          <w:sz w:val="20"/>
          <w:szCs w:val="20"/>
        </w:rPr>
        <w:t xml:space="preserve"> </w:t>
      </w:r>
      <w:r w:rsidR="007157CF">
        <w:rPr>
          <w:sz w:val="20"/>
          <w:szCs w:val="20"/>
        </w:rPr>
        <w:t xml:space="preserve">to </w:t>
      </w:r>
      <w:r w:rsidR="00147A23">
        <w:rPr>
          <w:sz w:val="20"/>
          <w:szCs w:val="20"/>
        </w:rPr>
        <w:t>promot</w:t>
      </w:r>
      <w:r w:rsidR="007157CF">
        <w:rPr>
          <w:sz w:val="20"/>
          <w:szCs w:val="20"/>
        </w:rPr>
        <w:t>e</w:t>
      </w:r>
      <w:r w:rsidR="00147A23">
        <w:rPr>
          <w:sz w:val="20"/>
          <w:szCs w:val="20"/>
        </w:rPr>
        <w:t xml:space="preserve"> consistency</w:t>
      </w:r>
      <w:r w:rsidR="005A1F09">
        <w:rPr>
          <w:sz w:val="20"/>
          <w:szCs w:val="20"/>
        </w:rPr>
        <w:t>, noting that definitions matter</w:t>
      </w:r>
      <w:r w:rsidR="00147A23">
        <w:rPr>
          <w:sz w:val="20"/>
          <w:szCs w:val="20"/>
        </w:rPr>
        <w:t>.</w:t>
      </w:r>
    </w:p>
    <w:p w14:paraId="7699BEC4" w14:textId="77777777" w:rsidR="00D71E67" w:rsidRDefault="00D71E67" w:rsidP="00D71E67">
      <w:pPr>
        <w:spacing w:after="0" w:line="240" w:lineRule="auto"/>
        <w:rPr>
          <w:sz w:val="20"/>
          <w:szCs w:val="20"/>
        </w:rPr>
      </w:pPr>
    </w:p>
    <w:p w14:paraId="32BC5D55" w14:textId="2C30B2CB" w:rsidR="00D71E67" w:rsidRDefault="00D71E67" w:rsidP="00D71E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Leah </w:t>
      </w:r>
      <w:r w:rsidR="00262C50">
        <w:rPr>
          <w:sz w:val="20"/>
          <w:szCs w:val="20"/>
        </w:rPr>
        <w:t xml:space="preserve">requested that Kevin </w:t>
      </w:r>
      <w:r>
        <w:rPr>
          <w:sz w:val="20"/>
          <w:szCs w:val="20"/>
        </w:rPr>
        <w:t>confirm</w:t>
      </w:r>
      <w:r w:rsidR="00262C50">
        <w:rPr>
          <w:sz w:val="20"/>
          <w:szCs w:val="20"/>
        </w:rPr>
        <w:t xml:space="preserve"> the ask for </w:t>
      </w:r>
      <w:r w:rsidR="00403B93">
        <w:rPr>
          <w:sz w:val="20"/>
          <w:szCs w:val="20"/>
        </w:rPr>
        <w:t xml:space="preserve">carriers </w:t>
      </w:r>
      <w:r w:rsidR="00E404BE">
        <w:rPr>
          <w:sz w:val="20"/>
          <w:szCs w:val="20"/>
        </w:rPr>
        <w:t>related</w:t>
      </w:r>
      <w:r w:rsidR="00262C50">
        <w:rPr>
          <w:sz w:val="20"/>
          <w:szCs w:val="20"/>
        </w:rPr>
        <w:t xml:space="preserve"> to the </w:t>
      </w:r>
      <w:r w:rsidR="00403B93">
        <w:rPr>
          <w:sz w:val="20"/>
          <w:szCs w:val="20"/>
        </w:rPr>
        <w:t xml:space="preserve">Continuity of Care plans </w:t>
      </w:r>
      <w:r w:rsidR="00262C50">
        <w:rPr>
          <w:sz w:val="20"/>
          <w:szCs w:val="20"/>
        </w:rPr>
        <w:t xml:space="preserve">due to the Division </w:t>
      </w:r>
      <w:r w:rsidR="00403B93">
        <w:rPr>
          <w:sz w:val="20"/>
          <w:szCs w:val="20"/>
        </w:rPr>
        <w:t>by May 1, 2026</w:t>
      </w:r>
      <w:r w:rsidR="00BD01BC">
        <w:rPr>
          <w:sz w:val="20"/>
          <w:szCs w:val="20"/>
        </w:rPr>
        <w:t>. Kevin indicated that carriers should highlight changes from the prior filing</w:t>
      </w:r>
      <w:r w:rsidR="009619C2">
        <w:rPr>
          <w:sz w:val="20"/>
          <w:szCs w:val="20"/>
        </w:rPr>
        <w:t xml:space="preserve"> and compliance with the </w:t>
      </w:r>
      <w:r w:rsidR="00285A99">
        <w:rPr>
          <w:sz w:val="20"/>
          <w:szCs w:val="20"/>
        </w:rPr>
        <w:t xml:space="preserve">Division’s </w:t>
      </w:r>
      <w:r w:rsidR="009619C2">
        <w:rPr>
          <w:sz w:val="20"/>
          <w:szCs w:val="20"/>
        </w:rPr>
        <w:t>instructions</w:t>
      </w:r>
      <w:r w:rsidR="00285A99">
        <w:rPr>
          <w:sz w:val="20"/>
          <w:szCs w:val="20"/>
        </w:rPr>
        <w:t>, which are forthcoming</w:t>
      </w:r>
      <w:r w:rsidR="009619C2">
        <w:rPr>
          <w:sz w:val="20"/>
          <w:szCs w:val="20"/>
        </w:rPr>
        <w:t>.</w:t>
      </w:r>
    </w:p>
    <w:p w14:paraId="52673E75" w14:textId="77777777" w:rsidR="009619C2" w:rsidRDefault="009619C2" w:rsidP="00D71E67">
      <w:pPr>
        <w:spacing w:after="0" w:line="240" w:lineRule="auto"/>
        <w:rPr>
          <w:sz w:val="20"/>
          <w:szCs w:val="20"/>
        </w:rPr>
      </w:pPr>
    </w:p>
    <w:p w14:paraId="289331EE" w14:textId="3D4AFF2D" w:rsidR="009619C2" w:rsidRDefault="009619C2" w:rsidP="005A0234">
      <w:pPr>
        <w:pStyle w:val="ListParagraph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EC718F">
        <w:rPr>
          <w:sz w:val="20"/>
          <w:szCs w:val="20"/>
          <w:u w:val="single"/>
        </w:rPr>
        <w:t>C</w:t>
      </w:r>
      <w:r w:rsidR="00861656" w:rsidRPr="00EC718F">
        <w:rPr>
          <w:sz w:val="20"/>
          <w:szCs w:val="20"/>
          <w:u w:val="single"/>
        </w:rPr>
        <w:t>ompliance with M.G.L. c. 176O § 12B</w:t>
      </w:r>
      <w:r w:rsidR="005A0234" w:rsidRPr="00EC718F">
        <w:rPr>
          <w:sz w:val="20"/>
          <w:szCs w:val="20"/>
          <w:u w:val="single"/>
        </w:rPr>
        <w:t xml:space="preserve"> - Commission on step therapy protocol; responsibilities; annual report</w:t>
      </w:r>
      <w:r w:rsidR="005A0234">
        <w:rPr>
          <w:sz w:val="20"/>
          <w:szCs w:val="20"/>
        </w:rPr>
        <w:t>:</w:t>
      </w:r>
      <w:r w:rsidR="00EC718F">
        <w:rPr>
          <w:sz w:val="20"/>
          <w:szCs w:val="20"/>
        </w:rPr>
        <w:t xml:space="preserve"> </w:t>
      </w:r>
      <w:r w:rsidR="00835119">
        <w:rPr>
          <w:sz w:val="20"/>
          <w:szCs w:val="20"/>
        </w:rPr>
        <w:t xml:space="preserve">Kevin </w:t>
      </w:r>
      <w:r w:rsidR="00A26082">
        <w:rPr>
          <w:sz w:val="20"/>
          <w:szCs w:val="20"/>
        </w:rPr>
        <w:t xml:space="preserve">presented </w:t>
      </w:r>
      <w:r w:rsidR="00835119">
        <w:rPr>
          <w:sz w:val="20"/>
          <w:szCs w:val="20"/>
        </w:rPr>
        <w:t xml:space="preserve">relevant provisions of the law </w:t>
      </w:r>
      <w:r w:rsidR="00A26082">
        <w:rPr>
          <w:sz w:val="20"/>
          <w:szCs w:val="20"/>
        </w:rPr>
        <w:t xml:space="preserve">(below) </w:t>
      </w:r>
      <w:r w:rsidR="00835119">
        <w:rPr>
          <w:sz w:val="20"/>
          <w:szCs w:val="20"/>
        </w:rPr>
        <w:t>for discussion with members:</w:t>
      </w:r>
    </w:p>
    <w:p w14:paraId="43572E06" w14:textId="77777777" w:rsidR="00835119" w:rsidRDefault="00835119" w:rsidP="00835119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14:paraId="47EE6614" w14:textId="2ED91704" w:rsidR="00835119" w:rsidRDefault="00835119" w:rsidP="00835119">
      <w:pPr>
        <w:pStyle w:val="ListParagraph"/>
        <w:spacing w:after="0" w:line="240" w:lineRule="auto"/>
        <w:rPr>
          <w:sz w:val="20"/>
          <w:szCs w:val="20"/>
        </w:rPr>
      </w:pPr>
      <w:r w:rsidRPr="00835119">
        <w:rPr>
          <w:sz w:val="20"/>
          <w:szCs w:val="20"/>
        </w:rPr>
        <w:t xml:space="preserve">(b) The commission shall study and assess the implementation of step therapy process reforms established in section 51A of chapter 118E and section 12A. The commission shall: </w:t>
      </w:r>
    </w:p>
    <w:p w14:paraId="6A9B8036" w14:textId="77777777" w:rsidR="00F10D88" w:rsidRDefault="00F10D88" w:rsidP="00835119">
      <w:pPr>
        <w:pStyle w:val="ListParagraph"/>
        <w:spacing w:after="0" w:line="240" w:lineRule="auto"/>
        <w:rPr>
          <w:sz w:val="20"/>
          <w:szCs w:val="20"/>
        </w:rPr>
      </w:pPr>
    </w:p>
    <w:p w14:paraId="4CD371BA" w14:textId="7D07FBFD" w:rsidR="00127D32" w:rsidRDefault="00F10D88" w:rsidP="00127D32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835119" w:rsidRPr="00835119">
        <w:rPr>
          <w:sz w:val="20"/>
          <w:szCs w:val="20"/>
        </w:rPr>
        <w:t>nalyze the impact of step therapy protocols on total medical expenses, health care quality outcomes, premium cost and out-of-pocket costs to the consumer and the health care cost benchmark</w:t>
      </w:r>
      <w:r w:rsidR="003E6396">
        <w:rPr>
          <w:sz w:val="20"/>
          <w:szCs w:val="20"/>
        </w:rPr>
        <w:t>.</w:t>
      </w:r>
    </w:p>
    <w:p w14:paraId="701A23BD" w14:textId="480E41A8" w:rsidR="00F10D88" w:rsidRDefault="006031B8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indicated that Commission needs to identify the </w:t>
      </w:r>
      <w:r w:rsidR="00EF5D07">
        <w:rPr>
          <w:sz w:val="20"/>
          <w:szCs w:val="20"/>
        </w:rPr>
        <w:t xml:space="preserve">information needed to conduct this analysis and asked for thoughts from the group on how best to collect this information, e.g., </w:t>
      </w:r>
      <w:r w:rsidR="0091299D">
        <w:rPr>
          <w:sz w:val="20"/>
          <w:szCs w:val="20"/>
        </w:rPr>
        <w:t>total medical expenses.</w:t>
      </w:r>
    </w:p>
    <w:p w14:paraId="40B0F580" w14:textId="26DD8566" w:rsidR="0091299D" w:rsidRDefault="0091299D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Caitlin </w:t>
      </w:r>
      <w:r w:rsidR="00C645BB">
        <w:rPr>
          <w:sz w:val="20"/>
          <w:szCs w:val="20"/>
        </w:rPr>
        <w:t xml:space="preserve">responded </w:t>
      </w:r>
      <w:r>
        <w:rPr>
          <w:sz w:val="20"/>
          <w:szCs w:val="20"/>
        </w:rPr>
        <w:t xml:space="preserve">that </w:t>
      </w:r>
      <w:r w:rsidR="004C0745">
        <w:rPr>
          <w:sz w:val="20"/>
          <w:szCs w:val="20"/>
        </w:rPr>
        <w:t>CHIA collects medical expense data annually in September for the following March</w:t>
      </w:r>
      <w:r w:rsidR="008F4F3E">
        <w:rPr>
          <w:sz w:val="20"/>
          <w:szCs w:val="20"/>
        </w:rPr>
        <w:t>, adding that this may provide an opportunity</w:t>
      </w:r>
      <w:r w:rsidR="005F253D">
        <w:rPr>
          <w:sz w:val="20"/>
          <w:szCs w:val="20"/>
        </w:rPr>
        <w:t xml:space="preserve"> </w:t>
      </w:r>
      <w:r w:rsidR="00B66243">
        <w:rPr>
          <w:sz w:val="20"/>
          <w:szCs w:val="20"/>
        </w:rPr>
        <w:t>to collect more information on total medical expenses for enhanced reporting by the Commission.</w:t>
      </w:r>
    </w:p>
    <w:p w14:paraId="07EA22E8" w14:textId="684C8AD9" w:rsidR="00AA7B61" w:rsidRDefault="00AA7B61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asked if </w:t>
      </w:r>
      <w:r w:rsidR="001D52CA">
        <w:rPr>
          <w:sz w:val="20"/>
          <w:szCs w:val="20"/>
        </w:rPr>
        <w:t>information is being collected on premiums</w:t>
      </w:r>
      <w:r w:rsidR="00ED02B5">
        <w:rPr>
          <w:sz w:val="20"/>
          <w:szCs w:val="20"/>
        </w:rPr>
        <w:t xml:space="preserve"> that could be leveraged by the Commission.</w:t>
      </w:r>
    </w:p>
    <w:p w14:paraId="172D8302" w14:textId="726CA3C4" w:rsidR="00ED02B5" w:rsidRDefault="002B5C13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Caitlin </w:t>
      </w:r>
      <w:r w:rsidR="00C645BB">
        <w:rPr>
          <w:sz w:val="20"/>
          <w:szCs w:val="20"/>
        </w:rPr>
        <w:t xml:space="preserve">responded </w:t>
      </w:r>
      <w:r>
        <w:rPr>
          <w:sz w:val="20"/>
          <w:szCs w:val="20"/>
        </w:rPr>
        <w:t xml:space="preserve">that data may be available on overall trends in prescription drugs </w:t>
      </w:r>
      <w:r w:rsidR="00CA2D0B">
        <w:rPr>
          <w:sz w:val="20"/>
          <w:szCs w:val="20"/>
        </w:rPr>
        <w:t>vs. prescription drugs subject to step therapy requirements</w:t>
      </w:r>
      <w:r w:rsidR="00C93197">
        <w:rPr>
          <w:sz w:val="20"/>
          <w:szCs w:val="20"/>
        </w:rPr>
        <w:t xml:space="preserve"> </w:t>
      </w:r>
      <w:r w:rsidR="00C645BB">
        <w:rPr>
          <w:sz w:val="20"/>
          <w:szCs w:val="20"/>
        </w:rPr>
        <w:t>in terms of</w:t>
      </w:r>
      <w:r w:rsidR="00C93197">
        <w:rPr>
          <w:sz w:val="20"/>
          <w:szCs w:val="20"/>
        </w:rPr>
        <w:t xml:space="preserve"> cost trends.</w:t>
      </w:r>
    </w:p>
    <w:p w14:paraId="1CEDD80C" w14:textId="051C27AA" w:rsidR="00C93197" w:rsidRDefault="00C93197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asked if information is available </w:t>
      </w:r>
      <w:r w:rsidR="00C645BB">
        <w:rPr>
          <w:sz w:val="20"/>
          <w:szCs w:val="20"/>
        </w:rPr>
        <w:t>on health outcomes possibly from the Health Policy Commission</w:t>
      </w:r>
      <w:r w:rsidR="00D77B93">
        <w:rPr>
          <w:sz w:val="20"/>
          <w:szCs w:val="20"/>
        </w:rPr>
        <w:t xml:space="preserve"> (HPC)</w:t>
      </w:r>
      <w:r w:rsidR="00C645BB">
        <w:rPr>
          <w:sz w:val="20"/>
          <w:szCs w:val="20"/>
        </w:rPr>
        <w:t>.</w:t>
      </w:r>
    </w:p>
    <w:p w14:paraId="13F536DB" w14:textId="0AC2CFB1" w:rsidR="00C645BB" w:rsidRDefault="00C645BB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Nancy responded that </w:t>
      </w:r>
      <w:r w:rsidR="00170F93">
        <w:rPr>
          <w:sz w:val="20"/>
          <w:szCs w:val="20"/>
        </w:rPr>
        <w:t xml:space="preserve">it may </w:t>
      </w:r>
      <w:r w:rsidR="008976C5">
        <w:rPr>
          <w:sz w:val="20"/>
          <w:szCs w:val="20"/>
        </w:rPr>
        <w:t xml:space="preserve">be helpful to approach the </w:t>
      </w:r>
      <w:r w:rsidR="00605347">
        <w:rPr>
          <w:sz w:val="20"/>
          <w:szCs w:val="20"/>
        </w:rPr>
        <w:t xml:space="preserve">HPC </w:t>
      </w:r>
      <w:r w:rsidR="008976C5">
        <w:rPr>
          <w:sz w:val="20"/>
          <w:szCs w:val="20"/>
        </w:rPr>
        <w:t xml:space="preserve">on use of data sources </w:t>
      </w:r>
      <w:r w:rsidR="004A6A9A">
        <w:rPr>
          <w:sz w:val="20"/>
          <w:szCs w:val="20"/>
        </w:rPr>
        <w:t>like the APCD to focus on step therapy.</w:t>
      </w:r>
    </w:p>
    <w:p w14:paraId="7508FB9C" w14:textId="6341FEB2" w:rsidR="00DF349E" w:rsidRDefault="00DF349E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Eileen asked what drugs are subject to step therapy</w:t>
      </w:r>
      <w:r w:rsidR="0007423B">
        <w:rPr>
          <w:sz w:val="20"/>
          <w:szCs w:val="20"/>
        </w:rPr>
        <w:t xml:space="preserve"> and expressed concern with capturing accurate data.</w:t>
      </w:r>
    </w:p>
    <w:p w14:paraId="00FE0ACD" w14:textId="50C9BA69" w:rsidR="0007423B" w:rsidRDefault="0007423B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responded that </w:t>
      </w:r>
      <w:r w:rsidR="00605347">
        <w:rPr>
          <w:sz w:val="20"/>
          <w:szCs w:val="20"/>
        </w:rPr>
        <w:t xml:space="preserve">we </w:t>
      </w:r>
      <w:r w:rsidR="001D48B0">
        <w:rPr>
          <w:sz w:val="20"/>
          <w:szCs w:val="20"/>
        </w:rPr>
        <w:t>would</w:t>
      </w:r>
      <w:r w:rsidR="00605347">
        <w:rPr>
          <w:sz w:val="20"/>
          <w:szCs w:val="20"/>
        </w:rPr>
        <w:t xml:space="preserve"> see what CHIA and HPC can offer </w:t>
      </w:r>
      <w:r w:rsidR="001D48B0">
        <w:rPr>
          <w:sz w:val="20"/>
          <w:szCs w:val="20"/>
        </w:rPr>
        <w:t>on these procedures to start.</w:t>
      </w:r>
    </w:p>
    <w:p w14:paraId="50E853AE" w14:textId="38FB7692" w:rsidR="001D48B0" w:rsidRDefault="001D48B0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asked </w:t>
      </w:r>
      <w:r w:rsidR="009003DA">
        <w:rPr>
          <w:sz w:val="20"/>
          <w:szCs w:val="20"/>
        </w:rPr>
        <w:t xml:space="preserve">Sarah and Leah </w:t>
      </w:r>
      <w:r>
        <w:rPr>
          <w:sz w:val="20"/>
          <w:szCs w:val="20"/>
        </w:rPr>
        <w:t xml:space="preserve">if </w:t>
      </w:r>
      <w:r w:rsidR="009003DA">
        <w:rPr>
          <w:sz w:val="20"/>
          <w:szCs w:val="20"/>
        </w:rPr>
        <w:t xml:space="preserve">they </w:t>
      </w:r>
      <w:r>
        <w:rPr>
          <w:sz w:val="20"/>
          <w:szCs w:val="20"/>
        </w:rPr>
        <w:t>could comment on premium impact.</w:t>
      </w:r>
    </w:p>
    <w:p w14:paraId="4E62A93A" w14:textId="60123E6C" w:rsidR="00B22B63" w:rsidRDefault="00B22B63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Sara and Leah agreed that it </w:t>
      </w:r>
      <w:r w:rsidR="00FB5A09">
        <w:rPr>
          <w:sz w:val="20"/>
          <w:szCs w:val="20"/>
        </w:rPr>
        <w:t xml:space="preserve">may be difficult to isolate the impact of the step therapy process </w:t>
      </w:r>
      <w:r w:rsidR="008464F0">
        <w:rPr>
          <w:sz w:val="20"/>
          <w:szCs w:val="20"/>
        </w:rPr>
        <w:t xml:space="preserve">from other factors </w:t>
      </w:r>
      <w:r w:rsidR="006A1D94">
        <w:rPr>
          <w:sz w:val="20"/>
          <w:szCs w:val="20"/>
        </w:rPr>
        <w:t xml:space="preserve">impacting premiums </w:t>
      </w:r>
      <w:r w:rsidR="008464F0">
        <w:rPr>
          <w:sz w:val="20"/>
          <w:szCs w:val="20"/>
        </w:rPr>
        <w:t>and added that clarifying definitions might be helpful.</w:t>
      </w:r>
    </w:p>
    <w:p w14:paraId="73A184C1" w14:textId="3BCA8295" w:rsidR="002E17CA" w:rsidRDefault="002E17CA" w:rsidP="00F10D88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Kim added that premium savings might be understated due to inconsistency in reporting procedures.</w:t>
      </w:r>
    </w:p>
    <w:p w14:paraId="063B11BF" w14:textId="77777777" w:rsidR="00F10D88" w:rsidRDefault="00F10D88" w:rsidP="00F10D88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08378C84" w14:textId="42EA4EFA" w:rsidR="00835119" w:rsidRDefault="00DC2AA3" w:rsidP="00127D32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835119" w:rsidRPr="00835119">
        <w:rPr>
          <w:sz w:val="20"/>
          <w:szCs w:val="20"/>
        </w:rPr>
        <w:t>ssess the efficacy of the step therapy exception process in ensuring that consumers diagnosed with medical conditions that rely on stability or have achieved a positive clinical response on a medication are able to maintain that course of treatment including, but not limited to, a form of multiple sclerosis. The commission shall also examine any available empirical data on the impact of step therapy protocols on health disparities related to outcomes, access and medication adherence.</w:t>
      </w:r>
    </w:p>
    <w:p w14:paraId="4FF06CFC" w14:textId="01D6AACB" w:rsidR="002955D5" w:rsidRDefault="00F53D29" w:rsidP="00F53D29">
      <w:pPr>
        <w:pStyle w:val="ListParagraph"/>
        <w:numPr>
          <w:ilvl w:val="1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FE161E">
        <w:rPr>
          <w:sz w:val="20"/>
          <w:szCs w:val="20"/>
        </w:rPr>
        <w:t xml:space="preserve">indicated that the Continuity of Care </w:t>
      </w:r>
      <w:r w:rsidR="001024A8">
        <w:rPr>
          <w:sz w:val="20"/>
          <w:szCs w:val="20"/>
        </w:rPr>
        <w:t>P</w:t>
      </w:r>
      <w:r w:rsidR="00FE161E">
        <w:rPr>
          <w:sz w:val="20"/>
          <w:szCs w:val="20"/>
        </w:rPr>
        <w:t xml:space="preserve">lans might be useful for ensuring compliance with this requirement, particularly </w:t>
      </w:r>
      <w:r w:rsidR="00A05A80">
        <w:rPr>
          <w:sz w:val="20"/>
          <w:szCs w:val="20"/>
        </w:rPr>
        <w:t>regarding</w:t>
      </w:r>
      <w:r w:rsidR="00311DCD">
        <w:rPr>
          <w:sz w:val="20"/>
          <w:szCs w:val="20"/>
        </w:rPr>
        <w:t xml:space="preserve"> chronic conditions and multiple sclerosis.</w:t>
      </w:r>
      <w:r w:rsidR="00A05A80">
        <w:rPr>
          <w:sz w:val="20"/>
          <w:szCs w:val="20"/>
        </w:rPr>
        <w:t xml:space="preserve"> Kevin added that we have time now to ask </w:t>
      </w:r>
      <w:r w:rsidR="00C57571">
        <w:rPr>
          <w:sz w:val="20"/>
          <w:szCs w:val="20"/>
        </w:rPr>
        <w:t xml:space="preserve">questions to get the information needed to produce </w:t>
      </w:r>
      <w:r w:rsidR="00C01E3F">
        <w:rPr>
          <w:sz w:val="20"/>
          <w:szCs w:val="20"/>
        </w:rPr>
        <w:t>the report</w:t>
      </w:r>
      <w:r w:rsidR="00ED60FB">
        <w:rPr>
          <w:sz w:val="20"/>
          <w:szCs w:val="20"/>
        </w:rPr>
        <w:t xml:space="preserve"> and </w:t>
      </w:r>
      <w:r w:rsidR="00934EA0">
        <w:rPr>
          <w:sz w:val="20"/>
          <w:szCs w:val="20"/>
        </w:rPr>
        <w:t xml:space="preserve">stated that he is looking for Commission members to propose appropriate questions perhaps </w:t>
      </w:r>
      <w:r w:rsidR="008C64A2">
        <w:rPr>
          <w:sz w:val="20"/>
          <w:szCs w:val="20"/>
        </w:rPr>
        <w:t xml:space="preserve">addressing </w:t>
      </w:r>
      <w:r w:rsidR="00065DAB">
        <w:rPr>
          <w:sz w:val="20"/>
          <w:szCs w:val="20"/>
        </w:rPr>
        <w:t>multiple sclerosis specifically.</w:t>
      </w:r>
    </w:p>
    <w:p w14:paraId="474F5A68" w14:textId="23D89013" w:rsidR="00047EC6" w:rsidRDefault="00047EC6" w:rsidP="00F53D29">
      <w:pPr>
        <w:pStyle w:val="ListParagraph"/>
        <w:numPr>
          <w:ilvl w:val="1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Nancy responded that we might want to ask all the carriers </w:t>
      </w:r>
      <w:r w:rsidR="007E2A02">
        <w:rPr>
          <w:sz w:val="20"/>
          <w:szCs w:val="20"/>
        </w:rPr>
        <w:t>for specific</w:t>
      </w:r>
      <w:r w:rsidR="008C64A2">
        <w:rPr>
          <w:sz w:val="20"/>
          <w:szCs w:val="20"/>
        </w:rPr>
        <w:t xml:space="preserve"> information, such </w:t>
      </w:r>
      <w:r w:rsidR="00D313DB">
        <w:rPr>
          <w:sz w:val="20"/>
          <w:szCs w:val="20"/>
        </w:rPr>
        <w:t xml:space="preserve">as </w:t>
      </w:r>
      <w:r w:rsidR="008C64A2">
        <w:rPr>
          <w:sz w:val="20"/>
          <w:szCs w:val="20"/>
        </w:rPr>
        <w:t xml:space="preserve">a deidentified </w:t>
      </w:r>
      <w:r w:rsidR="00D313DB">
        <w:rPr>
          <w:sz w:val="20"/>
          <w:szCs w:val="20"/>
        </w:rPr>
        <w:t>patient or provider story to highlight the intent of the law</w:t>
      </w:r>
      <w:r w:rsidR="00E924E8">
        <w:rPr>
          <w:sz w:val="20"/>
          <w:szCs w:val="20"/>
        </w:rPr>
        <w:t>, the struggles addressed, and specific examples to show personal impact.</w:t>
      </w:r>
    </w:p>
    <w:p w14:paraId="3A15568B" w14:textId="2362D77C" w:rsidR="00E924E8" w:rsidRDefault="00E924E8" w:rsidP="00F53D29">
      <w:pPr>
        <w:pStyle w:val="ListParagraph"/>
        <w:numPr>
          <w:ilvl w:val="1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Kim proposed that we </w:t>
      </w:r>
      <w:r w:rsidR="005D1BB5">
        <w:rPr>
          <w:sz w:val="20"/>
          <w:szCs w:val="20"/>
        </w:rPr>
        <w:t>might issue a request to all carriers requesting ho</w:t>
      </w:r>
      <w:r w:rsidR="001024A8">
        <w:rPr>
          <w:sz w:val="20"/>
          <w:szCs w:val="20"/>
        </w:rPr>
        <w:t>w</w:t>
      </w:r>
      <w:r w:rsidR="005D1BB5">
        <w:rPr>
          <w:sz w:val="20"/>
          <w:szCs w:val="20"/>
        </w:rPr>
        <w:t xml:space="preserve"> they would </w:t>
      </w:r>
      <w:r w:rsidR="005F7026">
        <w:rPr>
          <w:sz w:val="20"/>
          <w:szCs w:val="20"/>
        </w:rPr>
        <w:t xml:space="preserve">handle a step therapy request for multiple sclerosis. Kim added that we could anticipate that all carriers would describe scenarios in which the </w:t>
      </w:r>
      <w:r w:rsidR="00F24EBE">
        <w:rPr>
          <w:sz w:val="20"/>
          <w:szCs w:val="20"/>
        </w:rPr>
        <w:t>request was approved.</w:t>
      </w:r>
    </w:p>
    <w:p w14:paraId="3CE6ED9A" w14:textId="2E7161FE" w:rsidR="00F24EBE" w:rsidRPr="005A0234" w:rsidRDefault="00F24EBE" w:rsidP="00F53D29">
      <w:pPr>
        <w:pStyle w:val="ListParagraph"/>
        <w:numPr>
          <w:ilvl w:val="1"/>
          <w:numId w:val="3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Clinton </w:t>
      </w:r>
      <w:r w:rsidR="00DB5DCA">
        <w:rPr>
          <w:sz w:val="20"/>
          <w:szCs w:val="20"/>
        </w:rPr>
        <w:t xml:space="preserve">added that risk for hospitalization </w:t>
      </w:r>
      <w:r w:rsidR="00D500B9">
        <w:rPr>
          <w:sz w:val="20"/>
          <w:szCs w:val="20"/>
        </w:rPr>
        <w:t xml:space="preserve">or complication might be one way of assessing the value of the step therapy process. Clinton shared </w:t>
      </w:r>
      <w:r w:rsidR="00796D52">
        <w:rPr>
          <w:sz w:val="20"/>
          <w:szCs w:val="20"/>
        </w:rPr>
        <w:t xml:space="preserve">a link to an article on </w:t>
      </w:r>
      <w:r w:rsidR="00796D52" w:rsidRPr="00796D52">
        <w:rPr>
          <w:sz w:val="20"/>
          <w:szCs w:val="20"/>
        </w:rPr>
        <w:t xml:space="preserve">Hierarchical Condition Category </w:t>
      </w:r>
      <w:r w:rsidR="00796D52">
        <w:rPr>
          <w:sz w:val="20"/>
          <w:szCs w:val="20"/>
        </w:rPr>
        <w:t xml:space="preserve">(HCC) </w:t>
      </w:r>
      <w:r w:rsidR="00796D52" w:rsidRPr="00796D52">
        <w:rPr>
          <w:sz w:val="20"/>
          <w:szCs w:val="20"/>
        </w:rPr>
        <w:t>Coding</w:t>
      </w:r>
      <w:r w:rsidR="00796D52">
        <w:rPr>
          <w:sz w:val="20"/>
          <w:szCs w:val="20"/>
        </w:rPr>
        <w:t xml:space="preserve"> published by </w:t>
      </w:r>
      <w:r w:rsidR="009630C8">
        <w:rPr>
          <w:sz w:val="20"/>
          <w:szCs w:val="20"/>
        </w:rPr>
        <w:t>the American Academy of Family Physicians (AAFP)</w:t>
      </w:r>
      <w:r w:rsidR="00BD6059">
        <w:rPr>
          <w:sz w:val="20"/>
          <w:szCs w:val="20"/>
        </w:rPr>
        <w:t>. The article states, “</w:t>
      </w:r>
      <w:r w:rsidR="00BD6059" w:rsidRPr="00BD6059">
        <w:rPr>
          <w:sz w:val="20"/>
          <w:szCs w:val="20"/>
        </w:rPr>
        <w:t>Hierarchical condition category (HCC) coding is a risk-adjustment model originally designed to estimate future health care costs for patients.</w:t>
      </w:r>
      <w:r w:rsidR="00746BA5">
        <w:rPr>
          <w:sz w:val="20"/>
          <w:szCs w:val="20"/>
        </w:rPr>
        <w:t xml:space="preserve">” Clinton indicated that HCC </w:t>
      </w:r>
      <w:r w:rsidR="00D0311E">
        <w:rPr>
          <w:sz w:val="20"/>
          <w:szCs w:val="20"/>
        </w:rPr>
        <w:t xml:space="preserve">may be reportable from existing data. (See, </w:t>
      </w:r>
      <w:hyperlink r:id="rId11" w:history="1">
        <w:r w:rsidR="00D0311E" w:rsidRPr="00D0311E">
          <w:rPr>
            <w:rStyle w:val="Hyperlink"/>
            <w:sz w:val="20"/>
            <w:szCs w:val="20"/>
          </w:rPr>
          <w:t>Hierarchical Condition Category Coding | AAFP</w:t>
        </w:r>
      </w:hyperlink>
      <w:r w:rsidR="00883E86">
        <w:rPr>
          <w:sz w:val="20"/>
          <w:szCs w:val="20"/>
        </w:rPr>
        <w:t>.)</w:t>
      </w:r>
    </w:p>
    <w:p w14:paraId="37333A17" w14:textId="77777777" w:rsidR="00234E90" w:rsidRDefault="00234E90" w:rsidP="00FB0A10">
      <w:pPr>
        <w:spacing w:after="0" w:line="240" w:lineRule="auto"/>
        <w:rPr>
          <w:sz w:val="20"/>
          <w:szCs w:val="20"/>
        </w:rPr>
      </w:pPr>
    </w:p>
    <w:p w14:paraId="25EE399D" w14:textId="0159B31D" w:rsidR="00332591" w:rsidRDefault="00234E90" w:rsidP="00FB0A1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Kevin </w:t>
      </w:r>
      <w:r w:rsidR="007247FE">
        <w:rPr>
          <w:sz w:val="20"/>
          <w:szCs w:val="20"/>
        </w:rPr>
        <w:t>asked members to articul</w:t>
      </w:r>
      <w:r w:rsidR="00CF20DE">
        <w:rPr>
          <w:sz w:val="20"/>
          <w:szCs w:val="20"/>
        </w:rPr>
        <w:t>ate and send him their suggestions on the following topics</w:t>
      </w:r>
      <w:r w:rsidR="00FB38E3">
        <w:rPr>
          <w:sz w:val="20"/>
          <w:szCs w:val="20"/>
        </w:rPr>
        <w:t xml:space="preserve"> discussed above</w:t>
      </w:r>
      <w:r>
        <w:rPr>
          <w:sz w:val="20"/>
          <w:szCs w:val="20"/>
        </w:rPr>
        <w:t>:</w:t>
      </w:r>
    </w:p>
    <w:p w14:paraId="79E41BDE" w14:textId="10433A3F" w:rsidR="009067AB" w:rsidRDefault="00294A96" w:rsidP="00234E90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000D5DA8">
        <w:rPr>
          <w:sz w:val="20"/>
          <w:szCs w:val="20"/>
        </w:rPr>
        <w:t xml:space="preserve">ow </w:t>
      </w:r>
      <w:r>
        <w:rPr>
          <w:sz w:val="20"/>
          <w:szCs w:val="20"/>
        </w:rPr>
        <w:t xml:space="preserve">numbers of step therapy incidents reported by some carriers </w:t>
      </w:r>
      <w:r w:rsidR="000D5DA8">
        <w:rPr>
          <w:sz w:val="20"/>
          <w:szCs w:val="20"/>
        </w:rPr>
        <w:t>in the 2025 Report</w:t>
      </w:r>
    </w:p>
    <w:p w14:paraId="4F3C34B2" w14:textId="79C8320A" w:rsidR="000D5DA8" w:rsidRDefault="00640384" w:rsidP="00234E90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F96459">
        <w:rPr>
          <w:sz w:val="20"/>
          <w:szCs w:val="20"/>
        </w:rPr>
        <w:t xml:space="preserve">omments on </w:t>
      </w:r>
      <w:r>
        <w:rPr>
          <w:sz w:val="20"/>
          <w:szCs w:val="20"/>
        </w:rPr>
        <w:t xml:space="preserve">existing </w:t>
      </w:r>
      <w:r w:rsidR="00F96459">
        <w:rPr>
          <w:sz w:val="20"/>
          <w:szCs w:val="20"/>
        </w:rPr>
        <w:t xml:space="preserve">Continuity of Care </w:t>
      </w:r>
      <w:r w:rsidR="00F14866">
        <w:rPr>
          <w:sz w:val="20"/>
          <w:szCs w:val="20"/>
        </w:rPr>
        <w:t>P</w:t>
      </w:r>
      <w:r w:rsidR="00F96459">
        <w:rPr>
          <w:sz w:val="20"/>
          <w:szCs w:val="20"/>
        </w:rPr>
        <w:t>lans</w:t>
      </w:r>
      <w:r>
        <w:rPr>
          <w:sz w:val="20"/>
          <w:szCs w:val="20"/>
        </w:rPr>
        <w:t xml:space="preserve"> and </w:t>
      </w:r>
      <w:r w:rsidR="00DC62A4">
        <w:rPr>
          <w:sz w:val="20"/>
          <w:szCs w:val="20"/>
        </w:rPr>
        <w:t>proposals for enhance</w:t>
      </w:r>
      <w:r w:rsidR="006E2801">
        <w:rPr>
          <w:sz w:val="20"/>
          <w:szCs w:val="20"/>
        </w:rPr>
        <w:t xml:space="preserve">d formatting and instructions </w:t>
      </w:r>
      <w:r w:rsidR="004828C6">
        <w:rPr>
          <w:sz w:val="20"/>
          <w:szCs w:val="20"/>
        </w:rPr>
        <w:t xml:space="preserve">and communications </w:t>
      </w:r>
      <w:r w:rsidR="006E2801">
        <w:rPr>
          <w:sz w:val="20"/>
          <w:szCs w:val="20"/>
        </w:rPr>
        <w:t>to providers</w:t>
      </w:r>
    </w:p>
    <w:p w14:paraId="5BA8FBFD" w14:textId="234001FF" w:rsidR="007C5FCC" w:rsidRDefault="00F91C3C" w:rsidP="00234E90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Reactions to </w:t>
      </w:r>
      <w:r w:rsidR="009B4C85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final </w:t>
      </w:r>
      <w:r w:rsidR="009B4C85">
        <w:rPr>
          <w:sz w:val="20"/>
          <w:szCs w:val="20"/>
        </w:rPr>
        <w:t xml:space="preserve">PBM </w:t>
      </w:r>
      <w:r w:rsidR="00CE00BC">
        <w:rPr>
          <w:sz w:val="20"/>
          <w:szCs w:val="20"/>
        </w:rPr>
        <w:t xml:space="preserve">Regulation </w:t>
      </w:r>
      <w:r w:rsidR="009B4C85">
        <w:rPr>
          <w:sz w:val="20"/>
          <w:szCs w:val="20"/>
        </w:rPr>
        <w:t xml:space="preserve">and Amended </w:t>
      </w:r>
      <w:r w:rsidR="00CE00BC">
        <w:rPr>
          <w:sz w:val="20"/>
          <w:szCs w:val="20"/>
        </w:rPr>
        <w:t>Regulation 52 (211 CMR 52.00)</w:t>
      </w:r>
      <w:r>
        <w:rPr>
          <w:sz w:val="20"/>
          <w:szCs w:val="20"/>
        </w:rPr>
        <w:t>, which the Division will circulate</w:t>
      </w:r>
      <w:r w:rsidR="00024FCA">
        <w:rPr>
          <w:sz w:val="20"/>
          <w:szCs w:val="20"/>
        </w:rPr>
        <w:t xml:space="preserve"> upon adoption</w:t>
      </w:r>
    </w:p>
    <w:p w14:paraId="77C25F93" w14:textId="2EE179DF" w:rsidR="00024FCA" w:rsidRDefault="00024FCA" w:rsidP="00234E90">
      <w:pPr>
        <w:pStyle w:val="ListParagraph"/>
        <w:numPr>
          <w:ilvl w:val="0"/>
          <w:numId w:val="3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Think about what we can report on now in June vs. what we can </w:t>
      </w:r>
      <w:r w:rsidR="00A57451">
        <w:rPr>
          <w:sz w:val="20"/>
          <w:szCs w:val="20"/>
        </w:rPr>
        <w:t>report in the future</w:t>
      </w:r>
    </w:p>
    <w:p w14:paraId="2135D89F" w14:textId="77777777" w:rsidR="00352F2F" w:rsidRDefault="00352F2F" w:rsidP="00352F2F">
      <w:pPr>
        <w:spacing w:after="0" w:line="240" w:lineRule="auto"/>
        <w:rPr>
          <w:sz w:val="20"/>
          <w:szCs w:val="20"/>
        </w:rPr>
      </w:pPr>
    </w:p>
    <w:p w14:paraId="6351EA4F" w14:textId="2731166B" w:rsidR="00A57451" w:rsidRPr="00352F2F" w:rsidRDefault="00A57451" w:rsidP="00352F2F">
      <w:pPr>
        <w:spacing w:after="0" w:line="240" w:lineRule="auto"/>
        <w:rPr>
          <w:sz w:val="20"/>
          <w:szCs w:val="20"/>
        </w:rPr>
      </w:pPr>
      <w:r w:rsidRPr="00352F2F">
        <w:rPr>
          <w:sz w:val="20"/>
          <w:szCs w:val="20"/>
        </w:rPr>
        <w:t xml:space="preserve">Kevin will synthesize all comments and suggestions </w:t>
      </w:r>
      <w:r w:rsidR="00C500A3" w:rsidRPr="00352F2F">
        <w:rPr>
          <w:sz w:val="20"/>
          <w:szCs w:val="20"/>
        </w:rPr>
        <w:t>received from Commission members on these topics for the next Commission meeting.</w:t>
      </w:r>
    </w:p>
    <w:p w14:paraId="7E65A5F2" w14:textId="77777777" w:rsidR="00CA6674" w:rsidRDefault="00CA6674" w:rsidP="00CA6674">
      <w:pPr>
        <w:spacing w:after="0" w:line="240" w:lineRule="auto"/>
        <w:rPr>
          <w:sz w:val="20"/>
          <w:szCs w:val="20"/>
        </w:rPr>
      </w:pPr>
    </w:p>
    <w:p w14:paraId="258CA608" w14:textId="10E15B72" w:rsidR="00CA6674" w:rsidRPr="00CA6674" w:rsidRDefault="006933E1" w:rsidP="00CA66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There were no </w:t>
      </w:r>
      <w:r w:rsidR="00CA6674">
        <w:rPr>
          <w:sz w:val="20"/>
          <w:szCs w:val="20"/>
        </w:rPr>
        <w:t xml:space="preserve">other matters </w:t>
      </w:r>
      <w:r>
        <w:rPr>
          <w:sz w:val="20"/>
          <w:szCs w:val="20"/>
        </w:rPr>
        <w:t xml:space="preserve">proposed </w:t>
      </w:r>
      <w:r w:rsidR="00CA6674">
        <w:rPr>
          <w:sz w:val="20"/>
          <w:szCs w:val="20"/>
        </w:rPr>
        <w:t>for discu</w:t>
      </w:r>
      <w:r>
        <w:rPr>
          <w:sz w:val="20"/>
          <w:szCs w:val="20"/>
        </w:rPr>
        <w:t>ssion, and Kevin entertained a Motion to Adjourn the Meeting.</w:t>
      </w:r>
    </w:p>
    <w:p w14:paraId="44F2F142" w14:textId="77777777" w:rsidR="00370269" w:rsidRDefault="00370269" w:rsidP="00FD53B0">
      <w:pPr>
        <w:spacing w:after="0" w:line="240" w:lineRule="auto"/>
        <w:rPr>
          <w:sz w:val="20"/>
          <w:szCs w:val="20"/>
        </w:rPr>
      </w:pPr>
    </w:p>
    <w:p w14:paraId="20CCFB6A" w14:textId="29435DAE" w:rsidR="00FD53B0" w:rsidRPr="00173DCF" w:rsidRDefault="00905000" w:rsidP="005876CB">
      <w:pPr>
        <w:pStyle w:val="Heading2"/>
        <w:numPr>
          <w:ilvl w:val="0"/>
          <w:numId w:val="36"/>
        </w:numPr>
      </w:pPr>
      <w:r>
        <w:t>Motion to Adjourn Meeting</w:t>
      </w:r>
    </w:p>
    <w:p w14:paraId="015D194B" w14:textId="57368614" w:rsidR="00CA26F4" w:rsidRDefault="00695EB8" w:rsidP="00BF01C0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Introduced</w:t>
      </w:r>
      <w:r w:rsidR="003D062F" w:rsidRPr="00CA26F4">
        <w:rPr>
          <w:sz w:val="20"/>
          <w:szCs w:val="20"/>
        </w:rPr>
        <w:t xml:space="preserve"> by </w:t>
      </w:r>
      <w:r w:rsidR="008173CE">
        <w:rPr>
          <w:sz w:val="20"/>
          <w:szCs w:val="20"/>
        </w:rPr>
        <w:t>Clinton</w:t>
      </w:r>
      <w:r w:rsidR="003D062F" w:rsidRPr="00CA26F4">
        <w:rPr>
          <w:sz w:val="20"/>
          <w:szCs w:val="20"/>
        </w:rPr>
        <w:t xml:space="preserve">; seconded by </w:t>
      </w:r>
      <w:r w:rsidR="008173CE">
        <w:rPr>
          <w:sz w:val="20"/>
          <w:szCs w:val="20"/>
        </w:rPr>
        <w:t>Kay</w:t>
      </w:r>
      <w:r w:rsidR="003D062F" w:rsidRPr="00CA26F4">
        <w:rPr>
          <w:sz w:val="20"/>
          <w:szCs w:val="20"/>
        </w:rPr>
        <w:t>; no discussion requested</w:t>
      </w:r>
    </w:p>
    <w:p w14:paraId="6503ECAD" w14:textId="162FDD45" w:rsidR="003D062F" w:rsidRDefault="003D062F" w:rsidP="00CA26F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A26F4">
        <w:rPr>
          <w:sz w:val="20"/>
          <w:szCs w:val="20"/>
        </w:rPr>
        <w:t>Motion passed unanimously</w:t>
      </w:r>
      <w:r w:rsidR="0087497B" w:rsidRPr="00CA26F4">
        <w:rPr>
          <w:sz w:val="20"/>
          <w:szCs w:val="20"/>
        </w:rPr>
        <w:t xml:space="preserve">, and Kevin closed the meeting at </w:t>
      </w:r>
      <w:r w:rsidR="00D74017">
        <w:rPr>
          <w:sz w:val="20"/>
          <w:szCs w:val="20"/>
        </w:rPr>
        <w:t>9</w:t>
      </w:r>
      <w:r w:rsidR="0087497B" w:rsidRPr="00CA26F4">
        <w:rPr>
          <w:sz w:val="20"/>
          <w:szCs w:val="20"/>
        </w:rPr>
        <w:t>:5</w:t>
      </w:r>
      <w:r w:rsidR="003339E6">
        <w:rPr>
          <w:sz w:val="20"/>
          <w:szCs w:val="20"/>
        </w:rPr>
        <w:t>9</w:t>
      </w:r>
      <w:r w:rsidR="0087497B" w:rsidRPr="00CA26F4">
        <w:rPr>
          <w:sz w:val="20"/>
          <w:szCs w:val="20"/>
        </w:rPr>
        <w:t xml:space="preserve"> AM EST.</w:t>
      </w:r>
    </w:p>
    <w:p w14:paraId="61D21A4C" w14:textId="77777777" w:rsidR="004828C6" w:rsidRPr="00CA26F4" w:rsidRDefault="004828C6" w:rsidP="004828C6">
      <w:pPr>
        <w:pStyle w:val="ListParagraph"/>
        <w:spacing w:after="0" w:line="240" w:lineRule="auto"/>
        <w:rPr>
          <w:sz w:val="20"/>
          <w:szCs w:val="20"/>
        </w:rPr>
      </w:pPr>
    </w:p>
    <w:p w14:paraId="629BA53A" w14:textId="77777777" w:rsidR="003D062F" w:rsidRDefault="003D062F" w:rsidP="003D062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960"/>
        <w:gridCol w:w="960"/>
        <w:gridCol w:w="3460"/>
      </w:tblGrid>
      <w:tr w:rsidR="006B6BAE" w:rsidRPr="009C769D" w14:paraId="3392AA6B" w14:textId="77777777" w:rsidTr="00E413FB">
        <w:trPr>
          <w:trHeight w:val="290"/>
          <w:tblHeader/>
        </w:trPr>
        <w:tc>
          <w:tcPr>
            <w:tcW w:w="2600" w:type="dxa"/>
            <w:noWrap/>
            <w:hideMark/>
          </w:tcPr>
          <w:p w14:paraId="300F9B19" w14:textId="77777777" w:rsidR="006B6BAE" w:rsidRPr="009C769D" w:rsidRDefault="006B6BAE" w:rsidP="00E413FB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Voting Member Name</w:t>
            </w:r>
          </w:p>
        </w:tc>
        <w:tc>
          <w:tcPr>
            <w:tcW w:w="960" w:type="dxa"/>
            <w:noWrap/>
            <w:hideMark/>
          </w:tcPr>
          <w:p w14:paraId="61BDCD05" w14:textId="77777777" w:rsidR="006B6BAE" w:rsidRPr="009C769D" w:rsidRDefault="006B6BAE" w:rsidP="00E413FB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96F28D5" w14:textId="77777777" w:rsidR="006B6BAE" w:rsidRPr="009C769D" w:rsidRDefault="006B6BAE" w:rsidP="00E413FB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460" w:type="dxa"/>
            <w:noWrap/>
            <w:hideMark/>
          </w:tcPr>
          <w:p w14:paraId="487E626C" w14:textId="77777777" w:rsidR="006B6BAE" w:rsidRPr="009C769D" w:rsidRDefault="006B6BAE" w:rsidP="00E413FB">
            <w:pPr>
              <w:rPr>
                <w:b/>
                <w:bCs/>
                <w:sz w:val="20"/>
                <w:szCs w:val="20"/>
              </w:rPr>
            </w:pPr>
            <w:r w:rsidRPr="009C769D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="00677279" w:rsidRPr="009C769D" w14:paraId="2CEE7E81" w14:textId="77777777" w:rsidTr="00E413FB">
        <w:trPr>
          <w:trHeight w:val="290"/>
        </w:trPr>
        <w:tc>
          <w:tcPr>
            <w:tcW w:w="2600" w:type="dxa"/>
            <w:hideMark/>
          </w:tcPr>
          <w:p w14:paraId="1CA094E7" w14:textId="2EEA7742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Kevin Beagan</w:t>
            </w:r>
          </w:p>
        </w:tc>
        <w:tc>
          <w:tcPr>
            <w:tcW w:w="960" w:type="dxa"/>
            <w:noWrap/>
            <w:hideMark/>
          </w:tcPr>
          <w:p w14:paraId="577D2713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7750F6D7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781A885E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677279" w:rsidRPr="009C769D" w14:paraId="6D8A6381" w14:textId="77777777" w:rsidTr="00E413FB">
        <w:trPr>
          <w:trHeight w:val="290"/>
        </w:trPr>
        <w:tc>
          <w:tcPr>
            <w:tcW w:w="2600" w:type="dxa"/>
            <w:hideMark/>
          </w:tcPr>
          <w:p w14:paraId="5477D42F" w14:textId="0A91E58F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Nancy Ryan</w:t>
            </w:r>
          </w:p>
        </w:tc>
        <w:tc>
          <w:tcPr>
            <w:tcW w:w="960" w:type="dxa"/>
            <w:noWrap/>
            <w:hideMark/>
          </w:tcPr>
          <w:p w14:paraId="1413E731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5A990DA7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3CADAB1E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677279" w:rsidRPr="009C769D" w14:paraId="60369B9F" w14:textId="77777777" w:rsidTr="00E413FB">
        <w:trPr>
          <w:trHeight w:val="290"/>
        </w:trPr>
        <w:tc>
          <w:tcPr>
            <w:tcW w:w="2600" w:type="dxa"/>
            <w:hideMark/>
          </w:tcPr>
          <w:p w14:paraId="643CF033" w14:textId="66881FF0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Caitlin Sullivan</w:t>
            </w:r>
          </w:p>
        </w:tc>
        <w:tc>
          <w:tcPr>
            <w:tcW w:w="960" w:type="dxa"/>
            <w:noWrap/>
            <w:hideMark/>
          </w:tcPr>
          <w:p w14:paraId="10D7C90B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41486FC8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12F51BC2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677279" w:rsidRPr="009C769D" w14:paraId="62AC4D91" w14:textId="77777777" w:rsidTr="00E413FB">
        <w:trPr>
          <w:trHeight w:val="290"/>
        </w:trPr>
        <w:tc>
          <w:tcPr>
            <w:tcW w:w="2600" w:type="dxa"/>
            <w:hideMark/>
          </w:tcPr>
          <w:p w14:paraId="29FCFACE" w14:textId="5EFCFAE6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Cheryl Bartlett</w:t>
            </w:r>
          </w:p>
        </w:tc>
        <w:tc>
          <w:tcPr>
            <w:tcW w:w="960" w:type="dxa"/>
            <w:noWrap/>
            <w:hideMark/>
          </w:tcPr>
          <w:p w14:paraId="692E74B8" w14:textId="6BCB1DDA" w:rsidR="00677279" w:rsidRPr="009C769D" w:rsidRDefault="00677279" w:rsidP="0067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3640A66A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693CF5BD" w14:textId="6A451BAB" w:rsidR="00677279" w:rsidRPr="009C769D" w:rsidRDefault="00677279" w:rsidP="00677279">
            <w:pPr>
              <w:rPr>
                <w:sz w:val="20"/>
                <w:szCs w:val="20"/>
              </w:rPr>
            </w:pPr>
          </w:p>
        </w:tc>
      </w:tr>
      <w:tr w:rsidR="00677279" w:rsidRPr="009C769D" w14:paraId="2023F077" w14:textId="77777777" w:rsidTr="00E413FB">
        <w:trPr>
          <w:trHeight w:val="290"/>
        </w:trPr>
        <w:tc>
          <w:tcPr>
            <w:tcW w:w="2600" w:type="dxa"/>
            <w:hideMark/>
          </w:tcPr>
          <w:p w14:paraId="0728A1D3" w14:textId="626D5560" w:rsidR="00677279" w:rsidRPr="009C769D" w:rsidRDefault="00677279" w:rsidP="0067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 Dart</w:t>
            </w:r>
          </w:p>
        </w:tc>
        <w:tc>
          <w:tcPr>
            <w:tcW w:w="960" w:type="dxa"/>
            <w:noWrap/>
            <w:hideMark/>
          </w:tcPr>
          <w:p w14:paraId="3CD4CF94" w14:textId="3B559729" w:rsidR="00677279" w:rsidRPr="009C769D" w:rsidRDefault="00677279" w:rsidP="0067727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B2C35E2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7A1C0620" w14:textId="02D05C6C" w:rsidR="00677279" w:rsidRPr="009C769D" w:rsidRDefault="00F473FF" w:rsidP="0067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Non-Voting Attendee</w:t>
            </w:r>
            <w:r w:rsidR="00677279" w:rsidRPr="009C769D">
              <w:rPr>
                <w:sz w:val="20"/>
                <w:szCs w:val="20"/>
              </w:rPr>
              <w:t> </w:t>
            </w:r>
          </w:p>
        </w:tc>
      </w:tr>
      <w:tr w:rsidR="00677279" w:rsidRPr="009C769D" w14:paraId="5F8CF1B4" w14:textId="77777777" w:rsidTr="00E413FB">
        <w:trPr>
          <w:trHeight w:val="290"/>
        </w:trPr>
        <w:tc>
          <w:tcPr>
            <w:tcW w:w="2600" w:type="dxa"/>
            <w:hideMark/>
          </w:tcPr>
          <w:p w14:paraId="1DCCBC01" w14:textId="6DBB170A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Sarah Chiaramida</w:t>
            </w:r>
          </w:p>
        </w:tc>
        <w:tc>
          <w:tcPr>
            <w:tcW w:w="960" w:type="dxa"/>
            <w:noWrap/>
            <w:hideMark/>
          </w:tcPr>
          <w:p w14:paraId="525543BC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2C14672E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25C7080F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  <w:tr w:rsidR="00677279" w:rsidRPr="009C769D" w14:paraId="370E21F9" w14:textId="77777777" w:rsidTr="00E413FB">
        <w:trPr>
          <w:trHeight w:val="290"/>
        </w:trPr>
        <w:tc>
          <w:tcPr>
            <w:tcW w:w="2600" w:type="dxa"/>
            <w:hideMark/>
          </w:tcPr>
          <w:p w14:paraId="3D216074" w14:textId="075353AF" w:rsidR="00677279" w:rsidRPr="009C769D" w:rsidRDefault="00677279" w:rsidP="00677279">
            <w:pPr>
              <w:rPr>
                <w:sz w:val="20"/>
                <w:szCs w:val="20"/>
              </w:rPr>
            </w:pPr>
            <w:r w:rsidRPr="00F3586D">
              <w:rPr>
                <w:sz w:val="20"/>
                <w:szCs w:val="20"/>
              </w:rPr>
              <w:t>Marc Hymovitz</w:t>
            </w:r>
          </w:p>
        </w:tc>
        <w:tc>
          <w:tcPr>
            <w:tcW w:w="960" w:type="dxa"/>
            <w:noWrap/>
            <w:hideMark/>
          </w:tcPr>
          <w:p w14:paraId="447E28B8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36ECE7DF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3988255D" w14:textId="77777777" w:rsidR="00677279" w:rsidRPr="009C769D" w:rsidRDefault="00677279" w:rsidP="00677279">
            <w:pPr>
              <w:rPr>
                <w:sz w:val="20"/>
                <w:szCs w:val="20"/>
              </w:rPr>
            </w:pPr>
          </w:p>
        </w:tc>
      </w:tr>
      <w:tr w:rsidR="00677279" w:rsidRPr="009C769D" w14:paraId="35E9BEE9" w14:textId="77777777" w:rsidTr="00E413FB">
        <w:trPr>
          <w:trHeight w:val="290"/>
        </w:trPr>
        <w:tc>
          <w:tcPr>
            <w:tcW w:w="2600" w:type="dxa"/>
          </w:tcPr>
          <w:p w14:paraId="343A2859" w14:textId="6F287E82" w:rsidR="00677279" w:rsidRPr="009C769D" w:rsidRDefault="00677279" w:rsidP="0067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Clinton Pong</w:t>
            </w:r>
          </w:p>
        </w:tc>
        <w:tc>
          <w:tcPr>
            <w:tcW w:w="960" w:type="dxa"/>
            <w:noWrap/>
          </w:tcPr>
          <w:p w14:paraId="362A9E79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</w:tcPr>
          <w:p w14:paraId="1C0E4E04" w14:textId="77777777" w:rsidR="00677279" w:rsidRPr="009C769D" w:rsidRDefault="00677279" w:rsidP="0067727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noWrap/>
          </w:tcPr>
          <w:p w14:paraId="6BD3C2EC" w14:textId="77777777" w:rsidR="00677279" w:rsidRPr="009C769D" w:rsidRDefault="00677279" w:rsidP="00677279">
            <w:pPr>
              <w:rPr>
                <w:sz w:val="20"/>
                <w:szCs w:val="20"/>
              </w:rPr>
            </w:pPr>
          </w:p>
        </w:tc>
      </w:tr>
      <w:tr w:rsidR="00677279" w:rsidRPr="009C769D" w14:paraId="47C2AAF6" w14:textId="77777777" w:rsidTr="00E413FB">
        <w:trPr>
          <w:trHeight w:val="290"/>
        </w:trPr>
        <w:tc>
          <w:tcPr>
            <w:tcW w:w="2600" w:type="dxa"/>
            <w:hideMark/>
          </w:tcPr>
          <w:p w14:paraId="634DCF21" w14:textId="724B3554" w:rsidR="00677279" w:rsidRPr="009C769D" w:rsidRDefault="00677279" w:rsidP="00677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Lenz</w:t>
            </w:r>
          </w:p>
        </w:tc>
        <w:tc>
          <w:tcPr>
            <w:tcW w:w="960" w:type="dxa"/>
            <w:noWrap/>
            <w:hideMark/>
          </w:tcPr>
          <w:p w14:paraId="3B1000B3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6FF7B974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  <w:tc>
          <w:tcPr>
            <w:tcW w:w="3460" w:type="dxa"/>
            <w:noWrap/>
            <w:hideMark/>
          </w:tcPr>
          <w:p w14:paraId="0D927C99" w14:textId="77777777" w:rsidR="00677279" w:rsidRPr="009C769D" w:rsidRDefault="00677279" w:rsidP="00677279">
            <w:pPr>
              <w:rPr>
                <w:sz w:val="20"/>
                <w:szCs w:val="20"/>
              </w:rPr>
            </w:pPr>
            <w:r w:rsidRPr="009C769D">
              <w:rPr>
                <w:sz w:val="20"/>
                <w:szCs w:val="20"/>
              </w:rPr>
              <w:t> </w:t>
            </w:r>
          </w:p>
        </w:tc>
      </w:tr>
    </w:tbl>
    <w:p w14:paraId="5F8E34AA" w14:textId="77777777" w:rsidR="003D062F" w:rsidRDefault="003D062F" w:rsidP="006B6BAE">
      <w:pPr>
        <w:spacing w:after="0" w:line="240" w:lineRule="auto"/>
        <w:rPr>
          <w:sz w:val="20"/>
          <w:szCs w:val="20"/>
        </w:rPr>
      </w:pPr>
    </w:p>
    <w:sectPr w:rsidR="003D062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7A0" w14:textId="77777777" w:rsidR="00836B50" w:rsidRDefault="00836B50" w:rsidP="00000A1A">
      <w:pPr>
        <w:spacing w:after="0" w:line="240" w:lineRule="auto"/>
      </w:pPr>
      <w:r>
        <w:separator/>
      </w:r>
    </w:p>
  </w:endnote>
  <w:endnote w:type="continuationSeparator" w:id="0">
    <w:p w14:paraId="5B4DBCF8" w14:textId="77777777" w:rsidR="00836B50" w:rsidRDefault="00836B50" w:rsidP="0000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14284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08D7395" w14:textId="39C2FE16" w:rsidR="00000A1A" w:rsidRDefault="00000A1A">
        <w:pPr>
          <w:pStyle w:val="Footer"/>
          <w:jc w:val="center"/>
        </w:pPr>
        <w:r w:rsidRPr="00844480">
          <w:rPr>
            <w:sz w:val="20"/>
            <w:szCs w:val="20"/>
          </w:rPr>
          <w:fldChar w:fldCharType="begin"/>
        </w:r>
        <w:r w:rsidRPr="00844480">
          <w:rPr>
            <w:sz w:val="20"/>
            <w:szCs w:val="20"/>
          </w:rPr>
          <w:instrText xml:space="preserve"> PAGE   \* MERGEFORMAT </w:instrText>
        </w:r>
        <w:r w:rsidRPr="00844480">
          <w:rPr>
            <w:sz w:val="20"/>
            <w:szCs w:val="20"/>
          </w:rPr>
          <w:fldChar w:fldCharType="separate"/>
        </w:r>
        <w:r w:rsidRPr="00844480">
          <w:rPr>
            <w:noProof/>
            <w:sz w:val="20"/>
            <w:szCs w:val="20"/>
          </w:rPr>
          <w:t>2</w:t>
        </w:r>
        <w:r w:rsidRPr="00844480">
          <w:rPr>
            <w:noProof/>
            <w:sz w:val="20"/>
            <w:szCs w:val="20"/>
          </w:rPr>
          <w:fldChar w:fldCharType="end"/>
        </w:r>
      </w:p>
    </w:sdtContent>
  </w:sdt>
  <w:p w14:paraId="50A15697" w14:textId="77777777" w:rsidR="00000A1A" w:rsidRDefault="0000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4B6B" w14:textId="77777777" w:rsidR="00836B50" w:rsidRDefault="00836B50" w:rsidP="00000A1A">
      <w:pPr>
        <w:spacing w:after="0" w:line="240" w:lineRule="auto"/>
      </w:pPr>
      <w:r>
        <w:separator/>
      </w:r>
    </w:p>
  </w:footnote>
  <w:footnote w:type="continuationSeparator" w:id="0">
    <w:p w14:paraId="7319B13D" w14:textId="77777777" w:rsidR="00836B50" w:rsidRDefault="00836B50" w:rsidP="0000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5B8D" w14:textId="34BEC233" w:rsidR="005C51C5" w:rsidRDefault="00000000">
    <w:pPr>
      <w:pStyle w:val="Header"/>
    </w:pPr>
    <w:r>
      <w:rPr>
        <w:noProof/>
      </w:rPr>
      <w:pict w14:anchorId="1C6DA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220282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C434" w14:textId="10903A87" w:rsidR="00000A1A" w:rsidRPr="00D50080" w:rsidRDefault="00000000" w:rsidP="00000A1A">
    <w:pPr>
      <w:pStyle w:val="Header"/>
      <w:jc w:val="center"/>
      <w:rPr>
        <w:b/>
        <w:bCs/>
        <w:sz w:val="22"/>
        <w:szCs w:val="22"/>
      </w:rPr>
    </w:pPr>
    <w:r>
      <w:rPr>
        <w:noProof/>
      </w:rPr>
      <w:pict w14:anchorId="5B2AB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220283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00A1A" w:rsidRPr="00D50080">
      <w:rPr>
        <w:b/>
        <w:bCs/>
        <w:sz w:val="22"/>
        <w:szCs w:val="22"/>
      </w:rPr>
      <w:t>COMMISSION ON STEP THERAPY PROTOCOLS</w:t>
    </w:r>
  </w:p>
  <w:p w14:paraId="1CC1B1E3" w14:textId="457D083F" w:rsidR="00000A1A" w:rsidRPr="00D50080" w:rsidRDefault="00000A1A" w:rsidP="00000A1A">
    <w:pPr>
      <w:pStyle w:val="Header"/>
      <w:jc w:val="center"/>
      <w:rPr>
        <w:b/>
        <w:bCs/>
        <w:sz w:val="22"/>
        <w:szCs w:val="22"/>
      </w:rPr>
    </w:pPr>
    <w:r w:rsidRPr="00D50080">
      <w:rPr>
        <w:b/>
        <w:bCs/>
        <w:sz w:val="22"/>
        <w:szCs w:val="22"/>
      </w:rPr>
      <w:t xml:space="preserve">Minutes of Virtual Meeting Held </w:t>
    </w:r>
    <w:r w:rsidR="00AF1510">
      <w:rPr>
        <w:b/>
        <w:bCs/>
        <w:sz w:val="22"/>
        <w:szCs w:val="22"/>
      </w:rPr>
      <w:t>March 12</w:t>
    </w:r>
    <w:r w:rsidRPr="00D50080">
      <w:rPr>
        <w:b/>
        <w:bCs/>
        <w:sz w:val="22"/>
        <w:szCs w:val="22"/>
      </w:rPr>
      <w:t>, 202</w:t>
    </w:r>
    <w:r w:rsidR="00AF1510">
      <w:rPr>
        <w:b/>
        <w:bCs/>
        <w:sz w:val="22"/>
        <w:szCs w:val="22"/>
      </w:rPr>
      <w:t>6</w:t>
    </w:r>
  </w:p>
  <w:p w14:paraId="783AB9B8" w14:textId="77777777" w:rsidR="00000A1A" w:rsidRPr="00D50080" w:rsidRDefault="00000A1A" w:rsidP="00000A1A">
    <w:pPr>
      <w:pStyle w:val="Header"/>
      <w:jc w:val="center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455D" w14:textId="160ED08F" w:rsidR="005C51C5" w:rsidRDefault="00000000">
    <w:pPr>
      <w:pStyle w:val="Header"/>
    </w:pPr>
    <w:r>
      <w:rPr>
        <w:noProof/>
      </w:rPr>
      <w:pict w14:anchorId="22E71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1220281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FD7"/>
    <w:multiLevelType w:val="hybridMultilevel"/>
    <w:tmpl w:val="F5FEA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C6C1C"/>
    <w:multiLevelType w:val="hybridMultilevel"/>
    <w:tmpl w:val="81C27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E3180"/>
    <w:multiLevelType w:val="hybridMultilevel"/>
    <w:tmpl w:val="562C2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C6058"/>
    <w:multiLevelType w:val="hybridMultilevel"/>
    <w:tmpl w:val="1338AE8C"/>
    <w:lvl w:ilvl="0" w:tplc="6D4C69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D7D3E"/>
    <w:multiLevelType w:val="hybridMultilevel"/>
    <w:tmpl w:val="28D4B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6D9E"/>
    <w:multiLevelType w:val="hybridMultilevel"/>
    <w:tmpl w:val="1082C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6485F"/>
    <w:multiLevelType w:val="hybridMultilevel"/>
    <w:tmpl w:val="38B01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4C6C"/>
    <w:multiLevelType w:val="hybridMultilevel"/>
    <w:tmpl w:val="45EE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5AE3"/>
    <w:multiLevelType w:val="hybridMultilevel"/>
    <w:tmpl w:val="0BD07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AC5BAD"/>
    <w:multiLevelType w:val="hybridMultilevel"/>
    <w:tmpl w:val="6EDED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F6A71"/>
    <w:multiLevelType w:val="hybridMultilevel"/>
    <w:tmpl w:val="F29AC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E0ABF"/>
    <w:multiLevelType w:val="hybridMultilevel"/>
    <w:tmpl w:val="019C3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F57AE"/>
    <w:multiLevelType w:val="hybridMultilevel"/>
    <w:tmpl w:val="D0B2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5630E"/>
    <w:multiLevelType w:val="hybridMultilevel"/>
    <w:tmpl w:val="A392B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979B9"/>
    <w:multiLevelType w:val="hybridMultilevel"/>
    <w:tmpl w:val="FC52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7769"/>
    <w:multiLevelType w:val="hybridMultilevel"/>
    <w:tmpl w:val="71E03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F6F0D"/>
    <w:multiLevelType w:val="hybridMultilevel"/>
    <w:tmpl w:val="2982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F666D"/>
    <w:multiLevelType w:val="hybridMultilevel"/>
    <w:tmpl w:val="41F0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E407D"/>
    <w:multiLevelType w:val="hybridMultilevel"/>
    <w:tmpl w:val="7BA4C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64001"/>
    <w:multiLevelType w:val="hybridMultilevel"/>
    <w:tmpl w:val="2B4C7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117CCA"/>
    <w:multiLevelType w:val="hybridMultilevel"/>
    <w:tmpl w:val="59A8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E7F25"/>
    <w:multiLevelType w:val="hybridMultilevel"/>
    <w:tmpl w:val="E1D4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C76BA0"/>
    <w:multiLevelType w:val="hybridMultilevel"/>
    <w:tmpl w:val="3E7CA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C4291C"/>
    <w:multiLevelType w:val="hybridMultilevel"/>
    <w:tmpl w:val="91C841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2453E"/>
    <w:multiLevelType w:val="hybridMultilevel"/>
    <w:tmpl w:val="3E5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E1B93"/>
    <w:multiLevelType w:val="hybridMultilevel"/>
    <w:tmpl w:val="153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338A"/>
    <w:multiLevelType w:val="hybridMultilevel"/>
    <w:tmpl w:val="1CEA9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84FE1"/>
    <w:multiLevelType w:val="hybridMultilevel"/>
    <w:tmpl w:val="668A4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921F35"/>
    <w:multiLevelType w:val="hybridMultilevel"/>
    <w:tmpl w:val="C450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12F91"/>
    <w:multiLevelType w:val="hybridMultilevel"/>
    <w:tmpl w:val="1B6A1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552257"/>
    <w:multiLevelType w:val="hybridMultilevel"/>
    <w:tmpl w:val="3EB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B4828"/>
    <w:multiLevelType w:val="hybridMultilevel"/>
    <w:tmpl w:val="B8144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20C08"/>
    <w:multiLevelType w:val="hybridMultilevel"/>
    <w:tmpl w:val="5D04F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1C7659"/>
    <w:multiLevelType w:val="hybridMultilevel"/>
    <w:tmpl w:val="2188A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660A72"/>
    <w:multiLevelType w:val="hybridMultilevel"/>
    <w:tmpl w:val="C01EB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7D03FC"/>
    <w:multiLevelType w:val="hybridMultilevel"/>
    <w:tmpl w:val="2516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81299">
    <w:abstractNumId w:val="14"/>
  </w:num>
  <w:num w:numId="2" w16cid:durableId="1944919502">
    <w:abstractNumId w:val="12"/>
  </w:num>
  <w:num w:numId="3" w16cid:durableId="54592247">
    <w:abstractNumId w:val="30"/>
  </w:num>
  <w:num w:numId="4" w16cid:durableId="1866360159">
    <w:abstractNumId w:val="16"/>
  </w:num>
  <w:num w:numId="5" w16cid:durableId="422578298">
    <w:abstractNumId w:val="28"/>
  </w:num>
  <w:num w:numId="6" w16cid:durableId="447241714">
    <w:abstractNumId w:val="25"/>
  </w:num>
  <w:num w:numId="7" w16cid:durableId="967468485">
    <w:abstractNumId w:val="35"/>
  </w:num>
  <w:num w:numId="8" w16cid:durableId="695085701">
    <w:abstractNumId w:val="31"/>
  </w:num>
  <w:num w:numId="9" w16cid:durableId="117991922">
    <w:abstractNumId w:val="26"/>
  </w:num>
  <w:num w:numId="10" w16cid:durableId="1655840087">
    <w:abstractNumId w:val="24"/>
  </w:num>
  <w:num w:numId="11" w16cid:durableId="611131958">
    <w:abstractNumId w:val="11"/>
  </w:num>
  <w:num w:numId="12" w16cid:durableId="299922775">
    <w:abstractNumId w:val="22"/>
  </w:num>
  <w:num w:numId="13" w16cid:durableId="1117722421">
    <w:abstractNumId w:val="5"/>
  </w:num>
  <w:num w:numId="14" w16cid:durableId="1546716391">
    <w:abstractNumId w:val="20"/>
  </w:num>
  <w:num w:numId="15" w16cid:durableId="1398478884">
    <w:abstractNumId w:val="29"/>
  </w:num>
  <w:num w:numId="16" w16cid:durableId="1297101992">
    <w:abstractNumId w:val="18"/>
  </w:num>
  <w:num w:numId="17" w16cid:durableId="2037853298">
    <w:abstractNumId w:val="23"/>
  </w:num>
  <w:num w:numId="18" w16cid:durableId="711927642">
    <w:abstractNumId w:val="33"/>
  </w:num>
  <w:num w:numId="19" w16cid:durableId="269046082">
    <w:abstractNumId w:val="8"/>
  </w:num>
  <w:num w:numId="20" w16cid:durableId="555823814">
    <w:abstractNumId w:val="7"/>
  </w:num>
  <w:num w:numId="21" w16cid:durableId="1581675527">
    <w:abstractNumId w:val="1"/>
  </w:num>
  <w:num w:numId="22" w16cid:durableId="61294582">
    <w:abstractNumId w:val="27"/>
  </w:num>
  <w:num w:numId="23" w16cid:durableId="158498107">
    <w:abstractNumId w:val="2"/>
  </w:num>
  <w:num w:numId="24" w16cid:durableId="1044133822">
    <w:abstractNumId w:val="9"/>
  </w:num>
  <w:num w:numId="25" w16cid:durableId="750010523">
    <w:abstractNumId w:val="13"/>
  </w:num>
  <w:num w:numId="26" w16cid:durableId="1121341909">
    <w:abstractNumId w:val="6"/>
  </w:num>
  <w:num w:numId="27" w16cid:durableId="332804796">
    <w:abstractNumId w:val="4"/>
  </w:num>
  <w:num w:numId="28" w16cid:durableId="1712610918">
    <w:abstractNumId w:val="19"/>
  </w:num>
  <w:num w:numId="29" w16cid:durableId="1429734187">
    <w:abstractNumId w:val="15"/>
  </w:num>
  <w:num w:numId="30" w16cid:durableId="1215778652">
    <w:abstractNumId w:val="21"/>
  </w:num>
  <w:num w:numId="31" w16cid:durableId="1519194709">
    <w:abstractNumId w:val="0"/>
  </w:num>
  <w:num w:numId="32" w16cid:durableId="88351628">
    <w:abstractNumId w:val="10"/>
  </w:num>
  <w:num w:numId="33" w16cid:durableId="388263642">
    <w:abstractNumId w:val="32"/>
  </w:num>
  <w:num w:numId="34" w16cid:durableId="1586456260">
    <w:abstractNumId w:val="3"/>
  </w:num>
  <w:num w:numId="35" w16cid:durableId="564221263">
    <w:abstractNumId w:val="34"/>
  </w:num>
  <w:num w:numId="36" w16cid:durableId="4290819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A"/>
    <w:rsid w:val="00000396"/>
    <w:rsid w:val="00000A1A"/>
    <w:rsid w:val="00003DF1"/>
    <w:rsid w:val="00004974"/>
    <w:rsid w:val="000115A1"/>
    <w:rsid w:val="00011DB2"/>
    <w:rsid w:val="00012F5C"/>
    <w:rsid w:val="00012FB2"/>
    <w:rsid w:val="00014963"/>
    <w:rsid w:val="00015F23"/>
    <w:rsid w:val="00024FCA"/>
    <w:rsid w:val="00026C3A"/>
    <w:rsid w:val="00027B2A"/>
    <w:rsid w:val="000355CF"/>
    <w:rsid w:val="00036078"/>
    <w:rsid w:val="0004174D"/>
    <w:rsid w:val="00045750"/>
    <w:rsid w:val="00047EC6"/>
    <w:rsid w:val="00050448"/>
    <w:rsid w:val="00052035"/>
    <w:rsid w:val="00052B96"/>
    <w:rsid w:val="000565B5"/>
    <w:rsid w:val="00062537"/>
    <w:rsid w:val="00062CB0"/>
    <w:rsid w:val="00064E60"/>
    <w:rsid w:val="00065DAB"/>
    <w:rsid w:val="00073664"/>
    <w:rsid w:val="0007423B"/>
    <w:rsid w:val="0007475C"/>
    <w:rsid w:val="000753A8"/>
    <w:rsid w:val="00076000"/>
    <w:rsid w:val="00076503"/>
    <w:rsid w:val="00077C3A"/>
    <w:rsid w:val="0008646F"/>
    <w:rsid w:val="0008680C"/>
    <w:rsid w:val="00093E48"/>
    <w:rsid w:val="0009547B"/>
    <w:rsid w:val="0009792B"/>
    <w:rsid w:val="000A09EB"/>
    <w:rsid w:val="000A18D9"/>
    <w:rsid w:val="000A3CC2"/>
    <w:rsid w:val="000A41C1"/>
    <w:rsid w:val="000A5DCD"/>
    <w:rsid w:val="000A7A6B"/>
    <w:rsid w:val="000B0C6E"/>
    <w:rsid w:val="000B6284"/>
    <w:rsid w:val="000C083F"/>
    <w:rsid w:val="000C533C"/>
    <w:rsid w:val="000D3271"/>
    <w:rsid w:val="000D47D8"/>
    <w:rsid w:val="000D5DA8"/>
    <w:rsid w:val="000E1FC8"/>
    <w:rsid w:val="000E383C"/>
    <w:rsid w:val="000F13AA"/>
    <w:rsid w:val="000F46C2"/>
    <w:rsid w:val="001017D6"/>
    <w:rsid w:val="001024A8"/>
    <w:rsid w:val="00103ECA"/>
    <w:rsid w:val="00104BF1"/>
    <w:rsid w:val="0010540E"/>
    <w:rsid w:val="00107274"/>
    <w:rsid w:val="0011098E"/>
    <w:rsid w:val="00112931"/>
    <w:rsid w:val="00112EBD"/>
    <w:rsid w:val="00114775"/>
    <w:rsid w:val="00115C3C"/>
    <w:rsid w:val="00115E37"/>
    <w:rsid w:val="0012090A"/>
    <w:rsid w:val="001234FD"/>
    <w:rsid w:val="00125E7D"/>
    <w:rsid w:val="001277C4"/>
    <w:rsid w:val="00127C93"/>
    <w:rsid w:val="00127D32"/>
    <w:rsid w:val="00131B92"/>
    <w:rsid w:val="00135372"/>
    <w:rsid w:val="00135F82"/>
    <w:rsid w:val="001367F9"/>
    <w:rsid w:val="00136C5F"/>
    <w:rsid w:val="00136F25"/>
    <w:rsid w:val="00140E1C"/>
    <w:rsid w:val="00140FC8"/>
    <w:rsid w:val="00141AB9"/>
    <w:rsid w:val="0014751F"/>
    <w:rsid w:val="00147A23"/>
    <w:rsid w:val="0015225F"/>
    <w:rsid w:val="00152AE9"/>
    <w:rsid w:val="00155FF1"/>
    <w:rsid w:val="001574B5"/>
    <w:rsid w:val="00157679"/>
    <w:rsid w:val="00157920"/>
    <w:rsid w:val="00164766"/>
    <w:rsid w:val="00165092"/>
    <w:rsid w:val="0016541C"/>
    <w:rsid w:val="00167835"/>
    <w:rsid w:val="00170F93"/>
    <w:rsid w:val="00173DCF"/>
    <w:rsid w:val="001758DE"/>
    <w:rsid w:val="0018197A"/>
    <w:rsid w:val="00185830"/>
    <w:rsid w:val="00187910"/>
    <w:rsid w:val="00190179"/>
    <w:rsid w:val="001916D1"/>
    <w:rsid w:val="00193FB2"/>
    <w:rsid w:val="001944BF"/>
    <w:rsid w:val="001A0121"/>
    <w:rsid w:val="001A36F5"/>
    <w:rsid w:val="001A690F"/>
    <w:rsid w:val="001A6974"/>
    <w:rsid w:val="001B0C21"/>
    <w:rsid w:val="001B191D"/>
    <w:rsid w:val="001B1F5B"/>
    <w:rsid w:val="001C60C0"/>
    <w:rsid w:val="001C764A"/>
    <w:rsid w:val="001C78C2"/>
    <w:rsid w:val="001C7963"/>
    <w:rsid w:val="001D2790"/>
    <w:rsid w:val="001D3123"/>
    <w:rsid w:val="001D3D0C"/>
    <w:rsid w:val="001D48B0"/>
    <w:rsid w:val="001D52CA"/>
    <w:rsid w:val="001D5882"/>
    <w:rsid w:val="001D7685"/>
    <w:rsid w:val="001D7A3A"/>
    <w:rsid w:val="001E05F3"/>
    <w:rsid w:val="001E2886"/>
    <w:rsid w:val="001E60F5"/>
    <w:rsid w:val="001F08A4"/>
    <w:rsid w:val="001F0B5C"/>
    <w:rsid w:val="001F123A"/>
    <w:rsid w:val="001F1977"/>
    <w:rsid w:val="001F4492"/>
    <w:rsid w:val="001F559C"/>
    <w:rsid w:val="00202558"/>
    <w:rsid w:val="002026A9"/>
    <w:rsid w:val="0020354A"/>
    <w:rsid w:val="00203CD0"/>
    <w:rsid w:val="00210D06"/>
    <w:rsid w:val="002127BF"/>
    <w:rsid w:val="00215C96"/>
    <w:rsid w:val="00217339"/>
    <w:rsid w:val="00222077"/>
    <w:rsid w:val="0022650E"/>
    <w:rsid w:val="00227582"/>
    <w:rsid w:val="00234E90"/>
    <w:rsid w:val="0023575F"/>
    <w:rsid w:val="00236399"/>
    <w:rsid w:val="00240E5A"/>
    <w:rsid w:val="0024268B"/>
    <w:rsid w:val="00243928"/>
    <w:rsid w:val="00244D37"/>
    <w:rsid w:val="00244D67"/>
    <w:rsid w:val="002472EE"/>
    <w:rsid w:val="00255D4B"/>
    <w:rsid w:val="0025644B"/>
    <w:rsid w:val="00260993"/>
    <w:rsid w:val="00262C50"/>
    <w:rsid w:val="00264E48"/>
    <w:rsid w:val="00266014"/>
    <w:rsid w:val="00267177"/>
    <w:rsid w:val="00270750"/>
    <w:rsid w:val="00272605"/>
    <w:rsid w:val="0027349A"/>
    <w:rsid w:val="00273D4A"/>
    <w:rsid w:val="00275B88"/>
    <w:rsid w:val="002772E6"/>
    <w:rsid w:val="002829B3"/>
    <w:rsid w:val="00282E68"/>
    <w:rsid w:val="00285A99"/>
    <w:rsid w:val="00286B7C"/>
    <w:rsid w:val="0029079B"/>
    <w:rsid w:val="002907FE"/>
    <w:rsid w:val="00291035"/>
    <w:rsid w:val="00292641"/>
    <w:rsid w:val="002929F4"/>
    <w:rsid w:val="00294A96"/>
    <w:rsid w:val="002955D5"/>
    <w:rsid w:val="00296157"/>
    <w:rsid w:val="0029654C"/>
    <w:rsid w:val="002A14ED"/>
    <w:rsid w:val="002A1E08"/>
    <w:rsid w:val="002A2CC6"/>
    <w:rsid w:val="002A37C5"/>
    <w:rsid w:val="002A5596"/>
    <w:rsid w:val="002A6C7A"/>
    <w:rsid w:val="002B1C86"/>
    <w:rsid w:val="002B5C13"/>
    <w:rsid w:val="002B716D"/>
    <w:rsid w:val="002C4450"/>
    <w:rsid w:val="002D458B"/>
    <w:rsid w:val="002E1682"/>
    <w:rsid w:val="002E17CA"/>
    <w:rsid w:val="002F0305"/>
    <w:rsid w:val="002F1129"/>
    <w:rsid w:val="002F204D"/>
    <w:rsid w:val="002F22D6"/>
    <w:rsid w:val="002F388C"/>
    <w:rsid w:val="002F4B43"/>
    <w:rsid w:val="003038E9"/>
    <w:rsid w:val="00303EB6"/>
    <w:rsid w:val="00304D0E"/>
    <w:rsid w:val="00311DCD"/>
    <w:rsid w:val="00315756"/>
    <w:rsid w:val="00316D52"/>
    <w:rsid w:val="00316F9B"/>
    <w:rsid w:val="0032113E"/>
    <w:rsid w:val="00331710"/>
    <w:rsid w:val="00332591"/>
    <w:rsid w:val="003339E6"/>
    <w:rsid w:val="003418BB"/>
    <w:rsid w:val="0034424C"/>
    <w:rsid w:val="00344EFB"/>
    <w:rsid w:val="00345B5C"/>
    <w:rsid w:val="003471DD"/>
    <w:rsid w:val="003477E8"/>
    <w:rsid w:val="00350B58"/>
    <w:rsid w:val="0035129C"/>
    <w:rsid w:val="00352F2F"/>
    <w:rsid w:val="00354395"/>
    <w:rsid w:val="003560FD"/>
    <w:rsid w:val="00357F15"/>
    <w:rsid w:val="0036081E"/>
    <w:rsid w:val="003647F1"/>
    <w:rsid w:val="00366B4F"/>
    <w:rsid w:val="00370269"/>
    <w:rsid w:val="003711FB"/>
    <w:rsid w:val="00371F24"/>
    <w:rsid w:val="00376781"/>
    <w:rsid w:val="00380726"/>
    <w:rsid w:val="003813EF"/>
    <w:rsid w:val="00382AE3"/>
    <w:rsid w:val="00386111"/>
    <w:rsid w:val="00386AC1"/>
    <w:rsid w:val="00391F83"/>
    <w:rsid w:val="00395243"/>
    <w:rsid w:val="003A19DA"/>
    <w:rsid w:val="003A633A"/>
    <w:rsid w:val="003B0258"/>
    <w:rsid w:val="003B171E"/>
    <w:rsid w:val="003B4148"/>
    <w:rsid w:val="003B4B2F"/>
    <w:rsid w:val="003B57E8"/>
    <w:rsid w:val="003C018C"/>
    <w:rsid w:val="003C1AB5"/>
    <w:rsid w:val="003C79F0"/>
    <w:rsid w:val="003C7F6B"/>
    <w:rsid w:val="003D062F"/>
    <w:rsid w:val="003D722B"/>
    <w:rsid w:val="003D781B"/>
    <w:rsid w:val="003D7F51"/>
    <w:rsid w:val="003E0E2D"/>
    <w:rsid w:val="003E438A"/>
    <w:rsid w:val="003E545D"/>
    <w:rsid w:val="003E55B6"/>
    <w:rsid w:val="003E6396"/>
    <w:rsid w:val="003E67DC"/>
    <w:rsid w:val="003F008E"/>
    <w:rsid w:val="003F0595"/>
    <w:rsid w:val="003F30C6"/>
    <w:rsid w:val="00400B76"/>
    <w:rsid w:val="00403B93"/>
    <w:rsid w:val="00417043"/>
    <w:rsid w:val="00420018"/>
    <w:rsid w:val="00420C16"/>
    <w:rsid w:val="00420D26"/>
    <w:rsid w:val="00421485"/>
    <w:rsid w:val="00435EC5"/>
    <w:rsid w:val="00437ACA"/>
    <w:rsid w:val="00440B7E"/>
    <w:rsid w:val="00442967"/>
    <w:rsid w:val="0044394F"/>
    <w:rsid w:val="00444DB6"/>
    <w:rsid w:val="00446880"/>
    <w:rsid w:val="00450132"/>
    <w:rsid w:val="00453745"/>
    <w:rsid w:val="004551CD"/>
    <w:rsid w:val="00456F14"/>
    <w:rsid w:val="004572D7"/>
    <w:rsid w:val="00457EFD"/>
    <w:rsid w:val="0046269F"/>
    <w:rsid w:val="00462CDB"/>
    <w:rsid w:val="00462E35"/>
    <w:rsid w:val="00464588"/>
    <w:rsid w:val="00466F5E"/>
    <w:rsid w:val="00470148"/>
    <w:rsid w:val="004709A0"/>
    <w:rsid w:val="00470DF4"/>
    <w:rsid w:val="0047199E"/>
    <w:rsid w:val="00471BAF"/>
    <w:rsid w:val="00472CF8"/>
    <w:rsid w:val="00474202"/>
    <w:rsid w:val="0047464A"/>
    <w:rsid w:val="0047596F"/>
    <w:rsid w:val="004828C6"/>
    <w:rsid w:val="00490331"/>
    <w:rsid w:val="00492760"/>
    <w:rsid w:val="00495C5D"/>
    <w:rsid w:val="00495CBA"/>
    <w:rsid w:val="00495DEA"/>
    <w:rsid w:val="0049631F"/>
    <w:rsid w:val="00497F4D"/>
    <w:rsid w:val="004A0059"/>
    <w:rsid w:val="004A04CD"/>
    <w:rsid w:val="004A1899"/>
    <w:rsid w:val="004A39B6"/>
    <w:rsid w:val="004A6A9A"/>
    <w:rsid w:val="004C0745"/>
    <w:rsid w:val="004C2740"/>
    <w:rsid w:val="004C3016"/>
    <w:rsid w:val="004C73F4"/>
    <w:rsid w:val="004D12B6"/>
    <w:rsid w:val="004D1B9A"/>
    <w:rsid w:val="004D2D6F"/>
    <w:rsid w:val="004D35FA"/>
    <w:rsid w:val="004D37B6"/>
    <w:rsid w:val="004D4403"/>
    <w:rsid w:val="004D75FA"/>
    <w:rsid w:val="004E0035"/>
    <w:rsid w:val="004E70F4"/>
    <w:rsid w:val="004F07A4"/>
    <w:rsid w:val="004F11F7"/>
    <w:rsid w:val="004F29B2"/>
    <w:rsid w:val="004F7064"/>
    <w:rsid w:val="0050069D"/>
    <w:rsid w:val="005030F6"/>
    <w:rsid w:val="005035B8"/>
    <w:rsid w:val="00504507"/>
    <w:rsid w:val="0050588E"/>
    <w:rsid w:val="005060F5"/>
    <w:rsid w:val="005108BC"/>
    <w:rsid w:val="00510CBC"/>
    <w:rsid w:val="0051297C"/>
    <w:rsid w:val="005168BF"/>
    <w:rsid w:val="005179E0"/>
    <w:rsid w:val="00521AEE"/>
    <w:rsid w:val="00521CF6"/>
    <w:rsid w:val="005246D7"/>
    <w:rsid w:val="00525A00"/>
    <w:rsid w:val="00527753"/>
    <w:rsid w:val="00527F5D"/>
    <w:rsid w:val="005301B9"/>
    <w:rsid w:val="00531059"/>
    <w:rsid w:val="0053687D"/>
    <w:rsid w:val="00537219"/>
    <w:rsid w:val="00537409"/>
    <w:rsid w:val="00541447"/>
    <w:rsid w:val="00541C3E"/>
    <w:rsid w:val="00545069"/>
    <w:rsid w:val="00546097"/>
    <w:rsid w:val="005532B8"/>
    <w:rsid w:val="00556503"/>
    <w:rsid w:val="0055684D"/>
    <w:rsid w:val="0056261A"/>
    <w:rsid w:val="005628F0"/>
    <w:rsid w:val="00563FFE"/>
    <w:rsid w:val="00566C2C"/>
    <w:rsid w:val="005730BA"/>
    <w:rsid w:val="00581F04"/>
    <w:rsid w:val="00583050"/>
    <w:rsid w:val="00584318"/>
    <w:rsid w:val="005849F5"/>
    <w:rsid w:val="00585F1D"/>
    <w:rsid w:val="00585F4E"/>
    <w:rsid w:val="00586F8B"/>
    <w:rsid w:val="005875A6"/>
    <w:rsid w:val="005876CB"/>
    <w:rsid w:val="00587C61"/>
    <w:rsid w:val="00587C6F"/>
    <w:rsid w:val="005906CA"/>
    <w:rsid w:val="00590885"/>
    <w:rsid w:val="005908A3"/>
    <w:rsid w:val="00593C91"/>
    <w:rsid w:val="005A0234"/>
    <w:rsid w:val="005A0BBC"/>
    <w:rsid w:val="005A1F09"/>
    <w:rsid w:val="005A529C"/>
    <w:rsid w:val="005A7C47"/>
    <w:rsid w:val="005B2318"/>
    <w:rsid w:val="005B3672"/>
    <w:rsid w:val="005B6F07"/>
    <w:rsid w:val="005C3E56"/>
    <w:rsid w:val="005C51C5"/>
    <w:rsid w:val="005D035F"/>
    <w:rsid w:val="005D1BB5"/>
    <w:rsid w:val="005D261F"/>
    <w:rsid w:val="005D5B0F"/>
    <w:rsid w:val="005D6139"/>
    <w:rsid w:val="005D6A36"/>
    <w:rsid w:val="005D7509"/>
    <w:rsid w:val="005D7EF3"/>
    <w:rsid w:val="005E365D"/>
    <w:rsid w:val="005E4E2A"/>
    <w:rsid w:val="005E5AFC"/>
    <w:rsid w:val="005F0536"/>
    <w:rsid w:val="005F14ED"/>
    <w:rsid w:val="005F15F1"/>
    <w:rsid w:val="005F20F0"/>
    <w:rsid w:val="005F253D"/>
    <w:rsid w:val="005F2E73"/>
    <w:rsid w:val="005F7026"/>
    <w:rsid w:val="006031B8"/>
    <w:rsid w:val="00603C76"/>
    <w:rsid w:val="00605347"/>
    <w:rsid w:val="00606986"/>
    <w:rsid w:val="00612344"/>
    <w:rsid w:val="006123A0"/>
    <w:rsid w:val="00617FD5"/>
    <w:rsid w:val="00623784"/>
    <w:rsid w:val="00634A88"/>
    <w:rsid w:val="00640384"/>
    <w:rsid w:val="006450BB"/>
    <w:rsid w:val="006462E7"/>
    <w:rsid w:val="006466C5"/>
    <w:rsid w:val="00650B60"/>
    <w:rsid w:val="0066092C"/>
    <w:rsid w:val="00663530"/>
    <w:rsid w:val="006644F2"/>
    <w:rsid w:val="00664DFD"/>
    <w:rsid w:val="00664F4F"/>
    <w:rsid w:val="00665047"/>
    <w:rsid w:val="00672218"/>
    <w:rsid w:val="006739F6"/>
    <w:rsid w:val="006754DE"/>
    <w:rsid w:val="00675C25"/>
    <w:rsid w:val="00675DF0"/>
    <w:rsid w:val="00677279"/>
    <w:rsid w:val="006933E1"/>
    <w:rsid w:val="00693711"/>
    <w:rsid w:val="00695EB8"/>
    <w:rsid w:val="006966A1"/>
    <w:rsid w:val="006A19C0"/>
    <w:rsid w:val="006A1D94"/>
    <w:rsid w:val="006A2F77"/>
    <w:rsid w:val="006A386D"/>
    <w:rsid w:val="006A5503"/>
    <w:rsid w:val="006B6123"/>
    <w:rsid w:val="006B6BAE"/>
    <w:rsid w:val="006B6CAD"/>
    <w:rsid w:val="006B71ED"/>
    <w:rsid w:val="006C0037"/>
    <w:rsid w:val="006C1400"/>
    <w:rsid w:val="006C5EAD"/>
    <w:rsid w:val="006C7BD7"/>
    <w:rsid w:val="006D0DA7"/>
    <w:rsid w:val="006D132C"/>
    <w:rsid w:val="006D1BF6"/>
    <w:rsid w:val="006D2173"/>
    <w:rsid w:val="006D320A"/>
    <w:rsid w:val="006D4164"/>
    <w:rsid w:val="006E2801"/>
    <w:rsid w:val="006E2D2F"/>
    <w:rsid w:val="006E3582"/>
    <w:rsid w:val="006E3620"/>
    <w:rsid w:val="006E3909"/>
    <w:rsid w:val="006E6E52"/>
    <w:rsid w:val="006E7354"/>
    <w:rsid w:val="006E7BB0"/>
    <w:rsid w:val="006F0D95"/>
    <w:rsid w:val="00700FFA"/>
    <w:rsid w:val="00701DE1"/>
    <w:rsid w:val="00711277"/>
    <w:rsid w:val="00711324"/>
    <w:rsid w:val="007157CF"/>
    <w:rsid w:val="00716F8C"/>
    <w:rsid w:val="007202F4"/>
    <w:rsid w:val="0072377C"/>
    <w:rsid w:val="007247FE"/>
    <w:rsid w:val="00725B20"/>
    <w:rsid w:val="00727A75"/>
    <w:rsid w:val="00731800"/>
    <w:rsid w:val="0073536F"/>
    <w:rsid w:val="00735B49"/>
    <w:rsid w:val="007364E8"/>
    <w:rsid w:val="007369C1"/>
    <w:rsid w:val="00736FD0"/>
    <w:rsid w:val="00742D49"/>
    <w:rsid w:val="00746BA5"/>
    <w:rsid w:val="007477E4"/>
    <w:rsid w:val="007523AF"/>
    <w:rsid w:val="00753D79"/>
    <w:rsid w:val="007567A1"/>
    <w:rsid w:val="00762CAC"/>
    <w:rsid w:val="00764496"/>
    <w:rsid w:val="007704AA"/>
    <w:rsid w:val="0077057A"/>
    <w:rsid w:val="00771359"/>
    <w:rsid w:val="00773AC8"/>
    <w:rsid w:val="00780694"/>
    <w:rsid w:val="00785512"/>
    <w:rsid w:val="0078564F"/>
    <w:rsid w:val="00787440"/>
    <w:rsid w:val="00787CFF"/>
    <w:rsid w:val="00792FD0"/>
    <w:rsid w:val="00794E3E"/>
    <w:rsid w:val="00796D52"/>
    <w:rsid w:val="007A3ED6"/>
    <w:rsid w:val="007A4DAC"/>
    <w:rsid w:val="007A4DCE"/>
    <w:rsid w:val="007A6A8F"/>
    <w:rsid w:val="007A768A"/>
    <w:rsid w:val="007A78F0"/>
    <w:rsid w:val="007A79C9"/>
    <w:rsid w:val="007B0BA3"/>
    <w:rsid w:val="007B1529"/>
    <w:rsid w:val="007B1E4C"/>
    <w:rsid w:val="007B21AB"/>
    <w:rsid w:val="007B30BE"/>
    <w:rsid w:val="007B4EEA"/>
    <w:rsid w:val="007B54D4"/>
    <w:rsid w:val="007B5524"/>
    <w:rsid w:val="007B5E51"/>
    <w:rsid w:val="007B63F5"/>
    <w:rsid w:val="007B7883"/>
    <w:rsid w:val="007C0DD1"/>
    <w:rsid w:val="007C1624"/>
    <w:rsid w:val="007C1EF3"/>
    <w:rsid w:val="007C56DB"/>
    <w:rsid w:val="007C5FCC"/>
    <w:rsid w:val="007C6835"/>
    <w:rsid w:val="007C7B25"/>
    <w:rsid w:val="007C7C04"/>
    <w:rsid w:val="007D0CBB"/>
    <w:rsid w:val="007D18C8"/>
    <w:rsid w:val="007D5446"/>
    <w:rsid w:val="007E016C"/>
    <w:rsid w:val="007E0E95"/>
    <w:rsid w:val="007E2A02"/>
    <w:rsid w:val="007E2F16"/>
    <w:rsid w:val="007E30C5"/>
    <w:rsid w:val="007E40BC"/>
    <w:rsid w:val="007E7715"/>
    <w:rsid w:val="007F2081"/>
    <w:rsid w:val="007F7283"/>
    <w:rsid w:val="00801D4B"/>
    <w:rsid w:val="00803D3F"/>
    <w:rsid w:val="00803DE8"/>
    <w:rsid w:val="00804B93"/>
    <w:rsid w:val="00805635"/>
    <w:rsid w:val="00805B29"/>
    <w:rsid w:val="008060D2"/>
    <w:rsid w:val="008173CE"/>
    <w:rsid w:val="008177A5"/>
    <w:rsid w:val="00817D36"/>
    <w:rsid w:val="00817E8C"/>
    <w:rsid w:val="008225DE"/>
    <w:rsid w:val="00823B5E"/>
    <w:rsid w:val="00823BCD"/>
    <w:rsid w:val="008256DF"/>
    <w:rsid w:val="00826C10"/>
    <w:rsid w:val="008302F3"/>
    <w:rsid w:val="00831FB9"/>
    <w:rsid w:val="0083289B"/>
    <w:rsid w:val="00832925"/>
    <w:rsid w:val="00833DCB"/>
    <w:rsid w:val="008346AA"/>
    <w:rsid w:val="008346D1"/>
    <w:rsid w:val="00835119"/>
    <w:rsid w:val="00835A64"/>
    <w:rsid w:val="00836B50"/>
    <w:rsid w:val="008407C7"/>
    <w:rsid w:val="00840D66"/>
    <w:rsid w:val="00843094"/>
    <w:rsid w:val="008436F5"/>
    <w:rsid w:val="00844480"/>
    <w:rsid w:val="008464F0"/>
    <w:rsid w:val="0085072B"/>
    <w:rsid w:val="00850DAD"/>
    <w:rsid w:val="0085116D"/>
    <w:rsid w:val="00853D54"/>
    <w:rsid w:val="00853D5D"/>
    <w:rsid w:val="00855C98"/>
    <w:rsid w:val="00861656"/>
    <w:rsid w:val="00861DE4"/>
    <w:rsid w:val="0087497B"/>
    <w:rsid w:val="00877D6A"/>
    <w:rsid w:val="00880A7B"/>
    <w:rsid w:val="00883E86"/>
    <w:rsid w:val="0088409F"/>
    <w:rsid w:val="00884626"/>
    <w:rsid w:val="00884C22"/>
    <w:rsid w:val="00885ADB"/>
    <w:rsid w:val="008869E4"/>
    <w:rsid w:val="00886CE0"/>
    <w:rsid w:val="00887DCD"/>
    <w:rsid w:val="00891027"/>
    <w:rsid w:val="008945F3"/>
    <w:rsid w:val="00894EB4"/>
    <w:rsid w:val="008959D0"/>
    <w:rsid w:val="00895D1E"/>
    <w:rsid w:val="00896DAA"/>
    <w:rsid w:val="008976C5"/>
    <w:rsid w:val="008A224C"/>
    <w:rsid w:val="008A235F"/>
    <w:rsid w:val="008A2449"/>
    <w:rsid w:val="008A24F8"/>
    <w:rsid w:val="008A2606"/>
    <w:rsid w:val="008A64C6"/>
    <w:rsid w:val="008A6EA1"/>
    <w:rsid w:val="008A76DE"/>
    <w:rsid w:val="008B0DBF"/>
    <w:rsid w:val="008B17A0"/>
    <w:rsid w:val="008B19EC"/>
    <w:rsid w:val="008B2F6C"/>
    <w:rsid w:val="008B49A3"/>
    <w:rsid w:val="008C02DC"/>
    <w:rsid w:val="008C3C9A"/>
    <w:rsid w:val="008C43E7"/>
    <w:rsid w:val="008C64A2"/>
    <w:rsid w:val="008D1F78"/>
    <w:rsid w:val="008D2108"/>
    <w:rsid w:val="008E10C1"/>
    <w:rsid w:val="008E3502"/>
    <w:rsid w:val="008E5E37"/>
    <w:rsid w:val="008F08F4"/>
    <w:rsid w:val="008F159A"/>
    <w:rsid w:val="008F2025"/>
    <w:rsid w:val="008F41EE"/>
    <w:rsid w:val="008F4F3E"/>
    <w:rsid w:val="008F64F9"/>
    <w:rsid w:val="009003DA"/>
    <w:rsid w:val="00903A3B"/>
    <w:rsid w:val="00903F46"/>
    <w:rsid w:val="00905000"/>
    <w:rsid w:val="009067AB"/>
    <w:rsid w:val="00906FBB"/>
    <w:rsid w:val="00911520"/>
    <w:rsid w:val="00911942"/>
    <w:rsid w:val="0091299D"/>
    <w:rsid w:val="00926DC0"/>
    <w:rsid w:val="00927D93"/>
    <w:rsid w:val="00931A3F"/>
    <w:rsid w:val="00934EA0"/>
    <w:rsid w:val="0093766E"/>
    <w:rsid w:val="00942C73"/>
    <w:rsid w:val="00944034"/>
    <w:rsid w:val="00946382"/>
    <w:rsid w:val="00946751"/>
    <w:rsid w:val="00947CD7"/>
    <w:rsid w:val="00953DB7"/>
    <w:rsid w:val="00955A43"/>
    <w:rsid w:val="00957936"/>
    <w:rsid w:val="00960430"/>
    <w:rsid w:val="009619C2"/>
    <w:rsid w:val="009630C8"/>
    <w:rsid w:val="00963AA1"/>
    <w:rsid w:val="00972E8C"/>
    <w:rsid w:val="00974753"/>
    <w:rsid w:val="00974B6D"/>
    <w:rsid w:val="00975B45"/>
    <w:rsid w:val="00976C2B"/>
    <w:rsid w:val="00977066"/>
    <w:rsid w:val="0098246E"/>
    <w:rsid w:val="00982FAB"/>
    <w:rsid w:val="00984B71"/>
    <w:rsid w:val="00984C37"/>
    <w:rsid w:val="009851F1"/>
    <w:rsid w:val="00985623"/>
    <w:rsid w:val="00987D7F"/>
    <w:rsid w:val="00990470"/>
    <w:rsid w:val="00991B72"/>
    <w:rsid w:val="00991FAC"/>
    <w:rsid w:val="009957FC"/>
    <w:rsid w:val="00995BF1"/>
    <w:rsid w:val="009963EA"/>
    <w:rsid w:val="00997933"/>
    <w:rsid w:val="009A3A90"/>
    <w:rsid w:val="009A41EF"/>
    <w:rsid w:val="009A62E0"/>
    <w:rsid w:val="009B2C04"/>
    <w:rsid w:val="009B2D00"/>
    <w:rsid w:val="009B4C85"/>
    <w:rsid w:val="009B52B7"/>
    <w:rsid w:val="009B776E"/>
    <w:rsid w:val="009B7B09"/>
    <w:rsid w:val="009C136F"/>
    <w:rsid w:val="009C1485"/>
    <w:rsid w:val="009C387D"/>
    <w:rsid w:val="009C3D20"/>
    <w:rsid w:val="009C4959"/>
    <w:rsid w:val="009C5720"/>
    <w:rsid w:val="009C5DCA"/>
    <w:rsid w:val="009C6D36"/>
    <w:rsid w:val="009C769D"/>
    <w:rsid w:val="009D10DA"/>
    <w:rsid w:val="009D110C"/>
    <w:rsid w:val="009D147B"/>
    <w:rsid w:val="009D3AAE"/>
    <w:rsid w:val="009D5715"/>
    <w:rsid w:val="009D59DA"/>
    <w:rsid w:val="009E0787"/>
    <w:rsid w:val="009E1818"/>
    <w:rsid w:val="009E41A1"/>
    <w:rsid w:val="009E7005"/>
    <w:rsid w:val="009E74F7"/>
    <w:rsid w:val="009F1A15"/>
    <w:rsid w:val="00A00367"/>
    <w:rsid w:val="00A0250E"/>
    <w:rsid w:val="00A04CB0"/>
    <w:rsid w:val="00A04D56"/>
    <w:rsid w:val="00A05A80"/>
    <w:rsid w:val="00A07ABD"/>
    <w:rsid w:val="00A10B70"/>
    <w:rsid w:val="00A10C2C"/>
    <w:rsid w:val="00A1244B"/>
    <w:rsid w:val="00A1302E"/>
    <w:rsid w:val="00A1429F"/>
    <w:rsid w:val="00A14B59"/>
    <w:rsid w:val="00A203B2"/>
    <w:rsid w:val="00A21A40"/>
    <w:rsid w:val="00A21E48"/>
    <w:rsid w:val="00A2302B"/>
    <w:rsid w:val="00A244F1"/>
    <w:rsid w:val="00A24B91"/>
    <w:rsid w:val="00A252D4"/>
    <w:rsid w:val="00A26082"/>
    <w:rsid w:val="00A30261"/>
    <w:rsid w:val="00A30DEC"/>
    <w:rsid w:val="00A3389D"/>
    <w:rsid w:val="00A33D9E"/>
    <w:rsid w:val="00A34CAA"/>
    <w:rsid w:val="00A41EB9"/>
    <w:rsid w:val="00A451AB"/>
    <w:rsid w:val="00A4798E"/>
    <w:rsid w:val="00A5015F"/>
    <w:rsid w:val="00A51CA2"/>
    <w:rsid w:val="00A5273A"/>
    <w:rsid w:val="00A53858"/>
    <w:rsid w:val="00A53D60"/>
    <w:rsid w:val="00A57451"/>
    <w:rsid w:val="00A62D34"/>
    <w:rsid w:val="00A63CB6"/>
    <w:rsid w:val="00A72820"/>
    <w:rsid w:val="00A729E4"/>
    <w:rsid w:val="00A72B18"/>
    <w:rsid w:val="00A73B0F"/>
    <w:rsid w:val="00A73C3C"/>
    <w:rsid w:val="00A77831"/>
    <w:rsid w:val="00A80C05"/>
    <w:rsid w:val="00A83503"/>
    <w:rsid w:val="00A84813"/>
    <w:rsid w:val="00A84816"/>
    <w:rsid w:val="00A945D6"/>
    <w:rsid w:val="00A94FAE"/>
    <w:rsid w:val="00A96EA1"/>
    <w:rsid w:val="00AA0D80"/>
    <w:rsid w:val="00AA1C5E"/>
    <w:rsid w:val="00AA3A8F"/>
    <w:rsid w:val="00AA4B8A"/>
    <w:rsid w:val="00AA6DCB"/>
    <w:rsid w:val="00AA7B61"/>
    <w:rsid w:val="00AB089A"/>
    <w:rsid w:val="00AB1A04"/>
    <w:rsid w:val="00AB3C33"/>
    <w:rsid w:val="00AB3CDA"/>
    <w:rsid w:val="00AB56FB"/>
    <w:rsid w:val="00AB596F"/>
    <w:rsid w:val="00AB5CB1"/>
    <w:rsid w:val="00AC2CAA"/>
    <w:rsid w:val="00AC343C"/>
    <w:rsid w:val="00AC4F21"/>
    <w:rsid w:val="00AD00B8"/>
    <w:rsid w:val="00AD047B"/>
    <w:rsid w:val="00AD15AF"/>
    <w:rsid w:val="00AD72EF"/>
    <w:rsid w:val="00AD7DE7"/>
    <w:rsid w:val="00AE4566"/>
    <w:rsid w:val="00AE545F"/>
    <w:rsid w:val="00AE7F37"/>
    <w:rsid w:val="00AF053F"/>
    <w:rsid w:val="00AF1510"/>
    <w:rsid w:val="00AF4647"/>
    <w:rsid w:val="00AF4B6D"/>
    <w:rsid w:val="00AF50E3"/>
    <w:rsid w:val="00AF7A99"/>
    <w:rsid w:val="00B00437"/>
    <w:rsid w:val="00B03867"/>
    <w:rsid w:val="00B055D8"/>
    <w:rsid w:val="00B06C31"/>
    <w:rsid w:val="00B07331"/>
    <w:rsid w:val="00B114C6"/>
    <w:rsid w:val="00B1478E"/>
    <w:rsid w:val="00B1752D"/>
    <w:rsid w:val="00B175DA"/>
    <w:rsid w:val="00B178B0"/>
    <w:rsid w:val="00B17BBC"/>
    <w:rsid w:val="00B20D67"/>
    <w:rsid w:val="00B22B63"/>
    <w:rsid w:val="00B25D2A"/>
    <w:rsid w:val="00B25EFD"/>
    <w:rsid w:val="00B3272E"/>
    <w:rsid w:val="00B32D14"/>
    <w:rsid w:val="00B34943"/>
    <w:rsid w:val="00B415E6"/>
    <w:rsid w:val="00B46D10"/>
    <w:rsid w:val="00B511E9"/>
    <w:rsid w:val="00B518F6"/>
    <w:rsid w:val="00B53F5B"/>
    <w:rsid w:val="00B54217"/>
    <w:rsid w:val="00B61102"/>
    <w:rsid w:val="00B612AA"/>
    <w:rsid w:val="00B63BE0"/>
    <w:rsid w:val="00B65452"/>
    <w:rsid w:val="00B66066"/>
    <w:rsid w:val="00B66243"/>
    <w:rsid w:val="00B70CD5"/>
    <w:rsid w:val="00B71111"/>
    <w:rsid w:val="00B75DCC"/>
    <w:rsid w:val="00B77002"/>
    <w:rsid w:val="00B77195"/>
    <w:rsid w:val="00B77916"/>
    <w:rsid w:val="00B80188"/>
    <w:rsid w:val="00B826FE"/>
    <w:rsid w:val="00B828CB"/>
    <w:rsid w:val="00B82E77"/>
    <w:rsid w:val="00B835BF"/>
    <w:rsid w:val="00B86399"/>
    <w:rsid w:val="00B86FB2"/>
    <w:rsid w:val="00B8705B"/>
    <w:rsid w:val="00B91746"/>
    <w:rsid w:val="00B936F6"/>
    <w:rsid w:val="00B942FC"/>
    <w:rsid w:val="00B94705"/>
    <w:rsid w:val="00B94960"/>
    <w:rsid w:val="00B9583F"/>
    <w:rsid w:val="00B965BC"/>
    <w:rsid w:val="00B97E26"/>
    <w:rsid w:val="00BA1DF6"/>
    <w:rsid w:val="00BA25B2"/>
    <w:rsid w:val="00BA7D6D"/>
    <w:rsid w:val="00BB18C1"/>
    <w:rsid w:val="00BB1F39"/>
    <w:rsid w:val="00BB3E60"/>
    <w:rsid w:val="00BB586B"/>
    <w:rsid w:val="00BB5ACE"/>
    <w:rsid w:val="00BB78E5"/>
    <w:rsid w:val="00BB7FEF"/>
    <w:rsid w:val="00BC228F"/>
    <w:rsid w:val="00BC22EF"/>
    <w:rsid w:val="00BC2756"/>
    <w:rsid w:val="00BC290E"/>
    <w:rsid w:val="00BC3CC4"/>
    <w:rsid w:val="00BC5D0B"/>
    <w:rsid w:val="00BC66C3"/>
    <w:rsid w:val="00BC7EA7"/>
    <w:rsid w:val="00BD01BC"/>
    <w:rsid w:val="00BD1C2B"/>
    <w:rsid w:val="00BD5732"/>
    <w:rsid w:val="00BD6059"/>
    <w:rsid w:val="00BD6076"/>
    <w:rsid w:val="00BE0D1F"/>
    <w:rsid w:val="00BE13F7"/>
    <w:rsid w:val="00BE2FC0"/>
    <w:rsid w:val="00BE4781"/>
    <w:rsid w:val="00BF2AE8"/>
    <w:rsid w:val="00C012B5"/>
    <w:rsid w:val="00C016B7"/>
    <w:rsid w:val="00C019D6"/>
    <w:rsid w:val="00C01E3F"/>
    <w:rsid w:val="00C02FD1"/>
    <w:rsid w:val="00C03BDC"/>
    <w:rsid w:val="00C056A4"/>
    <w:rsid w:val="00C0647B"/>
    <w:rsid w:val="00C07067"/>
    <w:rsid w:val="00C120E9"/>
    <w:rsid w:val="00C1235B"/>
    <w:rsid w:val="00C125B4"/>
    <w:rsid w:val="00C137AC"/>
    <w:rsid w:val="00C15903"/>
    <w:rsid w:val="00C15A38"/>
    <w:rsid w:val="00C21C7C"/>
    <w:rsid w:val="00C2465D"/>
    <w:rsid w:val="00C2506F"/>
    <w:rsid w:val="00C317A6"/>
    <w:rsid w:val="00C33DEC"/>
    <w:rsid w:val="00C40F3C"/>
    <w:rsid w:val="00C420F3"/>
    <w:rsid w:val="00C43231"/>
    <w:rsid w:val="00C45088"/>
    <w:rsid w:val="00C4537D"/>
    <w:rsid w:val="00C469A9"/>
    <w:rsid w:val="00C479B0"/>
    <w:rsid w:val="00C500A3"/>
    <w:rsid w:val="00C57571"/>
    <w:rsid w:val="00C613C5"/>
    <w:rsid w:val="00C618B1"/>
    <w:rsid w:val="00C63471"/>
    <w:rsid w:val="00C63914"/>
    <w:rsid w:val="00C645BB"/>
    <w:rsid w:val="00C65B6E"/>
    <w:rsid w:val="00C67848"/>
    <w:rsid w:val="00C70255"/>
    <w:rsid w:val="00C70516"/>
    <w:rsid w:val="00C74395"/>
    <w:rsid w:val="00C76D71"/>
    <w:rsid w:val="00C77649"/>
    <w:rsid w:val="00C816FE"/>
    <w:rsid w:val="00C82526"/>
    <w:rsid w:val="00C833D5"/>
    <w:rsid w:val="00C84071"/>
    <w:rsid w:val="00C854DE"/>
    <w:rsid w:val="00C91234"/>
    <w:rsid w:val="00C92B55"/>
    <w:rsid w:val="00C93197"/>
    <w:rsid w:val="00C96159"/>
    <w:rsid w:val="00CA26F4"/>
    <w:rsid w:val="00CA2D0B"/>
    <w:rsid w:val="00CA6674"/>
    <w:rsid w:val="00CA6CB6"/>
    <w:rsid w:val="00CB0BD2"/>
    <w:rsid w:val="00CB168C"/>
    <w:rsid w:val="00CB175E"/>
    <w:rsid w:val="00CB37DA"/>
    <w:rsid w:val="00CC07F9"/>
    <w:rsid w:val="00CC1744"/>
    <w:rsid w:val="00CC247D"/>
    <w:rsid w:val="00CD0513"/>
    <w:rsid w:val="00CD0E58"/>
    <w:rsid w:val="00CD1668"/>
    <w:rsid w:val="00CD7063"/>
    <w:rsid w:val="00CD7365"/>
    <w:rsid w:val="00CE00BC"/>
    <w:rsid w:val="00CE15BA"/>
    <w:rsid w:val="00CE33DA"/>
    <w:rsid w:val="00CE4B17"/>
    <w:rsid w:val="00CE7DFE"/>
    <w:rsid w:val="00CF07C6"/>
    <w:rsid w:val="00CF20DE"/>
    <w:rsid w:val="00CF515D"/>
    <w:rsid w:val="00CF7211"/>
    <w:rsid w:val="00D000BA"/>
    <w:rsid w:val="00D0311E"/>
    <w:rsid w:val="00D040A3"/>
    <w:rsid w:val="00D052A7"/>
    <w:rsid w:val="00D05E56"/>
    <w:rsid w:val="00D071B2"/>
    <w:rsid w:val="00D07558"/>
    <w:rsid w:val="00D07EF9"/>
    <w:rsid w:val="00D10706"/>
    <w:rsid w:val="00D10E45"/>
    <w:rsid w:val="00D12859"/>
    <w:rsid w:val="00D13C28"/>
    <w:rsid w:val="00D14070"/>
    <w:rsid w:val="00D14BE9"/>
    <w:rsid w:val="00D14D7B"/>
    <w:rsid w:val="00D21DAB"/>
    <w:rsid w:val="00D22188"/>
    <w:rsid w:val="00D22EAD"/>
    <w:rsid w:val="00D23F3B"/>
    <w:rsid w:val="00D26038"/>
    <w:rsid w:val="00D313DB"/>
    <w:rsid w:val="00D37953"/>
    <w:rsid w:val="00D41B75"/>
    <w:rsid w:val="00D467B0"/>
    <w:rsid w:val="00D46DF0"/>
    <w:rsid w:val="00D50080"/>
    <w:rsid w:val="00D500B9"/>
    <w:rsid w:val="00D50847"/>
    <w:rsid w:val="00D51B2D"/>
    <w:rsid w:val="00D526BF"/>
    <w:rsid w:val="00D55577"/>
    <w:rsid w:val="00D562A1"/>
    <w:rsid w:val="00D61B80"/>
    <w:rsid w:val="00D71AF6"/>
    <w:rsid w:val="00D71E67"/>
    <w:rsid w:val="00D733E9"/>
    <w:rsid w:val="00D73CC4"/>
    <w:rsid w:val="00D74017"/>
    <w:rsid w:val="00D757E9"/>
    <w:rsid w:val="00D75A04"/>
    <w:rsid w:val="00D77B93"/>
    <w:rsid w:val="00D84B0E"/>
    <w:rsid w:val="00D8597F"/>
    <w:rsid w:val="00D87563"/>
    <w:rsid w:val="00D90159"/>
    <w:rsid w:val="00D90526"/>
    <w:rsid w:val="00D9343B"/>
    <w:rsid w:val="00D93482"/>
    <w:rsid w:val="00D94404"/>
    <w:rsid w:val="00DA0124"/>
    <w:rsid w:val="00DA0130"/>
    <w:rsid w:val="00DA0F1E"/>
    <w:rsid w:val="00DA2E91"/>
    <w:rsid w:val="00DA526E"/>
    <w:rsid w:val="00DA6B3A"/>
    <w:rsid w:val="00DA7C11"/>
    <w:rsid w:val="00DB2103"/>
    <w:rsid w:val="00DB237A"/>
    <w:rsid w:val="00DB306D"/>
    <w:rsid w:val="00DB401B"/>
    <w:rsid w:val="00DB4691"/>
    <w:rsid w:val="00DB4E4C"/>
    <w:rsid w:val="00DB5DCA"/>
    <w:rsid w:val="00DC0339"/>
    <w:rsid w:val="00DC2190"/>
    <w:rsid w:val="00DC2AA3"/>
    <w:rsid w:val="00DC442C"/>
    <w:rsid w:val="00DC62A4"/>
    <w:rsid w:val="00DC7007"/>
    <w:rsid w:val="00DC7337"/>
    <w:rsid w:val="00DD0307"/>
    <w:rsid w:val="00DD0440"/>
    <w:rsid w:val="00DD1A3A"/>
    <w:rsid w:val="00DE02E7"/>
    <w:rsid w:val="00DE0977"/>
    <w:rsid w:val="00DE33B0"/>
    <w:rsid w:val="00DE4CCE"/>
    <w:rsid w:val="00DE56CB"/>
    <w:rsid w:val="00DE615D"/>
    <w:rsid w:val="00DF1AFB"/>
    <w:rsid w:val="00DF349E"/>
    <w:rsid w:val="00DF3F7D"/>
    <w:rsid w:val="00DF57DA"/>
    <w:rsid w:val="00DF5A13"/>
    <w:rsid w:val="00DF7117"/>
    <w:rsid w:val="00E04DD5"/>
    <w:rsid w:val="00E05BF0"/>
    <w:rsid w:val="00E07F6D"/>
    <w:rsid w:val="00E118BE"/>
    <w:rsid w:val="00E12673"/>
    <w:rsid w:val="00E129E0"/>
    <w:rsid w:val="00E14DED"/>
    <w:rsid w:val="00E1721F"/>
    <w:rsid w:val="00E20055"/>
    <w:rsid w:val="00E2063F"/>
    <w:rsid w:val="00E209A1"/>
    <w:rsid w:val="00E20AC6"/>
    <w:rsid w:val="00E25F5E"/>
    <w:rsid w:val="00E26F6A"/>
    <w:rsid w:val="00E275BF"/>
    <w:rsid w:val="00E324DE"/>
    <w:rsid w:val="00E32B64"/>
    <w:rsid w:val="00E34015"/>
    <w:rsid w:val="00E35042"/>
    <w:rsid w:val="00E37C01"/>
    <w:rsid w:val="00E404BE"/>
    <w:rsid w:val="00E43260"/>
    <w:rsid w:val="00E44687"/>
    <w:rsid w:val="00E45138"/>
    <w:rsid w:val="00E457A1"/>
    <w:rsid w:val="00E45FDA"/>
    <w:rsid w:val="00E4636B"/>
    <w:rsid w:val="00E471E8"/>
    <w:rsid w:val="00E47AE3"/>
    <w:rsid w:val="00E53419"/>
    <w:rsid w:val="00E6215B"/>
    <w:rsid w:val="00E63F84"/>
    <w:rsid w:val="00E65D5B"/>
    <w:rsid w:val="00E65E35"/>
    <w:rsid w:val="00E661B4"/>
    <w:rsid w:val="00E7262E"/>
    <w:rsid w:val="00E736F1"/>
    <w:rsid w:val="00E73701"/>
    <w:rsid w:val="00E760C7"/>
    <w:rsid w:val="00E76811"/>
    <w:rsid w:val="00E802B9"/>
    <w:rsid w:val="00E84C47"/>
    <w:rsid w:val="00E86138"/>
    <w:rsid w:val="00E867E4"/>
    <w:rsid w:val="00E9008E"/>
    <w:rsid w:val="00E92362"/>
    <w:rsid w:val="00E924E8"/>
    <w:rsid w:val="00EA1760"/>
    <w:rsid w:val="00EA321A"/>
    <w:rsid w:val="00EA451B"/>
    <w:rsid w:val="00EA4705"/>
    <w:rsid w:val="00EA7A3C"/>
    <w:rsid w:val="00EB563A"/>
    <w:rsid w:val="00EC044B"/>
    <w:rsid w:val="00EC0E79"/>
    <w:rsid w:val="00EC1AC4"/>
    <w:rsid w:val="00EC1CAD"/>
    <w:rsid w:val="00EC306F"/>
    <w:rsid w:val="00EC39FB"/>
    <w:rsid w:val="00EC4BFA"/>
    <w:rsid w:val="00EC5563"/>
    <w:rsid w:val="00EC718F"/>
    <w:rsid w:val="00ED02B5"/>
    <w:rsid w:val="00ED300D"/>
    <w:rsid w:val="00ED5E3D"/>
    <w:rsid w:val="00ED60FB"/>
    <w:rsid w:val="00ED679D"/>
    <w:rsid w:val="00EE258E"/>
    <w:rsid w:val="00EE4D08"/>
    <w:rsid w:val="00EE5A5D"/>
    <w:rsid w:val="00EE66B3"/>
    <w:rsid w:val="00EF190D"/>
    <w:rsid w:val="00EF4604"/>
    <w:rsid w:val="00EF4608"/>
    <w:rsid w:val="00EF4756"/>
    <w:rsid w:val="00EF5D07"/>
    <w:rsid w:val="00F005B2"/>
    <w:rsid w:val="00F0103C"/>
    <w:rsid w:val="00F03BB4"/>
    <w:rsid w:val="00F0482E"/>
    <w:rsid w:val="00F04977"/>
    <w:rsid w:val="00F05ECD"/>
    <w:rsid w:val="00F065AC"/>
    <w:rsid w:val="00F06EB5"/>
    <w:rsid w:val="00F10317"/>
    <w:rsid w:val="00F10D88"/>
    <w:rsid w:val="00F11032"/>
    <w:rsid w:val="00F11A07"/>
    <w:rsid w:val="00F14866"/>
    <w:rsid w:val="00F14D20"/>
    <w:rsid w:val="00F15DAF"/>
    <w:rsid w:val="00F20440"/>
    <w:rsid w:val="00F20B8E"/>
    <w:rsid w:val="00F22404"/>
    <w:rsid w:val="00F23B5B"/>
    <w:rsid w:val="00F24415"/>
    <w:rsid w:val="00F24EBE"/>
    <w:rsid w:val="00F25A48"/>
    <w:rsid w:val="00F272D9"/>
    <w:rsid w:val="00F338FC"/>
    <w:rsid w:val="00F34924"/>
    <w:rsid w:val="00F3498F"/>
    <w:rsid w:val="00F3586D"/>
    <w:rsid w:val="00F35B73"/>
    <w:rsid w:val="00F362E8"/>
    <w:rsid w:val="00F36C37"/>
    <w:rsid w:val="00F376E1"/>
    <w:rsid w:val="00F37EC2"/>
    <w:rsid w:val="00F40AB0"/>
    <w:rsid w:val="00F41691"/>
    <w:rsid w:val="00F4229E"/>
    <w:rsid w:val="00F424C3"/>
    <w:rsid w:val="00F43AED"/>
    <w:rsid w:val="00F468D3"/>
    <w:rsid w:val="00F473FF"/>
    <w:rsid w:val="00F50A57"/>
    <w:rsid w:val="00F50C16"/>
    <w:rsid w:val="00F529CF"/>
    <w:rsid w:val="00F53D29"/>
    <w:rsid w:val="00F53EF1"/>
    <w:rsid w:val="00F55601"/>
    <w:rsid w:val="00F56C72"/>
    <w:rsid w:val="00F56DF8"/>
    <w:rsid w:val="00F57F63"/>
    <w:rsid w:val="00F614A0"/>
    <w:rsid w:val="00F625A0"/>
    <w:rsid w:val="00F64117"/>
    <w:rsid w:val="00F65314"/>
    <w:rsid w:val="00F66144"/>
    <w:rsid w:val="00F719AD"/>
    <w:rsid w:val="00F736FB"/>
    <w:rsid w:val="00F74183"/>
    <w:rsid w:val="00F750E1"/>
    <w:rsid w:val="00F75531"/>
    <w:rsid w:val="00F758A7"/>
    <w:rsid w:val="00F76357"/>
    <w:rsid w:val="00F8112C"/>
    <w:rsid w:val="00F82AB0"/>
    <w:rsid w:val="00F86E7E"/>
    <w:rsid w:val="00F91C3C"/>
    <w:rsid w:val="00F936D4"/>
    <w:rsid w:val="00F944E5"/>
    <w:rsid w:val="00F96459"/>
    <w:rsid w:val="00FA1921"/>
    <w:rsid w:val="00FA3370"/>
    <w:rsid w:val="00FA3AFB"/>
    <w:rsid w:val="00FA3C11"/>
    <w:rsid w:val="00FA3E64"/>
    <w:rsid w:val="00FA55C8"/>
    <w:rsid w:val="00FA5E8E"/>
    <w:rsid w:val="00FA66CC"/>
    <w:rsid w:val="00FA7995"/>
    <w:rsid w:val="00FB0A10"/>
    <w:rsid w:val="00FB0C50"/>
    <w:rsid w:val="00FB12FD"/>
    <w:rsid w:val="00FB15E7"/>
    <w:rsid w:val="00FB229A"/>
    <w:rsid w:val="00FB24A2"/>
    <w:rsid w:val="00FB2555"/>
    <w:rsid w:val="00FB38E3"/>
    <w:rsid w:val="00FB5A09"/>
    <w:rsid w:val="00FB617E"/>
    <w:rsid w:val="00FC6460"/>
    <w:rsid w:val="00FC7890"/>
    <w:rsid w:val="00FD113F"/>
    <w:rsid w:val="00FD3421"/>
    <w:rsid w:val="00FD499D"/>
    <w:rsid w:val="00FD53B0"/>
    <w:rsid w:val="00FD56E9"/>
    <w:rsid w:val="00FE161E"/>
    <w:rsid w:val="00FE310B"/>
    <w:rsid w:val="00FE460E"/>
    <w:rsid w:val="00FE5214"/>
    <w:rsid w:val="00FE610E"/>
    <w:rsid w:val="00FE6163"/>
    <w:rsid w:val="00FE75DD"/>
    <w:rsid w:val="00FF1B7A"/>
    <w:rsid w:val="00FF407F"/>
    <w:rsid w:val="00FF5F65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FB0C5"/>
  <w15:chartTrackingRefBased/>
  <w15:docId w15:val="{2521BC9B-9E7D-466C-96BD-EF94AB2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A1A"/>
  </w:style>
  <w:style w:type="paragraph" w:styleId="Footer">
    <w:name w:val="footer"/>
    <w:basedOn w:val="Normal"/>
    <w:link w:val="FooterChar"/>
    <w:uiPriority w:val="99"/>
    <w:unhideWhenUsed/>
    <w:rsid w:val="00000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A1A"/>
  </w:style>
  <w:style w:type="table" w:styleId="TableGrid">
    <w:name w:val="Table Grid"/>
    <w:basedOn w:val="TableNormal"/>
    <w:uiPriority w:val="39"/>
    <w:rsid w:val="00F3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00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6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fp.org/family-physician/practice-and-career/getting-paid/coding/hierarchical-condition-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e86af516-08af-420e-ad5c-d162defa21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F186D082EA468EA7E4F1F092FC47" ma:contentTypeVersion="15" ma:contentTypeDescription="Create a new document." ma:contentTypeScope="" ma:versionID="798bb614fe29ca17618aa4481046cf4d">
  <xsd:schema xmlns:xsd="http://www.w3.org/2001/XMLSchema" xmlns:xs="http://www.w3.org/2001/XMLSchema" xmlns:p="http://schemas.microsoft.com/office/2006/metadata/properties" xmlns:ns2="e86af516-08af-420e-ad5c-d162defa213f" xmlns:ns3="85471739-20a3-405f-8957-71a2abecc360" targetNamespace="http://schemas.microsoft.com/office/2006/metadata/properties" ma:root="true" ma:fieldsID="a5b01b637e1be5387ae214bfd6b483f4" ns2:_="" ns3:_="">
    <xsd:import namespace="e86af516-08af-420e-ad5c-d162defa213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af516-08af-420e-ad5c-d162defa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35C66-0EF8-4B28-AF50-26C647388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45CA1-2031-410A-AAA0-9970D0119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8BB89-266B-413A-9006-A28326175E16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e86af516-08af-420e-ad5c-d162defa213f"/>
  </ds:schemaRefs>
</ds:datastoreItem>
</file>

<file path=customXml/itemProps4.xml><?xml version="1.0" encoding="utf-8"?>
<ds:datastoreItem xmlns:ds="http://schemas.openxmlformats.org/officeDocument/2006/customXml" ds:itemID="{96010E59-698D-4E8A-A4E9-7D0021171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af516-08af-420e-ad5c-d162defa213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Gallo, Rita (DOI)</dc:creator>
  <cp:keywords/>
  <dc:description/>
  <cp:lastModifiedBy>Horigan, Jackie (DOI)</cp:lastModifiedBy>
  <cp:revision>2</cp:revision>
  <dcterms:created xsi:type="dcterms:W3CDTF">2026-06-09T13:42:00Z</dcterms:created>
  <dcterms:modified xsi:type="dcterms:W3CDTF">2026-06-09T13:42:00Z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0x010100CC43F186D082EA468EA7E4F1F092FC47</vt:lpwstr>
  </property>
</Properties>
</file>