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F98C" w14:textId="030324E4" w:rsidR="00815721" w:rsidRDefault="00815721" w:rsidP="00815721">
      <w:pPr>
        <w:spacing w:before="81"/>
        <w:ind w:left="90"/>
        <w:jc w:val="center"/>
        <w:rPr>
          <w:b/>
        </w:rPr>
      </w:pPr>
      <w:r>
        <w:rPr>
          <w:b/>
        </w:rPr>
        <w:t>Standing</w:t>
      </w:r>
      <w:r>
        <w:rPr>
          <w:b/>
          <w:spacing w:val="-7"/>
        </w:rPr>
        <w:t xml:space="preserve"> </w:t>
      </w:r>
      <w:r>
        <w:rPr>
          <w:b/>
        </w:rPr>
        <w:t>Order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Dispensing</w:t>
      </w:r>
      <w:r>
        <w:rPr>
          <w:b/>
          <w:spacing w:val="-6"/>
        </w:rPr>
        <w:t xml:space="preserve"> </w:t>
      </w:r>
      <w:r>
        <w:rPr>
          <w:b/>
        </w:rPr>
        <w:t>and Administration of COVID-19 Vaccine</w:t>
      </w:r>
      <w:r w:rsidR="005014B8">
        <w:rPr>
          <w:b/>
        </w:rPr>
        <w:t>: 2025-2026</w:t>
      </w:r>
    </w:p>
    <w:p w14:paraId="525EA67E" w14:textId="46D1C249" w:rsidR="19CAA72A" w:rsidRDefault="19CAA72A" w:rsidP="19CAA72A">
      <w:pPr>
        <w:pStyle w:val="BodyText"/>
        <w:ind w:left="140" w:right="101"/>
      </w:pPr>
    </w:p>
    <w:p w14:paraId="3A98D3B1" w14:textId="25BB7990" w:rsidR="4F474B09" w:rsidRDefault="4F474B09">
      <w:pPr>
        <w:ind w:left="720"/>
        <w:rPr>
          <w:rFonts w:ascii="Aptos" w:eastAsia="Aptos" w:hAnsi="Aptos" w:cs="Aptos"/>
          <w:b/>
          <w:bCs/>
        </w:rPr>
      </w:pPr>
      <w:r w:rsidRPr="3E5F99A3">
        <w:rPr>
          <w:rFonts w:ascii="Aptos" w:eastAsia="Aptos" w:hAnsi="Aptos" w:cs="Aptos"/>
          <w:b/>
          <w:bCs/>
        </w:rPr>
        <w:t xml:space="preserve">Procedure </w:t>
      </w:r>
    </w:p>
    <w:p w14:paraId="144850A5" w14:textId="0457A1DB" w:rsidR="4F474B09" w:rsidRDefault="4F474B09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>1)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3E5F99A3">
        <w:rPr>
          <w:rFonts w:ascii="Aptos" w:eastAsia="Aptos" w:hAnsi="Aptos" w:cs="Aptos"/>
        </w:rPr>
        <w:t>Assess for Need of Vaccination.</w:t>
      </w:r>
    </w:p>
    <w:p w14:paraId="38F6BF3D" w14:textId="14DFD988" w:rsidR="19CAA72A" w:rsidRDefault="19CAA72A" w:rsidP="19CAA72A">
      <w:pPr>
        <w:ind w:left="1440" w:hanging="360"/>
        <w:rPr>
          <w:rFonts w:ascii="Aptos" w:eastAsia="Aptos" w:hAnsi="Aptos" w:cs="Aptos"/>
        </w:rPr>
      </w:pPr>
    </w:p>
    <w:p w14:paraId="6CA3B26F" w14:textId="5BF2A44E" w:rsidR="4F474B09" w:rsidRDefault="4F474B09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>2)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3E5F99A3">
        <w:rPr>
          <w:rFonts w:ascii="Aptos" w:eastAsia="Aptos" w:hAnsi="Aptos" w:cs="Aptos"/>
        </w:rPr>
        <w:t>Screen for Contraindications and Precautions</w:t>
      </w:r>
      <w:r w:rsidR="6AE7B063" w:rsidRPr="3E5F99A3">
        <w:rPr>
          <w:rFonts w:ascii="Aptos" w:eastAsia="Aptos" w:hAnsi="Aptos" w:cs="Aptos"/>
        </w:rPr>
        <w:t>.</w:t>
      </w:r>
    </w:p>
    <w:p w14:paraId="5D4A0B4F" w14:textId="39022730" w:rsidR="4F474B09" w:rsidRDefault="4F474B09">
      <w:pPr>
        <w:ind w:left="144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 xml:space="preserve">Contraindications: </w:t>
      </w:r>
    </w:p>
    <w:p w14:paraId="3FB53A68" w14:textId="0456167D" w:rsidR="4F474B09" w:rsidRDefault="4F474B09">
      <w:pPr>
        <w:ind w:left="2160" w:hanging="360"/>
        <w:rPr>
          <w:rFonts w:ascii="Aptos" w:eastAsia="Aptos" w:hAnsi="Aptos" w:cs="Aptos"/>
        </w:rPr>
      </w:pPr>
      <w:r w:rsidRPr="3E5F99A3">
        <w:rPr>
          <w:rFonts w:ascii="Symbol" w:eastAsia="Symbol" w:hAnsi="Symbol" w:cs="Symbol"/>
        </w:rPr>
        <w:t>·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3E5F99A3">
        <w:rPr>
          <w:rFonts w:ascii="Aptos" w:eastAsia="Aptos" w:hAnsi="Aptos" w:cs="Aptos"/>
        </w:rPr>
        <w:t xml:space="preserve">A severe allergic reaction (e.g., anaphylaxis) after a </w:t>
      </w:r>
      <w:r w:rsidR="004D77C5" w:rsidRPr="3E5F99A3">
        <w:rPr>
          <w:rFonts w:ascii="Aptos" w:eastAsia="Aptos" w:hAnsi="Aptos" w:cs="Aptos"/>
        </w:rPr>
        <w:t>previous</w:t>
      </w:r>
      <w:r w:rsidRPr="3E5F99A3">
        <w:rPr>
          <w:rFonts w:ascii="Aptos" w:eastAsia="Aptos" w:hAnsi="Aptos" w:cs="Aptos"/>
        </w:rPr>
        <w:t xml:space="preserve"> dose of the COVID-19 vaccine or to a component of the COVID-19 vaccine</w:t>
      </w:r>
    </w:p>
    <w:p w14:paraId="240862DE" w14:textId="55BD9C06" w:rsidR="4F474B09" w:rsidRDefault="4F474B09">
      <w:pPr>
        <w:ind w:left="144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 xml:space="preserve">Precautions: </w:t>
      </w:r>
    </w:p>
    <w:p w14:paraId="2D47585F" w14:textId="47F366CC" w:rsidR="4F474B09" w:rsidRDefault="4F474B09">
      <w:pPr>
        <w:ind w:left="2160" w:hanging="360"/>
        <w:rPr>
          <w:rFonts w:ascii="Aptos" w:eastAsia="Aptos" w:hAnsi="Aptos" w:cs="Aptos"/>
        </w:rPr>
      </w:pPr>
      <w:r w:rsidRPr="3E5F99A3">
        <w:rPr>
          <w:rFonts w:ascii="Symbol" w:eastAsia="Symbol" w:hAnsi="Symbol" w:cs="Symbol"/>
        </w:rPr>
        <w:t>·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3E5F99A3">
        <w:rPr>
          <w:rFonts w:ascii="Aptos" w:eastAsia="Aptos" w:hAnsi="Aptos" w:cs="Aptos"/>
        </w:rPr>
        <w:t>A diagnosed non-severe allergy to a component of the COVID-19 vaccine</w:t>
      </w:r>
      <w:r w:rsidR="652A474D" w:rsidRPr="3E5F99A3">
        <w:rPr>
          <w:rFonts w:ascii="Aptos" w:eastAsia="Aptos" w:hAnsi="Aptos" w:cs="Aptos"/>
        </w:rPr>
        <w:t>.</w:t>
      </w:r>
    </w:p>
    <w:p w14:paraId="22008CC8" w14:textId="15DAC48E" w:rsidR="4F474B09" w:rsidRDefault="4F474B09">
      <w:pPr>
        <w:ind w:left="2160" w:hanging="360"/>
        <w:rPr>
          <w:rFonts w:ascii="Aptos" w:eastAsia="Aptos" w:hAnsi="Aptos" w:cs="Aptos"/>
        </w:rPr>
      </w:pPr>
      <w:r w:rsidRPr="3E5F99A3">
        <w:rPr>
          <w:rFonts w:ascii="Symbol" w:eastAsia="Symbol" w:hAnsi="Symbol" w:cs="Symbol"/>
        </w:rPr>
        <w:t>·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3E5F99A3">
        <w:rPr>
          <w:rFonts w:ascii="Aptos" w:eastAsia="Aptos" w:hAnsi="Aptos" w:cs="Aptos"/>
        </w:rPr>
        <w:t>Non-severe, immediate (onset less than 4 hours) allergic reaction after administration</w:t>
      </w:r>
      <w:r w:rsidR="232F4409" w:rsidRPr="3E5F99A3">
        <w:rPr>
          <w:rFonts w:ascii="Aptos" w:eastAsia="Aptos" w:hAnsi="Aptos" w:cs="Aptos"/>
        </w:rPr>
        <w:t>.</w:t>
      </w:r>
      <w:r w:rsidRPr="3E5F99A3">
        <w:rPr>
          <w:rFonts w:ascii="Aptos" w:eastAsia="Aptos" w:hAnsi="Aptos" w:cs="Aptos"/>
        </w:rPr>
        <w:t xml:space="preserve"> of a previous dose of one COVID-19 vaccine type, if receiving the same vaccine type</w:t>
      </w:r>
      <w:r w:rsidR="5E9CB59D" w:rsidRPr="3E5F99A3">
        <w:rPr>
          <w:rFonts w:ascii="Aptos" w:eastAsia="Aptos" w:hAnsi="Aptos" w:cs="Aptos"/>
        </w:rPr>
        <w:t>.</w:t>
      </w:r>
    </w:p>
    <w:p w14:paraId="51EF3522" w14:textId="1F59A4FC" w:rsidR="4F474B09" w:rsidRDefault="4F474B09">
      <w:pPr>
        <w:ind w:left="2160" w:hanging="360"/>
        <w:rPr>
          <w:rFonts w:ascii="Aptos" w:eastAsia="Aptos" w:hAnsi="Aptos" w:cs="Aptos"/>
        </w:rPr>
      </w:pPr>
      <w:r w:rsidRPr="3E5F99A3">
        <w:rPr>
          <w:rFonts w:ascii="Symbol" w:eastAsia="Symbol" w:hAnsi="Symbol" w:cs="Symbol"/>
        </w:rPr>
        <w:t>·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3E5F99A3">
        <w:rPr>
          <w:rFonts w:ascii="Aptos" w:eastAsia="Aptos" w:hAnsi="Aptos" w:cs="Aptos"/>
        </w:rPr>
        <w:t>Myocarditis or pericarditis within 3 weeks after a dose of any COVID-19 vaccine</w:t>
      </w:r>
      <w:r w:rsidR="5E9CB59D" w:rsidRPr="3E5F99A3">
        <w:rPr>
          <w:rFonts w:ascii="Aptos" w:eastAsia="Aptos" w:hAnsi="Aptos" w:cs="Aptos"/>
        </w:rPr>
        <w:t>.</w:t>
      </w:r>
    </w:p>
    <w:p w14:paraId="009A50EC" w14:textId="5E1C91C7" w:rsidR="4F474B09" w:rsidRDefault="4F474B09">
      <w:pPr>
        <w:ind w:left="2160" w:hanging="360"/>
        <w:rPr>
          <w:rFonts w:ascii="Aptos" w:eastAsia="Aptos" w:hAnsi="Aptos" w:cs="Aptos"/>
        </w:rPr>
      </w:pPr>
      <w:r w:rsidRPr="3E5F99A3">
        <w:rPr>
          <w:rFonts w:ascii="Symbol" w:eastAsia="Symbol" w:hAnsi="Symbol" w:cs="Symbol"/>
        </w:rPr>
        <w:t>·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3E5F99A3">
        <w:rPr>
          <w:rFonts w:ascii="Aptos" w:eastAsia="Aptos" w:hAnsi="Aptos" w:cs="Aptos"/>
        </w:rPr>
        <w:t>Moderate to severe acute illness, with or without fever</w:t>
      </w:r>
      <w:r w:rsidR="53217A87" w:rsidRPr="3E5F99A3">
        <w:rPr>
          <w:rFonts w:ascii="Aptos" w:eastAsia="Aptos" w:hAnsi="Aptos" w:cs="Aptos"/>
        </w:rPr>
        <w:t>.</w:t>
      </w:r>
    </w:p>
    <w:p w14:paraId="7DAB04E6" w14:textId="3FC46080" w:rsidR="19CAA72A" w:rsidRDefault="19CAA72A" w:rsidP="19CAA72A">
      <w:pPr>
        <w:ind w:left="2160" w:hanging="360"/>
        <w:rPr>
          <w:rFonts w:ascii="Aptos" w:eastAsia="Aptos" w:hAnsi="Aptos" w:cs="Aptos"/>
        </w:rPr>
      </w:pPr>
    </w:p>
    <w:p w14:paraId="0E123545" w14:textId="1391D82A" w:rsidR="4F474B09" w:rsidRDefault="4F474B09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>3)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3E5F99A3">
        <w:rPr>
          <w:rFonts w:ascii="Aptos" w:eastAsia="Aptos" w:hAnsi="Aptos" w:cs="Aptos"/>
        </w:rPr>
        <w:t>Provide Vaccine Information Statements</w:t>
      </w:r>
      <w:r w:rsidR="25EEA571" w:rsidRPr="3E5F99A3">
        <w:rPr>
          <w:rFonts w:ascii="Aptos" w:eastAsia="Aptos" w:hAnsi="Aptos" w:cs="Aptos"/>
        </w:rPr>
        <w:t>.</w:t>
      </w:r>
    </w:p>
    <w:p w14:paraId="61E01C05" w14:textId="0F0D37C0" w:rsidR="19CAA72A" w:rsidRDefault="19CAA72A" w:rsidP="19CAA72A">
      <w:pPr>
        <w:ind w:left="1440" w:hanging="360"/>
        <w:rPr>
          <w:rFonts w:ascii="Aptos" w:eastAsia="Aptos" w:hAnsi="Aptos" w:cs="Aptos"/>
        </w:rPr>
      </w:pPr>
    </w:p>
    <w:p w14:paraId="1EEAFE97" w14:textId="41633A4A" w:rsidR="4F474B09" w:rsidRDefault="4F474B09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>4)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3E5F99A3">
        <w:rPr>
          <w:rFonts w:ascii="Aptos" w:eastAsia="Aptos" w:hAnsi="Aptos" w:cs="Aptos"/>
        </w:rPr>
        <w:t>Prepare to Administer Vaccine</w:t>
      </w:r>
      <w:r w:rsidR="5659BA70" w:rsidRPr="3E5F99A3">
        <w:rPr>
          <w:rFonts w:ascii="Aptos" w:eastAsia="Aptos" w:hAnsi="Aptos" w:cs="Aptos"/>
        </w:rPr>
        <w:t>.</w:t>
      </w:r>
    </w:p>
    <w:p w14:paraId="07C397A5" w14:textId="1DBE7D85" w:rsidR="4F474B09" w:rsidRDefault="4F474B09">
      <w:pPr>
        <w:ind w:left="2160" w:hanging="360"/>
        <w:rPr>
          <w:rFonts w:ascii="Aptos" w:eastAsia="Aptos" w:hAnsi="Aptos" w:cs="Aptos"/>
        </w:rPr>
      </w:pPr>
      <w:r w:rsidRPr="3E5F99A3">
        <w:rPr>
          <w:rFonts w:ascii="Symbol" w:eastAsia="Symbol" w:hAnsi="Symbol" w:cs="Symbol"/>
        </w:rPr>
        <w:t>·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3E5F99A3">
        <w:rPr>
          <w:rFonts w:ascii="Aptos" w:eastAsia="Aptos" w:hAnsi="Aptos" w:cs="Aptos"/>
        </w:rPr>
        <w:t>Verify that the label on the vaccine states 2025-2026 Formula</w:t>
      </w:r>
      <w:r w:rsidR="3E732FEE" w:rsidRPr="3E5F99A3">
        <w:rPr>
          <w:rFonts w:ascii="Aptos" w:eastAsia="Aptos" w:hAnsi="Aptos" w:cs="Aptos"/>
        </w:rPr>
        <w:t>.</w:t>
      </w:r>
    </w:p>
    <w:p w14:paraId="78ACF4EE" w14:textId="7FF329E7" w:rsidR="4F474B09" w:rsidRDefault="4F474B09">
      <w:pPr>
        <w:ind w:left="2160" w:hanging="360"/>
        <w:rPr>
          <w:rFonts w:ascii="Aptos" w:eastAsia="Aptos" w:hAnsi="Aptos" w:cs="Aptos"/>
        </w:rPr>
      </w:pPr>
      <w:r w:rsidRPr="3E5F99A3">
        <w:rPr>
          <w:rFonts w:ascii="Symbol" w:eastAsia="Symbol" w:hAnsi="Symbol" w:cs="Symbol"/>
        </w:rPr>
        <w:t>·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3E5F99A3">
        <w:rPr>
          <w:rFonts w:ascii="Aptos" w:eastAsia="Aptos" w:hAnsi="Aptos" w:cs="Aptos"/>
        </w:rPr>
        <w:t>Choose the needle gauge, needle length, and injection site</w:t>
      </w:r>
      <w:r w:rsidR="7692D5C1" w:rsidRPr="3E5F99A3">
        <w:rPr>
          <w:rFonts w:ascii="Aptos" w:eastAsia="Aptos" w:hAnsi="Aptos" w:cs="Aptos"/>
        </w:rPr>
        <w:t>.</w:t>
      </w:r>
    </w:p>
    <w:p w14:paraId="352FC078" w14:textId="64090040" w:rsidR="19CAA72A" w:rsidRDefault="19CAA72A" w:rsidP="19CAA72A">
      <w:pPr>
        <w:ind w:left="2160" w:hanging="360"/>
        <w:rPr>
          <w:rFonts w:ascii="Aptos" w:eastAsia="Aptos" w:hAnsi="Aptos" w:cs="Aptos"/>
        </w:rPr>
      </w:pPr>
    </w:p>
    <w:p w14:paraId="0237A0E5" w14:textId="0316B5E4" w:rsidR="4F474B09" w:rsidRDefault="4F474B09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>5)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3E5F99A3">
        <w:rPr>
          <w:rFonts w:ascii="Aptos" w:eastAsia="Aptos" w:hAnsi="Aptos" w:cs="Aptos"/>
        </w:rPr>
        <w:t>Administer COVID-19 Vaccine</w:t>
      </w:r>
    </w:p>
    <w:p w14:paraId="722D617B" w14:textId="4359043B" w:rsidR="19CAA72A" w:rsidRDefault="19CAA72A">
      <w:pPr>
        <w:ind w:left="1440"/>
        <w:rPr>
          <w:rFonts w:ascii="Aptos" w:eastAsia="Aptos" w:hAnsi="Aptos" w:cs="Aptos"/>
          <w:b/>
          <w:bCs/>
          <w:color w:val="000000" w:themeColor="text1"/>
          <w:highlight w:val="yellow"/>
        </w:rPr>
      </w:pPr>
    </w:p>
    <w:p w14:paraId="2EC5CEE7" w14:textId="517421C8" w:rsidR="00815721" w:rsidRPr="00683D1D" w:rsidRDefault="00683D1D" w:rsidP="00815721">
      <w:pPr>
        <w:pStyle w:val="BodyText"/>
        <w:ind w:left="0"/>
        <w:rPr>
          <w:b/>
          <w:bCs/>
          <w:spacing w:val="-3"/>
        </w:rPr>
      </w:pPr>
      <w:r w:rsidRPr="00683D1D">
        <w:rPr>
          <w:b/>
          <w:bCs/>
          <w:spacing w:val="-3"/>
        </w:rPr>
        <w:t>For intramuscular administration</w:t>
      </w:r>
    </w:p>
    <w:p w14:paraId="05AFD962" w14:textId="77777777" w:rsidR="00683D1D" w:rsidRPr="00683D1D" w:rsidRDefault="00683D1D" w:rsidP="00815721">
      <w:pPr>
        <w:pStyle w:val="BodyText"/>
        <w:ind w:left="0"/>
        <w:rPr>
          <w:spacing w:val="-3"/>
        </w:rPr>
      </w:pPr>
    </w:p>
    <w:p w14:paraId="20030D16" w14:textId="726ED3B0" w:rsidR="005014B8" w:rsidRDefault="005014B8" w:rsidP="005014B8">
      <w:pPr>
        <w:pStyle w:val="BodyText"/>
        <w:numPr>
          <w:ilvl w:val="0"/>
          <w:numId w:val="3"/>
        </w:numPr>
        <w:rPr>
          <w:spacing w:val="-3"/>
        </w:rPr>
      </w:pPr>
      <w:r>
        <w:rPr>
          <w:spacing w:val="-3"/>
        </w:rPr>
        <w:t>MNEXSPIKE (</w:t>
      </w:r>
      <w:r w:rsidR="00AD3906">
        <w:rPr>
          <w:spacing w:val="-3"/>
        </w:rPr>
        <w:t>COVID</w:t>
      </w:r>
      <w:r>
        <w:rPr>
          <w:spacing w:val="-3"/>
        </w:rPr>
        <w:t>-19 Vaccine, mRNA) injectable suspension</w:t>
      </w:r>
      <w:r w:rsidR="00AD3906">
        <w:rPr>
          <w:spacing w:val="-3"/>
        </w:rPr>
        <w:t>, 2025-2026 Formula</w:t>
      </w:r>
    </w:p>
    <w:p w14:paraId="7C661D43" w14:textId="5F0BE039" w:rsidR="005014B8" w:rsidRDefault="005014B8" w:rsidP="005014B8">
      <w:pPr>
        <w:pStyle w:val="BodyText"/>
        <w:ind w:left="720"/>
        <w:rPr>
          <w:spacing w:val="-3"/>
        </w:rPr>
      </w:pPr>
      <w:r>
        <w:rPr>
          <w:spacing w:val="-3"/>
        </w:rPr>
        <w:t xml:space="preserve">Dispense </w:t>
      </w:r>
      <w:r w:rsidR="009B400A">
        <w:rPr>
          <w:spacing w:val="-3"/>
        </w:rPr>
        <w:t xml:space="preserve">single </w:t>
      </w:r>
      <w:r w:rsidR="00683D1D" w:rsidRPr="00683D1D">
        <w:rPr>
          <w:spacing w:val="-3"/>
        </w:rPr>
        <w:t xml:space="preserve">0.2 mL dose </w:t>
      </w:r>
      <w:r w:rsidR="00200DFD">
        <w:rPr>
          <w:spacing w:val="-3"/>
        </w:rPr>
        <w:t>for:</w:t>
      </w:r>
    </w:p>
    <w:p w14:paraId="7846FF32" w14:textId="2EC87A85" w:rsidR="00200DFD" w:rsidRDefault="00082D9B" w:rsidP="00200DFD">
      <w:pPr>
        <w:pStyle w:val="BodyText"/>
        <w:numPr>
          <w:ilvl w:val="1"/>
          <w:numId w:val="4"/>
        </w:numPr>
        <w:rPr>
          <w:spacing w:val="-3"/>
        </w:rPr>
      </w:pPr>
      <w:r>
        <w:rPr>
          <w:spacing w:val="-3"/>
        </w:rPr>
        <w:t>Individuals</w:t>
      </w:r>
      <w:r w:rsidR="00200DFD">
        <w:rPr>
          <w:spacing w:val="-3"/>
        </w:rPr>
        <w:t xml:space="preserve"> 12 years</w:t>
      </w:r>
      <w:r>
        <w:rPr>
          <w:spacing w:val="-3"/>
        </w:rPr>
        <w:t xml:space="preserve"> of age</w:t>
      </w:r>
      <w:r w:rsidR="00200DFD">
        <w:rPr>
          <w:spacing w:val="-3"/>
        </w:rPr>
        <w:t xml:space="preserve"> and older</w:t>
      </w:r>
    </w:p>
    <w:p w14:paraId="215B193D" w14:textId="7948F87F" w:rsidR="00200DFD" w:rsidRDefault="00200DFD" w:rsidP="00200DFD">
      <w:pPr>
        <w:pStyle w:val="BodyText"/>
        <w:numPr>
          <w:ilvl w:val="1"/>
          <w:numId w:val="4"/>
        </w:numPr>
        <w:rPr>
          <w:spacing w:val="-3"/>
        </w:rPr>
      </w:pPr>
      <w:r>
        <w:rPr>
          <w:spacing w:val="-3"/>
        </w:rPr>
        <w:t>For individuals previously vaccinated with any COVID-19 vaccine, administer the dose of MNEXSPIKE at least 3 months after the last dose of COVID-19 vaccine</w:t>
      </w:r>
    </w:p>
    <w:p w14:paraId="5EA4CFF0" w14:textId="62045332" w:rsidR="005014B8" w:rsidRDefault="005014B8" w:rsidP="005014B8">
      <w:pPr>
        <w:pStyle w:val="BodyText"/>
        <w:ind w:left="720"/>
        <w:rPr>
          <w:spacing w:val="-3"/>
        </w:rPr>
      </w:pPr>
      <w:r>
        <w:rPr>
          <w:spacing w:val="-3"/>
        </w:rPr>
        <w:t xml:space="preserve">Directions for use: Administer MNEXSPIKE as a single 0.2 mL dose </w:t>
      </w:r>
    </w:p>
    <w:p w14:paraId="3E88FE59" w14:textId="77777777" w:rsidR="005014B8" w:rsidRDefault="005014B8" w:rsidP="005014B8">
      <w:pPr>
        <w:pStyle w:val="BodyText"/>
        <w:ind w:left="0"/>
        <w:rPr>
          <w:spacing w:val="-3"/>
        </w:rPr>
      </w:pPr>
    </w:p>
    <w:p w14:paraId="15288609" w14:textId="65D061D1" w:rsidR="005014B8" w:rsidRDefault="005014B8" w:rsidP="005014B8">
      <w:pPr>
        <w:pStyle w:val="BodyText"/>
        <w:ind w:left="0"/>
        <w:rPr>
          <w:b/>
          <w:bCs/>
          <w:spacing w:val="-3"/>
        </w:rPr>
      </w:pPr>
      <w:r>
        <w:rPr>
          <w:b/>
          <w:bCs/>
          <w:spacing w:val="-3"/>
        </w:rPr>
        <w:t>OR</w:t>
      </w:r>
    </w:p>
    <w:p w14:paraId="30274C00" w14:textId="77777777" w:rsidR="005014B8" w:rsidRDefault="005014B8" w:rsidP="005014B8">
      <w:pPr>
        <w:pStyle w:val="BodyText"/>
        <w:ind w:left="0"/>
        <w:rPr>
          <w:b/>
          <w:bCs/>
          <w:spacing w:val="-3"/>
        </w:rPr>
      </w:pPr>
    </w:p>
    <w:p w14:paraId="5A4FC9F2" w14:textId="5FCBE089" w:rsidR="005014B8" w:rsidRPr="009B400A" w:rsidRDefault="00A9084D" w:rsidP="005014B8">
      <w:pPr>
        <w:pStyle w:val="BodyText"/>
        <w:numPr>
          <w:ilvl w:val="0"/>
          <w:numId w:val="3"/>
        </w:numPr>
        <w:rPr>
          <w:b/>
          <w:bCs/>
          <w:spacing w:val="-3"/>
        </w:rPr>
      </w:pPr>
      <w:r>
        <w:rPr>
          <w:spacing w:val="-3"/>
        </w:rPr>
        <w:t>S</w:t>
      </w:r>
      <w:r w:rsidR="00AD3906">
        <w:rPr>
          <w:spacing w:val="-3"/>
        </w:rPr>
        <w:t>PIKEVAX (COVID-19 Vaccine, mRNA) injectable suspension, 2025-2026 Formula</w:t>
      </w:r>
    </w:p>
    <w:p w14:paraId="24CE4287" w14:textId="77777777" w:rsidR="009B400A" w:rsidRPr="00AD3906" w:rsidRDefault="009B400A" w:rsidP="009B400A">
      <w:pPr>
        <w:pStyle w:val="BodyText"/>
        <w:ind w:left="720"/>
        <w:rPr>
          <w:b/>
          <w:bCs/>
          <w:spacing w:val="-3"/>
        </w:rPr>
      </w:pPr>
    </w:p>
    <w:p w14:paraId="4173BDE9" w14:textId="76DED356" w:rsidR="009B400A" w:rsidRDefault="009B400A" w:rsidP="009B400A">
      <w:pPr>
        <w:pStyle w:val="BodyText"/>
        <w:numPr>
          <w:ilvl w:val="1"/>
          <w:numId w:val="3"/>
        </w:numPr>
      </w:pPr>
      <w:r w:rsidDel="00C6157F">
        <w:rPr>
          <w:spacing w:val="-3"/>
        </w:rPr>
        <w:t xml:space="preserve">Individuals </w:t>
      </w:r>
      <w:r w:rsidR="00C6157F">
        <w:rPr>
          <w:spacing w:val="-3"/>
        </w:rPr>
        <w:t>5</w:t>
      </w:r>
      <w:r w:rsidRPr="009B400A">
        <w:rPr>
          <w:spacing w:val="-3"/>
        </w:rPr>
        <w:t xml:space="preserve"> years of age through 11 years of age</w:t>
      </w:r>
    </w:p>
    <w:p w14:paraId="17BFA2A7" w14:textId="68A70390" w:rsidR="009B400A" w:rsidRDefault="009B400A" w:rsidP="009B400A">
      <w:pPr>
        <w:pStyle w:val="BodyText"/>
        <w:ind w:left="1440"/>
        <w:rPr>
          <w:spacing w:val="-3"/>
        </w:rPr>
      </w:pPr>
      <w:r w:rsidRPr="009B400A">
        <w:rPr>
          <w:spacing w:val="-3"/>
        </w:rPr>
        <w:t>Dispense single 0.25 mL dose</w:t>
      </w:r>
      <w:r>
        <w:rPr>
          <w:spacing w:val="-3"/>
        </w:rPr>
        <w:t xml:space="preserve">, irrespective of COVID-19 vaccination status. </w:t>
      </w:r>
    </w:p>
    <w:p w14:paraId="4E06785E" w14:textId="6DA05BDD" w:rsidR="009B400A" w:rsidRPr="009B400A" w:rsidRDefault="009B400A" w:rsidP="009B400A">
      <w:pPr>
        <w:pStyle w:val="BodyText"/>
        <w:numPr>
          <w:ilvl w:val="0"/>
          <w:numId w:val="6"/>
        </w:numPr>
      </w:pPr>
      <w:r>
        <w:rPr>
          <w:spacing w:val="-3"/>
        </w:rPr>
        <w:t>For individuals previously vaccinated with any COVID-19 vaccine, administer the dose ≥ 2</w:t>
      </w:r>
      <w:r w:rsidR="00D47597">
        <w:rPr>
          <w:spacing w:val="-3"/>
        </w:rPr>
        <w:t xml:space="preserve"> </w:t>
      </w:r>
      <w:r>
        <w:rPr>
          <w:spacing w:val="-3"/>
        </w:rPr>
        <w:t>months after the last dose of COVID-19 vaccine</w:t>
      </w:r>
    </w:p>
    <w:p w14:paraId="2DCF8EC0" w14:textId="161C5F22" w:rsidR="009B400A" w:rsidRDefault="009B400A" w:rsidP="009B400A">
      <w:pPr>
        <w:pStyle w:val="BodyText"/>
        <w:ind w:left="3600" w:hanging="2160"/>
        <w:rPr>
          <w:spacing w:val="-3"/>
        </w:rPr>
      </w:pPr>
      <w:r>
        <w:rPr>
          <w:spacing w:val="-3"/>
        </w:rPr>
        <w:t>Direction for use:</w:t>
      </w:r>
      <w:r>
        <w:rPr>
          <w:spacing w:val="-3"/>
        </w:rPr>
        <w:tab/>
        <w:t>Administer SPIKEVAX 0.25 mL dose</w:t>
      </w:r>
    </w:p>
    <w:p w14:paraId="45E0F929" w14:textId="7DE5B45B" w:rsidR="009B400A" w:rsidRPr="009B400A" w:rsidRDefault="009B400A" w:rsidP="009B400A">
      <w:pPr>
        <w:pStyle w:val="BodyText"/>
        <w:ind w:left="3600" w:hanging="2160"/>
        <w:rPr>
          <w:b/>
          <w:bCs/>
          <w:spacing w:val="-3"/>
        </w:rPr>
      </w:pPr>
      <w:r>
        <w:rPr>
          <w:b/>
          <w:bCs/>
          <w:spacing w:val="-3"/>
        </w:rPr>
        <w:t>OR</w:t>
      </w:r>
    </w:p>
    <w:p w14:paraId="393A98C5" w14:textId="5C39A8F8" w:rsidR="009B400A" w:rsidRDefault="009B400A" w:rsidP="009B400A">
      <w:pPr>
        <w:pStyle w:val="BodyText"/>
        <w:numPr>
          <w:ilvl w:val="1"/>
          <w:numId w:val="3"/>
        </w:numPr>
        <w:rPr>
          <w:spacing w:val="-3"/>
        </w:rPr>
      </w:pPr>
      <w:r w:rsidRPr="009B400A">
        <w:rPr>
          <w:spacing w:val="-3"/>
        </w:rPr>
        <w:t xml:space="preserve">Individuals </w:t>
      </w:r>
      <w:r>
        <w:rPr>
          <w:spacing w:val="-3"/>
        </w:rPr>
        <w:t xml:space="preserve">12 </w:t>
      </w:r>
      <w:r w:rsidRPr="009B400A">
        <w:rPr>
          <w:spacing w:val="-3"/>
        </w:rPr>
        <w:t>years of age</w:t>
      </w:r>
      <w:r>
        <w:rPr>
          <w:spacing w:val="-3"/>
        </w:rPr>
        <w:t xml:space="preserve"> and older</w:t>
      </w:r>
    </w:p>
    <w:p w14:paraId="18039802" w14:textId="6400F818" w:rsidR="009B400A" w:rsidRDefault="009B400A" w:rsidP="009B400A">
      <w:pPr>
        <w:pStyle w:val="BodyText"/>
        <w:ind w:left="1440"/>
        <w:rPr>
          <w:spacing w:val="-3"/>
        </w:rPr>
      </w:pPr>
      <w:r w:rsidRPr="009B400A">
        <w:rPr>
          <w:spacing w:val="-3"/>
        </w:rPr>
        <w:t>Dispense single 0.</w:t>
      </w:r>
      <w:r>
        <w:rPr>
          <w:spacing w:val="-3"/>
        </w:rPr>
        <w:t>5</w:t>
      </w:r>
      <w:r w:rsidRPr="009B400A">
        <w:rPr>
          <w:spacing w:val="-3"/>
        </w:rPr>
        <w:t xml:space="preserve"> mL dose</w:t>
      </w:r>
      <w:r>
        <w:rPr>
          <w:spacing w:val="-3"/>
        </w:rPr>
        <w:t xml:space="preserve">, irrespective of COVID-19 vaccination status. </w:t>
      </w:r>
    </w:p>
    <w:p w14:paraId="5CEB416B" w14:textId="77777777" w:rsidR="009B400A" w:rsidRPr="009B400A" w:rsidRDefault="009B400A" w:rsidP="009B400A">
      <w:pPr>
        <w:pStyle w:val="BodyText"/>
        <w:numPr>
          <w:ilvl w:val="0"/>
          <w:numId w:val="6"/>
        </w:numPr>
        <w:rPr>
          <w:spacing w:val="-3"/>
        </w:rPr>
      </w:pPr>
      <w:r>
        <w:rPr>
          <w:spacing w:val="-3"/>
        </w:rPr>
        <w:t>For individuals previously vaccinated with any COVID-19 vaccine, administer the dose ≥ 2months after the last dose of COVID-19 vaccine</w:t>
      </w:r>
    </w:p>
    <w:p w14:paraId="3187B7EE" w14:textId="31B8D71B" w:rsidR="001514E6" w:rsidRDefault="009B400A" w:rsidP="008E3FC6">
      <w:pPr>
        <w:pStyle w:val="BodyText"/>
        <w:ind w:left="3600" w:hanging="2160"/>
        <w:rPr>
          <w:spacing w:val="-3"/>
        </w:rPr>
      </w:pPr>
      <w:r>
        <w:rPr>
          <w:spacing w:val="-3"/>
        </w:rPr>
        <w:t>Direction for use:</w:t>
      </w:r>
      <w:r>
        <w:rPr>
          <w:spacing w:val="-3"/>
        </w:rPr>
        <w:tab/>
        <w:t>Administer SPIKEVAX 0.5 mL dose</w:t>
      </w:r>
    </w:p>
    <w:p w14:paraId="07D8AD20" w14:textId="77777777" w:rsidR="001514E6" w:rsidRDefault="001514E6" w:rsidP="001514E6">
      <w:pPr>
        <w:pStyle w:val="BodyText"/>
        <w:rPr>
          <w:spacing w:val="-3"/>
        </w:rPr>
      </w:pPr>
    </w:p>
    <w:p w14:paraId="1060111B" w14:textId="666CDC91" w:rsidR="001514E6" w:rsidRDefault="001514E6" w:rsidP="00D610DE">
      <w:pPr>
        <w:pStyle w:val="BodyText"/>
        <w:ind w:left="0"/>
        <w:rPr>
          <w:b/>
          <w:bCs/>
          <w:spacing w:val="-3"/>
        </w:rPr>
      </w:pPr>
      <w:r>
        <w:rPr>
          <w:b/>
          <w:bCs/>
          <w:spacing w:val="-3"/>
        </w:rPr>
        <w:t>OR</w:t>
      </w:r>
    </w:p>
    <w:p w14:paraId="49024443" w14:textId="77777777" w:rsidR="001514E6" w:rsidRPr="001514E6" w:rsidRDefault="001514E6" w:rsidP="000A5DF7">
      <w:pPr>
        <w:pStyle w:val="BodyText"/>
        <w:ind w:left="0"/>
        <w:rPr>
          <w:b/>
          <w:bCs/>
          <w:spacing w:val="-3"/>
        </w:rPr>
      </w:pPr>
    </w:p>
    <w:p w14:paraId="272A8CC8" w14:textId="28226FA8" w:rsidR="000A5DF7" w:rsidRPr="009B400A" w:rsidRDefault="000A5DF7" w:rsidP="000A5DF7">
      <w:pPr>
        <w:pStyle w:val="BodyText"/>
        <w:numPr>
          <w:ilvl w:val="0"/>
          <w:numId w:val="3"/>
        </w:numPr>
        <w:rPr>
          <w:b/>
          <w:bCs/>
          <w:spacing w:val="-3"/>
        </w:rPr>
      </w:pPr>
      <w:r>
        <w:rPr>
          <w:spacing w:val="-3"/>
        </w:rPr>
        <w:t>COMIRNATY (COVID-19 Vaccine, mRNA) injectable suspension, 2025-2026 Formula</w:t>
      </w:r>
    </w:p>
    <w:p w14:paraId="55D67B67" w14:textId="73D311FE" w:rsidR="0039592A" w:rsidRDefault="0039592A" w:rsidP="0039592A">
      <w:pPr>
        <w:pStyle w:val="BodyText"/>
        <w:numPr>
          <w:ilvl w:val="1"/>
          <w:numId w:val="3"/>
        </w:numPr>
        <w:rPr>
          <w:spacing w:val="-3"/>
        </w:rPr>
      </w:pPr>
      <w:r>
        <w:rPr>
          <w:spacing w:val="-3"/>
        </w:rPr>
        <w:t>Individuals 5 years of age through 11 years of age</w:t>
      </w:r>
    </w:p>
    <w:p w14:paraId="2048EF58" w14:textId="0F76B431" w:rsidR="0039592A" w:rsidRDefault="0039592A" w:rsidP="0039592A">
      <w:pPr>
        <w:pStyle w:val="BodyText"/>
        <w:ind w:left="1080" w:firstLine="360"/>
        <w:rPr>
          <w:spacing w:val="-3"/>
        </w:rPr>
      </w:pPr>
      <w:r>
        <w:rPr>
          <w:spacing w:val="-3"/>
        </w:rPr>
        <w:lastRenderedPageBreak/>
        <w:t>Dispense single 0.3 mL dose supplied in vials with blue caps and labeled with blue borders</w:t>
      </w:r>
    </w:p>
    <w:p w14:paraId="6405F218" w14:textId="60ECC668" w:rsidR="0039592A" w:rsidRPr="0039592A" w:rsidRDefault="0039592A" w:rsidP="0039592A">
      <w:pPr>
        <w:pStyle w:val="BodyText"/>
        <w:numPr>
          <w:ilvl w:val="0"/>
          <w:numId w:val="6"/>
        </w:numPr>
        <w:rPr>
          <w:spacing w:val="-3"/>
        </w:rPr>
      </w:pPr>
      <w:r>
        <w:rPr>
          <w:spacing w:val="-3"/>
        </w:rPr>
        <w:t>For individuals previously vaccinated with any COVID-19 vaccine, administer the dose at least 2 months after the last dose of COVID-19 vaccine</w:t>
      </w:r>
    </w:p>
    <w:p w14:paraId="277A5CC3" w14:textId="30BB300E" w:rsidR="0039592A" w:rsidRDefault="0039592A" w:rsidP="0039592A">
      <w:pPr>
        <w:pStyle w:val="BodyText"/>
        <w:ind w:left="720" w:firstLine="720"/>
        <w:rPr>
          <w:spacing w:val="-3"/>
        </w:rPr>
      </w:pPr>
      <w:r>
        <w:rPr>
          <w:spacing w:val="-3"/>
        </w:rPr>
        <w:t>Directions for use:  Administer COMIRNATY as a single 0.3 mL dose</w:t>
      </w:r>
      <w:r>
        <w:rPr>
          <w:spacing w:val="-3"/>
        </w:rPr>
        <w:tab/>
      </w:r>
    </w:p>
    <w:p w14:paraId="1C456DAC" w14:textId="27B11AF7" w:rsidR="0039592A" w:rsidRPr="00860AA2" w:rsidRDefault="00860AA2" w:rsidP="0039592A">
      <w:pPr>
        <w:pStyle w:val="BodyText"/>
        <w:ind w:left="720" w:firstLine="720"/>
        <w:rPr>
          <w:b/>
          <w:bCs/>
          <w:spacing w:val="-3"/>
        </w:rPr>
      </w:pPr>
      <w:r>
        <w:rPr>
          <w:b/>
          <w:bCs/>
          <w:spacing w:val="-3"/>
        </w:rPr>
        <w:t>OR</w:t>
      </w:r>
    </w:p>
    <w:p w14:paraId="2E8D283E" w14:textId="7E9BAA59" w:rsidR="0039592A" w:rsidRDefault="0039592A" w:rsidP="0039592A">
      <w:pPr>
        <w:pStyle w:val="BodyText"/>
        <w:numPr>
          <w:ilvl w:val="1"/>
          <w:numId w:val="3"/>
        </w:numPr>
        <w:rPr>
          <w:spacing w:val="-3"/>
        </w:rPr>
      </w:pPr>
      <w:r>
        <w:rPr>
          <w:spacing w:val="-3"/>
        </w:rPr>
        <w:t>Individuals 12 years of age and older</w:t>
      </w:r>
    </w:p>
    <w:p w14:paraId="784D944F" w14:textId="28FC00EB" w:rsidR="0039592A" w:rsidRDefault="0039592A" w:rsidP="0039592A">
      <w:pPr>
        <w:pStyle w:val="BodyText"/>
        <w:ind w:left="1440"/>
        <w:rPr>
          <w:spacing w:val="-3"/>
        </w:rPr>
      </w:pPr>
      <w:r>
        <w:rPr>
          <w:spacing w:val="-3"/>
        </w:rPr>
        <w:t>Dispense single 0.3 mL dose supplied in prefilled syringes labeled with gray borders</w:t>
      </w:r>
    </w:p>
    <w:p w14:paraId="6CBCEB6F" w14:textId="606C4BAC" w:rsidR="00176AAA" w:rsidRPr="00176AAA" w:rsidRDefault="00176AAA" w:rsidP="00176AAA">
      <w:pPr>
        <w:pStyle w:val="BodyText"/>
        <w:numPr>
          <w:ilvl w:val="0"/>
          <w:numId w:val="6"/>
        </w:numPr>
        <w:rPr>
          <w:spacing w:val="-3"/>
        </w:rPr>
      </w:pPr>
      <w:r>
        <w:rPr>
          <w:spacing w:val="-3"/>
        </w:rPr>
        <w:t>For individuals previously vaccinated with any COVID-19 vaccine, administer the dose at least 2 months after the last dose of COVID-19 vaccine</w:t>
      </w:r>
    </w:p>
    <w:p w14:paraId="533F86F8" w14:textId="17FD797C" w:rsidR="0039592A" w:rsidRDefault="0039592A" w:rsidP="0039592A">
      <w:pPr>
        <w:pStyle w:val="BodyText"/>
        <w:ind w:left="3600" w:hanging="2160"/>
        <w:rPr>
          <w:spacing w:val="-3"/>
        </w:rPr>
      </w:pPr>
      <w:r>
        <w:rPr>
          <w:spacing w:val="-3"/>
        </w:rPr>
        <w:t>Direction for use:  Administer COMIRNATY as a single 0.3 mL dose</w:t>
      </w:r>
      <w:r>
        <w:rPr>
          <w:spacing w:val="-3"/>
        </w:rPr>
        <w:tab/>
      </w:r>
    </w:p>
    <w:p w14:paraId="1F88F52A" w14:textId="77777777" w:rsidR="00176AAA" w:rsidRDefault="00176AAA" w:rsidP="00176AAA">
      <w:pPr>
        <w:pStyle w:val="BodyText"/>
        <w:ind w:left="0"/>
        <w:rPr>
          <w:spacing w:val="-3"/>
        </w:rPr>
      </w:pPr>
    </w:p>
    <w:p w14:paraId="3B49C625" w14:textId="69CD839A" w:rsidR="00176AAA" w:rsidRDefault="00176AAA" w:rsidP="00176AAA">
      <w:pPr>
        <w:pStyle w:val="BodyText"/>
        <w:ind w:left="0"/>
        <w:rPr>
          <w:b/>
          <w:bCs/>
          <w:spacing w:val="-3"/>
        </w:rPr>
      </w:pPr>
      <w:r>
        <w:rPr>
          <w:b/>
          <w:bCs/>
          <w:spacing w:val="-3"/>
        </w:rPr>
        <w:t>OR</w:t>
      </w:r>
    </w:p>
    <w:p w14:paraId="75635D38" w14:textId="52A4BDC7" w:rsidR="00176AAA" w:rsidRPr="00693086" w:rsidRDefault="00693086" w:rsidP="00693086">
      <w:pPr>
        <w:pStyle w:val="BodyText"/>
        <w:numPr>
          <w:ilvl w:val="0"/>
          <w:numId w:val="6"/>
        </w:numPr>
        <w:ind w:left="810" w:hanging="450"/>
        <w:rPr>
          <w:spacing w:val="-3"/>
        </w:rPr>
      </w:pPr>
      <w:r w:rsidRPr="00693086">
        <w:rPr>
          <w:spacing w:val="-3"/>
        </w:rPr>
        <w:t>N</w:t>
      </w:r>
      <w:r>
        <w:rPr>
          <w:spacing w:val="-3"/>
        </w:rPr>
        <w:t>UVAXOVID</w:t>
      </w:r>
      <w:r w:rsidR="00D6050E">
        <w:rPr>
          <w:spacing w:val="-3"/>
        </w:rPr>
        <w:t xml:space="preserve"> (COVID-19 Vaccine, Adjuvanted) injectable suspension, 2025-2026 Formula</w:t>
      </w:r>
    </w:p>
    <w:p w14:paraId="0F381007" w14:textId="6354FAAF" w:rsidR="00D6050E" w:rsidRDefault="00D6050E" w:rsidP="00D6050E">
      <w:pPr>
        <w:pStyle w:val="BodyText"/>
        <w:ind w:left="720"/>
        <w:rPr>
          <w:spacing w:val="-3"/>
        </w:rPr>
      </w:pPr>
      <w:r>
        <w:rPr>
          <w:spacing w:val="-3"/>
        </w:rPr>
        <w:t xml:space="preserve">Dispense single </w:t>
      </w:r>
      <w:r w:rsidRPr="00683D1D">
        <w:rPr>
          <w:spacing w:val="-3"/>
        </w:rPr>
        <w:t>0.</w:t>
      </w:r>
      <w:r>
        <w:rPr>
          <w:spacing w:val="-3"/>
        </w:rPr>
        <w:t>5</w:t>
      </w:r>
      <w:r w:rsidRPr="00683D1D">
        <w:rPr>
          <w:spacing w:val="-3"/>
        </w:rPr>
        <w:t xml:space="preserve"> mL dose </w:t>
      </w:r>
      <w:r>
        <w:rPr>
          <w:spacing w:val="-3"/>
        </w:rPr>
        <w:t>for:</w:t>
      </w:r>
    </w:p>
    <w:p w14:paraId="74CB8ED1" w14:textId="77777777" w:rsidR="00D6050E" w:rsidRDefault="00D6050E" w:rsidP="00D6050E">
      <w:pPr>
        <w:pStyle w:val="BodyText"/>
        <w:numPr>
          <w:ilvl w:val="1"/>
          <w:numId w:val="4"/>
        </w:numPr>
        <w:rPr>
          <w:spacing w:val="-3"/>
        </w:rPr>
      </w:pPr>
      <w:r>
        <w:rPr>
          <w:spacing w:val="-3"/>
        </w:rPr>
        <w:t>Individuals 12 years of age and older</w:t>
      </w:r>
    </w:p>
    <w:p w14:paraId="4032E38F" w14:textId="3B2B9A38" w:rsidR="00D6050E" w:rsidRDefault="00D6050E" w:rsidP="00D6050E">
      <w:pPr>
        <w:pStyle w:val="BodyText"/>
        <w:numPr>
          <w:ilvl w:val="1"/>
          <w:numId w:val="4"/>
        </w:numPr>
        <w:rPr>
          <w:spacing w:val="-3"/>
        </w:rPr>
      </w:pPr>
      <w:r>
        <w:rPr>
          <w:spacing w:val="-3"/>
        </w:rPr>
        <w:t xml:space="preserve">For individuals previously vaccinated with any COVID-19 vaccine, administer the dose of </w:t>
      </w:r>
      <w:r w:rsidRPr="00693086">
        <w:rPr>
          <w:spacing w:val="-3"/>
        </w:rPr>
        <w:t>N</w:t>
      </w:r>
      <w:r>
        <w:rPr>
          <w:spacing w:val="-3"/>
        </w:rPr>
        <w:t>UVAXOVID at least 2 months after the last dose of COVID-19 vaccine</w:t>
      </w:r>
    </w:p>
    <w:p w14:paraId="7B50B3B2" w14:textId="6320CF4D" w:rsidR="00D6050E" w:rsidRDefault="74113947" w:rsidP="00D6050E">
      <w:pPr>
        <w:pStyle w:val="BodyText"/>
        <w:ind w:left="720"/>
      </w:pPr>
      <w:r>
        <w:rPr>
          <w:spacing w:val="-3"/>
        </w:rPr>
        <w:t xml:space="preserve">Directions for use: Administer </w:t>
      </w:r>
      <w:r w:rsidRPr="00693086">
        <w:rPr>
          <w:spacing w:val="-3"/>
        </w:rPr>
        <w:t>N</w:t>
      </w:r>
      <w:r>
        <w:rPr>
          <w:spacing w:val="-3"/>
        </w:rPr>
        <w:t xml:space="preserve">UVAXOVID as a single 0.5 mL dose </w:t>
      </w:r>
    </w:p>
    <w:p w14:paraId="64FF6343" w14:textId="7B1A9034" w:rsidR="19CAA72A" w:rsidRDefault="19CAA72A" w:rsidP="19CAA72A">
      <w:pPr>
        <w:pStyle w:val="BodyText"/>
        <w:ind w:left="720"/>
      </w:pPr>
    </w:p>
    <w:p w14:paraId="35B72F33" w14:textId="60AC79BD" w:rsidR="3822A9C6" w:rsidRDefault="3822A9C6" w:rsidP="19CAA72A">
      <w:pPr>
        <w:ind w:left="1440" w:hanging="360"/>
        <w:rPr>
          <w:rFonts w:ascii="Aptos" w:eastAsia="Aptos" w:hAnsi="Aptos" w:cs="Aptos"/>
        </w:rPr>
      </w:pPr>
      <w:r w:rsidRPr="5B6934FF">
        <w:rPr>
          <w:rFonts w:ascii="Aptos" w:eastAsia="Aptos" w:hAnsi="Aptos" w:cs="Aptos"/>
        </w:rPr>
        <w:t>6)</w:t>
      </w:r>
      <w:r w:rsidRPr="5B6934FF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5B6934FF">
        <w:rPr>
          <w:rFonts w:ascii="Aptos" w:eastAsia="Aptos" w:hAnsi="Aptos" w:cs="Aptos"/>
        </w:rPr>
        <w:t>Document the Vaccination.</w:t>
      </w:r>
    </w:p>
    <w:p w14:paraId="5A5A7843" w14:textId="759EAE7E" w:rsidR="19CAA72A" w:rsidRDefault="19CAA72A" w:rsidP="19CAA72A">
      <w:pPr>
        <w:ind w:left="1440" w:hanging="360"/>
        <w:rPr>
          <w:rFonts w:ascii="Aptos" w:eastAsia="Aptos" w:hAnsi="Aptos" w:cs="Aptos"/>
        </w:rPr>
      </w:pPr>
    </w:p>
    <w:p w14:paraId="5D393F1C" w14:textId="0EA100EA" w:rsidR="3822A9C6" w:rsidRDefault="3822A9C6" w:rsidP="19CAA72A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>7)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3E5F99A3">
        <w:rPr>
          <w:rFonts w:ascii="Aptos" w:eastAsia="Aptos" w:hAnsi="Aptos" w:cs="Aptos"/>
        </w:rPr>
        <w:t>Be Prepared to Manage Medical Emergencies.</w:t>
      </w:r>
    </w:p>
    <w:p w14:paraId="486B41E4" w14:textId="2775FDDB" w:rsidR="3822A9C6" w:rsidRDefault="3822A9C6" w:rsidP="19CAA72A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 xml:space="preserve"> </w:t>
      </w:r>
    </w:p>
    <w:p w14:paraId="0E704006" w14:textId="5DC59597" w:rsidR="3822A9C6" w:rsidRDefault="3822A9C6" w:rsidP="19CAA72A">
      <w:pPr>
        <w:ind w:left="1440" w:hanging="360"/>
        <w:rPr>
          <w:rFonts w:ascii="Aptos" w:eastAsia="Aptos" w:hAnsi="Aptos" w:cs="Aptos"/>
        </w:rPr>
      </w:pPr>
      <w:r w:rsidRPr="3E5F99A3">
        <w:rPr>
          <w:rFonts w:ascii="Aptos" w:eastAsia="Aptos" w:hAnsi="Aptos" w:cs="Aptos"/>
        </w:rPr>
        <w:t>8)</w:t>
      </w:r>
      <w:r w:rsidRPr="3E5F99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3E5F99A3">
        <w:rPr>
          <w:rFonts w:ascii="Aptos" w:eastAsia="Aptos" w:hAnsi="Aptos" w:cs="Aptos"/>
        </w:rPr>
        <w:t>Report Adverse Events to</w:t>
      </w:r>
      <w:r w:rsidR="61E4FD9E" w:rsidRPr="3E5F99A3">
        <w:rPr>
          <w:rFonts w:ascii="Aptos" w:eastAsia="Aptos" w:hAnsi="Aptos" w:cs="Aptos"/>
        </w:rPr>
        <w:t xml:space="preserve"> the </w:t>
      </w:r>
      <w:r w:rsidR="1E9C0BC1" w:rsidRPr="3E5F99A3">
        <w:rPr>
          <w:rFonts w:ascii="Aptos" w:eastAsia="Aptos" w:hAnsi="Aptos" w:cs="Aptos"/>
        </w:rPr>
        <w:t>Vaccine Adverse Event Reporting System</w:t>
      </w:r>
      <w:r w:rsidR="522B5B37" w:rsidRPr="3E5F99A3">
        <w:rPr>
          <w:rFonts w:ascii="Aptos" w:eastAsia="Aptos" w:hAnsi="Aptos" w:cs="Aptos"/>
        </w:rPr>
        <w:t xml:space="preserve"> </w:t>
      </w:r>
      <w:r w:rsidR="1E9C0BC1" w:rsidRPr="3E5F99A3">
        <w:rPr>
          <w:rFonts w:ascii="Aptos" w:eastAsia="Aptos" w:hAnsi="Aptos" w:cs="Aptos"/>
        </w:rPr>
        <w:t>(</w:t>
      </w:r>
      <w:r w:rsidRPr="3E5F99A3">
        <w:rPr>
          <w:rFonts w:ascii="Aptos" w:eastAsia="Aptos" w:hAnsi="Aptos" w:cs="Aptos"/>
        </w:rPr>
        <w:t>VAERS</w:t>
      </w:r>
      <w:r w:rsidR="6DC6CD34" w:rsidRPr="3E5F99A3">
        <w:rPr>
          <w:rFonts w:ascii="Aptos" w:eastAsia="Aptos" w:hAnsi="Aptos" w:cs="Aptos"/>
        </w:rPr>
        <w:t>)</w:t>
      </w:r>
      <w:r w:rsidRPr="3E5F99A3">
        <w:rPr>
          <w:rFonts w:ascii="Aptos" w:eastAsia="Aptos" w:hAnsi="Aptos" w:cs="Aptos"/>
        </w:rPr>
        <w:t>.</w:t>
      </w:r>
    </w:p>
    <w:p w14:paraId="74D4FE3C" w14:textId="179B81EA" w:rsidR="19CAA72A" w:rsidRDefault="19CAA72A" w:rsidP="19CAA72A">
      <w:pPr>
        <w:pStyle w:val="BodyText"/>
        <w:ind w:left="720"/>
      </w:pPr>
    </w:p>
    <w:p w14:paraId="26679339" w14:textId="77777777" w:rsidR="000A5DF7" w:rsidRPr="00AD3906" w:rsidRDefault="000A5DF7" w:rsidP="000A5DF7">
      <w:pPr>
        <w:pStyle w:val="BodyText"/>
        <w:ind w:left="720"/>
        <w:rPr>
          <w:b/>
          <w:bCs/>
          <w:spacing w:val="-3"/>
        </w:rPr>
      </w:pPr>
    </w:p>
    <w:p w14:paraId="065D7FE7" w14:textId="7ED5D8F4" w:rsidR="009B400A" w:rsidRPr="009B400A" w:rsidRDefault="009B400A" w:rsidP="00FC2546">
      <w:pPr>
        <w:pStyle w:val="BodyText"/>
        <w:ind w:left="1440"/>
        <w:rPr>
          <w:spacing w:val="-3"/>
        </w:rPr>
      </w:pPr>
    </w:p>
    <w:p w14:paraId="759F339B" w14:textId="77777777" w:rsidR="00815721" w:rsidRDefault="00815721" w:rsidP="00815721">
      <w:pPr>
        <w:pStyle w:val="BodyText"/>
        <w:spacing w:before="152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6E8D992" wp14:editId="149982D8">
                <wp:simplePos x="0" y="0"/>
                <wp:positionH relativeFrom="page">
                  <wp:posOffset>664143</wp:posOffset>
                </wp:positionH>
                <wp:positionV relativeFrom="paragraph">
                  <wp:posOffset>545992</wp:posOffset>
                </wp:positionV>
                <wp:extent cx="6437630" cy="394335"/>
                <wp:effectExtent l="0" t="0" r="0" b="0"/>
                <wp:wrapTopAndBottom/>
                <wp:docPr id="1" name="Group 1" descr="Area for physician's signatur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394335"/>
                          <a:chOff x="0" y="273635"/>
                          <a:chExt cx="6437630" cy="394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73635"/>
                            <a:ext cx="64376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18415">
                                <a:moveTo>
                                  <a:pt x="6437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437376" y="18288"/>
                                </a:lnTo>
                                <a:lnTo>
                                  <a:pt x="643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288" y="292536"/>
                            <a:ext cx="123253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C0581" w14:textId="77777777" w:rsidR="00815721" w:rsidRDefault="00815721" w:rsidP="008157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Physician’s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507214" y="292050"/>
                            <a:ext cx="1959884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6DF29" w14:textId="4390A73C" w:rsidR="00815721" w:rsidRDefault="00161087" w:rsidP="00815721">
                              <w:pPr>
                                <w:spacing w:before="54"/>
                                <w:ind w:left="13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8D992" id="Group 1" o:spid="_x0000_s1026" alt="Area for physician's signature. " style="position:absolute;margin-left:52.3pt;margin-top:43pt;width:506.9pt;height:31.05pt;z-index:-251658240;mso-wrap-distance-left:0;mso-wrap-distance-right:0;mso-position-horizontal-relative:page;mso-height-relative:margin" coordorigin=",2736" coordsize="64376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">
                <v:shape id="Graphic 3" o:spid="_x0000_s1027" style="position:absolute;top:2736;width:64376;height:184;visibility:visible;mso-wrap-style:square;v-text-anchor:top" coordsize="64376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" path="m6437376,l,,,18288r6437376,l64373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82;top:2925;width:123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59C0581" w14:textId="77777777" w:rsidR="00815721" w:rsidRDefault="00815721" w:rsidP="008157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Physician’s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Signature</w:t>
                        </w:r>
                      </w:p>
                    </w:txbxContent>
                  </v:textbox>
                </v:shape>
                <v:shape id="Textbox 5" o:spid="_x0000_s1029" type="#_x0000_t202" style="position:absolute;left:35072;top:2920;width:19598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76DF29" w14:textId="4390A73C" w:rsidR="00815721" w:rsidRDefault="00161087" w:rsidP="00815721">
                        <w:pPr>
                          <w:spacing w:before="54"/>
                          <w:ind w:left="13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8BAA48" w14:textId="77777777" w:rsidR="00815721" w:rsidRDefault="00815721" w:rsidP="00815721">
      <w:pPr>
        <w:pStyle w:val="BodyText"/>
        <w:spacing w:before="264"/>
        <w:ind w:left="0"/>
      </w:pPr>
    </w:p>
    <w:p w14:paraId="4410786D" w14:textId="625AFA9B" w:rsidR="00815721" w:rsidRDefault="00815721" w:rsidP="00161087">
      <w:pPr>
        <w:tabs>
          <w:tab w:val="left" w:pos="3019"/>
        </w:tabs>
        <w:spacing w:line="288" w:lineRule="auto"/>
        <w:ind w:right="4950"/>
      </w:pPr>
      <w:r>
        <w:rPr>
          <w:noProof/>
        </w:rPr>
        <mc:AlternateContent>
          <mc:Choice Requires="wps">
            <w:drawing>
              <wp:inline distT="0" distB="0" distL="0" distR="0" wp14:anchorId="064F0DCC" wp14:editId="5CA7F329">
                <wp:extent cx="6437630" cy="18415"/>
                <wp:effectExtent l="0" t="0" r="0" b="0"/>
                <wp:docPr id="261985027" name="Graphic 6" descr="Area for physician's printed name and licens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5B05E1E" id="Graphic 6" o:spid="_x0000_s1026" alt="Area for physician's printed name and license number" style="width:506.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UeIwIAAMEEAAAOAAAAZHJzL2Uyb0RvYy54bWysVMFu2zAMvQ/YPwi6L07SLguM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" path="m6437376,l,,,18288r6437376,l6437376,xe" fillcolor="black" stroked="f">
                <v:path arrowok="t"/>
                <w10:anchorlock/>
              </v:shape>
            </w:pict>
          </mc:Fallback>
        </mc:AlternateContent>
      </w:r>
      <w:r>
        <w:rPr>
          <w:b/>
        </w:rPr>
        <w:t>Physician’s</w:t>
      </w:r>
      <w:r>
        <w:rPr>
          <w:b/>
          <w:spacing w:val="-6"/>
        </w:rPr>
        <w:t xml:space="preserve"> </w:t>
      </w:r>
      <w:r>
        <w:rPr>
          <w:b/>
        </w:rPr>
        <w:t>Name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MA</w:t>
      </w:r>
      <w:r>
        <w:rPr>
          <w:b/>
          <w:spacing w:val="-6"/>
        </w:rPr>
        <w:t xml:space="preserve"> </w:t>
      </w:r>
      <w:r>
        <w:rPr>
          <w:b/>
        </w:rPr>
        <w:t>License</w:t>
      </w:r>
      <w:r>
        <w:rPr>
          <w:b/>
          <w:spacing w:val="-6"/>
        </w:rPr>
        <w:t xml:space="preserve"> </w:t>
      </w:r>
      <w:r>
        <w:rPr>
          <w:b/>
        </w:rPr>
        <w:t>No.</w:t>
      </w:r>
      <w:r>
        <w:rPr>
          <w:b/>
          <w:spacing w:val="-4"/>
        </w:rPr>
        <w:t xml:space="preserve"> </w:t>
      </w:r>
      <w:r>
        <w:t>(print</w:t>
      </w:r>
      <w:r>
        <w:rPr>
          <w:spacing w:val="-6"/>
        </w:rPr>
        <w:t xml:space="preserve"> </w:t>
      </w:r>
      <w:r>
        <w:t>legibly)</w:t>
      </w:r>
    </w:p>
    <w:p w14:paraId="7DA504D6" w14:textId="77777777" w:rsidR="0085147A" w:rsidRDefault="0085147A"/>
    <w:sectPr w:rsidR="0085147A" w:rsidSect="00815721">
      <w:pgSz w:w="12240" w:h="15840"/>
      <w:pgMar w:top="10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833B1"/>
    <w:multiLevelType w:val="hybridMultilevel"/>
    <w:tmpl w:val="D7B4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5430C"/>
    <w:multiLevelType w:val="hybridMultilevel"/>
    <w:tmpl w:val="B76631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A6A79"/>
    <w:multiLevelType w:val="hybridMultilevel"/>
    <w:tmpl w:val="CE82EA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81A1571"/>
    <w:multiLevelType w:val="hybridMultilevel"/>
    <w:tmpl w:val="96A00778"/>
    <w:lvl w:ilvl="0" w:tplc="F9E69AD4">
      <w:start w:val="1"/>
      <w:numFmt w:val="lowerLetter"/>
      <w:lvlText w:val="%1)"/>
      <w:lvlJc w:val="left"/>
      <w:pPr>
        <w:ind w:left="140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EEBD5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8B036BE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8184380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 w:tplc="33D2889C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395AAA60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6" w:tplc="D5E2EB68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 w:tplc="921840EA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B8C4D3A6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4542E1"/>
    <w:multiLevelType w:val="hybridMultilevel"/>
    <w:tmpl w:val="1A9C2518"/>
    <w:lvl w:ilvl="0" w:tplc="95660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A1904"/>
    <w:multiLevelType w:val="hybridMultilevel"/>
    <w:tmpl w:val="C46E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21"/>
    <w:rsid w:val="00066D76"/>
    <w:rsid w:val="00082D9B"/>
    <w:rsid w:val="000835AA"/>
    <w:rsid w:val="00094786"/>
    <w:rsid w:val="00097EC5"/>
    <w:rsid w:val="000A5DF7"/>
    <w:rsid w:val="000A7B24"/>
    <w:rsid w:val="000D02A0"/>
    <w:rsid w:val="000F7448"/>
    <w:rsid w:val="001153C4"/>
    <w:rsid w:val="00125005"/>
    <w:rsid w:val="001514E6"/>
    <w:rsid w:val="00161087"/>
    <w:rsid w:val="00176AAA"/>
    <w:rsid w:val="001A0464"/>
    <w:rsid w:val="001E4BE9"/>
    <w:rsid w:val="001F2123"/>
    <w:rsid w:val="00200DFD"/>
    <w:rsid w:val="00202EBA"/>
    <w:rsid w:val="002A32D8"/>
    <w:rsid w:val="002C32A4"/>
    <w:rsid w:val="003249AF"/>
    <w:rsid w:val="0039592A"/>
    <w:rsid w:val="003C7907"/>
    <w:rsid w:val="004D77C5"/>
    <w:rsid w:val="00500870"/>
    <w:rsid w:val="005014B8"/>
    <w:rsid w:val="00507235"/>
    <w:rsid w:val="00526E48"/>
    <w:rsid w:val="005B2923"/>
    <w:rsid w:val="005E1639"/>
    <w:rsid w:val="00601FE5"/>
    <w:rsid w:val="00602543"/>
    <w:rsid w:val="00602895"/>
    <w:rsid w:val="00620948"/>
    <w:rsid w:val="006225FE"/>
    <w:rsid w:val="00654276"/>
    <w:rsid w:val="0066101A"/>
    <w:rsid w:val="00683D1D"/>
    <w:rsid w:val="006877AF"/>
    <w:rsid w:val="00693086"/>
    <w:rsid w:val="00714F67"/>
    <w:rsid w:val="0076305A"/>
    <w:rsid w:val="007F32D0"/>
    <w:rsid w:val="00805A72"/>
    <w:rsid w:val="00814CEF"/>
    <w:rsid w:val="00815721"/>
    <w:rsid w:val="0085147A"/>
    <w:rsid w:val="00860AA2"/>
    <w:rsid w:val="0088151D"/>
    <w:rsid w:val="008B6DCB"/>
    <w:rsid w:val="008E3FC6"/>
    <w:rsid w:val="009037B3"/>
    <w:rsid w:val="009043C4"/>
    <w:rsid w:val="009062C3"/>
    <w:rsid w:val="009341D5"/>
    <w:rsid w:val="009504D3"/>
    <w:rsid w:val="009832B1"/>
    <w:rsid w:val="009B32BA"/>
    <w:rsid w:val="009B400A"/>
    <w:rsid w:val="00A77D81"/>
    <w:rsid w:val="00A8243D"/>
    <w:rsid w:val="00A9084D"/>
    <w:rsid w:val="00AA4D0D"/>
    <w:rsid w:val="00AC68BB"/>
    <w:rsid w:val="00AD3906"/>
    <w:rsid w:val="00B95B6C"/>
    <w:rsid w:val="00BC095A"/>
    <w:rsid w:val="00BC2237"/>
    <w:rsid w:val="00BD1F6E"/>
    <w:rsid w:val="00C6157F"/>
    <w:rsid w:val="00C92CA7"/>
    <w:rsid w:val="00CE534B"/>
    <w:rsid w:val="00CF7696"/>
    <w:rsid w:val="00D47597"/>
    <w:rsid w:val="00D6050E"/>
    <w:rsid w:val="00D610DE"/>
    <w:rsid w:val="00D94DE6"/>
    <w:rsid w:val="00DB3A94"/>
    <w:rsid w:val="00DB7B78"/>
    <w:rsid w:val="00E310D1"/>
    <w:rsid w:val="00EA697E"/>
    <w:rsid w:val="00EC4747"/>
    <w:rsid w:val="00EE6596"/>
    <w:rsid w:val="00F309C6"/>
    <w:rsid w:val="00F31730"/>
    <w:rsid w:val="00F70A00"/>
    <w:rsid w:val="00F92DE8"/>
    <w:rsid w:val="00FA3C78"/>
    <w:rsid w:val="00FC04B4"/>
    <w:rsid w:val="00FC2546"/>
    <w:rsid w:val="021B23E4"/>
    <w:rsid w:val="0BB963AD"/>
    <w:rsid w:val="0FF1F789"/>
    <w:rsid w:val="19CAA72A"/>
    <w:rsid w:val="1DD1B45E"/>
    <w:rsid w:val="1E9C0BC1"/>
    <w:rsid w:val="2067813D"/>
    <w:rsid w:val="232F4409"/>
    <w:rsid w:val="2351C923"/>
    <w:rsid w:val="25EEA571"/>
    <w:rsid w:val="2A6A09C4"/>
    <w:rsid w:val="30947F7C"/>
    <w:rsid w:val="31729398"/>
    <w:rsid w:val="32CC38AF"/>
    <w:rsid w:val="3822A9C6"/>
    <w:rsid w:val="3D72EB35"/>
    <w:rsid w:val="3E5F99A3"/>
    <w:rsid w:val="3E732FEE"/>
    <w:rsid w:val="3F3FBB75"/>
    <w:rsid w:val="3F460B74"/>
    <w:rsid w:val="40A92423"/>
    <w:rsid w:val="45E4668B"/>
    <w:rsid w:val="4F474B09"/>
    <w:rsid w:val="522B5B37"/>
    <w:rsid w:val="53217A87"/>
    <w:rsid w:val="5659BA70"/>
    <w:rsid w:val="5B0E0A50"/>
    <w:rsid w:val="5B6934FF"/>
    <w:rsid w:val="5BA541EA"/>
    <w:rsid w:val="5CC40373"/>
    <w:rsid w:val="5E9CB59D"/>
    <w:rsid w:val="5F51A6D5"/>
    <w:rsid w:val="5FAECB99"/>
    <w:rsid w:val="61E4FD9E"/>
    <w:rsid w:val="652A474D"/>
    <w:rsid w:val="68506987"/>
    <w:rsid w:val="69BD0ACE"/>
    <w:rsid w:val="6A40B79D"/>
    <w:rsid w:val="6AE7B063"/>
    <w:rsid w:val="6DC6CD34"/>
    <w:rsid w:val="74113947"/>
    <w:rsid w:val="7433EC50"/>
    <w:rsid w:val="7692D5C1"/>
    <w:rsid w:val="7746C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E028"/>
  <w15:chartTrackingRefBased/>
  <w15:docId w15:val="{D909C459-DE2C-4938-8619-9FB4EAD5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7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7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7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7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721"/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721"/>
    <w:rPr>
      <w:rFonts w:ascii="Calibri" w:eastAsiaTheme="majorEastAsia" w:hAnsi="Calibr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721"/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721"/>
    <w:rPr>
      <w:rFonts w:ascii="Calibri" w:eastAsiaTheme="majorEastAsia" w:hAnsi="Calibr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15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72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15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72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5721"/>
    <w:pPr>
      <w:ind w:left="859"/>
    </w:pPr>
  </w:style>
  <w:style w:type="character" w:customStyle="1" w:styleId="BodyTextChar">
    <w:name w:val="Body Text Char"/>
    <w:basedOn w:val="DefaultParagraphFont"/>
    <w:link w:val="BodyText"/>
    <w:uiPriority w:val="1"/>
    <w:rsid w:val="00815721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B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76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AAA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6AA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2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2A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5F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C474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Jacqueline M (DPH)</dc:creator>
  <cp:keywords/>
  <dc:description/>
  <cp:lastModifiedBy>Talebian, Pejman (DPH)</cp:lastModifiedBy>
  <cp:revision>2</cp:revision>
  <dcterms:created xsi:type="dcterms:W3CDTF">2025-09-09T19:51:00Z</dcterms:created>
  <dcterms:modified xsi:type="dcterms:W3CDTF">2025-09-09T19:51:00Z</dcterms:modified>
</cp:coreProperties>
</file>