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01CA3" w14:textId="77777777" w:rsidR="002B3E9C" w:rsidRPr="00350301" w:rsidRDefault="002B3E9C" w:rsidP="006B7DA6">
      <w:pPr>
        <w:pStyle w:val="Heading1"/>
        <w:rPr>
          <w:b w:val="0"/>
        </w:rPr>
      </w:pPr>
      <w:r w:rsidRPr="00350301">
        <w:t xml:space="preserve">Massachusetts Probate and Family Court </w:t>
      </w:r>
    </w:p>
    <w:p w14:paraId="057781D2" w14:textId="185257AB" w:rsidR="002B3E9C" w:rsidRPr="00350301" w:rsidRDefault="002B3E9C" w:rsidP="006B7DA6">
      <w:pPr>
        <w:pStyle w:val="Heading1"/>
        <w:rPr>
          <w:b w:val="0"/>
        </w:rPr>
      </w:pPr>
      <w:r w:rsidRPr="00350301">
        <w:t xml:space="preserve">Module </w:t>
      </w:r>
      <w:r w:rsidR="00687312">
        <w:t>9</w:t>
      </w:r>
      <w:r w:rsidRPr="00350301">
        <w:t>:</w:t>
      </w:r>
      <w:r w:rsidR="00847569" w:rsidRPr="00350301">
        <w:t xml:space="preserve"> Alternatives to Guardianship and Conservatorship</w:t>
      </w:r>
    </w:p>
    <w:p w14:paraId="54BBF848" w14:textId="77777777" w:rsidR="002B3E9C" w:rsidRPr="00350301" w:rsidRDefault="002B3E9C" w:rsidP="006B7DA6">
      <w:pPr>
        <w:pStyle w:val="Heading2"/>
        <w:rPr>
          <w:b w:val="0"/>
        </w:rPr>
      </w:pPr>
      <w:r w:rsidRPr="00350301">
        <w:t>Welcome</w:t>
      </w:r>
    </w:p>
    <w:p w14:paraId="02D490A7" w14:textId="77777777" w:rsidR="009F483D" w:rsidRPr="00060158" w:rsidRDefault="009F483D" w:rsidP="00060158">
      <w:pPr>
        <w:widowControl w:val="0"/>
        <w:autoSpaceDE w:val="0"/>
        <w:autoSpaceDN w:val="0"/>
        <w:adjustRightInd w:val="0"/>
        <w:spacing w:line="240" w:lineRule="auto"/>
        <w:rPr>
          <w:rFonts w:cs="Microsoft Sans Serif"/>
          <w:kern w:val="0"/>
        </w:rPr>
      </w:pPr>
      <w:r w:rsidRPr="00060158">
        <w:rPr>
          <w:rFonts w:cs="Open Sans"/>
          <w:color w:val="000000"/>
          <w:kern w:val="0"/>
        </w:rPr>
        <w:t xml:space="preserve">Welcome to the Massachusetts Probate and Family Court's orientation program for guardians and conservators of adults.   </w:t>
      </w:r>
    </w:p>
    <w:p w14:paraId="4D59ED6D" w14:textId="77777777" w:rsidR="002B3E9C" w:rsidRPr="00060158" w:rsidRDefault="002B3E9C" w:rsidP="00060158">
      <w:pPr>
        <w:spacing w:line="240" w:lineRule="auto"/>
      </w:pPr>
    </w:p>
    <w:p w14:paraId="36CA6A0D" w14:textId="0BD7F39B" w:rsidR="00154448" w:rsidRPr="00060158" w:rsidRDefault="00154448" w:rsidP="00060158">
      <w:pPr>
        <w:widowControl w:val="0"/>
        <w:autoSpaceDE w:val="0"/>
        <w:autoSpaceDN w:val="0"/>
        <w:adjustRightInd w:val="0"/>
        <w:spacing w:line="240" w:lineRule="auto"/>
        <w:rPr>
          <w:rFonts w:cs="Open Sans"/>
          <w:color w:val="000000"/>
          <w:kern w:val="0"/>
        </w:rPr>
      </w:pPr>
      <w:r w:rsidRPr="00060158">
        <w:rPr>
          <w:rFonts w:cs="Open Sans"/>
          <w:color w:val="000000"/>
          <w:kern w:val="0"/>
        </w:rPr>
        <w:t>In this training module you will learn:</w:t>
      </w:r>
    </w:p>
    <w:p w14:paraId="2D0AFB36" w14:textId="544E689B" w:rsidR="00154448" w:rsidRPr="00060158" w:rsidRDefault="00154448" w:rsidP="00BF1B22">
      <w:pPr>
        <w:widowControl w:val="0"/>
        <w:numPr>
          <w:ilvl w:val="0"/>
          <w:numId w:val="1"/>
        </w:numPr>
        <w:autoSpaceDE w:val="0"/>
        <w:autoSpaceDN w:val="0"/>
        <w:adjustRightInd w:val="0"/>
        <w:spacing w:line="240" w:lineRule="auto"/>
        <w:ind w:left="864" w:hanging="144"/>
        <w:rPr>
          <w:rFonts w:cs="Open Sans"/>
          <w:color w:val="000000"/>
          <w:kern w:val="0"/>
        </w:rPr>
      </w:pPr>
      <w:r w:rsidRPr="00060158">
        <w:rPr>
          <w:rFonts w:cs="Open Sans"/>
          <w:color w:val="000000"/>
          <w:kern w:val="0"/>
        </w:rPr>
        <w:t>When alternatives to guardianship and conservatorship should be considered</w:t>
      </w:r>
    </w:p>
    <w:p w14:paraId="223D5AE9" w14:textId="2E786ED0" w:rsidR="009F483D" w:rsidRPr="00350301" w:rsidRDefault="00154448" w:rsidP="00BF1B22">
      <w:pPr>
        <w:widowControl w:val="0"/>
        <w:numPr>
          <w:ilvl w:val="0"/>
          <w:numId w:val="1"/>
        </w:numPr>
        <w:autoSpaceDE w:val="0"/>
        <w:autoSpaceDN w:val="0"/>
        <w:adjustRightInd w:val="0"/>
        <w:spacing w:line="240" w:lineRule="auto"/>
        <w:ind w:left="864" w:hanging="144"/>
        <w:rPr>
          <w:rFonts w:cs="Microsoft Sans Serif"/>
          <w:kern w:val="0"/>
        </w:rPr>
      </w:pPr>
      <w:proofErr w:type="gramStart"/>
      <w:r w:rsidRPr="00060158">
        <w:rPr>
          <w:rFonts w:cs="Open Sans"/>
          <w:color w:val="000000"/>
          <w:kern w:val="0"/>
        </w:rPr>
        <w:t>A brief summary</w:t>
      </w:r>
      <w:proofErr w:type="gramEnd"/>
      <w:r w:rsidRPr="00060158">
        <w:rPr>
          <w:rFonts w:cs="Open Sans"/>
          <w:color w:val="000000"/>
          <w:kern w:val="0"/>
        </w:rPr>
        <w:t xml:space="preserve"> of some of the alternatives available in Massachusetts; and  </w:t>
      </w:r>
      <w:r w:rsidRPr="00060158">
        <w:rPr>
          <w:rFonts w:cs="Open Sans"/>
          <w:color w:val="000000"/>
          <w:kern w:val="0"/>
        </w:rPr>
        <w:br/>
        <w:t xml:space="preserve">Resources for more information. </w:t>
      </w:r>
    </w:p>
    <w:p w14:paraId="6F35CF69" w14:textId="77777777" w:rsidR="00C352D3" w:rsidRPr="00060158" w:rsidRDefault="00C352D3" w:rsidP="00060158">
      <w:pPr>
        <w:widowControl w:val="0"/>
        <w:autoSpaceDE w:val="0"/>
        <w:autoSpaceDN w:val="0"/>
        <w:adjustRightInd w:val="0"/>
        <w:spacing w:line="240" w:lineRule="auto"/>
        <w:rPr>
          <w:rFonts w:cs="Microsoft Sans Serif"/>
          <w:kern w:val="0"/>
        </w:rPr>
      </w:pPr>
      <w:r w:rsidRPr="00060158">
        <w:rPr>
          <w:rFonts w:cs="Open Sans"/>
          <w:color w:val="000000"/>
          <w:kern w:val="0"/>
        </w:rPr>
        <w:t>Guardianship and conservatorship arrangements are only two of the options that give you the authority to make important decisions for an adult who needs your help. When should alternatives to guardianship and conservatorship be considered? What are the alternatives?</w:t>
      </w:r>
    </w:p>
    <w:p w14:paraId="49CCCD05" w14:textId="77777777" w:rsidR="00470148" w:rsidRPr="00060158" w:rsidRDefault="00470148" w:rsidP="00060158">
      <w:pPr>
        <w:widowControl w:val="0"/>
        <w:autoSpaceDE w:val="0"/>
        <w:autoSpaceDN w:val="0"/>
        <w:adjustRightInd w:val="0"/>
        <w:spacing w:line="240" w:lineRule="auto"/>
        <w:rPr>
          <w:rFonts w:cs="Microsoft Sans Serif"/>
          <w:kern w:val="0"/>
        </w:rPr>
      </w:pPr>
      <w:r w:rsidRPr="00060158">
        <w:rPr>
          <w:rFonts w:cs="Open Sans"/>
          <w:color w:val="000000"/>
          <w:kern w:val="0"/>
        </w:rPr>
        <w:t>Before you are appointed as guardian or conservator, you must consider whether there are less-restrictive alternatives to a guardianship or conservatorship.</w:t>
      </w:r>
    </w:p>
    <w:p w14:paraId="68FC848D" w14:textId="77777777" w:rsidR="00B874E3" w:rsidRPr="00060158" w:rsidRDefault="00B874E3" w:rsidP="00060158">
      <w:pPr>
        <w:widowControl w:val="0"/>
        <w:autoSpaceDE w:val="0"/>
        <w:autoSpaceDN w:val="0"/>
        <w:adjustRightInd w:val="0"/>
        <w:spacing w:line="240" w:lineRule="auto"/>
        <w:rPr>
          <w:rFonts w:cs="Microsoft Sans Serif"/>
          <w:kern w:val="0"/>
        </w:rPr>
      </w:pPr>
      <w:r w:rsidRPr="00060158">
        <w:rPr>
          <w:rFonts w:cs="Open Sans"/>
          <w:color w:val="000000"/>
          <w:kern w:val="0"/>
        </w:rPr>
        <w:t xml:space="preserve">After you are appointed, you must continue to consider less-restrictive alternatives.  </w:t>
      </w:r>
      <w:r w:rsidRPr="00060158">
        <w:rPr>
          <w:rFonts w:cs="Open Sans"/>
          <w:color w:val="000000"/>
          <w:kern w:val="0"/>
        </w:rPr>
        <w:br/>
        <w:t>You must inform the Court immediately if the adult’s condition has changed. A change in the adult’s condition may lead to the restoration of some of their rights, or to a less-restrictive alternative.</w:t>
      </w:r>
    </w:p>
    <w:p w14:paraId="020E9704" w14:textId="77777777" w:rsidR="00370070" w:rsidRPr="00060158" w:rsidRDefault="00370070" w:rsidP="00060158">
      <w:pPr>
        <w:widowControl w:val="0"/>
        <w:autoSpaceDE w:val="0"/>
        <w:autoSpaceDN w:val="0"/>
        <w:adjustRightInd w:val="0"/>
        <w:spacing w:line="240" w:lineRule="auto"/>
        <w:rPr>
          <w:rFonts w:cs="Microsoft Sans Serif"/>
          <w:kern w:val="0"/>
        </w:rPr>
      </w:pPr>
      <w:r w:rsidRPr="00060158">
        <w:rPr>
          <w:rFonts w:cs="Open Sans"/>
          <w:color w:val="000000"/>
          <w:kern w:val="0"/>
        </w:rPr>
        <w:t>You must also answer questions on your annual Guardian’s Care Plan Report or your annual conservator’s Account about  whether to end the guardianship or conservatorship or to restore some, or all, of the adult’s rights.</w:t>
      </w:r>
    </w:p>
    <w:p w14:paraId="477E426B" w14:textId="77777777" w:rsidR="00350301" w:rsidRDefault="00350301" w:rsidP="00060158">
      <w:pPr>
        <w:spacing w:line="240" w:lineRule="auto"/>
        <w:rPr>
          <w:rFonts w:cs="Open Sans"/>
          <w:b/>
          <w:bCs/>
          <w:color w:val="000000"/>
          <w:kern w:val="0"/>
          <w:sz w:val="24"/>
          <w:szCs w:val="24"/>
        </w:rPr>
      </w:pPr>
    </w:p>
    <w:p w14:paraId="5A330FA4" w14:textId="666EE619" w:rsidR="00154448" w:rsidRDefault="003778FA" w:rsidP="006B7DA6">
      <w:pPr>
        <w:pStyle w:val="Heading2"/>
      </w:pPr>
      <w:r w:rsidRPr="00350301">
        <w:t>Alternatives to Guardianship and Conservatorship</w:t>
      </w:r>
    </w:p>
    <w:p w14:paraId="5768B183" w14:textId="77777777" w:rsidR="00350301" w:rsidRPr="00350301" w:rsidRDefault="00350301" w:rsidP="00060158">
      <w:pPr>
        <w:spacing w:line="240" w:lineRule="auto"/>
        <w:rPr>
          <w:rFonts w:cs="Open Sans"/>
          <w:b/>
          <w:bCs/>
          <w:color w:val="000000"/>
          <w:kern w:val="0"/>
          <w:sz w:val="24"/>
          <w:szCs w:val="24"/>
        </w:rPr>
      </w:pPr>
    </w:p>
    <w:p w14:paraId="67EC44A8" w14:textId="77777777" w:rsidR="00D7390E" w:rsidRPr="00350301" w:rsidRDefault="00D7390E" w:rsidP="006B7DA6">
      <w:pPr>
        <w:pStyle w:val="Heading2"/>
        <w:rPr>
          <w:rFonts w:cs="Open Sans"/>
        </w:rPr>
      </w:pPr>
      <w:r w:rsidRPr="00350301">
        <w:t>Health Care Decision-Making Alternatives</w:t>
      </w:r>
      <w:r w:rsidRPr="00350301">
        <w:rPr>
          <w:rFonts w:cs="Open Sans"/>
        </w:rPr>
        <w:t xml:space="preserve"> </w:t>
      </w:r>
    </w:p>
    <w:p w14:paraId="0E517EB0" w14:textId="13E8E029" w:rsidR="003778FA" w:rsidRPr="005350D8" w:rsidRDefault="00F03368" w:rsidP="006B7DA6">
      <w:pPr>
        <w:pStyle w:val="Heading3"/>
        <w:rPr>
          <w:i w:val="0"/>
        </w:rPr>
      </w:pPr>
      <w:r w:rsidRPr="005350D8">
        <w:t>Health Care Proxy</w:t>
      </w:r>
    </w:p>
    <w:p w14:paraId="45BA9871" w14:textId="77777777" w:rsidR="006533ED" w:rsidRPr="00060158" w:rsidRDefault="006533ED" w:rsidP="00060158">
      <w:pPr>
        <w:widowControl w:val="0"/>
        <w:autoSpaceDE w:val="0"/>
        <w:autoSpaceDN w:val="0"/>
        <w:adjustRightInd w:val="0"/>
        <w:spacing w:line="240" w:lineRule="auto"/>
        <w:rPr>
          <w:rFonts w:cs="Microsoft Sans Serif"/>
          <w:kern w:val="0"/>
        </w:rPr>
      </w:pPr>
      <w:r w:rsidRPr="00060158">
        <w:rPr>
          <w:rFonts w:cs="Open Sans"/>
          <w:color w:val="000000"/>
          <w:kern w:val="0"/>
        </w:rPr>
        <w:t>A health care proxy is a legally enforceable document made by an adult. It designates another person, called the agent, to make health care decisions for the adult when a physician certifies that they are not capable of making them. Having a health care proxy means that an adult does not need a guardian to make health care decisions  when they are not able to make them.</w:t>
      </w:r>
    </w:p>
    <w:p w14:paraId="66C3DE5E" w14:textId="2DEE4944" w:rsidR="00B32D7A" w:rsidRPr="00060158" w:rsidRDefault="00B32D7A" w:rsidP="00060158">
      <w:pPr>
        <w:widowControl w:val="0"/>
        <w:autoSpaceDE w:val="0"/>
        <w:autoSpaceDN w:val="0"/>
        <w:adjustRightInd w:val="0"/>
        <w:spacing w:line="240" w:lineRule="auto"/>
        <w:rPr>
          <w:rFonts w:cs="Microsoft Sans Serif"/>
          <w:kern w:val="0"/>
        </w:rPr>
      </w:pPr>
      <w:r w:rsidRPr="00060158">
        <w:rPr>
          <w:rFonts w:cs="Open Sans"/>
          <w:color w:val="000000"/>
          <w:kern w:val="0"/>
        </w:rPr>
        <w:t>If a guardian is appointed, the agent still has the authority to make health care decisions for the adult unless the Court orders otherwise. The guardian does not have the authority to revoke the health care proxy unless the Court orders it.</w:t>
      </w:r>
    </w:p>
    <w:p w14:paraId="01B2279C" w14:textId="77777777" w:rsidR="00537CD1" w:rsidRPr="00060158" w:rsidRDefault="00537CD1" w:rsidP="00060158">
      <w:pPr>
        <w:spacing w:line="240" w:lineRule="auto"/>
        <w:rPr>
          <w:rFonts w:cs="Open Sans"/>
          <w:b/>
          <w:bCs/>
          <w:color w:val="000000"/>
          <w:kern w:val="0"/>
        </w:rPr>
      </w:pPr>
    </w:p>
    <w:p w14:paraId="2B2A21B4" w14:textId="30E5F9F0" w:rsidR="00F03368" w:rsidRPr="005350D8" w:rsidRDefault="00537CD1" w:rsidP="006B7DA6">
      <w:pPr>
        <w:pStyle w:val="Heading3"/>
      </w:pPr>
      <w:r w:rsidRPr="005350D8">
        <w:t>Medical Orders for Life-Sustaining Treatment (MOLST) or Portable Medical Orders (POLST)</w:t>
      </w:r>
    </w:p>
    <w:p w14:paraId="40EEA65E" w14:textId="77777777" w:rsidR="00592990" w:rsidRPr="00060158" w:rsidRDefault="00592990" w:rsidP="00060158">
      <w:pPr>
        <w:widowControl w:val="0"/>
        <w:autoSpaceDE w:val="0"/>
        <w:autoSpaceDN w:val="0"/>
        <w:adjustRightInd w:val="0"/>
        <w:spacing w:line="240" w:lineRule="auto"/>
        <w:rPr>
          <w:rFonts w:cs="Microsoft Sans Serif"/>
          <w:kern w:val="0"/>
        </w:rPr>
      </w:pPr>
      <w:r w:rsidRPr="00060158">
        <w:rPr>
          <w:rFonts w:cs="Open Sans"/>
          <w:color w:val="000000"/>
          <w:kern w:val="0"/>
        </w:rPr>
        <w:t>MOLSTS or POLSTs are not Court orders. They are standardized medical order forms that are used to document decisions the adult makes for life sustaining treatment. They are completed by the adult’s medical provider and the adult together.</w:t>
      </w:r>
    </w:p>
    <w:p w14:paraId="59159681" w14:textId="77777777" w:rsidR="00057A44" w:rsidRPr="00060158" w:rsidRDefault="00057A44" w:rsidP="00060158">
      <w:pPr>
        <w:widowControl w:val="0"/>
        <w:autoSpaceDE w:val="0"/>
        <w:autoSpaceDN w:val="0"/>
        <w:adjustRightInd w:val="0"/>
        <w:spacing w:line="240" w:lineRule="auto"/>
        <w:rPr>
          <w:rFonts w:cs="Microsoft Sans Serif"/>
          <w:kern w:val="0"/>
        </w:rPr>
      </w:pPr>
      <w:r w:rsidRPr="00060158">
        <w:rPr>
          <w:rFonts w:cs="Open Sans"/>
          <w:color w:val="000000"/>
          <w:kern w:val="0"/>
        </w:rPr>
        <w:t>A MOLST or POLST is suitable for adults of any age with an advanced illness. A MOLST or POLST is voluntary and can be modified and revoked. Unlike with a health care proxy, an adult who has a MOLST or POLST does not have to become incapacitated for it to go into effect.</w:t>
      </w:r>
    </w:p>
    <w:p w14:paraId="470DC3C3" w14:textId="77777777" w:rsidR="00537CD1" w:rsidRPr="00060158" w:rsidRDefault="00537CD1" w:rsidP="00060158">
      <w:pPr>
        <w:spacing w:line="240" w:lineRule="auto"/>
        <w:rPr>
          <w:b/>
          <w:bCs/>
        </w:rPr>
      </w:pPr>
    </w:p>
    <w:p w14:paraId="4DDC6736" w14:textId="45069988" w:rsidR="00350301" w:rsidRPr="00350301" w:rsidRDefault="009D4694" w:rsidP="006B7DA6">
      <w:pPr>
        <w:pStyle w:val="Heading2"/>
      </w:pPr>
      <w:r w:rsidRPr="00350301">
        <w:t>Financial Decision-Making alternatives</w:t>
      </w:r>
    </w:p>
    <w:p w14:paraId="19A4230F" w14:textId="0C590333" w:rsidR="00D7390E" w:rsidRPr="005350D8" w:rsidRDefault="00A3110C" w:rsidP="006B7DA6">
      <w:pPr>
        <w:pStyle w:val="Heading3"/>
      </w:pPr>
      <w:r w:rsidRPr="005350D8">
        <w:t>Social Security's Representative Payment Program</w:t>
      </w:r>
    </w:p>
    <w:p w14:paraId="62D02BC7" w14:textId="77777777" w:rsidR="00762B78" w:rsidRPr="00060158" w:rsidRDefault="00762B78" w:rsidP="00060158">
      <w:pPr>
        <w:widowControl w:val="0"/>
        <w:autoSpaceDE w:val="0"/>
        <w:autoSpaceDN w:val="0"/>
        <w:adjustRightInd w:val="0"/>
        <w:spacing w:line="240" w:lineRule="auto"/>
        <w:rPr>
          <w:rFonts w:cs="Microsoft Sans Serif"/>
          <w:kern w:val="0"/>
        </w:rPr>
      </w:pPr>
      <w:r w:rsidRPr="00060158">
        <w:rPr>
          <w:rFonts w:cs="Open Sans"/>
          <w:color w:val="000000"/>
          <w:kern w:val="0"/>
        </w:rPr>
        <w:t>The Social Security Administration (SSA) may appoint a person to manage the Social Security Disability Insurance or Supplemental Security Income benefits for an adult who cannot manage their benefits on their own.</w:t>
      </w:r>
    </w:p>
    <w:p w14:paraId="2286F34B" w14:textId="7DD94A35" w:rsidR="00C57E64" w:rsidRPr="00060158" w:rsidRDefault="00C57E64" w:rsidP="00060158">
      <w:pPr>
        <w:widowControl w:val="0"/>
        <w:autoSpaceDE w:val="0"/>
        <w:autoSpaceDN w:val="0"/>
        <w:adjustRightInd w:val="0"/>
        <w:spacing w:line="240" w:lineRule="auto"/>
        <w:rPr>
          <w:rFonts w:cs="Microsoft Sans Serif"/>
          <w:kern w:val="0"/>
        </w:rPr>
      </w:pPr>
      <w:r w:rsidRPr="00060158">
        <w:rPr>
          <w:rFonts w:cs="Open Sans"/>
          <w:color w:val="000000"/>
          <w:kern w:val="0"/>
        </w:rPr>
        <w:t>Representative payees are appointed by the local Social Security Administration office based on medical documentation that the adult is unable to manage their own funds.</w:t>
      </w:r>
      <w:r w:rsidR="0084326C">
        <w:rPr>
          <w:rFonts w:cs="Open Sans"/>
          <w:color w:val="000000"/>
          <w:kern w:val="0"/>
        </w:rPr>
        <w:t xml:space="preserve"> </w:t>
      </w:r>
      <w:r w:rsidR="0084326C" w:rsidRPr="00854FD7">
        <w:rPr>
          <w:rFonts w:cs="Open Sans"/>
          <w:color w:val="000000"/>
          <w:kern w:val="0"/>
        </w:rPr>
        <w:t>A representative payee is expected to assist the adult with money management, and to protect the person from financial abuse. The Social Security Administration monitors the representative payee’s activities.</w:t>
      </w:r>
    </w:p>
    <w:p w14:paraId="710FF5E3" w14:textId="77777777" w:rsidR="00350301" w:rsidRDefault="00350301" w:rsidP="00060158">
      <w:pPr>
        <w:spacing w:line="240" w:lineRule="auto"/>
        <w:rPr>
          <w:rFonts w:cs="Open Sans"/>
          <w:b/>
          <w:bCs/>
          <w:color w:val="000000"/>
          <w:kern w:val="0"/>
        </w:rPr>
      </w:pPr>
    </w:p>
    <w:p w14:paraId="06D31A93" w14:textId="4F119863" w:rsidR="00A3110C" w:rsidRPr="005350D8" w:rsidRDefault="00FB37A7" w:rsidP="006B7DA6">
      <w:pPr>
        <w:pStyle w:val="Heading3"/>
      </w:pPr>
      <w:r w:rsidRPr="005350D8">
        <w:t>Veterans Administration's Fiduciary Program</w:t>
      </w:r>
    </w:p>
    <w:p w14:paraId="436282A2" w14:textId="5E71CEA6" w:rsidR="00534B00" w:rsidRPr="00060158" w:rsidRDefault="00534B00" w:rsidP="00060158">
      <w:pPr>
        <w:widowControl w:val="0"/>
        <w:autoSpaceDE w:val="0"/>
        <w:autoSpaceDN w:val="0"/>
        <w:adjustRightInd w:val="0"/>
        <w:spacing w:line="240" w:lineRule="auto"/>
        <w:rPr>
          <w:rFonts w:cs="Open Sans"/>
          <w:color w:val="000000"/>
          <w:kern w:val="0"/>
        </w:rPr>
      </w:pPr>
      <w:r w:rsidRPr="00060158">
        <w:rPr>
          <w:rFonts w:cs="Open Sans"/>
          <w:color w:val="000000"/>
          <w:kern w:val="0"/>
        </w:rPr>
        <w:t xml:space="preserve">If the adult is entitled to benefits through the U.S. Department of Veterans Affairs (VA) and is determined to be unable to manage their benefits, the VA may appoint a fiduciary.  </w:t>
      </w:r>
      <w:r w:rsidRPr="00060158">
        <w:rPr>
          <w:rFonts w:cs="Open Sans"/>
          <w:color w:val="000000"/>
          <w:kern w:val="0"/>
        </w:rPr>
        <w:br/>
        <w:t>The fiduciary manages the adult’s VA benefits.</w:t>
      </w:r>
      <w:r w:rsidR="00350301">
        <w:rPr>
          <w:rFonts w:cs="Open Sans"/>
          <w:color w:val="000000"/>
          <w:kern w:val="0"/>
        </w:rPr>
        <w:t xml:space="preserve"> </w:t>
      </w:r>
      <w:r w:rsidRPr="00060158">
        <w:rPr>
          <w:rFonts w:cs="Open Sans"/>
          <w:color w:val="000000"/>
          <w:kern w:val="0"/>
        </w:rPr>
        <w:t xml:space="preserve">This is </w:t>
      </w:r>
      <w:proofErr w:type="gramStart"/>
      <w:r w:rsidRPr="00060158">
        <w:rPr>
          <w:rFonts w:cs="Open Sans"/>
          <w:color w:val="000000"/>
          <w:kern w:val="0"/>
        </w:rPr>
        <w:t>similar to</w:t>
      </w:r>
      <w:proofErr w:type="gramEnd"/>
      <w:r w:rsidRPr="00060158">
        <w:rPr>
          <w:rFonts w:cs="Open Sans"/>
          <w:color w:val="000000"/>
          <w:kern w:val="0"/>
        </w:rPr>
        <w:t xml:space="preserve"> Social Security's Representative Payment Program.</w:t>
      </w:r>
    </w:p>
    <w:p w14:paraId="1CE970A1" w14:textId="77777777" w:rsidR="00534B00" w:rsidRPr="00060158" w:rsidRDefault="00534B00" w:rsidP="00060158">
      <w:pPr>
        <w:widowControl w:val="0"/>
        <w:autoSpaceDE w:val="0"/>
        <w:autoSpaceDN w:val="0"/>
        <w:adjustRightInd w:val="0"/>
        <w:spacing w:line="240" w:lineRule="auto"/>
        <w:rPr>
          <w:rFonts w:cs="Open Sans"/>
          <w:color w:val="000000"/>
          <w:kern w:val="0"/>
        </w:rPr>
      </w:pPr>
    </w:p>
    <w:p w14:paraId="75FAFAFE" w14:textId="2D41323D" w:rsidR="00534B00" w:rsidRPr="005350D8" w:rsidRDefault="00931676" w:rsidP="006B7DA6">
      <w:pPr>
        <w:pStyle w:val="Heading3"/>
        <w:rPr>
          <w:rFonts w:cs="Microsoft Sans Serif"/>
        </w:rPr>
      </w:pPr>
      <w:r w:rsidRPr="005350D8">
        <w:t>Trust</w:t>
      </w:r>
      <w:r w:rsidR="00534B00" w:rsidRPr="005350D8">
        <w:t xml:space="preserve"> </w:t>
      </w:r>
    </w:p>
    <w:p w14:paraId="1897C552" w14:textId="51C6EDF1" w:rsidR="0062727B" w:rsidRPr="00060158" w:rsidRDefault="0062727B" w:rsidP="00060158">
      <w:pPr>
        <w:widowControl w:val="0"/>
        <w:autoSpaceDE w:val="0"/>
        <w:autoSpaceDN w:val="0"/>
        <w:adjustRightInd w:val="0"/>
        <w:spacing w:line="240" w:lineRule="auto"/>
        <w:rPr>
          <w:rFonts w:cs="Microsoft Sans Serif"/>
          <w:kern w:val="0"/>
        </w:rPr>
      </w:pPr>
      <w:r w:rsidRPr="00060158">
        <w:rPr>
          <w:rFonts w:cs="Open Sans"/>
          <w:color w:val="000000"/>
          <w:kern w:val="0"/>
        </w:rPr>
        <w:t>A trust can be created to manage the adult’s finances</w:t>
      </w:r>
      <w:r w:rsidR="00350301">
        <w:rPr>
          <w:rFonts w:cs="Open Sans"/>
          <w:color w:val="000000"/>
          <w:kern w:val="0"/>
        </w:rPr>
        <w:t>.</w:t>
      </w:r>
      <w:r w:rsidRPr="00060158">
        <w:rPr>
          <w:rFonts w:cs="Open Sans"/>
          <w:color w:val="000000"/>
          <w:kern w:val="0"/>
        </w:rPr>
        <w:t xml:space="preserve"> </w:t>
      </w:r>
      <w:r w:rsidRPr="00060158">
        <w:rPr>
          <w:rFonts w:cs="Open Sans"/>
          <w:color w:val="000000"/>
          <w:kern w:val="0"/>
        </w:rPr>
        <w:br/>
        <w:t>A trust is a legal entity able to hold property and assets for the benefit of the adult. The trust is managed by a person or organization, called the trustee. The trustee must manage the trust property for the adult’s benefit, as instructed in the trust document.</w:t>
      </w:r>
    </w:p>
    <w:p w14:paraId="3769FFDD" w14:textId="77777777" w:rsidR="00FB37A7" w:rsidRPr="00060158" w:rsidRDefault="00FB37A7" w:rsidP="00060158">
      <w:pPr>
        <w:spacing w:line="240" w:lineRule="auto"/>
        <w:rPr>
          <w:rFonts w:cs="Open Sans"/>
          <w:b/>
          <w:bCs/>
          <w:color w:val="000000"/>
          <w:kern w:val="0"/>
        </w:rPr>
      </w:pPr>
    </w:p>
    <w:p w14:paraId="459AECCD" w14:textId="6CFC5446" w:rsidR="0062727B" w:rsidRPr="00F4571A" w:rsidRDefault="0023271E" w:rsidP="006B7DA6">
      <w:pPr>
        <w:pStyle w:val="Heading3"/>
      </w:pPr>
      <w:r w:rsidRPr="00F4571A">
        <w:t>Power of Attorney</w:t>
      </w:r>
    </w:p>
    <w:p w14:paraId="7BC7D173" w14:textId="77777777" w:rsidR="00904395" w:rsidRPr="00060158" w:rsidRDefault="00904395" w:rsidP="00060158">
      <w:pPr>
        <w:widowControl w:val="0"/>
        <w:autoSpaceDE w:val="0"/>
        <w:autoSpaceDN w:val="0"/>
        <w:adjustRightInd w:val="0"/>
        <w:spacing w:line="240" w:lineRule="auto"/>
        <w:rPr>
          <w:rFonts w:cs="Microsoft Sans Serif"/>
          <w:kern w:val="0"/>
        </w:rPr>
      </w:pPr>
      <w:r w:rsidRPr="00060158">
        <w:rPr>
          <w:rFonts w:cs="Open Sans"/>
          <w:color w:val="000000"/>
          <w:kern w:val="0"/>
        </w:rPr>
        <w:t>A Power of Attorney is a legal document in which an adult appoints a trusted person, called an “Attorney-in-Fact” or “Agent” to make decisions for them. The document details the types of decisions the agent is authorized to make. The decisions can be both personal and financial.</w:t>
      </w:r>
    </w:p>
    <w:p w14:paraId="3EFD6987" w14:textId="77777777" w:rsidR="00A1738A" w:rsidRPr="00060158" w:rsidRDefault="00A1738A" w:rsidP="00060158">
      <w:pPr>
        <w:widowControl w:val="0"/>
        <w:autoSpaceDE w:val="0"/>
        <w:autoSpaceDN w:val="0"/>
        <w:adjustRightInd w:val="0"/>
        <w:spacing w:line="240" w:lineRule="auto"/>
        <w:rPr>
          <w:rFonts w:cs="Open Sans"/>
          <w:color w:val="000000"/>
          <w:kern w:val="0"/>
        </w:rPr>
      </w:pPr>
      <w:r w:rsidRPr="00060158">
        <w:rPr>
          <w:rFonts w:cs="Open Sans"/>
          <w:color w:val="000000"/>
          <w:kern w:val="0"/>
        </w:rPr>
        <w:t>If the Power of Attorney is a Durable Power of Attorney, it allows the Agent to continue making decisions on behalf of the adult even if the adult has become incapacitated.</w:t>
      </w:r>
    </w:p>
    <w:p w14:paraId="31B7E773" w14:textId="77777777" w:rsidR="00A71BBF" w:rsidRPr="00060158" w:rsidRDefault="00A71BBF" w:rsidP="00060158">
      <w:pPr>
        <w:widowControl w:val="0"/>
        <w:autoSpaceDE w:val="0"/>
        <w:autoSpaceDN w:val="0"/>
        <w:adjustRightInd w:val="0"/>
        <w:spacing w:line="240" w:lineRule="auto"/>
        <w:rPr>
          <w:rFonts w:cs="Open Sans"/>
          <w:color w:val="000000"/>
          <w:kern w:val="0"/>
        </w:rPr>
      </w:pPr>
    </w:p>
    <w:p w14:paraId="52B7A4CC" w14:textId="2CC9D88F" w:rsidR="00FB37A7" w:rsidRPr="00F4571A" w:rsidRDefault="00A71BBF" w:rsidP="006B7DA6">
      <w:pPr>
        <w:pStyle w:val="Heading3"/>
      </w:pPr>
      <w:r w:rsidRPr="00F4571A">
        <w:t>Protective Arrangement, Single Transaction or Special Conservator</w:t>
      </w:r>
    </w:p>
    <w:p w14:paraId="5AF7AA6C" w14:textId="77777777" w:rsidR="00B90EF4" w:rsidRPr="00060158" w:rsidRDefault="00B90EF4" w:rsidP="00060158">
      <w:pPr>
        <w:widowControl w:val="0"/>
        <w:autoSpaceDE w:val="0"/>
        <w:autoSpaceDN w:val="0"/>
        <w:adjustRightInd w:val="0"/>
        <w:spacing w:line="240" w:lineRule="auto"/>
        <w:rPr>
          <w:rFonts w:cs="Microsoft Sans Serif"/>
          <w:kern w:val="0"/>
        </w:rPr>
      </w:pPr>
      <w:r w:rsidRPr="00060158">
        <w:rPr>
          <w:rFonts w:cs="Open Sans"/>
          <w:color w:val="000000"/>
          <w:kern w:val="0"/>
        </w:rPr>
        <w:t>A narrowly tailored ‘protective arrangement’ may be enough to protect an adult’s assets/property without appointing a conservator.</w:t>
      </w:r>
    </w:p>
    <w:p w14:paraId="643621C4" w14:textId="77777777" w:rsidR="0030215C" w:rsidRPr="00060158" w:rsidRDefault="0030215C" w:rsidP="00060158">
      <w:pPr>
        <w:widowControl w:val="0"/>
        <w:autoSpaceDE w:val="0"/>
        <w:autoSpaceDN w:val="0"/>
        <w:adjustRightInd w:val="0"/>
        <w:spacing w:line="240" w:lineRule="auto"/>
        <w:rPr>
          <w:rFonts w:cs="Microsoft Sans Serif"/>
          <w:kern w:val="0"/>
        </w:rPr>
      </w:pPr>
      <w:r w:rsidRPr="00060158">
        <w:rPr>
          <w:rFonts w:cs="Open Sans"/>
          <w:color w:val="000000"/>
          <w:kern w:val="0"/>
        </w:rPr>
        <w:t>The Court also may authorize a Single Transaction relating to the adult’s property and business affairs such as a one-time payment, deposit, contract, settlement of a claim, or establishing a trust without appointing a conservator.</w:t>
      </w:r>
    </w:p>
    <w:p w14:paraId="4D1D97FC" w14:textId="77777777" w:rsidR="0084326C" w:rsidRPr="00060158" w:rsidRDefault="0084326C" w:rsidP="0084326C">
      <w:pPr>
        <w:widowControl w:val="0"/>
        <w:autoSpaceDE w:val="0"/>
        <w:autoSpaceDN w:val="0"/>
        <w:adjustRightInd w:val="0"/>
        <w:spacing w:line="240" w:lineRule="auto"/>
        <w:rPr>
          <w:rFonts w:cs="Microsoft Sans Serif"/>
          <w:kern w:val="0"/>
        </w:rPr>
      </w:pPr>
      <w:r w:rsidRPr="0084326C">
        <w:rPr>
          <w:rFonts w:cs="Open Sans"/>
          <w:color w:val="000000"/>
          <w:kern w:val="0"/>
        </w:rPr>
        <w:t xml:space="preserve">The Court may appoint a Special Conservator for a limited </w:t>
      </w:r>
      <w:proofErr w:type="gramStart"/>
      <w:r w:rsidRPr="0084326C">
        <w:rPr>
          <w:rFonts w:cs="Open Sans"/>
          <w:color w:val="000000"/>
          <w:kern w:val="0"/>
        </w:rPr>
        <w:t>period of time</w:t>
      </w:r>
      <w:proofErr w:type="gramEnd"/>
      <w:r w:rsidRPr="0084326C">
        <w:rPr>
          <w:rFonts w:cs="Open Sans"/>
          <w:color w:val="000000"/>
          <w:kern w:val="0"/>
        </w:rPr>
        <w:t xml:space="preserve"> to assist in carrying out any approved protective arrangement or Single Transaction.</w:t>
      </w:r>
    </w:p>
    <w:p w14:paraId="603248B7" w14:textId="77777777" w:rsidR="0023271E" w:rsidRPr="00060158" w:rsidRDefault="0023271E" w:rsidP="00060158">
      <w:pPr>
        <w:spacing w:line="240" w:lineRule="auto"/>
        <w:rPr>
          <w:rFonts w:cs="Open Sans"/>
          <w:b/>
          <w:bCs/>
          <w:color w:val="000000"/>
          <w:kern w:val="0"/>
        </w:rPr>
      </w:pPr>
    </w:p>
    <w:p w14:paraId="4CB86EFC" w14:textId="4556D6B1" w:rsidR="00FB37A7" w:rsidRPr="0098287E" w:rsidRDefault="005A6D2A" w:rsidP="006B7DA6">
      <w:pPr>
        <w:pStyle w:val="Heading2"/>
      </w:pPr>
      <w:r w:rsidRPr="0098287E">
        <w:t>Additional Alternatives</w:t>
      </w:r>
    </w:p>
    <w:p w14:paraId="701AD52E" w14:textId="1367CAA5" w:rsidR="00460BBF" w:rsidRPr="00F4571A" w:rsidRDefault="00460BBF" w:rsidP="006B7DA6">
      <w:pPr>
        <w:pStyle w:val="Heading3"/>
      </w:pPr>
      <w:r w:rsidRPr="00F4571A">
        <w:t>Supported Decision</w:t>
      </w:r>
      <w:r w:rsidR="00F4571A">
        <w:t>-</w:t>
      </w:r>
      <w:r w:rsidRPr="00F4571A">
        <w:t>Making</w:t>
      </w:r>
    </w:p>
    <w:p w14:paraId="0363A18C" w14:textId="77777777" w:rsidR="007C6CCB" w:rsidRPr="00060158" w:rsidRDefault="007C6CCB" w:rsidP="00060158">
      <w:pPr>
        <w:widowControl w:val="0"/>
        <w:autoSpaceDE w:val="0"/>
        <w:autoSpaceDN w:val="0"/>
        <w:adjustRightInd w:val="0"/>
        <w:spacing w:line="240" w:lineRule="auto"/>
        <w:rPr>
          <w:rFonts w:cs="Microsoft Sans Serif"/>
          <w:kern w:val="0"/>
        </w:rPr>
      </w:pPr>
      <w:r w:rsidRPr="00060158">
        <w:rPr>
          <w:rFonts w:cs="Open Sans"/>
          <w:color w:val="000000"/>
          <w:kern w:val="0"/>
        </w:rPr>
        <w:t>Supported Decision-Making is a written agreement made for an adult who can make their own life choices with support from a team of supporters they trust. The agreement is usually created between the adult and their team and can be an alternative to guardianship or conservatorship.</w:t>
      </w:r>
    </w:p>
    <w:p w14:paraId="618E7593" w14:textId="77777777" w:rsidR="0002233F" w:rsidRPr="00060158" w:rsidRDefault="0002233F" w:rsidP="00060158">
      <w:pPr>
        <w:widowControl w:val="0"/>
        <w:autoSpaceDE w:val="0"/>
        <w:autoSpaceDN w:val="0"/>
        <w:adjustRightInd w:val="0"/>
        <w:spacing w:line="240" w:lineRule="auto"/>
        <w:rPr>
          <w:rFonts w:cs="Microsoft Sans Serif"/>
          <w:kern w:val="0"/>
        </w:rPr>
      </w:pPr>
      <w:r w:rsidRPr="00060158">
        <w:rPr>
          <w:rFonts w:cs="Open Sans"/>
          <w:color w:val="000000"/>
          <w:kern w:val="0"/>
        </w:rPr>
        <w:t xml:space="preserve">Instead of having a guardian or conservator appointed by the Court to make decisions for the adult, a written Supported Decision-Making arrangement allows the adult to make their own decisions with the assistance of a team of trusted supporters.  </w:t>
      </w:r>
      <w:r w:rsidRPr="00060158">
        <w:rPr>
          <w:rFonts w:cs="Open Sans"/>
          <w:color w:val="000000"/>
          <w:kern w:val="0"/>
        </w:rPr>
        <w:br/>
        <w:t>Adults using Supported Decision-Making arrangements identify areas where they need assistance, like making education, employment, or housing choices, health care decisions, or managing their finances. The Adult’s Supported Decision-Making team help them make these decisions.</w:t>
      </w:r>
    </w:p>
    <w:p w14:paraId="61F24451" w14:textId="77777777" w:rsidR="00AF33BC" w:rsidRPr="00060158" w:rsidRDefault="00AF33BC" w:rsidP="00060158">
      <w:pPr>
        <w:widowControl w:val="0"/>
        <w:autoSpaceDE w:val="0"/>
        <w:autoSpaceDN w:val="0"/>
        <w:adjustRightInd w:val="0"/>
        <w:spacing w:line="240" w:lineRule="auto"/>
        <w:rPr>
          <w:rFonts w:cs="Microsoft Sans Serif"/>
          <w:kern w:val="0"/>
        </w:rPr>
      </w:pPr>
      <w:r w:rsidRPr="00060158">
        <w:rPr>
          <w:rFonts w:cs="Open Sans"/>
          <w:color w:val="000000"/>
          <w:kern w:val="0"/>
        </w:rPr>
        <w:t xml:space="preserve">For example, when students turn 18, they gain the right to make their own educational decisions. An educational Supported Decision-Making arrangement is particularly important for students with an Individualized Education Programs (IEP) because </w:t>
      </w:r>
      <w:proofErr w:type="gramStart"/>
      <w:r w:rsidRPr="00060158">
        <w:rPr>
          <w:rFonts w:cs="Open Sans"/>
          <w:color w:val="000000"/>
          <w:kern w:val="0"/>
        </w:rPr>
        <w:t>It</w:t>
      </w:r>
      <w:proofErr w:type="gramEnd"/>
      <w:r w:rsidRPr="00060158">
        <w:rPr>
          <w:rFonts w:cs="Open Sans"/>
          <w:color w:val="000000"/>
          <w:kern w:val="0"/>
        </w:rPr>
        <w:t xml:space="preserve"> allows the student to share or delegate educational decisions with parents or other adults.</w:t>
      </w:r>
    </w:p>
    <w:p w14:paraId="21421F27" w14:textId="77777777" w:rsidR="00460BBF" w:rsidRPr="00060158" w:rsidRDefault="00460BBF" w:rsidP="00060158">
      <w:pPr>
        <w:spacing w:line="240" w:lineRule="auto"/>
        <w:rPr>
          <w:b/>
          <w:bCs/>
        </w:rPr>
      </w:pPr>
    </w:p>
    <w:p w14:paraId="653A334E" w14:textId="779719C0" w:rsidR="00E56394" w:rsidRPr="00F4571A" w:rsidRDefault="00E56394" w:rsidP="006B7DA6">
      <w:pPr>
        <w:pStyle w:val="Heading2"/>
      </w:pPr>
      <w:r w:rsidRPr="00F4571A">
        <w:t>Resources</w:t>
      </w:r>
    </w:p>
    <w:p w14:paraId="67D9F041" w14:textId="77777777" w:rsidR="00E56394" w:rsidRPr="00060158" w:rsidRDefault="00E56394" w:rsidP="00060158">
      <w:pPr>
        <w:widowControl w:val="0"/>
        <w:autoSpaceDE w:val="0"/>
        <w:autoSpaceDN w:val="0"/>
        <w:adjustRightInd w:val="0"/>
        <w:spacing w:line="240" w:lineRule="auto"/>
        <w:rPr>
          <w:rFonts w:cs="Open Sans"/>
          <w:color w:val="000000"/>
          <w:kern w:val="0"/>
        </w:rPr>
      </w:pPr>
      <w:r w:rsidRPr="00060158">
        <w:rPr>
          <w:rFonts w:cs="Open Sans"/>
          <w:color w:val="000000"/>
          <w:kern w:val="0"/>
        </w:rPr>
        <w:t xml:space="preserve">Remember, there are resources available to help you in your role as guardian or conservator. Click on the icons to see the various resources available. </w:t>
      </w:r>
    </w:p>
    <w:p w14:paraId="7ED34511" w14:textId="77777777" w:rsidR="00E56394" w:rsidRPr="00060158" w:rsidRDefault="00E56394" w:rsidP="00060158">
      <w:pPr>
        <w:pStyle w:val="ListParagraph"/>
        <w:widowControl w:val="0"/>
        <w:numPr>
          <w:ilvl w:val="0"/>
          <w:numId w:val="3"/>
        </w:numPr>
        <w:autoSpaceDE w:val="0"/>
        <w:autoSpaceDN w:val="0"/>
        <w:adjustRightInd w:val="0"/>
        <w:spacing w:line="240" w:lineRule="auto"/>
        <w:contextualSpacing w:val="0"/>
        <w:rPr>
          <w:rFonts w:cs="Open Sans"/>
          <w:color w:val="000000"/>
          <w:kern w:val="0"/>
        </w:rPr>
      </w:pPr>
      <w:r w:rsidRPr="00060158">
        <w:rPr>
          <w:rFonts w:cs="Open Sans"/>
          <w:color w:val="000000"/>
          <w:kern w:val="0"/>
        </w:rPr>
        <w:t xml:space="preserve">Court: If you have questions, you may always ask the Court for direction.  </w:t>
      </w:r>
    </w:p>
    <w:p w14:paraId="727F5068" w14:textId="77777777" w:rsidR="00E56394" w:rsidRPr="00060158" w:rsidRDefault="00E56394" w:rsidP="00060158">
      <w:pPr>
        <w:pStyle w:val="ListParagraph"/>
        <w:widowControl w:val="0"/>
        <w:numPr>
          <w:ilvl w:val="0"/>
          <w:numId w:val="3"/>
        </w:numPr>
        <w:autoSpaceDE w:val="0"/>
        <w:autoSpaceDN w:val="0"/>
        <w:adjustRightInd w:val="0"/>
        <w:spacing w:line="240" w:lineRule="auto"/>
        <w:contextualSpacing w:val="0"/>
        <w:rPr>
          <w:rFonts w:cs="Open Sans"/>
          <w:color w:val="000000"/>
          <w:kern w:val="0"/>
        </w:rPr>
      </w:pPr>
      <w:r w:rsidRPr="00060158">
        <w:rPr>
          <w:rFonts w:cs="Open Sans"/>
          <w:color w:val="000000"/>
          <w:kern w:val="0"/>
        </w:rPr>
        <w:t xml:space="preserve">OAGCO: You may also reach out to the OAGCO, that is the Office of Adult Guardianship and Conservatorship Oversight in the Administrative Office of the Probate and Family Court.  </w:t>
      </w:r>
    </w:p>
    <w:p w14:paraId="7174B210" w14:textId="77777777" w:rsidR="00E56394" w:rsidRPr="00060158" w:rsidRDefault="00E56394" w:rsidP="00060158">
      <w:pPr>
        <w:pStyle w:val="ListParagraph"/>
        <w:widowControl w:val="0"/>
        <w:numPr>
          <w:ilvl w:val="0"/>
          <w:numId w:val="3"/>
        </w:numPr>
        <w:autoSpaceDE w:val="0"/>
        <w:autoSpaceDN w:val="0"/>
        <w:adjustRightInd w:val="0"/>
        <w:spacing w:line="240" w:lineRule="auto"/>
        <w:contextualSpacing w:val="0"/>
        <w:rPr>
          <w:rFonts w:cs="Open Sans"/>
          <w:color w:val="000000"/>
          <w:kern w:val="0"/>
        </w:rPr>
      </w:pPr>
      <w:r w:rsidRPr="00060158">
        <w:rPr>
          <w:rFonts w:cs="Open Sans"/>
          <w:color w:val="000000"/>
          <w:kern w:val="0"/>
        </w:rPr>
        <w:t xml:space="preserve">Email: We are here to help you. You can contact us by email at OAGCO@jud.state.ma.us  </w:t>
      </w:r>
    </w:p>
    <w:p w14:paraId="2209AA9F" w14:textId="4400E597" w:rsidR="00E56394" w:rsidRPr="00060158" w:rsidRDefault="00E56394" w:rsidP="00060158">
      <w:pPr>
        <w:pStyle w:val="ListParagraph"/>
        <w:widowControl w:val="0"/>
        <w:numPr>
          <w:ilvl w:val="0"/>
          <w:numId w:val="3"/>
        </w:numPr>
        <w:autoSpaceDE w:val="0"/>
        <w:autoSpaceDN w:val="0"/>
        <w:adjustRightInd w:val="0"/>
        <w:spacing w:line="240" w:lineRule="auto"/>
        <w:contextualSpacing w:val="0"/>
        <w:rPr>
          <w:rFonts w:cs="Microsoft Sans Serif"/>
          <w:kern w:val="0"/>
        </w:rPr>
      </w:pPr>
      <w:r w:rsidRPr="00060158">
        <w:rPr>
          <w:rFonts w:cs="Open Sans"/>
          <w:color w:val="000000"/>
          <w:kern w:val="0"/>
        </w:rPr>
        <w:t xml:space="preserve">Webpage: You can visit us on the Probate and Family Court webpage at mass.gov to learn more about the OAGCO and how it can assist you as a guardian or conservator. </w:t>
      </w:r>
    </w:p>
    <w:p w14:paraId="43FED3A1" w14:textId="77777777" w:rsidR="00E56394" w:rsidRPr="00060158" w:rsidRDefault="00E56394" w:rsidP="00060158">
      <w:pPr>
        <w:spacing w:line="240" w:lineRule="auto"/>
        <w:rPr>
          <w:b/>
          <w:bCs/>
        </w:rPr>
      </w:pPr>
    </w:p>
    <w:p w14:paraId="3637FB6E" w14:textId="77777777" w:rsidR="00060158" w:rsidRPr="00060158" w:rsidRDefault="00060158" w:rsidP="00060158">
      <w:pPr>
        <w:spacing w:line="240" w:lineRule="auto"/>
        <w:rPr>
          <w:i/>
          <w:iCs/>
        </w:rPr>
      </w:pPr>
      <w:r w:rsidRPr="00060158">
        <w:rPr>
          <w:i/>
          <w:iCs/>
        </w:rPr>
        <w:t>Chief Justice John D. Casey:</w:t>
      </w:r>
    </w:p>
    <w:p w14:paraId="1CB57A9D" w14:textId="77777777" w:rsidR="00060158" w:rsidRPr="00060158" w:rsidRDefault="00060158" w:rsidP="00060158">
      <w:pPr>
        <w:widowControl w:val="0"/>
        <w:autoSpaceDE w:val="0"/>
        <w:autoSpaceDN w:val="0"/>
        <w:adjustRightInd w:val="0"/>
        <w:spacing w:line="240" w:lineRule="auto"/>
        <w:rPr>
          <w:rFonts w:cs="Microsoft Sans Serif"/>
          <w:i/>
          <w:iCs/>
          <w:kern w:val="0"/>
        </w:rPr>
      </w:pPr>
      <w:r w:rsidRPr="00060158">
        <w:rPr>
          <w:rFonts w:cs="Open Sans"/>
          <w:i/>
          <w:iCs/>
          <w:color w:val="000000"/>
          <w:kern w:val="0"/>
        </w:rPr>
        <w:t>“Thank you for becoming a guardian or conservator for an adult who needs your help.”</w:t>
      </w:r>
    </w:p>
    <w:p w14:paraId="792D9B32" w14:textId="77777777" w:rsidR="00060158" w:rsidRPr="00060158" w:rsidRDefault="00060158" w:rsidP="00060158">
      <w:pPr>
        <w:spacing w:line="240" w:lineRule="auto"/>
      </w:pPr>
    </w:p>
    <w:p w14:paraId="65A7B5E9" w14:textId="77777777" w:rsidR="00060158" w:rsidRPr="00060158" w:rsidRDefault="00060158" w:rsidP="00060158">
      <w:pPr>
        <w:spacing w:line="240" w:lineRule="auto"/>
      </w:pPr>
      <w:r w:rsidRPr="00060158">
        <w:t xml:space="preserve">This module was supported, in part, by a grant (No. 90EJIG0023-01-0) from the Administration for Community Living (ACL), U.S. Department of Health and Human Services (DHHS). Grantees carrying out projects under government sponsorship are encouraged to express freely their findings and conclusions. Therefore, points of view or opinions do not necessarily represent official ACL or DHHS policy. </w:t>
      </w:r>
    </w:p>
    <w:p w14:paraId="6DFAA972" w14:textId="77777777" w:rsidR="00060158" w:rsidRPr="00690BA6" w:rsidRDefault="00060158" w:rsidP="00060158">
      <w:pPr>
        <w:rPr>
          <w:b/>
          <w:bCs/>
        </w:rPr>
      </w:pPr>
    </w:p>
    <w:p w14:paraId="01911750" w14:textId="77777777" w:rsidR="00060158" w:rsidRPr="005A6D2A" w:rsidRDefault="00060158">
      <w:pPr>
        <w:rPr>
          <w:b/>
          <w:bCs/>
        </w:rPr>
      </w:pPr>
    </w:p>
    <w:sectPr w:rsidR="00060158" w:rsidRPr="005A6D2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534C6" w14:textId="77777777" w:rsidR="003D4E79" w:rsidRDefault="003D4E79" w:rsidP="00220147">
      <w:pPr>
        <w:spacing w:after="0" w:line="240" w:lineRule="auto"/>
      </w:pPr>
      <w:r>
        <w:separator/>
      </w:r>
    </w:p>
  </w:endnote>
  <w:endnote w:type="continuationSeparator" w:id="0">
    <w:p w14:paraId="37679C6D" w14:textId="77777777" w:rsidR="003D4E79" w:rsidRDefault="003D4E79" w:rsidP="00220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2519164"/>
      <w:docPartObj>
        <w:docPartGallery w:val="Page Numbers (Bottom of Page)"/>
        <w:docPartUnique/>
      </w:docPartObj>
    </w:sdtPr>
    <w:sdtEndPr/>
    <w:sdtContent>
      <w:sdt>
        <w:sdtPr>
          <w:id w:val="-1769616900"/>
          <w:docPartObj>
            <w:docPartGallery w:val="Page Numbers (Top of Page)"/>
            <w:docPartUnique/>
          </w:docPartObj>
        </w:sdtPr>
        <w:sdtEndPr/>
        <w:sdtContent>
          <w:p w14:paraId="6E40ACDC" w14:textId="4B5A0A4E" w:rsidR="00733A5F" w:rsidRDefault="00733A5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4D5AB8F" w14:textId="77777777" w:rsidR="00733A5F" w:rsidRDefault="00733A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7CA05" w14:textId="77777777" w:rsidR="003D4E79" w:rsidRDefault="003D4E79" w:rsidP="00220147">
      <w:pPr>
        <w:spacing w:after="0" w:line="240" w:lineRule="auto"/>
      </w:pPr>
      <w:r>
        <w:separator/>
      </w:r>
    </w:p>
  </w:footnote>
  <w:footnote w:type="continuationSeparator" w:id="0">
    <w:p w14:paraId="21E3F9EB" w14:textId="77777777" w:rsidR="003D4E79" w:rsidRDefault="003D4E79" w:rsidP="002201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BE128" w14:textId="77777777" w:rsidR="00220147" w:rsidRPr="000F54CF" w:rsidRDefault="00220147" w:rsidP="00220147">
    <w:pPr>
      <w:spacing w:line="240" w:lineRule="auto"/>
      <w:contextualSpacing/>
    </w:pPr>
    <w:r>
      <w:t>Office of Adult Guardianship and Conservatorship Oversight</w:t>
    </w:r>
  </w:p>
  <w:p w14:paraId="527FD4EC" w14:textId="1BD80BF0" w:rsidR="00220147" w:rsidRDefault="00220147" w:rsidP="002B3E9C">
    <w:pPr>
      <w:spacing w:line="240" w:lineRule="auto"/>
      <w:contextualSpacing/>
    </w:pPr>
    <w:r w:rsidRPr="000F54CF">
      <w:t>Orientation Program for Guardians and Conservators of Adults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4388ED2"/>
    <w:lvl w:ilvl="0">
      <w:numFmt w:val="bullet"/>
      <w:lvlText w:val="*"/>
      <w:lvlJc w:val="left"/>
    </w:lvl>
  </w:abstractNum>
  <w:abstractNum w:abstractNumId="1" w15:restartNumberingAfterBreak="0">
    <w:nsid w:val="331273B1"/>
    <w:multiLevelType w:val="hybridMultilevel"/>
    <w:tmpl w:val="477CF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180A17"/>
    <w:multiLevelType w:val="hybridMultilevel"/>
    <w:tmpl w:val="AA7A9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4412612">
    <w:abstractNumId w:val="0"/>
    <w:lvlOverride w:ilvl="0">
      <w:lvl w:ilvl="0">
        <w:numFmt w:val="bullet"/>
        <w:lvlText w:val=""/>
        <w:legacy w:legacy="1" w:legacySpace="0" w:legacyIndent="140"/>
        <w:lvlJc w:val="left"/>
        <w:rPr>
          <w:rFonts w:ascii="Symbol" w:hAnsi="Symbol" w:hint="default"/>
        </w:rPr>
      </w:lvl>
    </w:lvlOverride>
  </w:num>
  <w:num w:numId="2" w16cid:durableId="1589459342">
    <w:abstractNumId w:val="1"/>
  </w:num>
  <w:num w:numId="3" w16cid:durableId="1123603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147"/>
    <w:rsid w:val="0002233F"/>
    <w:rsid w:val="00057A44"/>
    <w:rsid w:val="00060158"/>
    <w:rsid w:val="000C1E6B"/>
    <w:rsid w:val="00154448"/>
    <w:rsid w:val="00220147"/>
    <w:rsid w:val="0023271E"/>
    <w:rsid w:val="002B3E9C"/>
    <w:rsid w:val="002C6BED"/>
    <w:rsid w:val="0030215C"/>
    <w:rsid w:val="00350301"/>
    <w:rsid w:val="00370070"/>
    <w:rsid w:val="003778FA"/>
    <w:rsid w:val="003C322D"/>
    <w:rsid w:val="003D4E79"/>
    <w:rsid w:val="00460BBF"/>
    <w:rsid w:val="00470148"/>
    <w:rsid w:val="00534B00"/>
    <w:rsid w:val="005350D8"/>
    <w:rsid w:val="00537CD1"/>
    <w:rsid w:val="00592990"/>
    <w:rsid w:val="005A6D2A"/>
    <w:rsid w:val="0062727B"/>
    <w:rsid w:val="006533ED"/>
    <w:rsid w:val="00687312"/>
    <w:rsid w:val="006B7DA6"/>
    <w:rsid w:val="007269B1"/>
    <w:rsid w:val="00733A5F"/>
    <w:rsid w:val="00762B78"/>
    <w:rsid w:val="007C6CCB"/>
    <w:rsid w:val="0084326C"/>
    <w:rsid w:val="00847569"/>
    <w:rsid w:val="00904395"/>
    <w:rsid w:val="00931676"/>
    <w:rsid w:val="0098287E"/>
    <w:rsid w:val="009D4694"/>
    <w:rsid w:val="009F483D"/>
    <w:rsid w:val="00A1738A"/>
    <w:rsid w:val="00A3110C"/>
    <w:rsid w:val="00A65929"/>
    <w:rsid w:val="00A71BBF"/>
    <w:rsid w:val="00AC5DFA"/>
    <w:rsid w:val="00AF33BC"/>
    <w:rsid w:val="00B116FF"/>
    <w:rsid w:val="00B32D7A"/>
    <w:rsid w:val="00B874E3"/>
    <w:rsid w:val="00B90EF4"/>
    <w:rsid w:val="00BF1B22"/>
    <w:rsid w:val="00C073B6"/>
    <w:rsid w:val="00C352D3"/>
    <w:rsid w:val="00C57E64"/>
    <w:rsid w:val="00D7390E"/>
    <w:rsid w:val="00D8496F"/>
    <w:rsid w:val="00E55D86"/>
    <w:rsid w:val="00E56394"/>
    <w:rsid w:val="00F03368"/>
    <w:rsid w:val="00F4571A"/>
    <w:rsid w:val="00FB3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C4FC4"/>
  <w15:chartTrackingRefBased/>
  <w15:docId w15:val="{394E536D-C7F0-4697-8B89-B8DC2237F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E9C"/>
  </w:style>
  <w:style w:type="paragraph" w:styleId="Heading1">
    <w:name w:val="heading 1"/>
    <w:basedOn w:val="Normal"/>
    <w:next w:val="Normal"/>
    <w:link w:val="Heading1Char"/>
    <w:uiPriority w:val="9"/>
    <w:qFormat/>
    <w:rsid w:val="006B7DA6"/>
    <w:pPr>
      <w:keepNext/>
      <w:keepLines/>
      <w:spacing w:before="360" w:after="80"/>
      <w:jc w:val="center"/>
      <w:outlineLvl w:val="0"/>
    </w:pPr>
    <w:rPr>
      <w:rFonts w:eastAsiaTheme="majorEastAsia" w:cstheme="majorBidi"/>
      <w:b/>
      <w:sz w:val="24"/>
      <w:szCs w:val="40"/>
    </w:rPr>
  </w:style>
  <w:style w:type="paragraph" w:styleId="Heading2">
    <w:name w:val="heading 2"/>
    <w:basedOn w:val="Normal"/>
    <w:next w:val="Normal"/>
    <w:link w:val="Heading2Char"/>
    <w:uiPriority w:val="9"/>
    <w:unhideWhenUsed/>
    <w:qFormat/>
    <w:rsid w:val="006B7DA6"/>
    <w:pPr>
      <w:keepNext/>
      <w:keepLines/>
      <w:spacing w:before="160" w:after="80"/>
      <w:outlineLvl w:val="1"/>
    </w:pPr>
    <w:rPr>
      <w:rFonts w:eastAsiaTheme="majorEastAsia" w:cstheme="majorBidi"/>
      <w:b/>
      <w:sz w:val="24"/>
      <w:szCs w:val="32"/>
    </w:rPr>
  </w:style>
  <w:style w:type="paragraph" w:styleId="Heading3">
    <w:name w:val="heading 3"/>
    <w:basedOn w:val="Normal"/>
    <w:next w:val="Normal"/>
    <w:link w:val="Heading3Char"/>
    <w:uiPriority w:val="9"/>
    <w:unhideWhenUsed/>
    <w:qFormat/>
    <w:rsid w:val="006B7DA6"/>
    <w:pPr>
      <w:keepNext/>
      <w:keepLines/>
      <w:spacing w:before="160" w:after="80"/>
      <w:outlineLvl w:val="2"/>
    </w:pPr>
    <w:rPr>
      <w:rFonts w:eastAsiaTheme="majorEastAsia" w:cstheme="majorBidi"/>
      <w:i/>
      <w:sz w:val="24"/>
      <w:szCs w:val="28"/>
    </w:rPr>
  </w:style>
  <w:style w:type="paragraph" w:styleId="Heading4">
    <w:name w:val="heading 4"/>
    <w:basedOn w:val="Normal"/>
    <w:next w:val="Normal"/>
    <w:link w:val="Heading4Char"/>
    <w:uiPriority w:val="9"/>
    <w:semiHidden/>
    <w:unhideWhenUsed/>
    <w:qFormat/>
    <w:rsid w:val="002201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01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01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01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01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01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7DA6"/>
    <w:rPr>
      <w:rFonts w:eastAsiaTheme="majorEastAsia" w:cstheme="majorBidi"/>
      <w:b/>
      <w:sz w:val="24"/>
      <w:szCs w:val="40"/>
    </w:rPr>
  </w:style>
  <w:style w:type="character" w:customStyle="1" w:styleId="Heading2Char">
    <w:name w:val="Heading 2 Char"/>
    <w:basedOn w:val="DefaultParagraphFont"/>
    <w:link w:val="Heading2"/>
    <w:uiPriority w:val="9"/>
    <w:rsid w:val="006B7DA6"/>
    <w:rPr>
      <w:rFonts w:eastAsiaTheme="majorEastAsia" w:cstheme="majorBidi"/>
      <w:b/>
      <w:sz w:val="24"/>
      <w:szCs w:val="32"/>
    </w:rPr>
  </w:style>
  <w:style w:type="character" w:customStyle="1" w:styleId="Heading3Char">
    <w:name w:val="Heading 3 Char"/>
    <w:basedOn w:val="DefaultParagraphFont"/>
    <w:link w:val="Heading3"/>
    <w:uiPriority w:val="9"/>
    <w:rsid w:val="006B7DA6"/>
    <w:rPr>
      <w:rFonts w:eastAsiaTheme="majorEastAsia" w:cstheme="majorBidi"/>
      <w:i/>
      <w:sz w:val="24"/>
      <w:szCs w:val="28"/>
    </w:rPr>
  </w:style>
  <w:style w:type="character" w:customStyle="1" w:styleId="Heading4Char">
    <w:name w:val="Heading 4 Char"/>
    <w:basedOn w:val="DefaultParagraphFont"/>
    <w:link w:val="Heading4"/>
    <w:uiPriority w:val="9"/>
    <w:semiHidden/>
    <w:rsid w:val="002201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01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01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01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01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0147"/>
    <w:rPr>
      <w:rFonts w:eastAsiaTheme="majorEastAsia" w:cstheme="majorBidi"/>
      <w:color w:val="272727" w:themeColor="text1" w:themeTint="D8"/>
    </w:rPr>
  </w:style>
  <w:style w:type="paragraph" w:styleId="Title">
    <w:name w:val="Title"/>
    <w:basedOn w:val="Normal"/>
    <w:next w:val="Normal"/>
    <w:link w:val="TitleChar"/>
    <w:uiPriority w:val="10"/>
    <w:qFormat/>
    <w:rsid w:val="002201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01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01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01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0147"/>
    <w:pPr>
      <w:spacing w:before="160"/>
      <w:jc w:val="center"/>
    </w:pPr>
    <w:rPr>
      <w:i/>
      <w:iCs/>
      <w:color w:val="404040" w:themeColor="text1" w:themeTint="BF"/>
    </w:rPr>
  </w:style>
  <w:style w:type="character" w:customStyle="1" w:styleId="QuoteChar">
    <w:name w:val="Quote Char"/>
    <w:basedOn w:val="DefaultParagraphFont"/>
    <w:link w:val="Quote"/>
    <w:uiPriority w:val="29"/>
    <w:rsid w:val="00220147"/>
    <w:rPr>
      <w:i/>
      <w:iCs/>
      <w:color w:val="404040" w:themeColor="text1" w:themeTint="BF"/>
    </w:rPr>
  </w:style>
  <w:style w:type="paragraph" w:styleId="ListParagraph">
    <w:name w:val="List Paragraph"/>
    <w:basedOn w:val="Normal"/>
    <w:uiPriority w:val="34"/>
    <w:qFormat/>
    <w:rsid w:val="00220147"/>
    <w:pPr>
      <w:ind w:left="720"/>
      <w:contextualSpacing/>
    </w:pPr>
  </w:style>
  <w:style w:type="character" w:styleId="IntenseEmphasis">
    <w:name w:val="Intense Emphasis"/>
    <w:basedOn w:val="DefaultParagraphFont"/>
    <w:uiPriority w:val="21"/>
    <w:qFormat/>
    <w:rsid w:val="00220147"/>
    <w:rPr>
      <w:i/>
      <w:iCs/>
      <w:color w:val="0F4761" w:themeColor="accent1" w:themeShade="BF"/>
    </w:rPr>
  </w:style>
  <w:style w:type="paragraph" w:styleId="IntenseQuote">
    <w:name w:val="Intense Quote"/>
    <w:basedOn w:val="Normal"/>
    <w:next w:val="Normal"/>
    <w:link w:val="IntenseQuoteChar"/>
    <w:uiPriority w:val="30"/>
    <w:qFormat/>
    <w:rsid w:val="002201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0147"/>
    <w:rPr>
      <w:i/>
      <w:iCs/>
      <w:color w:val="0F4761" w:themeColor="accent1" w:themeShade="BF"/>
    </w:rPr>
  </w:style>
  <w:style w:type="character" w:styleId="IntenseReference">
    <w:name w:val="Intense Reference"/>
    <w:basedOn w:val="DefaultParagraphFont"/>
    <w:uiPriority w:val="32"/>
    <w:qFormat/>
    <w:rsid w:val="00220147"/>
    <w:rPr>
      <w:b/>
      <w:bCs/>
      <w:smallCaps/>
      <w:color w:val="0F4761" w:themeColor="accent1" w:themeShade="BF"/>
      <w:spacing w:val="5"/>
    </w:rPr>
  </w:style>
  <w:style w:type="paragraph" w:styleId="Header">
    <w:name w:val="header"/>
    <w:basedOn w:val="Normal"/>
    <w:link w:val="HeaderChar"/>
    <w:uiPriority w:val="99"/>
    <w:unhideWhenUsed/>
    <w:rsid w:val="002201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0147"/>
  </w:style>
  <w:style w:type="paragraph" w:styleId="Footer">
    <w:name w:val="footer"/>
    <w:basedOn w:val="Normal"/>
    <w:link w:val="FooterChar"/>
    <w:uiPriority w:val="99"/>
    <w:unhideWhenUsed/>
    <w:rsid w:val="002201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01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1120</Words>
  <Characters>6387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S Canica</dc:creator>
  <cp:keywords/>
  <dc:description/>
  <cp:lastModifiedBy>Samantha S Canica</cp:lastModifiedBy>
  <cp:revision>2</cp:revision>
  <dcterms:created xsi:type="dcterms:W3CDTF">2025-10-03T19:07:00Z</dcterms:created>
  <dcterms:modified xsi:type="dcterms:W3CDTF">2025-10-03T19:07:00Z</dcterms:modified>
</cp:coreProperties>
</file>