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5E" w:rsidRPr="002348D6" w:rsidRDefault="005F075E" w:rsidP="005F075E">
      <w:pPr>
        <w:pStyle w:val="Title"/>
      </w:pPr>
      <w:bookmarkStart w:id="0" w:name="_GoBack"/>
      <w:bookmarkStart w:id="1" w:name="_Toc345928177"/>
      <w:bookmarkEnd w:id="0"/>
      <w:r>
        <w:t>Massachusetts Monitoring Site Visits</w:t>
      </w:r>
      <w:r>
        <w:br/>
        <w:t xml:space="preserve">Turnaround Practices Indicators and Continuum </w:t>
      </w:r>
    </w:p>
    <w:p w:rsidR="005F3B8C" w:rsidRPr="005F3B8C" w:rsidRDefault="00102DC3" w:rsidP="005F3B8C">
      <w:pPr>
        <w:pStyle w:val="Heading2"/>
      </w:pPr>
      <w:r>
        <w:t>September</w:t>
      </w:r>
      <w:r w:rsidR="00BC57EE">
        <w:t xml:space="preserve"> 2015</w:t>
      </w:r>
    </w:p>
    <w:p w:rsidR="005F075E" w:rsidRPr="005B6840" w:rsidRDefault="005F075E" w:rsidP="005F075E">
      <w:pPr>
        <w:pStyle w:val="BodyText"/>
      </w:pPr>
      <w:r w:rsidRPr="005B6840">
        <w:t>This document identifies a set of indicators within Massachusetts’ four key turnaround practices</w:t>
      </w:r>
      <w:r w:rsidR="00522446">
        <w:t>, which are based on research on Massachusetts schools that have experienced rapid improvements in student outcomes</w:t>
      </w:r>
      <w:r w:rsidR="005B6F50">
        <w:t>.</w:t>
      </w:r>
      <w:r w:rsidR="00522446">
        <w:rPr>
          <w:rStyle w:val="FootnoteReference"/>
          <w:rFonts w:cs="Calibri"/>
          <w:sz w:val="22"/>
        </w:rPr>
        <w:footnoteReference w:id="1"/>
      </w:r>
      <w:r w:rsidR="005B6F50">
        <w:t xml:space="preserve"> The four key turnaround practices are:</w:t>
      </w:r>
    </w:p>
    <w:p w:rsidR="005F075E" w:rsidRPr="005B6840" w:rsidRDefault="005F075E" w:rsidP="005F075E">
      <w:pPr>
        <w:pStyle w:val="NumberedList"/>
      </w:pPr>
      <w:r w:rsidRPr="005B6840">
        <w:t>Leadership, shared responsibility</w:t>
      </w:r>
      <w:r>
        <w:t>,</w:t>
      </w:r>
      <w:r w:rsidRPr="005B6840">
        <w:t xml:space="preserve"> and professional collaboration</w:t>
      </w:r>
    </w:p>
    <w:p w:rsidR="005F075E" w:rsidRPr="005B6840" w:rsidRDefault="005F075E" w:rsidP="005F075E">
      <w:pPr>
        <w:pStyle w:val="NumberedList"/>
      </w:pPr>
      <w:r w:rsidRPr="005B6840">
        <w:t>Intentional practices for improving instruction</w:t>
      </w:r>
    </w:p>
    <w:p w:rsidR="005F075E" w:rsidRPr="005B6840" w:rsidRDefault="005F075E" w:rsidP="005F075E">
      <w:pPr>
        <w:pStyle w:val="NumberedList"/>
      </w:pPr>
      <w:r w:rsidRPr="005B6840">
        <w:t>Student-specific supports and instruction to all student</w:t>
      </w:r>
      <w:r>
        <w:t>s</w:t>
      </w:r>
    </w:p>
    <w:p w:rsidR="005F075E" w:rsidRPr="005B6840" w:rsidRDefault="005F075E" w:rsidP="005F075E">
      <w:pPr>
        <w:pStyle w:val="NumberedList"/>
      </w:pPr>
      <w:r w:rsidRPr="005B6840">
        <w:t xml:space="preserve">School </w:t>
      </w:r>
      <w:r w:rsidR="006209B1">
        <w:t xml:space="preserve">climate and </w:t>
      </w:r>
      <w:r>
        <w:t>c</w:t>
      </w:r>
      <w:r w:rsidRPr="005B6840">
        <w:t>ulture</w:t>
      </w:r>
    </w:p>
    <w:p w:rsidR="005F075E" w:rsidRDefault="005F075E" w:rsidP="005F075E">
      <w:pPr>
        <w:pStyle w:val="BodyText"/>
      </w:pPr>
      <w:r w:rsidRPr="005B6840">
        <w:t xml:space="preserve">The indicators </w:t>
      </w:r>
      <w:r w:rsidR="005B6F50">
        <w:t xml:space="preserve">within these turnaround practices </w:t>
      </w:r>
      <w:r w:rsidRPr="005B6840">
        <w:t>are described in a continuum of implementation</w:t>
      </w:r>
      <w:r>
        <w:t>,</w:t>
      </w:r>
      <w:r w:rsidRPr="005B6840">
        <w:t xml:space="preserve"> and data from the Level 4 and Level 5 </w:t>
      </w:r>
      <w:proofErr w:type="gramStart"/>
      <w:r w:rsidRPr="005B6840">
        <w:t>school</w:t>
      </w:r>
      <w:proofErr w:type="gramEnd"/>
      <w:r w:rsidRPr="005B6840">
        <w:t xml:space="preserve"> monitoring </w:t>
      </w:r>
      <w:r w:rsidR="005B6F50">
        <w:t xml:space="preserve">site </w:t>
      </w:r>
      <w:r w:rsidRPr="005B6840">
        <w:t xml:space="preserve">visits </w:t>
      </w:r>
      <w:r>
        <w:t xml:space="preserve">(interviews, focus groups, document review, and classroom observations) </w:t>
      </w:r>
      <w:r w:rsidRPr="005B6840">
        <w:t xml:space="preserve">will inform the status of implementation </w:t>
      </w:r>
      <w:r>
        <w:t xml:space="preserve">for </w:t>
      </w:r>
      <w:r w:rsidRPr="005B6840">
        <w:t>each of these turnaround practices.</w:t>
      </w:r>
    </w:p>
    <w:p w:rsidR="005F075E" w:rsidRDefault="005F075E">
      <w:pPr>
        <w:rPr>
          <w:rFonts w:ascii="Calibri" w:eastAsiaTheme="majorEastAsia" w:hAnsi="Calibri" w:cstheme="majorBidi"/>
          <w:b/>
          <w:bCs/>
          <w:sz w:val="32"/>
          <w:szCs w:val="36"/>
          <w:highlight w:val="cyan"/>
        </w:rPr>
      </w:pPr>
      <w:r>
        <w:rPr>
          <w:highlight w:val="cyan"/>
        </w:rPr>
        <w:br w:type="page"/>
      </w:r>
    </w:p>
    <w:p w:rsidR="005F075E" w:rsidRDefault="005F075E" w:rsidP="00014618">
      <w:pPr>
        <w:pStyle w:val="Heading1"/>
      </w:pPr>
      <w:bookmarkStart w:id="2" w:name="_Toc342902490"/>
      <w:bookmarkEnd w:id="1"/>
      <w:r>
        <w:lastRenderedPageBreak/>
        <w:t>Introduction</w:t>
      </w:r>
      <w:bookmarkEnd w:id="2"/>
    </w:p>
    <w:p w:rsidR="005F075E" w:rsidRDefault="005F075E" w:rsidP="00014618">
      <w:pPr>
        <w:pStyle w:val="BodyText"/>
      </w:pPr>
      <w:r>
        <w:t xml:space="preserve">Table 1 </w:t>
      </w:r>
      <w:r w:rsidR="001E3BFD">
        <w:t>lists</w:t>
      </w:r>
      <w:r w:rsidRPr="00AA2852">
        <w:t xml:space="preserve"> the four </w:t>
      </w:r>
      <w:r w:rsidR="001E3BFD">
        <w:t xml:space="preserve">key </w:t>
      </w:r>
      <w:r w:rsidRPr="00AA2852">
        <w:t>turnaround practices.</w:t>
      </w:r>
      <w:r w:rsidRPr="005D1FAD">
        <w:t xml:space="preserve"> </w:t>
      </w:r>
      <w:r>
        <w:t>The four turnaround practices are based on research on Massachusetts schools that have experienced rapid improvements in student outcomes.</w:t>
      </w:r>
      <w:r>
        <w:rPr>
          <w:rStyle w:val="FootnoteReference"/>
          <w:rFonts w:cs="Calibri"/>
          <w:sz w:val="22"/>
        </w:rPr>
        <w:footnoteReference w:id="2"/>
      </w:r>
      <w:r>
        <w:t xml:space="preserve"> </w:t>
      </w:r>
    </w:p>
    <w:p w:rsidR="00440A2D" w:rsidRDefault="00440A2D" w:rsidP="00B62972">
      <w:pPr>
        <w:pStyle w:val="TableTitle"/>
        <w:rPr>
          <w:rFonts w:ascii="Franklin Gothic Demi" w:eastAsia="MS Gothic" w:hAnsi="Franklin Gothic Demi"/>
          <w:bCs/>
          <w:color w:val="005295"/>
          <w:sz w:val="28"/>
          <w:szCs w:val="28"/>
        </w:rPr>
      </w:pPr>
      <w:proofErr w:type="gramStart"/>
      <w:r>
        <w:t>Table 1.</w:t>
      </w:r>
      <w:proofErr w:type="gramEnd"/>
      <w:r>
        <w:t xml:space="preserve"> </w:t>
      </w:r>
      <w:r w:rsidRPr="003542BF">
        <w:t>Key Turnaround Practice</w:t>
      </w:r>
      <w:r>
        <w: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5F075E" w:rsidRPr="003542BF" w:rsidTr="00B62972">
        <w:trPr>
          <w:jc w:val="center"/>
        </w:trPr>
        <w:tc>
          <w:tcPr>
            <w:tcW w:w="8190" w:type="dxa"/>
            <w:shd w:val="clear" w:color="auto" w:fill="A1BFDF" w:themeFill="text2" w:themeFillTint="66"/>
            <w:vAlign w:val="center"/>
          </w:tcPr>
          <w:p w:rsidR="005F075E" w:rsidRPr="003542BF" w:rsidRDefault="00440A2D" w:rsidP="00E0278D">
            <w:pPr>
              <w:pStyle w:val="TableColHeadingCenter"/>
            </w:pPr>
            <w:r>
              <w:t>Key Turnaround Practice</w:t>
            </w:r>
          </w:p>
        </w:tc>
      </w:tr>
      <w:tr w:rsidR="005F075E" w:rsidRPr="003542BF" w:rsidTr="00B62972">
        <w:trPr>
          <w:jc w:val="center"/>
        </w:trPr>
        <w:tc>
          <w:tcPr>
            <w:tcW w:w="8190" w:type="dxa"/>
            <w:vAlign w:val="center"/>
          </w:tcPr>
          <w:p w:rsidR="005F075E" w:rsidRPr="003542BF" w:rsidRDefault="005F075E" w:rsidP="00E0278D">
            <w:pPr>
              <w:pStyle w:val="TableNumbering"/>
              <w:rPr>
                <w:b/>
              </w:rPr>
            </w:pPr>
            <w:r w:rsidRPr="003542BF">
              <w:t>Leadership, shared responsibility, and professional collaboration</w:t>
            </w:r>
          </w:p>
        </w:tc>
      </w:tr>
      <w:tr w:rsidR="005F075E" w:rsidRPr="003542BF" w:rsidTr="00B62972">
        <w:trPr>
          <w:jc w:val="center"/>
        </w:trPr>
        <w:tc>
          <w:tcPr>
            <w:tcW w:w="8190" w:type="dxa"/>
            <w:vAlign w:val="center"/>
          </w:tcPr>
          <w:p w:rsidR="005F075E" w:rsidRPr="003542BF" w:rsidRDefault="005F075E" w:rsidP="00E0278D">
            <w:pPr>
              <w:pStyle w:val="TableNumbering"/>
              <w:rPr>
                <w:b/>
              </w:rPr>
            </w:pPr>
            <w:r w:rsidRPr="003542BF">
              <w:t>Intentional practices for improving instruction</w:t>
            </w:r>
          </w:p>
        </w:tc>
      </w:tr>
      <w:tr w:rsidR="005F075E" w:rsidRPr="003542BF" w:rsidTr="00B62972">
        <w:trPr>
          <w:jc w:val="center"/>
        </w:trPr>
        <w:tc>
          <w:tcPr>
            <w:tcW w:w="8190" w:type="dxa"/>
            <w:vAlign w:val="center"/>
          </w:tcPr>
          <w:p w:rsidR="005F075E" w:rsidRPr="003542BF" w:rsidRDefault="005F075E" w:rsidP="00E0278D">
            <w:pPr>
              <w:pStyle w:val="TableNumbering"/>
              <w:rPr>
                <w:b/>
              </w:rPr>
            </w:pPr>
            <w:r w:rsidRPr="003542BF">
              <w:t>Student-specific supports and instruction to all students</w:t>
            </w:r>
          </w:p>
        </w:tc>
      </w:tr>
      <w:tr w:rsidR="005F075E" w:rsidRPr="003542BF" w:rsidTr="00B62972">
        <w:trPr>
          <w:jc w:val="center"/>
        </w:trPr>
        <w:tc>
          <w:tcPr>
            <w:tcW w:w="8190" w:type="dxa"/>
            <w:vAlign w:val="center"/>
          </w:tcPr>
          <w:p w:rsidR="005F075E" w:rsidRPr="003542BF" w:rsidRDefault="005F075E" w:rsidP="006209B1">
            <w:pPr>
              <w:pStyle w:val="TableNumbering"/>
              <w:rPr>
                <w:b/>
              </w:rPr>
            </w:pPr>
            <w:r w:rsidRPr="003542BF">
              <w:t xml:space="preserve">School </w:t>
            </w:r>
            <w:r w:rsidR="006209B1">
              <w:t xml:space="preserve">climate and </w:t>
            </w:r>
            <w:r w:rsidRPr="003542BF">
              <w:t>culture</w:t>
            </w:r>
          </w:p>
        </w:tc>
      </w:tr>
    </w:tbl>
    <w:p w:rsidR="00014618" w:rsidRDefault="005F075E" w:rsidP="00014618">
      <w:pPr>
        <w:pStyle w:val="BodyText"/>
      </w:pPr>
      <w:bookmarkStart w:id="3" w:name="_Toc342902491"/>
      <w:r w:rsidRPr="00F27746">
        <w:t xml:space="preserve">These turnaround practices and related indicators are used to monitor </w:t>
      </w:r>
      <w:r w:rsidR="00522446" w:rsidRPr="00F27746">
        <w:t xml:space="preserve">the progress of </w:t>
      </w:r>
      <w:r w:rsidRPr="00F27746">
        <w:t>Level 4 and Level 5 schools</w:t>
      </w:r>
      <w:r w:rsidR="008654E7" w:rsidRPr="00F27746">
        <w:t xml:space="preserve"> </w:t>
      </w:r>
      <w:r w:rsidRPr="00F27746">
        <w:t>implementing key turnaround practices. Each indicator is described on a four-point continuum of implementation (no evidence, developing, providing, or sustaining).</w:t>
      </w:r>
      <w:r w:rsidRPr="00F27746">
        <w:rPr>
          <w:rStyle w:val="FootnoteReference"/>
          <w:rFonts w:cs="Calibri"/>
          <w:spacing w:val="-2"/>
          <w:sz w:val="22"/>
        </w:rPr>
        <w:footnoteReference w:id="3"/>
      </w:r>
      <w:r w:rsidRPr="00F27746">
        <w:t xml:space="preserve"> The sustaining point on each indicator continuum aligns with the findings from research on Massachusetts Level 4 schools that have experienced rapid improvement in student outcomes. Massachusetts schools that achieved dramatic academic and nonacademic improvements during the</w:t>
      </w:r>
      <w:r w:rsidR="00522446" w:rsidRPr="00F27746">
        <w:t>ir first three years of turnaround</w:t>
      </w:r>
      <w:r w:rsidRPr="00F27746">
        <w:t xml:space="preserve"> have actively used the authorities afforded to them through Level 4 accountability status, used funding that was directly aligned to their needs, provided targeted instruction to students, and embedded district systems of support and monitoring to maximize the impacts of these fundamental conditions. With those conditions in place, the schools focused their work on each of the turnaround practices.</w:t>
      </w:r>
    </w:p>
    <w:p w:rsidR="005F075E" w:rsidRPr="00014618" w:rsidRDefault="005F075E" w:rsidP="00014618">
      <w:pPr>
        <w:pStyle w:val="BodyText"/>
        <w:rPr>
          <w:spacing w:val="-4"/>
        </w:rPr>
      </w:pPr>
      <w:proofErr w:type="gramStart"/>
      <w:r w:rsidRPr="00014618">
        <w:rPr>
          <w:rStyle w:val="Heading3Char"/>
          <w:spacing w:val="-4"/>
        </w:rPr>
        <w:t>Background.</w:t>
      </w:r>
      <w:proofErr w:type="gramEnd"/>
      <w:r w:rsidRPr="00014618">
        <w:rPr>
          <w:spacing w:val="-4"/>
        </w:rPr>
        <w:t xml:space="preserve"> Each indicator and the points in each indicator’s implementation continuum have been reviewed to ensure alignment and connection with Massachusetts Department of Elementary and Secondary Education initiatives and supports. Specifically, the indicators and continuum points were cross</w:t>
      </w:r>
      <w:r w:rsidR="00440A2D" w:rsidRPr="00014618">
        <w:rPr>
          <w:spacing w:val="-4"/>
        </w:rPr>
        <w:t>-</w:t>
      </w:r>
      <w:r w:rsidRPr="00014618">
        <w:rPr>
          <w:spacing w:val="-4"/>
        </w:rPr>
        <w:t xml:space="preserve">walked with the Educator Evaluation Rubrics, the Massachusetts Tiered Systems of Support Rubric, the Wraparound Zone Initiative Implementation Rubric, </w:t>
      </w:r>
      <w:proofErr w:type="gramStart"/>
      <w:r w:rsidRPr="00014618">
        <w:rPr>
          <w:spacing w:val="-4"/>
        </w:rPr>
        <w:t>the</w:t>
      </w:r>
      <w:proofErr w:type="gramEnd"/>
      <w:r w:rsidRPr="00014618">
        <w:rPr>
          <w:spacing w:val="-4"/>
        </w:rPr>
        <w:t xml:space="preserve"> Learning Walkthrough guidance, the Conditions for School Effectiveness, The Partnership Project Universal Design for Learning, Academic Tiered Systems of Support, and Behavioral Systems of Support rubrics. Each of these </w:t>
      </w:r>
      <w:r w:rsidR="008654E7" w:rsidRPr="00014618">
        <w:rPr>
          <w:spacing w:val="-4"/>
        </w:rPr>
        <w:t>resources</w:t>
      </w:r>
      <w:r w:rsidR="00522446" w:rsidRPr="00014618">
        <w:rPr>
          <w:spacing w:val="-4"/>
        </w:rPr>
        <w:t xml:space="preserve"> </w:t>
      </w:r>
      <w:r w:rsidRPr="00014618">
        <w:rPr>
          <w:spacing w:val="-4"/>
        </w:rPr>
        <w:t xml:space="preserve">supports in-depth implementation of each of these strategies. The </w:t>
      </w:r>
      <w:r w:rsidR="00440A2D" w:rsidRPr="00014618">
        <w:rPr>
          <w:spacing w:val="-4"/>
        </w:rPr>
        <w:t>t</w:t>
      </w:r>
      <w:r w:rsidRPr="00014618">
        <w:rPr>
          <w:spacing w:val="-4"/>
        </w:rPr>
        <w:t xml:space="preserve">urnaround </w:t>
      </w:r>
      <w:r w:rsidR="00440A2D" w:rsidRPr="00014618">
        <w:rPr>
          <w:spacing w:val="-4"/>
        </w:rPr>
        <w:t>p</w:t>
      </w:r>
      <w:r w:rsidRPr="00014618">
        <w:rPr>
          <w:spacing w:val="-4"/>
        </w:rPr>
        <w:t xml:space="preserve">ractice indicators purposely do not go into the same depth that a school may need to </w:t>
      </w:r>
      <w:proofErr w:type="spellStart"/>
      <w:r w:rsidRPr="00014618">
        <w:rPr>
          <w:spacing w:val="-4"/>
        </w:rPr>
        <w:t>operationalize</w:t>
      </w:r>
      <w:proofErr w:type="spellEnd"/>
      <w:r w:rsidRPr="00014618">
        <w:rPr>
          <w:spacing w:val="-4"/>
        </w:rPr>
        <w:t xml:space="preserve"> one or more of these strategies but,</w:t>
      </w:r>
      <w:r w:rsidRPr="00014618">
        <w:rPr>
          <w:b/>
          <w:bCs/>
          <w:spacing w:val="-4"/>
        </w:rPr>
        <w:t xml:space="preserve"> </w:t>
      </w:r>
      <w:r w:rsidRPr="00014618">
        <w:rPr>
          <w:spacing w:val="-4"/>
        </w:rPr>
        <w:t xml:space="preserve">rather, are designed to obtain information </w:t>
      </w:r>
      <w:r w:rsidRPr="00014618">
        <w:rPr>
          <w:spacing w:val="-4"/>
        </w:rPr>
        <w:lastRenderedPageBreak/>
        <w:t xml:space="preserve">about the school’s progress </w:t>
      </w:r>
      <w:r w:rsidR="00440A2D" w:rsidRPr="00014618">
        <w:rPr>
          <w:spacing w:val="-4"/>
        </w:rPr>
        <w:t xml:space="preserve">in </w:t>
      </w:r>
      <w:r w:rsidRPr="00014618">
        <w:rPr>
          <w:spacing w:val="-4"/>
        </w:rPr>
        <w:t xml:space="preserve">implementing research-based strategies identified in Level 4 schools that have realized rapid improvements in student outcomes. </w:t>
      </w:r>
    </w:p>
    <w:p w:rsidR="005F075E" w:rsidRPr="00AA2852" w:rsidRDefault="005F075E" w:rsidP="00E0278D">
      <w:pPr>
        <w:pStyle w:val="Heading1"/>
      </w:pPr>
      <w:r w:rsidRPr="00933387">
        <w:t>Definitions</w:t>
      </w:r>
      <w:r w:rsidRPr="00AA2852">
        <w:t xml:space="preserve"> for</w:t>
      </w:r>
      <w:r>
        <w:t xml:space="preserve"> Indicator</w:t>
      </w:r>
      <w:r w:rsidRPr="00AA2852">
        <w:t xml:space="preserve"> </w:t>
      </w:r>
      <w:bookmarkEnd w:id="3"/>
      <w:r w:rsidRPr="00AA2852">
        <w:t xml:space="preserve">Implementation </w:t>
      </w:r>
      <w:r>
        <w:t xml:space="preserve">Continuum </w:t>
      </w:r>
    </w:p>
    <w:p w:rsidR="005F075E" w:rsidRDefault="005F075E" w:rsidP="005F075E">
      <w:pPr>
        <w:pStyle w:val="BodyText"/>
      </w:pPr>
      <w:r w:rsidRPr="00B16D88">
        <w:rPr>
          <w:spacing w:val="-2"/>
        </w:rPr>
        <w:t>The indicator implementation levels provide an overview of the process of developing</w:t>
      </w:r>
      <w:r w:rsidR="005B176E" w:rsidRPr="00B16D88">
        <w:rPr>
          <w:spacing w:val="-2"/>
        </w:rPr>
        <w:t>, providing</w:t>
      </w:r>
      <w:r w:rsidR="005B176E">
        <w:t>, and ultimately</w:t>
      </w:r>
      <w:r w:rsidRPr="00AA2852">
        <w:t xml:space="preserve"> sustaining </w:t>
      </w:r>
      <w:r w:rsidR="005B176E">
        <w:t>specific practices</w:t>
      </w:r>
      <w:r w:rsidRPr="00AA2852">
        <w:t xml:space="preserve"> within each of the turnaround practice</w:t>
      </w:r>
      <w:r w:rsidR="005B176E">
        <w:t xml:space="preserve"> areas</w:t>
      </w:r>
      <w:r w:rsidRPr="00AA2852">
        <w:t>.</w:t>
      </w:r>
      <w:r>
        <w:t xml:space="preserve"> </w:t>
      </w:r>
      <w:r w:rsidRPr="00AA2852">
        <w:t>Each of the indicators ha</w:t>
      </w:r>
      <w:r>
        <w:t>s</w:t>
      </w:r>
      <w:r w:rsidRPr="00AA2852">
        <w:t xml:space="preserve"> a </w:t>
      </w:r>
      <w:r w:rsidR="005B176E">
        <w:t xml:space="preserve">unique </w:t>
      </w:r>
      <w:r w:rsidRPr="00AA2852">
        <w:t>four</w:t>
      </w:r>
      <w:r>
        <w:t xml:space="preserve">-point </w:t>
      </w:r>
      <w:r w:rsidRPr="00AA2852">
        <w:t>implementation continuum</w:t>
      </w:r>
      <w:r w:rsidR="005B176E">
        <w:t>, specific to the indicator, which generally corresponds to the</w:t>
      </w:r>
      <w:r w:rsidR="008654E7">
        <w:t xml:space="preserve"> generic</w:t>
      </w:r>
      <w:r w:rsidRPr="00AA2852">
        <w:t xml:space="preserve"> </w:t>
      </w:r>
      <w:r>
        <w:t>implementation level</w:t>
      </w:r>
      <w:r w:rsidRPr="00AA2852">
        <w:t xml:space="preserve">s </w:t>
      </w:r>
      <w:r w:rsidR="005B176E">
        <w:t>described</w:t>
      </w:r>
      <w:r w:rsidRPr="00AA2852">
        <w:t xml:space="preserve"> </w:t>
      </w:r>
      <w:r>
        <w:t>in Table 2.</w:t>
      </w:r>
    </w:p>
    <w:p w:rsidR="005F075E" w:rsidRPr="0058757A" w:rsidRDefault="005F075E" w:rsidP="005F075E">
      <w:pPr>
        <w:pStyle w:val="TableTitle"/>
      </w:pPr>
      <w:proofErr w:type="gramStart"/>
      <w:r w:rsidRPr="0058757A">
        <w:t>Table 2.</w:t>
      </w:r>
      <w:proofErr w:type="gramEnd"/>
      <w:r w:rsidRPr="0058757A">
        <w:t xml:space="preserve"> Indicator Implementation Continuum </w:t>
      </w:r>
    </w:p>
    <w:tbl>
      <w:tblPr>
        <w:tblW w:w="9360" w:type="dxa"/>
        <w:jc w:val="center"/>
        <w:tblLook w:val="04A0"/>
      </w:tblPr>
      <w:tblGrid>
        <w:gridCol w:w="2313"/>
        <w:gridCol w:w="2333"/>
        <w:gridCol w:w="2402"/>
        <w:gridCol w:w="2312"/>
      </w:tblGrid>
      <w:tr w:rsidR="00102DC3" w:rsidRPr="003542BF" w:rsidTr="00102DC3">
        <w:trPr>
          <w:trHeight w:val="432"/>
          <w:jc w:val="center"/>
        </w:trPr>
        <w:tc>
          <w:tcPr>
            <w:tcW w:w="1971"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102DC3" w:rsidRPr="00B714B0" w:rsidRDefault="00102DC3" w:rsidP="00014618">
            <w:pPr>
              <w:pStyle w:val="TableColumnHeadCentered"/>
            </w:pPr>
            <w:r>
              <w:t xml:space="preserve">Limited </w:t>
            </w:r>
            <w:r w:rsidRPr="00B714B0">
              <w:t>Evidence</w:t>
            </w:r>
          </w:p>
        </w:tc>
        <w:tc>
          <w:tcPr>
            <w:tcW w:w="1989"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102DC3" w:rsidRPr="00B714B0" w:rsidRDefault="00102DC3" w:rsidP="00014618">
            <w:pPr>
              <w:pStyle w:val="TableColumnHeadCentered"/>
            </w:pPr>
            <w:r w:rsidRPr="00B714B0">
              <w:t>Developing</w:t>
            </w:r>
          </w:p>
        </w:tc>
        <w:tc>
          <w:tcPr>
            <w:tcW w:w="2048"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102DC3" w:rsidRPr="00B714B0" w:rsidRDefault="00102DC3" w:rsidP="00014618">
            <w:pPr>
              <w:pStyle w:val="TableColumnHeadCentered"/>
            </w:pPr>
            <w:r w:rsidRPr="00B714B0">
              <w:t>Providing</w:t>
            </w:r>
          </w:p>
        </w:tc>
        <w:tc>
          <w:tcPr>
            <w:tcW w:w="1971"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102DC3" w:rsidRPr="00B714B0" w:rsidRDefault="00102DC3" w:rsidP="00014618">
            <w:pPr>
              <w:pStyle w:val="TableColumnHeadCentered"/>
            </w:pPr>
            <w:r w:rsidRPr="00B714B0">
              <w:t>Sustaining</w:t>
            </w:r>
          </w:p>
        </w:tc>
      </w:tr>
      <w:tr w:rsidR="00102DC3" w:rsidRPr="003542BF" w:rsidTr="00102DC3">
        <w:trPr>
          <w:jc w:val="center"/>
        </w:trPr>
        <w:tc>
          <w:tcPr>
            <w:tcW w:w="1971" w:type="dxa"/>
            <w:tcBorders>
              <w:top w:val="single" w:sz="4" w:space="0" w:color="auto"/>
              <w:left w:val="single" w:sz="8" w:space="0" w:color="auto"/>
              <w:bottom w:val="single" w:sz="8" w:space="0" w:color="auto"/>
              <w:right w:val="single" w:sz="8" w:space="0" w:color="auto"/>
            </w:tcBorders>
            <w:shd w:val="clear" w:color="auto" w:fill="auto"/>
            <w:hideMark/>
          </w:tcPr>
          <w:p w:rsidR="00102DC3" w:rsidRPr="003542BF" w:rsidRDefault="00102DC3" w:rsidP="002044EA">
            <w:pPr>
              <w:pStyle w:val="TableText"/>
              <w:rPr>
                <w:b/>
                <w:bCs/>
              </w:rPr>
            </w:pPr>
            <w:r w:rsidRPr="003542BF">
              <w:t>Necessary organizational practices, structures, and/or processes are nonexistent, evidence is</w:t>
            </w:r>
            <w:r w:rsidRPr="003542BF" w:rsidDel="00754AE8">
              <w:t xml:space="preserve"> </w:t>
            </w:r>
            <w:r w:rsidRPr="003542BF">
              <w:t>limited, or practices are so infrequent that their impact is negligible</w:t>
            </w:r>
            <w:r>
              <w:t>.</w:t>
            </w:r>
            <w:r w:rsidRPr="003542BF">
              <w:t xml:space="preserve"> For example, common planning time is not scheduled</w:t>
            </w:r>
            <w:r>
              <w:t>,</w:t>
            </w:r>
            <w:r w:rsidRPr="003542BF">
              <w:t xml:space="preserve"> or instructional leaders are unaware of research and promising practices.</w:t>
            </w:r>
          </w:p>
        </w:tc>
        <w:tc>
          <w:tcPr>
            <w:tcW w:w="1989" w:type="dxa"/>
            <w:tcBorders>
              <w:top w:val="single" w:sz="4" w:space="0" w:color="auto"/>
              <w:left w:val="nil"/>
              <w:bottom w:val="single" w:sz="8" w:space="0" w:color="auto"/>
              <w:right w:val="single" w:sz="8" w:space="0" w:color="auto"/>
            </w:tcBorders>
            <w:shd w:val="clear" w:color="auto" w:fill="auto"/>
            <w:hideMark/>
          </w:tcPr>
          <w:p w:rsidR="00102DC3" w:rsidRPr="003542BF" w:rsidRDefault="00102DC3" w:rsidP="00E0278D">
            <w:pPr>
              <w:pStyle w:val="TableText"/>
              <w:rPr>
                <w:b/>
                <w:bCs/>
              </w:rPr>
            </w:pPr>
            <w:r w:rsidRPr="003542BF">
              <w:t xml:space="preserve">Organizational practices, structures, and/or processes exist on paper or are being tried but are not yet fully developed or implemented consistently. For example, the practice may only be implemented by some teachers or with a target group of students or may intermittently be used but is not </w:t>
            </w:r>
            <w:r w:rsidRPr="00B16D88">
              <w:rPr>
                <w:spacing w:val="-4"/>
              </w:rPr>
              <w:t xml:space="preserve">part of a consistent </w:t>
            </w:r>
            <w:r w:rsidRPr="003542BF">
              <w:t>approach. Processes are inconsistent or operate in silos. For example, data might be collected, but only a few people are looking at or effectively using the information.</w:t>
            </w:r>
          </w:p>
        </w:tc>
        <w:tc>
          <w:tcPr>
            <w:tcW w:w="2048" w:type="dxa"/>
            <w:tcBorders>
              <w:top w:val="single" w:sz="4" w:space="0" w:color="auto"/>
              <w:left w:val="nil"/>
              <w:bottom w:val="single" w:sz="8" w:space="0" w:color="auto"/>
              <w:right w:val="single" w:sz="8" w:space="0" w:color="auto"/>
            </w:tcBorders>
            <w:shd w:val="clear" w:color="auto" w:fill="auto"/>
            <w:hideMark/>
          </w:tcPr>
          <w:p w:rsidR="00102DC3" w:rsidRPr="003542BF" w:rsidRDefault="00102DC3" w:rsidP="00E0278D">
            <w:pPr>
              <w:pStyle w:val="TableText"/>
              <w:rPr>
                <w:b/>
                <w:bCs/>
              </w:rPr>
            </w:pPr>
            <w:r w:rsidRPr="003542BF">
              <w:t>Systems are functional, and their structures and processes have been implemented consistently throughout the school; however, either communication between systems may be lacking or systems do not contribute to systemic decision making. For example, an assessment system is in place and data are tracked, but results are not used in collaboration with other systems, such as teacher effectiveness or instructional guidance.</w:t>
            </w:r>
          </w:p>
        </w:tc>
        <w:tc>
          <w:tcPr>
            <w:tcW w:w="1971" w:type="dxa"/>
            <w:tcBorders>
              <w:top w:val="single" w:sz="4" w:space="0" w:color="auto"/>
              <w:left w:val="nil"/>
              <w:bottom w:val="single" w:sz="8" w:space="0" w:color="auto"/>
              <w:right w:val="single" w:sz="8" w:space="0" w:color="auto"/>
            </w:tcBorders>
            <w:shd w:val="clear" w:color="auto" w:fill="auto"/>
            <w:hideMark/>
          </w:tcPr>
          <w:p w:rsidR="00102DC3" w:rsidRPr="003542BF" w:rsidRDefault="00102DC3" w:rsidP="00E0278D">
            <w:pPr>
              <w:pStyle w:val="TableText"/>
              <w:rPr>
                <w:b/>
                <w:bCs/>
              </w:rPr>
            </w:pPr>
            <w:r w:rsidRPr="003542BF">
              <w:t>The organizational practices, structures, and processes are functioning effectively, and timely feedback systems are embedded to identify potential problems and challenges. Feedback systems include progress checks to inform timely course corrections. The practice is embedded into the school culture.</w:t>
            </w:r>
          </w:p>
        </w:tc>
      </w:tr>
    </w:tbl>
    <w:p w:rsidR="008654E7" w:rsidRDefault="008654E7" w:rsidP="00E0278D">
      <w:pPr>
        <w:pStyle w:val="Heading2"/>
      </w:pPr>
    </w:p>
    <w:p w:rsidR="008654E7" w:rsidRDefault="008654E7" w:rsidP="008654E7">
      <w:pPr>
        <w:rPr>
          <w:rFonts w:ascii="Calibri" w:eastAsiaTheme="majorEastAsia" w:hAnsi="Calibri" w:cstheme="majorBidi"/>
          <w:sz w:val="28"/>
          <w:szCs w:val="26"/>
        </w:rPr>
      </w:pPr>
      <w:r>
        <w:br w:type="page"/>
      </w:r>
    </w:p>
    <w:p w:rsidR="005F075E" w:rsidRPr="00AA2852" w:rsidRDefault="005F075E" w:rsidP="00E0278D">
      <w:pPr>
        <w:pStyle w:val="Heading2"/>
      </w:pPr>
      <w:r>
        <w:lastRenderedPageBreak/>
        <w:t>Turnaround Practice Area Implementation Continuum and Coherent Implementation</w:t>
      </w:r>
    </w:p>
    <w:p w:rsidR="00522446" w:rsidRPr="00F218DD" w:rsidRDefault="005F075E" w:rsidP="008654E7">
      <w:pPr>
        <w:pStyle w:val="BodyText"/>
        <w:rPr>
          <w:spacing w:val="-4"/>
        </w:rPr>
      </w:pPr>
      <w:r w:rsidRPr="00F218DD">
        <w:rPr>
          <w:spacing w:val="-4"/>
        </w:rPr>
        <w:t xml:space="preserve">Each of the indicators is in support of the overall turnaround practice area. Evidence from the monitoring site visit will inform decisions about the implementation level of a school within each of these indicators. Then, these indicators will be examined within each turnaround practice as a whole, and a </w:t>
      </w:r>
      <w:r w:rsidR="00522446" w:rsidRPr="00F218DD">
        <w:rPr>
          <w:spacing w:val="-4"/>
        </w:rPr>
        <w:t xml:space="preserve">holistic </w:t>
      </w:r>
      <w:r w:rsidRPr="00F218DD">
        <w:rPr>
          <w:spacing w:val="-4"/>
        </w:rPr>
        <w:t>implementation designation for each turnaround practice will be provided.</w:t>
      </w:r>
      <w:r w:rsidR="00357A60" w:rsidRPr="00F218DD">
        <w:rPr>
          <w:spacing w:val="-4"/>
        </w:rPr>
        <w:t xml:space="preserve"> </w:t>
      </w:r>
      <w:r w:rsidR="00522446" w:rsidRPr="00F218DD">
        <w:rPr>
          <w:spacing w:val="-4"/>
        </w:rPr>
        <w:t xml:space="preserve">The </w:t>
      </w:r>
      <w:r w:rsidR="00357A60" w:rsidRPr="00F218DD">
        <w:rPr>
          <w:spacing w:val="-4"/>
        </w:rPr>
        <w:t>t</w:t>
      </w:r>
      <w:r w:rsidR="00522446" w:rsidRPr="00F218DD">
        <w:rPr>
          <w:spacing w:val="-4"/>
        </w:rPr>
        <w:t xml:space="preserve">urnaround </w:t>
      </w:r>
      <w:r w:rsidR="00357A60" w:rsidRPr="00F218DD">
        <w:rPr>
          <w:spacing w:val="-4"/>
        </w:rPr>
        <w:t>p</w:t>
      </w:r>
      <w:r w:rsidR="00522446" w:rsidRPr="00F218DD">
        <w:rPr>
          <w:spacing w:val="-4"/>
        </w:rPr>
        <w:t xml:space="preserve">ractice </w:t>
      </w:r>
      <w:r w:rsidR="00357A60" w:rsidRPr="00F218DD">
        <w:rPr>
          <w:spacing w:val="-4"/>
        </w:rPr>
        <w:t>a</w:t>
      </w:r>
      <w:r w:rsidR="00522446" w:rsidRPr="00F218DD">
        <w:rPr>
          <w:spacing w:val="-4"/>
        </w:rPr>
        <w:t xml:space="preserve">rea ratings are </w:t>
      </w:r>
      <w:r w:rsidR="00522446" w:rsidRPr="00F218DD">
        <w:rPr>
          <w:i/>
          <w:spacing w:val="-4"/>
        </w:rPr>
        <w:t>holistic</w:t>
      </w:r>
      <w:r w:rsidR="00522446" w:rsidRPr="00F218DD">
        <w:rPr>
          <w:spacing w:val="-4"/>
        </w:rPr>
        <w:t xml:space="preserve"> ratings of the extent to which the indicators within that </w:t>
      </w:r>
      <w:r w:rsidR="00357A60" w:rsidRPr="00F218DD">
        <w:rPr>
          <w:spacing w:val="-4"/>
        </w:rPr>
        <w:t>t</w:t>
      </w:r>
      <w:r w:rsidR="00522446" w:rsidRPr="00F218DD">
        <w:rPr>
          <w:spacing w:val="-4"/>
        </w:rPr>
        <w:t xml:space="preserve">urnaround </w:t>
      </w:r>
      <w:r w:rsidR="00357A60" w:rsidRPr="00F218DD">
        <w:rPr>
          <w:spacing w:val="-4"/>
        </w:rPr>
        <w:t>p</w:t>
      </w:r>
      <w:r w:rsidR="00522446" w:rsidRPr="00F218DD">
        <w:rPr>
          <w:spacing w:val="-4"/>
        </w:rPr>
        <w:t xml:space="preserve">ractice </w:t>
      </w:r>
      <w:r w:rsidR="00357A60" w:rsidRPr="00F218DD">
        <w:rPr>
          <w:spacing w:val="-4"/>
        </w:rPr>
        <w:t>a</w:t>
      </w:r>
      <w:r w:rsidR="00522446" w:rsidRPr="00F218DD">
        <w:rPr>
          <w:spacing w:val="-4"/>
        </w:rPr>
        <w:t xml:space="preserve">rea are coherently implemented. The </w:t>
      </w:r>
      <w:r w:rsidR="00357A60" w:rsidRPr="00F218DD">
        <w:rPr>
          <w:spacing w:val="-4"/>
        </w:rPr>
        <w:t>t</w:t>
      </w:r>
      <w:r w:rsidR="00522446" w:rsidRPr="00F218DD">
        <w:rPr>
          <w:spacing w:val="-4"/>
        </w:rPr>
        <w:t xml:space="preserve">urnaround </w:t>
      </w:r>
      <w:r w:rsidR="00357A60" w:rsidRPr="00F218DD">
        <w:rPr>
          <w:spacing w:val="-4"/>
        </w:rPr>
        <w:t>p</w:t>
      </w:r>
      <w:r w:rsidR="00522446" w:rsidRPr="00F218DD">
        <w:rPr>
          <w:spacing w:val="-4"/>
        </w:rPr>
        <w:t xml:space="preserve">ractice </w:t>
      </w:r>
      <w:r w:rsidR="00357A60" w:rsidRPr="00F218DD">
        <w:rPr>
          <w:spacing w:val="-4"/>
        </w:rPr>
        <w:t>a</w:t>
      </w:r>
      <w:r w:rsidR="00522446" w:rsidRPr="00F218DD">
        <w:rPr>
          <w:spacing w:val="-4"/>
        </w:rPr>
        <w:t xml:space="preserve">rea ratings are not a </w:t>
      </w:r>
      <w:r w:rsidR="00522446" w:rsidRPr="00F218DD">
        <w:rPr>
          <w:i/>
          <w:spacing w:val="-4"/>
        </w:rPr>
        <w:t>sum</w:t>
      </w:r>
      <w:r w:rsidR="00522446" w:rsidRPr="00F218DD">
        <w:rPr>
          <w:spacing w:val="-4"/>
        </w:rPr>
        <w:t xml:space="preserve"> or </w:t>
      </w:r>
      <w:r w:rsidR="00522446" w:rsidRPr="00F218DD">
        <w:rPr>
          <w:i/>
          <w:spacing w:val="-4"/>
        </w:rPr>
        <w:t xml:space="preserve">average </w:t>
      </w:r>
      <w:r w:rsidR="00522446" w:rsidRPr="00F218DD">
        <w:rPr>
          <w:spacing w:val="-4"/>
        </w:rPr>
        <w:t xml:space="preserve">of the indicator ratings within that </w:t>
      </w:r>
      <w:r w:rsidR="00357A60" w:rsidRPr="00F218DD">
        <w:rPr>
          <w:spacing w:val="-4"/>
        </w:rPr>
        <w:t>t</w:t>
      </w:r>
      <w:r w:rsidR="00522446" w:rsidRPr="00F218DD">
        <w:rPr>
          <w:spacing w:val="-4"/>
        </w:rPr>
        <w:t xml:space="preserve">urnaround </w:t>
      </w:r>
      <w:r w:rsidR="00357A60" w:rsidRPr="00F218DD">
        <w:rPr>
          <w:spacing w:val="-4"/>
        </w:rPr>
        <w:t>p</w:t>
      </w:r>
      <w:r w:rsidR="00522446" w:rsidRPr="00F218DD">
        <w:rPr>
          <w:spacing w:val="-4"/>
        </w:rPr>
        <w:t xml:space="preserve">ractice </w:t>
      </w:r>
      <w:r w:rsidR="00357A60" w:rsidRPr="00F218DD">
        <w:rPr>
          <w:spacing w:val="-4"/>
        </w:rPr>
        <w:t>a</w:t>
      </w:r>
      <w:r w:rsidR="00522446" w:rsidRPr="00F218DD">
        <w:rPr>
          <w:spacing w:val="-4"/>
        </w:rPr>
        <w:t xml:space="preserve">rea. </w:t>
      </w:r>
    </w:p>
    <w:p w:rsidR="005F075E" w:rsidRDefault="005F075E" w:rsidP="00522446">
      <w:pPr>
        <w:pStyle w:val="BodyText"/>
        <w:rPr>
          <w:b/>
        </w:rPr>
      </w:pPr>
      <w:r>
        <w:t xml:space="preserve">The continuum for this </w:t>
      </w:r>
      <w:r w:rsidR="00522446">
        <w:t xml:space="preserve">overall </w:t>
      </w:r>
      <w:r>
        <w:t xml:space="preserve">designation is similar to the indicator continuum described </w:t>
      </w:r>
      <w:r w:rsidR="00443AE6">
        <w:t>previously</w:t>
      </w:r>
      <w:r>
        <w:t xml:space="preserve"> but has an additional level</w:t>
      </w:r>
      <w:r w:rsidR="00443AE6">
        <w:t>:</w:t>
      </w:r>
      <w:r>
        <w:t xml:space="preserve"> coherent implementation. When a school is performing at the </w:t>
      </w:r>
      <w:r w:rsidRPr="008654E7">
        <w:rPr>
          <w:i/>
        </w:rPr>
        <w:t>sustaining</w:t>
      </w:r>
      <w:r>
        <w:t xml:space="preserve"> level across the indicators within a turnaround practice area, </w:t>
      </w:r>
      <w:r w:rsidR="005703A7">
        <w:t xml:space="preserve">and these indicators are working together to support one another, </w:t>
      </w:r>
      <w:r w:rsidR="00443AE6">
        <w:t xml:space="preserve">the school </w:t>
      </w:r>
      <w:r>
        <w:t xml:space="preserve">will be designated at the </w:t>
      </w:r>
      <w:r w:rsidRPr="008654E7">
        <w:rPr>
          <w:i/>
        </w:rPr>
        <w:t>coherent implementation</w:t>
      </w:r>
      <w:r>
        <w:t xml:space="preserve"> level for the turnaround practice.</w:t>
      </w:r>
      <w:r w:rsidR="008654E7">
        <w:t xml:space="preserve"> </w:t>
      </w:r>
      <w:r w:rsidR="00522446">
        <w:t xml:space="preserve">A school may be implementing all indicators within a </w:t>
      </w:r>
      <w:r w:rsidR="00443AE6">
        <w:t>t</w:t>
      </w:r>
      <w:r w:rsidR="00522446">
        <w:t xml:space="preserve">urnaround </w:t>
      </w:r>
      <w:r w:rsidR="00443AE6">
        <w:t>p</w:t>
      </w:r>
      <w:r w:rsidR="00522446">
        <w:t xml:space="preserve">ractice </w:t>
      </w:r>
      <w:r w:rsidR="00443AE6">
        <w:t>a</w:t>
      </w:r>
      <w:r w:rsidR="00522446">
        <w:t xml:space="preserve">rea at the </w:t>
      </w:r>
      <w:r w:rsidR="00522446" w:rsidRPr="00D47F4F">
        <w:rPr>
          <w:i/>
        </w:rPr>
        <w:t>sustaining</w:t>
      </w:r>
      <w:r w:rsidR="00522446">
        <w:t xml:space="preserve"> level without yet demonstrating </w:t>
      </w:r>
      <w:r w:rsidR="00522446" w:rsidRPr="00D47F4F">
        <w:rPr>
          <w:i/>
        </w:rPr>
        <w:t>coherent implementation</w:t>
      </w:r>
      <w:r w:rsidR="00522446">
        <w:t xml:space="preserve"> of those indicators, where all indicators are working together to support one another in a way that is meaningful for staff and students.</w:t>
      </w:r>
    </w:p>
    <w:p w:rsidR="005F075E" w:rsidRPr="000462BF" w:rsidRDefault="005F075E" w:rsidP="00E0278D">
      <w:pPr>
        <w:pStyle w:val="TableTitle"/>
      </w:pPr>
      <w:proofErr w:type="gramStart"/>
      <w:r w:rsidRPr="000462BF">
        <w:t xml:space="preserve">Table </w:t>
      </w:r>
      <w:r>
        <w:t>3</w:t>
      </w:r>
      <w:r w:rsidRPr="000462BF">
        <w:t>.</w:t>
      </w:r>
      <w:proofErr w:type="gramEnd"/>
      <w:r w:rsidRPr="000462BF">
        <w:t xml:space="preserve"> Turnaround Practice Area Implementation Continuum</w:t>
      </w:r>
    </w:p>
    <w:tbl>
      <w:tblPr>
        <w:tblW w:w="9360" w:type="dxa"/>
        <w:jc w:val="center"/>
        <w:tblLook w:val="04A0"/>
      </w:tblPr>
      <w:tblGrid>
        <w:gridCol w:w="1927"/>
        <w:gridCol w:w="1809"/>
        <w:gridCol w:w="1898"/>
        <w:gridCol w:w="1769"/>
        <w:gridCol w:w="1957"/>
      </w:tblGrid>
      <w:tr w:rsidR="005F075E" w:rsidRPr="003542BF" w:rsidTr="00B16D88">
        <w:trPr>
          <w:trHeight w:val="415"/>
          <w:jc w:val="center"/>
        </w:trPr>
        <w:tc>
          <w:tcPr>
            <w:tcW w:w="2592"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5F075E" w:rsidRPr="00B714B0" w:rsidRDefault="00BF334E" w:rsidP="00014618">
            <w:pPr>
              <w:pStyle w:val="TableColumnHeadCentered"/>
            </w:pPr>
            <w:r>
              <w:t xml:space="preserve">Limited </w:t>
            </w:r>
            <w:r w:rsidR="005F075E" w:rsidRPr="00B714B0">
              <w:t>Evidence</w:t>
            </w:r>
          </w:p>
        </w:tc>
        <w:tc>
          <w:tcPr>
            <w:tcW w:w="2592"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5F075E" w:rsidRPr="00B714B0" w:rsidRDefault="005F075E" w:rsidP="00014618">
            <w:pPr>
              <w:pStyle w:val="TableColumnHeadCentered"/>
            </w:pPr>
            <w:r w:rsidRPr="00B714B0">
              <w:t>Developing</w:t>
            </w:r>
          </w:p>
        </w:tc>
        <w:tc>
          <w:tcPr>
            <w:tcW w:w="2592"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5F075E" w:rsidRPr="00B714B0" w:rsidRDefault="005F075E" w:rsidP="00014618">
            <w:pPr>
              <w:pStyle w:val="TableColumnHeadCentered"/>
            </w:pPr>
            <w:r w:rsidRPr="00B714B0">
              <w:t>Providing</w:t>
            </w:r>
          </w:p>
        </w:tc>
        <w:tc>
          <w:tcPr>
            <w:tcW w:w="2592"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5F075E" w:rsidRPr="00B714B0" w:rsidRDefault="005F075E" w:rsidP="00014618">
            <w:pPr>
              <w:pStyle w:val="TableColumnHeadCentered"/>
            </w:pPr>
            <w:r w:rsidRPr="00B714B0">
              <w:t>Sustaining</w:t>
            </w:r>
          </w:p>
        </w:tc>
        <w:tc>
          <w:tcPr>
            <w:tcW w:w="2592" w:type="dxa"/>
            <w:tcBorders>
              <w:top w:val="single" w:sz="4" w:space="0" w:color="auto"/>
              <w:left w:val="single" w:sz="4" w:space="0" w:color="auto"/>
              <w:bottom w:val="single" w:sz="4" w:space="0" w:color="auto"/>
              <w:right w:val="single" w:sz="4" w:space="0" w:color="auto"/>
            </w:tcBorders>
            <w:shd w:val="clear" w:color="auto" w:fill="A1BFDF" w:themeFill="text2" w:themeFillTint="66"/>
            <w:vAlign w:val="center"/>
          </w:tcPr>
          <w:p w:rsidR="005F075E" w:rsidRPr="00B714B0" w:rsidRDefault="005F075E" w:rsidP="00014618">
            <w:pPr>
              <w:pStyle w:val="TableColumnHeadCentered"/>
            </w:pPr>
            <w:r>
              <w:t>Coherent Implementation</w:t>
            </w:r>
          </w:p>
        </w:tc>
      </w:tr>
      <w:tr w:rsidR="005F075E" w:rsidRPr="003542BF" w:rsidTr="00B16D88">
        <w:trPr>
          <w:trHeight w:val="2180"/>
          <w:jc w:val="center"/>
        </w:trPr>
        <w:tc>
          <w:tcPr>
            <w:tcW w:w="2592" w:type="dxa"/>
            <w:tcBorders>
              <w:top w:val="single" w:sz="4" w:space="0" w:color="auto"/>
              <w:left w:val="single" w:sz="8" w:space="0" w:color="auto"/>
              <w:bottom w:val="single" w:sz="8" w:space="0" w:color="auto"/>
              <w:right w:val="single" w:sz="8" w:space="0" w:color="auto"/>
            </w:tcBorders>
            <w:shd w:val="clear" w:color="auto" w:fill="auto"/>
            <w:hideMark/>
          </w:tcPr>
          <w:p w:rsidR="00522446" w:rsidRPr="003542BF" w:rsidRDefault="005F075E" w:rsidP="00E0278D">
            <w:pPr>
              <w:pStyle w:val="TableText"/>
              <w:rPr>
                <w:b/>
                <w:bCs/>
              </w:rPr>
            </w:pPr>
            <w:r>
              <w:t xml:space="preserve">Indicators for this turnaround practice area show limited or no evidence of implementation of the </w:t>
            </w:r>
            <w:r w:rsidRPr="003542BF">
              <w:t>organizational practices, structures, and/</w:t>
            </w:r>
            <w:r>
              <w:t>or processes.</w:t>
            </w:r>
          </w:p>
        </w:tc>
        <w:tc>
          <w:tcPr>
            <w:tcW w:w="2592" w:type="dxa"/>
            <w:tcBorders>
              <w:top w:val="single" w:sz="4" w:space="0" w:color="auto"/>
              <w:left w:val="nil"/>
              <w:bottom w:val="single" w:sz="8" w:space="0" w:color="auto"/>
              <w:right w:val="single" w:sz="8" w:space="0" w:color="auto"/>
            </w:tcBorders>
            <w:shd w:val="clear" w:color="auto" w:fill="auto"/>
            <w:hideMark/>
          </w:tcPr>
          <w:p w:rsidR="00522446" w:rsidRPr="003542BF" w:rsidRDefault="005F075E" w:rsidP="00E0278D">
            <w:pPr>
              <w:pStyle w:val="TableText"/>
              <w:rPr>
                <w:b/>
                <w:bCs/>
              </w:rPr>
            </w:pPr>
            <w:r>
              <w:t>Indicators for this turnaround practice area demonstrate that all or most of the o</w:t>
            </w:r>
            <w:r w:rsidRPr="003542BF">
              <w:t xml:space="preserve">rganizational practices, structures, and/or processes </w:t>
            </w:r>
            <w:r>
              <w:t xml:space="preserve">related to this area exist </w:t>
            </w:r>
            <w:r w:rsidRPr="003542BF">
              <w:t>on paper or are being tried but are not yet fully developed or implemented</w:t>
            </w:r>
            <w:r>
              <w:t xml:space="preserve">. </w:t>
            </w:r>
          </w:p>
        </w:tc>
        <w:tc>
          <w:tcPr>
            <w:tcW w:w="2592" w:type="dxa"/>
            <w:tcBorders>
              <w:top w:val="single" w:sz="4" w:space="0" w:color="auto"/>
              <w:left w:val="nil"/>
              <w:bottom w:val="single" w:sz="8" w:space="0" w:color="auto"/>
              <w:right w:val="single" w:sz="4" w:space="0" w:color="auto"/>
            </w:tcBorders>
            <w:shd w:val="clear" w:color="auto" w:fill="auto"/>
            <w:hideMark/>
          </w:tcPr>
          <w:p w:rsidR="005F075E" w:rsidRPr="003542BF" w:rsidRDefault="005F075E" w:rsidP="00E0278D">
            <w:pPr>
              <w:pStyle w:val="TableText"/>
              <w:rPr>
                <w:b/>
                <w:bCs/>
              </w:rPr>
            </w:pPr>
            <w:r>
              <w:t>Indicators for this turnaround practice area demonstrate that related s</w:t>
            </w:r>
            <w:r w:rsidRPr="003542BF">
              <w:t xml:space="preserve">ystems are functional, and their structures and processes </w:t>
            </w:r>
            <w:r>
              <w:t>are</w:t>
            </w:r>
            <w:r w:rsidRPr="003542BF">
              <w:t xml:space="preserve"> implemented consistently throughout the school; however, either communication</w:t>
            </w:r>
            <w:r>
              <w:t xml:space="preserve"> or</w:t>
            </w:r>
            <w:r w:rsidRPr="003542BF">
              <w:t xml:space="preserve"> </w:t>
            </w:r>
            <w:r>
              <w:t>systemic decision making is limited.</w:t>
            </w:r>
          </w:p>
        </w:tc>
        <w:tc>
          <w:tcPr>
            <w:tcW w:w="2592" w:type="dxa"/>
            <w:tcBorders>
              <w:top w:val="single" w:sz="4" w:space="0" w:color="auto"/>
              <w:left w:val="single" w:sz="4" w:space="0" w:color="auto"/>
              <w:bottom w:val="single" w:sz="4" w:space="0" w:color="auto"/>
              <w:right w:val="single" w:sz="4" w:space="0" w:color="auto"/>
            </w:tcBorders>
          </w:tcPr>
          <w:p w:rsidR="005F075E" w:rsidRPr="003542BF" w:rsidRDefault="005F075E" w:rsidP="00E0278D">
            <w:pPr>
              <w:pStyle w:val="TableText"/>
              <w:rPr>
                <w:b/>
                <w:bCs/>
              </w:rPr>
            </w:pPr>
            <w:r>
              <w:t xml:space="preserve">Indicators for this turnaround practice area demonstrate </w:t>
            </w:r>
            <w:r w:rsidRPr="00B16D88">
              <w:rPr>
                <w:spacing w:val="-4"/>
              </w:rPr>
              <w:t xml:space="preserve">that the organizational </w:t>
            </w:r>
            <w:r w:rsidRPr="003542BF">
              <w:t xml:space="preserve">practices, structures, and processes are functioning effectively, and timely feedback systems are embedded to identify potential problems and challenges. </w:t>
            </w:r>
          </w:p>
        </w:tc>
        <w:tc>
          <w:tcPr>
            <w:tcW w:w="2592" w:type="dxa"/>
            <w:tcBorders>
              <w:top w:val="single" w:sz="4" w:space="0" w:color="auto"/>
              <w:left w:val="single" w:sz="4" w:space="0" w:color="auto"/>
              <w:bottom w:val="single" w:sz="8" w:space="0" w:color="auto"/>
              <w:right w:val="single" w:sz="8" w:space="0" w:color="auto"/>
            </w:tcBorders>
            <w:shd w:val="clear" w:color="auto" w:fill="auto"/>
            <w:hideMark/>
          </w:tcPr>
          <w:p w:rsidR="005F075E" w:rsidRPr="003542BF" w:rsidRDefault="005F075E" w:rsidP="00E0278D">
            <w:pPr>
              <w:pStyle w:val="TableText"/>
              <w:rPr>
                <w:b/>
                <w:bCs/>
              </w:rPr>
            </w:pPr>
            <w:r>
              <w:t>The organizational practices across all indicators within a turnaround practice are at the sustaining level and are working together to support one another in a way that is meaningful for staff and students.</w:t>
            </w:r>
          </w:p>
        </w:tc>
      </w:tr>
    </w:tbl>
    <w:p w:rsidR="005F075E" w:rsidRPr="00E25C7E" w:rsidRDefault="005F075E" w:rsidP="00F218DD">
      <w:pPr>
        <w:pStyle w:val="BodyText"/>
        <w:spacing w:before="0"/>
      </w:pPr>
    </w:p>
    <w:p w:rsidR="004777ED" w:rsidRDefault="004777ED" w:rsidP="00F218DD">
      <w:pPr>
        <w:pStyle w:val="Heading1"/>
        <w:spacing w:before="0"/>
        <w:rPr>
          <w:sz w:val="22"/>
        </w:rPr>
        <w:sectPr w:rsidR="004777ED" w:rsidSect="004777ED">
          <w:footerReference w:type="default" r:id="rId8"/>
          <w:headerReference w:type="first" r:id="rId9"/>
          <w:footerReference w:type="first" r:id="rId10"/>
          <w:pgSz w:w="12240" w:h="15840" w:code="1"/>
          <w:pgMar w:top="1440" w:right="1440" w:bottom="1440" w:left="1440" w:header="360" w:footer="720" w:gutter="0"/>
          <w:cols w:space="720"/>
          <w:titlePg/>
          <w:docGrid w:linePitch="360"/>
        </w:sectPr>
      </w:pPr>
    </w:p>
    <w:p w:rsidR="005F075E" w:rsidRPr="00894DEC" w:rsidRDefault="005F075E" w:rsidP="00E0278D">
      <w:pPr>
        <w:pStyle w:val="Heading1"/>
      </w:pPr>
      <w:proofErr w:type="gramStart"/>
      <w:r w:rsidRPr="00894DEC">
        <w:lastRenderedPageBreak/>
        <w:t>Turnaround Practice 1.</w:t>
      </w:r>
      <w:proofErr w:type="gramEnd"/>
      <w:r w:rsidRPr="00894DEC">
        <w:t xml:space="preserve"> Leadership, Shared Responsibility, and Professional Collaboration</w:t>
      </w:r>
    </w:p>
    <w:p w:rsidR="005F075E" w:rsidRPr="00A018D2" w:rsidRDefault="005F075E" w:rsidP="00E0278D">
      <w:pPr>
        <w:pStyle w:val="BodyText"/>
        <w:spacing w:after="240"/>
        <w:rPr>
          <w:rFonts w:ascii="Garamond" w:hAnsi="Garamond"/>
          <w:b/>
          <w:i/>
          <w:sz w:val="22"/>
        </w:rPr>
      </w:pPr>
      <w:r w:rsidRPr="00BB68C0">
        <w:t>The school has established a community of practice through leadership, shared responsibility for all students</w:t>
      </w:r>
      <w:r>
        <w:t>,</w:t>
      </w:r>
      <w:r w:rsidRPr="00BB68C0">
        <w:t xml:space="preserve"> and professional collaboration</w:t>
      </w:r>
      <w:r>
        <w:t>.</w:t>
      </w:r>
      <w:r w:rsidRPr="00A018D2">
        <w:rPr>
          <w:rFonts w:ascii="Garamond" w:hAnsi="Garamond"/>
          <w:sz w:val="22"/>
        </w:rPr>
        <w:t xml:space="preserve"> </w:t>
      </w:r>
    </w:p>
    <w:tbl>
      <w:tblPr>
        <w:tblStyle w:val="AIRTable"/>
        <w:tblW w:w="5000" w:type="pct"/>
        <w:jc w:val="center"/>
        <w:tblLayout w:type="fixed"/>
        <w:tblLook w:val="0620"/>
      </w:tblPr>
      <w:tblGrid>
        <w:gridCol w:w="691"/>
        <w:gridCol w:w="1890"/>
        <w:gridCol w:w="2084"/>
        <w:gridCol w:w="2912"/>
        <w:gridCol w:w="2677"/>
        <w:gridCol w:w="2922"/>
      </w:tblGrid>
      <w:tr w:rsidR="00DC5D7C" w:rsidRPr="00AA7920" w:rsidTr="00DC5D7C">
        <w:trPr>
          <w:cnfStyle w:val="100000000000"/>
          <w:tblHeader/>
          <w:jc w:val="center"/>
        </w:trPr>
        <w:tc>
          <w:tcPr>
            <w:tcW w:w="5000" w:type="pct"/>
            <w:gridSpan w:val="6"/>
            <w:vAlign w:val="center"/>
          </w:tcPr>
          <w:p w:rsidR="00DC5D7C" w:rsidRPr="00AA7920" w:rsidRDefault="00DC5D7C" w:rsidP="00345284">
            <w:pPr>
              <w:pStyle w:val="TableColHeadingCenter"/>
              <w:rPr>
                <w:sz w:val="18"/>
                <w:szCs w:val="18"/>
              </w:rPr>
            </w:pPr>
            <w:r w:rsidRPr="00AA7920">
              <w:rPr>
                <w:sz w:val="18"/>
                <w:szCs w:val="18"/>
              </w:rPr>
              <w:t>Turnaround Practice 1. Leadership, Shared Responsibility, and Professional Collaboration</w:t>
            </w:r>
          </w:p>
        </w:tc>
      </w:tr>
      <w:tr w:rsidR="00DC5D7C" w:rsidRPr="00AA7920" w:rsidTr="00DC5D7C">
        <w:trPr>
          <w:cnfStyle w:val="100000000000"/>
          <w:tblHeader/>
          <w:jc w:val="center"/>
        </w:trPr>
        <w:tc>
          <w:tcPr>
            <w:tcW w:w="262" w:type="pct"/>
            <w:shd w:val="clear" w:color="auto" w:fill="D0DFEF" w:themeFill="text2" w:themeFillTint="33"/>
            <w:vAlign w:val="center"/>
          </w:tcPr>
          <w:p w:rsidR="00DC5D7C" w:rsidRPr="00AA7920" w:rsidRDefault="00DC5D7C" w:rsidP="00C630AF">
            <w:pPr>
              <w:pStyle w:val="TurnaroundTableTextBold"/>
              <w:spacing w:before="40" w:after="40"/>
              <w:jc w:val="center"/>
              <w:rPr>
                <w:color w:val="auto"/>
                <w:sz w:val="18"/>
                <w:szCs w:val="18"/>
              </w:rPr>
            </w:pPr>
          </w:p>
        </w:tc>
        <w:tc>
          <w:tcPr>
            <w:tcW w:w="717" w:type="pct"/>
            <w:shd w:val="clear" w:color="auto" w:fill="D0DFEF" w:themeFill="text2" w:themeFillTint="33"/>
            <w:vAlign w:val="center"/>
          </w:tcPr>
          <w:p w:rsidR="00DC5D7C" w:rsidRPr="00AA7920" w:rsidRDefault="00DC5D7C" w:rsidP="00C630AF">
            <w:pPr>
              <w:pStyle w:val="TableColumnHeadCentered"/>
              <w:rPr>
                <w:sz w:val="18"/>
                <w:szCs w:val="18"/>
              </w:rPr>
            </w:pPr>
            <w:r w:rsidRPr="00AA7920">
              <w:rPr>
                <w:sz w:val="18"/>
                <w:szCs w:val="18"/>
              </w:rPr>
              <w:t>Indicators</w:t>
            </w:r>
          </w:p>
        </w:tc>
        <w:tc>
          <w:tcPr>
            <w:tcW w:w="791" w:type="pct"/>
            <w:shd w:val="clear" w:color="auto" w:fill="D0DFEF" w:themeFill="text2" w:themeFillTint="33"/>
            <w:vAlign w:val="center"/>
          </w:tcPr>
          <w:p w:rsidR="00DC5D7C" w:rsidRPr="00AA7920" w:rsidRDefault="00DC5D7C" w:rsidP="00C630AF">
            <w:pPr>
              <w:pStyle w:val="TableColumnHeadCentered"/>
              <w:rPr>
                <w:sz w:val="18"/>
                <w:szCs w:val="18"/>
              </w:rPr>
            </w:pPr>
            <w:r>
              <w:rPr>
                <w:sz w:val="18"/>
                <w:szCs w:val="18"/>
              </w:rPr>
              <w:t xml:space="preserve">Limited </w:t>
            </w:r>
            <w:r w:rsidRPr="00AA7920">
              <w:rPr>
                <w:sz w:val="18"/>
                <w:szCs w:val="18"/>
              </w:rPr>
              <w:t>Evidence</w:t>
            </w:r>
          </w:p>
        </w:tc>
        <w:tc>
          <w:tcPr>
            <w:tcW w:w="1105" w:type="pct"/>
            <w:shd w:val="clear" w:color="auto" w:fill="D0DFEF" w:themeFill="text2" w:themeFillTint="33"/>
            <w:vAlign w:val="center"/>
          </w:tcPr>
          <w:p w:rsidR="00DC5D7C" w:rsidRPr="00AA7920" w:rsidRDefault="00DC5D7C" w:rsidP="00C630AF">
            <w:pPr>
              <w:pStyle w:val="TableColumnHeadCentered"/>
              <w:rPr>
                <w:sz w:val="18"/>
                <w:szCs w:val="18"/>
              </w:rPr>
            </w:pPr>
            <w:r w:rsidRPr="00AA7920">
              <w:rPr>
                <w:sz w:val="18"/>
                <w:szCs w:val="18"/>
              </w:rPr>
              <w:t>Developing</w:t>
            </w:r>
          </w:p>
        </w:tc>
        <w:tc>
          <w:tcPr>
            <w:tcW w:w="1016" w:type="pct"/>
            <w:shd w:val="clear" w:color="auto" w:fill="D0DFEF" w:themeFill="text2" w:themeFillTint="33"/>
            <w:vAlign w:val="center"/>
          </w:tcPr>
          <w:p w:rsidR="00DC5D7C" w:rsidRPr="00AA7920" w:rsidRDefault="00DC5D7C" w:rsidP="00C630AF">
            <w:pPr>
              <w:pStyle w:val="TableColumnHeadCentered"/>
              <w:rPr>
                <w:sz w:val="18"/>
                <w:szCs w:val="18"/>
              </w:rPr>
            </w:pPr>
            <w:r w:rsidRPr="00AA7920">
              <w:rPr>
                <w:sz w:val="18"/>
                <w:szCs w:val="18"/>
              </w:rPr>
              <w:t>Providing</w:t>
            </w:r>
          </w:p>
        </w:tc>
        <w:tc>
          <w:tcPr>
            <w:tcW w:w="1109" w:type="pct"/>
            <w:shd w:val="clear" w:color="auto" w:fill="D0DFEF" w:themeFill="text2" w:themeFillTint="33"/>
            <w:vAlign w:val="center"/>
          </w:tcPr>
          <w:p w:rsidR="00DC5D7C" w:rsidRPr="00AA7920" w:rsidRDefault="00DC5D7C" w:rsidP="00C630AF">
            <w:pPr>
              <w:pStyle w:val="TableColumnHeadCentered"/>
              <w:rPr>
                <w:sz w:val="18"/>
                <w:szCs w:val="18"/>
              </w:rPr>
            </w:pPr>
            <w:r w:rsidRPr="00AA7920">
              <w:rPr>
                <w:sz w:val="18"/>
                <w:szCs w:val="18"/>
              </w:rPr>
              <w:t>Sustaining</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t>1.1</w:t>
            </w:r>
          </w:p>
        </w:tc>
        <w:tc>
          <w:tcPr>
            <w:tcW w:w="717" w:type="pct"/>
          </w:tcPr>
          <w:p w:rsidR="00DC5D7C" w:rsidRPr="00AA7920" w:rsidRDefault="00DC5D7C" w:rsidP="00C227C5">
            <w:pPr>
              <w:pStyle w:val="TableText"/>
              <w:rPr>
                <w:sz w:val="18"/>
                <w:szCs w:val="18"/>
              </w:rPr>
            </w:pPr>
            <w:r w:rsidRPr="00AA7920">
              <w:rPr>
                <w:sz w:val="18"/>
                <w:szCs w:val="18"/>
              </w:rPr>
              <w:t>Use of Autonomy</w:t>
            </w:r>
          </w:p>
        </w:tc>
        <w:tc>
          <w:tcPr>
            <w:tcW w:w="791" w:type="pct"/>
          </w:tcPr>
          <w:p w:rsidR="00DC5D7C" w:rsidRPr="00AA7920" w:rsidRDefault="00DC5D7C" w:rsidP="00567133">
            <w:pPr>
              <w:pStyle w:val="TableText"/>
              <w:rPr>
                <w:sz w:val="18"/>
                <w:szCs w:val="18"/>
              </w:rPr>
            </w:pPr>
            <w:r w:rsidRPr="00AA7920">
              <w:rPr>
                <w:sz w:val="18"/>
                <w:szCs w:val="18"/>
              </w:rPr>
              <w:t xml:space="preserve">School leaders </w:t>
            </w:r>
            <w:r>
              <w:rPr>
                <w:sz w:val="18"/>
                <w:szCs w:val="18"/>
              </w:rPr>
              <w:br/>
            </w:r>
            <w:r w:rsidRPr="00AA7920">
              <w:rPr>
                <w:sz w:val="18"/>
                <w:szCs w:val="18"/>
              </w:rPr>
              <w:t xml:space="preserve">have </w:t>
            </w:r>
            <w:r>
              <w:rPr>
                <w:sz w:val="18"/>
                <w:szCs w:val="18"/>
              </w:rPr>
              <w:t xml:space="preserve">little to no </w:t>
            </w:r>
            <w:r w:rsidRPr="00AA7920">
              <w:rPr>
                <w:sz w:val="18"/>
                <w:szCs w:val="18"/>
              </w:rPr>
              <w:t>autonomy (e.g., staffing, school schedule) to make decisions about key elements of the school, such as staffing, length of the school day.</w:t>
            </w:r>
          </w:p>
        </w:tc>
        <w:tc>
          <w:tcPr>
            <w:tcW w:w="1105" w:type="pct"/>
          </w:tcPr>
          <w:p w:rsidR="00DC5D7C" w:rsidRPr="00AA7920" w:rsidRDefault="00DC5D7C" w:rsidP="00C227C5">
            <w:pPr>
              <w:pStyle w:val="TableText"/>
              <w:rPr>
                <w:sz w:val="18"/>
                <w:szCs w:val="18"/>
              </w:rPr>
            </w:pPr>
            <w:r w:rsidRPr="00AA7920">
              <w:rPr>
                <w:sz w:val="18"/>
                <w:szCs w:val="18"/>
              </w:rPr>
              <w:t xml:space="preserve">School leaders have some autonomy to make decisions about key elements of the school (e.g., staffing, school schedule) but have not yet used this autonomy or are uncertain how best to use it. </w:t>
            </w:r>
          </w:p>
        </w:tc>
        <w:tc>
          <w:tcPr>
            <w:tcW w:w="1016" w:type="pct"/>
          </w:tcPr>
          <w:p w:rsidR="00DC5D7C" w:rsidRPr="00AA7920" w:rsidRDefault="00DC5D7C" w:rsidP="00C227C5">
            <w:pPr>
              <w:pStyle w:val="TableText"/>
              <w:rPr>
                <w:sz w:val="18"/>
                <w:szCs w:val="18"/>
              </w:rPr>
            </w:pPr>
            <w:r w:rsidRPr="00AA7920">
              <w:rPr>
                <w:sz w:val="18"/>
                <w:szCs w:val="18"/>
              </w:rPr>
              <w:t xml:space="preserve">School leaders have the autonomy (e.g., staffing, school schedule) to make decisions about key elements of the school day and have begun to use this autonomy to make changes in the school. </w:t>
            </w:r>
          </w:p>
        </w:tc>
        <w:tc>
          <w:tcPr>
            <w:tcW w:w="1109" w:type="pct"/>
          </w:tcPr>
          <w:p w:rsidR="00DC5D7C" w:rsidRPr="00AA7920" w:rsidRDefault="00DC5D7C" w:rsidP="00B16D88">
            <w:pPr>
              <w:pStyle w:val="TableText"/>
              <w:rPr>
                <w:sz w:val="18"/>
                <w:szCs w:val="18"/>
              </w:rPr>
            </w:pPr>
            <w:r w:rsidRPr="00AA7920">
              <w:rPr>
                <w:rFonts w:cstheme="minorHAnsi"/>
                <w:sz w:val="18"/>
                <w:szCs w:val="18"/>
              </w:rPr>
              <w:t xml:space="preserve">School leaders use the autonomy </w:t>
            </w:r>
            <w:r w:rsidRPr="00AA7920">
              <w:rPr>
                <w:sz w:val="18"/>
                <w:szCs w:val="18"/>
              </w:rPr>
              <w:t xml:space="preserve">(e.g., staffing, school schedule) </w:t>
            </w:r>
            <w:r w:rsidRPr="00AA7920">
              <w:rPr>
                <w:rFonts w:cstheme="minorHAnsi"/>
                <w:sz w:val="18"/>
                <w:szCs w:val="18"/>
              </w:rPr>
              <w:t xml:space="preserve">and authority to focus work on implementing their </w:t>
            </w:r>
            <w:r>
              <w:rPr>
                <w:rFonts w:cstheme="minorHAnsi"/>
                <w:sz w:val="18"/>
                <w:szCs w:val="18"/>
              </w:rPr>
              <w:t>t</w:t>
            </w:r>
            <w:r w:rsidRPr="00AA7920">
              <w:rPr>
                <w:rFonts w:cstheme="minorHAnsi"/>
                <w:sz w:val="18"/>
                <w:szCs w:val="18"/>
              </w:rPr>
              <w:t xml:space="preserve">urnaround </w:t>
            </w:r>
            <w:r>
              <w:rPr>
                <w:rFonts w:cstheme="minorHAnsi"/>
                <w:sz w:val="18"/>
                <w:szCs w:val="18"/>
              </w:rPr>
              <w:t>p</w:t>
            </w:r>
            <w:r w:rsidRPr="00AA7920">
              <w:rPr>
                <w:rFonts w:cstheme="minorHAnsi"/>
                <w:sz w:val="18"/>
                <w:szCs w:val="18"/>
              </w:rPr>
              <w:t xml:space="preserve">lan </w:t>
            </w:r>
            <w:r>
              <w:rPr>
                <w:rFonts w:cstheme="minorHAnsi"/>
                <w:sz w:val="18"/>
                <w:szCs w:val="18"/>
              </w:rPr>
              <w:t xml:space="preserve">or other improvement efforts </w:t>
            </w:r>
            <w:r w:rsidRPr="00AA7920">
              <w:rPr>
                <w:rFonts w:cstheme="minorHAnsi"/>
                <w:sz w:val="18"/>
                <w:szCs w:val="18"/>
              </w:rPr>
              <w:t>to improve the quality of teaching and learning at the school.</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t>1.2</w:t>
            </w:r>
          </w:p>
        </w:tc>
        <w:tc>
          <w:tcPr>
            <w:tcW w:w="717" w:type="pct"/>
          </w:tcPr>
          <w:p w:rsidR="00DC5D7C" w:rsidRPr="00AA7920" w:rsidRDefault="00DC5D7C" w:rsidP="00C227C5">
            <w:pPr>
              <w:pStyle w:val="TableText"/>
              <w:rPr>
                <w:sz w:val="18"/>
                <w:szCs w:val="18"/>
              </w:rPr>
            </w:pPr>
            <w:r w:rsidRPr="00AA7920">
              <w:rPr>
                <w:sz w:val="18"/>
                <w:szCs w:val="18"/>
              </w:rPr>
              <w:t>High Expectations</w:t>
            </w:r>
            <w:r>
              <w:rPr>
                <w:sz w:val="18"/>
                <w:szCs w:val="18"/>
              </w:rPr>
              <w:t xml:space="preserve"> and Positive Regard</w:t>
            </w:r>
          </w:p>
          <w:p w:rsidR="00DC5D7C" w:rsidRPr="00AA7920" w:rsidRDefault="00DC5D7C" w:rsidP="00AA7920">
            <w:pPr>
              <w:pStyle w:val="TableText"/>
              <w:rPr>
                <w:b/>
                <w:sz w:val="18"/>
                <w:szCs w:val="18"/>
              </w:rPr>
            </w:pPr>
          </w:p>
        </w:tc>
        <w:tc>
          <w:tcPr>
            <w:tcW w:w="791" w:type="pct"/>
          </w:tcPr>
          <w:p w:rsidR="00DC5D7C" w:rsidRPr="00AA7920" w:rsidRDefault="00DC5D7C" w:rsidP="00C227C5">
            <w:pPr>
              <w:pStyle w:val="TableText"/>
              <w:rPr>
                <w:sz w:val="18"/>
                <w:szCs w:val="18"/>
              </w:rPr>
            </w:pPr>
            <w:r w:rsidRPr="00AA7920">
              <w:rPr>
                <w:sz w:val="18"/>
                <w:szCs w:val="18"/>
              </w:rPr>
              <w:t xml:space="preserve">There is </w:t>
            </w:r>
            <w:r>
              <w:rPr>
                <w:sz w:val="18"/>
                <w:szCs w:val="18"/>
              </w:rPr>
              <w:t xml:space="preserve">little to </w:t>
            </w:r>
            <w:r w:rsidRPr="00AA7920">
              <w:rPr>
                <w:sz w:val="18"/>
                <w:szCs w:val="18"/>
              </w:rPr>
              <w:t>no evidence that the school makes high expectations and positive regard between leadership, staff, and students a priority.</w:t>
            </w:r>
          </w:p>
        </w:tc>
        <w:tc>
          <w:tcPr>
            <w:tcW w:w="1105" w:type="pct"/>
          </w:tcPr>
          <w:p w:rsidR="00DC5D7C" w:rsidRPr="00AA7920" w:rsidRDefault="00DC5D7C" w:rsidP="00C227C5">
            <w:pPr>
              <w:pStyle w:val="TableText"/>
              <w:rPr>
                <w:sz w:val="18"/>
                <w:szCs w:val="18"/>
              </w:rPr>
            </w:pPr>
            <w:r w:rsidRPr="00AA7920">
              <w:rPr>
                <w:sz w:val="18"/>
                <w:szCs w:val="18"/>
              </w:rPr>
              <w:t>School leaders understand the importance of high expectations and positive regard between leadership, staff, and students but do not implement any strategies or activities to ensure that these elements are in fact in place.</w:t>
            </w:r>
          </w:p>
        </w:tc>
        <w:tc>
          <w:tcPr>
            <w:tcW w:w="1016" w:type="pct"/>
          </w:tcPr>
          <w:p w:rsidR="00DC5D7C" w:rsidRPr="00AA7920" w:rsidRDefault="00DC5D7C" w:rsidP="0019389A">
            <w:pPr>
              <w:pStyle w:val="TableText"/>
              <w:rPr>
                <w:sz w:val="18"/>
                <w:szCs w:val="18"/>
              </w:rPr>
            </w:pPr>
            <w:r w:rsidRPr="00AA7920">
              <w:rPr>
                <w:sz w:val="18"/>
                <w:szCs w:val="18"/>
              </w:rPr>
              <w:t>School leaders understand the importance of high expectations and positive regard between leadership, staff, and students and implement strategies or activities to ensure that these elements are in fact in place</w:t>
            </w:r>
            <w:r>
              <w:rPr>
                <w:sz w:val="18"/>
                <w:szCs w:val="18"/>
              </w:rPr>
              <w:t>.</w:t>
            </w:r>
          </w:p>
        </w:tc>
        <w:tc>
          <w:tcPr>
            <w:tcW w:w="1109" w:type="pct"/>
          </w:tcPr>
          <w:p w:rsidR="00DC5D7C" w:rsidRPr="000A24CC" w:rsidRDefault="00DC5D7C" w:rsidP="00244281">
            <w:pPr>
              <w:pStyle w:val="TableText"/>
              <w:rPr>
                <w:spacing w:val="-2"/>
                <w:sz w:val="18"/>
                <w:szCs w:val="18"/>
              </w:rPr>
            </w:pPr>
            <w:r w:rsidRPr="000A24CC">
              <w:rPr>
                <w:spacing w:val="-2"/>
                <w:sz w:val="18"/>
                <w:szCs w:val="18"/>
              </w:rPr>
              <w:t>School leaders understand the importance of high expectations and positive regard between leadership, staff, and students and implement strategies or activities to ensure that these elements are in fact in place. A majority of staff believe leadership, staff, and students have high expectations and demonstrate positive regard.</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lastRenderedPageBreak/>
              <w:t>1.3</w:t>
            </w:r>
          </w:p>
        </w:tc>
        <w:tc>
          <w:tcPr>
            <w:tcW w:w="717" w:type="pct"/>
          </w:tcPr>
          <w:p w:rsidR="00DC5D7C" w:rsidRPr="00AA7920" w:rsidRDefault="00DC5D7C" w:rsidP="00C144BB">
            <w:pPr>
              <w:pStyle w:val="TableText"/>
              <w:rPr>
                <w:b/>
                <w:sz w:val="18"/>
                <w:szCs w:val="18"/>
              </w:rPr>
            </w:pPr>
            <w:r w:rsidRPr="00AA7920">
              <w:rPr>
                <w:sz w:val="18"/>
                <w:szCs w:val="18"/>
              </w:rPr>
              <w:t>Vision/</w:t>
            </w:r>
            <w:r>
              <w:rPr>
                <w:sz w:val="18"/>
                <w:szCs w:val="18"/>
              </w:rPr>
              <w:br/>
            </w:r>
            <w:r w:rsidRPr="00AA7920">
              <w:rPr>
                <w:sz w:val="18"/>
                <w:szCs w:val="18"/>
              </w:rPr>
              <w:t>Theory of Action</w:t>
            </w:r>
            <w:r>
              <w:rPr>
                <w:sz w:val="18"/>
                <w:szCs w:val="18"/>
              </w:rPr>
              <w:t xml:space="preserve"> and Buy-In</w:t>
            </w:r>
          </w:p>
        </w:tc>
        <w:tc>
          <w:tcPr>
            <w:tcW w:w="791" w:type="pct"/>
          </w:tcPr>
          <w:p w:rsidR="00DC5D7C" w:rsidRPr="00AA7920" w:rsidRDefault="00DC5D7C" w:rsidP="00621A12">
            <w:pPr>
              <w:pStyle w:val="TableText"/>
              <w:rPr>
                <w:sz w:val="18"/>
                <w:szCs w:val="18"/>
              </w:rPr>
            </w:pPr>
            <w:r w:rsidRPr="00AA7920">
              <w:rPr>
                <w:sz w:val="18"/>
                <w:szCs w:val="18"/>
              </w:rPr>
              <w:t xml:space="preserve">School leaders have </w:t>
            </w:r>
            <w:r>
              <w:rPr>
                <w:sz w:val="18"/>
                <w:szCs w:val="18"/>
              </w:rPr>
              <w:t>a loosely</w:t>
            </w:r>
            <w:r w:rsidRPr="00AA7920">
              <w:rPr>
                <w:sz w:val="18"/>
                <w:szCs w:val="18"/>
              </w:rPr>
              <w:t xml:space="preserve"> defined </w:t>
            </w:r>
            <w:r w:rsidRPr="00AA7920">
              <w:rPr>
                <w:rFonts w:cstheme="minorHAnsi"/>
                <w:sz w:val="18"/>
                <w:szCs w:val="18"/>
              </w:rPr>
              <w:t xml:space="preserve">theory of action or vision along with established goals and interim benchmarks </w:t>
            </w:r>
            <w:r w:rsidRPr="00AA7920">
              <w:rPr>
                <w:sz w:val="18"/>
                <w:szCs w:val="18"/>
              </w:rPr>
              <w:t>to guide dramatic school improvement</w:t>
            </w:r>
            <w:r>
              <w:rPr>
                <w:sz w:val="18"/>
                <w:szCs w:val="18"/>
              </w:rPr>
              <w:t>, but the goals and benchmarks are not used to inform the school’s work</w:t>
            </w:r>
            <w:r w:rsidRPr="00AA7920">
              <w:rPr>
                <w:sz w:val="18"/>
                <w:szCs w:val="18"/>
              </w:rPr>
              <w:t xml:space="preserve">. There is little </w:t>
            </w:r>
            <w:r>
              <w:rPr>
                <w:sz w:val="18"/>
                <w:szCs w:val="18"/>
              </w:rPr>
              <w:t>to</w:t>
            </w:r>
            <w:r w:rsidRPr="00AA7920">
              <w:rPr>
                <w:sz w:val="18"/>
                <w:szCs w:val="18"/>
              </w:rPr>
              <w:t xml:space="preserve"> no sense of urgency or collective responsibility for realizing school improvement.</w:t>
            </w:r>
          </w:p>
        </w:tc>
        <w:tc>
          <w:tcPr>
            <w:tcW w:w="1105" w:type="pct"/>
          </w:tcPr>
          <w:p w:rsidR="00DC5D7C" w:rsidRPr="00596A3F" w:rsidRDefault="00DC5D7C" w:rsidP="00621A12">
            <w:pPr>
              <w:pStyle w:val="TableText"/>
              <w:rPr>
                <w:sz w:val="18"/>
                <w:szCs w:val="18"/>
              </w:rPr>
            </w:pPr>
            <w:r w:rsidRPr="00596A3F">
              <w:rPr>
                <w:sz w:val="18"/>
                <w:szCs w:val="18"/>
              </w:rPr>
              <w:t xml:space="preserve">School leaders have </w:t>
            </w:r>
            <w:r>
              <w:rPr>
                <w:sz w:val="18"/>
                <w:szCs w:val="18"/>
              </w:rPr>
              <w:t xml:space="preserve">a </w:t>
            </w:r>
            <w:r w:rsidRPr="00596A3F">
              <w:rPr>
                <w:sz w:val="18"/>
                <w:szCs w:val="18"/>
              </w:rPr>
              <w:t xml:space="preserve">defined </w:t>
            </w:r>
            <w:r w:rsidRPr="00596A3F">
              <w:rPr>
                <w:rFonts w:cstheme="minorHAnsi"/>
                <w:sz w:val="18"/>
                <w:szCs w:val="18"/>
              </w:rPr>
              <w:t xml:space="preserve">theory of action or vision along with established goals, and interim benchmarks </w:t>
            </w:r>
            <w:r w:rsidRPr="00596A3F">
              <w:rPr>
                <w:sz w:val="18"/>
                <w:szCs w:val="18"/>
              </w:rPr>
              <w:t>have been communicated to some staff. A common sense of urgency and shared ownership for the success of all students exists among some staff and leaders, but not all staff members share this responsibility.</w:t>
            </w:r>
          </w:p>
        </w:tc>
        <w:tc>
          <w:tcPr>
            <w:tcW w:w="1016" w:type="pct"/>
          </w:tcPr>
          <w:p w:rsidR="00DC5D7C" w:rsidRPr="00596A3F" w:rsidRDefault="00DC5D7C" w:rsidP="005B176E">
            <w:pPr>
              <w:pStyle w:val="TableText"/>
              <w:rPr>
                <w:sz w:val="18"/>
                <w:szCs w:val="18"/>
              </w:rPr>
            </w:pPr>
            <w:r w:rsidRPr="00596A3F">
              <w:rPr>
                <w:sz w:val="18"/>
                <w:szCs w:val="18"/>
              </w:rPr>
              <w:t xml:space="preserve">School leaders have a defined and communicated </w:t>
            </w:r>
            <w:r w:rsidRPr="00596A3F">
              <w:rPr>
                <w:rFonts w:cstheme="minorHAnsi"/>
                <w:sz w:val="18"/>
                <w:szCs w:val="18"/>
              </w:rPr>
              <w:t>theory of action or vision along with established goals and interim benchmarks to drive priorities related to turnaround efforts</w:t>
            </w:r>
            <w:r w:rsidRPr="00596A3F">
              <w:rPr>
                <w:sz w:val="18"/>
                <w:szCs w:val="18"/>
              </w:rPr>
              <w:t xml:space="preserve">, </w:t>
            </w:r>
            <w:r>
              <w:rPr>
                <w:sz w:val="18"/>
                <w:szCs w:val="18"/>
              </w:rPr>
              <w:t>and</w:t>
            </w:r>
            <w:r w:rsidRPr="00596A3F">
              <w:rPr>
                <w:sz w:val="18"/>
                <w:szCs w:val="18"/>
              </w:rPr>
              <w:t xml:space="preserve"> these goals and benchmarks are understood </w:t>
            </w:r>
            <w:r>
              <w:rPr>
                <w:sz w:val="18"/>
                <w:szCs w:val="18"/>
              </w:rPr>
              <w:t>and</w:t>
            </w:r>
            <w:r w:rsidRPr="00596A3F">
              <w:rPr>
                <w:sz w:val="18"/>
                <w:szCs w:val="18"/>
              </w:rPr>
              <w:t xml:space="preserve"> implemented consistently</w:t>
            </w:r>
            <w:r>
              <w:rPr>
                <w:sz w:val="18"/>
                <w:szCs w:val="18"/>
              </w:rPr>
              <w:t xml:space="preserve"> by most staff</w:t>
            </w:r>
            <w:r w:rsidRPr="00596A3F">
              <w:rPr>
                <w:sz w:val="18"/>
                <w:szCs w:val="18"/>
              </w:rPr>
              <w:t xml:space="preserve">. A common sense of urgency and purpose for improvement is evident among a majority of staff members, but ownership and responsibility for success of all students </w:t>
            </w:r>
            <w:r>
              <w:rPr>
                <w:sz w:val="18"/>
                <w:szCs w:val="18"/>
              </w:rPr>
              <w:t>may still be</w:t>
            </w:r>
            <w:r w:rsidRPr="00596A3F">
              <w:rPr>
                <w:sz w:val="18"/>
                <w:szCs w:val="18"/>
              </w:rPr>
              <w:t xml:space="preserve"> centralized at the principal or leadership team level.</w:t>
            </w:r>
          </w:p>
        </w:tc>
        <w:tc>
          <w:tcPr>
            <w:tcW w:w="1109" w:type="pct"/>
          </w:tcPr>
          <w:p w:rsidR="00DC5D7C" w:rsidRPr="00AA7920" w:rsidRDefault="00DC5D7C" w:rsidP="00621A12">
            <w:pPr>
              <w:pStyle w:val="TableText"/>
              <w:rPr>
                <w:sz w:val="18"/>
                <w:szCs w:val="18"/>
              </w:rPr>
            </w:pPr>
            <w:r w:rsidRPr="00AA7920">
              <w:rPr>
                <w:rFonts w:cstheme="minorHAnsi"/>
                <w:sz w:val="18"/>
                <w:szCs w:val="18"/>
              </w:rPr>
              <w:t xml:space="preserve">School leaders and </w:t>
            </w:r>
            <w:r>
              <w:rPr>
                <w:rFonts w:cstheme="minorHAnsi"/>
                <w:sz w:val="18"/>
                <w:szCs w:val="18"/>
              </w:rPr>
              <w:t>most</w:t>
            </w:r>
            <w:r w:rsidRPr="00AA7920">
              <w:rPr>
                <w:rFonts w:cstheme="minorHAnsi"/>
                <w:sz w:val="18"/>
                <w:szCs w:val="18"/>
              </w:rPr>
              <w:t xml:space="preserve"> staff members understand the theory of action or vision driving the priorities </w:t>
            </w:r>
            <w:r>
              <w:rPr>
                <w:rFonts w:cstheme="minorHAnsi"/>
                <w:sz w:val="18"/>
                <w:szCs w:val="18"/>
              </w:rPr>
              <w:t>related to turnaround efforts</w:t>
            </w:r>
            <w:r w:rsidRPr="00AA7920">
              <w:rPr>
                <w:rFonts w:cstheme="minorHAnsi"/>
                <w:sz w:val="18"/>
                <w:szCs w:val="18"/>
              </w:rPr>
              <w:t xml:space="preserve">, are familiar with the goals and interim benchmarks used to consistently monitor progress (e.g., at least once a month), and identify and prioritize the next level of work. </w:t>
            </w:r>
            <w:r w:rsidRPr="00AA7920">
              <w:rPr>
                <w:sz w:val="18"/>
                <w:szCs w:val="18"/>
              </w:rPr>
              <w:t xml:space="preserve">A common sense of urgency and ownership for the success of all students is shared among </w:t>
            </w:r>
            <w:r>
              <w:rPr>
                <w:sz w:val="18"/>
                <w:szCs w:val="18"/>
              </w:rPr>
              <w:t>most</w:t>
            </w:r>
            <w:r w:rsidRPr="00AA7920">
              <w:rPr>
                <w:sz w:val="18"/>
                <w:szCs w:val="18"/>
              </w:rPr>
              <w:t xml:space="preserve"> staff, as demonstrated through </w:t>
            </w:r>
            <w:r>
              <w:rPr>
                <w:sz w:val="18"/>
                <w:szCs w:val="18"/>
              </w:rPr>
              <w:t>staff</w:t>
            </w:r>
            <w:r w:rsidRPr="00AA7920">
              <w:rPr>
                <w:sz w:val="18"/>
                <w:szCs w:val="18"/>
              </w:rPr>
              <w:t xml:space="preserve"> discourse and actions.</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t>1.4</w:t>
            </w:r>
          </w:p>
        </w:tc>
        <w:tc>
          <w:tcPr>
            <w:tcW w:w="717" w:type="pct"/>
          </w:tcPr>
          <w:p w:rsidR="00DC5D7C" w:rsidRPr="00AA7920" w:rsidRDefault="00DC5D7C" w:rsidP="00C227C5">
            <w:pPr>
              <w:pStyle w:val="TableText"/>
              <w:rPr>
                <w:b/>
                <w:sz w:val="18"/>
                <w:szCs w:val="18"/>
              </w:rPr>
            </w:pPr>
            <w:r w:rsidRPr="00AA7920">
              <w:rPr>
                <w:sz w:val="18"/>
                <w:szCs w:val="18"/>
              </w:rPr>
              <w:t xml:space="preserve">Monitoring </w:t>
            </w:r>
            <w:r>
              <w:rPr>
                <w:sz w:val="18"/>
                <w:szCs w:val="18"/>
              </w:rPr>
              <w:t xml:space="preserve">Implementation and </w:t>
            </w:r>
            <w:r w:rsidRPr="00AA7920">
              <w:rPr>
                <w:sz w:val="18"/>
                <w:szCs w:val="18"/>
              </w:rPr>
              <w:t>School Progress</w:t>
            </w:r>
          </w:p>
        </w:tc>
        <w:tc>
          <w:tcPr>
            <w:tcW w:w="791" w:type="pct"/>
          </w:tcPr>
          <w:p w:rsidR="00DC5D7C" w:rsidRPr="00AA7920" w:rsidRDefault="00DC5D7C" w:rsidP="005703A7">
            <w:pPr>
              <w:pStyle w:val="TableText"/>
              <w:rPr>
                <w:sz w:val="18"/>
                <w:szCs w:val="18"/>
              </w:rPr>
            </w:pPr>
            <w:r w:rsidRPr="00AA7920">
              <w:rPr>
                <w:sz w:val="18"/>
                <w:szCs w:val="18"/>
              </w:rPr>
              <w:t xml:space="preserve">School leaders </w:t>
            </w:r>
            <w:r>
              <w:rPr>
                <w:sz w:val="18"/>
                <w:szCs w:val="18"/>
              </w:rPr>
              <w:t>rarely</w:t>
            </w:r>
            <w:r w:rsidRPr="00AA7920">
              <w:rPr>
                <w:sz w:val="18"/>
                <w:szCs w:val="18"/>
              </w:rPr>
              <w:t xml:space="preserve"> prioritize </w:t>
            </w:r>
            <w:r>
              <w:rPr>
                <w:sz w:val="18"/>
                <w:szCs w:val="18"/>
              </w:rPr>
              <w:t xml:space="preserve">improvement </w:t>
            </w:r>
            <w:r w:rsidRPr="00AA7920">
              <w:rPr>
                <w:sz w:val="18"/>
                <w:szCs w:val="18"/>
              </w:rPr>
              <w:t xml:space="preserve">initiatives for implementation nor are there processes or protocols in place for systemic implementation. </w:t>
            </w:r>
          </w:p>
        </w:tc>
        <w:tc>
          <w:tcPr>
            <w:tcW w:w="1105" w:type="pct"/>
          </w:tcPr>
          <w:p w:rsidR="00DC5D7C" w:rsidRPr="00AA7920" w:rsidRDefault="00DC5D7C" w:rsidP="0019389A">
            <w:pPr>
              <w:pStyle w:val="TableText"/>
              <w:rPr>
                <w:sz w:val="18"/>
                <w:szCs w:val="18"/>
              </w:rPr>
            </w:pPr>
            <w:r w:rsidRPr="00AA7920">
              <w:rPr>
                <w:sz w:val="18"/>
                <w:szCs w:val="18"/>
              </w:rPr>
              <w:t xml:space="preserve">School leaders prioritize </w:t>
            </w:r>
            <w:r>
              <w:rPr>
                <w:sz w:val="18"/>
                <w:szCs w:val="18"/>
              </w:rPr>
              <w:t xml:space="preserve">improvement </w:t>
            </w:r>
            <w:r w:rsidRPr="00AA7920">
              <w:rPr>
                <w:sz w:val="18"/>
                <w:szCs w:val="18"/>
              </w:rPr>
              <w:t>initiatives for implementation</w:t>
            </w:r>
            <w:r>
              <w:rPr>
                <w:sz w:val="18"/>
                <w:szCs w:val="18"/>
              </w:rPr>
              <w:t>; however, p</w:t>
            </w:r>
            <w:r w:rsidRPr="00AA7920">
              <w:rPr>
                <w:sz w:val="18"/>
                <w:szCs w:val="18"/>
              </w:rPr>
              <w:t xml:space="preserve">rocesses and protocols for systemic implementation are emerging or not well defined. </w:t>
            </w:r>
          </w:p>
        </w:tc>
        <w:tc>
          <w:tcPr>
            <w:tcW w:w="1016" w:type="pct"/>
          </w:tcPr>
          <w:p w:rsidR="00DC5D7C" w:rsidRPr="00AA7920" w:rsidRDefault="00DC5D7C" w:rsidP="00B11411">
            <w:pPr>
              <w:pStyle w:val="TableText"/>
              <w:rPr>
                <w:sz w:val="18"/>
                <w:szCs w:val="18"/>
              </w:rPr>
            </w:pPr>
            <w:r w:rsidRPr="00AA7920">
              <w:rPr>
                <w:sz w:val="18"/>
                <w:szCs w:val="18"/>
              </w:rPr>
              <w:t>School leaders prioritize improvement initiatives; processes and protocols for systemic implementation are well defined. A majority of staff members are aware of the priorities, and some monitoring of these initiatives takes place.</w:t>
            </w:r>
          </w:p>
        </w:tc>
        <w:tc>
          <w:tcPr>
            <w:tcW w:w="1109" w:type="pct"/>
          </w:tcPr>
          <w:p w:rsidR="00DC5D7C" w:rsidRPr="00AA7920" w:rsidRDefault="00DC5D7C" w:rsidP="00F6597E">
            <w:pPr>
              <w:pStyle w:val="TableText"/>
              <w:rPr>
                <w:sz w:val="18"/>
                <w:szCs w:val="18"/>
              </w:rPr>
            </w:pPr>
            <w:r>
              <w:rPr>
                <w:rFonts w:cstheme="minorHAnsi"/>
                <w:sz w:val="18"/>
                <w:szCs w:val="18"/>
              </w:rPr>
              <w:t>School l</w:t>
            </w:r>
            <w:r w:rsidRPr="00AA7920">
              <w:rPr>
                <w:rFonts w:cstheme="minorHAnsi"/>
                <w:sz w:val="18"/>
                <w:szCs w:val="18"/>
              </w:rPr>
              <w:t>eaders are actively engaged in monitoring implementation</w:t>
            </w:r>
            <w:r>
              <w:rPr>
                <w:rFonts w:cstheme="minorHAnsi"/>
                <w:sz w:val="18"/>
                <w:szCs w:val="18"/>
              </w:rPr>
              <w:t xml:space="preserve"> of turnaround efforts</w:t>
            </w:r>
            <w:r w:rsidRPr="00AA7920">
              <w:rPr>
                <w:rFonts w:cstheme="minorHAnsi"/>
                <w:sz w:val="18"/>
                <w:szCs w:val="18"/>
              </w:rPr>
              <w:t xml:space="preserve">, use this information to prioritize initiatives and strategies, communicate progress and challenges </w:t>
            </w:r>
            <w:r>
              <w:rPr>
                <w:rFonts w:cstheme="minorHAnsi"/>
                <w:sz w:val="18"/>
                <w:szCs w:val="18"/>
              </w:rPr>
              <w:t>and seek input from</w:t>
            </w:r>
            <w:r w:rsidRPr="00AA7920">
              <w:rPr>
                <w:rFonts w:cstheme="minorHAnsi"/>
                <w:sz w:val="18"/>
                <w:szCs w:val="18"/>
              </w:rPr>
              <w:t xml:space="preserve"> staff, and continuously and system</w:t>
            </w:r>
            <w:r>
              <w:rPr>
                <w:rFonts w:cstheme="minorHAnsi"/>
                <w:sz w:val="18"/>
                <w:szCs w:val="18"/>
              </w:rPr>
              <w:t>at</w:t>
            </w:r>
            <w:r w:rsidRPr="00AA7920">
              <w:rPr>
                <w:rFonts w:cstheme="minorHAnsi"/>
                <w:sz w:val="18"/>
                <w:szCs w:val="18"/>
              </w:rPr>
              <w:t>ically monitor progress.</w:t>
            </w:r>
          </w:p>
        </w:tc>
      </w:tr>
      <w:tr w:rsidR="00DC5D7C" w:rsidRPr="001211E0" w:rsidTr="00DC5D7C">
        <w:trPr>
          <w:jc w:val="center"/>
        </w:trPr>
        <w:tc>
          <w:tcPr>
            <w:tcW w:w="262" w:type="pct"/>
          </w:tcPr>
          <w:p w:rsidR="00DC5D7C" w:rsidRPr="00596A3F" w:rsidRDefault="00DC5D7C" w:rsidP="00F6597E">
            <w:pPr>
              <w:pStyle w:val="TableColHeadingLeft"/>
              <w:rPr>
                <w:sz w:val="18"/>
                <w:szCs w:val="18"/>
              </w:rPr>
            </w:pPr>
            <w:r w:rsidRPr="00596A3F">
              <w:rPr>
                <w:sz w:val="18"/>
                <w:szCs w:val="18"/>
              </w:rPr>
              <w:lastRenderedPageBreak/>
              <w:t>1.5</w:t>
            </w:r>
            <w:r w:rsidRPr="00596A3F">
              <w:rPr>
                <w:rStyle w:val="FootnoteReference"/>
                <w:sz w:val="18"/>
                <w:szCs w:val="18"/>
              </w:rPr>
              <w:footnoteReference w:id="4"/>
            </w:r>
            <w:r w:rsidRPr="00596A3F">
              <w:rPr>
                <w:sz w:val="18"/>
                <w:szCs w:val="18"/>
              </w:rPr>
              <w:t xml:space="preserve"> </w:t>
            </w:r>
          </w:p>
        </w:tc>
        <w:tc>
          <w:tcPr>
            <w:tcW w:w="717" w:type="pct"/>
          </w:tcPr>
          <w:p w:rsidR="00DC5D7C" w:rsidRPr="00596A3F" w:rsidRDefault="00DC5D7C" w:rsidP="00910C9B">
            <w:pPr>
              <w:pStyle w:val="TableText"/>
              <w:rPr>
                <w:sz w:val="18"/>
                <w:szCs w:val="18"/>
              </w:rPr>
            </w:pPr>
            <w:r w:rsidRPr="00596A3F">
              <w:rPr>
                <w:sz w:val="18"/>
                <w:szCs w:val="18"/>
              </w:rPr>
              <w:t xml:space="preserve">Trusting Relationships </w:t>
            </w:r>
          </w:p>
        </w:tc>
        <w:tc>
          <w:tcPr>
            <w:tcW w:w="791" w:type="pct"/>
          </w:tcPr>
          <w:p w:rsidR="00DC5D7C" w:rsidRPr="001211E0" w:rsidRDefault="00DC5D7C" w:rsidP="00A444DE">
            <w:pPr>
              <w:pStyle w:val="TableText"/>
              <w:rPr>
                <w:sz w:val="18"/>
                <w:szCs w:val="18"/>
              </w:rPr>
            </w:pPr>
            <w:r>
              <w:rPr>
                <w:sz w:val="18"/>
                <w:szCs w:val="18"/>
              </w:rPr>
              <w:t xml:space="preserve">Relationships between teachers and instructional supports (e.g., coaches) are </w:t>
            </w:r>
            <w:r w:rsidRPr="001211E0">
              <w:rPr>
                <w:sz w:val="18"/>
                <w:szCs w:val="18"/>
              </w:rPr>
              <w:t xml:space="preserve">not guided by trust; teachers feel coaching </w:t>
            </w:r>
            <w:r>
              <w:rPr>
                <w:sz w:val="18"/>
                <w:szCs w:val="18"/>
              </w:rPr>
              <w:t xml:space="preserve">and instructional support </w:t>
            </w:r>
            <w:r w:rsidRPr="001211E0">
              <w:rPr>
                <w:sz w:val="18"/>
                <w:szCs w:val="18"/>
              </w:rPr>
              <w:t>is judgmental, and evidence of collaboration among staff is limited.</w:t>
            </w:r>
          </w:p>
        </w:tc>
        <w:tc>
          <w:tcPr>
            <w:tcW w:w="1105" w:type="pct"/>
          </w:tcPr>
          <w:p w:rsidR="00DC5D7C" w:rsidRPr="001211E0" w:rsidRDefault="00DC5D7C" w:rsidP="00596A3F">
            <w:pPr>
              <w:pStyle w:val="TableText"/>
              <w:rPr>
                <w:sz w:val="18"/>
                <w:szCs w:val="18"/>
              </w:rPr>
            </w:pPr>
            <w:r w:rsidRPr="001211E0">
              <w:rPr>
                <w:sz w:val="18"/>
                <w:szCs w:val="18"/>
              </w:rPr>
              <w:t xml:space="preserve">Some </w:t>
            </w:r>
            <w:r>
              <w:rPr>
                <w:sz w:val="18"/>
                <w:szCs w:val="18"/>
              </w:rPr>
              <w:t>relationships between teachers and instructional supports (e.g., coaches) are</w:t>
            </w:r>
            <w:r w:rsidRPr="001211E0">
              <w:rPr>
                <w:sz w:val="18"/>
                <w:szCs w:val="18"/>
              </w:rPr>
              <w:t xml:space="preserve"> guided by trust</w:t>
            </w:r>
            <w:r>
              <w:rPr>
                <w:sz w:val="18"/>
                <w:szCs w:val="18"/>
              </w:rPr>
              <w:t xml:space="preserve">, and some teachers feel instructional support is nonjudgmental, but this is inconsistent throughout the school. </w:t>
            </w:r>
            <w:r w:rsidRPr="001211E0">
              <w:rPr>
                <w:sz w:val="18"/>
                <w:szCs w:val="18"/>
              </w:rPr>
              <w:t>Some groups of teachers may collaborate with colleagues to share strategies, such as developing standards-based units, examining student work, analyzing student performance, and planning appropriate interventions</w:t>
            </w:r>
            <w:r>
              <w:rPr>
                <w:sz w:val="18"/>
                <w:szCs w:val="18"/>
              </w:rPr>
              <w:t>. H</w:t>
            </w:r>
            <w:r w:rsidRPr="001211E0">
              <w:rPr>
                <w:sz w:val="18"/>
                <w:szCs w:val="18"/>
              </w:rPr>
              <w:t>owever</w:t>
            </w:r>
            <w:r>
              <w:rPr>
                <w:sz w:val="18"/>
                <w:szCs w:val="18"/>
              </w:rPr>
              <w:t>,</w:t>
            </w:r>
            <w:r w:rsidRPr="001211E0">
              <w:rPr>
                <w:sz w:val="18"/>
                <w:szCs w:val="18"/>
              </w:rPr>
              <w:t xml:space="preserve"> this is not consistent among all staff. </w:t>
            </w:r>
          </w:p>
        </w:tc>
        <w:tc>
          <w:tcPr>
            <w:tcW w:w="1016" w:type="pct"/>
          </w:tcPr>
          <w:p w:rsidR="00DC5D7C" w:rsidRPr="001211E0" w:rsidRDefault="00DC5D7C" w:rsidP="00384FAB">
            <w:pPr>
              <w:pStyle w:val="TableText"/>
              <w:rPr>
                <w:sz w:val="18"/>
                <w:szCs w:val="18"/>
              </w:rPr>
            </w:pPr>
            <w:r w:rsidRPr="001211E0">
              <w:rPr>
                <w:sz w:val="18"/>
                <w:szCs w:val="18"/>
              </w:rPr>
              <w:t xml:space="preserve">Most </w:t>
            </w:r>
            <w:r>
              <w:rPr>
                <w:sz w:val="18"/>
                <w:szCs w:val="18"/>
              </w:rPr>
              <w:t xml:space="preserve">relationships between teachers and instructional supports (e.g., coaches) are </w:t>
            </w:r>
            <w:r w:rsidRPr="001211E0">
              <w:rPr>
                <w:sz w:val="18"/>
                <w:szCs w:val="18"/>
              </w:rPr>
              <w:t>guided by trust, and</w:t>
            </w:r>
            <w:r>
              <w:rPr>
                <w:sz w:val="18"/>
                <w:szCs w:val="18"/>
              </w:rPr>
              <w:t xml:space="preserve"> most</w:t>
            </w:r>
            <w:r w:rsidRPr="001211E0">
              <w:rPr>
                <w:sz w:val="18"/>
                <w:szCs w:val="18"/>
              </w:rPr>
              <w:t xml:space="preserve"> teachers feel that </w:t>
            </w:r>
            <w:r>
              <w:rPr>
                <w:sz w:val="18"/>
                <w:szCs w:val="18"/>
              </w:rPr>
              <w:t>instructional support is nonjudgmental</w:t>
            </w:r>
            <w:r w:rsidRPr="001211E0">
              <w:rPr>
                <w:sz w:val="18"/>
                <w:szCs w:val="18"/>
              </w:rPr>
              <w:t xml:space="preserve">. </w:t>
            </w:r>
            <w:r>
              <w:rPr>
                <w:sz w:val="18"/>
                <w:szCs w:val="18"/>
              </w:rPr>
              <w:t>There is evidence that most staff at least occasionally use</w:t>
            </w:r>
            <w:r w:rsidRPr="001211E0">
              <w:rPr>
                <w:sz w:val="18"/>
                <w:szCs w:val="18"/>
              </w:rPr>
              <w:t xml:space="preserve"> collegial relationships to share strategies in such work as developing standards-based units, examining student work, analyzing student performance, and planning appropriate interventions.</w:t>
            </w:r>
          </w:p>
        </w:tc>
        <w:tc>
          <w:tcPr>
            <w:tcW w:w="1109" w:type="pct"/>
          </w:tcPr>
          <w:p w:rsidR="00DC5D7C" w:rsidRPr="001211E0" w:rsidRDefault="00DC5D7C" w:rsidP="0064563B">
            <w:pPr>
              <w:pStyle w:val="TableText"/>
              <w:rPr>
                <w:sz w:val="18"/>
                <w:szCs w:val="18"/>
              </w:rPr>
            </w:pPr>
            <w:r>
              <w:rPr>
                <w:sz w:val="18"/>
                <w:szCs w:val="18"/>
              </w:rPr>
              <w:t>Most</w:t>
            </w:r>
            <w:r w:rsidRPr="001211E0">
              <w:rPr>
                <w:sz w:val="18"/>
                <w:szCs w:val="18"/>
              </w:rPr>
              <w:t xml:space="preserve"> staff members share a relational, trust-focused culture </w:t>
            </w:r>
            <w:r>
              <w:rPr>
                <w:sz w:val="18"/>
                <w:szCs w:val="18"/>
              </w:rPr>
              <w:t xml:space="preserve">with each other and their instructional supports (e.g., coaches) </w:t>
            </w:r>
            <w:r w:rsidRPr="001211E0">
              <w:rPr>
                <w:sz w:val="18"/>
                <w:szCs w:val="18"/>
              </w:rPr>
              <w:t>that is solution</w:t>
            </w:r>
            <w:r>
              <w:rPr>
                <w:sz w:val="18"/>
                <w:szCs w:val="18"/>
              </w:rPr>
              <w:t xml:space="preserve"> </w:t>
            </w:r>
            <w:r w:rsidRPr="001211E0">
              <w:rPr>
                <w:sz w:val="18"/>
                <w:szCs w:val="18"/>
              </w:rPr>
              <w:t xml:space="preserve">oriented and focused on improvement as exemplified by </w:t>
            </w:r>
            <w:r>
              <w:rPr>
                <w:sz w:val="18"/>
                <w:szCs w:val="18"/>
              </w:rPr>
              <w:t xml:space="preserve">frequent </w:t>
            </w:r>
            <w:r w:rsidRPr="001211E0">
              <w:rPr>
                <w:sz w:val="18"/>
                <w:szCs w:val="18"/>
              </w:rPr>
              <w:t>collaboration in developing standards-based units, examining student work, analyzing student performance, and planning appropriate interventions.</w:t>
            </w:r>
            <w:r>
              <w:rPr>
                <w:sz w:val="18"/>
                <w:szCs w:val="18"/>
              </w:rPr>
              <w:t xml:space="preserve"> Educators regularly share their strengths and struggles, in the spirit of helping each other continually improve their practice. </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t>1.</w:t>
            </w:r>
            <w:r>
              <w:rPr>
                <w:sz w:val="18"/>
                <w:szCs w:val="18"/>
              </w:rPr>
              <w:t>6</w:t>
            </w:r>
          </w:p>
        </w:tc>
        <w:tc>
          <w:tcPr>
            <w:tcW w:w="717" w:type="pct"/>
          </w:tcPr>
          <w:p w:rsidR="00DC5D7C" w:rsidRPr="00AA7920" w:rsidRDefault="00DC5D7C" w:rsidP="00244281">
            <w:pPr>
              <w:pStyle w:val="TableText"/>
              <w:rPr>
                <w:b/>
                <w:sz w:val="18"/>
                <w:szCs w:val="18"/>
              </w:rPr>
            </w:pPr>
            <w:r>
              <w:rPr>
                <w:sz w:val="18"/>
                <w:szCs w:val="18"/>
              </w:rPr>
              <w:t>Use of Time for Professional Development and Collaboration</w:t>
            </w:r>
          </w:p>
        </w:tc>
        <w:tc>
          <w:tcPr>
            <w:tcW w:w="791" w:type="pct"/>
          </w:tcPr>
          <w:p w:rsidR="00DC5D7C" w:rsidRPr="00AA7920" w:rsidRDefault="00DC5D7C" w:rsidP="001422CB">
            <w:pPr>
              <w:pStyle w:val="TableText"/>
              <w:rPr>
                <w:sz w:val="18"/>
                <w:szCs w:val="18"/>
              </w:rPr>
            </w:pPr>
            <w:r>
              <w:rPr>
                <w:sz w:val="18"/>
                <w:szCs w:val="18"/>
              </w:rPr>
              <w:t>The schedule includes little or no</w:t>
            </w:r>
            <w:r w:rsidRPr="001422CB">
              <w:rPr>
                <w:sz w:val="18"/>
                <w:szCs w:val="18"/>
              </w:rPr>
              <w:t xml:space="preserve"> time for professional development</w:t>
            </w:r>
            <w:r>
              <w:rPr>
                <w:sz w:val="18"/>
                <w:szCs w:val="18"/>
              </w:rPr>
              <w:t xml:space="preserve"> or collaboration between teachers</w:t>
            </w:r>
            <w:r w:rsidRPr="00AA7920">
              <w:rPr>
                <w:sz w:val="18"/>
                <w:szCs w:val="18"/>
              </w:rPr>
              <w:t>.</w:t>
            </w:r>
          </w:p>
        </w:tc>
        <w:tc>
          <w:tcPr>
            <w:tcW w:w="1105" w:type="pct"/>
          </w:tcPr>
          <w:p w:rsidR="00DC5D7C" w:rsidRPr="00AA7920" w:rsidRDefault="00DC5D7C" w:rsidP="00BE3487">
            <w:pPr>
              <w:pStyle w:val="TableText"/>
              <w:rPr>
                <w:sz w:val="18"/>
                <w:szCs w:val="18"/>
              </w:rPr>
            </w:pPr>
            <w:r w:rsidRPr="00AA7920">
              <w:rPr>
                <w:sz w:val="18"/>
                <w:szCs w:val="18"/>
              </w:rPr>
              <w:t xml:space="preserve">The schedule does not </w:t>
            </w:r>
            <w:r w:rsidRPr="001422CB">
              <w:rPr>
                <w:sz w:val="18"/>
                <w:szCs w:val="18"/>
              </w:rPr>
              <w:t>include adequate time for professional development opportunities</w:t>
            </w:r>
            <w:r w:rsidRPr="00AA7920">
              <w:rPr>
                <w:sz w:val="18"/>
                <w:szCs w:val="18"/>
              </w:rPr>
              <w:t>, collaboration time for teachers is limited</w:t>
            </w:r>
            <w:r>
              <w:rPr>
                <w:sz w:val="18"/>
                <w:szCs w:val="18"/>
              </w:rPr>
              <w:t>, and/or the available time is not used effectively to improve teaching and learning</w:t>
            </w:r>
            <w:r w:rsidRPr="00AA7920">
              <w:rPr>
                <w:sz w:val="18"/>
                <w:szCs w:val="18"/>
              </w:rPr>
              <w:t>.</w:t>
            </w:r>
          </w:p>
        </w:tc>
        <w:tc>
          <w:tcPr>
            <w:tcW w:w="1016" w:type="pct"/>
          </w:tcPr>
          <w:p w:rsidR="00DC5D7C" w:rsidRPr="00AA7920" w:rsidRDefault="00DC5D7C" w:rsidP="00945674">
            <w:pPr>
              <w:pStyle w:val="TableText"/>
              <w:rPr>
                <w:color w:val="89AFD7" w:themeColor="text2" w:themeTint="80"/>
                <w:sz w:val="18"/>
                <w:szCs w:val="18"/>
              </w:rPr>
            </w:pPr>
            <w:r w:rsidRPr="001422CB">
              <w:rPr>
                <w:sz w:val="18"/>
                <w:szCs w:val="18"/>
              </w:rPr>
              <w:t>The schedule includes adequate time for professional development opportunities and collaboration for most teachers.</w:t>
            </w:r>
            <w:r>
              <w:rPr>
                <w:sz w:val="18"/>
                <w:szCs w:val="18"/>
              </w:rPr>
              <w:t xml:space="preserve"> Use of time is generally used well to improve teaching and learning.</w:t>
            </w:r>
          </w:p>
        </w:tc>
        <w:tc>
          <w:tcPr>
            <w:tcW w:w="1109" w:type="pct"/>
          </w:tcPr>
          <w:p w:rsidR="00DC5D7C" w:rsidRPr="00AA7920" w:rsidRDefault="00DC5D7C" w:rsidP="003B5754">
            <w:pPr>
              <w:pStyle w:val="TableText"/>
              <w:rPr>
                <w:sz w:val="18"/>
                <w:szCs w:val="18"/>
              </w:rPr>
            </w:pPr>
            <w:r w:rsidRPr="001422CB">
              <w:rPr>
                <w:sz w:val="18"/>
                <w:szCs w:val="18"/>
              </w:rPr>
              <w:t>The schedule includes adequate time for professional development opportunities and collaboration for most teachers.</w:t>
            </w:r>
            <w:r>
              <w:rPr>
                <w:sz w:val="18"/>
                <w:szCs w:val="18"/>
              </w:rPr>
              <w:t xml:space="preserve"> </w:t>
            </w:r>
            <w:r w:rsidRPr="00AA7920">
              <w:rPr>
                <w:sz w:val="18"/>
                <w:szCs w:val="18"/>
              </w:rPr>
              <w:t>The</w:t>
            </w:r>
            <w:r>
              <w:rPr>
                <w:sz w:val="18"/>
                <w:szCs w:val="18"/>
              </w:rPr>
              <w:t>re is a process in place for evaluating the</w:t>
            </w:r>
            <w:r w:rsidRPr="00AA7920">
              <w:rPr>
                <w:sz w:val="18"/>
                <w:szCs w:val="18"/>
              </w:rPr>
              <w:t xml:space="preserve"> schedule based on collected data to maximize opportunities for teacher professional development</w:t>
            </w:r>
            <w:r>
              <w:rPr>
                <w:sz w:val="18"/>
                <w:szCs w:val="18"/>
              </w:rPr>
              <w:t xml:space="preserve"> and ensure it helps all educators continually improve their practice</w:t>
            </w:r>
            <w:r w:rsidRPr="00AA7920">
              <w:rPr>
                <w:sz w:val="18"/>
                <w:szCs w:val="18"/>
              </w:rPr>
              <w:t xml:space="preserve"> (e.g., targeted coaching, peer observations) and collaboration time.</w:t>
            </w:r>
          </w:p>
        </w:tc>
      </w:tr>
      <w:tr w:rsidR="00DC5D7C" w:rsidRPr="00AA7920" w:rsidTr="00DC5D7C">
        <w:trPr>
          <w:jc w:val="center"/>
        </w:trPr>
        <w:tc>
          <w:tcPr>
            <w:tcW w:w="262" w:type="pct"/>
          </w:tcPr>
          <w:p w:rsidR="00DC5D7C" w:rsidRPr="00AA7920" w:rsidRDefault="00DC5D7C" w:rsidP="00C227C5">
            <w:pPr>
              <w:pStyle w:val="TableColHeadingLeft"/>
              <w:rPr>
                <w:sz w:val="18"/>
                <w:szCs w:val="18"/>
              </w:rPr>
            </w:pPr>
            <w:r w:rsidRPr="00AA7920">
              <w:rPr>
                <w:sz w:val="18"/>
                <w:szCs w:val="18"/>
              </w:rPr>
              <w:lastRenderedPageBreak/>
              <w:t>1.7</w:t>
            </w:r>
          </w:p>
        </w:tc>
        <w:tc>
          <w:tcPr>
            <w:tcW w:w="717" w:type="pct"/>
          </w:tcPr>
          <w:p w:rsidR="00DC5D7C" w:rsidRPr="00AA7920" w:rsidRDefault="00DC5D7C" w:rsidP="00C227C5">
            <w:pPr>
              <w:pStyle w:val="TableText"/>
              <w:rPr>
                <w:b/>
                <w:sz w:val="18"/>
                <w:szCs w:val="18"/>
              </w:rPr>
            </w:pPr>
            <w:r w:rsidRPr="00AA7920">
              <w:rPr>
                <w:sz w:val="18"/>
                <w:szCs w:val="18"/>
              </w:rPr>
              <w:t>Communication With Staff</w:t>
            </w:r>
          </w:p>
        </w:tc>
        <w:tc>
          <w:tcPr>
            <w:tcW w:w="791" w:type="pct"/>
          </w:tcPr>
          <w:p w:rsidR="00DC5D7C" w:rsidRPr="00AA7920" w:rsidRDefault="00DC5D7C" w:rsidP="00C227C5">
            <w:pPr>
              <w:pStyle w:val="TableText"/>
              <w:rPr>
                <w:sz w:val="18"/>
                <w:szCs w:val="18"/>
              </w:rPr>
            </w:pPr>
            <w:r w:rsidRPr="00AA7920">
              <w:rPr>
                <w:sz w:val="18"/>
                <w:szCs w:val="18"/>
              </w:rPr>
              <w:t>Structures and opportunities for fostering staff input into school decisions and initiatives are informal, are not well defined, or do not exist.</w:t>
            </w:r>
          </w:p>
        </w:tc>
        <w:tc>
          <w:tcPr>
            <w:tcW w:w="1105" w:type="pct"/>
          </w:tcPr>
          <w:p w:rsidR="00DC5D7C" w:rsidRPr="00AA7920" w:rsidRDefault="00DC5D7C" w:rsidP="00C227C5">
            <w:pPr>
              <w:pStyle w:val="TableText"/>
              <w:rPr>
                <w:sz w:val="18"/>
                <w:szCs w:val="18"/>
              </w:rPr>
            </w:pPr>
            <w:r w:rsidRPr="00AA7920">
              <w:rPr>
                <w:sz w:val="18"/>
                <w:szCs w:val="18"/>
              </w:rPr>
              <w:t>Formal structures and opportunities for fostering staff input into school decisions and initiatives are defined but may not be used to effectively build relationships and two-way communication across staff and school teams.</w:t>
            </w:r>
          </w:p>
        </w:tc>
        <w:tc>
          <w:tcPr>
            <w:tcW w:w="1016" w:type="pct"/>
          </w:tcPr>
          <w:p w:rsidR="00DC5D7C" w:rsidRPr="00AA7920" w:rsidRDefault="00DC5D7C" w:rsidP="00C227C5">
            <w:pPr>
              <w:pStyle w:val="TableText"/>
              <w:rPr>
                <w:sz w:val="18"/>
                <w:szCs w:val="18"/>
              </w:rPr>
            </w:pPr>
            <w:r>
              <w:rPr>
                <w:sz w:val="18"/>
                <w:szCs w:val="18"/>
              </w:rPr>
              <w:t>Formal s</w:t>
            </w:r>
            <w:r w:rsidRPr="00AA7920">
              <w:rPr>
                <w:sz w:val="18"/>
                <w:szCs w:val="18"/>
              </w:rPr>
              <w:t>tructures and opportunities for fostering staff input into school decisions and initiatives are in place and are used effectively to build relationships and two-way communication across staff and school teams.</w:t>
            </w:r>
            <w:r>
              <w:rPr>
                <w:sz w:val="18"/>
                <w:szCs w:val="18"/>
              </w:rPr>
              <w:t xml:space="preserve"> However, there are some barriers to communication between administrators and staff.</w:t>
            </w:r>
            <w:r w:rsidRPr="00AA7920">
              <w:rPr>
                <w:sz w:val="18"/>
                <w:szCs w:val="18"/>
              </w:rPr>
              <w:t xml:space="preserve"> </w:t>
            </w:r>
          </w:p>
        </w:tc>
        <w:tc>
          <w:tcPr>
            <w:tcW w:w="1109" w:type="pct"/>
          </w:tcPr>
          <w:p w:rsidR="00DC5D7C" w:rsidRPr="00AA7920" w:rsidRDefault="00DC5D7C" w:rsidP="00C227C5">
            <w:pPr>
              <w:pStyle w:val="TableText"/>
              <w:rPr>
                <w:sz w:val="18"/>
                <w:szCs w:val="18"/>
              </w:rPr>
            </w:pPr>
            <w:r w:rsidRPr="00AA7920">
              <w:rPr>
                <w:spacing w:val="-2"/>
                <w:sz w:val="18"/>
                <w:szCs w:val="18"/>
              </w:rPr>
              <w:t xml:space="preserve">Formal structures are in place to build effective staff relationships balanced with transparency and open, two-way communication </w:t>
            </w:r>
            <w:r w:rsidRPr="00AA7920">
              <w:rPr>
                <w:sz w:val="18"/>
                <w:szCs w:val="18"/>
              </w:rPr>
              <w:t>across staff and school teams</w:t>
            </w:r>
            <w:r w:rsidRPr="00AA7920">
              <w:rPr>
                <w:spacing w:val="-2"/>
                <w:sz w:val="18"/>
                <w:szCs w:val="18"/>
              </w:rPr>
              <w:t xml:space="preserve"> </w:t>
            </w:r>
            <w:r>
              <w:rPr>
                <w:spacing w:val="-2"/>
                <w:sz w:val="18"/>
                <w:szCs w:val="18"/>
              </w:rPr>
              <w:t xml:space="preserve">and </w:t>
            </w:r>
            <w:r w:rsidRPr="00AA7920">
              <w:rPr>
                <w:spacing w:val="-2"/>
                <w:sz w:val="18"/>
                <w:szCs w:val="18"/>
              </w:rPr>
              <w:t xml:space="preserve">between administrators and staff. </w:t>
            </w:r>
          </w:p>
        </w:tc>
      </w:tr>
      <w:tr w:rsidR="00DC5D7C" w:rsidRPr="001211E0" w:rsidTr="00DC5D7C">
        <w:trPr>
          <w:jc w:val="center"/>
        </w:trPr>
        <w:tc>
          <w:tcPr>
            <w:tcW w:w="262" w:type="pct"/>
          </w:tcPr>
          <w:p w:rsidR="00DC5D7C" w:rsidRDefault="00DC5D7C" w:rsidP="0055747E">
            <w:pPr>
              <w:pStyle w:val="TableColHeadingLeft"/>
              <w:rPr>
                <w:sz w:val="18"/>
                <w:szCs w:val="18"/>
              </w:rPr>
            </w:pPr>
            <w:r>
              <w:rPr>
                <w:sz w:val="18"/>
                <w:szCs w:val="18"/>
              </w:rPr>
              <w:t>1.8</w:t>
            </w:r>
            <w:r>
              <w:rPr>
                <w:rStyle w:val="FootnoteReference"/>
                <w:sz w:val="18"/>
                <w:szCs w:val="18"/>
              </w:rPr>
              <w:footnoteReference w:id="5"/>
            </w:r>
          </w:p>
        </w:tc>
        <w:tc>
          <w:tcPr>
            <w:tcW w:w="717" w:type="pct"/>
          </w:tcPr>
          <w:p w:rsidR="00DC5D7C" w:rsidRPr="001211E0" w:rsidRDefault="00DC5D7C" w:rsidP="00BE3487">
            <w:pPr>
              <w:pStyle w:val="TableText"/>
              <w:rPr>
                <w:sz w:val="18"/>
                <w:szCs w:val="18"/>
              </w:rPr>
            </w:pPr>
            <w:r>
              <w:rPr>
                <w:sz w:val="18"/>
                <w:szCs w:val="18"/>
              </w:rPr>
              <w:t xml:space="preserve">Sustainability </w:t>
            </w:r>
          </w:p>
        </w:tc>
        <w:tc>
          <w:tcPr>
            <w:tcW w:w="791" w:type="pct"/>
          </w:tcPr>
          <w:p w:rsidR="00DC5D7C" w:rsidRPr="001211E0" w:rsidRDefault="00DC5D7C" w:rsidP="00A66315">
            <w:pPr>
              <w:pStyle w:val="TableText"/>
              <w:rPr>
                <w:sz w:val="18"/>
                <w:szCs w:val="18"/>
              </w:rPr>
            </w:pPr>
            <w:r>
              <w:rPr>
                <w:sz w:val="18"/>
                <w:szCs w:val="18"/>
              </w:rPr>
              <w:t>There is little to no evidence that school leadership prioritizes building staff capacity to sustain improvement efforts.</w:t>
            </w:r>
          </w:p>
        </w:tc>
        <w:tc>
          <w:tcPr>
            <w:tcW w:w="1105" w:type="pct"/>
          </w:tcPr>
          <w:p w:rsidR="00DC5D7C" w:rsidRPr="001211E0" w:rsidRDefault="00DC5D7C" w:rsidP="00A66315">
            <w:pPr>
              <w:pStyle w:val="TableText"/>
              <w:rPr>
                <w:sz w:val="18"/>
                <w:szCs w:val="18"/>
              </w:rPr>
            </w:pPr>
            <w:r>
              <w:rPr>
                <w:sz w:val="18"/>
                <w:szCs w:val="18"/>
              </w:rPr>
              <w:t>School leadership is aware of the importance of planning for sustainability. However, there is little to no evidence that improvement efforts will be sustained over time or under new leadership.</w:t>
            </w:r>
          </w:p>
        </w:tc>
        <w:tc>
          <w:tcPr>
            <w:tcW w:w="1016" w:type="pct"/>
          </w:tcPr>
          <w:p w:rsidR="00DC5D7C" w:rsidRPr="001211E0" w:rsidRDefault="00DC5D7C" w:rsidP="00A66315">
            <w:pPr>
              <w:pStyle w:val="TableText"/>
              <w:rPr>
                <w:sz w:val="18"/>
                <w:szCs w:val="18"/>
              </w:rPr>
            </w:pPr>
            <w:r>
              <w:rPr>
                <w:sz w:val="18"/>
                <w:szCs w:val="18"/>
              </w:rPr>
              <w:t>School leadership implements specific strategies (e.g., succession plan, distributed leadership, new funding streams) for ensuring improvement efforts will be sustained over time or under new leadership.</w:t>
            </w:r>
          </w:p>
        </w:tc>
        <w:tc>
          <w:tcPr>
            <w:tcW w:w="1109" w:type="pct"/>
          </w:tcPr>
          <w:p w:rsidR="00DC5D7C" w:rsidRPr="001211E0" w:rsidDel="002B2A6C" w:rsidRDefault="00DC5D7C" w:rsidP="006A5504">
            <w:pPr>
              <w:pStyle w:val="TableText"/>
              <w:rPr>
                <w:sz w:val="18"/>
                <w:szCs w:val="18"/>
              </w:rPr>
            </w:pPr>
            <w:r>
              <w:rPr>
                <w:sz w:val="18"/>
                <w:szCs w:val="18"/>
              </w:rPr>
              <w:t>School leadership implements strategies (e.g., succession plan, distributed leadership, new funding streams) for ensuring improvement efforts will be sustained over time or under new leadership. Majority of staff believe and can describe specific strategies that will enable the school to continue to improve, even with changes in staff or school leadership.</w:t>
            </w:r>
          </w:p>
        </w:tc>
      </w:tr>
    </w:tbl>
    <w:p w:rsidR="000A24CC" w:rsidRDefault="000A24CC" w:rsidP="00384FAB">
      <w:pPr>
        <w:pStyle w:val="Heading1"/>
      </w:pPr>
      <w:bookmarkStart w:id="4" w:name="_Toc342902497"/>
    </w:p>
    <w:p w:rsidR="000A24CC" w:rsidRDefault="000A24CC" w:rsidP="000A24CC">
      <w:pPr>
        <w:rPr>
          <w:rFonts w:ascii="Calibri" w:eastAsiaTheme="majorEastAsia" w:hAnsi="Calibri" w:cstheme="majorBidi"/>
          <w:sz w:val="32"/>
          <w:szCs w:val="36"/>
        </w:rPr>
      </w:pPr>
      <w:r>
        <w:br w:type="page"/>
      </w:r>
    </w:p>
    <w:p w:rsidR="005F075E" w:rsidRDefault="005F075E" w:rsidP="00384FAB">
      <w:pPr>
        <w:pStyle w:val="Heading1"/>
      </w:pPr>
      <w:proofErr w:type="gramStart"/>
      <w:r>
        <w:lastRenderedPageBreak/>
        <w:t>Turnaround Practice</w:t>
      </w:r>
      <w:r w:rsidRPr="00EF5C08">
        <w:t xml:space="preserve"> </w:t>
      </w:r>
      <w:r>
        <w:t>2.</w:t>
      </w:r>
      <w:proofErr w:type="gramEnd"/>
      <w:r>
        <w:t xml:space="preserve"> </w:t>
      </w:r>
      <w:bookmarkEnd w:id="4"/>
      <w:r w:rsidRPr="00E845A9">
        <w:t xml:space="preserve">Intentional </w:t>
      </w:r>
      <w:r>
        <w:t>P</w:t>
      </w:r>
      <w:r w:rsidRPr="00E845A9">
        <w:t xml:space="preserve">ractices for </w:t>
      </w:r>
      <w:r>
        <w:t>I</w:t>
      </w:r>
      <w:r w:rsidRPr="00E845A9">
        <w:t xml:space="preserve">mproving </w:t>
      </w:r>
      <w:r>
        <w:t>I</w:t>
      </w:r>
      <w:r w:rsidRPr="00E845A9">
        <w:t>nstruction</w:t>
      </w:r>
    </w:p>
    <w:p w:rsidR="005F075E" w:rsidRDefault="005F075E" w:rsidP="00E0278D">
      <w:pPr>
        <w:pStyle w:val="BodyText"/>
        <w:spacing w:after="240"/>
      </w:pPr>
      <w:r w:rsidRPr="00331E08">
        <w:t>The school employs intentional practices for improving teacher-specific and student-responsive instruction</w:t>
      </w:r>
      <w:r>
        <w:t>.</w:t>
      </w:r>
    </w:p>
    <w:tbl>
      <w:tblPr>
        <w:tblStyle w:val="AIRTable"/>
        <w:tblW w:w="5000" w:type="pct"/>
        <w:jc w:val="center"/>
        <w:tblLayout w:type="fixed"/>
        <w:tblLook w:val="0620"/>
      </w:tblPr>
      <w:tblGrid>
        <w:gridCol w:w="699"/>
        <w:gridCol w:w="1882"/>
        <w:gridCol w:w="2084"/>
        <w:gridCol w:w="2922"/>
        <w:gridCol w:w="2664"/>
        <w:gridCol w:w="2925"/>
      </w:tblGrid>
      <w:tr w:rsidR="00DC5D7C" w:rsidRPr="00AA7920" w:rsidTr="00DC5D7C">
        <w:trPr>
          <w:cnfStyle w:val="100000000000"/>
          <w:trHeight w:val="432"/>
          <w:tblHeader/>
          <w:jc w:val="center"/>
        </w:trPr>
        <w:tc>
          <w:tcPr>
            <w:tcW w:w="5000" w:type="pct"/>
            <w:gridSpan w:val="6"/>
            <w:vAlign w:val="center"/>
          </w:tcPr>
          <w:p w:rsidR="00DC5D7C" w:rsidRPr="00AA7920" w:rsidRDefault="00DC5D7C" w:rsidP="00345284">
            <w:pPr>
              <w:pStyle w:val="TableColumnHeadCentered"/>
              <w:rPr>
                <w:sz w:val="18"/>
                <w:szCs w:val="18"/>
              </w:rPr>
            </w:pPr>
            <w:r w:rsidRPr="00AA7920">
              <w:rPr>
                <w:sz w:val="18"/>
                <w:szCs w:val="18"/>
              </w:rPr>
              <w:t>Turnaround Practice 2. Intentional Practices for Improving Instruction</w:t>
            </w:r>
          </w:p>
        </w:tc>
      </w:tr>
      <w:tr w:rsidR="00DC5D7C" w:rsidRPr="00AA7920" w:rsidTr="00DC5D7C">
        <w:trPr>
          <w:cnfStyle w:val="100000000000"/>
          <w:trHeight w:val="432"/>
          <w:tblHeader/>
          <w:jc w:val="center"/>
        </w:trPr>
        <w:tc>
          <w:tcPr>
            <w:tcW w:w="265" w:type="pct"/>
            <w:shd w:val="clear" w:color="auto" w:fill="D0DFEF" w:themeFill="text2" w:themeFillTint="33"/>
            <w:vAlign w:val="center"/>
          </w:tcPr>
          <w:p w:rsidR="00DC5D7C" w:rsidRPr="00AA7920" w:rsidRDefault="00DC5D7C" w:rsidP="00C630AF">
            <w:pPr>
              <w:pStyle w:val="TurnaroundTableTextBold"/>
              <w:jc w:val="center"/>
              <w:rPr>
                <w:sz w:val="18"/>
                <w:szCs w:val="18"/>
              </w:rPr>
            </w:pPr>
          </w:p>
        </w:tc>
        <w:tc>
          <w:tcPr>
            <w:tcW w:w="714" w:type="pct"/>
            <w:shd w:val="clear" w:color="auto" w:fill="D0DFEF" w:themeFill="text2" w:themeFillTint="33"/>
            <w:vAlign w:val="center"/>
          </w:tcPr>
          <w:p w:rsidR="00DC5D7C" w:rsidRPr="00AA7920" w:rsidRDefault="00DC5D7C" w:rsidP="00C630AF">
            <w:pPr>
              <w:pStyle w:val="TableColHeadingCenter"/>
              <w:rPr>
                <w:sz w:val="18"/>
                <w:szCs w:val="18"/>
              </w:rPr>
            </w:pPr>
            <w:r w:rsidRPr="00AA7920">
              <w:rPr>
                <w:sz w:val="18"/>
                <w:szCs w:val="18"/>
              </w:rPr>
              <w:t>Indicators</w:t>
            </w:r>
          </w:p>
        </w:tc>
        <w:tc>
          <w:tcPr>
            <w:tcW w:w="791" w:type="pct"/>
            <w:shd w:val="clear" w:color="auto" w:fill="D0DFEF" w:themeFill="text2" w:themeFillTint="33"/>
            <w:vAlign w:val="center"/>
          </w:tcPr>
          <w:p w:rsidR="00DC5D7C" w:rsidRPr="00AA7920" w:rsidRDefault="00DC5D7C" w:rsidP="00C630AF">
            <w:pPr>
              <w:pStyle w:val="TableColHeadingCenter"/>
              <w:rPr>
                <w:sz w:val="18"/>
                <w:szCs w:val="18"/>
              </w:rPr>
            </w:pPr>
            <w:r>
              <w:rPr>
                <w:sz w:val="18"/>
                <w:szCs w:val="18"/>
              </w:rPr>
              <w:t xml:space="preserve">Limited </w:t>
            </w:r>
            <w:r w:rsidRPr="00AA7920">
              <w:rPr>
                <w:sz w:val="18"/>
                <w:szCs w:val="18"/>
              </w:rPr>
              <w:t>Evidence</w:t>
            </w:r>
          </w:p>
        </w:tc>
        <w:tc>
          <w:tcPr>
            <w:tcW w:w="1109" w:type="pct"/>
            <w:shd w:val="clear" w:color="auto" w:fill="D0DFEF" w:themeFill="text2" w:themeFillTint="33"/>
            <w:vAlign w:val="center"/>
          </w:tcPr>
          <w:p w:rsidR="00DC5D7C" w:rsidRPr="00AA7920" w:rsidRDefault="00DC5D7C" w:rsidP="00C630AF">
            <w:pPr>
              <w:pStyle w:val="TableColHeadingCenter"/>
              <w:rPr>
                <w:sz w:val="18"/>
                <w:szCs w:val="18"/>
              </w:rPr>
            </w:pPr>
            <w:r w:rsidRPr="00AA7920">
              <w:rPr>
                <w:sz w:val="18"/>
                <w:szCs w:val="18"/>
              </w:rPr>
              <w:t>Developing</w:t>
            </w:r>
          </w:p>
        </w:tc>
        <w:tc>
          <w:tcPr>
            <w:tcW w:w="1011" w:type="pct"/>
            <w:shd w:val="clear" w:color="auto" w:fill="D0DFEF" w:themeFill="text2" w:themeFillTint="33"/>
            <w:vAlign w:val="center"/>
          </w:tcPr>
          <w:p w:rsidR="00DC5D7C" w:rsidRPr="00AA7920" w:rsidRDefault="00DC5D7C" w:rsidP="00C630AF">
            <w:pPr>
              <w:pStyle w:val="TableColHeadingCenter"/>
              <w:rPr>
                <w:sz w:val="18"/>
                <w:szCs w:val="18"/>
              </w:rPr>
            </w:pPr>
            <w:r w:rsidRPr="00AA7920">
              <w:rPr>
                <w:sz w:val="18"/>
                <w:szCs w:val="18"/>
              </w:rPr>
              <w:t>Providing</w:t>
            </w:r>
          </w:p>
        </w:tc>
        <w:tc>
          <w:tcPr>
            <w:tcW w:w="1110" w:type="pct"/>
            <w:shd w:val="clear" w:color="auto" w:fill="D0DFEF" w:themeFill="text2" w:themeFillTint="33"/>
            <w:vAlign w:val="center"/>
          </w:tcPr>
          <w:p w:rsidR="00DC5D7C" w:rsidRPr="00AA7920" w:rsidRDefault="00DC5D7C" w:rsidP="00C630AF">
            <w:pPr>
              <w:pStyle w:val="TableColHeadingCenter"/>
              <w:rPr>
                <w:sz w:val="18"/>
                <w:szCs w:val="18"/>
              </w:rPr>
            </w:pPr>
            <w:r w:rsidRPr="00AA7920">
              <w:rPr>
                <w:sz w:val="18"/>
                <w:szCs w:val="18"/>
              </w:rPr>
              <w:t>Sustaining</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t>2.1</w:t>
            </w:r>
          </w:p>
        </w:tc>
        <w:tc>
          <w:tcPr>
            <w:tcW w:w="714" w:type="pct"/>
          </w:tcPr>
          <w:p w:rsidR="00DC5D7C" w:rsidRPr="00AA7920" w:rsidRDefault="00DC5D7C" w:rsidP="00C227C5">
            <w:pPr>
              <w:pStyle w:val="TableText"/>
              <w:rPr>
                <w:b/>
                <w:sz w:val="18"/>
                <w:szCs w:val="18"/>
              </w:rPr>
            </w:pPr>
            <w:r w:rsidRPr="00AA7920">
              <w:rPr>
                <w:sz w:val="18"/>
                <w:szCs w:val="18"/>
              </w:rPr>
              <w:t>Instructional Expectations</w:t>
            </w:r>
          </w:p>
        </w:tc>
        <w:tc>
          <w:tcPr>
            <w:tcW w:w="791" w:type="pct"/>
          </w:tcPr>
          <w:p w:rsidR="00DC5D7C" w:rsidRPr="00AA7920" w:rsidRDefault="00DC5D7C" w:rsidP="00C227C5">
            <w:pPr>
              <w:pStyle w:val="TableText"/>
              <w:rPr>
                <w:sz w:val="18"/>
                <w:szCs w:val="18"/>
              </w:rPr>
            </w:pPr>
            <w:r w:rsidRPr="00AA7920">
              <w:rPr>
                <w:sz w:val="18"/>
                <w:szCs w:val="18"/>
              </w:rPr>
              <w:t>Expectations for teachers’ classroom practices are not articulated by school leaders.</w:t>
            </w:r>
          </w:p>
        </w:tc>
        <w:tc>
          <w:tcPr>
            <w:tcW w:w="1109" w:type="pct"/>
          </w:tcPr>
          <w:p w:rsidR="00DC5D7C" w:rsidRPr="00AA7920" w:rsidRDefault="00DC5D7C" w:rsidP="00C227C5">
            <w:pPr>
              <w:pStyle w:val="TableText"/>
              <w:rPr>
                <w:sz w:val="18"/>
                <w:szCs w:val="18"/>
              </w:rPr>
            </w:pPr>
            <w:r w:rsidRPr="00AA7920">
              <w:rPr>
                <w:sz w:val="18"/>
                <w:szCs w:val="18"/>
              </w:rPr>
              <w:t>Expectations for teachers’ classroom practices are communicated, but the expectations may not be specific</w:t>
            </w:r>
            <w:r>
              <w:rPr>
                <w:sz w:val="18"/>
                <w:szCs w:val="18"/>
              </w:rPr>
              <w:t>, are not understood by most staff,</w:t>
            </w:r>
            <w:r w:rsidRPr="00AA7920">
              <w:rPr>
                <w:sz w:val="18"/>
                <w:szCs w:val="18"/>
              </w:rPr>
              <w:t xml:space="preserve"> and</w:t>
            </w:r>
            <w:r>
              <w:rPr>
                <w:sz w:val="18"/>
                <w:szCs w:val="18"/>
              </w:rPr>
              <w:t>/or</w:t>
            </w:r>
            <w:r w:rsidRPr="00AA7920">
              <w:rPr>
                <w:sz w:val="18"/>
                <w:szCs w:val="18"/>
              </w:rPr>
              <w:t xml:space="preserve"> may not be actively monitored by school leaders.</w:t>
            </w:r>
          </w:p>
        </w:tc>
        <w:tc>
          <w:tcPr>
            <w:tcW w:w="1011" w:type="pct"/>
          </w:tcPr>
          <w:p w:rsidR="00DC5D7C" w:rsidRPr="00AA7920" w:rsidRDefault="00DC5D7C" w:rsidP="00C227C5">
            <w:pPr>
              <w:pStyle w:val="TableText"/>
              <w:rPr>
                <w:sz w:val="18"/>
                <w:szCs w:val="18"/>
              </w:rPr>
            </w:pPr>
            <w:r w:rsidRPr="00AA7920">
              <w:rPr>
                <w:sz w:val="18"/>
                <w:szCs w:val="18"/>
              </w:rPr>
              <w:t>Specific or precise expectations for teachers’ classroom practices are consistently communicated</w:t>
            </w:r>
            <w:r>
              <w:rPr>
                <w:sz w:val="18"/>
                <w:szCs w:val="18"/>
              </w:rPr>
              <w:t>, understood by most staff and faculty,</w:t>
            </w:r>
            <w:r w:rsidRPr="00AA7920">
              <w:rPr>
                <w:sz w:val="18"/>
                <w:szCs w:val="18"/>
              </w:rPr>
              <w:t xml:space="preserve"> and monitored throughout the school year. </w:t>
            </w:r>
          </w:p>
        </w:tc>
        <w:tc>
          <w:tcPr>
            <w:tcW w:w="1110" w:type="pct"/>
          </w:tcPr>
          <w:p w:rsidR="00DC5D7C" w:rsidRPr="00AA7920" w:rsidRDefault="00DC5D7C" w:rsidP="00E91C3D">
            <w:pPr>
              <w:pStyle w:val="TableText"/>
              <w:rPr>
                <w:sz w:val="18"/>
                <w:szCs w:val="18"/>
              </w:rPr>
            </w:pPr>
            <w:r w:rsidRPr="00AA7920">
              <w:rPr>
                <w:sz w:val="18"/>
                <w:szCs w:val="18"/>
              </w:rPr>
              <w:t xml:space="preserve">Specific or precise expectations for high-quality instruction are communicated and understood by </w:t>
            </w:r>
            <w:r>
              <w:rPr>
                <w:sz w:val="18"/>
                <w:szCs w:val="18"/>
              </w:rPr>
              <w:t>most</w:t>
            </w:r>
            <w:r w:rsidRPr="00AA7920">
              <w:rPr>
                <w:sz w:val="18"/>
                <w:szCs w:val="18"/>
              </w:rPr>
              <w:t xml:space="preserve"> staff, monitored by school leaders, and consistently implemented by </w:t>
            </w:r>
            <w:r>
              <w:rPr>
                <w:sz w:val="18"/>
                <w:szCs w:val="18"/>
              </w:rPr>
              <w:t>most</w:t>
            </w:r>
            <w:r w:rsidRPr="00AA7920">
              <w:rPr>
                <w:sz w:val="18"/>
                <w:szCs w:val="18"/>
              </w:rPr>
              <w:t xml:space="preserve"> teachers.</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t>2.2</w:t>
            </w:r>
          </w:p>
        </w:tc>
        <w:tc>
          <w:tcPr>
            <w:tcW w:w="714" w:type="pct"/>
          </w:tcPr>
          <w:p w:rsidR="00DC5D7C" w:rsidRPr="00AA7920" w:rsidRDefault="00DC5D7C" w:rsidP="00C227C5">
            <w:pPr>
              <w:pStyle w:val="TableText"/>
              <w:rPr>
                <w:b/>
                <w:sz w:val="18"/>
                <w:szCs w:val="18"/>
              </w:rPr>
            </w:pPr>
            <w:r w:rsidRPr="00AA7920">
              <w:rPr>
                <w:sz w:val="18"/>
                <w:szCs w:val="18"/>
              </w:rPr>
              <w:t>Instructional Schedule</w:t>
            </w:r>
          </w:p>
        </w:tc>
        <w:tc>
          <w:tcPr>
            <w:tcW w:w="791" w:type="pct"/>
          </w:tcPr>
          <w:p w:rsidR="00DC5D7C" w:rsidRPr="00AA7920" w:rsidRDefault="00DC5D7C" w:rsidP="00C227C5">
            <w:pPr>
              <w:pStyle w:val="TableText"/>
              <w:rPr>
                <w:sz w:val="18"/>
                <w:szCs w:val="18"/>
              </w:rPr>
            </w:pPr>
            <w:r w:rsidRPr="00AA7920">
              <w:rPr>
                <w:sz w:val="18"/>
                <w:szCs w:val="18"/>
              </w:rPr>
              <w:t xml:space="preserve">Existing instructional schedules lack consistency or do not include uninterrupted blocks of </w:t>
            </w:r>
            <w:proofErr w:type="spellStart"/>
            <w:r w:rsidRPr="00AA7920">
              <w:rPr>
                <w:sz w:val="18"/>
                <w:szCs w:val="18"/>
              </w:rPr>
              <w:t>schoolwide</w:t>
            </w:r>
            <w:proofErr w:type="spellEnd"/>
            <w:r w:rsidRPr="00AA7920">
              <w:rPr>
                <w:sz w:val="18"/>
                <w:szCs w:val="18"/>
              </w:rPr>
              <w:t xml:space="preserve"> learning time for students.</w:t>
            </w:r>
          </w:p>
        </w:tc>
        <w:tc>
          <w:tcPr>
            <w:tcW w:w="1109" w:type="pct"/>
          </w:tcPr>
          <w:p w:rsidR="00DC5D7C" w:rsidRPr="00AA7920" w:rsidRDefault="00DC5D7C" w:rsidP="006A5504">
            <w:pPr>
              <w:pStyle w:val="TableText"/>
              <w:rPr>
                <w:sz w:val="18"/>
                <w:szCs w:val="18"/>
              </w:rPr>
            </w:pPr>
            <w:r w:rsidRPr="00AA7920">
              <w:rPr>
                <w:sz w:val="18"/>
                <w:szCs w:val="18"/>
              </w:rPr>
              <w:t xml:space="preserve">Existing instructional schedules include uninterrupted blocks of </w:t>
            </w:r>
            <w:proofErr w:type="spellStart"/>
            <w:r w:rsidRPr="00AA7920">
              <w:rPr>
                <w:sz w:val="18"/>
                <w:szCs w:val="18"/>
              </w:rPr>
              <w:t>schoolwide</w:t>
            </w:r>
            <w:proofErr w:type="spellEnd"/>
            <w:r w:rsidRPr="00AA7920">
              <w:rPr>
                <w:sz w:val="18"/>
                <w:szCs w:val="18"/>
              </w:rPr>
              <w:t xml:space="preserve"> learning time. </w:t>
            </w:r>
            <w:r>
              <w:rPr>
                <w:sz w:val="18"/>
                <w:szCs w:val="18"/>
              </w:rPr>
              <w:t xml:space="preserve">However, </w:t>
            </w:r>
            <w:r w:rsidRPr="00AA7920">
              <w:rPr>
                <w:sz w:val="18"/>
                <w:szCs w:val="18"/>
              </w:rPr>
              <w:t xml:space="preserve">instructional support staff are </w:t>
            </w:r>
            <w:r>
              <w:rPr>
                <w:sz w:val="18"/>
                <w:szCs w:val="18"/>
              </w:rPr>
              <w:t xml:space="preserve">not </w:t>
            </w:r>
            <w:r w:rsidRPr="00AA7920">
              <w:rPr>
                <w:sz w:val="18"/>
                <w:szCs w:val="18"/>
              </w:rPr>
              <w:t>coordinated and aligned across grade levels and content areas to provid</w:t>
            </w:r>
            <w:r>
              <w:rPr>
                <w:sz w:val="18"/>
                <w:szCs w:val="18"/>
              </w:rPr>
              <w:t>e</w:t>
            </w:r>
            <w:r w:rsidRPr="00AA7920">
              <w:rPr>
                <w:sz w:val="18"/>
                <w:szCs w:val="18"/>
              </w:rPr>
              <w:t xml:space="preserve"> students with differentiated access to high-quality core instruction</w:t>
            </w:r>
            <w:r>
              <w:rPr>
                <w:sz w:val="18"/>
                <w:szCs w:val="18"/>
              </w:rPr>
              <w:t>.</w:t>
            </w:r>
          </w:p>
        </w:tc>
        <w:tc>
          <w:tcPr>
            <w:tcW w:w="1011" w:type="pct"/>
          </w:tcPr>
          <w:p w:rsidR="00DC5D7C" w:rsidRPr="00AA7920" w:rsidRDefault="00DC5D7C" w:rsidP="00C227C5">
            <w:pPr>
              <w:pStyle w:val="TableText"/>
              <w:rPr>
                <w:sz w:val="18"/>
                <w:szCs w:val="18"/>
              </w:rPr>
            </w:pPr>
            <w:r w:rsidRPr="00AA7920">
              <w:rPr>
                <w:sz w:val="18"/>
                <w:szCs w:val="18"/>
              </w:rPr>
              <w:t xml:space="preserve">Existing instructional schedules include uninterrupted blocks of </w:t>
            </w:r>
            <w:proofErr w:type="spellStart"/>
            <w:r w:rsidRPr="00AA7920">
              <w:rPr>
                <w:sz w:val="18"/>
                <w:szCs w:val="18"/>
              </w:rPr>
              <w:t>schoolwide</w:t>
            </w:r>
            <w:proofErr w:type="spellEnd"/>
            <w:r w:rsidRPr="00AA7920">
              <w:rPr>
                <w:sz w:val="18"/>
                <w:szCs w:val="18"/>
              </w:rPr>
              <w:t xml:space="preserve"> learning time. Content instruction and instructional support staff are coordinated or systematically organized and aligned across grade levels and content areas. </w:t>
            </w:r>
          </w:p>
        </w:tc>
        <w:tc>
          <w:tcPr>
            <w:tcW w:w="1110" w:type="pct"/>
          </w:tcPr>
          <w:p w:rsidR="00DC5D7C" w:rsidRPr="000A24CC" w:rsidRDefault="00DC5D7C" w:rsidP="00083CCB">
            <w:pPr>
              <w:pStyle w:val="TableText"/>
              <w:rPr>
                <w:spacing w:val="-2"/>
                <w:sz w:val="18"/>
                <w:szCs w:val="18"/>
              </w:rPr>
            </w:pPr>
            <w:r w:rsidRPr="000A24CC">
              <w:rPr>
                <w:spacing w:val="-2"/>
                <w:sz w:val="18"/>
                <w:szCs w:val="18"/>
              </w:rPr>
              <w:t>Instructional schedules are developed in collaboration with teachers and ensure that instructional support staff are coordinated and aligned across grade levels and content areas to provide students with differentiated access to high-quality core instruction. There is an effective process in place for evaluating the schedule based on collected data related to the quality of instruction and student needs across grade levels and content areas.</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lastRenderedPageBreak/>
              <w:t>2.3</w:t>
            </w:r>
          </w:p>
        </w:tc>
        <w:tc>
          <w:tcPr>
            <w:tcW w:w="714" w:type="pct"/>
          </w:tcPr>
          <w:p w:rsidR="00DC5D7C" w:rsidRPr="00AA7920" w:rsidRDefault="00DC5D7C" w:rsidP="00083CCB">
            <w:pPr>
              <w:pStyle w:val="TableText"/>
              <w:rPr>
                <w:sz w:val="18"/>
                <w:szCs w:val="18"/>
              </w:rPr>
            </w:pPr>
            <w:r>
              <w:rPr>
                <w:sz w:val="18"/>
                <w:szCs w:val="18"/>
              </w:rPr>
              <w:t xml:space="preserve">Identifying and Addressing </w:t>
            </w:r>
            <w:r w:rsidRPr="00AA7920">
              <w:rPr>
                <w:sz w:val="18"/>
                <w:szCs w:val="18"/>
              </w:rPr>
              <w:t xml:space="preserve">Student </w:t>
            </w:r>
            <w:r>
              <w:rPr>
                <w:sz w:val="18"/>
                <w:szCs w:val="18"/>
              </w:rPr>
              <w:t>Academic</w:t>
            </w:r>
            <w:r w:rsidRPr="00AA7920">
              <w:rPr>
                <w:sz w:val="18"/>
                <w:szCs w:val="18"/>
              </w:rPr>
              <w:t xml:space="preserve"> Needs </w:t>
            </w:r>
          </w:p>
        </w:tc>
        <w:tc>
          <w:tcPr>
            <w:tcW w:w="791" w:type="pct"/>
          </w:tcPr>
          <w:p w:rsidR="00DC5D7C" w:rsidRPr="00AA7920" w:rsidRDefault="00DC5D7C" w:rsidP="000539BA">
            <w:pPr>
              <w:pStyle w:val="TableText"/>
              <w:rPr>
                <w:sz w:val="18"/>
                <w:szCs w:val="18"/>
              </w:rPr>
            </w:pPr>
            <w:r w:rsidRPr="00AA7920">
              <w:rPr>
                <w:sz w:val="18"/>
                <w:szCs w:val="18"/>
              </w:rPr>
              <w:t xml:space="preserve">No formal data collection process is in place for identifying </w:t>
            </w:r>
            <w:r>
              <w:rPr>
                <w:sz w:val="18"/>
                <w:szCs w:val="18"/>
              </w:rPr>
              <w:t xml:space="preserve">individual </w:t>
            </w:r>
            <w:r w:rsidRPr="00AA7920">
              <w:rPr>
                <w:sz w:val="18"/>
                <w:szCs w:val="18"/>
              </w:rPr>
              <w:t>students</w:t>
            </w:r>
            <w:r>
              <w:rPr>
                <w:sz w:val="18"/>
                <w:szCs w:val="18"/>
              </w:rPr>
              <w:t>’</w:t>
            </w:r>
            <w:r w:rsidRPr="00AA7920">
              <w:rPr>
                <w:sz w:val="18"/>
                <w:szCs w:val="18"/>
              </w:rPr>
              <w:t xml:space="preserve"> </w:t>
            </w:r>
            <w:r>
              <w:rPr>
                <w:sz w:val="18"/>
                <w:szCs w:val="18"/>
              </w:rPr>
              <w:t xml:space="preserve">academic </w:t>
            </w:r>
            <w:r w:rsidRPr="00AA7920">
              <w:rPr>
                <w:sz w:val="18"/>
                <w:szCs w:val="18"/>
              </w:rPr>
              <w:t xml:space="preserve">needs. Specific protocols for using data and identifying actions to address student </w:t>
            </w:r>
            <w:r>
              <w:rPr>
                <w:sz w:val="18"/>
                <w:szCs w:val="18"/>
              </w:rPr>
              <w:t>academic</w:t>
            </w:r>
            <w:r w:rsidRPr="00AA7920">
              <w:rPr>
                <w:sz w:val="18"/>
                <w:szCs w:val="18"/>
              </w:rPr>
              <w:t xml:space="preserve"> needs are not in place.</w:t>
            </w:r>
          </w:p>
        </w:tc>
        <w:tc>
          <w:tcPr>
            <w:tcW w:w="1109" w:type="pct"/>
          </w:tcPr>
          <w:p w:rsidR="00DC5D7C" w:rsidRPr="00AA7920" w:rsidRDefault="00DC5D7C" w:rsidP="000539BA">
            <w:pPr>
              <w:pStyle w:val="TableText"/>
              <w:rPr>
                <w:sz w:val="18"/>
                <w:szCs w:val="18"/>
              </w:rPr>
            </w:pPr>
            <w:r w:rsidRPr="00AA7920">
              <w:rPr>
                <w:sz w:val="18"/>
                <w:szCs w:val="18"/>
              </w:rPr>
              <w:t xml:space="preserve">Formal strategies and processes (e.g., </w:t>
            </w:r>
            <w:r>
              <w:rPr>
                <w:sz w:val="18"/>
                <w:szCs w:val="18"/>
              </w:rPr>
              <w:t>instructional leadership team</w:t>
            </w:r>
            <w:r w:rsidRPr="00AA7920">
              <w:rPr>
                <w:sz w:val="18"/>
                <w:szCs w:val="18"/>
              </w:rPr>
              <w:t xml:space="preserve">, collaborative planning, </w:t>
            </w:r>
            <w:proofErr w:type="gramStart"/>
            <w:r w:rsidRPr="00AA7920">
              <w:rPr>
                <w:sz w:val="18"/>
                <w:szCs w:val="18"/>
              </w:rPr>
              <w:t>professional</w:t>
            </w:r>
            <w:proofErr w:type="gramEnd"/>
            <w:r w:rsidRPr="00AA7920">
              <w:rPr>
                <w:sz w:val="18"/>
                <w:szCs w:val="18"/>
              </w:rPr>
              <w:t xml:space="preserve"> learning communities) are in place</w:t>
            </w:r>
            <w:r>
              <w:rPr>
                <w:sz w:val="18"/>
                <w:szCs w:val="18"/>
              </w:rPr>
              <w:t>,</w:t>
            </w:r>
            <w:r w:rsidRPr="00AA7920">
              <w:rPr>
                <w:sz w:val="18"/>
                <w:szCs w:val="18"/>
              </w:rPr>
              <w:t xml:space="preserve"> with protocols for using data and identifying actions to address </w:t>
            </w:r>
            <w:r>
              <w:rPr>
                <w:sz w:val="18"/>
                <w:szCs w:val="18"/>
              </w:rPr>
              <w:t xml:space="preserve">individual </w:t>
            </w:r>
            <w:r w:rsidRPr="00AA7920">
              <w:rPr>
                <w:sz w:val="18"/>
                <w:szCs w:val="18"/>
              </w:rPr>
              <w:t>student</w:t>
            </w:r>
            <w:r>
              <w:rPr>
                <w:sz w:val="18"/>
                <w:szCs w:val="18"/>
              </w:rPr>
              <w:t>s’</w:t>
            </w:r>
            <w:r w:rsidRPr="00AA7920">
              <w:rPr>
                <w:sz w:val="18"/>
                <w:szCs w:val="18"/>
              </w:rPr>
              <w:t xml:space="preserve"> </w:t>
            </w:r>
            <w:r>
              <w:rPr>
                <w:sz w:val="18"/>
                <w:szCs w:val="18"/>
              </w:rPr>
              <w:t xml:space="preserve">academic </w:t>
            </w:r>
            <w:r w:rsidRPr="00AA7920">
              <w:rPr>
                <w:sz w:val="18"/>
                <w:szCs w:val="18"/>
              </w:rPr>
              <w:t>needs</w:t>
            </w:r>
            <w:r>
              <w:rPr>
                <w:sz w:val="18"/>
                <w:szCs w:val="18"/>
              </w:rPr>
              <w:t>. However</w:t>
            </w:r>
            <w:r w:rsidRPr="00AA7920">
              <w:rPr>
                <w:sz w:val="18"/>
                <w:szCs w:val="18"/>
              </w:rPr>
              <w:t>, the</w:t>
            </w:r>
            <w:r>
              <w:rPr>
                <w:sz w:val="18"/>
                <w:szCs w:val="18"/>
              </w:rPr>
              <w:t xml:space="preserve"> protocols</w:t>
            </w:r>
            <w:r w:rsidRPr="00AA7920">
              <w:rPr>
                <w:sz w:val="18"/>
                <w:szCs w:val="18"/>
              </w:rPr>
              <w:t xml:space="preserve"> may not be consistently used or followed.</w:t>
            </w:r>
          </w:p>
        </w:tc>
        <w:tc>
          <w:tcPr>
            <w:tcW w:w="1011" w:type="pct"/>
          </w:tcPr>
          <w:p w:rsidR="00DC5D7C" w:rsidRPr="00AA7920" w:rsidRDefault="00DC5D7C" w:rsidP="000539BA">
            <w:pPr>
              <w:pStyle w:val="TableText"/>
              <w:rPr>
                <w:sz w:val="18"/>
                <w:szCs w:val="18"/>
              </w:rPr>
            </w:pPr>
            <w:r w:rsidRPr="00AA7920">
              <w:rPr>
                <w:sz w:val="18"/>
                <w:szCs w:val="18"/>
              </w:rPr>
              <w:t xml:space="preserve">Formal strategies and processes (e.g., </w:t>
            </w:r>
            <w:r>
              <w:rPr>
                <w:sz w:val="18"/>
                <w:szCs w:val="18"/>
              </w:rPr>
              <w:t>instructional leadership team</w:t>
            </w:r>
            <w:r w:rsidRPr="00AA7920">
              <w:rPr>
                <w:sz w:val="18"/>
                <w:szCs w:val="18"/>
              </w:rPr>
              <w:t xml:space="preserve">, collaborative planning, </w:t>
            </w:r>
            <w:proofErr w:type="gramStart"/>
            <w:r>
              <w:rPr>
                <w:sz w:val="18"/>
                <w:szCs w:val="18"/>
              </w:rPr>
              <w:t>professional</w:t>
            </w:r>
            <w:proofErr w:type="gramEnd"/>
            <w:r>
              <w:rPr>
                <w:sz w:val="18"/>
                <w:szCs w:val="18"/>
              </w:rPr>
              <w:t xml:space="preserve"> learning communities</w:t>
            </w:r>
            <w:r w:rsidRPr="00AA7920">
              <w:rPr>
                <w:sz w:val="18"/>
                <w:szCs w:val="18"/>
              </w:rPr>
              <w:t xml:space="preserve">) and protocols for using data and identifying actions to address </w:t>
            </w:r>
            <w:r>
              <w:rPr>
                <w:sz w:val="18"/>
                <w:szCs w:val="18"/>
              </w:rPr>
              <w:t xml:space="preserve">individual </w:t>
            </w:r>
            <w:r w:rsidRPr="00AA7920">
              <w:rPr>
                <w:sz w:val="18"/>
                <w:szCs w:val="18"/>
              </w:rPr>
              <w:t>student</w:t>
            </w:r>
            <w:r>
              <w:rPr>
                <w:sz w:val="18"/>
                <w:szCs w:val="18"/>
              </w:rPr>
              <w:t>s’</w:t>
            </w:r>
            <w:r w:rsidRPr="00AA7920">
              <w:rPr>
                <w:sz w:val="18"/>
                <w:szCs w:val="18"/>
              </w:rPr>
              <w:t xml:space="preserve"> </w:t>
            </w:r>
            <w:r>
              <w:rPr>
                <w:sz w:val="18"/>
                <w:szCs w:val="18"/>
              </w:rPr>
              <w:t>academic</w:t>
            </w:r>
            <w:r w:rsidRPr="00AA7920">
              <w:rPr>
                <w:sz w:val="18"/>
                <w:szCs w:val="18"/>
              </w:rPr>
              <w:t xml:space="preserve"> needs are in place and consistently used, but communication among all staff about action steps is limited.</w:t>
            </w:r>
          </w:p>
        </w:tc>
        <w:tc>
          <w:tcPr>
            <w:tcW w:w="1110" w:type="pct"/>
          </w:tcPr>
          <w:p w:rsidR="00DC5D7C" w:rsidRPr="00AA7920" w:rsidRDefault="00DC5D7C" w:rsidP="000D4ADF">
            <w:pPr>
              <w:pStyle w:val="TableText"/>
              <w:rPr>
                <w:rFonts w:cstheme="minorHAnsi"/>
                <w:color w:val="89AFD7" w:themeColor="text2" w:themeTint="80"/>
                <w:sz w:val="18"/>
                <w:szCs w:val="18"/>
              </w:rPr>
            </w:pPr>
            <w:r w:rsidRPr="00AA7920">
              <w:rPr>
                <w:rFonts w:cstheme="minorHAnsi"/>
                <w:sz w:val="18"/>
                <w:szCs w:val="18"/>
              </w:rPr>
              <w:t>Formal teaming and collaboration strategies</w:t>
            </w:r>
            <w:r>
              <w:rPr>
                <w:rFonts w:cstheme="minorHAnsi"/>
                <w:sz w:val="18"/>
                <w:szCs w:val="18"/>
              </w:rPr>
              <w:t>,</w:t>
            </w:r>
            <w:r w:rsidRPr="00AA7920">
              <w:rPr>
                <w:rFonts w:cstheme="minorHAnsi"/>
                <w:sz w:val="18"/>
                <w:szCs w:val="18"/>
              </w:rPr>
              <w:t xml:space="preserve"> processes (e.g., </w:t>
            </w:r>
            <w:r>
              <w:rPr>
                <w:rFonts w:cstheme="minorHAnsi"/>
                <w:sz w:val="18"/>
                <w:szCs w:val="18"/>
              </w:rPr>
              <w:t>instructional leadership team</w:t>
            </w:r>
            <w:r w:rsidRPr="00AA7920">
              <w:rPr>
                <w:rFonts w:cstheme="minorHAnsi"/>
                <w:sz w:val="18"/>
                <w:szCs w:val="18"/>
              </w:rPr>
              <w:t xml:space="preserve">, collaborative planning, </w:t>
            </w:r>
            <w:r>
              <w:rPr>
                <w:rFonts w:cstheme="minorHAnsi"/>
                <w:sz w:val="18"/>
                <w:szCs w:val="18"/>
              </w:rPr>
              <w:t>professional learning communities</w:t>
            </w:r>
            <w:r w:rsidRPr="00AA7920">
              <w:rPr>
                <w:rFonts w:cstheme="minorHAnsi"/>
                <w:sz w:val="18"/>
                <w:szCs w:val="18"/>
              </w:rPr>
              <w:t>)</w:t>
            </w:r>
            <w:r>
              <w:rPr>
                <w:rFonts w:cstheme="minorHAnsi"/>
                <w:sz w:val="18"/>
                <w:szCs w:val="18"/>
              </w:rPr>
              <w:t>, and protocols</w:t>
            </w:r>
            <w:r w:rsidRPr="00AA7920">
              <w:rPr>
                <w:rFonts w:cstheme="minorHAnsi"/>
                <w:sz w:val="18"/>
                <w:szCs w:val="18"/>
              </w:rPr>
              <w:t xml:space="preserve"> are consistently used </w:t>
            </w:r>
            <w:r>
              <w:rPr>
                <w:rFonts w:cstheme="minorHAnsi"/>
                <w:sz w:val="18"/>
                <w:szCs w:val="18"/>
              </w:rPr>
              <w:t xml:space="preserve">to </w:t>
            </w:r>
            <w:r w:rsidRPr="00B62972">
              <w:rPr>
                <w:rFonts w:cstheme="minorHAnsi"/>
                <w:spacing w:val="-4"/>
                <w:sz w:val="18"/>
                <w:szCs w:val="18"/>
              </w:rPr>
              <w:t xml:space="preserve">address individual students’ </w:t>
            </w:r>
            <w:r>
              <w:rPr>
                <w:rFonts w:cstheme="minorHAnsi"/>
                <w:sz w:val="18"/>
                <w:szCs w:val="18"/>
              </w:rPr>
              <w:t xml:space="preserve">academic needs by: </w:t>
            </w:r>
            <w:r w:rsidRPr="00F6597E">
              <w:rPr>
                <w:rFonts w:cstheme="minorHAnsi"/>
                <w:sz w:val="18"/>
                <w:szCs w:val="18"/>
              </w:rPr>
              <w:t>(1) using data, (2) identifying actions to address student learning needs, and (3) regularly communicating action steps among all staff and</w:t>
            </w:r>
            <w:r w:rsidRPr="00AA7920">
              <w:rPr>
                <w:rFonts w:cstheme="minorHAnsi"/>
                <w:sz w:val="18"/>
                <w:szCs w:val="18"/>
              </w:rPr>
              <w:t xml:space="preserve"> teams to build and sustain a professional culture of learning.</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t>2.4</w:t>
            </w:r>
          </w:p>
        </w:tc>
        <w:tc>
          <w:tcPr>
            <w:tcW w:w="714" w:type="pct"/>
          </w:tcPr>
          <w:p w:rsidR="00DC5D7C" w:rsidRPr="00AA7920" w:rsidRDefault="00DC5D7C" w:rsidP="00C227C5">
            <w:pPr>
              <w:pStyle w:val="TableText"/>
              <w:rPr>
                <w:sz w:val="18"/>
                <w:szCs w:val="18"/>
              </w:rPr>
            </w:pPr>
            <w:r w:rsidRPr="00AA7920">
              <w:rPr>
                <w:sz w:val="18"/>
                <w:szCs w:val="18"/>
              </w:rPr>
              <w:t>Classroom Observation Data Use</w:t>
            </w:r>
          </w:p>
        </w:tc>
        <w:tc>
          <w:tcPr>
            <w:tcW w:w="791" w:type="pct"/>
          </w:tcPr>
          <w:p w:rsidR="00DC5D7C" w:rsidRPr="00AA7920" w:rsidRDefault="00DC5D7C" w:rsidP="001B731F">
            <w:pPr>
              <w:pStyle w:val="TableText"/>
              <w:rPr>
                <w:sz w:val="18"/>
                <w:szCs w:val="18"/>
              </w:rPr>
            </w:pPr>
            <w:r w:rsidRPr="00AA7920">
              <w:rPr>
                <w:sz w:val="18"/>
                <w:szCs w:val="18"/>
              </w:rPr>
              <w:t>Instructional leaders rarely or never conduct class observations (e.g., learning walkthroughs).</w:t>
            </w:r>
            <w:r>
              <w:rPr>
                <w:sz w:val="18"/>
                <w:szCs w:val="18"/>
              </w:rPr>
              <w:t xml:space="preserve"> </w:t>
            </w:r>
            <w:r w:rsidRPr="00AA7920">
              <w:rPr>
                <w:sz w:val="18"/>
                <w:szCs w:val="18"/>
              </w:rPr>
              <w:t xml:space="preserve">Evidence that specific and actionable feedback on the quality and effectiveness of instruction is being </w:t>
            </w:r>
            <w:r>
              <w:rPr>
                <w:sz w:val="18"/>
                <w:szCs w:val="18"/>
              </w:rPr>
              <w:t>provided</w:t>
            </w:r>
            <w:r w:rsidRPr="00AA7920">
              <w:rPr>
                <w:sz w:val="18"/>
                <w:szCs w:val="18"/>
              </w:rPr>
              <w:t xml:space="preserve"> to individual teachers is limited or nonexistent.</w:t>
            </w:r>
          </w:p>
        </w:tc>
        <w:tc>
          <w:tcPr>
            <w:tcW w:w="1109" w:type="pct"/>
          </w:tcPr>
          <w:p w:rsidR="00DC5D7C" w:rsidRPr="00AA7920" w:rsidRDefault="00DC5D7C" w:rsidP="00B62972">
            <w:pPr>
              <w:pStyle w:val="TableText"/>
              <w:rPr>
                <w:color w:val="89AFD7" w:themeColor="text2" w:themeTint="80"/>
                <w:sz w:val="18"/>
                <w:szCs w:val="18"/>
              </w:rPr>
            </w:pPr>
            <w:r w:rsidRPr="00AA7920">
              <w:rPr>
                <w:sz w:val="18"/>
                <w:szCs w:val="18"/>
              </w:rPr>
              <w:t xml:space="preserve">Instructional leaders conduct occasional or routine classroom observations (e.g., learning walkthroughs), primarily as a function of the principal role and with little </w:t>
            </w:r>
            <w:r>
              <w:rPr>
                <w:sz w:val="18"/>
                <w:szCs w:val="18"/>
              </w:rPr>
              <w:t>to</w:t>
            </w:r>
            <w:r w:rsidRPr="00AA7920">
              <w:rPr>
                <w:sz w:val="18"/>
                <w:szCs w:val="18"/>
              </w:rPr>
              <w:t xml:space="preserve"> no timely feedback focused on strengthening teachers’ instructional practices.</w:t>
            </w:r>
            <w:r>
              <w:rPr>
                <w:sz w:val="18"/>
                <w:szCs w:val="18"/>
              </w:rPr>
              <w:t xml:space="preserve"> Observation and feedback may be focused only on a few grades or subject areas.</w:t>
            </w:r>
          </w:p>
        </w:tc>
        <w:tc>
          <w:tcPr>
            <w:tcW w:w="1011" w:type="pct"/>
          </w:tcPr>
          <w:p w:rsidR="00DC5D7C" w:rsidRPr="00AA7920" w:rsidRDefault="00DC5D7C" w:rsidP="004C5B8C">
            <w:pPr>
              <w:pStyle w:val="TableText"/>
              <w:rPr>
                <w:sz w:val="18"/>
                <w:szCs w:val="18"/>
              </w:rPr>
            </w:pPr>
            <w:r w:rsidRPr="00AA7920">
              <w:rPr>
                <w:sz w:val="18"/>
                <w:szCs w:val="18"/>
              </w:rPr>
              <w:t>Instructional leaders conduct regular</w:t>
            </w:r>
            <w:r>
              <w:rPr>
                <w:sz w:val="18"/>
                <w:szCs w:val="18"/>
              </w:rPr>
              <w:t xml:space="preserve"> </w:t>
            </w:r>
            <w:r w:rsidRPr="00AA7920">
              <w:rPr>
                <w:sz w:val="18"/>
                <w:szCs w:val="18"/>
              </w:rPr>
              <w:t xml:space="preserve">classroom observations (e.g., learning walkthroughs) to gauge the quality of instructional practices and provide </w:t>
            </w:r>
            <w:r>
              <w:rPr>
                <w:sz w:val="18"/>
                <w:szCs w:val="18"/>
              </w:rPr>
              <w:t>s</w:t>
            </w:r>
            <w:r w:rsidRPr="00AA7920">
              <w:rPr>
                <w:sz w:val="18"/>
                <w:szCs w:val="18"/>
              </w:rPr>
              <w:t>pecific and actionable feedback on the quality and effectiveness of instruction</w:t>
            </w:r>
            <w:r>
              <w:rPr>
                <w:sz w:val="18"/>
                <w:szCs w:val="18"/>
              </w:rPr>
              <w:t>.</w:t>
            </w:r>
            <w:r w:rsidRPr="00AA7920">
              <w:rPr>
                <w:sz w:val="18"/>
                <w:szCs w:val="18"/>
              </w:rPr>
              <w:t xml:space="preserve"> </w:t>
            </w:r>
            <w:r>
              <w:rPr>
                <w:sz w:val="18"/>
                <w:szCs w:val="18"/>
              </w:rPr>
              <w:t>However</w:t>
            </w:r>
            <w:r w:rsidRPr="00AA7920">
              <w:rPr>
                <w:sz w:val="18"/>
                <w:szCs w:val="18"/>
              </w:rPr>
              <w:t>, this information or data</w:t>
            </w:r>
            <w:r>
              <w:rPr>
                <w:sz w:val="18"/>
                <w:szCs w:val="18"/>
              </w:rPr>
              <w:t xml:space="preserve"> do not </w:t>
            </w:r>
            <w:r w:rsidRPr="00AA7920">
              <w:rPr>
                <w:sz w:val="18"/>
                <w:szCs w:val="18"/>
              </w:rPr>
              <w:t xml:space="preserve">inform instructional conversations </w:t>
            </w:r>
            <w:r>
              <w:rPr>
                <w:sz w:val="18"/>
                <w:szCs w:val="18"/>
              </w:rPr>
              <w:t>or</w:t>
            </w:r>
            <w:r w:rsidRPr="00AA7920">
              <w:rPr>
                <w:sz w:val="18"/>
                <w:szCs w:val="18"/>
              </w:rPr>
              <w:t xml:space="preserve"> the provision of targeted and individualized supports (e.g., coaching) for teachers, as needed.</w:t>
            </w:r>
          </w:p>
        </w:tc>
        <w:tc>
          <w:tcPr>
            <w:tcW w:w="1110" w:type="pct"/>
          </w:tcPr>
          <w:p w:rsidR="00DC5D7C" w:rsidRPr="00F6597E" w:rsidRDefault="00DC5D7C" w:rsidP="00B362BB">
            <w:pPr>
              <w:pStyle w:val="TableText"/>
              <w:rPr>
                <w:sz w:val="18"/>
                <w:szCs w:val="18"/>
              </w:rPr>
            </w:pPr>
            <w:r>
              <w:rPr>
                <w:rFonts w:eastAsiaTheme="minorHAnsi"/>
                <w:sz w:val="18"/>
                <w:szCs w:val="18"/>
              </w:rPr>
              <w:t xml:space="preserve">Instructional leaders conduct </w:t>
            </w:r>
            <w:r w:rsidRPr="00F6597E">
              <w:rPr>
                <w:rFonts w:eastAsiaTheme="minorHAnsi"/>
                <w:sz w:val="18"/>
                <w:szCs w:val="18"/>
              </w:rPr>
              <w:t xml:space="preserve">weekly or daily classroom observations (e.g., learning walkthroughs) focused on strengthening teachers’ instructional practices and provide </w:t>
            </w:r>
            <w:r w:rsidRPr="00F6597E">
              <w:rPr>
                <w:sz w:val="18"/>
                <w:szCs w:val="18"/>
              </w:rPr>
              <w:t xml:space="preserve">specific and actionable feedback on the quality and effectiveness of instruction to individual teachers and teacher teams. These data inform instructional conversations and the provision of targeted and individualized supports (e.g., coaching) for teachers, as needed. </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t>2.5</w:t>
            </w:r>
          </w:p>
        </w:tc>
        <w:tc>
          <w:tcPr>
            <w:tcW w:w="714" w:type="pct"/>
          </w:tcPr>
          <w:p w:rsidR="00DC5D7C" w:rsidRPr="00AA7920" w:rsidRDefault="00DC5D7C" w:rsidP="00632EFD">
            <w:pPr>
              <w:pStyle w:val="TableText"/>
              <w:rPr>
                <w:b/>
                <w:sz w:val="18"/>
                <w:szCs w:val="18"/>
              </w:rPr>
            </w:pPr>
            <w:r w:rsidRPr="00AA7920">
              <w:rPr>
                <w:sz w:val="18"/>
                <w:szCs w:val="18"/>
              </w:rPr>
              <w:t>Student Assessment Data Use</w:t>
            </w:r>
            <w:r>
              <w:rPr>
                <w:sz w:val="18"/>
                <w:szCs w:val="18"/>
              </w:rPr>
              <w:t xml:space="preserve"> (for </w:t>
            </w:r>
            <w:proofErr w:type="spellStart"/>
            <w:r>
              <w:rPr>
                <w:sz w:val="18"/>
                <w:szCs w:val="18"/>
              </w:rPr>
              <w:t>schoolwide</w:t>
            </w:r>
            <w:proofErr w:type="spellEnd"/>
            <w:r>
              <w:rPr>
                <w:sz w:val="18"/>
                <w:szCs w:val="18"/>
              </w:rPr>
              <w:t xml:space="preserve"> decision making)</w:t>
            </w:r>
          </w:p>
        </w:tc>
        <w:tc>
          <w:tcPr>
            <w:tcW w:w="791" w:type="pct"/>
          </w:tcPr>
          <w:p w:rsidR="00DC5D7C" w:rsidRPr="009F1E5D" w:rsidRDefault="00DC5D7C" w:rsidP="00103C69">
            <w:pPr>
              <w:pStyle w:val="TableText"/>
              <w:rPr>
                <w:sz w:val="18"/>
                <w:szCs w:val="18"/>
              </w:rPr>
            </w:pPr>
            <w:r w:rsidRPr="009F1E5D">
              <w:rPr>
                <w:sz w:val="18"/>
                <w:szCs w:val="18"/>
              </w:rPr>
              <w:t>Building and teacher leaders</w:t>
            </w:r>
            <w:r>
              <w:rPr>
                <w:sz w:val="18"/>
                <w:szCs w:val="18"/>
              </w:rPr>
              <w:t xml:space="preserve"> use limited to no</w:t>
            </w:r>
            <w:r w:rsidRPr="009F1E5D">
              <w:rPr>
                <w:sz w:val="18"/>
                <w:szCs w:val="18"/>
              </w:rPr>
              <w:t xml:space="preserve"> student assessment data to make decisions related to </w:t>
            </w:r>
            <w:proofErr w:type="spellStart"/>
            <w:r w:rsidRPr="009F1E5D">
              <w:rPr>
                <w:sz w:val="18"/>
                <w:szCs w:val="18"/>
              </w:rPr>
              <w:t>schoolwide</w:t>
            </w:r>
            <w:proofErr w:type="spellEnd"/>
            <w:r w:rsidRPr="009F1E5D">
              <w:rPr>
                <w:sz w:val="18"/>
                <w:szCs w:val="18"/>
              </w:rPr>
              <w:t xml:space="preserve"> practices. </w:t>
            </w:r>
          </w:p>
        </w:tc>
        <w:tc>
          <w:tcPr>
            <w:tcW w:w="1109" w:type="pct"/>
          </w:tcPr>
          <w:p w:rsidR="00DC5D7C" w:rsidRPr="009F1E5D" w:rsidRDefault="00DC5D7C" w:rsidP="009417E3">
            <w:pPr>
              <w:pStyle w:val="TableText"/>
              <w:rPr>
                <w:sz w:val="18"/>
                <w:szCs w:val="18"/>
              </w:rPr>
            </w:pPr>
            <w:r w:rsidRPr="009F1E5D">
              <w:rPr>
                <w:sz w:val="18"/>
                <w:szCs w:val="18"/>
              </w:rPr>
              <w:t xml:space="preserve">Building and teacher leaders consider </w:t>
            </w:r>
            <w:r>
              <w:rPr>
                <w:sz w:val="18"/>
                <w:szCs w:val="18"/>
              </w:rPr>
              <w:t xml:space="preserve">only </w:t>
            </w:r>
            <w:r w:rsidRPr="009F1E5D">
              <w:rPr>
                <w:sz w:val="18"/>
                <w:szCs w:val="18"/>
              </w:rPr>
              <w:t xml:space="preserve">student results on state assessments when making decisions regarding </w:t>
            </w:r>
            <w:proofErr w:type="spellStart"/>
            <w:r w:rsidRPr="009F1E5D">
              <w:rPr>
                <w:sz w:val="18"/>
                <w:szCs w:val="18"/>
              </w:rPr>
              <w:t>schoolwide</w:t>
            </w:r>
            <w:proofErr w:type="spellEnd"/>
            <w:r w:rsidRPr="009F1E5D">
              <w:rPr>
                <w:sz w:val="18"/>
                <w:szCs w:val="18"/>
              </w:rPr>
              <w:t xml:space="preserve"> practices. </w:t>
            </w:r>
          </w:p>
        </w:tc>
        <w:tc>
          <w:tcPr>
            <w:tcW w:w="1011" w:type="pct"/>
          </w:tcPr>
          <w:p w:rsidR="00DC5D7C" w:rsidRPr="009F1E5D" w:rsidRDefault="00DC5D7C" w:rsidP="00C227C5">
            <w:pPr>
              <w:pStyle w:val="TableText"/>
              <w:rPr>
                <w:sz w:val="18"/>
                <w:szCs w:val="18"/>
              </w:rPr>
            </w:pPr>
            <w:r w:rsidRPr="009F1E5D">
              <w:rPr>
                <w:sz w:val="18"/>
                <w:szCs w:val="18"/>
              </w:rPr>
              <w:t xml:space="preserve">Building and teacher leaders occasionally consider student results on benchmark and common assessments in addition to state assessments when making decisions regarding </w:t>
            </w:r>
            <w:proofErr w:type="spellStart"/>
            <w:r w:rsidRPr="009F1E5D">
              <w:rPr>
                <w:sz w:val="18"/>
                <w:szCs w:val="18"/>
              </w:rPr>
              <w:t>schoolwide</w:t>
            </w:r>
            <w:proofErr w:type="spellEnd"/>
            <w:r w:rsidRPr="009F1E5D">
              <w:rPr>
                <w:sz w:val="18"/>
                <w:szCs w:val="18"/>
              </w:rPr>
              <w:t xml:space="preserve"> practices.</w:t>
            </w:r>
          </w:p>
        </w:tc>
        <w:tc>
          <w:tcPr>
            <w:tcW w:w="1110" w:type="pct"/>
          </w:tcPr>
          <w:p w:rsidR="00DC5D7C" w:rsidRPr="009F1E5D" w:rsidRDefault="00DC5D7C" w:rsidP="006A5504">
            <w:pPr>
              <w:pStyle w:val="TableText"/>
              <w:rPr>
                <w:sz w:val="18"/>
                <w:szCs w:val="18"/>
              </w:rPr>
            </w:pPr>
            <w:r w:rsidRPr="009F1E5D">
              <w:rPr>
                <w:sz w:val="18"/>
                <w:szCs w:val="18"/>
              </w:rPr>
              <w:t xml:space="preserve">Building and teacher leaders consistently use student results on benchmark and common assessments and state assessments to make decisions regarding </w:t>
            </w:r>
            <w:proofErr w:type="spellStart"/>
            <w:r w:rsidRPr="009F1E5D">
              <w:rPr>
                <w:sz w:val="18"/>
                <w:szCs w:val="18"/>
              </w:rPr>
              <w:t>schoolwide</w:t>
            </w:r>
            <w:proofErr w:type="spellEnd"/>
            <w:r w:rsidRPr="009F1E5D">
              <w:rPr>
                <w:sz w:val="18"/>
                <w:szCs w:val="18"/>
              </w:rPr>
              <w:t xml:space="preserve"> practices. </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lastRenderedPageBreak/>
              <w:t>2.6</w:t>
            </w:r>
          </w:p>
        </w:tc>
        <w:tc>
          <w:tcPr>
            <w:tcW w:w="714" w:type="pct"/>
          </w:tcPr>
          <w:p w:rsidR="00DC5D7C" w:rsidRPr="00AA7920" w:rsidRDefault="00DC5D7C" w:rsidP="00AF590C">
            <w:pPr>
              <w:pStyle w:val="TableText"/>
              <w:rPr>
                <w:b/>
                <w:sz w:val="18"/>
                <w:szCs w:val="18"/>
              </w:rPr>
            </w:pPr>
            <w:r w:rsidRPr="00AF590C">
              <w:rPr>
                <w:sz w:val="18"/>
                <w:szCs w:val="18"/>
              </w:rPr>
              <w:t xml:space="preserve">Student </w:t>
            </w:r>
            <w:r>
              <w:rPr>
                <w:sz w:val="18"/>
                <w:szCs w:val="18"/>
              </w:rPr>
              <w:t>Assessment D</w:t>
            </w:r>
            <w:r w:rsidRPr="00AF590C">
              <w:rPr>
                <w:sz w:val="18"/>
                <w:szCs w:val="18"/>
              </w:rPr>
              <w:t xml:space="preserve">ata </w:t>
            </w:r>
            <w:r>
              <w:rPr>
                <w:sz w:val="18"/>
                <w:szCs w:val="18"/>
              </w:rPr>
              <w:t>U</w:t>
            </w:r>
            <w:r w:rsidRPr="00AF590C">
              <w:rPr>
                <w:sz w:val="18"/>
                <w:szCs w:val="18"/>
              </w:rPr>
              <w:t>se (for classroom instruction)</w:t>
            </w:r>
          </w:p>
        </w:tc>
        <w:tc>
          <w:tcPr>
            <w:tcW w:w="791" w:type="pct"/>
          </w:tcPr>
          <w:p w:rsidR="00DC5D7C" w:rsidRPr="00AA7920" w:rsidRDefault="00DC5D7C" w:rsidP="006A5504">
            <w:pPr>
              <w:pStyle w:val="TableText"/>
              <w:rPr>
                <w:sz w:val="18"/>
                <w:szCs w:val="18"/>
              </w:rPr>
            </w:pPr>
            <w:r w:rsidRPr="00AA7920">
              <w:rPr>
                <w:sz w:val="18"/>
                <w:szCs w:val="18"/>
              </w:rPr>
              <w:t xml:space="preserve">There is little or emerging awareness of best practices for analyzing student performance data to </w:t>
            </w:r>
            <w:r>
              <w:rPr>
                <w:sz w:val="18"/>
                <w:szCs w:val="18"/>
              </w:rPr>
              <w:t>inform</w:t>
            </w:r>
            <w:r w:rsidRPr="00AA7920">
              <w:rPr>
                <w:sz w:val="18"/>
                <w:szCs w:val="18"/>
              </w:rPr>
              <w:t xml:space="preserve"> instruction </w:t>
            </w:r>
            <w:r>
              <w:rPr>
                <w:sz w:val="18"/>
                <w:szCs w:val="18"/>
              </w:rPr>
              <w:t>and</w:t>
            </w:r>
            <w:r w:rsidRPr="00AA7920">
              <w:rPr>
                <w:sz w:val="18"/>
                <w:szCs w:val="18"/>
              </w:rPr>
              <w:t xml:space="preserve"> assessing progress toward intended student outcomes</w:t>
            </w:r>
            <w:r>
              <w:rPr>
                <w:sz w:val="18"/>
                <w:szCs w:val="18"/>
              </w:rPr>
              <w:t>, or the effect of these practices is negligible</w:t>
            </w:r>
            <w:r w:rsidRPr="00AA7920">
              <w:rPr>
                <w:sz w:val="18"/>
                <w:szCs w:val="18"/>
              </w:rPr>
              <w:t>.</w:t>
            </w:r>
          </w:p>
        </w:tc>
        <w:tc>
          <w:tcPr>
            <w:tcW w:w="1109" w:type="pct"/>
          </w:tcPr>
          <w:p w:rsidR="00DC5D7C" w:rsidRPr="00AA7920" w:rsidRDefault="00DC5D7C" w:rsidP="00A66315">
            <w:pPr>
              <w:pStyle w:val="TableText"/>
              <w:rPr>
                <w:sz w:val="18"/>
                <w:szCs w:val="18"/>
              </w:rPr>
            </w:pPr>
            <w:r>
              <w:rPr>
                <w:sz w:val="18"/>
                <w:szCs w:val="18"/>
              </w:rPr>
              <w:t>Some</w:t>
            </w:r>
            <w:r w:rsidRPr="00AA7920">
              <w:rPr>
                <w:sz w:val="18"/>
                <w:szCs w:val="18"/>
              </w:rPr>
              <w:t xml:space="preserve"> </w:t>
            </w:r>
            <w:r>
              <w:rPr>
                <w:sz w:val="18"/>
                <w:szCs w:val="18"/>
              </w:rPr>
              <w:t>teachers</w:t>
            </w:r>
            <w:r w:rsidRPr="00AA7920">
              <w:rPr>
                <w:sz w:val="18"/>
                <w:szCs w:val="18"/>
              </w:rPr>
              <w:t xml:space="preserve"> are aware of the </w:t>
            </w:r>
            <w:r>
              <w:rPr>
                <w:sz w:val="18"/>
                <w:szCs w:val="18"/>
              </w:rPr>
              <w:t>importance of</w:t>
            </w:r>
            <w:r w:rsidRPr="00AA7920">
              <w:rPr>
                <w:sz w:val="18"/>
                <w:szCs w:val="18"/>
              </w:rPr>
              <w:t xml:space="preserve"> using a variety of assessment data to </w:t>
            </w:r>
            <w:r>
              <w:rPr>
                <w:sz w:val="18"/>
                <w:szCs w:val="18"/>
              </w:rPr>
              <w:t>inform</w:t>
            </w:r>
            <w:r w:rsidRPr="00AA7920">
              <w:rPr>
                <w:sz w:val="18"/>
                <w:szCs w:val="18"/>
              </w:rPr>
              <w:t xml:space="preserve"> instruction and for employing research-based instructional strategies to determine progress toward intended student outcomes.</w:t>
            </w:r>
            <w:r>
              <w:rPr>
                <w:sz w:val="18"/>
                <w:szCs w:val="18"/>
              </w:rPr>
              <w:t xml:space="preserve"> </w:t>
            </w:r>
            <w:r w:rsidRPr="00B91311">
              <w:rPr>
                <w:sz w:val="18"/>
                <w:szCs w:val="18"/>
              </w:rPr>
              <w:t xml:space="preserve">However, not all staff consistently </w:t>
            </w:r>
            <w:proofErr w:type="gramStart"/>
            <w:r w:rsidRPr="00B91311">
              <w:rPr>
                <w:sz w:val="18"/>
                <w:szCs w:val="18"/>
              </w:rPr>
              <w:t>use</w:t>
            </w:r>
            <w:proofErr w:type="gramEnd"/>
            <w:r w:rsidRPr="00B91311">
              <w:rPr>
                <w:sz w:val="18"/>
                <w:szCs w:val="18"/>
              </w:rPr>
              <w:t xml:space="preserve"> this practice.</w:t>
            </w:r>
          </w:p>
        </w:tc>
        <w:tc>
          <w:tcPr>
            <w:tcW w:w="1011" w:type="pct"/>
          </w:tcPr>
          <w:p w:rsidR="00DC5D7C" w:rsidRPr="00AA7920" w:rsidRDefault="00DC5D7C" w:rsidP="00B91311">
            <w:pPr>
              <w:pStyle w:val="TableText"/>
              <w:rPr>
                <w:sz w:val="18"/>
                <w:szCs w:val="18"/>
              </w:rPr>
            </w:pPr>
            <w:r>
              <w:rPr>
                <w:sz w:val="18"/>
                <w:szCs w:val="18"/>
              </w:rPr>
              <w:t>Most</w:t>
            </w:r>
            <w:r w:rsidRPr="00AA7920">
              <w:rPr>
                <w:sz w:val="18"/>
                <w:szCs w:val="18"/>
              </w:rPr>
              <w:t xml:space="preserve"> </w:t>
            </w:r>
            <w:r>
              <w:rPr>
                <w:sz w:val="18"/>
                <w:szCs w:val="18"/>
              </w:rPr>
              <w:t>teachers</w:t>
            </w:r>
            <w:r w:rsidRPr="00AA7920">
              <w:rPr>
                <w:sz w:val="18"/>
                <w:szCs w:val="18"/>
              </w:rPr>
              <w:t xml:space="preserve"> are aware of their roles and responsibilities for using a variety of assessment data to </w:t>
            </w:r>
            <w:r>
              <w:rPr>
                <w:sz w:val="18"/>
                <w:szCs w:val="18"/>
              </w:rPr>
              <w:t>inform</w:t>
            </w:r>
            <w:r w:rsidRPr="00AA7920">
              <w:rPr>
                <w:sz w:val="18"/>
                <w:szCs w:val="18"/>
              </w:rPr>
              <w:t xml:space="preserve"> instruction and for employing research-based instructional strategies to determine progress toward intended student outcomes</w:t>
            </w:r>
            <w:r w:rsidRPr="00B91311">
              <w:rPr>
                <w:sz w:val="18"/>
                <w:szCs w:val="18"/>
              </w:rPr>
              <w:t xml:space="preserve">. However, </w:t>
            </w:r>
            <w:r>
              <w:rPr>
                <w:sz w:val="18"/>
                <w:szCs w:val="18"/>
              </w:rPr>
              <w:t>there are some barriers to using data effectively to improve instruction</w:t>
            </w:r>
            <w:r w:rsidRPr="00B91311">
              <w:rPr>
                <w:sz w:val="18"/>
                <w:szCs w:val="18"/>
              </w:rPr>
              <w:t>.</w:t>
            </w:r>
            <w:r w:rsidRPr="00AA7920">
              <w:rPr>
                <w:sz w:val="18"/>
                <w:szCs w:val="18"/>
              </w:rPr>
              <w:t xml:space="preserve"> </w:t>
            </w:r>
          </w:p>
        </w:tc>
        <w:tc>
          <w:tcPr>
            <w:tcW w:w="1110" w:type="pct"/>
          </w:tcPr>
          <w:p w:rsidR="00DC5D7C" w:rsidRPr="00AA7920" w:rsidRDefault="00DC5D7C" w:rsidP="004C5B8C">
            <w:pPr>
              <w:pStyle w:val="TableText"/>
              <w:rPr>
                <w:sz w:val="18"/>
                <w:szCs w:val="18"/>
              </w:rPr>
            </w:pPr>
            <w:r>
              <w:rPr>
                <w:sz w:val="18"/>
                <w:szCs w:val="18"/>
              </w:rPr>
              <w:t>Most</w:t>
            </w:r>
            <w:r w:rsidRPr="00AA7920">
              <w:rPr>
                <w:sz w:val="18"/>
                <w:szCs w:val="18"/>
              </w:rPr>
              <w:t xml:space="preserve"> </w:t>
            </w:r>
            <w:r>
              <w:rPr>
                <w:sz w:val="18"/>
                <w:szCs w:val="18"/>
              </w:rPr>
              <w:t>teachers</w:t>
            </w:r>
            <w:r w:rsidRPr="00AA7920">
              <w:rPr>
                <w:sz w:val="18"/>
                <w:szCs w:val="18"/>
              </w:rPr>
              <w:t xml:space="preserve"> work individually and collaboratively to use a variety of assessment</w:t>
            </w:r>
            <w:r>
              <w:rPr>
                <w:sz w:val="18"/>
                <w:szCs w:val="18"/>
              </w:rPr>
              <w:t xml:space="preserve"> data</w:t>
            </w:r>
            <w:r w:rsidRPr="00AA7920">
              <w:rPr>
                <w:sz w:val="18"/>
                <w:szCs w:val="18"/>
              </w:rPr>
              <w:t xml:space="preserve"> (</w:t>
            </w:r>
            <w:r>
              <w:rPr>
                <w:sz w:val="18"/>
                <w:szCs w:val="18"/>
              </w:rPr>
              <w:t xml:space="preserve">e.g., </w:t>
            </w:r>
            <w:r w:rsidRPr="00AA7920">
              <w:rPr>
                <w:sz w:val="18"/>
                <w:szCs w:val="18"/>
              </w:rPr>
              <w:t>common assessment data</w:t>
            </w:r>
            <w:r>
              <w:rPr>
                <w:sz w:val="18"/>
                <w:szCs w:val="18"/>
              </w:rPr>
              <w:t>,</w:t>
            </w:r>
            <w:r w:rsidRPr="00AA7920">
              <w:rPr>
                <w:sz w:val="18"/>
                <w:szCs w:val="18"/>
              </w:rPr>
              <w:t xml:space="preserve"> student work) to determine progress toward intended student and school outcomes</w:t>
            </w:r>
            <w:r>
              <w:rPr>
                <w:sz w:val="18"/>
                <w:szCs w:val="18"/>
              </w:rPr>
              <w:t>, determine appropriate action steps, and monitor the results of those actions</w:t>
            </w:r>
            <w:r w:rsidRPr="00AA7920">
              <w:rPr>
                <w:sz w:val="18"/>
                <w:szCs w:val="18"/>
              </w:rPr>
              <w:t xml:space="preserve">. </w:t>
            </w:r>
          </w:p>
        </w:tc>
      </w:tr>
      <w:tr w:rsidR="00DC5D7C" w:rsidRPr="00AA7920" w:rsidTr="00DC5D7C">
        <w:trPr>
          <w:jc w:val="center"/>
        </w:trPr>
        <w:tc>
          <w:tcPr>
            <w:tcW w:w="265" w:type="pct"/>
          </w:tcPr>
          <w:p w:rsidR="00DC5D7C" w:rsidRPr="00AA7920" w:rsidRDefault="00DC5D7C" w:rsidP="00C227C5">
            <w:pPr>
              <w:pStyle w:val="TableColHeadingLeft"/>
              <w:rPr>
                <w:sz w:val="18"/>
                <w:szCs w:val="18"/>
              </w:rPr>
            </w:pPr>
            <w:r w:rsidRPr="00AA7920">
              <w:rPr>
                <w:sz w:val="18"/>
                <w:szCs w:val="18"/>
              </w:rPr>
              <w:t>2.7</w:t>
            </w:r>
          </w:p>
        </w:tc>
        <w:tc>
          <w:tcPr>
            <w:tcW w:w="714" w:type="pct"/>
          </w:tcPr>
          <w:p w:rsidR="00DC5D7C" w:rsidRPr="00AA7920" w:rsidRDefault="00DC5D7C" w:rsidP="00C227C5">
            <w:pPr>
              <w:pStyle w:val="TableText"/>
              <w:rPr>
                <w:b/>
                <w:sz w:val="18"/>
                <w:szCs w:val="18"/>
              </w:rPr>
            </w:pPr>
            <w:r w:rsidRPr="00AA7920">
              <w:rPr>
                <w:sz w:val="18"/>
                <w:szCs w:val="18"/>
              </w:rPr>
              <w:t>Structures for Instructional Improvement</w:t>
            </w:r>
          </w:p>
        </w:tc>
        <w:tc>
          <w:tcPr>
            <w:tcW w:w="791" w:type="pct"/>
          </w:tcPr>
          <w:p w:rsidR="00DC5D7C" w:rsidRPr="000A24CC" w:rsidRDefault="00DC5D7C" w:rsidP="00A66315">
            <w:pPr>
              <w:pStyle w:val="TableText"/>
              <w:rPr>
                <w:spacing w:val="-4"/>
                <w:sz w:val="18"/>
                <w:szCs w:val="18"/>
              </w:rPr>
            </w:pPr>
            <w:r w:rsidRPr="000A24CC">
              <w:rPr>
                <w:spacing w:val="-4"/>
                <w:sz w:val="18"/>
                <w:szCs w:val="18"/>
              </w:rPr>
              <w:t>Structures, practices, and use of resources (e.g., collaborative meeting time, coaching, supports for implementing the Massachusetts Curriculum Frameworks) to support the use of assessment data, research-based instructional strategies, and differentiation and to ensure rigor and relevance are limited, do not exist, or are having negligible impact.</w:t>
            </w:r>
          </w:p>
        </w:tc>
        <w:tc>
          <w:tcPr>
            <w:tcW w:w="1109" w:type="pct"/>
          </w:tcPr>
          <w:p w:rsidR="00DC5D7C" w:rsidRPr="00AA7920" w:rsidRDefault="00DC5D7C" w:rsidP="00C227C5">
            <w:pPr>
              <w:pStyle w:val="TableText"/>
              <w:rPr>
                <w:sz w:val="18"/>
                <w:szCs w:val="18"/>
              </w:rPr>
            </w:pPr>
            <w:r w:rsidRPr="00AA7920">
              <w:rPr>
                <w:sz w:val="18"/>
                <w:szCs w:val="18"/>
              </w:rPr>
              <w:t>Structures, practices, and use of resources (e.g., collaborative meeting time, coaching</w:t>
            </w:r>
            <w:r>
              <w:rPr>
                <w:sz w:val="18"/>
                <w:szCs w:val="18"/>
              </w:rPr>
              <w:t>, supports for implementing the Massachusetts Curriculum Frameworks</w:t>
            </w:r>
            <w:r w:rsidRPr="00AA7920">
              <w:rPr>
                <w:sz w:val="18"/>
                <w:szCs w:val="18"/>
              </w:rPr>
              <w:t>) to support the use of assessment data, research-based instructional strategies, and differentiation to ensure rigor and relevance are in place but may be poorly defined, inefficient, or ineffective.</w:t>
            </w:r>
          </w:p>
        </w:tc>
        <w:tc>
          <w:tcPr>
            <w:tcW w:w="1011" w:type="pct"/>
          </w:tcPr>
          <w:p w:rsidR="00DC5D7C" w:rsidRPr="00AA7920" w:rsidRDefault="00DC5D7C" w:rsidP="00F805B5">
            <w:pPr>
              <w:pStyle w:val="TableText"/>
              <w:rPr>
                <w:sz w:val="18"/>
                <w:szCs w:val="18"/>
              </w:rPr>
            </w:pPr>
            <w:r w:rsidRPr="00AA7920">
              <w:rPr>
                <w:sz w:val="18"/>
                <w:szCs w:val="18"/>
              </w:rPr>
              <w:t>Structures, practices, and use of resources (e.g., collaborative meeting time, coaching</w:t>
            </w:r>
            <w:r>
              <w:rPr>
                <w:sz w:val="18"/>
                <w:szCs w:val="18"/>
              </w:rPr>
              <w:t>, supports for implementing the Massachusetts Curriculum Frameworks</w:t>
            </w:r>
            <w:r w:rsidRPr="00AA7920">
              <w:rPr>
                <w:sz w:val="18"/>
                <w:szCs w:val="18"/>
              </w:rPr>
              <w:t xml:space="preserve">) </w:t>
            </w:r>
            <w:r>
              <w:rPr>
                <w:sz w:val="18"/>
                <w:szCs w:val="18"/>
              </w:rPr>
              <w:t xml:space="preserve">to support </w:t>
            </w:r>
            <w:r w:rsidRPr="00AA7920">
              <w:rPr>
                <w:sz w:val="18"/>
                <w:szCs w:val="18"/>
              </w:rPr>
              <w:t xml:space="preserve">the use of assessment data to guide and select research-based instructional </w:t>
            </w:r>
            <w:r w:rsidRPr="00B91311">
              <w:rPr>
                <w:sz w:val="18"/>
                <w:szCs w:val="18"/>
              </w:rPr>
              <w:t>strategies and differentiation are clearly defined but are not always used consistently throughout the school.</w:t>
            </w:r>
          </w:p>
        </w:tc>
        <w:tc>
          <w:tcPr>
            <w:tcW w:w="1110" w:type="pct"/>
          </w:tcPr>
          <w:p w:rsidR="00DC5D7C" w:rsidRPr="00AA7920" w:rsidRDefault="00DC5D7C" w:rsidP="007A261D">
            <w:pPr>
              <w:pStyle w:val="TableText"/>
              <w:rPr>
                <w:sz w:val="18"/>
                <w:szCs w:val="18"/>
              </w:rPr>
            </w:pPr>
            <w:r w:rsidRPr="00AA7920">
              <w:rPr>
                <w:sz w:val="18"/>
                <w:szCs w:val="18"/>
              </w:rPr>
              <w:t xml:space="preserve">Structures, practices, and use of </w:t>
            </w:r>
            <w:r w:rsidRPr="00F6597E">
              <w:rPr>
                <w:sz w:val="18"/>
                <w:szCs w:val="18"/>
              </w:rPr>
              <w:t>resources (e.g., collaborative meeting time, coaching, supports for implementing the Massachusetts</w:t>
            </w:r>
            <w:r>
              <w:rPr>
                <w:sz w:val="18"/>
                <w:szCs w:val="18"/>
              </w:rPr>
              <w:t xml:space="preserve"> Curriculum Frameworks</w:t>
            </w:r>
            <w:r w:rsidRPr="00AA7920">
              <w:rPr>
                <w:sz w:val="18"/>
                <w:szCs w:val="18"/>
              </w:rPr>
              <w:t xml:space="preserve">) </w:t>
            </w:r>
            <w:r>
              <w:rPr>
                <w:sz w:val="18"/>
                <w:szCs w:val="18"/>
              </w:rPr>
              <w:t>to support</w:t>
            </w:r>
            <w:r w:rsidRPr="00AA7920">
              <w:rPr>
                <w:sz w:val="18"/>
                <w:szCs w:val="18"/>
              </w:rPr>
              <w:t xml:space="preserve"> data-driven instruction, the use of research-based instructional strategies</w:t>
            </w:r>
            <w:r>
              <w:rPr>
                <w:sz w:val="18"/>
                <w:szCs w:val="18"/>
              </w:rPr>
              <w:t>,</w:t>
            </w:r>
            <w:r w:rsidRPr="00AA7920">
              <w:rPr>
                <w:sz w:val="18"/>
                <w:szCs w:val="18"/>
              </w:rPr>
              <w:t xml:space="preserve"> and differentiation are in place and consistently implemented</w:t>
            </w:r>
            <w:r>
              <w:rPr>
                <w:sz w:val="18"/>
                <w:szCs w:val="18"/>
              </w:rPr>
              <w:t>,</w:t>
            </w:r>
            <w:r w:rsidRPr="00AA7920">
              <w:rPr>
                <w:sz w:val="18"/>
                <w:szCs w:val="18"/>
              </w:rPr>
              <w:t xml:space="preserve"> resulting in rigorous instruction</w:t>
            </w:r>
            <w:r>
              <w:rPr>
                <w:sz w:val="18"/>
                <w:szCs w:val="18"/>
              </w:rPr>
              <w:t>, reflective of the shifts in cognitive demand for the Massachusetts Curriculum Frameworks,</w:t>
            </w:r>
            <w:r w:rsidRPr="00AA7920">
              <w:rPr>
                <w:sz w:val="18"/>
                <w:szCs w:val="18"/>
              </w:rPr>
              <w:t xml:space="preserve"> that meets the needs of </w:t>
            </w:r>
            <w:r>
              <w:rPr>
                <w:sz w:val="18"/>
                <w:szCs w:val="18"/>
              </w:rPr>
              <w:t xml:space="preserve">each </w:t>
            </w:r>
            <w:r w:rsidRPr="00AA7920">
              <w:rPr>
                <w:sz w:val="18"/>
                <w:szCs w:val="18"/>
              </w:rPr>
              <w:t>student.</w:t>
            </w:r>
          </w:p>
        </w:tc>
      </w:tr>
    </w:tbl>
    <w:p w:rsidR="00DC5D7C" w:rsidRDefault="00DC5D7C" w:rsidP="00E0278D">
      <w:pPr>
        <w:pStyle w:val="Heading1"/>
      </w:pPr>
      <w:bookmarkStart w:id="5" w:name="_Toc342902498"/>
      <w:r>
        <w:br w:type="page"/>
      </w:r>
    </w:p>
    <w:p w:rsidR="005F075E" w:rsidRDefault="005F075E" w:rsidP="00E0278D">
      <w:pPr>
        <w:pStyle w:val="Heading1"/>
      </w:pPr>
      <w:proofErr w:type="gramStart"/>
      <w:r>
        <w:lastRenderedPageBreak/>
        <w:t>Turnaround Practice 3.</w:t>
      </w:r>
      <w:proofErr w:type="gramEnd"/>
      <w:r>
        <w:t xml:space="preserve"> </w:t>
      </w:r>
      <w:bookmarkEnd w:id="5"/>
      <w:r>
        <w:t>Student-Specific Supports and Instruction to All Students</w:t>
      </w:r>
    </w:p>
    <w:p w:rsidR="005F075E" w:rsidRDefault="005F075E" w:rsidP="00E0278D">
      <w:pPr>
        <w:pStyle w:val="BodyText"/>
        <w:spacing w:after="240"/>
      </w:pPr>
      <w:r w:rsidRPr="003F6D91">
        <w:t>The school is able to provide student-specific supports and interventions informed by data and the identification of student-specific needs</w:t>
      </w:r>
      <w:r>
        <w:t>.</w:t>
      </w:r>
    </w:p>
    <w:tbl>
      <w:tblPr>
        <w:tblStyle w:val="AIRTable"/>
        <w:tblW w:w="5000" w:type="pct"/>
        <w:jc w:val="center"/>
        <w:tblLayout w:type="fixed"/>
        <w:tblLook w:val="0620"/>
      </w:tblPr>
      <w:tblGrid>
        <w:gridCol w:w="696"/>
        <w:gridCol w:w="1887"/>
        <w:gridCol w:w="2082"/>
        <w:gridCol w:w="2925"/>
        <w:gridCol w:w="2664"/>
        <w:gridCol w:w="2922"/>
      </w:tblGrid>
      <w:tr w:rsidR="00DC5D7C" w:rsidRPr="001211E0" w:rsidTr="00DC5D7C">
        <w:trPr>
          <w:cnfStyle w:val="100000000000"/>
          <w:trHeight w:val="432"/>
          <w:tblHeader/>
          <w:jc w:val="center"/>
        </w:trPr>
        <w:tc>
          <w:tcPr>
            <w:tcW w:w="5000" w:type="pct"/>
            <w:gridSpan w:val="6"/>
            <w:vAlign w:val="center"/>
          </w:tcPr>
          <w:p w:rsidR="00DC5D7C" w:rsidRPr="001211E0" w:rsidRDefault="00DC5D7C" w:rsidP="00345284">
            <w:pPr>
              <w:pStyle w:val="TableColHeadingCenter"/>
              <w:rPr>
                <w:sz w:val="18"/>
                <w:szCs w:val="18"/>
              </w:rPr>
            </w:pPr>
            <w:r w:rsidRPr="001211E0">
              <w:rPr>
                <w:sz w:val="18"/>
                <w:szCs w:val="18"/>
              </w:rPr>
              <w:t>Turnaround Practice 3. Student-Specific Supports and Instruction to All Students</w:t>
            </w:r>
          </w:p>
        </w:tc>
      </w:tr>
      <w:tr w:rsidR="00DC5D7C" w:rsidRPr="001211E0" w:rsidTr="00DC5D7C">
        <w:trPr>
          <w:cnfStyle w:val="100000000000"/>
          <w:trHeight w:val="432"/>
          <w:tblHeader/>
          <w:jc w:val="center"/>
        </w:trPr>
        <w:tc>
          <w:tcPr>
            <w:tcW w:w="264" w:type="pct"/>
            <w:shd w:val="clear" w:color="auto" w:fill="D0DFEF" w:themeFill="text2" w:themeFillTint="33"/>
            <w:vAlign w:val="center"/>
          </w:tcPr>
          <w:p w:rsidR="00DC5D7C" w:rsidRPr="001211E0" w:rsidRDefault="00DC5D7C" w:rsidP="00C630AF">
            <w:pPr>
              <w:pStyle w:val="TurnaroundTableTextBold"/>
              <w:keepNext/>
              <w:jc w:val="center"/>
              <w:rPr>
                <w:sz w:val="18"/>
                <w:szCs w:val="18"/>
              </w:rPr>
            </w:pPr>
          </w:p>
        </w:tc>
        <w:tc>
          <w:tcPr>
            <w:tcW w:w="716"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Indicators</w:t>
            </w:r>
          </w:p>
        </w:tc>
        <w:tc>
          <w:tcPr>
            <w:tcW w:w="790"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No Evidence</w:t>
            </w:r>
          </w:p>
        </w:tc>
        <w:tc>
          <w:tcPr>
            <w:tcW w:w="1110"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Developing</w:t>
            </w:r>
          </w:p>
        </w:tc>
        <w:tc>
          <w:tcPr>
            <w:tcW w:w="1011"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Providing</w:t>
            </w:r>
          </w:p>
        </w:tc>
        <w:tc>
          <w:tcPr>
            <w:tcW w:w="1109"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Sustaining</w:t>
            </w:r>
          </w:p>
        </w:tc>
      </w:tr>
      <w:tr w:rsidR="00DC5D7C" w:rsidRPr="001211E0" w:rsidTr="00DC5D7C">
        <w:trPr>
          <w:jc w:val="center"/>
        </w:trPr>
        <w:tc>
          <w:tcPr>
            <w:tcW w:w="264" w:type="pct"/>
          </w:tcPr>
          <w:p w:rsidR="00DC5D7C" w:rsidRPr="001211E0" w:rsidRDefault="00DC5D7C" w:rsidP="00C227C5">
            <w:pPr>
              <w:pStyle w:val="TableColHeadingLeft"/>
              <w:rPr>
                <w:sz w:val="18"/>
                <w:szCs w:val="18"/>
              </w:rPr>
            </w:pPr>
            <w:r w:rsidRPr="001211E0">
              <w:rPr>
                <w:sz w:val="18"/>
                <w:szCs w:val="18"/>
              </w:rPr>
              <w:t>3.1</w:t>
            </w:r>
          </w:p>
        </w:tc>
        <w:tc>
          <w:tcPr>
            <w:tcW w:w="716" w:type="pct"/>
          </w:tcPr>
          <w:p w:rsidR="00DC5D7C" w:rsidRPr="001211E0" w:rsidRDefault="00DC5D7C" w:rsidP="00C227C5">
            <w:pPr>
              <w:pStyle w:val="TableText"/>
              <w:rPr>
                <w:b/>
                <w:sz w:val="18"/>
                <w:szCs w:val="18"/>
              </w:rPr>
            </w:pPr>
            <w:r>
              <w:rPr>
                <w:sz w:val="18"/>
                <w:szCs w:val="18"/>
              </w:rPr>
              <w:t xml:space="preserve">General </w:t>
            </w:r>
            <w:r w:rsidRPr="001211E0">
              <w:rPr>
                <w:sz w:val="18"/>
                <w:szCs w:val="18"/>
              </w:rPr>
              <w:t>Academic Interventions</w:t>
            </w:r>
            <w:r>
              <w:rPr>
                <w:sz w:val="18"/>
                <w:szCs w:val="18"/>
              </w:rPr>
              <w:t xml:space="preserve"> and Enrichment</w:t>
            </w:r>
          </w:p>
        </w:tc>
        <w:tc>
          <w:tcPr>
            <w:tcW w:w="790" w:type="pct"/>
          </w:tcPr>
          <w:p w:rsidR="00DC5D7C" w:rsidRPr="001211E0" w:rsidRDefault="00DC5D7C" w:rsidP="007A261D">
            <w:pPr>
              <w:pStyle w:val="TableText"/>
              <w:rPr>
                <w:sz w:val="18"/>
                <w:szCs w:val="18"/>
              </w:rPr>
            </w:pPr>
            <w:r w:rsidRPr="001211E0">
              <w:rPr>
                <w:sz w:val="18"/>
                <w:szCs w:val="18"/>
              </w:rPr>
              <w:t>Structured academic interventions and enrichment opportunities (e.g., tiered system of support) are not in place</w:t>
            </w:r>
            <w:r>
              <w:rPr>
                <w:sz w:val="18"/>
                <w:szCs w:val="18"/>
              </w:rPr>
              <w:t>.</w:t>
            </w:r>
            <w:r w:rsidRPr="001211E0">
              <w:rPr>
                <w:sz w:val="18"/>
                <w:szCs w:val="18"/>
              </w:rPr>
              <w:t xml:space="preserve"> </w:t>
            </w:r>
            <w:r>
              <w:rPr>
                <w:sz w:val="18"/>
                <w:szCs w:val="18"/>
              </w:rPr>
              <w:t>O</w:t>
            </w:r>
            <w:r w:rsidRPr="001211E0">
              <w:rPr>
                <w:sz w:val="18"/>
                <w:szCs w:val="18"/>
              </w:rPr>
              <w:t>r</w:t>
            </w:r>
            <w:r>
              <w:rPr>
                <w:sz w:val="18"/>
                <w:szCs w:val="18"/>
              </w:rPr>
              <w:t>,</w:t>
            </w:r>
            <w:r w:rsidRPr="001211E0">
              <w:rPr>
                <w:sz w:val="18"/>
                <w:szCs w:val="18"/>
              </w:rPr>
              <w:t xml:space="preserve"> if interventions and enrichment are provided, they are not based on research or promising practices. </w:t>
            </w:r>
          </w:p>
        </w:tc>
        <w:tc>
          <w:tcPr>
            <w:tcW w:w="1110" w:type="pct"/>
          </w:tcPr>
          <w:p w:rsidR="00DC5D7C" w:rsidRPr="001211E0" w:rsidRDefault="00DC5D7C" w:rsidP="00DF734C">
            <w:pPr>
              <w:pStyle w:val="TableText"/>
              <w:rPr>
                <w:sz w:val="18"/>
                <w:szCs w:val="18"/>
              </w:rPr>
            </w:pPr>
            <w:r w:rsidRPr="001211E0">
              <w:rPr>
                <w:sz w:val="18"/>
                <w:szCs w:val="18"/>
              </w:rPr>
              <w:t>Specific, research-based interventions and enrichment experiences are defined and planned but may not be consistently or system</w:t>
            </w:r>
            <w:r>
              <w:rPr>
                <w:sz w:val="18"/>
                <w:szCs w:val="18"/>
              </w:rPr>
              <w:t>at</w:t>
            </w:r>
            <w:r w:rsidRPr="001211E0">
              <w:rPr>
                <w:sz w:val="18"/>
                <w:szCs w:val="18"/>
              </w:rPr>
              <w:t>ically implemented (e.g., tiered system of support)</w:t>
            </w:r>
            <w:r>
              <w:rPr>
                <w:sz w:val="18"/>
                <w:szCs w:val="18"/>
              </w:rPr>
              <w:t xml:space="preserve"> or</w:t>
            </w:r>
            <w:r w:rsidRPr="001211E0">
              <w:rPr>
                <w:sz w:val="18"/>
                <w:szCs w:val="18"/>
              </w:rPr>
              <w:t xml:space="preserve"> available to all students</w:t>
            </w:r>
            <w:r>
              <w:rPr>
                <w:sz w:val="18"/>
                <w:szCs w:val="18"/>
              </w:rPr>
              <w:t>.</w:t>
            </w:r>
          </w:p>
        </w:tc>
        <w:tc>
          <w:tcPr>
            <w:tcW w:w="1011" w:type="pct"/>
          </w:tcPr>
          <w:p w:rsidR="00DC5D7C" w:rsidRPr="001211E0" w:rsidRDefault="00DC5D7C" w:rsidP="001E3C68">
            <w:pPr>
              <w:pStyle w:val="TableText"/>
              <w:rPr>
                <w:sz w:val="18"/>
                <w:szCs w:val="18"/>
              </w:rPr>
            </w:pPr>
            <w:r w:rsidRPr="001211E0">
              <w:rPr>
                <w:sz w:val="18"/>
                <w:szCs w:val="18"/>
              </w:rPr>
              <w:t>Specific, research-based interventions and enrichment experiences are defined and planned and regularly provided, although student participation is not system</w:t>
            </w:r>
            <w:r>
              <w:rPr>
                <w:sz w:val="18"/>
                <w:szCs w:val="18"/>
              </w:rPr>
              <w:t>at</w:t>
            </w:r>
            <w:r w:rsidRPr="001211E0">
              <w:rPr>
                <w:sz w:val="18"/>
                <w:szCs w:val="18"/>
              </w:rPr>
              <w:t>ic (e.g., tiered system of support)</w:t>
            </w:r>
            <w:r>
              <w:rPr>
                <w:sz w:val="18"/>
                <w:szCs w:val="18"/>
              </w:rPr>
              <w:t>, or interventions are not comprehensive (e.g., available for both English language arts and mathematics)</w:t>
            </w:r>
            <w:r w:rsidRPr="001211E0">
              <w:rPr>
                <w:sz w:val="18"/>
                <w:szCs w:val="18"/>
              </w:rPr>
              <w:t xml:space="preserve">. Barriers may include scheduling conflicts or other structural </w:t>
            </w:r>
            <w:r>
              <w:rPr>
                <w:sz w:val="18"/>
                <w:szCs w:val="18"/>
              </w:rPr>
              <w:t>challenges</w:t>
            </w:r>
            <w:r w:rsidRPr="001211E0">
              <w:rPr>
                <w:sz w:val="18"/>
                <w:szCs w:val="18"/>
              </w:rPr>
              <w:t xml:space="preserve">. </w:t>
            </w:r>
          </w:p>
        </w:tc>
        <w:tc>
          <w:tcPr>
            <w:tcW w:w="1109" w:type="pct"/>
          </w:tcPr>
          <w:p w:rsidR="00DC5D7C" w:rsidRPr="00F6597E" w:rsidRDefault="00DC5D7C" w:rsidP="001E3C68">
            <w:pPr>
              <w:pStyle w:val="TableText"/>
              <w:rPr>
                <w:sz w:val="18"/>
                <w:szCs w:val="18"/>
              </w:rPr>
            </w:pPr>
            <w:r w:rsidRPr="00F6597E">
              <w:rPr>
                <w:sz w:val="18"/>
                <w:szCs w:val="18"/>
              </w:rPr>
              <w:t>All students experience research-based academic interventions appropriate for their specific needs. These best practices and enrichment opportunities are implemented systematically during regularly scheduled school time</w:t>
            </w:r>
            <w:r>
              <w:rPr>
                <w:sz w:val="18"/>
                <w:szCs w:val="18"/>
              </w:rPr>
              <w:t xml:space="preserve"> and for all core content areas</w:t>
            </w:r>
            <w:r w:rsidRPr="00F6597E">
              <w:rPr>
                <w:sz w:val="18"/>
                <w:szCs w:val="18"/>
              </w:rPr>
              <w:t xml:space="preserve"> through a robust tiered system of support.</w:t>
            </w:r>
          </w:p>
        </w:tc>
      </w:tr>
      <w:tr w:rsidR="00DC5D7C" w:rsidRPr="001211E0" w:rsidTr="00DC5D7C">
        <w:trPr>
          <w:jc w:val="center"/>
        </w:trPr>
        <w:tc>
          <w:tcPr>
            <w:tcW w:w="264" w:type="pct"/>
          </w:tcPr>
          <w:p w:rsidR="00DC5D7C" w:rsidRPr="001211E0" w:rsidRDefault="00DC5D7C" w:rsidP="004E0199">
            <w:pPr>
              <w:pStyle w:val="TableColHeadingLeft"/>
              <w:rPr>
                <w:sz w:val="18"/>
                <w:szCs w:val="18"/>
              </w:rPr>
            </w:pPr>
            <w:r w:rsidRPr="001211E0">
              <w:rPr>
                <w:sz w:val="18"/>
                <w:szCs w:val="18"/>
              </w:rPr>
              <w:t>3.2</w:t>
            </w:r>
          </w:p>
        </w:tc>
        <w:tc>
          <w:tcPr>
            <w:tcW w:w="716" w:type="pct"/>
          </w:tcPr>
          <w:p w:rsidR="00DC5D7C" w:rsidRPr="001211E0" w:rsidRDefault="00DC5D7C" w:rsidP="001E3C68">
            <w:pPr>
              <w:pStyle w:val="TableText"/>
              <w:rPr>
                <w:b/>
                <w:sz w:val="18"/>
                <w:szCs w:val="18"/>
              </w:rPr>
            </w:pPr>
            <w:r w:rsidRPr="001211E0">
              <w:rPr>
                <w:sz w:val="18"/>
                <w:szCs w:val="18"/>
              </w:rPr>
              <w:t xml:space="preserve">Teacher </w:t>
            </w:r>
            <w:r>
              <w:rPr>
                <w:sz w:val="18"/>
                <w:szCs w:val="18"/>
              </w:rPr>
              <w:t xml:space="preserve">Training to </w:t>
            </w:r>
            <w:r w:rsidRPr="001211E0">
              <w:rPr>
                <w:sz w:val="18"/>
                <w:szCs w:val="18"/>
              </w:rPr>
              <w:t>Identif</w:t>
            </w:r>
            <w:r>
              <w:rPr>
                <w:sz w:val="18"/>
                <w:szCs w:val="18"/>
              </w:rPr>
              <w:t>y</w:t>
            </w:r>
            <w:r w:rsidRPr="001211E0">
              <w:rPr>
                <w:sz w:val="18"/>
                <w:szCs w:val="18"/>
              </w:rPr>
              <w:t xml:space="preserve"> Student Needs</w:t>
            </w:r>
            <w:r>
              <w:rPr>
                <w:sz w:val="18"/>
                <w:szCs w:val="18"/>
              </w:rPr>
              <w:t xml:space="preserve"> (Academic and Nonacademic)</w:t>
            </w:r>
          </w:p>
        </w:tc>
        <w:tc>
          <w:tcPr>
            <w:tcW w:w="790" w:type="pct"/>
          </w:tcPr>
          <w:p w:rsidR="00DC5D7C" w:rsidRPr="001211E0" w:rsidRDefault="00DC5D7C" w:rsidP="00112BA5">
            <w:pPr>
              <w:pStyle w:val="TableText"/>
              <w:rPr>
                <w:sz w:val="18"/>
                <w:szCs w:val="18"/>
              </w:rPr>
            </w:pPr>
            <w:r w:rsidRPr="001211E0">
              <w:rPr>
                <w:sz w:val="18"/>
                <w:szCs w:val="18"/>
              </w:rPr>
              <w:t>Staff members are provided with</w:t>
            </w:r>
            <w:r>
              <w:rPr>
                <w:sz w:val="18"/>
                <w:szCs w:val="18"/>
              </w:rPr>
              <w:t xml:space="preserve"> little</w:t>
            </w:r>
            <w:r w:rsidRPr="001211E0">
              <w:rPr>
                <w:sz w:val="18"/>
                <w:szCs w:val="18"/>
              </w:rPr>
              <w:t xml:space="preserve"> </w:t>
            </w:r>
            <w:r>
              <w:rPr>
                <w:sz w:val="18"/>
                <w:szCs w:val="18"/>
              </w:rPr>
              <w:t xml:space="preserve">to no </w:t>
            </w:r>
            <w:r w:rsidRPr="001211E0">
              <w:rPr>
                <w:sz w:val="18"/>
                <w:szCs w:val="18"/>
              </w:rPr>
              <w:t xml:space="preserve">training or support </w:t>
            </w:r>
            <w:r>
              <w:rPr>
                <w:sz w:val="18"/>
                <w:szCs w:val="18"/>
              </w:rPr>
              <w:t>on</w:t>
            </w:r>
            <w:r w:rsidRPr="001211E0">
              <w:rPr>
                <w:sz w:val="18"/>
                <w:szCs w:val="18"/>
              </w:rPr>
              <w:t xml:space="preserve"> how to identify and address student needs.</w:t>
            </w:r>
          </w:p>
        </w:tc>
        <w:tc>
          <w:tcPr>
            <w:tcW w:w="1110" w:type="pct"/>
          </w:tcPr>
          <w:p w:rsidR="00DC5D7C" w:rsidRPr="001211E0" w:rsidRDefault="00DC5D7C" w:rsidP="001E3C68">
            <w:pPr>
              <w:pStyle w:val="TableText"/>
              <w:rPr>
                <w:sz w:val="18"/>
                <w:szCs w:val="18"/>
              </w:rPr>
            </w:pPr>
            <w:r w:rsidRPr="001211E0">
              <w:rPr>
                <w:sz w:val="18"/>
                <w:szCs w:val="18"/>
              </w:rPr>
              <w:t>Some staff members</w:t>
            </w:r>
            <w:r>
              <w:rPr>
                <w:sz w:val="18"/>
                <w:szCs w:val="18"/>
              </w:rPr>
              <w:t xml:space="preserve"> </w:t>
            </w:r>
            <w:r w:rsidRPr="001211E0">
              <w:rPr>
                <w:sz w:val="18"/>
                <w:szCs w:val="18"/>
              </w:rPr>
              <w:t xml:space="preserve">are provided with training and support regarding how to identify and address </w:t>
            </w:r>
            <w:r>
              <w:rPr>
                <w:sz w:val="18"/>
                <w:szCs w:val="18"/>
              </w:rPr>
              <w:t xml:space="preserve">at least one area of </w:t>
            </w:r>
            <w:r w:rsidRPr="001211E0">
              <w:rPr>
                <w:sz w:val="18"/>
                <w:szCs w:val="18"/>
              </w:rPr>
              <w:t xml:space="preserve">student need. </w:t>
            </w:r>
            <w:r>
              <w:rPr>
                <w:sz w:val="18"/>
                <w:szCs w:val="18"/>
              </w:rPr>
              <w:t>However, training is not provided to all appropriate staff members or is not provided for all areas of student need (e.g., both academic and nonacademic).</w:t>
            </w:r>
          </w:p>
        </w:tc>
        <w:tc>
          <w:tcPr>
            <w:tcW w:w="1011" w:type="pct"/>
          </w:tcPr>
          <w:p w:rsidR="00DC5D7C" w:rsidRPr="001211E0" w:rsidRDefault="00DC5D7C" w:rsidP="001E3C68">
            <w:pPr>
              <w:pStyle w:val="TableText"/>
              <w:rPr>
                <w:sz w:val="18"/>
                <w:szCs w:val="18"/>
              </w:rPr>
            </w:pPr>
            <w:r>
              <w:rPr>
                <w:sz w:val="18"/>
                <w:szCs w:val="18"/>
              </w:rPr>
              <w:t xml:space="preserve">Most </w:t>
            </w:r>
            <w:r w:rsidRPr="001211E0">
              <w:rPr>
                <w:sz w:val="18"/>
                <w:szCs w:val="18"/>
              </w:rPr>
              <w:t>staff members are provided with training and support to ensure</w:t>
            </w:r>
            <w:r>
              <w:rPr>
                <w:sz w:val="18"/>
                <w:szCs w:val="18"/>
              </w:rPr>
              <w:t xml:space="preserve"> that they can identify both academic and nonacademic student needs.</w:t>
            </w:r>
            <w:r w:rsidRPr="001211E0">
              <w:rPr>
                <w:sz w:val="18"/>
                <w:szCs w:val="18"/>
              </w:rPr>
              <w:t xml:space="preserve"> </w:t>
            </w:r>
            <w:r>
              <w:rPr>
                <w:sz w:val="18"/>
                <w:szCs w:val="18"/>
              </w:rPr>
              <w:t>However,</w:t>
            </w:r>
            <w:r w:rsidRPr="001211E0">
              <w:rPr>
                <w:sz w:val="18"/>
                <w:szCs w:val="18"/>
              </w:rPr>
              <w:t xml:space="preserve"> </w:t>
            </w:r>
            <w:proofErr w:type="gramStart"/>
            <w:r w:rsidRPr="001211E0">
              <w:rPr>
                <w:sz w:val="18"/>
                <w:szCs w:val="18"/>
              </w:rPr>
              <w:t>staff do</w:t>
            </w:r>
            <w:proofErr w:type="gramEnd"/>
            <w:r w:rsidRPr="001211E0">
              <w:rPr>
                <w:sz w:val="18"/>
                <w:szCs w:val="18"/>
              </w:rPr>
              <w:t xml:space="preserve"> not </w:t>
            </w:r>
            <w:r>
              <w:rPr>
                <w:sz w:val="18"/>
                <w:szCs w:val="18"/>
              </w:rPr>
              <w:t>receive training or support on how to</w:t>
            </w:r>
            <w:r w:rsidRPr="001211E0">
              <w:rPr>
                <w:sz w:val="18"/>
                <w:szCs w:val="18"/>
              </w:rPr>
              <w:t> </w:t>
            </w:r>
            <w:r w:rsidRPr="00B91311">
              <w:rPr>
                <w:sz w:val="18"/>
                <w:szCs w:val="18"/>
              </w:rPr>
              <w:t>respond appropriately to those cues</w:t>
            </w:r>
            <w:r>
              <w:rPr>
                <w:sz w:val="18"/>
                <w:szCs w:val="18"/>
              </w:rPr>
              <w:t>,</w:t>
            </w:r>
            <w:r w:rsidRPr="00B91311">
              <w:rPr>
                <w:sz w:val="18"/>
                <w:szCs w:val="18"/>
              </w:rPr>
              <w:t xml:space="preserve"> or </w:t>
            </w:r>
            <w:r>
              <w:rPr>
                <w:sz w:val="18"/>
                <w:szCs w:val="18"/>
              </w:rPr>
              <w:t xml:space="preserve">staff </w:t>
            </w:r>
            <w:r w:rsidRPr="00B91311">
              <w:rPr>
                <w:sz w:val="18"/>
                <w:szCs w:val="18"/>
              </w:rPr>
              <w:t>fail to consistently respond to those cues despite training.</w:t>
            </w:r>
          </w:p>
        </w:tc>
        <w:tc>
          <w:tcPr>
            <w:tcW w:w="1109" w:type="pct"/>
          </w:tcPr>
          <w:p w:rsidR="00DC5D7C" w:rsidRPr="00F6597E" w:rsidRDefault="00DC5D7C" w:rsidP="00B66747">
            <w:pPr>
              <w:pStyle w:val="TableText"/>
              <w:rPr>
                <w:sz w:val="18"/>
                <w:szCs w:val="18"/>
              </w:rPr>
            </w:pPr>
            <w:r w:rsidRPr="00F6597E">
              <w:rPr>
                <w:sz w:val="18"/>
                <w:szCs w:val="18"/>
              </w:rPr>
              <w:t>Most staff members are provided with training and support to ensure that they</w:t>
            </w:r>
            <w:r>
              <w:rPr>
                <w:sz w:val="18"/>
                <w:szCs w:val="18"/>
              </w:rPr>
              <w:t>:</w:t>
            </w:r>
            <w:r w:rsidRPr="00F6597E">
              <w:rPr>
                <w:sz w:val="18"/>
                <w:szCs w:val="18"/>
              </w:rPr>
              <w:t xml:space="preserve"> (1) identify cues when students need additional assistance </w:t>
            </w:r>
            <w:r>
              <w:rPr>
                <w:sz w:val="18"/>
                <w:szCs w:val="18"/>
              </w:rPr>
              <w:t xml:space="preserve">(both academic and nonacademic) </w:t>
            </w:r>
            <w:r w:rsidRPr="00F6597E">
              <w:rPr>
                <w:sz w:val="18"/>
                <w:szCs w:val="18"/>
              </w:rPr>
              <w:t>and (2) respond appropriately to those cues.</w:t>
            </w:r>
          </w:p>
        </w:tc>
      </w:tr>
      <w:tr w:rsidR="00DC5D7C" w:rsidRPr="001211E0" w:rsidTr="00DC5D7C">
        <w:trPr>
          <w:jc w:val="center"/>
        </w:trPr>
        <w:tc>
          <w:tcPr>
            <w:tcW w:w="264" w:type="pct"/>
          </w:tcPr>
          <w:p w:rsidR="00DC5D7C" w:rsidRPr="001211E0" w:rsidRDefault="00DC5D7C" w:rsidP="004E0199">
            <w:pPr>
              <w:pStyle w:val="TableColHeadingLeft"/>
              <w:rPr>
                <w:sz w:val="18"/>
                <w:szCs w:val="18"/>
              </w:rPr>
            </w:pPr>
            <w:r w:rsidRPr="001211E0">
              <w:rPr>
                <w:sz w:val="18"/>
                <w:szCs w:val="18"/>
              </w:rPr>
              <w:lastRenderedPageBreak/>
              <w:t>3.3</w:t>
            </w:r>
          </w:p>
        </w:tc>
        <w:tc>
          <w:tcPr>
            <w:tcW w:w="716" w:type="pct"/>
          </w:tcPr>
          <w:p w:rsidR="00DC5D7C" w:rsidRPr="001211E0" w:rsidRDefault="00DC5D7C" w:rsidP="004E0199">
            <w:pPr>
              <w:pStyle w:val="TableText"/>
              <w:rPr>
                <w:sz w:val="18"/>
                <w:szCs w:val="18"/>
              </w:rPr>
            </w:pPr>
            <w:r>
              <w:rPr>
                <w:sz w:val="18"/>
                <w:szCs w:val="18"/>
              </w:rPr>
              <w:t xml:space="preserve">Determining </w:t>
            </w:r>
            <w:proofErr w:type="spellStart"/>
            <w:r w:rsidRPr="001211E0">
              <w:rPr>
                <w:sz w:val="18"/>
                <w:szCs w:val="18"/>
              </w:rPr>
              <w:t>Schoolwide</w:t>
            </w:r>
            <w:proofErr w:type="spellEnd"/>
            <w:r w:rsidRPr="001211E0">
              <w:rPr>
                <w:sz w:val="18"/>
                <w:szCs w:val="18"/>
              </w:rPr>
              <w:t xml:space="preserve"> Student Supports</w:t>
            </w:r>
            <w:r>
              <w:rPr>
                <w:sz w:val="18"/>
                <w:szCs w:val="18"/>
              </w:rPr>
              <w:t xml:space="preserve"> (Academic Interventions and Enrichment)</w:t>
            </w:r>
          </w:p>
        </w:tc>
        <w:tc>
          <w:tcPr>
            <w:tcW w:w="790" w:type="pct"/>
          </w:tcPr>
          <w:p w:rsidR="00DC5D7C" w:rsidRPr="001211E0" w:rsidRDefault="00DC5D7C" w:rsidP="004E0199">
            <w:pPr>
              <w:pStyle w:val="TableText"/>
              <w:rPr>
                <w:sz w:val="18"/>
                <w:szCs w:val="18"/>
              </w:rPr>
            </w:pPr>
            <w:r w:rsidRPr="001211E0">
              <w:rPr>
                <w:sz w:val="18"/>
                <w:szCs w:val="18"/>
              </w:rPr>
              <w:t>Specific student academic intervention and enrichment needs are neither identified nor diagnosed.</w:t>
            </w:r>
          </w:p>
        </w:tc>
        <w:tc>
          <w:tcPr>
            <w:tcW w:w="1110" w:type="pct"/>
          </w:tcPr>
          <w:p w:rsidR="00DC5D7C" w:rsidRPr="001211E0" w:rsidRDefault="00DC5D7C" w:rsidP="004E0199">
            <w:pPr>
              <w:pStyle w:val="TableText"/>
              <w:rPr>
                <w:sz w:val="18"/>
                <w:szCs w:val="18"/>
              </w:rPr>
            </w:pPr>
            <w:r w:rsidRPr="001211E0">
              <w:rPr>
                <w:sz w:val="18"/>
                <w:szCs w:val="18"/>
              </w:rPr>
              <w:t>Specific student academic intervention and enrichment needs are diagnosed and identified annually or once a semester.</w:t>
            </w:r>
          </w:p>
        </w:tc>
        <w:tc>
          <w:tcPr>
            <w:tcW w:w="1011" w:type="pct"/>
          </w:tcPr>
          <w:p w:rsidR="00DC5D7C" w:rsidRPr="001211E0" w:rsidRDefault="00DC5D7C" w:rsidP="004E0199">
            <w:pPr>
              <w:pStyle w:val="TableText"/>
              <w:rPr>
                <w:sz w:val="18"/>
                <w:szCs w:val="18"/>
              </w:rPr>
            </w:pPr>
            <w:r w:rsidRPr="001211E0">
              <w:rPr>
                <w:sz w:val="18"/>
                <w:szCs w:val="18"/>
              </w:rPr>
              <w:t>Student academic performance is reviewed regularly throughout the school year to monitor progress and to identify emerging needs</w:t>
            </w:r>
            <w:r>
              <w:rPr>
                <w:sz w:val="18"/>
                <w:szCs w:val="18"/>
              </w:rPr>
              <w:t>; however, students are not reassigned to interventions as needed throughout the school year</w:t>
            </w:r>
            <w:r w:rsidRPr="001211E0">
              <w:rPr>
                <w:sz w:val="18"/>
                <w:szCs w:val="18"/>
              </w:rPr>
              <w:t xml:space="preserve">. </w:t>
            </w:r>
          </w:p>
        </w:tc>
        <w:tc>
          <w:tcPr>
            <w:tcW w:w="1109" w:type="pct"/>
          </w:tcPr>
          <w:p w:rsidR="00DC5D7C" w:rsidRPr="00F6597E" w:rsidRDefault="00DC5D7C" w:rsidP="00B66747">
            <w:pPr>
              <w:pStyle w:val="TableText"/>
              <w:rPr>
                <w:spacing w:val="-4"/>
                <w:sz w:val="18"/>
                <w:szCs w:val="18"/>
              </w:rPr>
            </w:pPr>
            <w:r w:rsidRPr="00F6597E">
              <w:rPr>
                <w:spacing w:val="-4"/>
                <w:sz w:val="18"/>
                <w:szCs w:val="18"/>
              </w:rPr>
              <w:t>Student learning and academic performance is regularly reviewed (at least once a month) throughout the school year</w:t>
            </w:r>
            <w:r>
              <w:rPr>
                <w:spacing w:val="-4"/>
                <w:sz w:val="18"/>
                <w:szCs w:val="18"/>
              </w:rPr>
              <w:t>,</w:t>
            </w:r>
            <w:r w:rsidRPr="00F6597E">
              <w:rPr>
                <w:spacing w:val="-4"/>
                <w:sz w:val="18"/>
                <w:szCs w:val="18"/>
              </w:rPr>
              <w:t xml:space="preserve"> using a wide array of ongoing assessments to identify student-specific and </w:t>
            </w:r>
            <w:proofErr w:type="spellStart"/>
            <w:r w:rsidRPr="00F6597E">
              <w:rPr>
                <w:spacing w:val="-4"/>
                <w:sz w:val="18"/>
                <w:szCs w:val="18"/>
              </w:rPr>
              <w:t>schoolwide</w:t>
            </w:r>
            <w:proofErr w:type="spellEnd"/>
            <w:r w:rsidRPr="00F6597E">
              <w:rPr>
                <w:spacing w:val="-4"/>
                <w:sz w:val="18"/>
                <w:szCs w:val="18"/>
              </w:rPr>
              <w:t xml:space="preserve"> emerging needs. Students are reassigned to interventions, enrichment, and supports</w:t>
            </w:r>
            <w:r>
              <w:rPr>
                <w:spacing w:val="-4"/>
                <w:sz w:val="18"/>
                <w:szCs w:val="18"/>
              </w:rPr>
              <w:t>,</w:t>
            </w:r>
            <w:r w:rsidRPr="00F6597E">
              <w:rPr>
                <w:spacing w:val="-4"/>
                <w:sz w:val="18"/>
                <w:szCs w:val="18"/>
              </w:rPr>
              <w:t xml:space="preserve"> as needed</w:t>
            </w:r>
            <w:r>
              <w:rPr>
                <w:spacing w:val="-4"/>
                <w:sz w:val="18"/>
                <w:szCs w:val="18"/>
              </w:rPr>
              <w:t>,</w:t>
            </w:r>
            <w:r w:rsidRPr="00F6597E">
              <w:rPr>
                <w:spacing w:val="-4"/>
                <w:sz w:val="18"/>
                <w:szCs w:val="18"/>
              </w:rPr>
              <w:t xml:space="preserve"> throughout the school year.</w:t>
            </w:r>
          </w:p>
        </w:tc>
      </w:tr>
      <w:tr w:rsidR="00DC5D7C" w:rsidRPr="001211E0" w:rsidTr="00DC5D7C">
        <w:trPr>
          <w:jc w:val="center"/>
        </w:trPr>
        <w:tc>
          <w:tcPr>
            <w:tcW w:w="264" w:type="pct"/>
          </w:tcPr>
          <w:p w:rsidR="00DC5D7C" w:rsidRPr="001211E0" w:rsidRDefault="00DC5D7C" w:rsidP="004E0199">
            <w:pPr>
              <w:pStyle w:val="TableColHeadingLeft"/>
              <w:rPr>
                <w:sz w:val="18"/>
                <w:szCs w:val="18"/>
              </w:rPr>
            </w:pPr>
            <w:r w:rsidRPr="001211E0">
              <w:rPr>
                <w:sz w:val="18"/>
                <w:szCs w:val="18"/>
              </w:rPr>
              <w:t>3.4</w:t>
            </w:r>
          </w:p>
        </w:tc>
        <w:tc>
          <w:tcPr>
            <w:tcW w:w="716" w:type="pct"/>
          </w:tcPr>
          <w:p w:rsidR="00DC5D7C" w:rsidRPr="001211E0" w:rsidRDefault="00DC5D7C" w:rsidP="00B66747">
            <w:pPr>
              <w:pStyle w:val="TableText"/>
              <w:rPr>
                <w:sz w:val="18"/>
                <w:szCs w:val="18"/>
              </w:rPr>
            </w:pPr>
            <w:proofErr w:type="spellStart"/>
            <w:r w:rsidRPr="001211E0">
              <w:rPr>
                <w:sz w:val="18"/>
                <w:szCs w:val="18"/>
              </w:rPr>
              <w:t>Multitiered</w:t>
            </w:r>
            <w:proofErr w:type="spellEnd"/>
            <w:r w:rsidRPr="001211E0">
              <w:rPr>
                <w:sz w:val="18"/>
                <w:szCs w:val="18"/>
              </w:rPr>
              <w:t xml:space="preserve"> System of Support</w:t>
            </w:r>
            <w:r>
              <w:rPr>
                <w:sz w:val="18"/>
                <w:szCs w:val="18"/>
              </w:rPr>
              <w:t xml:space="preserve"> (Academic and Nonacademic)</w:t>
            </w:r>
          </w:p>
        </w:tc>
        <w:tc>
          <w:tcPr>
            <w:tcW w:w="790" w:type="pct"/>
          </w:tcPr>
          <w:p w:rsidR="00DC5D7C" w:rsidRPr="001211E0" w:rsidRDefault="00DC5D7C" w:rsidP="004E0199">
            <w:pPr>
              <w:pStyle w:val="TableText"/>
              <w:rPr>
                <w:sz w:val="18"/>
                <w:szCs w:val="18"/>
              </w:rPr>
            </w:pPr>
            <w:r w:rsidRPr="001211E0">
              <w:rPr>
                <w:sz w:val="18"/>
                <w:szCs w:val="18"/>
              </w:rPr>
              <w:t>No system is in place to guide how to identify students in need of support or the necessary interventions and supports for those students. Leaders have not defined entry and exit criteria to identify struggling students in interventions. Students are assigned to interventions</w:t>
            </w:r>
            <w:r>
              <w:rPr>
                <w:sz w:val="18"/>
                <w:szCs w:val="18"/>
              </w:rPr>
              <w:t>,</w:t>
            </w:r>
            <w:r w:rsidRPr="001211E0">
              <w:rPr>
                <w:sz w:val="18"/>
                <w:szCs w:val="18"/>
              </w:rPr>
              <w:t xml:space="preserve"> using a wide range of information and processes that are not consistent across the school.</w:t>
            </w:r>
          </w:p>
        </w:tc>
        <w:tc>
          <w:tcPr>
            <w:tcW w:w="1110" w:type="pct"/>
          </w:tcPr>
          <w:p w:rsidR="00DC5D7C" w:rsidRPr="001211E0" w:rsidRDefault="00DC5D7C" w:rsidP="00826E72">
            <w:pPr>
              <w:pStyle w:val="TableText"/>
              <w:rPr>
                <w:spacing w:val="-4"/>
                <w:sz w:val="18"/>
                <w:szCs w:val="18"/>
              </w:rPr>
            </w:pPr>
            <w:r w:rsidRPr="001211E0">
              <w:rPr>
                <w:spacing w:val="-4"/>
                <w:sz w:val="18"/>
                <w:szCs w:val="18"/>
              </w:rPr>
              <w:t>Leaders have defined but not clearly communicated entry and exit criteria for identified struggling students. Student</w:t>
            </w:r>
            <w:r>
              <w:rPr>
                <w:spacing w:val="-4"/>
                <w:sz w:val="18"/>
                <w:szCs w:val="18"/>
              </w:rPr>
              <w:t>s are</w:t>
            </w:r>
            <w:r w:rsidRPr="001211E0">
              <w:rPr>
                <w:spacing w:val="-4"/>
                <w:sz w:val="18"/>
                <w:szCs w:val="18"/>
              </w:rPr>
              <w:t xml:space="preserve"> assign</w:t>
            </w:r>
            <w:r>
              <w:rPr>
                <w:spacing w:val="-4"/>
                <w:sz w:val="18"/>
                <w:szCs w:val="18"/>
              </w:rPr>
              <w:t>ed</w:t>
            </w:r>
            <w:r w:rsidRPr="001211E0">
              <w:rPr>
                <w:spacing w:val="-4"/>
                <w:sz w:val="18"/>
                <w:szCs w:val="18"/>
              </w:rPr>
              <w:t xml:space="preserve"> to interventions with a limited application of the entry criteria, and student progress is not consistently or systemically monitored during the school year. The system meets one of the following three conditions: (1) </w:t>
            </w:r>
            <w:r>
              <w:rPr>
                <w:spacing w:val="-4"/>
                <w:sz w:val="18"/>
                <w:szCs w:val="18"/>
              </w:rPr>
              <w:t>S</w:t>
            </w:r>
            <w:r w:rsidRPr="001211E0">
              <w:rPr>
                <w:spacing w:val="-4"/>
                <w:sz w:val="18"/>
                <w:szCs w:val="18"/>
              </w:rPr>
              <w:t xml:space="preserve">taff members follow consistent rules and procedures that identify when students are in need of additional assistance; (2) a team of appropriate staff and stakeholders makes decisions about needed interventions and supports; or (3) staff members follow consistent rules and procedures when monitoring the delivery and effectiveness of interventions and supports. </w:t>
            </w:r>
          </w:p>
        </w:tc>
        <w:tc>
          <w:tcPr>
            <w:tcW w:w="1011" w:type="pct"/>
          </w:tcPr>
          <w:p w:rsidR="00DC5D7C" w:rsidRPr="001211E0" w:rsidRDefault="00DC5D7C" w:rsidP="00B66747">
            <w:pPr>
              <w:pStyle w:val="TableText"/>
              <w:rPr>
                <w:spacing w:val="-5"/>
                <w:sz w:val="18"/>
                <w:szCs w:val="18"/>
              </w:rPr>
            </w:pPr>
            <w:r w:rsidRPr="001211E0">
              <w:rPr>
                <w:spacing w:val="-5"/>
                <w:sz w:val="18"/>
                <w:szCs w:val="18"/>
              </w:rPr>
              <w:t>Leaders and teachers understand and use systems with criteria and protocols for identifying students for interventions and enrichment. Student</w:t>
            </w:r>
            <w:r>
              <w:rPr>
                <w:spacing w:val="-5"/>
                <w:sz w:val="18"/>
                <w:szCs w:val="18"/>
              </w:rPr>
              <w:t xml:space="preserve">s are </w:t>
            </w:r>
            <w:r w:rsidRPr="001211E0">
              <w:rPr>
                <w:spacing w:val="-5"/>
                <w:sz w:val="18"/>
                <w:szCs w:val="18"/>
              </w:rPr>
              <w:t>assign</w:t>
            </w:r>
            <w:r>
              <w:rPr>
                <w:spacing w:val="-5"/>
                <w:sz w:val="18"/>
                <w:szCs w:val="18"/>
              </w:rPr>
              <w:t>ed</w:t>
            </w:r>
            <w:r w:rsidRPr="001211E0">
              <w:rPr>
                <w:spacing w:val="-5"/>
                <w:sz w:val="18"/>
                <w:szCs w:val="18"/>
              </w:rPr>
              <w:t xml:space="preserve"> to interventions, but this system meets </w:t>
            </w:r>
            <w:r>
              <w:rPr>
                <w:spacing w:val="-5"/>
                <w:sz w:val="18"/>
                <w:szCs w:val="18"/>
              </w:rPr>
              <w:t xml:space="preserve">only </w:t>
            </w:r>
            <w:r w:rsidRPr="001211E0">
              <w:rPr>
                <w:spacing w:val="-5"/>
                <w:sz w:val="18"/>
                <w:szCs w:val="18"/>
              </w:rPr>
              <w:t xml:space="preserve">two of the following three conditions: (1) </w:t>
            </w:r>
            <w:r>
              <w:rPr>
                <w:spacing w:val="-5"/>
                <w:sz w:val="18"/>
                <w:szCs w:val="18"/>
              </w:rPr>
              <w:t>S</w:t>
            </w:r>
            <w:r w:rsidRPr="001211E0">
              <w:rPr>
                <w:spacing w:val="-5"/>
                <w:sz w:val="18"/>
                <w:szCs w:val="18"/>
              </w:rPr>
              <w:t>taff members follow consistent rules and procedures when identifying students in need of additional assistance; (2) a team of appropriate staff and stakeholders makes decisions about needed interventions and supports; or (3) staff members follow consistent rules and procedures when monitoring the delivery and effectiveness of interventions and supports.</w:t>
            </w:r>
          </w:p>
        </w:tc>
        <w:tc>
          <w:tcPr>
            <w:tcW w:w="1109" w:type="pct"/>
          </w:tcPr>
          <w:p w:rsidR="00DC5D7C" w:rsidRPr="00F6597E" w:rsidRDefault="00DC5D7C" w:rsidP="00112BA5">
            <w:pPr>
              <w:pStyle w:val="TableText"/>
              <w:rPr>
                <w:sz w:val="18"/>
                <w:szCs w:val="18"/>
              </w:rPr>
            </w:pPr>
            <w:r w:rsidRPr="00F6597E">
              <w:rPr>
                <w:sz w:val="18"/>
                <w:szCs w:val="18"/>
              </w:rPr>
              <w:t>Leaders and teachers actively use established systems with criteria and protocols for identifying students for interventions and enrichment. This system meets all of the following conditions: (1) staff members follow consistent rules and procedures when identifying students in need of additional assistance; (2) a team of appropriate staff and stakeholders makes decisions about needed interventions and supports; and (3) staff members follow consistent rules and procedures when monitoring the delivery and effectiveness of interventions and supports.</w:t>
            </w:r>
          </w:p>
        </w:tc>
      </w:tr>
      <w:tr w:rsidR="00DC5D7C" w:rsidRPr="001211E0" w:rsidTr="00DC5D7C">
        <w:trPr>
          <w:jc w:val="center"/>
        </w:trPr>
        <w:tc>
          <w:tcPr>
            <w:tcW w:w="264" w:type="pct"/>
            <w:shd w:val="clear" w:color="auto" w:fill="auto"/>
          </w:tcPr>
          <w:p w:rsidR="00DC5D7C" w:rsidRPr="001211E0" w:rsidRDefault="00DC5D7C" w:rsidP="00F6597E">
            <w:pPr>
              <w:pStyle w:val="TableColHeadingLeft"/>
              <w:rPr>
                <w:sz w:val="18"/>
                <w:szCs w:val="18"/>
              </w:rPr>
            </w:pPr>
            <w:r>
              <w:rPr>
                <w:sz w:val="18"/>
                <w:szCs w:val="18"/>
              </w:rPr>
              <w:lastRenderedPageBreak/>
              <w:t>3.5</w:t>
            </w:r>
            <w:r>
              <w:rPr>
                <w:rStyle w:val="FootnoteReference"/>
                <w:sz w:val="18"/>
                <w:szCs w:val="18"/>
              </w:rPr>
              <w:footnoteReference w:id="6"/>
            </w:r>
          </w:p>
          <w:p w:rsidR="00DC5D7C" w:rsidRPr="001211E0" w:rsidRDefault="00DC5D7C" w:rsidP="00910C9B">
            <w:pPr>
              <w:pStyle w:val="TableColHeadingLeft"/>
              <w:rPr>
                <w:sz w:val="18"/>
                <w:szCs w:val="18"/>
              </w:rPr>
            </w:pPr>
          </w:p>
        </w:tc>
        <w:tc>
          <w:tcPr>
            <w:tcW w:w="716" w:type="pct"/>
            <w:shd w:val="clear" w:color="auto" w:fill="auto"/>
          </w:tcPr>
          <w:p w:rsidR="00DC5D7C" w:rsidRDefault="00DC5D7C" w:rsidP="00910C9B">
            <w:pPr>
              <w:pStyle w:val="TableText"/>
              <w:rPr>
                <w:sz w:val="18"/>
                <w:szCs w:val="18"/>
              </w:rPr>
            </w:pPr>
            <w:r>
              <w:rPr>
                <w:sz w:val="18"/>
                <w:szCs w:val="18"/>
              </w:rPr>
              <w:t>Academic Interventions for English Language Learners</w:t>
            </w:r>
          </w:p>
        </w:tc>
        <w:tc>
          <w:tcPr>
            <w:tcW w:w="790" w:type="pct"/>
            <w:shd w:val="clear" w:color="auto" w:fill="auto"/>
          </w:tcPr>
          <w:p w:rsidR="00DC5D7C" w:rsidRPr="001211E0" w:rsidRDefault="00DC5D7C" w:rsidP="00910C9B">
            <w:pPr>
              <w:pStyle w:val="TableText"/>
              <w:rPr>
                <w:sz w:val="18"/>
                <w:szCs w:val="18"/>
              </w:rPr>
            </w:pPr>
            <w:r w:rsidRPr="001211E0">
              <w:rPr>
                <w:sz w:val="18"/>
                <w:szCs w:val="18"/>
              </w:rPr>
              <w:t xml:space="preserve">Specific, research-based interventions </w:t>
            </w:r>
            <w:r>
              <w:rPr>
                <w:sz w:val="18"/>
                <w:szCs w:val="18"/>
              </w:rPr>
              <w:t xml:space="preserve">for English language learners </w:t>
            </w:r>
            <w:r w:rsidRPr="001211E0">
              <w:rPr>
                <w:sz w:val="18"/>
                <w:szCs w:val="18"/>
              </w:rPr>
              <w:t>are not in place</w:t>
            </w:r>
            <w:r>
              <w:rPr>
                <w:sz w:val="18"/>
                <w:szCs w:val="18"/>
              </w:rPr>
              <w:t>.</w:t>
            </w:r>
            <w:r w:rsidRPr="001211E0">
              <w:rPr>
                <w:sz w:val="18"/>
                <w:szCs w:val="18"/>
              </w:rPr>
              <w:t xml:space="preserve"> </w:t>
            </w:r>
            <w:r>
              <w:rPr>
                <w:sz w:val="18"/>
                <w:szCs w:val="18"/>
              </w:rPr>
              <w:t>O</w:t>
            </w:r>
            <w:r w:rsidRPr="001211E0">
              <w:rPr>
                <w:sz w:val="18"/>
                <w:szCs w:val="18"/>
              </w:rPr>
              <w:t>r</w:t>
            </w:r>
            <w:r>
              <w:rPr>
                <w:sz w:val="18"/>
                <w:szCs w:val="18"/>
              </w:rPr>
              <w:t>,</w:t>
            </w:r>
            <w:r w:rsidRPr="001211E0">
              <w:rPr>
                <w:sz w:val="18"/>
                <w:szCs w:val="18"/>
              </w:rPr>
              <w:t xml:space="preserve"> if interventions are provided, they are not based on research or promising practices.</w:t>
            </w:r>
          </w:p>
        </w:tc>
        <w:tc>
          <w:tcPr>
            <w:tcW w:w="1110" w:type="pct"/>
            <w:shd w:val="clear" w:color="auto" w:fill="auto"/>
          </w:tcPr>
          <w:p w:rsidR="00DC5D7C" w:rsidRPr="001211E0" w:rsidRDefault="00DC5D7C" w:rsidP="00910C9B">
            <w:pPr>
              <w:pStyle w:val="TableText"/>
              <w:rPr>
                <w:sz w:val="18"/>
                <w:szCs w:val="18"/>
              </w:rPr>
            </w:pPr>
            <w:r w:rsidRPr="001211E0">
              <w:rPr>
                <w:sz w:val="18"/>
                <w:szCs w:val="18"/>
              </w:rPr>
              <w:t xml:space="preserve">Specific, research-based interventions </w:t>
            </w:r>
            <w:r>
              <w:rPr>
                <w:sz w:val="18"/>
                <w:szCs w:val="18"/>
              </w:rPr>
              <w:t>for English language learners</w:t>
            </w:r>
            <w:r w:rsidRPr="001211E0">
              <w:rPr>
                <w:sz w:val="18"/>
                <w:szCs w:val="18"/>
              </w:rPr>
              <w:t xml:space="preserve"> are defined and planned but may not be consistently or system</w:t>
            </w:r>
            <w:r>
              <w:rPr>
                <w:sz w:val="18"/>
                <w:szCs w:val="18"/>
              </w:rPr>
              <w:t>at</w:t>
            </w:r>
            <w:r w:rsidRPr="001211E0">
              <w:rPr>
                <w:sz w:val="18"/>
                <w:szCs w:val="18"/>
              </w:rPr>
              <w:t>ically</w:t>
            </w:r>
            <w:r>
              <w:rPr>
                <w:sz w:val="18"/>
                <w:szCs w:val="18"/>
              </w:rPr>
              <w:t xml:space="preserve"> implemented (due to staffing, scheduling, or other barriers) or designed to meet students’ specific needs.</w:t>
            </w:r>
          </w:p>
        </w:tc>
        <w:tc>
          <w:tcPr>
            <w:tcW w:w="1011" w:type="pct"/>
            <w:shd w:val="clear" w:color="auto" w:fill="auto"/>
          </w:tcPr>
          <w:p w:rsidR="00DC5D7C" w:rsidRPr="001211E0" w:rsidRDefault="00DC5D7C" w:rsidP="00910C9B">
            <w:pPr>
              <w:pStyle w:val="TableText"/>
              <w:rPr>
                <w:sz w:val="18"/>
                <w:szCs w:val="18"/>
              </w:rPr>
            </w:pPr>
            <w:r w:rsidRPr="001211E0">
              <w:rPr>
                <w:sz w:val="18"/>
                <w:szCs w:val="18"/>
              </w:rPr>
              <w:t xml:space="preserve">Specific, research-based interventions </w:t>
            </w:r>
            <w:r>
              <w:rPr>
                <w:sz w:val="18"/>
                <w:szCs w:val="18"/>
              </w:rPr>
              <w:t>for English language learners</w:t>
            </w:r>
            <w:r w:rsidRPr="001211E0">
              <w:rPr>
                <w:sz w:val="18"/>
                <w:szCs w:val="18"/>
              </w:rPr>
              <w:t xml:space="preserve"> are defined and</w:t>
            </w:r>
            <w:r>
              <w:rPr>
                <w:sz w:val="18"/>
                <w:szCs w:val="18"/>
              </w:rPr>
              <w:t xml:space="preserve"> planned and regularly provided. However,</w:t>
            </w:r>
            <w:r w:rsidRPr="001211E0">
              <w:rPr>
                <w:sz w:val="18"/>
                <w:szCs w:val="18"/>
              </w:rPr>
              <w:t xml:space="preserve"> student participation is not </w:t>
            </w:r>
            <w:r>
              <w:rPr>
                <w:sz w:val="18"/>
                <w:szCs w:val="18"/>
              </w:rPr>
              <w:t xml:space="preserve">always </w:t>
            </w:r>
            <w:r w:rsidRPr="001211E0">
              <w:rPr>
                <w:sz w:val="18"/>
                <w:szCs w:val="18"/>
              </w:rPr>
              <w:t>system</w:t>
            </w:r>
            <w:r>
              <w:rPr>
                <w:sz w:val="18"/>
                <w:szCs w:val="18"/>
              </w:rPr>
              <w:t>at</w:t>
            </w:r>
            <w:r w:rsidRPr="001211E0">
              <w:rPr>
                <w:sz w:val="18"/>
                <w:szCs w:val="18"/>
              </w:rPr>
              <w:t>ic</w:t>
            </w:r>
            <w:r>
              <w:rPr>
                <w:sz w:val="18"/>
                <w:szCs w:val="18"/>
              </w:rPr>
              <w:t>,</w:t>
            </w:r>
            <w:r w:rsidRPr="001211E0">
              <w:rPr>
                <w:sz w:val="18"/>
                <w:szCs w:val="18"/>
              </w:rPr>
              <w:t xml:space="preserve"> </w:t>
            </w:r>
            <w:r>
              <w:rPr>
                <w:sz w:val="18"/>
                <w:szCs w:val="18"/>
              </w:rPr>
              <w:t>and supports are not always aligned for students’ specific needs</w:t>
            </w:r>
            <w:r w:rsidRPr="001211E0">
              <w:rPr>
                <w:sz w:val="18"/>
                <w:szCs w:val="18"/>
              </w:rPr>
              <w:t xml:space="preserve">. </w:t>
            </w:r>
          </w:p>
        </w:tc>
        <w:tc>
          <w:tcPr>
            <w:tcW w:w="1109" w:type="pct"/>
            <w:shd w:val="clear" w:color="auto" w:fill="auto"/>
          </w:tcPr>
          <w:p w:rsidR="00DC5D7C" w:rsidRPr="001211E0" w:rsidRDefault="00DC5D7C" w:rsidP="00910C9B">
            <w:pPr>
              <w:pStyle w:val="TableText"/>
              <w:rPr>
                <w:sz w:val="18"/>
                <w:szCs w:val="18"/>
              </w:rPr>
            </w:pPr>
            <w:r w:rsidRPr="001211E0">
              <w:rPr>
                <w:sz w:val="18"/>
                <w:szCs w:val="18"/>
              </w:rPr>
              <w:t xml:space="preserve">All </w:t>
            </w:r>
            <w:r>
              <w:rPr>
                <w:sz w:val="18"/>
                <w:szCs w:val="18"/>
              </w:rPr>
              <w:t>English language learners</w:t>
            </w:r>
            <w:r w:rsidRPr="001211E0">
              <w:rPr>
                <w:sz w:val="18"/>
                <w:szCs w:val="18"/>
              </w:rPr>
              <w:t xml:space="preserve"> experience research-based academic interventions appr</w:t>
            </w:r>
            <w:r w:rsidRPr="00F77FD3">
              <w:rPr>
                <w:sz w:val="18"/>
                <w:szCs w:val="18"/>
              </w:rPr>
              <w:t>opriate for their specific needs</w:t>
            </w:r>
            <w:r>
              <w:rPr>
                <w:sz w:val="18"/>
                <w:szCs w:val="18"/>
              </w:rPr>
              <w:t xml:space="preserve">. These supports are </w:t>
            </w:r>
            <w:r w:rsidRPr="00F77FD3">
              <w:rPr>
                <w:sz w:val="18"/>
                <w:szCs w:val="18"/>
              </w:rPr>
              <w:t>impleme</w:t>
            </w:r>
            <w:r>
              <w:rPr>
                <w:sz w:val="18"/>
                <w:szCs w:val="18"/>
              </w:rPr>
              <w:t>nted systematically in the school.</w:t>
            </w:r>
          </w:p>
        </w:tc>
      </w:tr>
      <w:tr w:rsidR="00DC5D7C" w:rsidRPr="001211E0" w:rsidTr="00DC5D7C">
        <w:trPr>
          <w:jc w:val="center"/>
        </w:trPr>
        <w:tc>
          <w:tcPr>
            <w:tcW w:w="264" w:type="pct"/>
            <w:shd w:val="clear" w:color="auto" w:fill="auto"/>
          </w:tcPr>
          <w:p w:rsidR="00DC5D7C" w:rsidRPr="001211E0" w:rsidRDefault="00DC5D7C" w:rsidP="0055747E">
            <w:pPr>
              <w:pStyle w:val="TableColHeadingLeft"/>
              <w:rPr>
                <w:sz w:val="18"/>
                <w:szCs w:val="18"/>
              </w:rPr>
            </w:pPr>
            <w:r>
              <w:rPr>
                <w:sz w:val="18"/>
                <w:szCs w:val="18"/>
              </w:rPr>
              <w:t>3.6</w:t>
            </w:r>
            <w:r>
              <w:rPr>
                <w:rStyle w:val="FootnoteReference"/>
                <w:sz w:val="18"/>
                <w:szCs w:val="18"/>
              </w:rPr>
              <w:footnoteReference w:id="7"/>
            </w:r>
          </w:p>
        </w:tc>
        <w:tc>
          <w:tcPr>
            <w:tcW w:w="716" w:type="pct"/>
            <w:shd w:val="clear" w:color="auto" w:fill="auto"/>
          </w:tcPr>
          <w:p w:rsidR="00DC5D7C" w:rsidRPr="001211E0" w:rsidRDefault="00DC5D7C" w:rsidP="00910C9B">
            <w:pPr>
              <w:pStyle w:val="TableText"/>
              <w:rPr>
                <w:sz w:val="18"/>
                <w:szCs w:val="18"/>
              </w:rPr>
            </w:pPr>
            <w:r>
              <w:rPr>
                <w:sz w:val="18"/>
                <w:szCs w:val="18"/>
              </w:rPr>
              <w:t>Academic Interventions for Students With Disabilities</w:t>
            </w:r>
          </w:p>
        </w:tc>
        <w:tc>
          <w:tcPr>
            <w:tcW w:w="790" w:type="pct"/>
            <w:shd w:val="clear" w:color="auto" w:fill="auto"/>
          </w:tcPr>
          <w:p w:rsidR="00DC5D7C" w:rsidRPr="001211E0" w:rsidRDefault="00DC5D7C" w:rsidP="00910C9B">
            <w:pPr>
              <w:pStyle w:val="TableText"/>
              <w:rPr>
                <w:sz w:val="18"/>
                <w:szCs w:val="18"/>
              </w:rPr>
            </w:pPr>
            <w:r w:rsidRPr="001211E0">
              <w:rPr>
                <w:sz w:val="18"/>
                <w:szCs w:val="18"/>
              </w:rPr>
              <w:t>Specific, research-based</w:t>
            </w:r>
            <w:r w:rsidDel="00E86106">
              <w:rPr>
                <w:rStyle w:val="CommentReference"/>
                <w:rFonts w:asciiTheme="minorHAnsi" w:eastAsiaTheme="minorEastAsia" w:hAnsiTheme="minorHAnsi" w:cstheme="minorBidi"/>
              </w:rPr>
              <w:t xml:space="preserve"> </w:t>
            </w:r>
            <w:r w:rsidRPr="001211E0">
              <w:rPr>
                <w:sz w:val="18"/>
                <w:szCs w:val="18"/>
              </w:rPr>
              <w:t xml:space="preserve">interventions </w:t>
            </w:r>
            <w:r>
              <w:rPr>
                <w:sz w:val="18"/>
                <w:szCs w:val="18"/>
              </w:rPr>
              <w:t xml:space="preserve">for students with disabilities </w:t>
            </w:r>
            <w:r w:rsidRPr="001211E0">
              <w:rPr>
                <w:sz w:val="18"/>
                <w:szCs w:val="18"/>
              </w:rPr>
              <w:t>are not in place</w:t>
            </w:r>
            <w:r>
              <w:rPr>
                <w:sz w:val="18"/>
                <w:szCs w:val="18"/>
              </w:rPr>
              <w:t>.</w:t>
            </w:r>
            <w:r w:rsidRPr="001211E0">
              <w:rPr>
                <w:sz w:val="18"/>
                <w:szCs w:val="18"/>
              </w:rPr>
              <w:t xml:space="preserve"> </w:t>
            </w:r>
            <w:r>
              <w:rPr>
                <w:sz w:val="18"/>
                <w:szCs w:val="18"/>
              </w:rPr>
              <w:t>O</w:t>
            </w:r>
            <w:r w:rsidRPr="001211E0">
              <w:rPr>
                <w:sz w:val="18"/>
                <w:szCs w:val="18"/>
              </w:rPr>
              <w:t>r</w:t>
            </w:r>
            <w:r>
              <w:rPr>
                <w:sz w:val="18"/>
                <w:szCs w:val="18"/>
              </w:rPr>
              <w:t>,</w:t>
            </w:r>
            <w:r w:rsidRPr="001211E0">
              <w:rPr>
                <w:sz w:val="18"/>
                <w:szCs w:val="18"/>
              </w:rPr>
              <w:t xml:space="preserve"> if interventions are provided, they are not based on research or promising practices. </w:t>
            </w:r>
          </w:p>
        </w:tc>
        <w:tc>
          <w:tcPr>
            <w:tcW w:w="1110" w:type="pct"/>
            <w:shd w:val="clear" w:color="auto" w:fill="auto"/>
          </w:tcPr>
          <w:p w:rsidR="00DC5D7C" w:rsidRPr="001211E0" w:rsidRDefault="00DC5D7C" w:rsidP="00910C9B">
            <w:pPr>
              <w:pStyle w:val="TableText"/>
              <w:rPr>
                <w:sz w:val="18"/>
                <w:szCs w:val="18"/>
              </w:rPr>
            </w:pPr>
            <w:r w:rsidRPr="001211E0">
              <w:rPr>
                <w:sz w:val="18"/>
                <w:szCs w:val="18"/>
              </w:rPr>
              <w:t xml:space="preserve">Specific, research-based interventions </w:t>
            </w:r>
            <w:r>
              <w:rPr>
                <w:sz w:val="18"/>
                <w:szCs w:val="18"/>
              </w:rPr>
              <w:t xml:space="preserve">for students with disabilities </w:t>
            </w:r>
            <w:r w:rsidRPr="001211E0">
              <w:rPr>
                <w:sz w:val="18"/>
                <w:szCs w:val="18"/>
              </w:rPr>
              <w:t>are defined and planned but may not be consistently or system</w:t>
            </w:r>
            <w:r>
              <w:rPr>
                <w:sz w:val="18"/>
                <w:szCs w:val="18"/>
              </w:rPr>
              <w:t>at</w:t>
            </w:r>
            <w:r w:rsidRPr="001211E0">
              <w:rPr>
                <w:sz w:val="18"/>
                <w:szCs w:val="18"/>
              </w:rPr>
              <w:t>ically</w:t>
            </w:r>
            <w:r>
              <w:rPr>
                <w:sz w:val="18"/>
                <w:szCs w:val="18"/>
              </w:rPr>
              <w:t xml:space="preserve"> implemented (due to staffing, scheduling, or other barriers) or designed to meet students’ specific needs.</w:t>
            </w:r>
          </w:p>
        </w:tc>
        <w:tc>
          <w:tcPr>
            <w:tcW w:w="1011" w:type="pct"/>
            <w:shd w:val="clear" w:color="auto" w:fill="auto"/>
          </w:tcPr>
          <w:p w:rsidR="00DC5D7C" w:rsidRPr="00E91C3D" w:rsidRDefault="00DC5D7C" w:rsidP="00910C9B">
            <w:pPr>
              <w:pStyle w:val="TableText"/>
              <w:rPr>
                <w:sz w:val="18"/>
                <w:szCs w:val="18"/>
              </w:rPr>
            </w:pPr>
            <w:r w:rsidRPr="001211E0">
              <w:rPr>
                <w:sz w:val="18"/>
                <w:szCs w:val="18"/>
              </w:rPr>
              <w:t xml:space="preserve">Specific, research-based interventions </w:t>
            </w:r>
            <w:r>
              <w:rPr>
                <w:sz w:val="18"/>
                <w:szCs w:val="18"/>
              </w:rPr>
              <w:t xml:space="preserve">for students with disabilities </w:t>
            </w:r>
            <w:r w:rsidRPr="001211E0">
              <w:rPr>
                <w:sz w:val="18"/>
                <w:szCs w:val="18"/>
              </w:rPr>
              <w:t>are defined and</w:t>
            </w:r>
            <w:r>
              <w:rPr>
                <w:sz w:val="18"/>
                <w:szCs w:val="18"/>
              </w:rPr>
              <w:t xml:space="preserve"> planned and regularly provided. However,</w:t>
            </w:r>
            <w:r w:rsidRPr="001211E0">
              <w:rPr>
                <w:sz w:val="18"/>
                <w:szCs w:val="18"/>
              </w:rPr>
              <w:t xml:space="preserve"> student participation is not </w:t>
            </w:r>
            <w:r>
              <w:rPr>
                <w:sz w:val="18"/>
                <w:szCs w:val="18"/>
              </w:rPr>
              <w:t xml:space="preserve">always </w:t>
            </w:r>
            <w:r w:rsidRPr="001211E0">
              <w:rPr>
                <w:sz w:val="18"/>
                <w:szCs w:val="18"/>
              </w:rPr>
              <w:t>system</w:t>
            </w:r>
            <w:r>
              <w:rPr>
                <w:sz w:val="18"/>
                <w:szCs w:val="18"/>
              </w:rPr>
              <w:t>at</w:t>
            </w:r>
            <w:r w:rsidRPr="001211E0">
              <w:rPr>
                <w:sz w:val="18"/>
                <w:szCs w:val="18"/>
              </w:rPr>
              <w:t>ic</w:t>
            </w:r>
            <w:r>
              <w:rPr>
                <w:sz w:val="18"/>
                <w:szCs w:val="18"/>
              </w:rPr>
              <w:t>,</w:t>
            </w:r>
            <w:r w:rsidRPr="001211E0">
              <w:rPr>
                <w:sz w:val="18"/>
                <w:szCs w:val="18"/>
              </w:rPr>
              <w:t xml:space="preserve"> </w:t>
            </w:r>
            <w:r>
              <w:rPr>
                <w:sz w:val="18"/>
                <w:szCs w:val="18"/>
              </w:rPr>
              <w:t>and supports are not always aligned for students’ specific needs</w:t>
            </w:r>
            <w:r w:rsidRPr="001211E0">
              <w:rPr>
                <w:sz w:val="18"/>
                <w:szCs w:val="18"/>
              </w:rPr>
              <w:t xml:space="preserve">. </w:t>
            </w:r>
          </w:p>
        </w:tc>
        <w:tc>
          <w:tcPr>
            <w:tcW w:w="1109" w:type="pct"/>
            <w:shd w:val="clear" w:color="auto" w:fill="auto"/>
          </w:tcPr>
          <w:p w:rsidR="00DC5D7C" w:rsidRPr="00E91C3D" w:rsidRDefault="00DC5D7C" w:rsidP="00910C9B">
            <w:pPr>
              <w:pStyle w:val="TableText"/>
              <w:rPr>
                <w:sz w:val="18"/>
                <w:szCs w:val="18"/>
              </w:rPr>
            </w:pPr>
            <w:r w:rsidRPr="001211E0">
              <w:rPr>
                <w:sz w:val="18"/>
                <w:szCs w:val="18"/>
              </w:rPr>
              <w:t xml:space="preserve">All </w:t>
            </w:r>
            <w:r>
              <w:rPr>
                <w:sz w:val="18"/>
                <w:szCs w:val="18"/>
              </w:rPr>
              <w:t xml:space="preserve">students with disabilities </w:t>
            </w:r>
            <w:r w:rsidRPr="001211E0">
              <w:rPr>
                <w:sz w:val="18"/>
                <w:szCs w:val="18"/>
              </w:rPr>
              <w:t>experience research-based academic interventions appr</w:t>
            </w:r>
            <w:r w:rsidRPr="00F77FD3">
              <w:rPr>
                <w:sz w:val="18"/>
                <w:szCs w:val="18"/>
              </w:rPr>
              <w:t>opriate for their specific needs</w:t>
            </w:r>
            <w:r>
              <w:rPr>
                <w:sz w:val="18"/>
                <w:szCs w:val="18"/>
              </w:rPr>
              <w:t xml:space="preserve">. These supports are </w:t>
            </w:r>
            <w:r w:rsidRPr="00F77FD3">
              <w:rPr>
                <w:sz w:val="18"/>
                <w:szCs w:val="18"/>
              </w:rPr>
              <w:t>impleme</w:t>
            </w:r>
            <w:r>
              <w:rPr>
                <w:sz w:val="18"/>
                <w:szCs w:val="18"/>
              </w:rPr>
              <w:t>nted systematically in the school.</w:t>
            </w:r>
          </w:p>
        </w:tc>
      </w:tr>
    </w:tbl>
    <w:p w:rsidR="005F075E" w:rsidRDefault="005F075E" w:rsidP="005F075E">
      <w:pPr>
        <w:pStyle w:val="TurnaroundHeading1"/>
        <w:spacing w:before="0"/>
      </w:pPr>
      <w:bookmarkStart w:id="6" w:name="_Toc342902499"/>
    </w:p>
    <w:p w:rsidR="005F075E" w:rsidRDefault="005F075E" w:rsidP="005F075E">
      <w:pPr>
        <w:rPr>
          <w:rFonts w:ascii="Franklin Gothic Demi" w:eastAsiaTheme="majorEastAsia" w:hAnsi="Franklin Gothic Demi" w:cstheme="majorBidi"/>
          <w:bCs/>
          <w:color w:val="000000" w:themeColor="text1"/>
          <w:sz w:val="28"/>
          <w:szCs w:val="28"/>
        </w:rPr>
      </w:pPr>
      <w:r>
        <w:br w:type="page"/>
      </w:r>
    </w:p>
    <w:p w:rsidR="005F075E" w:rsidRDefault="005F075E" w:rsidP="005F3B8C">
      <w:pPr>
        <w:pStyle w:val="Heading1"/>
      </w:pPr>
      <w:proofErr w:type="gramStart"/>
      <w:r>
        <w:lastRenderedPageBreak/>
        <w:t>Turnaround Practice 4.</w:t>
      </w:r>
      <w:proofErr w:type="gramEnd"/>
      <w:r>
        <w:t xml:space="preserve"> </w:t>
      </w:r>
      <w:bookmarkEnd w:id="6"/>
      <w:r>
        <w:t>School Climate and Culture</w:t>
      </w:r>
    </w:p>
    <w:p w:rsidR="005F075E" w:rsidRDefault="00450305" w:rsidP="005F3B8C">
      <w:pPr>
        <w:pStyle w:val="BodyText"/>
        <w:spacing w:after="240"/>
      </w:pPr>
      <w:r>
        <w:t>The school provides a</w:t>
      </w:r>
      <w:r w:rsidR="005F075E" w:rsidRPr="005B0D5A">
        <w:t xml:space="preserve"> safe, orderly, and respectful environment for students and a collegial, collaborative, and profes</w:t>
      </w:r>
      <w:r w:rsidR="005F075E">
        <w:t xml:space="preserve">sional culture among teachers. </w:t>
      </w:r>
    </w:p>
    <w:tbl>
      <w:tblPr>
        <w:tblStyle w:val="AIRTable"/>
        <w:tblW w:w="5000" w:type="pct"/>
        <w:jc w:val="center"/>
        <w:tblLayout w:type="fixed"/>
        <w:tblLook w:val="0620"/>
      </w:tblPr>
      <w:tblGrid>
        <w:gridCol w:w="696"/>
        <w:gridCol w:w="1884"/>
        <w:gridCol w:w="2077"/>
        <w:gridCol w:w="2917"/>
        <w:gridCol w:w="2677"/>
        <w:gridCol w:w="2925"/>
      </w:tblGrid>
      <w:tr w:rsidR="00DC5D7C" w:rsidRPr="001211E0" w:rsidTr="00DC5D7C">
        <w:trPr>
          <w:cnfStyle w:val="100000000000"/>
          <w:cantSplit w:val="off"/>
          <w:trHeight w:val="432"/>
          <w:tblHeader/>
          <w:jc w:val="center"/>
        </w:trPr>
        <w:tc>
          <w:tcPr>
            <w:tcW w:w="5000" w:type="pct"/>
            <w:gridSpan w:val="6"/>
            <w:vAlign w:val="center"/>
          </w:tcPr>
          <w:p w:rsidR="00DC5D7C" w:rsidRPr="001211E0" w:rsidRDefault="00DC5D7C" w:rsidP="00C51F35">
            <w:pPr>
              <w:pStyle w:val="TableColHeadingCenter"/>
              <w:rPr>
                <w:sz w:val="18"/>
                <w:szCs w:val="18"/>
              </w:rPr>
            </w:pPr>
            <w:r w:rsidRPr="001211E0">
              <w:rPr>
                <w:sz w:val="18"/>
                <w:szCs w:val="18"/>
              </w:rPr>
              <w:t>Turnaround Practice 4. School Climate and Culture</w:t>
            </w:r>
          </w:p>
        </w:tc>
      </w:tr>
      <w:tr w:rsidR="00DC5D7C" w:rsidRPr="001211E0" w:rsidTr="00DC5D7C">
        <w:trPr>
          <w:cnfStyle w:val="100000000000"/>
          <w:cantSplit w:val="off"/>
          <w:tblHeader/>
          <w:jc w:val="center"/>
        </w:trPr>
        <w:tc>
          <w:tcPr>
            <w:tcW w:w="264" w:type="pct"/>
            <w:shd w:val="clear" w:color="auto" w:fill="D0DFEF" w:themeFill="text2" w:themeFillTint="33"/>
            <w:vAlign w:val="center"/>
          </w:tcPr>
          <w:p w:rsidR="00DC5D7C" w:rsidRPr="001211E0" w:rsidRDefault="00DC5D7C" w:rsidP="00C630AF">
            <w:pPr>
              <w:pStyle w:val="TableColHeadingLeft"/>
              <w:jc w:val="center"/>
              <w:rPr>
                <w:sz w:val="18"/>
                <w:szCs w:val="18"/>
              </w:rPr>
            </w:pPr>
          </w:p>
        </w:tc>
        <w:tc>
          <w:tcPr>
            <w:tcW w:w="715"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Indicators</w:t>
            </w:r>
          </w:p>
        </w:tc>
        <w:tc>
          <w:tcPr>
            <w:tcW w:w="788" w:type="pct"/>
            <w:shd w:val="clear" w:color="auto" w:fill="D0DFEF" w:themeFill="text2" w:themeFillTint="33"/>
            <w:vAlign w:val="center"/>
          </w:tcPr>
          <w:p w:rsidR="00DC5D7C" w:rsidRPr="001211E0" w:rsidRDefault="00DC5D7C" w:rsidP="00C630AF">
            <w:pPr>
              <w:pStyle w:val="TableColHeadingCenter"/>
              <w:rPr>
                <w:sz w:val="18"/>
                <w:szCs w:val="18"/>
              </w:rPr>
            </w:pPr>
            <w:r>
              <w:rPr>
                <w:sz w:val="18"/>
                <w:szCs w:val="18"/>
              </w:rPr>
              <w:t xml:space="preserve">Limited </w:t>
            </w:r>
            <w:r w:rsidRPr="001211E0">
              <w:rPr>
                <w:sz w:val="18"/>
                <w:szCs w:val="18"/>
              </w:rPr>
              <w:t>Evidence</w:t>
            </w:r>
          </w:p>
        </w:tc>
        <w:tc>
          <w:tcPr>
            <w:tcW w:w="1107"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Developing</w:t>
            </w:r>
          </w:p>
        </w:tc>
        <w:tc>
          <w:tcPr>
            <w:tcW w:w="1016"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Providing</w:t>
            </w:r>
          </w:p>
        </w:tc>
        <w:tc>
          <w:tcPr>
            <w:tcW w:w="1109" w:type="pct"/>
            <w:shd w:val="clear" w:color="auto" w:fill="D0DFEF" w:themeFill="text2" w:themeFillTint="33"/>
            <w:vAlign w:val="center"/>
          </w:tcPr>
          <w:p w:rsidR="00DC5D7C" w:rsidRPr="001211E0" w:rsidRDefault="00DC5D7C" w:rsidP="00C630AF">
            <w:pPr>
              <w:pStyle w:val="TableColHeadingCenter"/>
              <w:rPr>
                <w:sz w:val="18"/>
                <w:szCs w:val="18"/>
              </w:rPr>
            </w:pPr>
            <w:r w:rsidRPr="001211E0">
              <w:rPr>
                <w:sz w:val="18"/>
                <w:szCs w:val="18"/>
              </w:rPr>
              <w:t>Sustaining</w:t>
            </w:r>
          </w:p>
        </w:tc>
      </w:tr>
      <w:tr w:rsidR="00DC5D7C" w:rsidRPr="001211E0" w:rsidTr="00DC5D7C">
        <w:trPr>
          <w:cantSplit w:val="off"/>
          <w:jc w:val="center"/>
        </w:trPr>
        <w:tc>
          <w:tcPr>
            <w:tcW w:w="264" w:type="pct"/>
          </w:tcPr>
          <w:p w:rsidR="00DC5D7C" w:rsidRPr="001211E0" w:rsidRDefault="00DC5D7C" w:rsidP="00C227C5">
            <w:pPr>
              <w:pStyle w:val="TableColHeadingLeft"/>
              <w:rPr>
                <w:sz w:val="18"/>
                <w:szCs w:val="18"/>
              </w:rPr>
            </w:pPr>
            <w:r w:rsidRPr="001211E0">
              <w:rPr>
                <w:sz w:val="18"/>
                <w:szCs w:val="18"/>
              </w:rPr>
              <w:t>4.1</w:t>
            </w:r>
          </w:p>
        </w:tc>
        <w:tc>
          <w:tcPr>
            <w:tcW w:w="715" w:type="pct"/>
          </w:tcPr>
          <w:p w:rsidR="00DC5D7C" w:rsidRPr="001211E0" w:rsidRDefault="00DC5D7C" w:rsidP="00C227C5">
            <w:pPr>
              <w:pStyle w:val="TableText"/>
              <w:rPr>
                <w:sz w:val="18"/>
                <w:szCs w:val="18"/>
              </w:rPr>
            </w:pPr>
            <w:proofErr w:type="spellStart"/>
            <w:r w:rsidRPr="001211E0">
              <w:rPr>
                <w:sz w:val="18"/>
                <w:szCs w:val="18"/>
              </w:rPr>
              <w:t>Schoolwide</w:t>
            </w:r>
            <w:proofErr w:type="spellEnd"/>
            <w:r w:rsidRPr="001211E0">
              <w:rPr>
                <w:sz w:val="18"/>
                <w:szCs w:val="18"/>
              </w:rPr>
              <w:t xml:space="preserve"> Behavior Plan</w:t>
            </w:r>
          </w:p>
        </w:tc>
        <w:tc>
          <w:tcPr>
            <w:tcW w:w="788" w:type="pct"/>
          </w:tcPr>
          <w:p w:rsidR="00DC5D7C" w:rsidRPr="001211E0" w:rsidRDefault="00DC5D7C" w:rsidP="00C227C5">
            <w:pPr>
              <w:pStyle w:val="TableText"/>
              <w:rPr>
                <w:sz w:val="18"/>
                <w:szCs w:val="18"/>
              </w:rPr>
            </w:pPr>
            <w:r w:rsidRPr="001211E0">
              <w:rPr>
                <w:sz w:val="18"/>
                <w:szCs w:val="18"/>
              </w:rPr>
              <w:t xml:space="preserve">No </w:t>
            </w:r>
            <w:proofErr w:type="spellStart"/>
            <w:r w:rsidRPr="001211E0">
              <w:rPr>
                <w:sz w:val="18"/>
                <w:szCs w:val="18"/>
              </w:rPr>
              <w:t>schoolwide</w:t>
            </w:r>
            <w:proofErr w:type="spellEnd"/>
            <w:r w:rsidRPr="001211E0">
              <w:rPr>
                <w:sz w:val="18"/>
                <w:szCs w:val="18"/>
              </w:rPr>
              <w:t xml:space="preserve"> behavior plan guides the consistent implementation of behavior management procedures.</w:t>
            </w:r>
            <w:r>
              <w:rPr>
                <w:sz w:val="18"/>
                <w:szCs w:val="18"/>
              </w:rPr>
              <w:t xml:space="preserve"> Or, if there is a behavior plan, it is not implemented consistently.</w:t>
            </w:r>
          </w:p>
        </w:tc>
        <w:tc>
          <w:tcPr>
            <w:tcW w:w="1107" w:type="pct"/>
          </w:tcPr>
          <w:p w:rsidR="00DC5D7C" w:rsidRPr="001211E0" w:rsidRDefault="00DC5D7C" w:rsidP="00C227C5">
            <w:pPr>
              <w:pStyle w:val="TableText"/>
              <w:rPr>
                <w:sz w:val="18"/>
                <w:szCs w:val="18"/>
              </w:rPr>
            </w:pPr>
            <w:r w:rsidRPr="001211E0">
              <w:rPr>
                <w:sz w:val="18"/>
                <w:szCs w:val="18"/>
              </w:rPr>
              <w:t xml:space="preserve">The </w:t>
            </w:r>
            <w:proofErr w:type="spellStart"/>
            <w:r w:rsidRPr="001211E0">
              <w:rPr>
                <w:sz w:val="18"/>
                <w:szCs w:val="18"/>
              </w:rPr>
              <w:t>schoolwide</w:t>
            </w:r>
            <w:proofErr w:type="spellEnd"/>
            <w:r w:rsidRPr="001211E0">
              <w:rPr>
                <w:sz w:val="18"/>
                <w:szCs w:val="18"/>
              </w:rPr>
              <w:t xml:space="preserve"> behavior plan includes a defined set of behavioral expectations, but there is not a clear system or set of structures for positive behavioral supports that is aligned to those expectations. In addition, there is limited evidence that any staff implement the procedures outlined in the </w:t>
            </w:r>
            <w:proofErr w:type="spellStart"/>
            <w:r w:rsidRPr="001211E0">
              <w:rPr>
                <w:sz w:val="18"/>
                <w:szCs w:val="18"/>
              </w:rPr>
              <w:t>schoolwide</w:t>
            </w:r>
            <w:proofErr w:type="spellEnd"/>
            <w:r w:rsidRPr="001211E0">
              <w:rPr>
                <w:sz w:val="18"/>
                <w:szCs w:val="18"/>
              </w:rPr>
              <w:t xml:space="preserve"> behavior plan.</w:t>
            </w:r>
          </w:p>
        </w:tc>
        <w:tc>
          <w:tcPr>
            <w:tcW w:w="1016" w:type="pct"/>
          </w:tcPr>
          <w:p w:rsidR="00DC5D7C" w:rsidRPr="001211E0" w:rsidRDefault="00DC5D7C" w:rsidP="00450305">
            <w:pPr>
              <w:pStyle w:val="TableText"/>
              <w:rPr>
                <w:sz w:val="18"/>
                <w:szCs w:val="18"/>
              </w:rPr>
            </w:pPr>
            <w:r w:rsidRPr="001211E0">
              <w:rPr>
                <w:sz w:val="18"/>
                <w:szCs w:val="18"/>
              </w:rPr>
              <w:t xml:space="preserve">The </w:t>
            </w:r>
            <w:proofErr w:type="spellStart"/>
            <w:r w:rsidRPr="001211E0">
              <w:rPr>
                <w:sz w:val="18"/>
                <w:szCs w:val="18"/>
              </w:rPr>
              <w:t>schoolwide</w:t>
            </w:r>
            <w:proofErr w:type="spellEnd"/>
            <w:r w:rsidRPr="001211E0">
              <w:rPr>
                <w:sz w:val="18"/>
                <w:szCs w:val="18"/>
              </w:rPr>
              <w:t xml:space="preserve"> behavior plan includes a defined set of behavioral expectations, and a system and set of structures for positive </w:t>
            </w:r>
            <w:r w:rsidRPr="00B91311">
              <w:rPr>
                <w:sz w:val="18"/>
                <w:szCs w:val="18"/>
              </w:rPr>
              <w:t xml:space="preserve">behavioral supports </w:t>
            </w:r>
            <w:r>
              <w:rPr>
                <w:sz w:val="18"/>
                <w:szCs w:val="18"/>
              </w:rPr>
              <w:t>are</w:t>
            </w:r>
            <w:r w:rsidRPr="00B91311">
              <w:rPr>
                <w:sz w:val="18"/>
                <w:szCs w:val="18"/>
              </w:rPr>
              <w:t xml:space="preserve"> aligned to those expectations. However, either there is no evidence that any staff implement the procedures outlined in the </w:t>
            </w:r>
            <w:proofErr w:type="spellStart"/>
            <w:r w:rsidRPr="00B91311">
              <w:rPr>
                <w:sz w:val="18"/>
                <w:szCs w:val="18"/>
              </w:rPr>
              <w:t>schoolwide</w:t>
            </w:r>
            <w:proofErr w:type="spellEnd"/>
            <w:r w:rsidRPr="00B91311">
              <w:rPr>
                <w:sz w:val="18"/>
                <w:szCs w:val="18"/>
              </w:rPr>
              <w:t xml:space="preserve"> behavior plan, or there is evidence that only some staff members implement the procedures outlined in the </w:t>
            </w:r>
            <w:proofErr w:type="spellStart"/>
            <w:r w:rsidRPr="00B91311">
              <w:rPr>
                <w:sz w:val="18"/>
                <w:szCs w:val="18"/>
              </w:rPr>
              <w:t>schoolwide</w:t>
            </w:r>
            <w:proofErr w:type="spellEnd"/>
            <w:r w:rsidRPr="00B91311">
              <w:rPr>
                <w:sz w:val="18"/>
                <w:szCs w:val="18"/>
              </w:rPr>
              <w:t xml:space="preserve"> behavior plan.</w:t>
            </w:r>
          </w:p>
        </w:tc>
        <w:tc>
          <w:tcPr>
            <w:tcW w:w="1109" w:type="pct"/>
          </w:tcPr>
          <w:p w:rsidR="00DC5D7C" w:rsidRPr="001211E0" w:rsidRDefault="00DC5D7C" w:rsidP="00450305">
            <w:pPr>
              <w:pStyle w:val="TableText"/>
              <w:rPr>
                <w:rFonts w:eastAsiaTheme="minorHAnsi"/>
                <w:sz w:val="18"/>
                <w:szCs w:val="18"/>
              </w:rPr>
            </w:pPr>
            <w:r w:rsidRPr="001211E0">
              <w:rPr>
                <w:rFonts w:eastAsiaTheme="minorHAnsi"/>
                <w:sz w:val="18"/>
                <w:szCs w:val="18"/>
              </w:rPr>
              <w:t xml:space="preserve">The </w:t>
            </w:r>
            <w:proofErr w:type="spellStart"/>
            <w:r w:rsidRPr="001211E0">
              <w:rPr>
                <w:rFonts w:eastAsiaTheme="minorHAnsi"/>
                <w:sz w:val="18"/>
                <w:szCs w:val="18"/>
              </w:rPr>
              <w:t>schoolwide</w:t>
            </w:r>
            <w:proofErr w:type="spellEnd"/>
            <w:r w:rsidRPr="001211E0">
              <w:rPr>
                <w:rFonts w:eastAsiaTheme="minorHAnsi"/>
                <w:sz w:val="18"/>
                <w:szCs w:val="18"/>
              </w:rPr>
              <w:t xml:space="preserve"> behavior plan includes a defined set of behavioral expectations, and </w:t>
            </w:r>
            <w:r w:rsidRPr="001211E0">
              <w:rPr>
                <w:sz w:val="18"/>
                <w:szCs w:val="18"/>
              </w:rPr>
              <w:t xml:space="preserve">the system and set of structures for positive behavioral supports </w:t>
            </w:r>
            <w:r>
              <w:rPr>
                <w:rFonts w:eastAsiaTheme="minorHAnsi"/>
                <w:sz w:val="18"/>
                <w:szCs w:val="18"/>
              </w:rPr>
              <w:t>are</w:t>
            </w:r>
            <w:r w:rsidRPr="001211E0">
              <w:rPr>
                <w:rFonts w:eastAsiaTheme="minorHAnsi"/>
                <w:sz w:val="18"/>
                <w:szCs w:val="18"/>
              </w:rPr>
              <w:t xml:space="preserve"> aligned to those expectations. In addition, </w:t>
            </w:r>
            <w:r>
              <w:rPr>
                <w:rFonts w:eastAsiaTheme="minorHAnsi"/>
                <w:sz w:val="18"/>
                <w:szCs w:val="18"/>
              </w:rPr>
              <w:t>most</w:t>
            </w:r>
            <w:r w:rsidRPr="001211E0">
              <w:rPr>
                <w:rFonts w:eastAsiaTheme="minorHAnsi"/>
                <w:sz w:val="18"/>
                <w:szCs w:val="18"/>
              </w:rPr>
              <w:t xml:space="preserve"> staff members implement the procedures outlined in the </w:t>
            </w:r>
            <w:proofErr w:type="spellStart"/>
            <w:r w:rsidRPr="001211E0">
              <w:rPr>
                <w:rFonts w:eastAsiaTheme="minorHAnsi"/>
                <w:sz w:val="18"/>
                <w:szCs w:val="18"/>
              </w:rPr>
              <w:t>schoolwide</w:t>
            </w:r>
            <w:proofErr w:type="spellEnd"/>
            <w:r w:rsidRPr="001211E0">
              <w:rPr>
                <w:rFonts w:eastAsiaTheme="minorHAnsi"/>
                <w:sz w:val="18"/>
                <w:szCs w:val="18"/>
              </w:rPr>
              <w:t xml:space="preserve"> behavior plan. Leaders monitor implementation using data.</w:t>
            </w:r>
          </w:p>
        </w:tc>
      </w:tr>
      <w:tr w:rsidR="00DC5D7C" w:rsidRPr="001211E0" w:rsidTr="00DC5D7C">
        <w:trPr>
          <w:cantSplit w:val="off"/>
          <w:jc w:val="center"/>
        </w:trPr>
        <w:tc>
          <w:tcPr>
            <w:tcW w:w="264" w:type="pct"/>
          </w:tcPr>
          <w:p w:rsidR="00DC5D7C" w:rsidRPr="001211E0" w:rsidRDefault="00DC5D7C" w:rsidP="00C227C5">
            <w:pPr>
              <w:pStyle w:val="TableColHeadingLeft"/>
              <w:rPr>
                <w:sz w:val="18"/>
                <w:szCs w:val="18"/>
              </w:rPr>
            </w:pPr>
            <w:r w:rsidRPr="001211E0">
              <w:rPr>
                <w:sz w:val="18"/>
                <w:szCs w:val="18"/>
              </w:rPr>
              <w:t>4.2</w:t>
            </w:r>
          </w:p>
        </w:tc>
        <w:tc>
          <w:tcPr>
            <w:tcW w:w="715" w:type="pct"/>
          </w:tcPr>
          <w:p w:rsidR="00DC5D7C" w:rsidRPr="001211E0" w:rsidRDefault="00DC5D7C" w:rsidP="00C227C5">
            <w:pPr>
              <w:pStyle w:val="TableText"/>
              <w:rPr>
                <w:b/>
                <w:sz w:val="18"/>
                <w:szCs w:val="18"/>
              </w:rPr>
            </w:pPr>
            <w:r w:rsidRPr="001211E0">
              <w:rPr>
                <w:sz w:val="18"/>
                <w:szCs w:val="18"/>
              </w:rPr>
              <w:t>Adult</w:t>
            </w:r>
            <w:r>
              <w:rPr>
                <w:sz w:val="18"/>
                <w:szCs w:val="18"/>
              </w:rPr>
              <w:t>–</w:t>
            </w:r>
            <w:r w:rsidRPr="001211E0">
              <w:rPr>
                <w:sz w:val="18"/>
                <w:szCs w:val="18"/>
              </w:rPr>
              <w:t>Student Relationships</w:t>
            </w:r>
          </w:p>
        </w:tc>
        <w:tc>
          <w:tcPr>
            <w:tcW w:w="788" w:type="pct"/>
          </w:tcPr>
          <w:p w:rsidR="00DC5D7C" w:rsidRPr="001211E0" w:rsidRDefault="00DC5D7C" w:rsidP="00C227C5">
            <w:pPr>
              <w:pStyle w:val="TableText"/>
              <w:rPr>
                <w:sz w:val="18"/>
                <w:szCs w:val="18"/>
              </w:rPr>
            </w:pPr>
            <w:r w:rsidRPr="001211E0">
              <w:rPr>
                <w:sz w:val="18"/>
                <w:szCs w:val="18"/>
              </w:rPr>
              <w:t xml:space="preserve">Structures (e.g., structured advisories, mentor programs) to support the development of strong, supportive relationships between adults and students are not in place or are inadequate. </w:t>
            </w:r>
          </w:p>
        </w:tc>
        <w:tc>
          <w:tcPr>
            <w:tcW w:w="1107" w:type="pct"/>
          </w:tcPr>
          <w:p w:rsidR="00DC5D7C" w:rsidRPr="001211E0" w:rsidRDefault="00DC5D7C" w:rsidP="00C227C5">
            <w:pPr>
              <w:pStyle w:val="TableText"/>
              <w:rPr>
                <w:sz w:val="18"/>
                <w:szCs w:val="18"/>
              </w:rPr>
            </w:pPr>
            <w:r w:rsidRPr="001211E0">
              <w:rPr>
                <w:sz w:val="18"/>
                <w:szCs w:val="18"/>
              </w:rPr>
              <w:t>Structures (e.g., structured advisories, mentor programs) to support the development of strong relationships are defined but may not be used consistently</w:t>
            </w:r>
            <w:r>
              <w:rPr>
                <w:sz w:val="18"/>
                <w:szCs w:val="18"/>
              </w:rPr>
              <w:t xml:space="preserve"> or may not be available to all students</w:t>
            </w:r>
            <w:r w:rsidRPr="001211E0">
              <w:rPr>
                <w:sz w:val="18"/>
                <w:szCs w:val="18"/>
              </w:rPr>
              <w:t xml:space="preserve">. </w:t>
            </w:r>
          </w:p>
        </w:tc>
        <w:tc>
          <w:tcPr>
            <w:tcW w:w="1016" w:type="pct"/>
          </w:tcPr>
          <w:p w:rsidR="00DC5D7C" w:rsidRPr="001211E0" w:rsidRDefault="00DC5D7C" w:rsidP="00010A52">
            <w:pPr>
              <w:pStyle w:val="TableText"/>
              <w:rPr>
                <w:sz w:val="18"/>
                <w:szCs w:val="18"/>
              </w:rPr>
            </w:pPr>
            <w:r w:rsidRPr="001211E0">
              <w:rPr>
                <w:sz w:val="18"/>
                <w:szCs w:val="18"/>
              </w:rPr>
              <w:t>Structures (e.g., structured advisories, mentor programs) are in place to support relationships among students and adults and deliver social</w:t>
            </w:r>
            <w:r>
              <w:rPr>
                <w:sz w:val="18"/>
                <w:szCs w:val="18"/>
              </w:rPr>
              <w:t>-</w:t>
            </w:r>
            <w:r w:rsidRPr="001211E0">
              <w:rPr>
                <w:sz w:val="18"/>
                <w:szCs w:val="18"/>
              </w:rPr>
              <w:t>emotional supports.</w:t>
            </w:r>
          </w:p>
        </w:tc>
        <w:tc>
          <w:tcPr>
            <w:tcW w:w="1109" w:type="pct"/>
          </w:tcPr>
          <w:p w:rsidR="00DC5D7C" w:rsidRPr="001211E0" w:rsidRDefault="00DC5D7C" w:rsidP="00010A52">
            <w:pPr>
              <w:pStyle w:val="TableText"/>
              <w:rPr>
                <w:sz w:val="18"/>
                <w:szCs w:val="18"/>
              </w:rPr>
            </w:pPr>
            <w:r w:rsidRPr="001211E0">
              <w:rPr>
                <w:sz w:val="18"/>
                <w:szCs w:val="18"/>
              </w:rPr>
              <w:t>Structures (e.g., structured advisories, mentor programs) are in place to support relationships among students and adults and deliver social</w:t>
            </w:r>
            <w:r>
              <w:rPr>
                <w:sz w:val="18"/>
                <w:szCs w:val="18"/>
              </w:rPr>
              <w:t>-</w:t>
            </w:r>
            <w:r w:rsidRPr="001211E0">
              <w:rPr>
                <w:sz w:val="18"/>
                <w:szCs w:val="18"/>
              </w:rPr>
              <w:t>emotional supports</w:t>
            </w:r>
            <w:r>
              <w:rPr>
                <w:sz w:val="18"/>
                <w:szCs w:val="18"/>
              </w:rPr>
              <w:t>. T</w:t>
            </w:r>
            <w:r w:rsidRPr="001211E0">
              <w:rPr>
                <w:sz w:val="18"/>
                <w:szCs w:val="18"/>
              </w:rPr>
              <w:t xml:space="preserve">hese supports are monitored actively to determine whether they are meeting the needs of the school. </w:t>
            </w:r>
          </w:p>
        </w:tc>
      </w:tr>
      <w:tr w:rsidR="00DC5D7C" w:rsidRPr="001211E0" w:rsidTr="00DC5D7C">
        <w:trPr>
          <w:cantSplit w:val="off"/>
          <w:jc w:val="center"/>
        </w:trPr>
        <w:tc>
          <w:tcPr>
            <w:tcW w:w="264" w:type="pct"/>
          </w:tcPr>
          <w:p w:rsidR="00DC5D7C" w:rsidRPr="001211E0" w:rsidRDefault="00DC5D7C" w:rsidP="00C227C5">
            <w:pPr>
              <w:pStyle w:val="TableColHeadingLeft"/>
              <w:rPr>
                <w:sz w:val="18"/>
                <w:szCs w:val="18"/>
              </w:rPr>
            </w:pPr>
            <w:r w:rsidRPr="001211E0">
              <w:rPr>
                <w:sz w:val="18"/>
                <w:szCs w:val="18"/>
              </w:rPr>
              <w:t>4.3</w:t>
            </w:r>
          </w:p>
        </w:tc>
        <w:tc>
          <w:tcPr>
            <w:tcW w:w="715" w:type="pct"/>
          </w:tcPr>
          <w:p w:rsidR="00DC5D7C" w:rsidRPr="001211E0" w:rsidRDefault="00DC5D7C" w:rsidP="00C227C5">
            <w:pPr>
              <w:pStyle w:val="TableText"/>
              <w:rPr>
                <w:sz w:val="18"/>
                <w:szCs w:val="18"/>
              </w:rPr>
            </w:pPr>
            <w:r w:rsidRPr="001211E0">
              <w:rPr>
                <w:sz w:val="18"/>
                <w:szCs w:val="18"/>
              </w:rPr>
              <w:t>Expanded Learning</w:t>
            </w:r>
          </w:p>
        </w:tc>
        <w:tc>
          <w:tcPr>
            <w:tcW w:w="788" w:type="pct"/>
          </w:tcPr>
          <w:p w:rsidR="00DC5D7C" w:rsidRPr="001211E0" w:rsidRDefault="00DC5D7C" w:rsidP="007C65E1">
            <w:pPr>
              <w:pStyle w:val="TableText"/>
              <w:rPr>
                <w:sz w:val="18"/>
                <w:szCs w:val="18"/>
              </w:rPr>
            </w:pPr>
            <w:r w:rsidRPr="001211E0">
              <w:rPr>
                <w:sz w:val="18"/>
                <w:szCs w:val="18"/>
              </w:rPr>
              <w:t>Students have</w:t>
            </w:r>
            <w:r>
              <w:rPr>
                <w:sz w:val="18"/>
                <w:szCs w:val="18"/>
              </w:rPr>
              <w:t xml:space="preserve"> limited to no</w:t>
            </w:r>
            <w:r w:rsidRPr="001211E0">
              <w:rPr>
                <w:sz w:val="18"/>
                <w:szCs w:val="18"/>
              </w:rPr>
              <w:t xml:space="preserve"> opportunities to participate in expanded learning programs</w:t>
            </w:r>
            <w:r>
              <w:rPr>
                <w:sz w:val="18"/>
                <w:szCs w:val="18"/>
              </w:rPr>
              <w:t>.</w:t>
            </w:r>
            <w:r w:rsidRPr="001211E0">
              <w:rPr>
                <w:sz w:val="18"/>
                <w:szCs w:val="18"/>
              </w:rPr>
              <w:t xml:space="preserve"> </w:t>
            </w:r>
          </w:p>
        </w:tc>
        <w:tc>
          <w:tcPr>
            <w:tcW w:w="1107" w:type="pct"/>
          </w:tcPr>
          <w:p w:rsidR="00DC5D7C" w:rsidRPr="001211E0" w:rsidRDefault="00DC5D7C" w:rsidP="007C65E1">
            <w:pPr>
              <w:pStyle w:val="TableText"/>
              <w:rPr>
                <w:sz w:val="18"/>
                <w:szCs w:val="18"/>
              </w:rPr>
            </w:pPr>
            <w:r w:rsidRPr="001211E0">
              <w:rPr>
                <w:sz w:val="18"/>
                <w:szCs w:val="18"/>
              </w:rPr>
              <w:t xml:space="preserve">Opportunities for students to participate in expanded learning programs exist but may not be well defined, or awareness of and participation in the programs may be </w:t>
            </w:r>
            <w:r>
              <w:rPr>
                <w:sz w:val="18"/>
                <w:szCs w:val="18"/>
              </w:rPr>
              <w:t>limited</w:t>
            </w:r>
            <w:r w:rsidRPr="001211E0">
              <w:rPr>
                <w:sz w:val="18"/>
                <w:szCs w:val="18"/>
              </w:rPr>
              <w:t xml:space="preserve">. </w:t>
            </w:r>
          </w:p>
        </w:tc>
        <w:tc>
          <w:tcPr>
            <w:tcW w:w="1016" w:type="pct"/>
          </w:tcPr>
          <w:p w:rsidR="00DC5D7C" w:rsidRPr="001211E0" w:rsidRDefault="00DC5D7C" w:rsidP="00C227C5">
            <w:pPr>
              <w:pStyle w:val="TableText"/>
              <w:rPr>
                <w:sz w:val="18"/>
                <w:szCs w:val="18"/>
                <w:highlight w:val="cyan"/>
              </w:rPr>
            </w:pPr>
            <w:r w:rsidRPr="001211E0">
              <w:rPr>
                <w:sz w:val="18"/>
                <w:szCs w:val="18"/>
              </w:rPr>
              <w:t>Structured opportunities for students to participate in expanded learning programs are in place and are well defined.</w:t>
            </w:r>
          </w:p>
        </w:tc>
        <w:tc>
          <w:tcPr>
            <w:tcW w:w="1109" w:type="pct"/>
          </w:tcPr>
          <w:p w:rsidR="00DC5D7C" w:rsidRPr="001211E0" w:rsidRDefault="00DC5D7C" w:rsidP="007C65E1">
            <w:pPr>
              <w:pStyle w:val="TableText"/>
              <w:rPr>
                <w:sz w:val="18"/>
                <w:szCs w:val="18"/>
                <w:highlight w:val="cyan"/>
              </w:rPr>
            </w:pPr>
            <w:r w:rsidRPr="001211E0">
              <w:rPr>
                <w:sz w:val="18"/>
                <w:szCs w:val="18"/>
              </w:rPr>
              <w:t>All students have access to expanded learning opportunities that are well defined and well supported</w:t>
            </w:r>
            <w:r>
              <w:rPr>
                <w:sz w:val="18"/>
                <w:szCs w:val="18"/>
              </w:rPr>
              <w:t>. H</w:t>
            </w:r>
            <w:r w:rsidRPr="001211E0">
              <w:rPr>
                <w:sz w:val="18"/>
                <w:szCs w:val="18"/>
              </w:rPr>
              <w:t>igh-need students are targeted for participation in these programs.</w:t>
            </w:r>
          </w:p>
        </w:tc>
      </w:tr>
      <w:tr w:rsidR="00DC5D7C" w:rsidRPr="001211E0" w:rsidTr="00DC5D7C">
        <w:trPr>
          <w:cantSplit w:val="off"/>
          <w:jc w:val="center"/>
        </w:trPr>
        <w:tc>
          <w:tcPr>
            <w:tcW w:w="264" w:type="pct"/>
          </w:tcPr>
          <w:p w:rsidR="00DC5D7C" w:rsidRPr="001211E0" w:rsidRDefault="00DC5D7C" w:rsidP="00C227C5">
            <w:pPr>
              <w:pStyle w:val="TableColHeadingLeft"/>
              <w:rPr>
                <w:color w:val="B8870D" w:themeColor="accent5" w:themeShade="BF"/>
                <w:sz w:val="18"/>
                <w:szCs w:val="18"/>
              </w:rPr>
            </w:pPr>
            <w:r w:rsidRPr="001211E0">
              <w:rPr>
                <w:sz w:val="18"/>
                <w:szCs w:val="18"/>
              </w:rPr>
              <w:lastRenderedPageBreak/>
              <w:t>4.4</w:t>
            </w:r>
          </w:p>
        </w:tc>
        <w:tc>
          <w:tcPr>
            <w:tcW w:w="715" w:type="pct"/>
          </w:tcPr>
          <w:p w:rsidR="00DC5D7C" w:rsidRPr="001211E0" w:rsidRDefault="00DC5D7C" w:rsidP="00C227C5">
            <w:pPr>
              <w:pStyle w:val="TableText"/>
              <w:rPr>
                <w:b/>
                <w:sz w:val="18"/>
                <w:szCs w:val="18"/>
              </w:rPr>
            </w:pPr>
            <w:r w:rsidRPr="001211E0">
              <w:rPr>
                <w:sz w:val="18"/>
                <w:szCs w:val="18"/>
              </w:rPr>
              <w:t>Wraparound Services</w:t>
            </w:r>
            <w:r>
              <w:rPr>
                <w:sz w:val="18"/>
                <w:szCs w:val="18"/>
              </w:rPr>
              <w:t xml:space="preserve"> and External Partners</w:t>
            </w:r>
          </w:p>
        </w:tc>
        <w:tc>
          <w:tcPr>
            <w:tcW w:w="788" w:type="pct"/>
          </w:tcPr>
          <w:p w:rsidR="00DC5D7C" w:rsidRPr="001211E0" w:rsidRDefault="00DC5D7C" w:rsidP="00C227C5">
            <w:pPr>
              <w:pStyle w:val="TableText"/>
              <w:rPr>
                <w:sz w:val="18"/>
                <w:szCs w:val="18"/>
              </w:rPr>
            </w:pPr>
            <w:r w:rsidRPr="001211E0">
              <w:rPr>
                <w:sz w:val="18"/>
                <w:szCs w:val="18"/>
              </w:rPr>
              <w:t>There is little or emerging leadership and staff awareness of strategies to increase the capacity of families to support education in the home through wraparound services</w:t>
            </w:r>
            <w:r>
              <w:rPr>
                <w:sz w:val="18"/>
                <w:szCs w:val="18"/>
              </w:rPr>
              <w:t xml:space="preserve"> </w:t>
            </w:r>
            <w:r w:rsidRPr="001211E0">
              <w:rPr>
                <w:sz w:val="18"/>
                <w:szCs w:val="18"/>
              </w:rPr>
              <w:t>(e.g., health, housing referrals).</w:t>
            </w:r>
          </w:p>
        </w:tc>
        <w:tc>
          <w:tcPr>
            <w:tcW w:w="1107" w:type="pct"/>
          </w:tcPr>
          <w:p w:rsidR="00DC5D7C" w:rsidRPr="001211E0" w:rsidRDefault="00DC5D7C" w:rsidP="007C65E1">
            <w:pPr>
              <w:pStyle w:val="TableText"/>
              <w:rPr>
                <w:sz w:val="18"/>
                <w:szCs w:val="18"/>
              </w:rPr>
            </w:pPr>
            <w:r w:rsidRPr="001211E0">
              <w:rPr>
                <w:sz w:val="18"/>
                <w:szCs w:val="18"/>
              </w:rPr>
              <w:t>Leaders and staff are aware of the needs of families to support education through wraparound services (e.g., health, housing referrals)</w:t>
            </w:r>
            <w:r>
              <w:rPr>
                <w:sz w:val="18"/>
                <w:szCs w:val="18"/>
              </w:rPr>
              <w:t>.</w:t>
            </w:r>
            <w:r w:rsidRPr="001211E0">
              <w:rPr>
                <w:sz w:val="18"/>
                <w:szCs w:val="18"/>
              </w:rPr>
              <w:t xml:space="preserve"> </w:t>
            </w:r>
            <w:r>
              <w:rPr>
                <w:sz w:val="18"/>
                <w:szCs w:val="18"/>
              </w:rPr>
              <w:t>H</w:t>
            </w:r>
            <w:r w:rsidRPr="001211E0">
              <w:rPr>
                <w:sz w:val="18"/>
                <w:szCs w:val="18"/>
              </w:rPr>
              <w:t xml:space="preserve">owever, there is no system to provide these services consistently. </w:t>
            </w:r>
          </w:p>
        </w:tc>
        <w:tc>
          <w:tcPr>
            <w:tcW w:w="1016" w:type="pct"/>
          </w:tcPr>
          <w:p w:rsidR="00DC5D7C" w:rsidRPr="001211E0" w:rsidRDefault="00DC5D7C" w:rsidP="00C227C5">
            <w:pPr>
              <w:pStyle w:val="TableText"/>
              <w:rPr>
                <w:sz w:val="18"/>
                <w:szCs w:val="18"/>
              </w:rPr>
            </w:pPr>
            <w:r w:rsidRPr="001211E0">
              <w:rPr>
                <w:sz w:val="18"/>
                <w:szCs w:val="18"/>
              </w:rPr>
              <w:t>Leaders and staff are aware of the needs of families to support education through wraparound services (e.g., health, housing referrals) and provide these resources to families, as needed.</w:t>
            </w:r>
          </w:p>
        </w:tc>
        <w:tc>
          <w:tcPr>
            <w:tcW w:w="1109" w:type="pct"/>
          </w:tcPr>
          <w:p w:rsidR="00DC5D7C" w:rsidRPr="001211E0" w:rsidRDefault="00DC5D7C" w:rsidP="007C65E1">
            <w:pPr>
              <w:pStyle w:val="TableText"/>
              <w:rPr>
                <w:sz w:val="18"/>
                <w:szCs w:val="18"/>
              </w:rPr>
            </w:pPr>
            <w:r w:rsidRPr="001211E0">
              <w:rPr>
                <w:sz w:val="18"/>
                <w:szCs w:val="18"/>
              </w:rPr>
              <w:t>Leaders and staff share individual and mutual responsibility for building the capacity of families to support education through a systemic system of wraparound services (e.g., health, housing referrals)</w:t>
            </w:r>
            <w:r>
              <w:rPr>
                <w:sz w:val="18"/>
                <w:szCs w:val="18"/>
              </w:rPr>
              <w:t xml:space="preserve">. Leaders and staff </w:t>
            </w:r>
            <w:r w:rsidRPr="001211E0">
              <w:rPr>
                <w:sz w:val="18"/>
                <w:szCs w:val="18"/>
              </w:rPr>
              <w:t>assess the needs of students and families throughout the school year.</w:t>
            </w:r>
          </w:p>
        </w:tc>
      </w:tr>
      <w:tr w:rsidR="00DC5D7C" w:rsidRPr="001211E0" w:rsidTr="00DC5D7C">
        <w:trPr>
          <w:cantSplit w:val="off"/>
          <w:jc w:val="center"/>
        </w:trPr>
        <w:tc>
          <w:tcPr>
            <w:tcW w:w="264" w:type="pct"/>
          </w:tcPr>
          <w:p w:rsidR="00DC5D7C" w:rsidRPr="001211E0" w:rsidRDefault="00DC5D7C" w:rsidP="00DC5D7C">
            <w:pPr>
              <w:pStyle w:val="TableColHeadingLeft"/>
              <w:rPr>
                <w:sz w:val="18"/>
                <w:szCs w:val="18"/>
              </w:rPr>
            </w:pPr>
            <w:r>
              <w:rPr>
                <w:sz w:val="18"/>
                <w:szCs w:val="18"/>
              </w:rPr>
              <w:t>4.5</w:t>
            </w:r>
            <w:r>
              <w:rPr>
                <w:rStyle w:val="FootnoteReference"/>
                <w:sz w:val="18"/>
                <w:szCs w:val="18"/>
              </w:rPr>
              <w:footnoteReference w:id="8"/>
            </w:r>
          </w:p>
        </w:tc>
        <w:tc>
          <w:tcPr>
            <w:tcW w:w="715" w:type="pct"/>
          </w:tcPr>
          <w:p w:rsidR="00DC5D7C" w:rsidRPr="001211E0" w:rsidRDefault="00DC5D7C" w:rsidP="00DC5D7C">
            <w:pPr>
              <w:pStyle w:val="TableText"/>
              <w:rPr>
                <w:sz w:val="18"/>
                <w:szCs w:val="18"/>
              </w:rPr>
            </w:pPr>
            <w:r>
              <w:rPr>
                <w:sz w:val="18"/>
                <w:szCs w:val="18"/>
              </w:rPr>
              <w:t xml:space="preserve">Family and </w:t>
            </w:r>
            <w:r w:rsidRPr="001211E0">
              <w:rPr>
                <w:sz w:val="18"/>
                <w:szCs w:val="18"/>
              </w:rPr>
              <w:t>Community Engagement</w:t>
            </w:r>
          </w:p>
        </w:tc>
        <w:tc>
          <w:tcPr>
            <w:tcW w:w="788" w:type="pct"/>
          </w:tcPr>
          <w:p w:rsidR="00DC5D7C" w:rsidRPr="001211E0" w:rsidRDefault="00DC5D7C" w:rsidP="00DC5D7C">
            <w:pPr>
              <w:pStyle w:val="TableText"/>
              <w:rPr>
                <w:sz w:val="18"/>
                <w:szCs w:val="18"/>
              </w:rPr>
            </w:pPr>
            <w:r>
              <w:rPr>
                <w:sz w:val="18"/>
                <w:szCs w:val="18"/>
              </w:rPr>
              <w:t>There is little to no e</w:t>
            </w:r>
            <w:r w:rsidRPr="001211E0">
              <w:rPr>
                <w:sz w:val="18"/>
                <w:szCs w:val="18"/>
              </w:rPr>
              <w:t>vidence that the school makes family and community engagement a priority.</w:t>
            </w:r>
          </w:p>
        </w:tc>
        <w:tc>
          <w:tcPr>
            <w:tcW w:w="1107" w:type="pct"/>
          </w:tcPr>
          <w:p w:rsidR="00DC5D7C" w:rsidRPr="008A3C7C" w:rsidRDefault="00DC5D7C" w:rsidP="00DC5D7C">
            <w:pPr>
              <w:pStyle w:val="TableText"/>
              <w:rPr>
                <w:spacing w:val="-4"/>
                <w:sz w:val="18"/>
                <w:szCs w:val="18"/>
              </w:rPr>
            </w:pPr>
            <w:r w:rsidRPr="008A3C7C">
              <w:rPr>
                <w:spacing w:val="-4"/>
                <w:sz w:val="18"/>
                <w:szCs w:val="18"/>
              </w:rPr>
              <w:t xml:space="preserve">The school makes family and community engagement a priority, but only one or two of five conditions are met: (1) </w:t>
            </w:r>
            <w:r>
              <w:rPr>
                <w:spacing w:val="-4"/>
                <w:sz w:val="18"/>
                <w:szCs w:val="18"/>
              </w:rPr>
              <w:t>O</w:t>
            </w:r>
            <w:r w:rsidRPr="008A3C7C">
              <w:rPr>
                <w:spacing w:val="-4"/>
                <w:sz w:val="18"/>
                <w:szCs w:val="18"/>
              </w:rPr>
              <w:t xml:space="preserve">ne or more staff members coordinate family and community engagement activities; (2) regular social events are planned throughout the year to engage families and community members; </w:t>
            </w:r>
            <w:r>
              <w:rPr>
                <w:spacing w:val="-4"/>
                <w:sz w:val="18"/>
                <w:szCs w:val="18"/>
              </w:rPr>
              <w:br/>
            </w:r>
            <w:r w:rsidRPr="008A3C7C">
              <w:rPr>
                <w:spacing w:val="-4"/>
                <w:sz w:val="18"/>
                <w:szCs w:val="18"/>
              </w:rPr>
              <w:t>(3) regular activities are planned throughout the year to engage families and community members in planning for and collaborating in the implementation of academic and nonacademic supports; (4) staff members routinely reach out to families to communicate information about their children’s progress and needs; and/or (5) communications with families are made available in multiple languages, as needed.</w:t>
            </w:r>
          </w:p>
        </w:tc>
        <w:tc>
          <w:tcPr>
            <w:tcW w:w="1016" w:type="pct"/>
          </w:tcPr>
          <w:p w:rsidR="00DC5D7C" w:rsidRPr="008A3C7C" w:rsidRDefault="00DC5D7C" w:rsidP="00DC5D7C">
            <w:pPr>
              <w:pStyle w:val="TableText"/>
              <w:rPr>
                <w:spacing w:val="-4"/>
                <w:sz w:val="18"/>
                <w:szCs w:val="18"/>
              </w:rPr>
            </w:pPr>
            <w:r w:rsidRPr="008A3C7C">
              <w:rPr>
                <w:spacing w:val="-4"/>
                <w:sz w:val="18"/>
                <w:szCs w:val="18"/>
              </w:rPr>
              <w:t>The school makes family engagement a priority</w:t>
            </w:r>
            <w:r>
              <w:rPr>
                <w:spacing w:val="-4"/>
                <w:sz w:val="18"/>
                <w:szCs w:val="18"/>
              </w:rPr>
              <w:t>,</w:t>
            </w:r>
            <w:r w:rsidRPr="008A3C7C">
              <w:rPr>
                <w:spacing w:val="-4"/>
                <w:sz w:val="18"/>
                <w:szCs w:val="18"/>
              </w:rPr>
              <w:t xml:space="preserve"> but only three or four of five conditions are met: (1) </w:t>
            </w:r>
            <w:r>
              <w:rPr>
                <w:spacing w:val="-4"/>
                <w:sz w:val="18"/>
                <w:szCs w:val="18"/>
              </w:rPr>
              <w:t>O</w:t>
            </w:r>
            <w:r w:rsidRPr="008A3C7C">
              <w:rPr>
                <w:spacing w:val="-4"/>
                <w:sz w:val="18"/>
                <w:szCs w:val="18"/>
              </w:rPr>
              <w:t>ne or more staff members coordinate family and community engagement activities; (2) regular social events are planned throughout the year to engage families and community members; (3) regular activities are planned throughout the year to engage families and community members in planning for and collaborating in the implementation of academic and nonacademic supports; (4) staff members routinely reach out to families to communicate information about their children’s progress and needs; and/or (5) communications with families are made available in multiple languages, as needed.</w:t>
            </w:r>
          </w:p>
        </w:tc>
        <w:tc>
          <w:tcPr>
            <w:tcW w:w="1109" w:type="pct"/>
          </w:tcPr>
          <w:p w:rsidR="00DC5D7C" w:rsidRPr="008A3C7C" w:rsidRDefault="00DC5D7C" w:rsidP="00DC5D7C">
            <w:pPr>
              <w:pStyle w:val="TableText"/>
              <w:rPr>
                <w:spacing w:val="-2"/>
                <w:sz w:val="18"/>
                <w:szCs w:val="18"/>
              </w:rPr>
            </w:pPr>
            <w:r w:rsidRPr="008A3C7C">
              <w:rPr>
                <w:spacing w:val="-2"/>
                <w:sz w:val="18"/>
                <w:szCs w:val="18"/>
              </w:rPr>
              <w:t xml:space="preserve">The school makes family and community engagement a priority and all of the following five conditions are met: </w:t>
            </w:r>
            <w:r>
              <w:rPr>
                <w:spacing w:val="-2"/>
                <w:sz w:val="18"/>
                <w:szCs w:val="18"/>
              </w:rPr>
              <w:br/>
            </w:r>
            <w:r w:rsidRPr="008A3C7C">
              <w:rPr>
                <w:spacing w:val="-2"/>
                <w:sz w:val="18"/>
                <w:szCs w:val="18"/>
              </w:rPr>
              <w:t xml:space="preserve">(1) </w:t>
            </w:r>
            <w:r>
              <w:rPr>
                <w:spacing w:val="-2"/>
                <w:sz w:val="18"/>
                <w:szCs w:val="18"/>
              </w:rPr>
              <w:t>O</w:t>
            </w:r>
            <w:r w:rsidRPr="008A3C7C">
              <w:rPr>
                <w:spacing w:val="-2"/>
                <w:sz w:val="18"/>
                <w:szCs w:val="18"/>
              </w:rPr>
              <w:t xml:space="preserve">ne or more staff members coordinate family and community engagement activities; </w:t>
            </w:r>
            <w:r>
              <w:rPr>
                <w:spacing w:val="-2"/>
                <w:sz w:val="18"/>
                <w:szCs w:val="18"/>
              </w:rPr>
              <w:br/>
            </w:r>
            <w:r w:rsidRPr="008A3C7C">
              <w:rPr>
                <w:spacing w:val="-2"/>
                <w:sz w:val="18"/>
                <w:szCs w:val="18"/>
              </w:rPr>
              <w:t xml:space="preserve">(2) regular social events are planned throughout the year to engage families and community members; (3) regular activities are planned throughout the year to engage families and community members in planning for and collaborating in the implementation of academic and nonacademic supports; </w:t>
            </w:r>
            <w:r>
              <w:rPr>
                <w:spacing w:val="-2"/>
                <w:sz w:val="18"/>
                <w:szCs w:val="18"/>
              </w:rPr>
              <w:br/>
            </w:r>
            <w:r w:rsidRPr="008A3C7C">
              <w:rPr>
                <w:spacing w:val="-2"/>
                <w:sz w:val="18"/>
                <w:szCs w:val="18"/>
              </w:rPr>
              <w:t>(4) staff members routinely reach out to families to communicate information about their children’s progress and needs; and (5) communications with families are made available in multiple languages, as needed.</w:t>
            </w:r>
          </w:p>
        </w:tc>
      </w:tr>
    </w:tbl>
    <w:p w:rsidR="00BE0FA9" w:rsidRPr="008A3C7C" w:rsidRDefault="00BE0FA9" w:rsidP="008A3C7C">
      <w:pPr>
        <w:pStyle w:val="BodyText"/>
        <w:rPr>
          <w:sz w:val="18"/>
          <w:szCs w:val="18"/>
        </w:rPr>
      </w:pPr>
      <w:bookmarkStart w:id="7" w:name="13"/>
      <w:bookmarkEnd w:id="7"/>
    </w:p>
    <w:sectPr w:rsidR="00BE0FA9" w:rsidRPr="008A3C7C" w:rsidSect="004777ED">
      <w:headerReference w:type="first" r:id="rId11"/>
      <w:pgSz w:w="15840" w:h="12240" w:orient="landscape" w:code="1"/>
      <w:pgMar w:top="1440" w:right="1440" w:bottom="1440" w:left="1440" w:header="36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883A94" w15:done="0"/>
  <w15:commentEx w15:paraId="493BEAC6" w15:paraIdParent="14883A94" w15:done="0"/>
  <w15:commentEx w15:paraId="1AAA91D0" w15:done="0"/>
  <w15:commentEx w15:paraId="1CA890E9" w15:paraIdParent="1AAA91D0" w15:done="0"/>
  <w15:commentEx w15:paraId="09CC04E7" w15:done="0"/>
  <w15:commentEx w15:paraId="72E4C59E" w15:paraIdParent="09CC04E7" w15:done="0"/>
  <w15:commentEx w15:paraId="4D7E24FA" w15:done="0"/>
  <w15:commentEx w15:paraId="7B5D57EB" w15:paraIdParent="4D7E24FA" w15:done="0"/>
  <w15:commentEx w15:paraId="4702CF0D" w15:done="0"/>
  <w15:commentEx w15:paraId="51CE0927" w15:paraIdParent="4702CF0D" w15:done="0"/>
  <w15:commentEx w15:paraId="6841F86E" w15:done="0"/>
  <w15:commentEx w15:paraId="45E476F1" w15:paraIdParent="6841F86E" w15:done="0"/>
  <w15:commentEx w15:paraId="68B3D35D" w15:done="0"/>
  <w15:commentEx w15:paraId="55C0927E" w15:paraIdParent="68B3D35D" w15:done="0"/>
  <w15:commentEx w15:paraId="57C0C157" w15:done="0"/>
  <w15:commentEx w15:paraId="18C61115" w15:paraIdParent="57C0C157" w15:done="0"/>
  <w15:commentEx w15:paraId="018A0A61" w15:done="0"/>
  <w15:commentEx w15:paraId="27BCE41C" w15:paraIdParent="018A0A61" w15:done="0"/>
  <w15:commentEx w15:paraId="1487DAD8" w15:done="0"/>
  <w15:commentEx w15:paraId="3AE35930" w15:paraIdParent="1487DAD8" w15:done="0"/>
  <w15:commentEx w15:paraId="3EE157EC" w15:done="0"/>
  <w15:commentEx w15:paraId="65F6D3D8" w15:paraIdParent="3EE157EC" w15:done="0"/>
  <w15:commentEx w15:paraId="492A00E0" w15:done="0"/>
  <w15:commentEx w15:paraId="6B70716E" w15:paraIdParent="492A00E0" w15:done="0"/>
  <w15:commentEx w15:paraId="53BC83EB" w15:done="0"/>
  <w15:commentEx w15:paraId="021DAB10" w15:paraIdParent="53BC83EB" w15:done="0"/>
  <w15:commentEx w15:paraId="47382C60" w15:done="0"/>
  <w15:commentEx w15:paraId="510B351E" w15:paraIdParent="47382C60" w15:done="0"/>
  <w15:commentEx w15:paraId="3601B35D" w15:done="0"/>
  <w15:commentEx w15:paraId="7A4ACD19" w15:paraIdParent="3601B35D" w15:done="0"/>
  <w15:commentEx w15:paraId="22AB41E1" w15:done="0"/>
  <w15:commentEx w15:paraId="1F0B09B7" w15:paraIdParent="22AB41E1" w15:done="0"/>
  <w15:commentEx w15:paraId="05807512" w15:done="0"/>
  <w15:commentEx w15:paraId="2C17E0DF" w15:paraIdParent="05807512" w15:done="0"/>
  <w15:commentEx w15:paraId="2B1AA0BB" w15:done="0"/>
  <w15:commentEx w15:paraId="3794F7FB" w15:paraIdParent="2B1AA0B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BDE" w:rsidRDefault="008E7BDE" w:rsidP="009813D0">
      <w:r>
        <w:separator/>
      </w:r>
    </w:p>
  </w:endnote>
  <w:endnote w:type="continuationSeparator" w:id="0">
    <w:p w:rsidR="008E7BDE" w:rsidRDefault="008E7BDE" w:rsidP="00981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C" w:rsidRPr="00C62189" w:rsidRDefault="00DC5D7C" w:rsidP="00B26677">
    <w:pPr>
      <w:pStyle w:val="Footer"/>
    </w:pPr>
    <w:r w:rsidRPr="00FF4603">
      <w:t>American Institutes for Research</w:t>
    </w:r>
    <w:r>
      <w:t xml:space="preserve"> </w:t>
    </w:r>
    <w:r>
      <w:ptab w:relativeTo="margin" w:alignment="right" w:leader="none"/>
    </w:r>
    <w:r w:rsidRPr="005F075E">
      <w:t xml:space="preserve"> </w:t>
    </w:r>
    <w:r>
      <w:t>MA</w:t>
    </w:r>
    <w:r w:rsidRPr="0040420F">
      <w:t xml:space="preserve"> Monitoring Site Visits</w:t>
    </w:r>
    <w:r>
      <w:t>:</w:t>
    </w:r>
    <w:r w:rsidRPr="0040420F">
      <w:t xml:space="preserve"> Turnaround Practices Indicators and Continuum</w:t>
    </w:r>
    <w:r w:rsidRPr="00C62189">
      <w:t>—</w:t>
    </w:r>
    <w:r w:rsidR="00A02536">
      <w:fldChar w:fldCharType="begin"/>
    </w:r>
    <w:r>
      <w:instrText xml:space="preserve"> PAGE   \* MERGEFORMAT </w:instrText>
    </w:r>
    <w:r w:rsidR="00A02536">
      <w:fldChar w:fldCharType="separate"/>
    </w:r>
    <w:r w:rsidR="00B15B22">
      <w:rPr>
        <w:noProof/>
      </w:rPr>
      <w:t>2</w:t>
    </w:r>
    <w:r w:rsidR="00A02536">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C" w:rsidRPr="009A2F1E" w:rsidRDefault="00DC5D7C" w:rsidP="00014618">
    <w:pPr>
      <w:pStyle w:val="Footer"/>
      <w:tabs>
        <w:tab w:val="clear" w:pos="4680"/>
        <w:tab w:val="clear" w:pos="9360"/>
      </w:tabs>
    </w:pPr>
    <w:r w:rsidRPr="00A04610">
      <w:t xml:space="preserve">Copyright © </w:t>
    </w:r>
    <w:r w:rsidRPr="002039A6">
      <w:t>20</w:t>
    </w:r>
    <w:r>
      <w:t>15</w:t>
    </w:r>
    <w:r w:rsidRPr="00A04610">
      <w:t xml:space="preserve"> American Institutes for Research.</w:t>
    </w:r>
    <w:r w:rsidRPr="009A2F1E">
      <w:t xml:space="preserve"> </w:t>
    </w:r>
    <w:r>
      <w:ptab w:relativeTo="margin" w:alignment="right" w:leader="none"/>
    </w:r>
    <w:r>
      <w:t>3744</w:t>
    </w:r>
    <w:r w:rsidRPr="00244281">
      <w:t>_09/15</w:t>
    </w:r>
    <w:r>
      <w:br/>
    </w:r>
    <w:r w:rsidRPr="00244281">
      <w:rPr>
        <w:rStyle w:val="FooterChar"/>
      </w:rPr>
      <w:t>All rights reserved.</w:t>
    </w:r>
    <w:r>
      <w:rPr>
        <w:rStyle w:val="FooterChar"/>
      </w:rPr>
      <w:ptab w:relativeTo="margin" w:alignment="right" w:leader="none"/>
    </w:r>
    <w:r>
      <w:t>MA</w:t>
    </w:r>
    <w:r w:rsidRPr="0040420F">
      <w:t xml:space="preserve"> Monitoring Site Visits</w:t>
    </w:r>
    <w:r>
      <w:t>:</w:t>
    </w:r>
    <w:r w:rsidRPr="0040420F">
      <w:t xml:space="preserve"> Turnaround Practices Indicators and Continuum</w:t>
    </w:r>
    <w:r w:rsidRPr="009A2F1E">
      <w:t>—</w:t>
    </w:r>
    <w:r w:rsidR="00A02536">
      <w:fldChar w:fldCharType="begin"/>
    </w:r>
    <w:r>
      <w:instrText xml:space="preserve"> PAGE   \* MERGEFORMAT </w:instrText>
    </w:r>
    <w:r w:rsidR="00A02536">
      <w:fldChar w:fldCharType="separate"/>
    </w:r>
    <w:r w:rsidR="00B15B22">
      <w:rPr>
        <w:noProof/>
      </w:rPr>
      <w:t>1</w:t>
    </w:r>
    <w:r w:rsidR="00A02536">
      <w:rPr>
        <w:noProof/>
      </w:rPr>
      <w:fldChar w:fldCharType="end"/>
    </w:r>
    <w:r w:rsidRPr="00244281">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BDE" w:rsidRDefault="008E7BDE" w:rsidP="009813D0">
      <w:r>
        <w:separator/>
      </w:r>
    </w:p>
  </w:footnote>
  <w:footnote w:type="continuationSeparator" w:id="0">
    <w:p w:rsidR="008E7BDE" w:rsidRDefault="008E7BDE" w:rsidP="009813D0">
      <w:r>
        <w:continuationSeparator/>
      </w:r>
    </w:p>
  </w:footnote>
  <w:footnote w:id="1">
    <w:p w:rsidR="00DC5D7C" w:rsidRPr="00E25C7E" w:rsidRDefault="00DC5D7C" w:rsidP="00522446">
      <w:pPr>
        <w:pStyle w:val="FootnoteText"/>
      </w:pPr>
      <w:r>
        <w:rPr>
          <w:rStyle w:val="FootnoteReference"/>
        </w:rPr>
        <w:footnoteRef/>
      </w:r>
      <w:r>
        <w:t xml:space="preserve"> See: </w:t>
      </w:r>
      <w:r w:rsidRPr="001515A9">
        <w:t xml:space="preserve">Lane, B., Unger, C., </w:t>
      </w:r>
      <w:r>
        <w:t xml:space="preserve">&amp; </w:t>
      </w:r>
      <w:proofErr w:type="spellStart"/>
      <w:r w:rsidRPr="001515A9">
        <w:t>Souvanna</w:t>
      </w:r>
      <w:proofErr w:type="spellEnd"/>
      <w:r w:rsidRPr="001515A9">
        <w:t>,</w:t>
      </w:r>
      <w:r>
        <w:t xml:space="preserve"> </w:t>
      </w:r>
      <w:r w:rsidRPr="001515A9">
        <w:t xml:space="preserve">P. (2014). </w:t>
      </w:r>
      <w:r w:rsidRPr="00220118">
        <w:rPr>
          <w:i/>
        </w:rPr>
        <w:t>Turnaround practices in action: A three-year analysis of school and district practices, systems, policies and use of resources contributing to successful turnaround efforts in Massachusetts Level 4 schools</w:t>
      </w:r>
      <w:r w:rsidRPr="001515A9">
        <w:t xml:space="preserve">. </w:t>
      </w:r>
      <w:r w:rsidRPr="00874A79">
        <w:t>Malden</w:t>
      </w:r>
      <w:r>
        <w:t>, MA:</w:t>
      </w:r>
      <w:r w:rsidRPr="00874A79">
        <w:t xml:space="preserve"> Massachusetts Department of Elementary and Secondary Education.</w:t>
      </w:r>
      <w:r>
        <w:t xml:space="preserve"> </w:t>
      </w:r>
      <w:r w:rsidRPr="001515A9">
        <w:t xml:space="preserve">Retrieved from </w:t>
      </w:r>
      <w:hyperlink r:id="rId1" w:history="1">
        <w:r w:rsidRPr="001515A9">
          <w:rPr>
            <w:rStyle w:val="Hyperlink"/>
            <w:rFonts w:cs="Franklin Gothic Book"/>
          </w:rPr>
          <w:t>http://www.doe.mass.edu/apa/sss/turnaround/2014PracticesReport.pdf</w:t>
        </w:r>
      </w:hyperlink>
      <w:r w:rsidRPr="001515A9">
        <w:t xml:space="preserve"> </w:t>
      </w:r>
    </w:p>
  </w:footnote>
  <w:footnote w:id="2">
    <w:p w:rsidR="00DC5D7C" w:rsidRPr="00E25C7E" w:rsidRDefault="00DC5D7C" w:rsidP="00E0278D">
      <w:pPr>
        <w:pStyle w:val="FootnoteText"/>
      </w:pPr>
      <w:r>
        <w:rPr>
          <w:rStyle w:val="FootnoteReference"/>
        </w:rPr>
        <w:footnoteRef/>
      </w:r>
      <w:r>
        <w:t xml:space="preserve"> See: </w:t>
      </w:r>
      <w:r w:rsidRPr="001515A9">
        <w:t xml:space="preserve">Lane, B., Unger, C., </w:t>
      </w:r>
      <w:r>
        <w:t xml:space="preserve">&amp; </w:t>
      </w:r>
      <w:proofErr w:type="spellStart"/>
      <w:r w:rsidRPr="001515A9">
        <w:t>Souvanna</w:t>
      </w:r>
      <w:proofErr w:type="spellEnd"/>
      <w:r w:rsidRPr="001515A9">
        <w:t>,</w:t>
      </w:r>
      <w:r>
        <w:t xml:space="preserve"> </w:t>
      </w:r>
      <w:r w:rsidRPr="001515A9">
        <w:t xml:space="preserve">P. (2014). </w:t>
      </w:r>
      <w:r w:rsidRPr="00220118">
        <w:rPr>
          <w:i/>
        </w:rPr>
        <w:t>Turnaround practices in action: A three-year analysis of school and district practices, systems, policies and use of resources contributing to successful turnaround efforts in Massachusetts Level 4 schools</w:t>
      </w:r>
      <w:r w:rsidRPr="001515A9">
        <w:t xml:space="preserve">. </w:t>
      </w:r>
      <w:r w:rsidRPr="00874A79">
        <w:t>Malden</w:t>
      </w:r>
      <w:r>
        <w:t>, MA:</w:t>
      </w:r>
      <w:r w:rsidRPr="00874A79">
        <w:t xml:space="preserve"> Massachusetts Department of Elementary and Secondary Education.</w:t>
      </w:r>
      <w:r>
        <w:t xml:space="preserve"> </w:t>
      </w:r>
      <w:r w:rsidRPr="001515A9">
        <w:t xml:space="preserve">Retrieved from </w:t>
      </w:r>
      <w:hyperlink r:id="rId2" w:history="1">
        <w:r w:rsidRPr="001515A9">
          <w:rPr>
            <w:rStyle w:val="Hyperlink"/>
            <w:rFonts w:cs="Franklin Gothic Book"/>
          </w:rPr>
          <w:t>http://www.doe.mass.edu/apa/sss/turnaround/2014PracticesReport.pdf</w:t>
        </w:r>
      </w:hyperlink>
      <w:r w:rsidRPr="001515A9">
        <w:t xml:space="preserve"> </w:t>
      </w:r>
    </w:p>
  </w:footnote>
  <w:footnote w:id="3">
    <w:p w:rsidR="00DC5D7C" w:rsidRPr="002451E8" w:rsidRDefault="00DC5D7C" w:rsidP="005F075E">
      <w:pPr>
        <w:pStyle w:val="FootnoteText"/>
      </w:pPr>
      <w:r>
        <w:rPr>
          <w:rStyle w:val="FootnoteReference"/>
        </w:rPr>
        <w:footnoteRef/>
      </w:r>
      <w:r>
        <w:t xml:space="preserve"> The indicators draw from </w:t>
      </w:r>
      <w:r>
        <w:rPr>
          <w:i/>
        </w:rPr>
        <w:t>Implementation Continuum for School Turnaround and Transformation</w:t>
      </w:r>
      <w:r w:rsidRPr="00874A79">
        <w:t xml:space="preserve"> </w:t>
      </w:r>
      <w:r>
        <w:t xml:space="preserve">from American Institutes for Research, which serves as a self-guided implementation monitoring tool for schools. See: Barbour, C., </w:t>
      </w:r>
      <w:proofErr w:type="spellStart"/>
      <w:r>
        <w:t>Karageorge</w:t>
      </w:r>
      <w:proofErr w:type="spellEnd"/>
      <w:r>
        <w:t xml:space="preserve">, T., Bates, R., Meyer, C., Burdette, J., Newell, K., et al. (2014). </w:t>
      </w:r>
      <w:proofErr w:type="gramStart"/>
      <w:r w:rsidRPr="00874A79">
        <w:rPr>
          <w:i/>
        </w:rPr>
        <w:t xml:space="preserve">Implementation </w:t>
      </w:r>
      <w:r>
        <w:rPr>
          <w:i/>
        </w:rPr>
        <w:t>c</w:t>
      </w:r>
      <w:r w:rsidRPr="00874A79">
        <w:rPr>
          <w:i/>
        </w:rPr>
        <w:t xml:space="preserve">ontinuum for </w:t>
      </w:r>
      <w:r>
        <w:rPr>
          <w:i/>
        </w:rPr>
        <w:t>s</w:t>
      </w:r>
      <w:r w:rsidRPr="00874A79">
        <w:rPr>
          <w:i/>
        </w:rPr>
        <w:t xml:space="preserve">chool </w:t>
      </w:r>
      <w:r>
        <w:rPr>
          <w:i/>
        </w:rPr>
        <w:t>t</w:t>
      </w:r>
      <w:r w:rsidRPr="00874A79">
        <w:rPr>
          <w:i/>
        </w:rPr>
        <w:t xml:space="preserve">urnaround and </w:t>
      </w:r>
      <w:r>
        <w:rPr>
          <w:i/>
        </w:rPr>
        <w:t>t</w:t>
      </w:r>
      <w:r w:rsidRPr="00874A79">
        <w:rPr>
          <w:i/>
        </w:rPr>
        <w:t>ransformation.</w:t>
      </w:r>
      <w:proofErr w:type="gramEnd"/>
      <w:r>
        <w:t xml:space="preserve"> Washington, DC: American Institutes for Research.</w:t>
      </w:r>
    </w:p>
  </w:footnote>
  <w:footnote w:id="4">
    <w:p w:rsidR="00DC5D7C" w:rsidRDefault="00DC5D7C">
      <w:pPr>
        <w:pStyle w:val="FootnoteText"/>
      </w:pPr>
      <w:r>
        <w:rPr>
          <w:rStyle w:val="FootnoteReference"/>
        </w:rPr>
        <w:footnoteRef/>
      </w:r>
      <w:r>
        <w:t xml:space="preserve"> Instructional Leadership and Improvement (</w:t>
      </w:r>
      <w:r w:rsidRPr="004257A9">
        <w:t>formerly I</w:t>
      </w:r>
      <w:r>
        <w:t xml:space="preserve">ndicator 1.5 in 2014–15 monitoring site visit report) removed and content incorporated into Indicator </w:t>
      </w:r>
      <w:r w:rsidRPr="000D4ADF">
        <w:rPr>
          <w:spacing w:val="-4"/>
        </w:rPr>
        <w:t>2.4 for 2015–16 monitoring site visit report. Trusting Relationships (formerly Indicator 4.5 in 2014–15 monitoring site visit report) now reflected in Indicator 1.5</w:t>
      </w:r>
      <w:r>
        <w:t>.</w:t>
      </w:r>
    </w:p>
  </w:footnote>
  <w:footnote w:id="5">
    <w:p w:rsidR="00DC5D7C" w:rsidRDefault="00DC5D7C">
      <w:pPr>
        <w:pStyle w:val="FootnoteText"/>
      </w:pPr>
      <w:r>
        <w:rPr>
          <w:rStyle w:val="FootnoteReference"/>
        </w:rPr>
        <w:footnoteRef/>
      </w:r>
      <w:r>
        <w:t xml:space="preserve"> Sustainability (Indicator 1.8) is a new indicator for the 2015–16 monitoring site visit report.</w:t>
      </w:r>
    </w:p>
  </w:footnote>
  <w:footnote w:id="6">
    <w:p w:rsidR="00DC5D7C" w:rsidRDefault="00DC5D7C">
      <w:pPr>
        <w:pStyle w:val="FootnoteText"/>
      </w:pPr>
      <w:r>
        <w:rPr>
          <w:rStyle w:val="FootnoteReference"/>
        </w:rPr>
        <w:footnoteRef/>
      </w:r>
      <w:r>
        <w:t xml:space="preserve"> High Standards (formerly Indicator 3.5 in 2014–15 monitoring site visit report) removed and content incorporated into Indicator 2.7 for 2015–16 monitoring site visit report. Academic Interventions for English language learners now reflected in Indicator 3.5.</w:t>
      </w:r>
    </w:p>
  </w:footnote>
  <w:footnote w:id="7">
    <w:p w:rsidR="00DC5D7C" w:rsidRDefault="00DC5D7C">
      <w:pPr>
        <w:pStyle w:val="FootnoteText"/>
      </w:pPr>
      <w:r>
        <w:rPr>
          <w:rStyle w:val="FootnoteReference"/>
        </w:rPr>
        <w:footnoteRef/>
      </w:r>
      <w:r>
        <w:t xml:space="preserve"> Academic Interventions for Students </w:t>
      </w:r>
      <w:proofErr w:type="gramStart"/>
      <w:r>
        <w:t>With</w:t>
      </w:r>
      <w:proofErr w:type="gramEnd"/>
      <w:r>
        <w:t xml:space="preserve"> Disabilities (Indicator 3.6) is a new indicator for 2015–16 monitoring site visit report.</w:t>
      </w:r>
    </w:p>
  </w:footnote>
  <w:footnote w:id="8">
    <w:p w:rsidR="00DC5D7C" w:rsidRDefault="00DC5D7C">
      <w:pPr>
        <w:pStyle w:val="FootnoteText"/>
      </w:pPr>
      <w:r>
        <w:rPr>
          <w:rStyle w:val="FootnoteReference"/>
        </w:rPr>
        <w:footnoteRef/>
      </w:r>
      <w:r>
        <w:t xml:space="preserve"> Formerly Indicator 4.6 in 2014–15 monitoring site visit report.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C" w:rsidRDefault="00DC5D7C" w:rsidP="005F075E">
    <w:pPr>
      <w:pStyle w:val="Header"/>
      <w:pBdr>
        <w:bottom w:val="single" w:sz="36" w:space="1" w:color="326295" w:themeColor="text2"/>
      </w:pBdr>
      <w:spacing w:before="1500"/>
    </w:pPr>
    <w:r>
      <w:rPr>
        <w:noProof/>
        <w:color w:val="595959"/>
        <w:sz w:val="16"/>
        <w:szCs w:val="16"/>
      </w:rPr>
      <w:drawing>
        <wp:anchor distT="0" distB="0" distL="114300" distR="114300" simplePos="0" relativeHeight="251661312" behindDoc="0" locked="0" layoutInCell="1" allowOverlap="1">
          <wp:simplePos x="0" y="0"/>
          <wp:positionH relativeFrom="column">
            <wp:posOffset>3730625</wp:posOffset>
          </wp:positionH>
          <wp:positionV relativeFrom="paragraph">
            <wp:posOffset>154305</wp:posOffset>
          </wp:positionV>
          <wp:extent cx="2211070" cy="1075690"/>
          <wp:effectExtent l="0" t="0" r="0" b="0"/>
          <wp:wrapNone/>
          <wp:docPr id="2" name="Picture 2"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1070" cy="1075690"/>
                  </a:xfrm>
                  <a:prstGeom prst="rect">
                    <a:avLst/>
                  </a:prstGeom>
                </pic:spPr>
              </pic:pic>
            </a:graphicData>
          </a:graphic>
        </wp:anchor>
      </w:drawing>
    </w:r>
    <w:r w:rsidRPr="00385F7F">
      <w:rPr>
        <w:noProof/>
      </w:rPr>
      <w:drawing>
        <wp:anchor distT="0" distB="0" distL="114300" distR="114300" simplePos="0" relativeHeight="251659264" behindDoc="0" locked="0" layoutInCell="1" allowOverlap="1">
          <wp:simplePos x="0" y="0"/>
          <wp:positionH relativeFrom="margin">
            <wp:posOffset>7620</wp:posOffset>
          </wp:positionH>
          <wp:positionV relativeFrom="paragraph">
            <wp:posOffset>316230</wp:posOffset>
          </wp:positionV>
          <wp:extent cx="2640965" cy="698500"/>
          <wp:effectExtent l="19050" t="0" r="6985" b="0"/>
          <wp:wrapTopAndBottom/>
          <wp:docPr id="1" name="Picture 0"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0965" cy="6985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C" w:rsidRDefault="00DC5D7C" w:rsidP="005F075E">
    <w:pPr>
      <w:pStyle w:val="Header"/>
      <w:pBdr>
        <w:bottom w:val="single" w:sz="36" w:space="1" w:color="326295" w:themeColor="text2"/>
      </w:pBdr>
      <w:spacing w:before="1500"/>
    </w:pPr>
    <w:r w:rsidRPr="00385F7F">
      <w:rPr>
        <w:noProof/>
      </w:rPr>
      <w:drawing>
        <wp:anchor distT="0" distB="0" distL="114300" distR="114300" simplePos="0" relativeHeight="251663360" behindDoc="0" locked="0" layoutInCell="1" allowOverlap="1">
          <wp:simplePos x="0" y="0"/>
          <wp:positionH relativeFrom="margin">
            <wp:posOffset>7620</wp:posOffset>
          </wp:positionH>
          <wp:positionV relativeFrom="paragraph">
            <wp:posOffset>316230</wp:posOffset>
          </wp:positionV>
          <wp:extent cx="2640965" cy="698500"/>
          <wp:effectExtent l="0" t="0" r="6985" b="6350"/>
          <wp:wrapTopAndBottom/>
          <wp:docPr id="3" name="Picture 0" descr="B_AIR_Logo LeftJu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0965" cy="698500"/>
                  </a:xfrm>
                  <a:prstGeom prst="rect">
                    <a:avLst/>
                  </a:prstGeom>
                  <a:noFill/>
                  <a:ln w="9525">
                    <a:noFill/>
                    <a:miter lim="800000"/>
                    <a:headEnd/>
                    <a:tailEnd/>
                  </a:ln>
                </pic:spPr>
              </pic:pic>
            </a:graphicData>
          </a:graphic>
        </wp:anchor>
      </w:drawing>
    </w:r>
    <w:r>
      <w:rPr>
        <w:noProof/>
        <w:color w:val="595959"/>
        <w:sz w:val="16"/>
        <w:szCs w:val="16"/>
      </w:rPr>
      <w:drawing>
        <wp:anchor distT="0" distB="0" distL="114300" distR="114300" simplePos="0" relativeHeight="251664384" behindDoc="0" locked="0" layoutInCell="1" allowOverlap="1">
          <wp:simplePos x="0" y="0"/>
          <wp:positionH relativeFrom="column">
            <wp:posOffset>6064283</wp:posOffset>
          </wp:positionH>
          <wp:positionV relativeFrom="paragraph">
            <wp:posOffset>154305</wp:posOffset>
          </wp:positionV>
          <wp:extent cx="2211572" cy="1076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1572" cy="10761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3AE0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6C1F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A6D2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2F8FF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DA0F3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9ADA109C"/>
    <w:lvl w:ilvl="0">
      <w:start w:val="1"/>
      <w:numFmt w:val="decimal"/>
      <w:pStyle w:val="ListNumber"/>
      <w:lvlText w:val="%1."/>
      <w:lvlJc w:val="left"/>
      <w:pPr>
        <w:tabs>
          <w:tab w:val="num" w:pos="360"/>
        </w:tabs>
        <w:ind w:left="360" w:hanging="360"/>
      </w:pPr>
    </w:lvl>
  </w:abstractNum>
  <w:abstractNum w:abstractNumId="7">
    <w:nsid w:val="06C56627"/>
    <w:multiLevelType w:val="hybridMultilevel"/>
    <w:tmpl w:val="7EF27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F42FD6"/>
    <w:multiLevelType w:val="hybridMultilevel"/>
    <w:tmpl w:val="C7DCF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630FFB"/>
    <w:multiLevelType w:val="hybridMultilevel"/>
    <w:tmpl w:val="6198A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7E4F82"/>
    <w:multiLevelType w:val="hybridMultilevel"/>
    <w:tmpl w:val="F492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05D2B"/>
    <w:multiLevelType w:val="hybridMultilevel"/>
    <w:tmpl w:val="EA20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3054D5"/>
    <w:multiLevelType w:val="hybridMultilevel"/>
    <w:tmpl w:val="F446D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572705"/>
    <w:multiLevelType w:val="hybridMultilevel"/>
    <w:tmpl w:val="53844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075CD3"/>
    <w:multiLevelType w:val="hybridMultilevel"/>
    <w:tmpl w:val="88A23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C3917"/>
    <w:multiLevelType w:val="hybridMultilevel"/>
    <w:tmpl w:val="E23E1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433D95"/>
    <w:multiLevelType w:val="hybridMultilevel"/>
    <w:tmpl w:val="5CF20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1975C1"/>
    <w:multiLevelType w:val="hybridMultilevel"/>
    <w:tmpl w:val="81AAE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BE52D7"/>
    <w:multiLevelType w:val="hybridMultilevel"/>
    <w:tmpl w:val="B67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FC1D55"/>
    <w:multiLevelType w:val="hybridMultilevel"/>
    <w:tmpl w:val="DCB82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072237"/>
    <w:multiLevelType w:val="multilevel"/>
    <w:tmpl w:val="96BAF0D6"/>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pStyle w:val="Bullet3"/>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DC42FEA"/>
    <w:multiLevelType w:val="hybridMultilevel"/>
    <w:tmpl w:val="D6D44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DC4276"/>
    <w:multiLevelType w:val="hybridMultilevel"/>
    <w:tmpl w:val="BBD2F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0B3692"/>
    <w:multiLevelType w:val="hybridMultilevel"/>
    <w:tmpl w:val="9C32D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7716AC"/>
    <w:multiLevelType w:val="hybridMultilevel"/>
    <w:tmpl w:val="F5AC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F9756C"/>
    <w:multiLevelType w:val="hybridMultilevel"/>
    <w:tmpl w:val="E146E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81B9B"/>
    <w:multiLevelType w:val="multilevel"/>
    <w:tmpl w:val="86EECEE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57223D7"/>
    <w:multiLevelType w:val="hybridMultilevel"/>
    <w:tmpl w:val="53C89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723E00"/>
    <w:multiLevelType w:val="hybridMultilevel"/>
    <w:tmpl w:val="40427D78"/>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524AED"/>
    <w:multiLevelType w:val="hybridMultilevel"/>
    <w:tmpl w:val="FF12D98E"/>
    <w:lvl w:ilvl="0" w:tplc="D870F3A8">
      <w:start w:val="1"/>
      <w:numFmt w:val="bullet"/>
      <w:pStyle w:val="TableBullet1"/>
      <w:lvlText w:val=""/>
      <w:lvlJc w:val="left"/>
      <w:pPr>
        <w:ind w:left="720" w:hanging="360"/>
      </w:pPr>
      <w:rPr>
        <w:rFonts w:ascii="Wingdings" w:hAnsi="Wingdings" w:hint="default"/>
        <w:color w:val="326295" w:themeColor="text2"/>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471097"/>
    <w:multiLevelType w:val="hybridMultilevel"/>
    <w:tmpl w:val="3078F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 w:numId="8">
    <w:abstractNumId w:val="30"/>
  </w:num>
  <w:num w:numId="9">
    <w:abstractNumId w:val="21"/>
  </w:num>
  <w:num w:numId="10">
    <w:abstractNumId w:val="27"/>
  </w:num>
  <w:num w:numId="11">
    <w:abstractNumId w:val="29"/>
  </w:num>
  <w:num w:numId="12">
    <w:abstractNumId w:val="17"/>
  </w:num>
  <w:num w:numId="13">
    <w:abstractNumId w:val="32"/>
  </w:num>
  <w:num w:numId="14">
    <w:abstractNumId w:val="16"/>
  </w:num>
  <w:num w:numId="15">
    <w:abstractNumId w:val="28"/>
  </w:num>
  <w:num w:numId="16">
    <w:abstractNumId w:val="25"/>
  </w:num>
  <w:num w:numId="17">
    <w:abstractNumId w:val="9"/>
  </w:num>
  <w:num w:numId="18">
    <w:abstractNumId w:val="8"/>
  </w:num>
  <w:num w:numId="19">
    <w:abstractNumId w:val="22"/>
  </w:num>
  <w:num w:numId="20">
    <w:abstractNumId w:val="26"/>
  </w:num>
  <w:num w:numId="21">
    <w:abstractNumId w:val="18"/>
  </w:num>
  <w:num w:numId="22">
    <w:abstractNumId w:val="31"/>
  </w:num>
  <w:num w:numId="23">
    <w:abstractNumId w:val="10"/>
  </w:num>
  <w:num w:numId="24">
    <w:abstractNumId w:val="20"/>
  </w:num>
  <w:num w:numId="25">
    <w:abstractNumId w:val="13"/>
  </w:num>
  <w:num w:numId="26">
    <w:abstractNumId w:val="23"/>
  </w:num>
  <w:num w:numId="27">
    <w:abstractNumId w:val="12"/>
  </w:num>
  <w:num w:numId="28">
    <w:abstractNumId w:val="11"/>
  </w:num>
  <w:num w:numId="29">
    <w:abstractNumId w:val="19"/>
  </w:num>
  <w:num w:numId="30">
    <w:abstractNumId w:val="24"/>
  </w:num>
  <w:num w:numId="31">
    <w:abstractNumId w:val="15"/>
  </w:num>
  <w:num w:numId="32">
    <w:abstractNumId w:val="7"/>
  </w:num>
  <w:num w:numId="33">
    <w:abstractNumId w:val="14"/>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in, Laura (Bufford)">
    <w15:presenceInfo w15:providerId="AD" w15:userId="S-1-5-21-1472932569-214068005-926709054-144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attachedTemplate r:id="rId1"/>
  <w:stylePaneFormatFilter w:val="1024"/>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634674"/>
    <w:rsid w:val="000013CB"/>
    <w:rsid w:val="00010A52"/>
    <w:rsid w:val="00012A19"/>
    <w:rsid w:val="00014618"/>
    <w:rsid w:val="00030521"/>
    <w:rsid w:val="00043156"/>
    <w:rsid w:val="000533FA"/>
    <w:rsid w:val="000539BA"/>
    <w:rsid w:val="00064AD3"/>
    <w:rsid w:val="00083CCB"/>
    <w:rsid w:val="00084DD8"/>
    <w:rsid w:val="000950C3"/>
    <w:rsid w:val="000A24CC"/>
    <w:rsid w:val="000A6CDC"/>
    <w:rsid w:val="000B5553"/>
    <w:rsid w:val="000B694E"/>
    <w:rsid w:val="000C0C52"/>
    <w:rsid w:val="000C2913"/>
    <w:rsid w:val="000D3209"/>
    <w:rsid w:val="000D4ADF"/>
    <w:rsid w:val="000D57FD"/>
    <w:rsid w:val="00101BE0"/>
    <w:rsid w:val="00102DC3"/>
    <w:rsid w:val="00103C69"/>
    <w:rsid w:val="00112BA5"/>
    <w:rsid w:val="00117032"/>
    <w:rsid w:val="001211E0"/>
    <w:rsid w:val="00125305"/>
    <w:rsid w:val="00126EA4"/>
    <w:rsid w:val="001422CB"/>
    <w:rsid w:val="001500F4"/>
    <w:rsid w:val="001711D6"/>
    <w:rsid w:val="00172E9F"/>
    <w:rsid w:val="00175608"/>
    <w:rsid w:val="0018296E"/>
    <w:rsid w:val="00190BE0"/>
    <w:rsid w:val="00192D82"/>
    <w:rsid w:val="0019389A"/>
    <w:rsid w:val="001A5EDC"/>
    <w:rsid w:val="001B07E3"/>
    <w:rsid w:val="001B731F"/>
    <w:rsid w:val="001C2B32"/>
    <w:rsid w:val="001C5632"/>
    <w:rsid w:val="001C7532"/>
    <w:rsid w:val="001D51AD"/>
    <w:rsid w:val="001E3BFD"/>
    <w:rsid w:val="001E3C68"/>
    <w:rsid w:val="002039A6"/>
    <w:rsid w:val="002044EA"/>
    <w:rsid w:val="002127F9"/>
    <w:rsid w:val="00213F5F"/>
    <w:rsid w:val="00220118"/>
    <w:rsid w:val="00226E75"/>
    <w:rsid w:val="00234687"/>
    <w:rsid w:val="00244281"/>
    <w:rsid w:val="00270504"/>
    <w:rsid w:val="0027183D"/>
    <w:rsid w:val="00276B94"/>
    <w:rsid w:val="002A4C40"/>
    <w:rsid w:val="002B2A6C"/>
    <w:rsid w:val="002D2E41"/>
    <w:rsid w:val="002E2218"/>
    <w:rsid w:val="00312AB0"/>
    <w:rsid w:val="003130BA"/>
    <w:rsid w:val="00324EA3"/>
    <w:rsid w:val="003252C8"/>
    <w:rsid w:val="003257A5"/>
    <w:rsid w:val="00327D2B"/>
    <w:rsid w:val="00336DB2"/>
    <w:rsid w:val="00340129"/>
    <w:rsid w:val="0034087D"/>
    <w:rsid w:val="00343961"/>
    <w:rsid w:val="00345284"/>
    <w:rsid w:val="003520DF"/>
    <w:rsid w:val="00357A60"/>
    <w:rsid w:val="00365207"/>
    <w:rsid w:val="003675A7"/>
    <w:rsid w:val="00372650"/>
    <w:rsid w:val="00381F9E"/>
    <w:rsid w:val="00384FAB"/>
    <w:rsid w:val="00396563"/>
    <w:rsid w:val="003A3EF9"/>
    <w:rsid w:val="003A4816"/>
    <w:rsid w:val="003B5754"/>
    <w:rsid w:val="003C2896"/>
    <w:rsid w:val="00415B92"/>
    <w:rsid w:val="004257A9"/>
    <w:rsid w:val="00440431"/>
    <w:rsid w:val="00440A2D"/>
    <w:rsid w:val="00443AE6"/>
    <w:rsid w:val="0044428D"/>
    <w:rsid w:val="00450305"/>
    <w:rsid w:val="0045144F"/>
    <w:rsid w:val="0045207E"/>
    <w:rsid w:val="00465086"/>
    <w:rsid w:val="004777ED"/>
    <w:rsid w:val="00485461"/>
    <w:rsid w:val="0048787F"/>
    <w:rsid w:val="0049023B"/>
    <w:rsid w:val="004A1947"/>
    <w:rsid w:val="004A35E5"/>
    <w:rsid w:val="004A594E"/>
    <w:rsid w:val="004B0203"/>
    <w:rsid w:val="004B3461"/>
    <w:rsid w:val="004B5DD4"/>
    <w:rsid w:val="004B685C"/>
    <w:rsid w:val="004C5B8C"/>
    <w:rsid w:val="004D01DC"/>
    <w:rsid w:val="004D2B2D"/>
    <w:rsid w:val="004D3CED"/>
    <w:rsid w:val="004E0199"/>
    <w:rsid w:val="004E209F"/>
    <w:rsid w:val="004E5898"/>
    <w:rsid w:val="004E5FF5"/>
    <w:rsid w:val="004F0AA3"/>
    <w:rsid w:val="004F460D"/>
    <w:rsid w:val="00522446"/>
    <w:rsid w:val="00543069"/>
    <w:rsid w:val="00551547"/>
    <w:rsid w:val="0055747E"/>
    <w:rsid w:val="00567133"/>
    <w:rsid w:val="005703A7"/>
    <w:rsid w:val="005716E1"/>
    <w:rsid w:val="00572DDB"/>
    <w:rsid w:val="0058022E"/>
    <w:rsid w:val="005803CA"/>
    <w:rsid w:val="005863A7"/>
    <w:rsid w:val="00594A0C"/>
    <w:rsid w:val="00596A3F"/>
    <w:rsid w:val="005B176E"/>
    <w:rsid w:val="005B3987"/>
    <w:rsid w:val="005B6F50"/>
    <w:rsid w:val="005C53F4"/>
    <w:rsid w:val="005D0A06"/>
    <w:rsid w:val="005D3517"/>
    <w:rsid w:val="005D7AD4"/>
    <w:rsid w:val="005F075E"/>
    <w:rsid w:val="005F3B8C"/>
    <w:rsid w:val="005F70CC"/>
    <w:rsid w:val="006062F4"/>
    <w:rsid w:val="006121A7"/>
    <w:rsid w:val="006209B1"/>
    <w:rsid w:val="00621A12"/>
    <w:rsid w:val="00632EFD"/>
    <w:rsid w:val="00634674"/>
    <w:rsid w:val="0064563B"/>
    <w:rsid w:val="0065277C"/>
    <w:rsid w:val="00670BA2"/>
    <w:rsid w:val="0067689C"/>
    <w:rsid w:val="00682C26"/>
    <w:rsid w:val="006A5504"/>
    <w:rsid w:val="006B40BA"/>
    <w:rsid w:val="006B7C74"/>
    <w:rsid w:val="006C1733"/>
    <w:rsid w:val="006D6BBB"/>
    <w:rsid w:val="006E4E73"/>
    <w:rsid w:val="007025B6"/>
    <w:rsid w:val="00711005"/>
    <w:rsid w:val="00730B55"/>
    <w:rsid w:val="007430E6"/>
    <w:rsid w:val="00755A6B"/>
    <w:rsid w:val="00761B6E"/>
    <w:rsid w:val="00765543"/>
    <w:rsid w:val="0077361B"/>
    <w:rsid w:val="00783098"/>
    <w:rsid w:val="007846BA"/>
    <w:rsid w:val="00792F68"/>
    <w:rsid w:val="007A261D"/>
    <w:rsid w:val="007B020C"/>
    <w:rsid w:val="007C65E1"/>
    <w:rsid w:val="007C6E39"/>
    <w:rsid w:val="007C76EE"/>
    <w:rsid w:val="007D7BC7"/>
    <w:rsid w:val="007E4217"/>
    <w:rsid w:val="007F22F6"/>
    <w:rsid w:val="007F4AE3"/>
    <w:rsid w:val="008002C3"/>
    <w:rsid w:val="00814F36"/>
    <w:rsid w:val="0081506C"/>
    <w:rsid w:val="00824634"/>
    <w:rsid w:val="00826E72"/>
    <w:rsid w:val="00827A4F"/>
    <w:rsid w:val="008452CE"/>
    <w:rsid w:val="0085011C"/>
    <w:rsid w:val="00862A55"/>
    <w:rsid w:val="0086485D"/>
    <w:rsid w:val="008654E7"/>
    <w:rsid w:val="0086770A"/>
    <w:rsid w:val="00870598"/>
    <w:rsid w:val="00871441"/>
    <w:rsid w:val="008718F2"/>
    <w:rsid w:val="00885637"/>
    <w:rsid w:val="00891A35"/>
    <w:rsid w:val="00895601"/>
    <w:rsid w:val="008974D4"/>
    <w:rsid w:val="00897C8F"/>
    <w:rsid w:val="008A2E4D"/>
    <w:rsid w:val="008A3C7C"/>
    <w:rsid w:val="008A7078"/>
    <w:rsid w:val="008B753C"/>
    <w:rsid w:val="008C54F5"/>
    <w:rsid w:val="008D09EC"/>
    <w:rsid w:val="008D3AA5"/>
    <w:rsid w:val="008E2764"/>
    <w:rsid w:val="008E7BDE"/>
    <w:rsid w:val="008F0AD8"/>
    <w:rsid w:val="0091017A"/>
    <w:rsid w:val="00910C9B"/>
    <w:rsid w:val="00925508"/>
    <w:rsid w:val="009279BD"/>
    <w:rsid w:val="00934820"/>
    <w:rsid w:val="009417E3"/>
    <w:rsid w:val="00945674"/>
    <w:rsid w:val="00954F32"/>
    <w:rsid w:val="00973858"/>
    <w:rsid w:val="009813D0"/>
    <w:rsid w:val="009979D4"/>
    <w:rsid w:val="009A0F76"/>
    <w:rsid w:val="009A2F1E"/>
    <w:rsid w:val="009A3982"/>
    <w:rsid w:val="009A6A6B"/>
    <w:rsid w:val="009B3DFD"/>
    <w:rsid w:val="009B5E70"/>
    <w:rsid w:val="009C036B"/>
    <w:rsid w:val="009C3867"/>
    <w:rsid w:val="009C5274"/>
    <w:rsid w:val="009D31C3"/>
    <w:rsid w:val="009D6066"/>
    <w:rsid w:val="009F1E5D"/>
    <w:rsid w:val="009F2F8E"/>
    <w:rsid w:val="00A02536"/>
    <w:rsid w:val="00A04610"/>
    <w:rsid w:val="00A054E4"/>
    <w:rsid w:val="00A06A2F"/>
    <w:rsid w:val="00A1578B"/>
    <w:rsid w:val="00A15AD2"/>
    <w:rsid w:val="00A1620C"/>
    <w:rsid w:val="00A22259"/>
    <w:rsid w:val="00A444DE"/>
    <w:rsid w:val="00A50B1F"/>
    <w:rsid w:val="00A60BB1"/>
    <w:rsid w:val="00A62B66"/>
    <w:rsid w:val="00A66315"/>
    <w:rsid w:val="00A920A9"/>
    <w:rsid w:val="00AA0964"/>
    <w:rsid w:val="00AA7920"/>
    <w:rsid w:val="00AB309C"/>
    <w:rsid w:val="00AB5E1A"/>
    <w:rsid w:val="00AC2B38"/>
    <w:rsid w:val="00AC66A1"/>
    <w:rsid w:val="00AD0E43"/>
    <w:rsid w:val="00AD14A2"/>
    <w:rsid w:val="00AD1AE3"/>
    <w:rsid w:val="00AE2E35"/>
    <w:rsid w:val="00AE31A4"/>
    <w:rsid w:val="00AE41C4"/>
    <w:rsid w:val="00AF590C"/>
    <w:rsid w:val="00B01C38"/>
    <w:rsid w:val="00B11411"/>
    <w:rsid w:val="00B15B22"/>
    <w:rsid w:val="00B16D88"/>
    <w:rsid w:val="00B178E3"/>
    <w:rsid w:val="00B26677"/>
    <w:rsid w:val="00B362BB"/>
    <w:rsid w:val="00B62972"/>
    <w:rsid w:val="00B641B4"/>
    <w:rsid w:val="00B66747"/>
    <w:rsid w:val="00B71A21"/>
    <w:rsid w:val="00B7620A"/>
    <w:rsid w:val="00B91311"/>
    <w:rsid w:val="00B9482C"/>
    <w:rsid w:val="00BC57EE"/>
    <w:rsid w:val="00BE0FA9"/>
    <w:rsid w:val="00BE3487"/>
    <w:rsid w:val="00BE5F23"/>
    <w:rsid w:val="00BE6C14"/>
    <w:rsid w:val="00BF334E"/>
    <w:rsid w:val="00C07F73"/>
    <w:rsid w:val="00C13C7D"/>
    <w:rsid w:val="00C144BB"/>
    <w:rsid w:val="00C20100"/>
    <w:rsid w:val="00C227C5"/>
    <w:rsid w:val="00C51F35"/>
    <w:rsid w:val="00C62189"/>
    <w:rsid w:val="00C630AF"/>
    <w:rsid w:val="00C87513"/>
    <w:rsid w:val="00CD2118"/>
    <w:rsid w:val="00CF09CD"/>
    <w:rsid w:val="00CF5104"/>
    <w:rsid w:val="00D000AC"/>
    <w:rsid w:val="00D0596B"/>
    <w:rsid w:val="00D07CA3"/>
    <w:rsid w:val="00D16353"/>
    <w:rsid w:val="00D203F3"/>
    <w:rsid w:val="00D43B37"/>
    <w:rsid w:val="00D47F4F"/>
    <w:rsid w:val="00D60875"/>
    <w:rsid w:val="00D7338E"/>
    <w:rsid w:val="00D74537"/>
    <w:rsid w:val="00D745CF"/>
    <w:rsid w:val="00D82577"/>
    <w:rsid w:val="00D8463B"/>
    <w:rsid w:val="00D950A3"/>
    <w:rsid w:val="00D9625C"/>
    <w:rsid w:val="00DA055B"/>
    <w:rsid w:val="00DA096A"/>
    <w:rsid w:val="00DA689C"/>
    <w:rsid w:val="00DC1C28"/>
    <w:rsid w:val="00DC2352"/>
    <w:rsid w:val="00DC5D7C"/>
    <w:rsid w:val="00DD1E98"/>
    <w:rsid w:val="00DD56AF"/>
    <w:rsid w:val="00DE00BB"/>
    <w:rsid w:val="00DF15DE"/>
    <w:rsid w:val="00DF734C"/>
    <w:rsid w:val="00E0278D"/>
    <w:rsid w:val="00E17867"/>
    <w:rsid w:val="00E20FF2"/>
    <w:rsid w:val="00E23FEE"/>
    <w:rsid w:val="00E252F3"/>
    <w:rsid w:val="00E32E3C"/>
    <w:rsid w:val="00E44756"/>
    <w:rsid w:val="00E64CF8"/>
    <w:rsid w:val="00E86106"/>
    <w:rsid w:val="00E91C3D"/>
    <w:rsid w:val="00EA0858"/>
    <w:rsid w:val="00EC2094"/>
    <w:rsid w:val="00F120F4"/>
    <w:rsid w:val="00F136D1"/>
    <w:rsid w:val="00F218DD"/>
    <w:rsid w:val="00F22A34"/>
    <w:rsid w:val="00F27746"/>
    <w:rsid w:val="00F42CDA"/>
    <w:rsid w:val="00F442DD"/>
    <w:rsid w:val="00F45363"/>
    <w:rsid w:val="00F51853"/>
    <w:rsid w:val="00F6597E"/>
    <w:rsid w:val="00F7797C"/>
    <w:rsid w:val="00F77FD3"/>
    <w:rsid w:val="00F805B5"/>
    <w:rsid w:val="00F87AC8"/>
    <w:rsid w:val="00FA4795"/>
    <w:rsid w:val="00FB511C"/>
    <w:rsid w:val="00FC703B"/>
    <w:rsid w:val="00FD12AB"/>
    <w:rsid w:val="00FE2E61"/>
    <w:rsid w:val="00FE4521"/>
    <w:rsid w:val="00FE533A"/>
    <w:rsid w:val="00FF1FB6"/>
    <w:rsid w:val="00FF3DD8"/>
    <w:rsid w:val="00F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78D"/>
    <w:rPr>
      <w:sz w:val="24"/>
    </w:rPr>
  </w:style>
  <w:style w:type="paragraph" w:styleId="Heading1">
    <w:name w:val="heading 1"/>
    <w:basedOn w:val="Normal"/>
    <w:next w:val="Normal"/>
    <w:link w:val="Heading1Char"/>
    <w:uiPriority w:val="9"/>
    <w:qFormat/>
    <w:rsid w:val="00634674"/>
    <w:pPr>
      <w:keepNext/>
      <w:keepLines/>
      <w:spacing w:before="240"/>
      <w:outlineLvl w:val="0"/>
    </w:pPr>
    <w:rPr>
      <w:rFonts w:ascii="Calibri" w:eastAsiaTheme="majorEastAsia" w:hAnsi="Calibri" w:cstheme="majorBidi"/>
      <w:b/>
      <w:bCs/>
      <w:sz w:val="32"/>
      <w:szCs w:val="36"/>
    </w:rPr>
  </w:style>
  <w:style w:type="paragraph" w:styleId="Heading2">
    <w:name w:val="heading 2"/>
    <w:basedOn w:val="Normal"/>
    <w:next w:val="Normal"/>
    <w:link w:val="Heading2Char"/>
    <w:uiPriority w:val="9"/>
    <w:unhideWhenUsed/>
    <w:qFormat/>
    <w:rsid w:val="00634674"/>
    <w:pPr>
      <w:keepNext/>
      <w:keepLines/>
      <w:spacing w:before="24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634674"/>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5F075E"/>
    <w:pPr>
      <w:keepNext/>
      <w:keepLines/>
      <w:spacing w:before="240"/>
      <w:outlineLvl w:val="3"/>
    </w:pPr>
    <w:rPr>
      <w:rFonts w:ascii="Calibri" w:eastAsiaTheme="majorEastAsia" w:hAnsi="Calibri" w:cstheme="majorBidi"/>
      <w:b/>
      <w:bCs/>
      <w:iCs/>
    </w:rPr>
  </w:style>
  <w:style w:type="paragraph" w:styleId="Heading5">
    <w:name w:val="heading 5"/>
    <w:basedOn w:val="Normal"/>
    <w:next w:val="Normal"/>
    <w:link w:val="Heading5Char"/>
    <w:uiPriority w:val="9"/>
    <w:unhideWhenUsed/>
    <w:qFormat/>
    <w:rsid w:val="005F075E"/>
    <w:pPr>
      <w:keepNext/>
      <w:keepLines/>
      <w:spacing w:before="240"/>
      <w:outlineLvl w:val="4"/>
    </w:pPr>
    <w:rPr>
      <w:rFonts w:ascii="Calibri" w:eastAsiaTheme="majorEastAsia" w:hAnsi="Calibri" w:cstheme="majorBidi"/>
      <w:b/>
      <w:i/>
    </w:rPr>
  </w:style>
  <w:style w:type="paragraph" w:styleId="Heading6">
    <w:name w:val="heading 6"/>
    <w:basedOn w:val="Normal"/>
    <w:next w:val="Normal"/>
    <w:link w:val="Heading6Char"/>
    <w:uiPriority w:val="9"/>
    <w:semiHidden/>
    <w:unhideWhenUsed/>
    <w:qFormat/>
    <w:rsid w:val="00C87513"/>
    <w:pPr>
      <w:keepNext/>
      <w:keepLines/>
      <w:spacing w:before="24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87513"/>
    <w:pPr>
      <w:keepNext/>
      <w:keepLines/>
      <w:spacing w:before="2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7513"/>
    <w:pPr>
      <w:keepNext/>
      <w:keepLines/>
      <w:spacing w:before="24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87513"/>
    <w:pPr>
      <w:keepNext/>
      <w:keepLines/>
      <w:spacing w:before="24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D0"/>
    <w:pPr>
      <w:tabs>
        <w:tab w:val="center" w:pos="4680"/>
        <w:tab w:val="right" w:pos="9360"/>
      </w:tabs>
    </w:pPr>
  </w:style>
  <w:style w:type="character" w:customStyle="1" w:styleId="HeaderChar">
    <w:name w:val="Header Char"/>
    <w:basedOn w:val="DefaultParagraphFont"/>
    <w:link w:val="Header"/>
    <w:uiPriority w:val="99"/>
    <w:rsid w:val="009813D0"/>
  </w:style>
  <w:style w:type="paragraph" w:styleId="Footer">
    <w:name w:val="footer"/>
    <w:basedOn w:val="Normal"/>
    <w:link w:val="FooterChar"/>
    <w:uiPriority w:val="99"/>
    <w:unhideWhenUsed/>
    <w:rsid w:val="00634674"/>
    <w:pPr>
      <w:tabs>
        <w:tab w:val="center" w:pos="4680"/>
        <w:tab w:val="right" w:pos="9360"/>
      </w:tabs>
    </w:pPr>
    <w:rPr>
      <w:rFonts w:ascii="Calibri" w:hAnsi="Calibri"/>
      <w:sz w:val="20"/>
    </w:rPr>
  </w:style>
  <w:style w:type="character" w:customStyle="1" w:styleId="FooterChar">
    <w:name w:val="Footer Char"/>
    <w:basedOn w:val="DefaultParagraphFont"/>
    <w:link w:val="Footer"/>
    <w:uiPriority w:val="99"/>
    <w:rsid w:val="00634674"/>
    <w:rPr>
      <w:rFonts w:ascii="Calibri" w:hAnsi="Calibri"/>
      <w:sz w:val="20"/>
    </w:rPr>
  </w:style>
  <w:style w:type="paragraph" w:styleId="BalloonText">
    <w:name w:val="Balloon Text"/>
    <w:basedOn w:val="Normal"/>
    <w:link w:val="BalloonTextChar"/>
    <w:uiPriority w:val="99"/>
    <w:semiHidden/>
    <w:unhideWhenUsed/>
    <w:rsid w:val="009813D0"/>
    <w:rPr>
      <w:rFonts w:ascii="Tahoma" w:hAnsi="Tahoma" w:cs="Tahoma"/>
      <w:sz w:val="16"/>
      <w:szCs w:val="16"/>
    </w:rPr>
  </w:style>
  <w:style w:type="character" w:customStyle="1" w:styleId="BalloonTextChar">
    <w:name w:val="Balloon Text Char"/>
    <w:basedOn w:val="DefaultParagraphFont"/>
    <w:link w:val="BalloonText"/>
    <w:uiPriority w:val="99"/>
    <w:semiHidden/>
    <w:rsid w:val="009813D0"/>
    <w:rPr>
      <w:rFonts w:ascii="Tahoma" w:hAnsi="Tahoma" w:cs="Tahoma"/>
      <w:sz w:val="16"/>
      <w:szCs w:val="16"/>
    </w:rPr>
  </w:style>
  <w:style w:type="character" w:customStyle="1" w:styleId="Heading1Char">
    <w:name w:val="Heading 1 Char"/>
    <w:basedOn w:val="DefaultParagraphFont"/>
    <w:link w:val="Heading1"/>
    <w:uiPriority w:val="9"/>
    <w:rsid w:val="00634674"/>
    <w:rPr>
      <w:rFonts w:ascii="Calibri" w:eastAsiaTheme="majorEastAsia" w:hAnsi="Calibri" w:cstheme="majorBidi"/>
      <w:b/>
      <w:bCs/>
      <w:sz w:val="32"/>
      <w:szCs w:val="36"/>
    </w:rPr>
  </w:style>
  <w:style w:type="character" w:customStyle="1" w:styleId="Heading2Char">
    <w:name w:val="Heading 2 Char"/>
    <w:basedOn w:val="DefaultParagraphFont"/>
    <w:link w:val="Heading2"/>
    <w:uiPriority w:val="9"/>
    <w:rsid w:val="00634674"/>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634674"/>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5F075E"/>
    <w:rPr>
      <w:rFonts w:ascii="Calibri" w:eastAsiaTheme="majorEastAsia" w:hAnsi="Calibri" w:cstheme="majorBidi"/>
      <w:b/>
      <w:bCs/>
      <w:iCs/>
      <w:sz w:val="24"/>
    </w:rPr>
  </w:style>
  <w:style w:type="character" w:customStyle="1" w:styleId="Heading5Char">
    <w:name w:val="Heading 5 Char"/>
    <w:basedOn w:val="DefaultParagraphFont"/>
    <w:link w:val="Heading5"/>
    <w:uiPriority w:val="9"/>
    <w:rsid w:val="005F075E"/>
    <w:rPr>
      <w:rFonts w:ascii="Calibri" w:eastAsiaTheme="majorEastAsia" w:hAnsi="Calibri" w:cstheme="majorBidi"/>
      <w:b/>
      <w:i/>
      <w:sz w:val="24"/>
    </w:rPr>
  </w:style>
  <w:style w:type="character" w:customStyle="1" w:styleId="Heading6Char">
    <w:name w:val="Heading 6 Char"/>
    <w:basedOn w:val="DefaultParagraphFont"/>
    <w:link w:val="Heading6"/>
    <w:uiPriority w:val="9"/>
    <w:semiHidden/>
    <w:rsid w:val="00C87513"/>
    <w:rPr>
      <w:rFonts w:asciiTheme="majorHAnsi" w:eastAsiaTheme="majorEastAsia" w:hAnsiTheme="majorHAnsi" w:cstheme="majorBidi"/>
      <w:i/>
      <w:iCs/>
      <w:sz w:val="24"/>
    </w:rPr>
  </w:style>
  <w:style w:type="character" w:customStyle="1" w:styleId="Heading7Char">
    <w:name w:val="Heading 7 Char"/>
    <w:basedOn w:val="DefaultParagraphFont"/>
    <w:link w:val="Heading7"/>
    <w:uiPriority w:val="9"/>
    <w:semiHidden/>
    <w:rsid w:val="00C87513"/>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C87513"/>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sid w:val="00C87513"/>
    <w:rPr>
      <w:rFonts w:asciiTheme="majorHAnsi" w:eastAsiaTheme="majorEastAsia" w:hAnsiTheme="majorHAnsi" w:cstheme="majorBidi"/>
      <w:i/>
      <w:iCs/>
      <w:sz w:val="24"/>
      <w:szCs w:val="20"/>
    </w:rPr>
  </w:style>
  <w:style w:type="paragraph" w:styleId="ListBullet">
    <w:name w:val="List Bullet"/>
    <w:basedOn w:val="Bullet1"/>
    <w:uiPriority w:val="99"/>
    <w:unhideWhenUsed/>
    <w:rsid w:val="00711005"/>
  </w:style>
  <w:style w:type="paragraph" w:styleId="ListBullet2">
    <w:name w:val="List Bullet 2"/>
    <w:basedOn w:val="Bullet2"/>
    <w:uiPriority w:val="99"/>
    <w:unhideWhenUsed/>
    <w:rsid w:val="00711005"/>
  </w:style>
  <w:style w:type="paragraph" w:styleId="ListBullet3">
    <w:name w:val="List Bullet 3"/>
    <w:basedOn w:val="Bullet3"/>
    <w:uiPriority w:val="99"/>
    <w:unhideWhenUsed/>
    <w:rsid w:val="00711005"/>
  </w:style>
  <w:style w:type="paragraph" w:styleId="ListBullet4">
    <w:name w:val="List Bullet 4"/>
    <w:basedOn w:val="Normal"/>
    <w:uiPriority w:val="99"/>
    <w:unhideWhenUsed/>
    <w:rsid w:val="00E20FF2"/>
    <w:pPr>
      <w:numPr>
        <w:numId w:val="1"/>
      </w:numPr>
      <w:tabs>
        <w:tab w:val="clear" w:pos="1440"/>
        <w:tab w:val="num" w:pos="1800"/>
      </w:tabs>
      <w:spacing w:before="120"/>
      <w:ind w:left="1800"/>
    </w:pPr>
  </w:style>
  <w:style w:type="paragraph" w:styleId="ListBullet5">
    <w:name w:val="List Bullet 5"/>
    <w:basedOn w:val="Normal"/>
    <w:uiPriority w:val="99"/>
    <w:unhideWhenUsed/>
    <w:rsid w:val="00E20FF2"/>
    <w:pPr>
      <w:numPr>
        <w:numId w:val="2"/>
      </w:numPr>
      <w:tabs>
        <w:tab w:val="clear" w:pos="1800"/>
        <w:tab w:val="num" w:pos="2160"/>
      </w:tabs>
      <w:spacing w:before="120"/>
      <w:ind w:left="2160"/>
    </w:pPr>
  </w:style>
  <w:style w:type="paragraph" w:styleId="ListNumber">
    <w:name w:val="List Number"/>
    <w:basedOn w:val="Normal"/>
    <w:uiPriority w:val="99"/>
    <w:unhideWhenUsed/>
    <w:rsid w:val="009A3982"/>
    <w:pPr>
      <w:numPr>
        <w:numId w:val="3"/>
      </w:numPr>
      <w:tabs>
        <w:tab w:val="clear" w:pos="360"/>
      </w:tabs>
      <w:spacing w:before="120"/>
      <w:ind w:left="720"/>
    </w:pPr>
  </w:style>
  <w:style w:type="paragraph" w:styleId="ListNumber2">
    <w:name w:val="List Number 2"/>
    <w:basedOn w:val="Normal"/>
    <w:uiPriority w:val="99"/>
    <w:semiHidden/>
    <w:unhideWhenUsed/>
    <w:rsid w:val="000D3209"/>
    <w:pPr>
      <w:numPr>
        <w:numId w:val="4"/>
      </w:numPr>
      <w:spacing w:before="120"/>
    </w:pPr>
  </w:style>
  <w:style w:type="paragraph" w:styleId="ListNumber3">
    <w:name w:val="List Number 3"/>
    <w:basedOn w:val="Normal"/>
    <w:uiPriority w:val="99"/>
    <w:semiHidden/>
    <w:unhideWhenUsed/>
    <w:rsid w:val="000D3209"/>
    <w:pPr>
      <w:numPr>
        <w:numId w:val="5"/>
      </w:numPr>
      <w:spacing w:before="120"/>
    </w:pPr>
  </w:style>
  <w:style w:type="paragraph" w:styleId="ListNumber4">
    <w:name w:val="List Number 4"/>
    <w:basedOn w:val="Normal"/>
    <w:uiPriority w:val="99"/>
    <w:semiHidden/>
    <w:unhideWhenUsed/>
    <w:rsid w:val="000D3209"/>
    <w:pPr>
      <w:numPr>
        <w:numId w:val="6"/>
      </w:numPr>
      <w:spacing w:before="120"/>
    </w:pPr>
  </w:style>
  <w:style w:type="paragraph" w:styleId="ListNumber5">
    <w:name w:val="List Number 5"/>
    <w:basedOn w:val="Normal"/>
    <w:uiPriority w:val="99"/>
    <w:semiHidden/>
    <w:unhideWhenUsed/>
    <w:rsid w:val="000D3209"/>
    <w:pPr>
      <w:numPr>
        <w:numId w:val="7"/>
      </w:numPr>
      <w:spacing w:before="120"/>
    </w:pPr>
  </w:style>
  <w:style w:type="paragraph" w:styleId="TOCHeading">
    <w:name w:val="TOC Heading"/>
    <w:basedOn w:val="Heading1"/>
    <w:next w:val="Normal"/>
    <w:uiPriority w:val="39"/>
    <w:semiHidden/>
    <w:unhideWhenUsed/>
    <w:qFormat/>
    <w:rsid w:val="000D3209"/>
    <w:pPr>
      <w:jc w:val="center"/>
      <w:outlineLvl w:val="9"/>
    </w:pPr>
  </w:style>
  <w:style w:type="paragraph" w:styleId="TOAHeading">
    <w:name w:val="toa heading"/>
    <w:basedOn w:val="Normal"/>
    <w:next w:val="Normal"/>
    <w:uiPriority w:val="99"/>
    <w:semiHidden/>
    <w:unhideWhenUsed/>
    <w:rsid w:val="000D3209"/>
    <w:pPr>
      <w:spacing w:before="240"/>
      <w:jc w:val="center"/>
    </w:pPr>
    <w:rPr>
      <w:rFonts w:asciiTheme="majorHAnsi" w:eastAsiaTheme="majorEastAsia" w:hAnsiTheme="majorHAnsi" w:cstheme="majorBidi"/>
      <w:b/>
      <w:bCs/>
      <w:sz w:val="32"/>
      <w:szCs w:val="24"/>
    </w:rPr>
  </w:style>
  <w:style w:type="paragraph" w:styleId="Caption">
    <w:name w:val="caption"/>
    <w:basedOn w:val="TableTitle"/>
    <w:next w:val="Normal"/>
    <w:uiPriority w:val="35"/>
    <w:unhideWhenUsed/>
    <w:qFormat/>
    <w:rsid w:val="00A04610"/>
  </w:style>
  <w:style w:type="paragraph" w:styleId="BodyText">
    <w:name w:val="Body Text"/>
    <w:basedOn w:val="Normal"/>
    <w:link w:val="BodyTextChar"/>
    <w:uiPriority w:val="99"/>
    <w:unhideWhenUsed/>
    <w:qFormat/>
    <w:rsid w:val="00634674"/>
    <w:pPr>
      <w:spacing w:before="240"/>
    </w:pPr>
    <w:rPr>
      <w:rFonts w:ascii="Calibri" w:hAnsi="Calibri"/>
    </w:rPr>
  </w:style>
  <w:style w:type="character" w:customStyle="1" w:styleId="BodyTextChar">
    <w:name w:val="Body Text Char"/>
    <w:basedOn w:val="DefaultParagraphFont"/>
    <w:link w:val="BodyText"/>
    <w:uiPriority w:val="99"/>
    <w:rsid w:val="00634674"/>
    <w:rPr>
      <w:rFonts w:ascii="Calibri" w:hAnsi="Calibri"/>
      <w:sz w:val="24"/>
    </w:rPr>
  </w:style>
  <w:style w:type="paragraph" w:customStyle="1" w:styleId="TableHead">
    <w:name w:val="Table Head"/>
    <w:basedOn w:val="Caption"/>
    <w:next w:val="BodyText"/>
    <w:rsid w:val="00CD2118"/>
    <w:rPr>
      <w:bCs/>
    </w:rPr>
  </w:style>
  <w:style w:type="paragraph" w:customStyle="1" w:styleId="TableText">
    <w:name w:val="Table Text"/>
    <w:basedOn w:val="BodyText"/>
    <w:qFormat/>
    <w:rsid w:val="00CD2118"/>
    <w:pPr>
      <w:spacing w:before="40" w:after="40"/>
    </w:pPr>
    <w:rPr>
      <w:rFonts w:eastAsia="Times New Roman" w:cs="Times New Roman"/>
      <w:sz w:val="22"/>
      <w:szCs w:val="20"/>
    </w:rPr>
  </w:style>
  <w:style w:type="paragraph" w:customStyle="1" w:styleId="TableTextCentered">
    <w:name w:val="Table Text Centered"/>
    <w:basedOn w:val="TableText"/>
    <w:qFormat/>
    <w:rsid w:val="00CD2118"/>
    <w:pPr>
      <w:jc w:val="center"/>
    </w:pPr>
  </w:style>
  <w:style w:type="paragraph" w:customStyle="1" w:styleId="TableColumnHead">
    <w:name w:val="Table Column Head"/>
    <w:basedOn w:val="TableText"/>
    <w:rsid w:val="007025B6"/>
    <w:rPr>
      <w:b/>
      <w:bCs/>
    </w:rPr>
  </w:style>
  <w:style w:type="paragraph" w:customStyle="1" w:styleId="TableColumnHeadCentered">
    <w:name w:val="Table Column Head Centered"/>
    <w:basedOn w:val="TableColumnHead"/>
    <w:rsid w:val="007025B6"/>
    <w:pPr>
      <w:jc w:val="center"/>
    </w:pPr>
    <w:rPr>
      <w:bCs w:val="0"/>
    </w:rPr>
  </w:style>
  <w:style w:type="table" w:styleId="TableGrid">
    <w:name w:val="Table Grid"/>
    <w:basedOn w:val="TableNormal"/>
    <w:uiPriority w:val="59"/>
    <w:rsid w:val="007F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F075E"/>
    <w:pPr>
      <w:spacing w:before="480" w:after="300"/>
      <w:contextualSpacing/>
    </w:pPr>
    <w:rPr>
      <w:rFonts w:ascii="Arial Bold" w:eastAsiaTheme="majorEastAsia" w:hAnsi="Arial Bold" w:cstheme="majorBidi"/>
      <w:b/>
      <w:color w:val="25496F" w:themeColor="text2" w:themeShade="BF"/>
      <w:kern w:val="28"/>
      <w:sz w:val="40"/>
      <w:szCs w:val="40"/>
    </w:rPr>
  </w:style>
  <w:style w:type="character" w:customStyle="1" w:styleId="TitleChar">
    <w:name w:val="Title Char"/>
    <w:basedOn w:val="DefaultParagraphFont"/>
    <w:link w:val="Title"/>
    <w:uiPriority w:val="10"/>
    <w:rsid w:val="005F075E"/>
    <w:rPr>
      <w:rFonts w:ascii="Arial Bold" w:eastAsiaTheme="majorEastAsia" w:hAnsi="Arial Bold" w:cstheme="majorBidi"/>
      <w:b/>
      <w:color w:val="25496F" w:themeColor="text2" w:themeShade="BF"/>
      <w:kern w:val="28"/>
      <w:sz w:val="40"/>
      <w:szCs w:val="40"/>
    </w:rPr>
  </w:style>
  <w:style w:type="table" w:customStyle="1" w:styleId="AIRTable">
    <w:name w:val="AIR Table"/>
    <w:basedOn w:val="TableNormal"/>
    <w:uiPriority w:val="99"/>
    <w:rsid w:val="00312AB0"/>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shd w:val="clear" w:color="auto" w:fill="A1BFDF" w:themeFill="text2" w:themeFillTint="66"/>
      </w:tcPr>
    </w:tblStylePr>
    <w:tblStylePr w:type="firstCol">
      <w:tblPr/>
      <w:tcPr>
        <w:shd w:val="clear" w:color="auto" w:fill="A1BFDF" w:themeFill="text2" w:themeFillTint="66"/>
      </w:tcPr>
    </w:tblStylePr>
    <w:tblStylePr w:type="band1Horz">
      <w:tblPr/>
      <w:tcPr>
        <w:shd w:val="clear" w:color="auto" w:fill="D0DFEF" w:themeFill="text2" w:themeFillTint="33"/>
      </w:tcPr>
    </w:tblStylePr>
  </w:style>
  <w:style w:type="character" w:styleId="CommentReference">
    <w:name w:val="annotation reference"/>
    <w:basedOn w:val="DefaultParagraphFont"/>
    <w:uiPriority w:val="99"/>
    <w:semiHidden/>
    <w:unhideWhenUsed/>
    <w:rsid w:val="00954F32"/>
    <w:rPr>
      <w:sz w:val="16"/>
      <w:szCs w:val="16"/>
    </w:rPr>
  </w:style>
  <w:style w:type="paragraph" w:styleId="CommentText">
    <w:name w:val="annotation text"/>
    <w:basedOn w:val="Normal"/>
    <w:link w:val="CommentTextChar"/>
    <w:uiPriority w:val="99"/>
    <w:unhideWhenUsed/>
    <w:rsid w:val="00954F32"/>
    <w:rPr>
      <w:sz w:val="20"/>
      <w:szCs w:val="20"/>
    </w:rPr>
  </w:style>
  <w:style w:type="character" w:customStyle="1" w:styleId="CommentTextChar">
    <w:name w:val="Comment Text Char"/>
    <w:basedOn w:val="DefaultParagraphFont"/>
    <w:link w:val="CommentText"/>
    <w:uiPriority w:val="99"/>
    <w:rsid w:val="00954F32"/>
    <w:rPr>
      <w:sz w:val="20"/>
      <w:szCs w:val="20"/>
    </w:rPr>
  </w:style>
  <w:style w:type="paragraph" w:styleId="CommentSubject">
    <w:name w:val="annotation subject"/>
    <w:basedOn w:val="CommentText"/>
    <w:next w:val="CommentText"/>
    <w:link w:val="CommentSubjectChar"/>
    <w:uiPriority w:val="99"/>
    <w:semiHidden/>
    <w:unhideWhenUsed/>
    <w:rsid w:val="00954F32"/>
    <w:rPr>
      <w:b/>
      <w:bCs/>
    </w:rPr>
  </w:style>
  <w:style w:type="character" w:customStyle="1" w:styleId="CommentSubjectChar">
    <w:name w:val="Comment Subject Char"/>
    <w:basedOn w:val="CommentTextChar"/>
    <w:link w:val="CommentSubject"/>
    <w:uiPriority w:val="99"/>
    <w:semiHidden/>
    <w:rsid w:val="00954F32"/>
    <w:rPr>
      <w:b/>
      <w:bCs/>
      <w:sz w:val="20"/>
      <w:szCs w:val="20"/>
    </w:rPr>
  </w:style>
  <w:style w:type="paragraph" w:customStyle="1" w:styleId="TableSourceNote">
    <w:name w:val="Table Source Note"/>
    <w:basedOn w:val="BodyText"/>
    <w:next w:val="BodyText"/>
    <w:link w:val="TableSourceNoteChar"/>
    <w:qFormat/>
    <w:rsid w:val="00FE533A"/>
    <w:pPr>
      <w:spacing w:before="120"/>
    </w:pPr>
    <w:rPr>
      <w:sz w:val="20"/>
    </w:rPr>
  </w:style>
  <w:style w:type="character" w:customStyle="1" w:styleId="TableSourceNoteChar">
    <w:name w:val="Table Source Note Char"/>
    <w:basedOn w:val="BodyTextChar"/>
    <w:link w:val="TableSourceNote"/>
    <w:rsid w:val="00FE533A"/>
    <w:rPr>
      <w:rFonts w:ascii="Calibri" w:hAnsi="Calibri"/>
      <w:sz w:val="20"/>
    </w:rPr>
  </w:style>
  <w:style w:type="paragraph" w:customStyle="1" w:styleId="CoverPubID">
    <w:name w:val="Cover PubID"/>
    <w:basedOn w:val="Normal"/>
    <w:qFormat/>
    <w:rsid w:val="00634674"/>
    <w:pPr>
      <w:tabs>
        <w:tab w:val="right" w:pos="9360"/>
      </w:tabs>
      <w:jc w:val="right"/>
    </w:pPr>
    <w:rPr>
      <w:rFonts w:ascii="Calibri" w:hAnsi="Calibri"/>
      <w:sz w:val="16"/>
    </w:rPr>
  </w:style>
  <w:style w:type="paragraph" w:customStyle="1" w:styleId="TableBullet1">
    <w:name w:val="Table Bullet 1"/>
    <w:basedOn w:val="TableText"/>
    <w:qFormat/>
    <w:rsid w:val="009B3DFD"/>
    <w:pPr>
      <w:numPr>
        <w:numId w:val="8"/>
      </w:numPr>
      <w:ind w:left="270" w:hanging="270"/>
    </w:pPr>
    <w:rPr>
      <w:rFonts w:eastAsiaTheme="minorEastAsia"/>
      <w:szCs w:val="24"/>
    </w:rPr>
  </w:style>
  <w:style w:type="paragraph" w:customStyle="1" w:styleId="Bullet1">
    <w:name w:val="Bullet 1"/>
    <w:basedOn w:val="Normal"/>
    <w:qFormat/>
    <w:rsid w:val="005F075E"/>
    <w:pPr>
      <w:numPr>
        <w:numId w:val="10"/>
      </w:numPr>
      <w:spacing w:before="120"/>
    </w:pPr>
    <w:rPr>
      <w:rFonts w:ascii="Calibri" w:eastAsia="Times New Roman" w:hAnsi="Calibri" w:cs="Times New Roman"/>
      <w:szCs w:val="24"/>
    </w:rPr>
  </w:style>
  <w:style w:type="paragraph" w:customStyle="1" w:styleId="Bullet2">
    <w:name w:val="Bullet 2"/>
    <w:basedOn w:val="Normal"/>
    <w:qFormat/>
    <w:rsid w:val="005F075E"/>
    <w:pPr>
      <w:numPr>
        <w:numId w:val="9"/>
      </w:numPr>
      <w:spacing w:before="120"/>
    </w:pPr>
    <w:rPr>
      <w:rFonts w:ascii="Calibri" w:eastAsia="Times New Roman" w:hAnsi="Calibri" w:cs="Times New Roman"/>
      <w:szCs w:val="24"/>
    </w:rPr>
  </w:style>
  <w:style w:type="paragraph" w:customStyle="1" w:styleId="Bullet3">
    <w:name w:val="Bullet 3"/>
    <w:basedOn w:val="Normal"/>
    <w:qFormat/>
    <w:rsid w:val="005F075E"/>
    <w:pPr>
      <w:numPr>
        <w:ilvl w:val="1"/>
        <w:numId w:val="9"/>
      </w:numPr>
      <w:spacing w:before="120"/>
      <w:contextualSpacing/>
    </w:pPr>
    <w:rPr>
      <w:rFonts w:ascii="Calibri" w:hAnsi="Calibri"/>
    </w:rPr>
  </w:style>
  <w:style w:type="paragraph" w:customStyle="1" w:styleId="NumberedList">
    <w:name w:val="Numbered List"/>
    <w:basedOn w:val="Normal"/>
    <w:qFormat/>
    <w:rsid w:val="009B3DFD"/>
    <w:pPr>
      <w:numPr>
        <w:numId w:val="11"/>
      </w:numPr>
      <w:spacing w:before="120"/>
    </w:pPr>
    <w:rPr>
      <w:rFonts w:eastAsia="Times New Roman" w:cs="Times New Roman"/>
      <w:szCs w:val="24"/>
    </w:rPr>
  </w:style>
  <w:style w:type="paragraph" w:customStyle="1" w:styleId="TableBullet2">
    <w:name w:val="Table Bullet 2"/>
    <w:basedOn w:val="TableText"/>
    <w:qFormat/>
    <w:rsid w:val="009B3DFD"/>
    <w:pPr>
      <w:numPr>
        <w:numId w:val="13"/>
      </w:numPr>
      <w:ind w:left="540" w:hanging="270"/>
    </w:pPr>
    <w:rPr>
      <w:rFonts w:eastAsiaTheme="minorEastAsia"/>
      <w:szCs w:val="24"/>
    </w:rPr>
  </w:style>
  <w:style w:type="paragraph" w:customStyle="1" w:styleId="TableNumbering">
    <w:name w:val="Table Numbering"/>
    <w:basedOn w:val="TableText"/>
    <w:qFormat/>
    <w:rsid w:val="009B3DFD"/>
    <w:pPr>
      <w:numPr>
        <w:numId w:val="12"/>
      </w:numPr>
      <w:ind w:left="270" w:hanging="270"/>
    </w:pPr>
    <w:rPr>
      <w:rFonts w:eastAsiaTheme="minorEastAsia"/>
      <w:szCs w:val="24"/>
    </w:rPr>
  </w:style>
  <w:style w:type="paragraph" w:customStyle="1" w:styleId="TableNote">
    <w:name w:val="Table Note"/>
    <w:basedOn w:val="Normal"/>
    <w:qFormat/>
    <w:rsid w:val="009B3DFD"/>
    <w:pPr>
      <w:spacing w:before="120"/>
      <w:ind w:left="274" w:hanging="274"/>
    </w:pPr>
    <w:rPr>
      <w:rFonts w:eastAsia="Times New Roman" w:cs="Times New Roman"/>
      <w:sz w:val="20"/>
      <w:szCs w:val="24"/>
    </w:rPr>
  </w:style>
  <w:style w:type="paragraph" w:customStyle="1" w:styleId="TableTitle">
    <w:name w:val="Table Title"/>
    <w:basedOn w:val="Normal"/>
    <w:qFormat/>
    <w:rsid w:val="005F075E"/>
    <w:pPr>
      <w:keepNext/>
      <w:spacing w:before="240" w:after="120"/>
    </w:pPr>
    <w:rPr>
      <w:rFonts w:ascii="Calibri" w:eastAsia="Times New Roman" w:hAnsi="Calibri" w:cs="Times"/>
      <w:b/>
      <w:szCs w:val="24"/>
    </w:rPr>
  </w:style>
  <w:style w:type="paragraph" w:customStyle="1" w:styleId="TableColHeadingLeft">
    <w:name w:val="Table Col Heading Left"/>
    <w:basedOn w:val="TableText"/>
    <w:qFormat/>
    <w:rsid w:val="005F075E"/>
    <w:rPr>
      <w:rFonts w:eastAsiaTheme="minorEastAsia"/>
      <w:b/>
      <w:bCs/>
    </w:rPr>
  </w:style>
  <w:style w:type="paragraph" w:customStyle="1" w:styleId="TableColHeadingCenter">
    <w:name w:val="Table Col Heading Center"/>
    <w:basedOn w:val="TableColHeadingLeft"/>
    <w:qFormat/>
    <w:rsid w:val="009B3DFD"/>
    <w:pPr>
      <w:jc w:val="center"/>
    </w:pPr>
  </w:style>
  <w:style w:type="paragraph" w:customStyle="1" w:styleId="BlockQuote">
    <w:name w:val="Block Quote"/>
    <w:basedOn w:val="BodyText"/>
    <w:qFormat/>
    <w:rsid w:val="009B3DFD"/>
    <w:pPr>
      <w:spacing w:before="120"/>
      <w:ind w:left="720"/>
    </w:pPr>
    <w:rPr>
      <w:rFonts w:eastAsia="Times New Roman" w:cs="Times New Roman"/>
      <w:szCs w:val="24"/>
    </w:rPr>
  </w:style>
  <w:style w:type="paragraph" w:customStyle="1" w:styleId="TableSubheading">
    <w:name w:val="Table Subheading"/>
    <w:basedOn w:val="TableText"/>
    <w:qFormat/>
    <w:rsid w:val="009B3DFD"/>
    <w:rPr>
      <w:rFonts w:eastAsiaTheme="minorEastAsia"/>
      <w:b/>
      <w:szCs w:val="24"/>
    </w:rPr>
  </w:style>
  <w:style w:type="paragraph" w:customStyle="1" w:styleId="TurnaroundParagraph">
    <w:name w:val="Turnaround Paragraph"/>
    <w:basedOn w:val="Normal"/>
    <w:qFormat/>
    <w:rsid w:val="005F075E"/>
    <w:pPr>
      <w:spacing w:before="240" w:line="276" w:lineRule="auto"/>
    </w:pPr>
    <w:rPr>
      <w:rFonts w:ascii="Franklin Gothic Book" w:hAnsi="Franklin Gothic Book"/>
      <w:color w:val="326295" w:themeColor="text2"/>
      <w:sz w:val="20"/>
      <w:szCs w:val="20"/>
    </w:rPr>
  </w:style>
  <w:style w:type="paragraph" w:customStyle="1" w:styleId="TurnaroundHeading1">
    <w:name w:val="Turnaround Heading 1"/>
    <w:qFormat/>
    <w:rsid w:val="005F075E"/>
    <w:pPr>
      <w:spacing w:before="480"/>
    </w:pPr>
    <w:rPr>
      <w:rFonts w:ascii="Franklin Gothic Demi" w:eastAsiaTheme="majorEastAsia" w:hAnsi="Franklin Gothic Demi" w:cstheme="majorBidi"/>
      <w:bCs/>
      <w:color w:val="000000" w:themeColor="text1"/>
      <w:sz w:val="28"/>
      <w:szCs w:val="28"/>
    </w:rPr>
  </w:style>
  <w:style w:type="paragraph" w:customStyle="1" w:styleId="TurnaroundDocumentTitle">
    <w:name w:val="Turnaround Document Title"/>
    <w:qFormat/>
    <w:rsid w:val="005F075E"/>
    <w:pPr>
      <w:spacing w:before="600"/>
    </w:pPr>
    <w:rPr>
      <w:rFonts w:ascii="Franklin Gothic Demi" w:eastAsiaTheme="majorEastAsia" w:hAnsi="Franklin Gothic Demi" w:cstheme="majorBidi"/>
      <w:bCs/>
      <w:color w:val="000000" w:themeColor="text1"/>
      <w:sz w:val="36"/>
      <w:szCs w:val="36"/>
    </w:rPr>
  </w:style>
  <w:style w:type="paragraph" w:customStyle="1" w:styleId="TurnaroundTableColumnHead">
    <w:name w:val="Turnaround Table Column Head"/>
    <w:qFormat/>
    <w:rsid w:val="005F075E"/>
    <w:pPr>
      <w:spacing w:before="60" w:after="60"/>
      <w:jc w:val="center"/>
    </w:pPr>
    <w:rPr>
      <w:rFonts w:ascii="Franklin Gothic Demi" w:eastAsia="Times New Roman" w:hAnsi="Franklin Gothic Demi"/>
      <w:color w:val="FFFFFF" w:themeColor="background1"/>
      <w:sz w:val="20"/>
      <w:szCs w:val="20"/>
    </w:rPr>
  </w:style>
  <w:style w:type="paragraph" w:customStyle="1" w:styleId="TurnaroundTableTextBold">
    <w:name w:val="Turnaround Table Text Bold"/>
    <w:basedOn w:val="Normal"/>
    <w:qFormat/>
    <w:rsid w:val="005F075E"/>
    <w:pPr>
      <w:spacing w:before="60" w:after="60"/>
    </w:pPr>
    <w:rPr>
      <w:rFonts w:ascii="Franklin Gothic Demi" w:eastAsia="Times New Roman" w:hAnsi="Franklin Gothic Demi" w:cs="Arial"/>
      <w:iCs/>
      <w:color w:val="326295" w:themeColor="text2"/>
      <w:sz w:val="20"/>
      <w:szCs w:val="20"/>
    </w:rPr>
  </w:style>
  <w:style w:type="paragraph" w:customStyle="1" w:styleId="TurnaroundTable-ExhibitNames">
    <w:name w:val="Turnaround Table-Exhibit Names"/>
    <w:basedOn w:val="Normal"/>
    <w:qFormat/>
    <w:rsid w:val="005F075E"/>
    <w:pPr>
      <w:spacing w:before="240" w:after="60" w:line="276" w:lineRule="auto"/>
    </w:pPr>
    <w:rPr>
      <w:rFonts w:ascii="Franklin Gothic Demi" w:hAnsi="Franklin Gothic Demi"/>
      <w:color w:val="89AFD7" w:themeColor="text2" w:themeTint="80"/>
      <w:sz w:val="20"/>
      <w:szCs w:val="20"/>
    </w:rPr>
  </w:style>
  <w:style w:type="paragraph" w:customStyle="1" w:styleId="TurnaroundTableText-FlushLeft">
    <w:name w:val="Turnaround Table Text - Flush Left"/>
    <w:basedOn w:val="Normal"/>
    <w:qFormat/>
    <w:rsid w:val="005F075E"/>
    <w:pPr>
      <w:spacing w:before="60" w:after="60"/>
    </w:pPr>
    <w:rPr>
      <w:rFonts w:ascii="Franklin Gothic Book" w:eastAsia="Times New Roman" w:hAnsi="Franklin Gothic Book"/>
      <w:color w:val="326295" w:themeColor="text2"/>
      <w:sz w:val="20"/>
      <w:szCs w:val="20"/>
    </w:rPr>
  </w:style>
  <w:style w:type="table" w:customStyle="1" w:styleId="TurnaroundBasic">
    <w:name w:val="Turnaround Basic"/>
    <w:basedOn w:val="TableNormal"/>
    <w:uiPriority w:val="99"/>
    <w:qFormat/>
    <w:rsid w:val="005F075E"/>
    <w:pPr>
      <w:suppressAutoHyphens/>
      <w:spacing w:before="60" w:after="60"/>
    </w:pPr>
    <w:rPr>
      <w:rFonts w:ascii="Franklin Gothic Book" w:eastAsiaTheme="minorHAnsi" w:hAnsi="Franklin Gothic Book"/>
      <w:color w:val="326295" w:themeColor="text2"/>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Pr>
    <w:tblStylePr w:type="firstRow">
      <w:pPr>
        <w:jc w:val="center"/>
      </w:pPr>
      <w:rPr>
        <w:rFonts w:ascii="Arial Bold" w:hAnsi="Arial Bold"/>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EFB219" w:themeFill="accent5"/>
      </w:tcPr>
    </w:tblStylePr>
    <w:tblStylePr w:type="lastRow">
      <w:pPr>
        <w:wordWrap/>
        <w:spacing w:beforeLines="60" w:beforeAutospacing="0" w:afterLines="60" w:afterAutospacing="0" w:line="240" w:lineRule="auto"/>
        <w:jc w:val="left"/>
      </w:pPr>
      <w:rPr>
        <w:rFonts w:asciiTheme="minorHAnsi" w:hAnsiTheme="minorHAnsi"/>
        <w:sz w:val="2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styleId="Hyperlink">
    <w:name w:val="Hyperlink"/>
    <w:basedOn w:val="DefaultParagraphFont"/>
    <w:uiPriority w:val="99"/>
    <w:rsid w:val="005F075E"/>
    <w:rPr>
      <w:color w:val="0000FF"/>
      <w:u w:val="single"/>
    </w:rPr>
  </w:style>
  <w:style w:type="paragraph" w:styleId="FootnoteText">
    <w:name w:val="footnote text"/>
    <w:basedOn w:val="Normal"/>
    <w:link w:val="FootnoteTextChar"/>
    <w:uiPriority w:val="99"/>
    <w:unhideWhenUsed/>
    <w:rsid w:val="00E0278D"/>
    <w:rPr>
      <w:rFonts w:eastAsiaTheme="minorHAnsi"/>
      <w:sz w:val="20"/>
      <w:szCs w:val="20"/>
    </w:rPr>
  </w:style>
  <w:style w:type="character" w:customStyle="1" w:styleId="FootnoteTextChar">
    <w:name w:val="Footnote Text Char"/>
    <w:basedOn w:val="DefaultParagraphFont"/>
    <w:link w:val="FootnoteText"/>
    <w:uiPriority w:val="99"/>
    <w:rsid w:val="00E0278D"/>
    <w:rPr>
      <w:rFonts w:eastAsiaTheme="minorHAnsi"/>
      <w:sz w:val="20"/>
      <w:szCs w:val="20"/>
    </w:rPr>
  </w:style>
  <w:style w:type="character" w:styleId="FootnoteReference">
    <w:name w:val="footnote reference"/>
    <w:basedOn w:val="DefaultParagraphFont"/>
    <w:uiPriority w:val="99"/>
    <w:semiHidden/>
    <w:unhideWhenUsed/>
    <w:rsid w:val="005F075E"/>
    <w:rPr>
      <w:vertAlign w:val="superscript"/>
    </w:rPr>
  </w:style>
  <w:style w:type="paragraph" w:styleId="Revision">
    <w:name w:val="Revision"/>
    <w:hidden/>
    <w:uiPriority w:val="99"/>
    <w:semiHidden/>
    <w:rsid w:val="00862A55"/>
    <w:rPr>
      <w:sz w:val="24"/>
    </w:rPr>
  </w:style>
  <w:style w:type="paragraph" w:customStyle="1" w:styleId="Tablebulletblue">
    <w:name w:val="Table bullet_blue"/>
    <w:basedOn w:val="TableBullet1"/>
    <w:qFormat/>
    <w:rsid w:val="009279BD"/>
    <w:pPr>
      <w:ind w:left="216" w:hanging="216"/>
    </w:pPr>
    <w:rPr>
      <w:color w:val="326295" w:themeColor="text2"/>
      <w:sz w:val="18"/>
      <w:szCs w:val="18"/>
    </w:rPr>
  </w:style>
  <w:style w:type="paragraph" w:customStyle="1" w:styleId="Tabletextblue">
    <w:name w:val="Table text_blue"/>
    <w:basedOn w:val="TableBullet1"/>
    <w:qFormat/>
    <w:rsid w:val="009279BD"/>
    <w:pPr>
      <w:numPr>
        <w:numId w:val="0"/>
      </w:numPr>
    </w:pPr>
    <w:rPr>
      <w:color w:val="326295"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78D"/>
    <w:rPr>
      <w:sz w:val="24"/>
    </w:rPr>
  </w:style>
  <w:style w:type="paragraph" w:styleId="Heading1">
    <w:name w:val="heading 1"/>
    <w:basedOn w:val="Normal"/>
    <w:next w:val="Normal"/>
    <w:link w:val="Heading1Char"/>
    <w:uiPriority w:val="9"/>
    <w:qFormat/>
    <w:rsid w:val="00634674"/>
    <w:pPr>
      <w:keepNext/>
      <w:keepLines/>
      <w:spacing w:before="240"/>
      <w:outlineLvl w:val="0"/>
    </w:pPr>
    <w:rPr>
      <w:rFonts w:ascii="Calibri" w:eastAsiaTheme="majorEastAsia" w:hAnsi="Calibri" w:cstheme="majorBidi"/>
      <w:b/>
      <w:bCs/>
      <w:sz w:val="32"/>
      <w:szCs w:val="36"/>
    </w:rPr>
  </w:style>
  <w:style w:type="paragraph" w:styleId="Heading2">
    <w:name w:val="heading 2"/>
    <w:basedOn w:val="Normal"/>
    <w:next w:val="Normal"/>
    <w:link w:val="Heading2Char"/>
    <w:uiPriority w:val="9"/>
    <w:unhideWhenUsed/>
    <w:qFormat/>
    <w:rsid w:val="00634674"/>
    <w:pPr>
      <w:keepNext/>
      <w:keepLines/>
      <w:spacing w:before="24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634674"/>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5F075E"/>
    <w:pPr>
      <w:keepNext/>
      <w:keepLines/>
      <w:spacing w:before="240"/>
      <w:outlineLvl w:val="3"/>
    </w:pPr>
    <w:rPr>
      <w:rFonts w:ascii="Calibri" w:eastAsiaTheme="majorEastAsia" w:hAnsi="Calibri" w:cstheme="majorBidi"/>
      <w:b/>
      <w:bCs/>
      <w:iCs/>
    </w:rPr>
  </w:style>
  <w:style w:type="paragraph" w:styleId="Heading5">
    <w:name w:val="heading 5"/>
    <w:basedOn w:val="Normal"/>
    <w:next w:val="Normal"/>
    <w:link w:val="Heading5Char"/>
    <w:uiPriority w:val="9"/>
    <w:unhideWhenUsed/>
    <w:qFormat/>
    <w:rsid w:val="005F075E"/>
    <w:pPr>
      <w:keepNext/>
      <w:keepLines/>
      <w:spacing w:before="240"/>
      <w:outlineLvl w:val="4"/>
    </w:pPr>
    <w:rPr>
      <w:rFonts w:ascii="Calibri" w:eastAsiaTheme="majorEastAsia" w:hAnsi="Calibri" w:cstheme="majorBidi"/>
      <w:b/>
      <w:i/>
    </w:rPr>
  </w:style>
  <w:style w:type="paragraph" w:styleId="Heading6">
    <w:name w:val="heading 6"/>
    <w:basedOn w:val="Normal"/>
    <w:next w:val="Normal"/>
    <w:link w:val="Heading6Char"/>
    <w:uiPriority w:val="9"/>
    <w:semiHidden/>
    <w:unhideWhenUsed/>
    <w:qFormat/>
    <w:rsid w:val="00C87513"/>
    <w:pPr>
      <w:keepNext/>
      <w:keepLines/>
      <w:spacing w:before="24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87513"/>
    <w:pPr>
      <w:keepNext/>
      <w:keepLines/>
      <w:spacing w:before="2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7513"/>
    <w:pPr>
      <w:keepNext/>
      <w:keepLines/>
      <w:spacing w:before="24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87513"/>
    <w:pPr>
      <w:keepNext/>
      <w:keepLines/>
      <w:spacing w:before="24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D0"/>
    <w:pPr>
      <w:tabs>
        <w:tab w:val="center" w:pos="4680"/>
        <w:tab w:val="right" w:pos="9360"/>
      </w:tabs>
    </w:pPr>
  </w:style>
  <w:style w:type="character" w:customStyle="1" w:styleId="HeaderChar">
    <w:name w:val="Header Char"/>
    <w:basedOn w:val="DefaultParagraphFont"/>
    <w:link w:val="Header"/>
    <w:uiPriority w:val="99"/>
    <w:rsid w:val="009813D0"/>
  </w:style>
  <w:style w:type="paragraph" w:styleId="Footer">
    <w:name w:val="footer"/>
    <w:basedOn w:val="Normal"/>
    <w:link w:val="FooterChar"/>
    <w:uiPriority w:val="99"/>
    <w:unhideWhenUsed/>
    <w:rsid w:val="00634674"/>
    <w:pPr>
      <w:tabs>
        <w:tab w:val="center" w:pos="4680"/>
        <w:tab w:val="right" w:pos="9360"/>
      </w:tabs>
    </w:pPr>
    <w:rPr>
      <w:rFonts w:ascii="Calibri" w:hAnsi="Calibri"/>
      <w:sz w:val="20"/>
    </w:rPr>
  </w:style>
  <w:style w:type="character" w:customStyle="1" w:styleId="FooterChar">
    <w:name w:val="Footer Char"/>
    <w:basedOn w:val="DefaultParagraphFont"/>
    <w:link w:val="Footer"/>
    <w:uiPriority w:val="99"/>
    <w:rsid w:val="00634674"/>
    <w:rPr>
      <w:rFonts w:ascii="Calibri" w:hAnsi="Calibri"/>
      <w:sz w:val="20"/>
    </w:rPr>
  </w:style>
  <w:style w:type="paragraph" w:styleId="BalloonText">
    <w:name w:val="Balloon Text"/>
    <w:basedOn w:val="Normal"/>
    <w:link w:val="BalloonTextChar"/>
    <w:uiPriority w:val="99"/>
    <w:semiHidden/>
    <w:unhideWhenUsed/>
    <w:rsid w:val="009813D0"/>
    <w:rPr>
      <w:rFonts w:ascii="Tahoma" w:hAnsi="Tahoma" w:cs="Tahoma"/>
      <w:sz w:val="16"/>
      <w:szCs w:val="16"/>
    </w:rPr>
  </w:style>
  <w:style w:type="character" w:customStyle="1" w:styleId="BalloonTextChar">
    <w:name w:val="Balloon Text Char"/>
    <w:basedOn w:val="DefaultParagraphFont"/>
    <w:link w:val="BalloonText"/>
    <w:uiPriority w:val="99"/>
    <w:semiHidden/>
    <w:rsid w:val="009813D0"/>
    <w:rPr>
      <w:rFonts w:ascii="Tahoma" w:hAnsi="Tahoma" w:cs="Tahoma"/>
      <w:sz w:val="16"/>
      <w:szCs w:val="16"/>
    </w:rPr>
  </w:style>
  <w:style w:type="character" w:customStyle="1" w:styleId="Heading1Char">
    <w:name w:val="Heading 1 Char"/>
    <w:basedOn w:val="DefaultParagraphFont"/>
    <w:link w:val="Heading1"/>
    <w:uiPriority w:val="9"/>
    <w:rsid w:val="00634674"/>
    <w:rPr>
      <w:rFonts w:ascii="Calibri" w:eastAsiaTheme="majorEastAsia" w:hAnsi="Calibri" w:cstheme="majorBidi"/>
      <w:b/>
      <w:bCs/>
      <w:sz w:val="32"/>
      <w:szCs w:val="36"/>
    </w:rPr>
  </w:style>
  <w:style w:type="character" w:customStyle="1" w:styleId="Heading2Char">
    <w:name w:val="Heading 2 Char"/>
    <w:basedOn w:val="DefaultParagraphFont"/>
    <w:link w:val="Heading2"/>
    <w:uiPriority w:val="9"/>
    <w:rsid w:val="00634674"/>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634674"/>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5F075E"/>
    <w:rPr>
      <w:rFonts w:ascii="Calibri" w:eastAsiaTheme="majorEastAsia" w:hAnsi="Calibri" w:cstheme="majorBidi"/>
      <w:b/>
      <w:bCs/>
      <w:iCs/>
      <w:sz w:val="24"/>
    </w:rPr>
  </w:style>
  <w:style w:type="character" w:customStyle="1" w:styleId="Heading5Char">
    <w:name w:val="Heading 5 Char"/>
    <w:basedOn w:val="DefaultParagraphFont"/>
    <w:link w:val="Heading5"/>
    <w:uiPriority w:val="9"/>
    <w:rsid w:val="005F075E"/>
    <w:rPr>
      <w:rFonts w:ascii="Calibri" w:eastAsiaTheme="majorEastAsia" w:hAnsi="Calibri" w:cstheme="majorBidi"/>
      <w:b/>
      <w:i/>
      <w:sz w:val="24"/>
    </w:rPr>
  </w:style>
  <w:style w:type="character" w:customStyle="1" w:styleId="Heading6Char">
    <w:name w:val="Heading 6 Char"/>
    <w:basedOn w:val="DefaultParagraphFont"/>
    <w:link w:val="Heading6"/>
    <w:uiPriority w:val="9"/>
    <w:semiHidden/>
    <w:rsid w:val="00C87513"/>
    <w:rPr>
      <w:rFonts w:asciiTheme="majorHAnsi" w:eastAsiaTheme="majorEastAsia" w:hAnsiTheme="majorHAnsi" w:cstheme="majorBidi"/>
      <w:i/>
      <w:iCs/>
      <w:sz w:val="24"/>
    </w:rPr>
  </w:style>
  <w:style w:type="character" w:customStyle="1" w:styleId="Heading7Char">
    <w:name w:val="Heading 7 Char"/>
    <w:basedOn w:val="DefaultParagraphFont"/>
    <w:link w:val="Heading7"/>
    <w:uiPriority w:val="9"/>
    <w:semiHidden/>
    <w:rsid w:val="00C87513"/>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C87513"/>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sid w:val="00C87513"/>
    <w:rPr>
      <w:rFonts w:asciiTheme="majorHAnsi" w:eastAsiaTheme="majorEastAsia" w:hAnsiTheme="majorHAnsi" w:cstheme="majorBidi"/>
      <w:i/>
      <w:iCs/>
      <w:sz w:val="24"/>
      <w:szCs w:val="20"/>
    </w:rPr>
  </w:style>
  <w:style w:type="paragraph" w:styleId="ListBullet">
    <w:name w:val="List Bullet"/>
    <w:basedOn w:val="Bullet1"/>
    <w:uiPriority w:val="99"/>
    <w:unhideWhenUsed/>
    <w:rsid w:val="00711005"/>
  </w:style>
  <w:style w:type="paragraph" w:styleId="ListBullet2">
    <w:name w:val="List Bullet 2"/>
    <w:basedOn w:val="Bullet2"/>
    <w:uiPriority w:val="99"/>
    <w:unhideWhenUsed/>
    <w:rsid w:val="00711005"/>
  </w:style>
  <w:style w:type="paragraph" w:styleId="ListBullet3">
    <w:name w:val="List Bullet 3"/>
    <w:basedOn w:val="Bullet3"/>
    <w:uiPriority w:val="99"/>
    <w:unhideWhenUsed/>
    <w:rsid w:val="00711005"/>
  </w:style>
  <w:style w:type="paragraph" w:styleId="ListBullet4">
    <w:name w:val="List Bullet 4"/>
    <w:basedOn w:val="Normal"/>
    <w:uiPriority w:val="99"/>
    <w:unhideWhenUsed/>
    <w:rsid w:val="00E20FF2"/>
    <w:pPr>
      <w:numPr>
        <w:numId w:val="1"/>
      </w:numPr>
      <w:tabs>
        <w:tab w:val="clear" w:pos="1440"/>
        <w:tab w:val="num" w:pos="1800"/>
      </w:tabs>
      <w:spacing w:before="120"/>
      <w:ind w:left="1800"/>
    </w:pPr>
  </w:style>
  <w:style w:type="paragraph" w:styleId="ListBullet5">
    <w:name w:val="List Bullet 5"/>
    <w:basedOn w:val="Normal"/>
    <w:uiPriority w:val="99"/>
    <w:unhideWhenUsed/>
    <w:rsid w:val="00E20FF2"/>
    <w:pPr>
      <w:numPr>
        <w:numId w:val="2"/>
      </w:numPr>
      <w:tabs>
        <w:tab w:val="clear" w:pos="1800"/>
        <w:tab w:val="num" w:pos="2160"/>
      </w:tabs>
      <w:spacing w:before="120"/>
      <w:ind w:left="2160"/>
    </w:pPr>
  </w:style>
  <w:style w:type="paragraph" w:styleId="ListNumber">
    <w:name w:val="List Number"/>
    <w:basedOn w:val="Normal"/>
    <w:uiPriority w:val="99"/>
    <w:unhideWhenUsed/>
    <w:rsid w:val="009A3982"/>
    <w:pPr>
      <w:numPr>
        <w:numId w:val="3"/>
      </w:numPr>
      <w:tabs>
        <w:tab w:val="clear" w:pos="360"/>
      </w:tabs>
      <w:spacing w:before="120"/>
      <w:ind w:left="720"/>
    </w:pPr>
  </w:style>
  <w:style w:type="paragraph" w:styleId="ListNumber2">
    <w:name w:val="List Number 2"/>
    <w:basedOn w:val="Normal"/>
    <w:uiPriority w:val="99"/>
    <w:semiHidden/>
    <w:unhideWhenUsed/>
    <w:rsid w:val="000D3209"/>
    <w:pPr>
      <w:numPr>
        <w:numId w:val="4"/>
      </w:numPr>
      <w:spacing w:before="120"/>
    </w:pPr>
  </w:style>
  <w:style w:type="paragraph" w:styleId="ListNumber3">
    <w:name w:val="List Number 3"/>
    <w:basedOn w:val="Normal"/>
    <w:uiPriority w:val="99"/>
    <w:semiHidden/>
    <w:unhideWhenUsed/>
    <w:rsid w:val="000D3209"/>
    <w:pPr>
      <w:numPr>
        <w:numId w:val="5"/>
      </w:numPr>
      <w:spacing w:before="120"/>
    </w:pPr>
  </w:style>
  <w:style w:type="paragraph" w:styleId="ListNumber4">
    <w:name w:val="List Number 4"/>
    <w:basedOn w:val="Normal"/>
    <w:uiPriority w:val="99"/>
    <w:semiHidden/>
    <w:unhideWhenUsed/>
    <w:rsid w:val="000D3209"/>
    <w:pPr>
      <w:numPr>
        <w:numId w:val="6"/>
      </w:numPr>
      <w:spacing w:before="120"/>
    </w:pPr>
  </w:style>
  <w:style w:type="paragraph" w:styleId="ListNumber5">
    <w:name w:val="List Number 5"/>
    <w:basedOn w:val="Normal"/>
    <w:uiPriority w:val="99"/>
    <w:semiHidden/>
    <w:unhideWhenUsed/>
    <w:rsid w:val="000D3209"/>
    <w:pPr>
      <w:numPr>
        <w:numId w:val="7"/>
      </w:numPr>
      <w:spacing w:before="120"/>
    </w:pPr>
  </w:style>
  <w:style w:type="paragraph" w:styleId="TOCHeading">
    <w:name w:val="TOC Heading"/>
    <w:basedOn w:val="Heading1"/>
    <w:next w:val="Normal"/>
    <w:uiPriority w:val="39"/>
    <w:semiHidden/>
    <w:unhideWhenUsed/>
    <w:qFormat/>
    <w:rsid w:val="000D3209"/>
    <w:pPr>
      <w:jc w:val="center"/>
      <w:outlineLvl w:val="9"/>
    </w:pPr>
  </w:style>
  <w:style w:type="paragraph" w:styleId="TOAHeading">
    <w:name w:val="toa heading"/>
    <w:basedOn w:val="Normal"/>
    <w:next w:val="Normal"/>
    <w:uiPriority w:val="99"/>
    <w:semiHidden/>
    <w:unhideWhenUsed/>
    <w:rsid w:val="000D3209"/>
    <w:pPr>
      <w:spacing w:before="240"/>
      <w:jc w:val="center"/>
    </w:pPr>
    <w:rPr>
      <w:rFonts w:asciiTheme="majorHAnsi" w:eastAsiaTheme="majorEastAsia" w:hAnsiTheme="majorHAnsi" w:cstheme="majorBidi"/>
      <w:b/>
      <w:bCs/>
      <w:sz w:val="32"/>
      <w:szCs w:val="24"/>
    </w:rPr>
  </w:style>
  <w:style w:type="paragraph" w:styleId="Caption">
    <w:name w:val="caption"/>
    <w:basedOn w:val="TableTitle"/>
    <w:next w:val="Normal"/>
    <w:uiPriority w:val="35"/>
    <w:unhideWhenUsed/>
    <w:qFormat/>
    <w:rsid w:val="00A04610"/>
  </w:style>
  <w:style w:type="paragraph" w:styleId="BodyText">
    <w:name w:val="Body Text"/>
    <w:basedOn w:val="Normal"/>
    <w:link w:val="BodyTextChar"/>
    <w:uiPriority w:val="99"/>
    <w:unhideWhenUsed/>
    <w:qFormat/>
    <w:rsid w:val="00634674"/>
    <w:pPr>
      <w:spacing w:before="240"/>
    </w:pPr>
    <w:rPr>
      <w:rFonts w:ascii="Calibri" w:hAnsi="Calibri"/>
    </w:rPr>
  </w:style>
  <w:style w:type="character" w:customStyle="1" w:styleId="BodyTextChar">
    <w:name w:val="Body Text Char"/>
    <w:basedOn w:val="DefaultParagraphFont"/>
    <w:link w:val="BodyText"/>
    <w:uiPriority w:val="99"/>
    <w:rsid w:val="00634674"/>
    <w:rPr>
      <w:rFonts w:ascii="Calibri" w:hAnsi="Calibri"/>
      <w:sz w:val="24"/>
    </w:rPr>
  </w:style>
  <w:style w:type="paragraph" w:customStyle="1" w:styleId="TableHead">
    <w:name w:val="Table Head"/>
    <w:basedOn w:val="Caption"/>
    <w:next w:val="BodyText"/>
    <w:rsid w:val="00CD2118"/>
    <w:rPr>
      <w:bCs/>
    </w:rPr>
  </w:style>
  <w:style w:type="paragraph" w:customStyle="1" w:styleId="TableText">
    <w:name w:val="Table Text"/>
    <w:basedOn w:val="BodyText"/>
    <w:qFormat/>
    <w:rsid w:val="00CD2118"/>
    <w:pPr>
      <w:spacing w:before="40" w:after="40"/>
    </w:pPr>
    <w:rPr>
      <w:rFonts w:eastAsia="Times New Roman" w:cs="Times New Roman"/>
      <w:sz w:val="22"/>
      <w:szCs w:val="20"/>
    </w:rPr>
  </w:style>
  <w:style w:type="paragraph" w:customStyle="1" w:styleId="TableTextCentered">
    <w:name w:val="Table Text Centered"/>
    <w:basedOn w:val="TableText"/>
    <w:qFormat/>
    <w:rsid w:val="00CD2118"/>
    <w:pPr>
      <w:jc w:val="center"/>
    </w:pPr>
  </w:style>
  <w:style w:type="paragraph" w:customStyle="1" w:styleId="TableColumnHead">
    <w:name w:val="Table Column Head"/>
    <w:basedOn w:val="TableText"/>
    <w:rsid w:val="007025B6"/>
    <w:rPr>
      <w:b/>
      <w:bCs/>
    </w:rPr>
  </w:style>
  <w:style w:type="paragraph" w:customStyle="1" w:styleId="TableColumnHeadCentered">
    <w:name w:val="Table Column Head Centered"/>
    <w:basedOn w:val="TableColumnHead"/>
    <w:rsid w:val="007025B6"/>
    <w:pPr>
      <w:jc w:val="center"/>
    </w:pPr>
    <w:rPr>
      <w:bCs w:val="0"/>
    </w:rPr>
  </w:style>
  <w:style w:type="table" w:styleId="TableGrid">
    <w:name w:val="Table Grid"/>
    <w:basedOn w:val="TableNormal"/>
    <w:uiPriority w:val="59"/>
    <w:rsid w:val="007F4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075E"/>
    <w:pPr>
      <w:spacing w:before="480" w:after="300"/>
      <w:contextualSpacing/>
    </w:pPr>
    <w:rPr>
      <w:rFonts w:ascii="Arial Bold" w:eastAsiaTheme="majorEastAsia" w:hAnsi="Arial Bold" w:cstheme="majorBidi"/>
      <w:b/>
      <w:color w:val="25496F" w:themeColor="text2" w:themeShade="BF"/>
      <w:kern w:val="28"/>
      <w:sz w:val="40"/>
      <w:szCs w:val="40"/>
    </w:rPr>
  </w:style>
  <w:style w:type="character" w:customStyle="1" w:styleId="TitleChar">
    <w:name w:val="Title Char"/>
    <w:basedOn w:val="DefaultParagraphFont"/>
    <w:link w:val="Title"/>
    <w:uiPriority w:val="10"/>
    <w:rsid w:val="005F075E"/>
    <w:rPr>
      <w:rFonts w:ascii="Arial Bold" w:eastAsiaTheme="majorEastAsia" w:hAnsi="Arial Bold" w:cstheme="majorBidi"/>
      <w:b/>
      <w:color w:val="25496F" w:themeColor="text2" w:themeShade="BF"/>
      <w:kern w:val="28"/>
      <w:sz w:val="40"/>
      <w:szCs w:val="40"/>
    </w:rPr>
  </w:style>
  <w:style w:type="table" w:customStyle="1" w:styleId="AIRTable">
    <w:name w:val="AIR Table"/>
    <w:basedOn w:val="TableNormal"/>
    <w:uiPriority w:val="99"/>
    <w:rsid w:val="00312A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shd w:val="clear" w:color="auto" w:fill="A1BFDF" w:themeFill="text2" w:themeFillTint="66"/>
      </w:tcPr>
    </w:tblStylePr>
    <w:tblStylePr w:type="firstCol">
      <w:tblPr/>
      <w:tcPr>
        <w:shd w:val="clear" w:color="auto" w:fill="A1BFDF" w:themeFill="text2" w:themeFillTint="66"/>
      </w:tcPr>
    </w:tblStylePr>
    <w:tblStylePr w:type="band1Horz">
      <w:tblPr/>
      <w:tcPr>
        <w:shd w:val="clear" w:color="auto" w:fill="D0DFEF" w:themeFill="text2" w:themeFillTint="33"/>
      </w:tcPr>
    </w:tblStylePr>
  </w:style>
  <w:style w:type="character" w:styleId="CommentReference">
    <w:name w:val="annotation reference"/>
    <w:basedOn w:val="DefaultParagraphFont"/>
    <w:uiPriority w:val="99"/>
    <w:semiHidden/>
    <w:unhideWhenUsed/>
    <w:rsid w:val="00954F32"/>
    <w:rPr>
      <w:sz w:val="16"/>
      <w:szCs w:val="16"/>
    </w:rPr>
  </w:style>
  <w:style w:type="paragraph" w:styleId="CommentText">
    <w:name w:val="annotation text"/>
    <w:basedOn w:val="Normal"/>
    <w:link w:val="CommentTextChar"/>
    <w:uiPriority w:val="99"/>
    <w:unhideWhenUsed/>
    <w:rsid w:val="00954F32"/>
    <w:rPr>
      <w:sz w:val="20"/>
      <w:szCs w:val="20"/>
    </w:rPr>
  </w:style>
  <w:style w:type="character" w:customStyle="1" w:styleId="CommentTextChar">
    <w:name w:val="Comment Text Char"/>
    <w:basedOn w:val="DefaultParagraphFont"/>
    <w:link w:val="CommentText"/>
    <w:uiPriority w:val="99"/>
    <w:rsid w:val="00954F32"/>
    <w:rPr>
      <w:sz w:val="20"/>
      <w:szCs w:val="20"/>
    </w:rPr>
  </w:style>
  <w:style w:type="paragraph" w:styleId="CommentSubject">
    <w:name w:val="annotation subject"/>
    <w:basedOn w:val="CommentText"/>
    <w:next w:val="CommentText"/>
    <w:link w:val="CommentSubjectChar"/>
    <w:uiPriority w:val="99"/>
    <w:semiHidden/>
    <w:unhideWhenUsed/>
    <w:rsid w:val="00954F32"/>
    <w:rPr>
      <w:b/>
      <w:bCs/>
    </w:rPr>
  </w:style>
  <w:style w:type="character" w:customStyle="1" w:styleId="CommentSubjectChar">
    <w:name w:val="Comment Subject Char"/>
    <w:basedOn w:val="CommentTextChar"/>
    <w:link w:val="CommentSubject"/>
    <w:uiPriority w:val="99"/>
    <w:semiHidden/>
    <w:rsid w:val="00954F32"/>
    <w:rPr>
      <w:b/>
      <w:bCs/>
      <w:sz w:val="20"/>
      <w:szCs w:val="20"/>
    </w:rPr>
  </w:style>
  <w:style w:type="paragraph" w:customStyle="1" w:styleId="TableSourceNote">
    <w:name w:val="Table Source Note"/>
    <w:basedOn w:val="BodyText"/>
    <w:next w:val="BodyText"/>
    <w:link w:val="TableSourceNoteChar"/>
    <w:qFormat/>
    <w:rsid w:val="00FE533A"/>
    <w:pPr>
      <w:spacing w:before="120"/>
    </w:pPr>
    <w:rPr>
      <w:sz w:val="20"/>
    </w:rPr>
  </w:style>
  <w:style w:type="character" w:customStyle="1" w:styleId="TableSourceNoteChar">
    <w:name w:val="Table Source Note Char"/>
    <w:basedOn w:val="BodyTextChar"/>
    <w:link w:val="TableSourceNote"/>
    <w:rsid w:val="00FE533A"/>
    <w:rPr>
      <w:rFonts w:ascii="Calibri" w:hAnsi="Calibri"/>
      <w:sz w:val="20"/>
    </w:rPr>
  </w:style>
  <w:style w:type="paragraph" w:customStyle="1" w:styleId="CoverPubID">
    <w:name w:val="Cover PubID"/>
    <w:basedOn w:val="Normal"/>
    <w:qFormat/>
    <w:rsid w:val="00634674"/>
    <w:pPr>
      <w:tabs>
        <w:tab w:val="right" w:pos="9360"/>
      </w:tabs>
      <w:jc w:val="right"/>
    </w:pPr>
    <w:rPr>
      <w:rFonts w:ascii="Calibri" w:hAnsi="Calibri"/>
      <w:sz w:val="16"/>
    </w:rPr>
  </w:style>
  <w:style w:type="paragraph" w:customStyle="1" w:styleId="TableBullet1">
    <w:name w:val="Table Bullet 1"/>
    <w:basedOn w:val="TableText"/>
    <w:qFormat/>
    <w:rsid w:val="009B3DFD"/>
    <w:pPr>
      <w:numPr>
        <w:numId w:val="8"/>
      </w:numPr>
      <w:ind w:left="270" w:hanging="270"/>
    </w:pPr>
    <w:rPr>
      <w:rFonts w:eastAsiaTheme="minorEastAsia"/>
      <w:szCs w:val="24"/>
    </w:rPr>
  </w:style>
  <w:style w:type="paragraph" w:customStyle="1" w:styleId="Bullet1">
    <w:name w:val="Bullet 1"/>
    <w:basedOn w:val="Normal"/>
    <w:qFormat/>
    <w:rsid w:val="005F075E"/>
    <w:pPr>
      <w:numPr>
        <w:numId w:val="10"/>
      </w:numPr>
      <w:spacing w:before="120"/>
    </w:pPr>
    <w:rPr>
      <w:rFonts w:ascii="Calibri" w:eastAsia="Times New Roman" w:hAnsi="Calibri" w:cs="Times New Roman"/>
      <w:szCs w:val="24"/>
    </w:rPr>
  </w:style>
  <w:style w:type="paragraph" w:customStyle="1" w:styleId="Bullet2">
    <w:name w:val="Bullet 2"/>
    <w:basedOn w:val="Normal"/>
    <w:qFormat/>
    <w:rsid w:val="005F075E"/>
    <w:pPr>
      <w:numPr>
        <w:numId w:val="9"/>
      </w:numPr>
      <w:spacing w:before="120"/>
    </w:pPr>
    <w:rPr>
      <w:rFonts w:ascii="Calibri" w:eastAsia="Times New Roman" w:hAnsi="Calibri" w:cs="Times New Roman"/>
      <w:szCs w:val="24"/>
    </w:rPr>
  </w:style>
  <w:style w:type="paragraph" w:customStyle="1" w:styleId="Bullet3">
    <w:name w:val="Bullet 3"/>
    <w:basedOn w:val="Normal"/>
    <w:qFormat/>
    <w:rsid w:val="005F075E"/>
    <w:pPr>
      <w:numPr>
        <w:ilvl w:val="1"/>
        <w:numId w:val="9"/>
      </w:numPr>
      <w:spacing w:before="120"/>
      <w:contextualSpacing/>
    </w:pPr>
    <w:rPr>
      <w:rFonts w:ascii="Calibri" w:hAnsi="Calibri"/>
    </w:rPr>
  </w:style>
  <w:style w:type="paragraph" w:customStyle="1" w:styleId="NumberedList">
    <w:name w:val="Numbered List"/>
    <w:basedOn w:val="Normal"/>
    <w:qFormat/>
    <w:rsid w:val="009B3DFD"/>
    <w:pPr>
      <w:numPr>
        <w:numId w:val="11"/>
      </w:numPr>
      <w:spacing w:before="120"/>
    </w:pPr>
    <w:rPr>
      <w:rFonts w:eastAsia="Times New Roman" w:cs="Times New Roman"/>
      <w:szCs w:val="24"/>
    </w:rPr>
  </w:style>
  <w:style w:type="paragraph" w:customStyle="1" w:styleId="TableBullet2">
    <w:name w:val="Table Bullet 2"/>
    <w:basedOn w:val="TableText"/>
    <w:qFormat/>
    <w:rsid w:val="009B3DFD"/>
    <w:pPr>
      <w:numPr>
        <w:numId w:val="13"/>
      </w:numPr>
      <w:ind w:left="540" w:hanging="270"/>
    </w:pPr>
    <w:rPr>
      <w:rFonts w:eastAsiaTheme="minorEastAsia"/>
      <w:szCs w:val="24"/>
    </w:rPr>
  </w:style>
  <w:style w:type="paragraph" w:customStyle="1" w:styleId="TableNumbering">
    <w:name w:val="Table Numbering"/>
    <w:basedOn w:val="TableText"/>
    <w:qFormat/>
    <w:rsid w:val="009B3DFD"/>
    <w:pPr>
      <w:numPr>
        <w:numId w:val="12"/>
      </w:numPr>
      <w:ind w:left="270" w:hanging="270"/>
    </w:pPr>
    <w:rPr>
      <w:rFonts w:eastAsiaTheme="minorEastAsia"/>
      <w:szCs w:val="24"/>
    </w:rPr>
  </w:style>
  <w:style w:type="paragraph" w:customStyle="1" w:styleId="TableNote">
    <w:name w:val="Table Note"/>
    <w:basedOn w:val="Normal"/>
    <w:qFormat/>
    <w:rsid w:val="009B3DFD"/>
    <w:pPr>
      <w:spacing w:before="120"/>
      <w:ind w:left="274" w:hanging="274"/>
    </w:pPr>
    <w:rPr>
      <w:rFonts w:eastAsia="Times New Roman" w:cs="Times New Roman"/>
      <w:sz w:val="20"/>
      <w:szCs w:val="24"/>
    </w:rPr>
  </w:style>
  <w:style w:type="paragraph" w:customStyle="1" w:styleId="TableTitle">
    <w:name w:val="Table Title"/>
    <w:basedOn w:val="Normal"/>
    <w:qFormat/>
    <w:rsid w:val="005F075E"/>
    <w:pPr>
      <w:keepNext/>
      <w:spacing w:before="240" w:after="120"/>
    </w:pPr>
    <w:rPr>
      <w:rFonts w:ascii="Calibri" w:eastAsia="Times New Roman" w:hAnsi="Calibri" w:cs="Times"/>
      <w:b/>
      <w:szCs w:val="24"/>
    </w:rPr>
  </w:style>
  <w:style w:type="paragraph" w:customStyle="1" w:styleId="TableColHeadingLeft">
    <w:name w:val="Table Col Heading Left"/>
    <w:basedOn w:val="TableText"/>
    <w:qFormat/>
    <w:rsid w:val="005F075E"/>
    <w:rPr>
      <w:rFonts w:eastAsiaTheme="minorEastAsia"/>
      <w:b/>
      <w:bCs/>
    </w:rPr>
  </w:style>
  <w:style w:type="paragraph" w:customStyle="1" w:styleId="TableColHeadingCenter">
    <w:name w:val="Table Col Heading Center"/>
    <w:basedOn w:val="TableColHeadingLeft"/>
    <w:qFormat/>
    <w:rsid w:val="009B3DFD"/>
    <w:pPr>
      <w:jc w:val="center"/>
    </w:pPr>
  </w:style>
  <w:style w:type="paragraph" w:customStyle="1" w:styleId="BlockQuote">
    <w:name w:val="Block Quote"/>
    <w:basedOn w:val="BodyText"/>
    <w:qFormat/>
    <w:rsid w:val="009B3DFD"/>
    <w:pPr>
      <w:spacing w:before="120"/>
      <w:ind w:left="720"/>
    </w:pPr>
    <w:rPr>
      <w:rFonts w:eastAsia="Times New Roman" w:cs="Times New Roman"/>
      <w:szCs w:val="24"/>
    </w:rPr>
  </w:style>
  <w:style w:type="paragraph" w:customStyle="1" w:styleId="TableSubheading">
    <w:name w:val="Table Subheading"/>
    <w:basedOn w:val="TableText"/>
    <w:qFormat/>
    <w:rsid w:val="009B3DFD"/>
    <w:rPr>
      <w:rFonts w:eastAsiaTheme="minorEastAsia"/>
      <w:b/>
      <w:szCs w:val="24"/>
    </w:rPr>
  </w:style>
  <w:style w:type="paragraph" w:customStyle="1" w:styleId="TurnaroundParagraph">
    <w:name w:val="Turnaround Paragraph"/>
    <w:basedOn w:val="Normal"/>
    <w:qFormat/>
    <w:rsid w:val="005F075E"/>
    <w:pPr>
      <w:spacing w:before="240" w:line="276" w:lineRule="auto"/>
    </w:pPr>
    <w:rPr>
      <w:rFonts w:ascii="Franklin Gothic Book" w:hAnsi="Franklin Gothic Book"/>
      <w:color w:val="326295" w:themeColor="text2"/>
      <w:sz w:val="20"/>
      <w:szCs w:val="20"/>
    </w:rPr>
  </w:style>
  <w:style w:type="paragraph" w:customStyle="1" w:styleId="TurnaroundHeading1">
    <w:name w:val="Turnaround Heading 1"/>
    <w:qFormat/>
    <w:rsid w:val="005F075E"/>
    <w:pPr>
      <w:spacing w:before="480"/>
    </w:pPr>
    <w:rPr>
      <w:rFonts w:ascii="Franklin Gothic Demi" w:eastAsiaTheme="majorEastAsia" w:hAnsi="Franklin Gothic Demi" w:cstheme="majorBidi"/>
      <w:bCs/>
      <w:color w:val="000000" w:themeColor="text1"/>
      <w:sz w:val="28"/>
      <w:szCs w:val="28"/>
    </w:rPr>
  </w:style>
  <w:style w:type="paragraph" w:customStyle="1" w:styleId="TurnaroundDocumentTitle">
    <w:name w:val="Turnaround Document Title"/>
    <w:qFormat/>
    <w:rsid w:val="005F075E"/>
    <w:pPr>
      <w:spacing w:before="600"/>
    </w:pPr>
    <w:rPr>
      <w:rFonts w:ascii="Franklin Gothic Demi" w:eastAsiaTheme="majorEastAsia" w:hAnsi="Franklin Gothic Demi" w:cstheme="majorBidi"/>
      <w:bCs/>
      <w:color w:val="000000" w:themeColor="text1"/>
      <w:sz w:val="36"/>
      <w:szCs w:val="36"/>
    </w:rPr>
  </w:style>
  <w:style w:type="paragraph" w:customStyle="1" w:styleId="TurnaroundTableColumnHead">
    <w:name w:val="Turnaround Table Column Head"/>
    <w:qFormat/>
    <w:rsid w:val="005F075E"/>
    <w:pPr>
      <w:spacing w:before="60" w:after="60"/>
      <w:jc w:val="center"/>
    </w:pPr>
    <w:rPr>
      <w:rFonts w:ascii="Franklin Gothic Demi" w:eastAsia="Times New Roman" w:hAnsi="Franklin Gothic Demi"/>
      <w:color w:val="FFFFFF" w:themeColor="background1"/>
      <w:sz w:val="20"/>
      <w:szCs w:val="20"/>
    </w:rPr>
  </w:style>
  <w:style w:type="paragraph" w:customStyle="1" w:styleId="TurnaroundTableTextBold">
    <w:name w:val="Turnaround Table Text Bold"/>
    <w:basedOn w:val="Normal"/>
    <w:qFormat/>
    <w:rsid w:val="005F075E"/>
    <w:pPr>
      <w:spacing w:before="60" w:after="60"/>
    </w:pPr>
    <w:rPr>
      <w:rFonts w:ascii="Franklin Gothic Demi" w:eastAsia="Times New Roman" w:hAnsi="Franklin Gothic Demi" w:cs="Arial"/>
      <w:iCs/>
      <w:color w:val="326295" w:themeColor="text2"/>
      <w:sz w:val="20"/>
      <w:szCs w:val="20"/>
    </w:rPr>
  </w:style>
  <w:style w:type="paragraph" w:customStyle="1" w:styleId="TurnaroundTable-ExhibitNames">
    <w:name w:val="Turnaround Table-Exhibit Names"/>
    <w:basedOn w:val="Normal"/>
    <w:qFormat/>
    <w:rsid w:val="005F075E"/>
    <w:pPr>
      <w:spacing w:before="240" w:after="60" w:line="276" w:lineRule="auto"/>
    </w:pPr>
    <w:rPr>
      <w:rFonts w:ascii="Franklin Gothic Demi" w:hAnsi="Franklin Gothic Demi"/>
      <w:color w:val="89AFD7" w:themeColor="text2" w:themeTint="80"/>
      <w:sz w:val="20"/>
      <w:szCs w:val="20"/>
    </w:rPr>
  </w:style>
  <w:style w:type="paragraph" w:customStyle="1" w:styleId="TurnaroundTableText-FlushLeft">
    <w:name w:val="Turnaround Table Text - Flush Left"/>
    <w:basedOn w:val="Normal"/>
    <w:qFormat/>
    <w:rsid w:val="005F075E"/>
    <w:pPr>
      <w:spacing w:before="60" w:after="60"/>
    </w:pPr>
    <w:rPr>
      <w:rFonts w:ascii="Franklin Gothic Book" w:eastAsia="Times New Roman" w:hAnsi="Franklin Gothic Book"/>
      <w:color w:val="326295" w:themeColor="text2"/>
      <w:sz w:val="20"/>
      <w:szCs w:val="20"/>
    </w:rPr>
  </w:style>
  <w:style w:type="table" w:customStyle="1" w:styleId="TurnaroundBasic">
    <w:name w:val="Turnaround Basic"/>
    <w:basedOn w:val="TableNormal"/>
    <w:uiPriority w:val="99"/>
    <w:qFormat/>
    <w:rsid w:val="005F075E"/>
    <w:pPr>
      <w:suppressAutoHyphens/>
      <w:spacing w:before="60" w:after="60"/>
    </w:pPr>
    <w:rPr>
      <w:rFonts w:ascii="Franklin Gothic Book" w:eastAsiaTheme="minorHAnsi" w:hAnsi="Franklin Gothic Book"/>
      <w:color w:val="326295" w:themeColor="text2"/>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Pr>
    <w:tblStylePr w:type="firstRow">
      <w:pPr>
        <w:jc w:val="center"/>
      </w:pPr>
      <w:rPr>
        <w:rFonts w:ascii="Arial Bold" w:hAnsi="Arial Bold"/>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EFB219" w:themeFill="accent5"/>
      </w:tcPr>
    </w:tblStylePr>
    <w:tblStylePr w:type="lastRow">
      <w:pPr>
        <w:wordWrap/>
        <w:spacing w:beforeLines="60" w:beforeAutospacing="0" w:afterLines="60" w:afterAutospacing="0" w:line="240" w:lineRule="auto"/>
        <w:jc w:val="left"/>
      </w:pPr>
      <w:rPr>
        <w:rFonts w:asciiTheme="minorHAnsi" w:hAnsiTheme="minorHAnsi"/>
        <w:sz w:val="2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styleId="Hyperlink">
    <w:name w:val="Hyperlink"/>
    <w:basedOn w:val="DefaultParagraphFont"/>
    <w:uiPriority w:val="99"/>
    <w:rsid w:val="005F075E"/>
    <w:rPr>
      <w:color w:val="0000FF"/>
      <w:u w:val="single"/>
    </w:rPr>
  </w:style>
  <w:style w:type="paragraph" w:styleId="FootnoteText">
    <w:name w:val="footnote text"/>
    <w:basedOn w:val="Normal"/>
    <w:link w:val="FootnoteTextChar"/>
    <w:uiPriority w:val="99"/>
    <w:unhideWhenUsed/>
    <w:rsid w:val="00E0278D"/>
    <w:rPr>
      <w:rFonts w:eastAsiaTheme="minorHAnsi"/>
      <w:sz w:val="20"/>
      <w:szCs w:val="20"/>
    </w:rPr>
  </w:style>
  <w:style w:type="character" w:customStyle="1" w:styleId="FootnoteTextChar">
    <w:name w:val="Footnote Text Char"/>
    <w:basedOn w:val="DefaultParagraphFont"/>
    <w:link w:val="FootnoteText"/>
    <w:uiPriority w:val="99"/>
    <w:rsid w:val="00E0278D"/>
    <w:rPr>
      <w:rFonts w:eastAsiaTheme="minorHAnsi"/>
      <w:sz w:val="20"/>
      <w:szCs w:val="20"/>
    </w:rPr>
  </w:style>
  <w:style w:type="character" w:styleId="FootnoteReference">
    <w:name w:val="footnote reference"/>
    <w:basedOn w:val="DefaultParagraphFont"/>
    <w:uiPriority w:val="99"/>
    <w:semiHidden/>
    <w:unhideWhenUsed/>
    <w:rsid w:val="005F075E"/>
    <w:rPr>
      <w:vertAlign w:val="superscript"/>
    </w:rPr>
  </w:style>
  <w:style w:type="paragraph" w:styleId="Revision">
    <w:name w:val="Revision"/>
    <w:hidden/>
    <w:uiPriority w:val="99"/>
    <w:semiHidden/>
    <w:rsid w:val="00862A55"/>
    <w:rPr>
      <w:sz w:val="24"/>
    </w:rPr>
  </w:style>
  <w:style w:type="paragraph" w:customStyle="1" w:styleId="Tablebulletblue">
    <w:name w:val="Table bullet_blue"/>
    <w:basedOn w:val="TableBullet1"/>
    <w:qFormat/>
    <w:rsid w:val="009279BD"/>
    <w:pPr>
      <w:ind w:left="216" w:hanging="216"/>
    </w:pPr>
    <w:rPr>
      <w:color w:val="326295" w:themeColor="text2"/>
      <w:sz w:val="18"/>
      <w:szCs w:val="18"/>
    </w:rPr>
  </w:style>
  <w:style w:type="paragraph" w:customStyle="1" w:styleId="Tabletextblue">
    <w:name w:val="Table text_blue"/>
    <w:basedOn w:val="TableBullet1"/>
    <w:qFormat/>
    <w:rsid w:val="009279BD"/>
    <w:pPr>
      <w:numPr>
        <w:numId w:val="0"/>
      </w:numPr>
    </w:pPr>
    <w:rPr>
      <w:color w:val="326295" w:themeColor="text2"/>
      <w:sz w:val="18"/>
      <w:szCs w:val="18"/>
    </w:rPr>
  </w:style>
</w:styles>
</file>

<file path=word/webSettings.xml><?xml version="1.0" encoding="utf-8"?>
<w:webSettings xmlns:r="http://schemas.openxmlformats.org/officeDocument/2006/relationships" xmlns:w="http://schemas.openxmlformats.org/wordprocessingml/2006/main">
  <w:divs>
    <w:div w:id="1287203627">
      <w:bodyDiv w:val="1"/>
      <w:marLeft w:val="0"/>
      <w:marRight w:val="0"/>
      <w:marTop w:val="0"/>
      <w:marBottom w:val="0"/>
      <w:divBdr>
        <w:top w:val="none" w:sz="0" w:space="0" w:color="auto"/>
        <w:left w:val="none" w:sz="0" w:space="0" w:color="auto"/>
        <w:bottom w:val="none" w:sz="0" w:space="0" w:color="auto"/>
        <w:right w:val="none" w:sz="0" w:space="0" w:color="auto"/>
      </w:divBdr>
      <w:divsChild>
        <w:div w:id="1300570272">
          <w:marLeft w:val="0"/>
          <w:marRight w:val="0"/>
          <w:marTop w:val="0"/>
          <w:marBottom w:val="90"/>
          <w:divBdr>
            <w:top w:val="none" w:sz="0" w:space="0" w:color="auto"/>
            <w:left w:val="none" w:sz="0" w:space="0" w:color="auto"/>
            <w:bottom w:val="none" w:sz="0" w:space="0" w:color="auto"/>
            <w:right w:val="none" w:sz="0" w:space="0" w:color="auto"/>
          </w:divBdr>
        </w:div>
        <w:div w:id="515390640">
          <w:marLeft w:val="0"/>
          <w:marRight w:val="0"/>
          <w:marTop w:val="0"/>
          <w:marBottom w:val="90"/>
          <w:divBdr>
            <w:top w:val="none" w:sz="0" w:space="0" w:color="auto"/>
            <w:left w:val="none" w:sz="0" w:space="0" w:color="auto"/>
            <w:bottom w:val="none" w:sz="0" w:space="0" w:color="auto"/>
            <w:right w:val="none" w:sz="0" w:space="0" w:color="auto"/>
          </w:divBdr>
        </w:div>
      </w:divsChild>
    </w:div>
    <w:div w:id="18171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15" Type="http://schemas.microsoft.com/office/2011/relationships/people" Target="people.xml"/>
  <Relationship Id="rId16" Type="http://schemas.microsoft.com/office/2011/relationships/commentsExtended" Target="commentsExtended.xml"/>
  <Relationship Id="rId17" Type="http://schemas.microsoft.com/office/2007/relationships/stylesWithEffects" Target="stylesWithEffects.xml"/>
  <Relationship Id="rId18" Type="http://schemas.openxmlformats.org/officeDocument/2006/relationships/customXml" Target="../customXml/item2.xml"/>
  <Relationship Id="rId19" Type="http://schemas.openxmlformats.org/officeDocument/2006/relationships/customXml" Target="../customXml/item3.xml"/>
  <Relationship Id="rId2" Type="http://schemas.openxmlformats.org/officeDocument/2006/relationships/numbering" Target="numbering.xml"/>
  <Relationship Id="rId20" Type="http://schemas.openxmlformats.org/officeDocument/2006/relationships/customXml" Target="../customXml/item4.xml"/>
  <Relationship Id="rId21" Type="http://schemas.openxmlformats.org/officeDocument/2006/relationships/customXml" Target="../customXml/item5.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sss/turnaround/2014PracticesReport.pdf"/>
  <Relationship Id="rId2" Type="http://schemas.openxmlformats.org/officeDocument/2006/relationships/hyperlink" TargetMode="External" Target="http://www.doe.mass.edu/apa/sss/turnaround/2014PracticesReport.pdf"/>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image" Target="media/image2.png"/>
  <Relationship Id="rId2"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dsorensen/Desktop/Work/15-1367%20Massachusetts%20Turnaround%20Practices%20and%20Indicators/AIR_Handout_Template_Landscape_02-14-14.dotx"/>
</Relationships>

</file>

<file path=word/theme/theme1.xml><?xml version="1.0" encoding="utf-8"?>
<a:theme xmlns:a="http://schemas.openxmlformats.org/drawingml/2006/main" name="Office Theme">
  <a:themeElements>
    <a:clrScheme name="PMA">
      <a:dk1>
        <a:srgbClr val="000000"/>
      </a:dk1>
      <a:lt1>
        <a:srgbClr val="FFFFFF"/>
      </a:lt1>
      <a:dk2>
        <a:srgbClr val="326295"/>
      </a:dk2>
      <a:lt2>
        <a:srgbClr val="FFFFFF"/>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Cobranded MA ES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DESE-231-20298</_dlc_DocId>
    <_dlc_DocIdUrl xmlns="733efe1c-5bbe-4968-87dc-d400e65c879f">
      <Url>https://sharepoint.doemass.org/ese/webteam/cps/_layouts/DocIdRedir.aspx?ID=DESE-231-20298</Url>
      <Description>DESE-231-20298</Description>
    </_dlc_DocIdUrl>
  </documentManagement>
</p:properties>
</file>

<file path=customXml/itemProps1.xml><?xml version="1.0" encoding="utf-8"?>
<ds:datastoreItem xmlns:ds="http://schemas.openxmlformats.org/officeDocument/2006/customXml" ds:itemID="{CF30D11C-0B29-427A-9197-E8B7D1BBFD31}"/>
</file>

<file path=customXml/itemProps2.xml><?xml version="1.0" encoding="utf-8"?>
<ds:datastoreItem xmlns:ds="http://schemas.openxmlformats.org/officeDocument/2006/customXml" ds:itemID="{70475544-71E3-41AE-BE45-D674FBB77855}"/>
</file>

<file path=customXml/itemProps3.xml><?xml version="1.0" encoding="utf-8"?>
<ds:datastoreItem xmlns:ds="http://schemas.openxmlformats.org/officeDocument/2006/customXml" ds:itemID="{2B8B222A-55E6-4EB8-AF13-5B31B3498E0B}"/>
</file>

<file path=customXml/itemProps4.xml><?xml version="1.0" encoding="utf-8"?>
<ds:datastoreItem xmlns:ds="http://schemas.openxmlformats.org/officeDocument/2006/customXml" ds:itemID="{87F60150-DA4A-4649-B844-72D10C56575C}"/>
</file>

<file path=customXml/itemProps5.xml><?xml version="1.0" encoding="utf-8"?>
<ds:datastoreItem xmlns:ds="http://schemas.openxmlformats.org/officeDocument/2006/customXml" ds:itemID="{7882779C-E4CC-45CF-964C-2B35447A5437}"/>
</file>

<file path=docProps/app.xml><?xml version="1.0" encoding="utf-8"?>
<Properties xmlns="http://schemas.openxmlformats.org/officeDocument/2006/extended-properties" xmlns:vt="http://schemas.openxmlformats.org/officeDocument/2006/docPropsVTypes">
  <Template>AIR_Handout_Template_Landscape_02-14-14</Template>
  <TotalTime>2</TotalTime>
  <Pages>16</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39086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2015-10-19T16:46:00Z</dcterms:created>
  <dc:creator>dsorensen</dc:creator>
  <lastModifiedBy>txa</lastModifiedBy>
  <lastPrinted>2015-02-11T22:31:00Z</lastPrinted>
  <dcterms:modified xsi:type="dcterms:W3CDTF">2015-10-19T16:46:00Z</dcterms:modified>
  <revision>2</revision>
  <dc:title>MSV Turnaround Practices and Indicators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ea26c37a-db8e-4ad4-acb3-3e53ee42b355</vt:lpwstr>
  </property>
</Properties>
</file>