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000000"/>
          <w:sz w:val="28"/>
          <w:szCs w:val="28"/>
        </w:rPr>
        <w:t xml:space="preserve">COMMONWEALTH OF MASSACHUSETTS</w:t>
      </w:r>
    </w:p>
    <w:p>
      <w:pPr>
        <w:spacing w:after="240" w:before="0"/>
        <w:jc w:val="center"/>
      </w:pPr>
      <w:r>
        <w:rPr>
          <w:rFonts w:ascii="Arial" w:cs="Arial" w:eastAsia="Arial" w:hAnsi="Arial"/>
          <w:b/>
          <w:bCs/>
          <w:color w:val="000000"/>
          <w:sz w:val="28"/>
          <w:szCs w:val="28"/>
        </w:rPr>
        <w:t xml:space="preserve">APPEALS COURT</w:t>
      </w:r>
    </w:p>
    <w:p>
      <w:pPr>
        <w:pStyle w:val="Heading1"/>
        <w:spacing w:after="200" w:before="320"/>
        <w:jc w:val="center"/>
      </w:pPr>
      <w:r>
        <w:rPr>
          <w:rFonts w:ascii="Arial" w:cs="Arial" w:eastAsia="Arial" w:hAnsi="Arial"/>
          <w:b/>
          <w:bCs/>
          <w:color w:val="000000"/>
          <w:sz w:val="32"/>
          <w:szCs w:val="32"/>
        </w:rPr>
        <w:t xml:space="preserve">Motion to Waive Entry Fee</w:t>
      </w:r>
    </w:p>
    <w:p>
      <w:pPr>
        <w:spacing w:after="60" w:before="160"/>
      </w:pPr>
      <w:r>
        <w:rPr>
          <w:rFonts w:ascii="Arial" w:cs="Arial" w:eastAsia="Arial" w:hAnsi="Arial"/>
          <w:b/>
          <w:bCs/>
          <w:color w:val="000000"/>
          <w:sz w:val="24"/>
          <w:szCs w:val="24"/>
        </w:rPr>
        <w:t xml:space="preserve">Docket Number</w:t>
      </w:r>
    </w:p>
    <w:p>
      <w:pPr>
        <w:pBdr>
          <w:bottom w:val="single" w:color="000000" w:sz="6" w:space="1"/>
        </w:pBdr>
        <w:spacing w:after="240" w:before="0" w:line="360" w:lineRule="exact"/>
      </w:pPr>
      <w:sdt>
        <w:sdtPr>
          <w:rPr>
            <w:rFonts w:ascii="Arial" w:cs="Arial" w:eastAsia="Arial" w:hAnsi="Arial"/>
            <w:sz w:val="24"/>
            <w:szCs w:val="24"/>
          </w:rPr>
          <w:alias w:val="Docket Number"/>
          <w:tag w:val="field_Docket_Number"/>
          <w:id w:val="1001"/>
          <w:placeholder>
            <w:docPart w:val="DefaultPlaceholder_-1854013440"/>
          </w:placeholder>
          <w:showingPlcHdr/>
          <w:text/>
        </w:sdtPr>
        <w:sdtContent>
          <w:r>
            <w:rPr>
              <w:rFonts w:ascii="Arial" w:cs="Arial" w:eastAsia="Arial" w:hAnsi="Arial"/>
              <w:sz w:val="24"/>
              <w:szCs w:val="24"/>
            </w:rPr>
            <w:t xml:space="preserve"/>
          </w:r>
        </w:sdtContent>
      </w:sdt>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Party role</w:t>
            </w:r>
          </w:p>
        </w:tc>
        <w:tc>
          <w:tcPr>
            <w:tcW w:type="dxa" w:w="666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Party name</w:t>
            </w:r>
          </w:p>
        </w:tc>
      </w:tr>
      <w:tr>
        <w:trPr>
          <w:cantSplit/>
        </w:trPr>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b w:val="false"/>
                <w:bCs w:val="false"/>
                <w:color w:val="000000"/>
                <w:sz w:val="24"/>
                <w:szCs w:val="24"/>
              </w:rPr>
              <w:t xml:space="preserve">Plaintiff</w:t>
            </w:r>
          </w:p>
        </w:tc>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sz w:val="24"/>
                <w:szCs w:val="24"/>
              </w:rPr>
              <w:t xml:space="preserve"> </w:t>
            </w:r>
          </w:p>
        </w:tc>
      </w:tr>
      <w:tr>
        <w:trPr>
          <w:cantSplit/>
        </w:trPr>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b/>
                <w:bCs/>
                <w:color w:val="000000"/>
                <w:sz w:val="24"/>
                <w:szCs w:val="24"/>
              </w:rPr>
              <w:t xml:space="preserve">v.</w:t>
            </w:r>
          </w:p>
        </w:tc>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sz w:val="24"/>
                <w:szCs w:val="24"/>
              </w:rPr>
              <w:t xml:space="preserve"> </w:t>
            </w:r>
          </w:p>
        </w:tc>
      </w:tr>
      <w:tr>
        <w:trPr>
          <w:cantSplit/>
        </w:trPr>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b w:val="false"/>
                <w:bCs w:val="false"/>
                <w:color w:val="000000"/>
                <w:sz w:val="24"/>
                <w:szCs w:val="24"/>
              </w:rPr>
              <w:t xml:space="preserve">Defendant</w:t>
            </w:r>
          </w:p>
        </w:tc>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sz w:val="24"/>
                <w:szCs w:val="24"/>
              </w:rPr>
              <w:t xml:space="preserve"> </w:t>
            </w:r>
          </w:p>
        </w:tc>
      </w:tr>
    </w:tbl>
    <w:p>
      <w:pPr>
        <w:pStyle w:val="Heading2"/>
        <w:spacing w:after="160" w:before="280"/>
      </w:pPr>
      <w:r>
        <w:rPr>
          <w:rFonts w:ascii="Arial" w:cs="Arial" w:eastAsia="Arial" w:hAnsi="Arial"/>
          <w:b/>
          <w:bCs/>
          <w:color w:val="000000"/>
          <w:sz w:val="28"/>
          <w:szCs w:val="28"/>
        </w:rPr>
        <w:t xml:space="preserve">Motion</w:t>
      </w:r>
    </w:p>
    <w:p>
      <w:pPr>
        <w:spacing w:after="60" w:before="160"/>
      </w:pPr>
      <w:r>
        <w:rPr>
          <w:rFonts w:ascii="Arial" w:cs="Arial" w:eastAsia="Arial" w:hAnsi="Arial"/>
          <w:b/>
          <w:bCs/>
          <w:color w:val="000000"/>
          <w:sz w:val="24"/>
          <w:szCs w:val="24"/>
        </w:rPr>
        <w:t xml:space="preserve">Name of appealing party (movant)</w:t>
      </w:r>
    </w:p>
    <w:p>
      <w:pPr>
        <w:pBdr>
          <w:bottom w:val="single" w:color="000000" w:sz="6" w:space="1"/>
        </w:pBdr>
        <w:spacing w:after="240" w:before="0" w:line="360" w:lineRule="exact"/>
      </w:pPr>
      <w:sdt>
        <w:sdtPr>
          <w:rPr>
            <w:rFonts w:ascii="Arial" w:cs="Arial" w:eastAsia="Arial" w:hAnsi="Arial"/>
            <w:sz w:val="24"/>
            <w:szCs w:val="24"/>
          </w:rPr>
          <w:alias w:val="Name of appealing party"/>
          <w:tag w:val="field_Name_of_appealing_party"/>
          <w:id w:val="1002"/>
          <w:placeholder>
            <w:docPart w:val="DefaultPlaceholder_-1854013440"/>
          </w:placeholder>
          <w:showingPlcHdr/>
          <w:text/>
        </w:sdtPr>
        <w:sdtContent>
          <w:r>
            <w:rPr>
              <w:rFonts w:ascii="Arial" w:cs="Arial" w:eastAsia="Arial" w:hAnsi="Arial"/>
              <w:sz w:val="24"/>
              <w:szCs w:val="24"/>
            </w:rPr>
            <w:t xml:space="preserve"/>
          </w:r>
        </w:sdtContent>
      </w:sdt>
    </w:p>
    <w:p>
      <w:pPr>
        <w:spacing w:after="160" w:before="80"/>
        <w:jc w:val="left"/>
      </w:pPr>
      <w:r>
        <w:rPr>
          <w:rFonts w:ascii="Arial" w:cs="Arial" w:eastAsia="Arial" w:hAnsi="Arial"/>
          <w:b w:val="false"/>
          <w:bCs w:val="false"/>
          <w:i w:val="false"/>
          <w:iCs w:val="false"/>
          <w:color w:val="000000"/>
          <w:sz w:val="24"/>
          <w:szCs w:val="24"/>
        </w:rPr>
        <w:t xml:space="preserve">Now comes the above-named appealing party and moves that this Honorable Court waive the required entry fee for the reason that the party is indigent as defined by M.G.L. c. 261, § 27(a) &amp; (b). See the attached affidavit(s) of indigency.</w:t>
      </w:r>
    </w:p>
    <w:p>
      <w:pPr>
        <w:pStyle w:val="Heading2"/>
        <w:spacing w:after="160" w:before="280"/>
      </w:pPr>
      <w:r>
        <w:rPr>
          <w:rFonts w:ascii="Arial" w:cs="Arial" w:eastAsia="Arial" w:hAnsi="Arial"/>
          <w:b/>
          <w:bCs/>
          <w:color w:val="000000"/>
          <w:sz w:val="28"/>
          <w:szCs w:val="28"/>
        </w:rPr>
        <w:t xml:space="preserve">Signature</w:t>
      </w:r>
    </w:p>
    <w:p>
      <w:pPr>
        <w:spacing w:after="60" w:before="160"/>
      </w:pPr>
      <w:r>
        <w:rPr>
          <w:rFonts w:ascii="Arial" w:cs="Arial" w:eastAsia="Arial" w:hAnsi="Arial"/>
          <w:b/>
          <w:bCs/>
          <w:color w:val="000000"/>
          <w:sz w:val="24"/>
          <w:szCs w:val="24"/>
        </w:rPr>
        <w:t xml:space="preserve">Signature</w:t>
      </w:r>
      <w:r>
        <w:rPr>
          <w:rFonts w:ascii="Arial" w:cs="Arial" w:eastAsia="Arial" w:hAnsi="Arial"/>
          <w:i/>
          <w:iCs/>
          <w:color w:val="555555"/>
          <w:sz w:val="22"/>
          <w:szCs w:val="22"/>
        </w:rPr>
        <w:t xml:space="preserve"> (handwritten, or type “/s/” followed by your name if filing electronically)</w:t>
      </w:r>
    </w:p>
    <w:p>
      <w:pPr>
        <w:pBdr>
          <w:bottom w:val="single" w:color="000000" w:sz="6" w:space="1"/>
        </w:pBdr>
        <w:spacing w:after="240" w:before="0" w:line="360" w:lineRule="exact"/>
      </w:pPr>
      <w:sdt>
        <w:sdtPr>
          <w:rPr>
            <w:rFonts w:ascii="Arial" w:cs="Arial" w:eastAsia="Arial" w:hAnsi="Arial"/>
            <w:sz w:val="24"/>
            <w:szCs w:val="24"/>
          </w:rPr>
          <w:alias w:val="Signature"/>
          <w:tag w:val="field_Signature"/>
          <w:id w:val="1003"/>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Printed name</w:t>
      </w:r>
    </w:p>
    <w:p>
      <w:pPr>
        <w:pBdr>
          <w:bottom w:val="single" w:color="000000" w:sz="6" w:space="1"/>
        </w:pBdr>
        <w:spacing w:after="240" w:before="0" w:line="360" w:lineRule="exact"/>
      </w:pPr>
      <w:sdt>
        <w:sdtPr>
          <w:rPr>
            <w:rFonts w:ascii="Arial" w:cs="Arial" w:eastAsia="Arial" w:hAnsi="Arial"/>
            <w:sz w:val="24"/>
            <w:szCs w:val="24"/>
          </w:rPr>
          <w:alias w:val="Printed name"/>
          <w:tag w:val="field_Printed_name"/>
          <w:id w:val="1004"/>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Mailing address</w:t>
      </w:r>
    </w:p>
    <w:p>
      <w:pPr>
        <w:pBdr>
          <w:bottom w:val="single" w:color="000000" w:sz="6" w:space="1"/>
        </w:pBdr>
        <w:spacing w:after="120" w:before="0" w:line="360" w:lineRule="exact"/>
      </w:pPr>
      <w:sdt>
        <w:sdtPr>
          <w:rPr>
            <w:rFonts w:ascii="Arial" w:cs="Arial" w:eastAsia="Arial" w:hAnsi="Arial"/>
            <w:sz w:val="24"/>
            <w:szCs w:val="24"/>
          </w:rPr>
          <w:alias w:val="Mailing address"/>
          <w:tag w:val="field_Mailing_address"/>
          <w:id w:val="1005"/>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Mailing address"/>
          <w:tag w:val="field_Mailing_address"/>
          <w:id w:val="1006"/>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Telephone number</w:t>
      </w:r>
    </w:p>
    <w:p>
      <w:pPr>
        <w:pBdr>
          <w:bottom w:val="single" w:color="000000" w:sz="6" w:space="1"/>
        </w:pBdr>
        <w:spacing w:after="240" w:before="0" w:line="360" w:lineRule="exact"/>
      </w:pPr>
      <w:sdt>
        <w:sdtPr>
          <w:rPr>
            <w:rFonts w:ascii="Arial" w:cs="Arial" w:eastAsia="Arial" w:hAnsi="Arial"/>
            <w:sz w:val="24"/>
            <w:szCs w:val="24"/>
          </w:rPr>
          <w:alias w:val="Telephone number"/>
          <w:tag w:val="field_Telephone_number"/>
          <w:id w:val="1007"/>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Email address</w:t>
      </w:r>
      <w:r>
        <w:rPr>
          <w:rFonts w:ascii="Arial" w:cs="Arial" w:eastAsia="Arial" w:hAnsi="Arial"/>
          <w:i/>
          <w:iCs/>
          <w:color w:val="555555"/>
          <w:sz w:val="22"/>
          <w:szCs w:val="22"/>
        </w:rPr>
        <w:t xml:space="preserve"> (if any)</w:t>
      </w:r>
    </w:p>
    <w:p>
      <w:pPr>
        <w:pBdr>
          <w:bottom w:val="single" w:color="000000" w:sz="6" w:space="1"/>
        </w:pBdr>
        <w:spacing w:after="240" w:before="0" w:line="360" w:lineRule="exact"/>
      </w:pPr>
      <w:sdt>
        <w:sdtPr>
          <w:rPr>
            <w:rFonts w:ascii="Arial" w:cs="Arial" w:eastAsia="Arial" w:hAnsi="Arial"/>
            <w:sz w:val="24"/>
            <w:szCs w:val="24"/>
          </w:rPr>
          <w:alias w:val="Email address"/>
          <w:tag w:val="field_Email_address"/>
          <w:id w:val="1008"/>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Date</w:t>
      </w:r>
    </w:p>
    <w:p>
      <w:pPr>
        <w:pBdr>
          <w:bottom w:val="single" w:color="000000" w:sz="6" w:space="1"/>
        </w:pBdr>
        <w:spacing w:after="240" w:before="0" w:line="360" w:lineRule="exact"/>
      </w:pPr>
      <w:sdt>
        <w:sdtPr>
          <w:rPr>
            <w:rFonts w:ascii="Arial" w:cs="Arial" w:eastAsia="Arial" w:hAnsi="Arial"/>
            <w:sz w:val="24"/>
            <w:szCs w:val="24"/>
          </w:rPr>
          <w:alias w:val="Date"/>
          <w:tag w:val="field_Date"/>
          <w:id w:val="1009"/>
          <w:placeholder>
            <w:docPart w:val="DefaultPlaceholder_-1854013440"/>
          </w:placeholder>
          <w:showingPlcHdr/>
          <w:text/>
        </w:sdtPr>
        <w:sdtContent>
          <w:r>
            <w:rPr>
              <w:rFonts w:ascii="Arial" w:cs="Arial" w:eastAsia="Arial" w:hAnsi="Arial"/>
              <w:sz w:val="24"/>
              <w:szCs w:val="24"/>
            </w:rPr>
            <w:t xml:space="preserve"/>
          </w:r>
        </w:sdtContent>
      </w:sdt>
    </w:p>
    <w:p>
      <w:pPr>
        <w:pBdr>
          <w:top w:val="single" w:color="808080" w:sz="6" w:space="6"/>
        </w:pBdr>
        <w:spacing w:after="60" w:before="480"/>
      </w:pPr>
      <w:r>
        <w:rPr>
          <w:rFonts w:ascii="Arial" w:cs="Arial" w:eastAsia="Arial" w:hAnsi="Arial"/>
          <w:b/>
          <w:bCs/>
          <w:color w:val="555555"/>
          <w:sz w:val="22"/>
          <w:szCs w:val="22"/>
        </w:rPr>
        <w:t xml:space="preserve">Accessibility note</w:t>
      </w:r>
    </w:p>
    <w:p>
      <w:pPr>
        <w:spacing w:after="80" w:before="0"/>
      </w:pPr>
      <w:r>
        <w:rPr>
          <w:rFonts w:ascii="Arial" w:cs="Arial" w:eastAsia="Arial" w:hAnsi="Arial"/>
          <w:color w:val="555555"/>
          <w:sz w:val="22"/>
          <w:szCs w:val="22"/>
        </w:rPr>
        <w:t xml:space="preserve">This document uses semantic headings, real list semantics for bulleted and numbered items, labeled fillable areas with descriptive captions, and table-structured data where appropriate. It is designed to comply with the Web Content Accessibility Guidelines (WCAG) 2.2 at Level AA, including Success Criteria 1.3.1 (Info and Relationships), 1.4.3 (Contrast Minimum), 1.4.10 (Reflow), 1.4.12 (Text Spacing), 2.4.2 (Page Titled), 2.4.6 (Headings and Labels), 3.3.2 (Labels or Instructions), and 4.1.2 (Name, Role, Value).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000000"/>
      <w:sz w:val="28"/>
      <w:szCs w:val="28"/>
    </w:rPr>
  </w:style>
  <w:style w:type="paragraph" w:styleId="Heading3">
    <w:name w:val="Heading 3"/>
    <w:basedOn w:val="Normal"/>
    <w:next w:val="Normal"/>
    <w:qFormat/>
    <w:pPr>
      <w:spacing w:after="120" w:before="220"/>
      <w:outlineLvl w:val="2"/>
    </w:pPr>
    <w:rPr>
      <w:rFonts w:ascii="Arial" w:cs="Arial" w:eastAsia="Arial" w:hAnsi="Arial"/>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to Waive Entry Fee — Massachusetts Appeals Court</dc:title>
  <dc:subject>Motion to Waive Entry Fee — Massachusetts Appeals Court</dc:subject>
  <dc:creator>Massachusetts Appeals Court</dc:creator>
  <dc:description>Motion to Waive Entry Fee — Massachusetts Appeals Court — accessible Word version, WCAG 2.2 AA</dc:description>
  <cp:lastModifiedBy>Un-named</cp:lastModifiedBy>
  <cp:revision>1</cp:revision>
  <dcterms:created xsi:type="dcterms:W3CDTF">2026-04-26T11:26:21.160Z</dcterms:created>
  <dcterms:modified xsi:type="dcterms:W3CDTF">2026-04-26T11:26:21.160Z</dcterms:modified>
</cp:coreProperties>
</file>

<file path=docProps/custom.xml><?xml version="1.0" encoding="utf-8"?>
<Properties xmlns="http://schemas.openxmlformats.org/officeDocument/2006/custom-properties" xmlns:vt="http://schemas.openxmlformats.org/officeDocument/2006/docPropsVTypes"/>
</file>