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582" w:rsidRPr="003F655B" w:rsidRDefault="00C92582" w:rsidP="000020A5">
      <w:pPr>
        <w:rPr>
          <w:color w:val="000000"/>
        </w:rPr>
      </w:pPr>
    </w:p>
    <w:p w:rsidR="00C92582" w:rsidRPr="003F655B" w:rsidRDefault="00C92582" w:rsidP="000020A5">
      <w:pPr>
        <w:rPr>
          <w:color w:val="000000"/>
        </w:rPr>
      </w:pPr>
    </w:p>
    <w:p w:rsidR="00C92582" w:rsidRPr="003F655B" w:rsidRDefault="00C92582" w:rsidP="000020A5">
      <w:pPr>
        <w:rPr>
          <w:color w:val="000000"/>
        </w:rPr>
      </w:pPr>
    </w:p>
    <w:p w:rsidR="00C92582" w:rsidRPr="003F655B" w:rsidRDefault="00C92582" w:rsidP="000020A5">
      <w:pPr>
        <w:rPr>
          <w:color w:val="000000"/>
        </w:rPr>
      </w:pPr>
    </w:p>
    <w:p w:rsidR="00C92582" w:rsidRPr="003F655B" w:rsidRDefault="00C92582" w:rsidP="000020A5">
      <w:pPr>
        <w:rPr>
          <w:color w:val="000000"/>
        </w:rPr>
      </w:pPr>
    </w:p>
    <w:p w:rsidR="00C92582" w:rsidRPr="003F655B" w:rsidRDefault="00C92582" w:rsidP="000020A5">
      <w:pPr>
        <w:rPr>
          <w:color w:val="000000"/>
        </w:rPr>
      </w:pPr>
    </w:p>
    <w:p w:rsidR="0063739C" w:rsidRPr="003F655B" w:rsidRDefault="0063739C" w:rsidP="000020A5">
      <w:pPr>
        <w:rPr>
          <w:b/>
          <w:color w:val="000000"/>
          <w:sz w:val="40"/>
          <w:szCs w:val="40"/>
        </w:rPr>
      </w:pPr>
    </w:p>
    <w:p w:rsidR="0063739C" w:rsidRPr="003F655B" w:rsidRDefault="00124B8E" w:rsidP="000020A5">
      <w:pPr>
        <w:jc w:val="center"/>
        <w:rPr>
          <w:b/>
          <w:color w:val="000000"/>
          <w:sz w:val="40"/>
          <w:szCs w:val="40"/>
        </w:rPr>
      </w:pPr>
      <w:r w:rsidRPr="003F655B">
        <w:rPr>
          <w:b/>
          <w:color w:val="000000"/>
          <w:sz w:val="40"/>
          <w:szCs w:val="40"/>
        </w:rPr>
        <w:t>Co</w:t>
      </w:r>
      <w:r w:rsidR="0063739C" w:rsidRPr="003F655B">
        <w:rPr>
          <w:b/>
          <w:color w:val="000000"/>
          <w:sz w:val="40"/>
          <w:szCs w:val="40"/>
        </w:rPr>
        <w:t xml:space="preserve">mmonwealth of </w:t>
      </w:r>
      <w:r w:rsidR="00C92582" w:rsidRPr="003F655B">
        <w:rPr>
          <w:b/>
          <w:color w:val="000000"/>
          <w:sz w:val="40"/>
          <w:szCs w:val="40"/>
        </w:rPr>
        <w:t>Massachusetts</w:t>
      </w:r>
    </w:p>
    <w:p w:rsidR="00C92582" w:rsidRPr="003F655B" w:rsidRDefault="0063739C" w:rsidP="000020A5">
      <w:pPr>
        <w:jc w:val="center"/>
        <w:rPr>
          <w:b/>
          <w:color w:val="000000"/>
          <w:sz w:val="40"/>
          <w:szCs w:val="40"/>
        </w:rPr>
      </w:pPr>
      <w:r w:rsidRPr="003F655B">
        <w:rPr>
          <w:b/>
          <w:color w:val="000000"/>
          <w:sz w:val="40"/>
          <w:szCs w:val="40"/>
        </w:rPr>
        <w:t>Department of Housing &amp;</w:t>
      </w:r>
      <w:r w:rsidR="00C92582" w:rsidRPr="003F655B">
        <w:rPr>
          <w:b/>
          <w:color w:val="000000"/>
          <w:sz w:val="40"/>
          <w:szCs w:val="40"/>
        </w:rPr>
        <w:t xml:space="preserve"> Community Development</w:t>
      </w:r>
    </w:p>
    <w:p w:rsidR="00C92582" w:rsidRPr="003F655B" w:rsidRDefault="00C92582" w:rsidP="000020A5">
      <w:pPr>
        <w:jc w:val="center"/>
        <w:rPr>
          <w:b/>
          <w:color w:val="000000"/>
          <w:sz w:val="40"/>
          <w:szCs w:val="40"/>
        </w:rPr>
      </w:pPr>
    </w:p>
    <w:p w:rsidR="00C92582" w:rsidRPr="003F655B" w:rsidRDefault="00C92582" w:rsidP="000020A5">
      <w:pPr>
        <w:jc w:val="center"/>
        <w:rPr>
          <w:b/>
          <w:color w:val="000000"/>
          <w:sz w:val="40"/>
          <w:szCs w:val="40"/>
        </w:rPr>
      </w:pPr>
    </w:p>
    <w:p w:rsidR="00630396" w:rsidRPr="003F655B" w:rsidRDefault="00630396" w:rsidP="000020A5">
      <w:pPr>
        <w:jc w:val="center"/>
        <w:rPr>
          <w:b/>
          <w:color w:val="000000"/>
          <w:sz w:val="40"/>
          <w:szCs w:val="40"/>
        </w:rPr>
      </w:pPr>
    </w:p>
    <w:p w:rsidR="00630396" w:rsidRPr="003F655B" w:rsidRDefault="00630396" w:rsidP="000020A5">
      <w:pPr>
        <w:jc w:val="center"/>
        <w:rPr>
          <w:b/>
          <w:color w:val="000000"/>
          <w:sz w:val="40"/>
          <w:szCs w:val="40"/>
        </w:rPr>
      </w:pPr>
    </w:p>
    <w:p w:rsidR="00C92582" w:rsidRPr="003F655B" w:rsidRDefault="00C92582" w:rsidP="000020A5">
      <w:pPr>
        <w:jc w:val="center"/>
        <w:rPr>
          <w:b/>
          <w:color w:val="000000"/>
          <w:sz w:val="40"/>
          <w:szCs w:val="40"/>
        </w:rPr>
      </w:pPr>
      <w:r w:rsidRPr="003F655B">
        <w:rPr>
          <w:b/>
          <w:color w:val="000000"/>
          <w:sz w:val="40"/>
          <w:szCs w:val="40"/>
        </w:rPr>
        <w:t>Moving To Work Program</w:t>
      </w:r>
    </w:p>
    <w:p w:rsidR="00C92582" w:rsidRPr="003F655B" w:rsidRDefault="00C92582" w:rsidP="000020A5">
      <w:pPr>
        <w:jc w:val="center"/>
        <w:rPr>
          <w:b/>
          <w:color w:val="000000"/>
          <w:sz w:val="40"/>
          <w:szCs w:val="40"/>
        </w:rPr>
      </w:pPr>
      <w:r w:rsidRPr="003F655B">
        <w:rPr>
          <w:b/>
          <w:color w:val="000000"/>
          <w:sz w:val="40"/>
          <w:szCs w:val="40"/>
        </w:rPr>
        <w:t xml:space="preserve">Annual Plan for Fiscal Year </w:t>
      </w:r>
      <w:r w:rsidR="003B7BA5" w:rsidRPr="003F655B">
        <w:rPr>
          <w:b/>
          <w:color w:val="000000"/>
          <w:sz w:val="40"/>
          <w:szCs w:val="40"/>
        </w:rPr>
        <w:t>201</w:t>
      </w:r>
      <w:r w:rsidR="00924145">
        <w:rPr>
          <w:b/>
          <w:color w:val="000000"/>
          <w:sz w:val="40"/>
          <w:szCs w:val="40"/>
        </w:rPr>
        <w:t>7</w:t>
      </w:r>
    </w:p>
    <w:p w:rsidR="00C92582" w:rsidRPr="003F655B" w:rsidRDefault="00C92582" w:rsidP="000020A5">
      <w:pPr>
        <w:rPr>
          <w:b/>
          <w:color w:val="000000"/>
          <w:sz w:val="40"/>
          <w:szCs w:val="40"/>
        </w:rPr>
      </w:pPr>
    </w:p>
    <w:p w:rsidR="00C92582" w:rsidRPr="003F655B" w:rsidRDefault="00C92582" w:rsidP="000020A5">
      <w:pPr>
        <w:rPr>
          <w:color w:val="000000"/>
          <w:sz w:val="40"/>
          <w:szCs w:val="40"/>
        </w:rPr>
      </w:pPr>
    </w:p>
    <w:p w:rsidR="00C92582" w:rsidRPr="003F655B" w:rsidRDefault="00C92582" w:rsidP="000020A5">
      <w:pPr>
        <w:rPr>
          <w:color w:val="000000"/>
          <w:sz w:val="40"/>
          <w:szCs w:val="40"/>
        </w:rPr>
      </w:pPr>
    </w:p>
    <w:p w:rsidR="00C92582" w:rsidRPr="003F655B" w:rsidRDefault="007E68D3" w:rsidP="007E68D3">
      <w:pPr>
        <w:tabs>
          <w:tab w:val="left" w:pos="2968"/>
        </w:tabs>
        <w:rPr>
          <w:color w:val="000000"/>
          <w:sz w:val="40"/>
          <w:szCs w:val="40"/>
        </w:rPr>
      </w:pPr>
      <w:r>
        <w:rPr>
          <w:color w:val="000000"/>
          <w:sz w:val="40"/>
          <w:szCs w:val="40"/>
        </w:rPr>
        <w:tab/>
      </w:r>
    </w:p>
    <w:p w:rsidR="003C0B6B" w:rsidRPr="003F655B" w:rsidRDefault="003C0B6B" w:rsidP="000020A5">
      <w:pPr>
        <w:rPr>
          <w:color w:val="000000"/>
          <w:sz w:val="52"/>
          <w:szCs w:val="52"/>
        </w:rPr>
      </w:pPr>
    </w:p>
    <w:p w:rsidR="00CA1A58" w:rsidRDefault="0097231B" w:rsidP="00EE4C98">
      <w:pPr>
        <w:jc w:val="center"/>
        <w:rPr>
          <w:color w:val="FF0000"/>
          <w:sz w:val="48"/>
          <w:szCs w:val="52"/>
        </w:rPr>
      </w:pPr>
      <w:r>
        <w:rPr>
          <w:color w:val="FF0000"/>
          <w:sz w:val="48"/>
          <w:szCs w:val="52"/>
        </w:rPr>
        <w:t xml:space="preserve">Draft </w:t>
      </w:r>
      <w:r w:rsidR="00CA1A58">
        <w:rPr>
          <w:color w:val="FF0000"/>
          <w:sz w:val="48"/>
          <w:szCs w:val="52"/>
        </w:rPr>
        <w:t xml:space="preserve">for Public Comment </w:t>
      </w:r>
    </w:p>
    <w:p w:rsidR="003C0B6B" w:rsidRPr="00EE4C98" w:rsidRDefault="00342A6E" w:rsidP="00EE4C98">
      <w:pPr>
        <w:jc w:val="center"/>
        <w:rPr>
          <w:color w:val="FF0000"/>
          <w:sz w:val="48"/>
          <w:szCs w:val="52"/>
        </w:rPr>
      </w:pPr>
      <w:r>
        <w:rPr>
          <w:color w:val="FF0000"/>
          <w:sz w:val="48"/>
          <w:szCs w:val="52"/>
        </w:rPr>
        <w:t>3/14</w:t>
      </w:r>
      <w:r w:rsidR="00ED7EFB">
        <w:rPr>
          <w:color w:val="FF0000"/>
          <w:sz w:val="48"/>
          <w:szCs w:val="52"/>
        </w:rPr>
        <w:t>/</w:t>
      </w:r>
      <w:r w:rsidR="00292E70">
        <w:rPr>
          <w:color w:val="FF0000"/>
          <w:sz w:val="48"/>
          <w:szCs w:val="52"/>
        </w:rPr>
        <w:t>20</w:t>
      </w:r>
      <w:r w:rsidR="00E3635B" w:rsidRPr="00EE4C98">
        <w:rPr>
          <w:color w:val="FF0000"/>
          <w:sz w:val="48"/>
          <w:szCs w:val="52"/>
        </w:rPr>
        <w:t>16</w:t>
      </w:r>
    </w:p>
    <w:p w:rsidR="003C0B6B" w:rsidRDefault="003C0B6B" w:rsidP="000020A5">
      <w:pPr>
        <w:rPr>
          <w:color w:val="000000"/>
          <w:sz w:val="52"/>
          <w:szCs w:val="52"/>
        </w:rPr>
      </w:pPr>
    </w:p>
    <w:p w:rsidR="00CA1A58" w:rsidRDefault="00CA1A58" w:rsidP="000020A5">
      <w:pPr>
        <w:rPr>
          <w:color w:val="000000"/>
          <w:sz w:val="52"/>
          <w:szCs w:val="52"/>
        </w:rPr>
      </w:pPr>
    </w:p>
    <w:p w:rsidR="00CA1A58" w:rsidRPr="003F655B" w:rsidRDefault="00CA1A58" w:rsidP="000020A5">
      <w:pPr>
        <w:rPr>
          <w:color w:val="000000"/>
          <w:sz w:val="52"/>
          <w:szCs w:val="52"/>
        </w:rPr>
      </w:pPr>
    </w:p>
    <w:p w:rsidR="00C92582" w:rsidRPr="003F655B" w:rsidRDefault="00C92582" w:rsidP="000020A5">
      <w:pPr>
        <w:rPr>
          <w:color w:val="000000"/>
        </w:rPr>
      </w:pPr>
    </w:p>
    <w:p w:rsidR="00C92582" w:rsidRPr="003F655B" w:rsidRDefault="00C92582" w:rsidP="000020A5">
      <w:pPr>
        <w:rPr>
          <w:color w:val="000000"/>
        </w:rPr>
      </w:pPr>
    </w:p>
    <w:p w:rsidR="00181466" w:rsidRDefault="00181466" w:rsidP="000020A5">
      <w:pPr>
        <w:jc w:val="center"/>
        <w:rPr>
          <w:b/>
          <w:color w:val="000000"/>
          <w:sz w:val="32"/>
          <w:szCs w:val="32"/>
        </w:rPr>
      </w:pPr>
    </w:p>
    <w:p w:rsidR="00181466" w:rsidRDefault="00181466" w:rsidP="000020A5">
      <w:pPr>
        <w:jc w:val="center"/>
        <w:rPr>
          <w:b/>
          <w:color w:val="000000"/>
          <w:sz w:val="32"/>
          <w:szCs w:val="32"/>
        </w:rPr>
      </w:pPr>
    </w:p>
    <w:p w:rsidR="00181466" w:rsidRDefault="00181466" w:rsidP="000020A5">
      <w:pPr>
        <w:jc w:val="center"/>
        <w:rPr>
          <w:b/>
          <w:color w:val="000000"/>
          <w:sz w:val="32"/>
          <w:szCs w:val="32"/>
        </w:rPr>
      </w:pPr>
    </w:p>
    <w:p w:rsidR="0016151B" w:rsidRPr="009E048F" w:rsidRDefault="0016151B" w:rsidP="009E048F">
      <w:pPr>
        <w:jc w:val="center"/>
        <w:rPr>
          <w:b/>
          <w:color w:val="000000"/>
          <w:sz w:val="32"/>
          <w:szCs w:val="32"/>
        </w:rPr>
      </w:pPr>
      <w:r w:rsidRPr="00833C6F">
        <w:rPr>
          <w:b/>
          <w:color w:val="000000"/>
          <w:sz w:val="32"/>
          <w:szCs w:val="32"/>
        </w:rPr>
        <w:t>Table of Contents</w:t>
      </w:r>
    </w:p>
    <w:sdt>
      <w:sdtPr>
        <w:rPr>
          <w:rFonts w:ascii="Times New Roman" w:eastAsia="Times New Roman" w:hAnsi="Times New Roman" w:cs="Times New Roman"/>
          <w:b w:val="0"/>
          <w:bCs w:val="0"/>
          <w:color w:val="auto"/>
          <w:sz w:val="24"/>
          <w:szCs w:val="24"/>
          <w:lang w:eastAsia="en-US"/>
        </w:rPr>
        <w:id w:val="-1114517294"/>
        <w:docPartObj>
          <w:docPartGallery w:val="Table of Contents"/>
          <w:docPartUnique/>
        </w:docPartObj>
      </w:sdtPr>
      <w:sdtEndPr>
        <w:rPr>
          <w:noProof/>
        </w:rPr>
      </w:sdtEndPr>
      <w:sdtContent>
        <w:p w:rsidR="009E048F" w:rsidRDefault="009E048F">
          <w:pPr>
            <w:pStyle w:val="TOCHeading"/>
          </w:pPr>
        </w:p>
        <w:p w:rsidR="00A554F5" w:rsidRDefault="00FB5070">
          <w:pPr>
            <w:pStyle w:val="TOC1"/>
            <w:rPr>
              <w:rFonts w:asciiTheme="minorHAnsi" w:eastAsiaTheme="minorEastAsia" w:hAnsiTheme="minorHAnsi" w:cstheme="minorBidi"/>
              <w:noProof/>
              <w:sz w:val="22"/>
              <w:szCs w:val="22"/>
            </w:rPr>
          </w:pPr>
          <w:r>
            <w:fldChar w:fldCharType="begin"/>
          </w:r>
          <w:r w:rsidR="009E048F">
            <w:instrText xml:space="preserve"> TOC \o "1-3" \h \z \u </w:instrText>
          </w:r>
          <w:r>
            <w:fldChar w:fldCharType="separate"/>
          </w:r>
          <w:hyperlink w:anchor="_Toc444496082" w:history="1">
            <w:r w:rsidR="00A554F5" w:rsidRPr="006345DC">
              <w:rPr>
                <w:rStyle w:val="Hyperlink"/>
                <w:noProof/>
              </w:rPr>
              <w:t>I. Introduction</w:t>
            </w:r>
            <w:r w:rsidR="00A554F5">
              <w:rPr>
                <w:noProof/>
                <w:webHidden/>
              </w:rPr>
              <w:tab/>
            </w:r>
            <w:r w:rsidR="00A554F5">
              <w:rPr>
                <w:noProof/>
                <w:webHidden/>
              </w:rPr>
              <w:fldChar w:fldCharType="begin"/>
            </w:r>
            <w:r w:rsidR="00A554F5">
              <w:rPr>
                <w:noProof/>
                <w:webHidden/>
              </w:rPr>
              <w:instrText xml:space="preserve"> PAGEREF _Toc444496082 \h </w:instrText>
            </w:r>
            <w:r w:rsidR="00A554F5">
              <w:rPr>
                <w:noProof/>
                <w:webHidden/>
              </w:rPr>
            </w:r>
            <w:r w:rsidR="00A554F5">
              <w:rPr>
                <w:noProof/>
                <w:webHidden/>
              </w:rPr>
              <w:fldChar w:fldCharType="separate"/>
            </w:r>
            <w:r w:rsidR="00582FE3">
              <w:rPr>
                <w:noProof/>
                <w:webHidden/>
              </w:rPr>
              <w:t>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83" w:history="1">
            <w:r w:rsidR="00A554F5" w:rsidRPr="006345DC">
              <w:rPr>
                <w:rStyle w:val="Hyperlink"/>
                <w:noProof/>
              </w:rPr>
              <w:t>A.</w:t>
            </w:r>
            <w:r w:rsidR="00A554F5">
              <w:rPr>
                <w:rFonts w:asciiTheme="minorHAnsi" w:eastAsiaTheme="minorEastAsia" w:hAnsiTheme="minorHAnsi" w:cstheme="minorBidi"/>
                <w:noProof/>
                <w:sz w:val="22"/>
                <w:szCs w:val="22"/>
              </w:rPr>
              <w:tab/>
            </w:r>
            <w:r w:rsidR="00A554F5" w:rsidRPr="006345DC">
              <w:rPr>
                <w:rStyle w:val="Hyperlink"/>
                <w:noProof/>
              </w:rPr>
              <w:t>Overview of Annual Goals and Objectives</w:t>
            </w:r>
            <w:r w:rsidR="00A554F5">
              <w:rPr>
                <w:noProof/>
                <w:webHidden/>
              </w:rPr>
              <w:tab/>
            </w:r>
            <w:r w:rsidR="00A554F5">
              <w:rPr>
                <w:noProof/>
                <w:webHidden/>
              </w:rPr>
              <w:fldChar w:fldCharType="begin"/>
            </w:r>
            <w:r w:rsidR="00A554F5">
              <w:rPr>
                <w:noProof/>
                <w:webHidden/>
              </w:rPr>
              <w:instrText xml:space="preserve"> PAGEREF _Toc444496083 \h </w:instrText>
            </w:r>
            <w:r w:rsidR="00A554F5">
              <w:rPr>
                <w:noProof/>
                <w:webHidden/>
              </w:rPr>
            </w:r>
            <w:r w:rsidR="00A554F5">
              <w:rPr>
                <w:noProof/>
                <w:webHidden/>
              </w:rPr>
              <w:fldChar w:fldCharType="separate"/>
            </w:r>
            <w:r w:rsidR="00582FE3">
              <w:rPr>
                <w:noProof/>
                <w:webHidden/>
              </w:rPr>
              <w:t>2</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84" w:history="1">
            <w:r w:rsidR="00A554F5" w:rsidRPr="006345DC">
              <w:rPr>
                <w:rStyle w:val="Hyperlink"/>
                <w:noProof/>
              </w:rPr>
              <w:t>B.</w:t>
            </w:r>
            <w:r w:rsidR="00A554F5">
              <w:rPr>
                <w:rFonts w:asciiTheme="minorHAnsi" w:eastAsiaTheme="minorEastAsia" w:hAnsiTheme="minorHAnsi" w:cstheme="minorBidi"/>
                <w:noProof/>
                <w:sz w:val="22"/>
                <w:szCs w:val="22"/>
              </w:rPr>
              <w:tab/>
            </w:r>
            <w:r w:rsidR="00A554F5" w:rsidRPr="006345DC">
              <w:rPr>
                <w:rStyle w:val="Hyperlink"/>
                <w:noProof/>
              </w:rPr>
              <w:t>Overview of Long Term Goals</w:t>
            </w:r>
            <w:r w:rsidR="00A554F5">
              <w:rPr>
                <w:noProof/>
                <w:webHidden/>
              </w:rPr>
              <w:tab/>
            </w:r>
            <w:r w:rsidR="00A554F5">
              <w:rPr>
                <w:noProof/>
                <w:webHidden/>
              </w:rPr>
              <w:fldChar w:fldCharType="begin"/>
            </w:r>
            <w:r w:rsidR="00A554F5">
              <w:rPr>
                <w:noProof/>
                <w:webHidden/>
              </w:rPr>
              <w:instrText xml:space="preserve"> PAGEREF _Toc444496084 \h </w:instrText>
            </w:r>
            <w:r w:rsidR="00A554F5">
              <w:rPr>
                <w:noProof/>
                <w:webHidden/>
              </w:rPr>
            </w:r>
            <w:r w:rsidR="00A554F5">
              <w:rPr>
                <w:noProof/>
                <w:webHidden/>
              </w:rPr>
              <w:fldChar w:fldCharType="separate"/>
            </w:r>
            <w:r w:rsidR="00582FE3">
              <w:rPr>
                <w:noProof/>
                <w:webHidden/>
              </w:rPr>
              <w:t>3</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085" w:history="1">
            <w:r w:rsidR="00A554F5" w:rsidRPr="006345DC">
              <w:rPr>
                <w:rStyle w:val="Hyperlink"/>
                <w:noProof/>
              </w:rPr>
              <w:t>II. General Housing Authority Operating Information</w:t>
            </w:r>
            <w:r w:rsidR="00A554F5">
              <w:rPr>
                <w:noProof/>
                <w:webHidden/>
              </w:rPr>
              <w:tab/>
            </w:r>
            <w:r w:rsidR="00A554F5">
              <w:rPr>
                <w:noProof/>
                <w:webHidden/>
              </w:rPr>
              <w:fldChar w:fldCharType="begin"/>
            </w:r>
            <w:r w:rsidR="00A554F5">
              <w:rPr>
                <w:noProof/>
                <w:webHidden/>
              </w:rPr>
              <w:instrText xml:space="preserve"> PAGEREF _Toc444496085 \h </w:instrText>
            </w:r>
            <w:r w:rsidR="00A554F5">
              <w:rPr>
                <w:noProof/>
                <w:webHidden/>
              </w:rPr>
            </w:r>
            <w:r w:rsidR="00A554F5">
              <w:rPr>
                <w:noProof/>
                <w:webHidden/>
              </w:rPr>
              <w:fldChar w:fldCharType="separate"/>
            </w:r>
            <w:r w:rsidR="00582FE3">
              <w:rPr>
                <w:noProof/>
                <w:webHidden/>
              </w:rPr>
              <w:t>5</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86" w:history="1">
            <w:r w:rsidR="00A554F5" w:rsidRPr="006345DC">
              <w:rPr>
                <w:rStyle w:val="Hyperlink"/>
                <w:noProof/>
              </w:rPr>
              <w:t>A.</w:t>
            </w:r>
            <w:r w:rsidR="00A554F5">
              <w:rPr>
                <w:rFonts w:asciiTheme="minorHAnsi" w:eastAsiaTheme="minorEastAsia" w:hAnsiTheme="minorHAnsi" w:cstheme="minorBidi"/>
                <w:noProof/>
                <w:sz w:val="22"/>
                <w:szCs w:val="22"/>
              </w:rPr>
              <w:tab/>
            </w:r>
            <w:r w:rsidR="00A554F5" w:rsidRPr="006345DC">
              <w:rPr>
                <w:rStyle w:val="Hyperlink"/>
                <w:noProof/>
              </w:rPr>
              <w:t>Housing Stock Information</w:t>
            </w:r>
            <w:r w:rsidR="00A554F5">
              <w:rPr>
                <w:noProof/>
                <w:webHidden/>
              </w:rPr>
              <w:tab/>
            </w:r>
            <w:r w:rsidR="00A554F5">
              <w:rPr>
                <w:noProof/>
                <w:webHidden/>
              </w:rPr>
              <w:fldChar w:fldCharType="begin"/>
            </w:r>
            <w:r w:rsidR="00A554F5">
              <w:rPr>
                <w:noProof/>
                <w:webHidden/>
              </w:rPr>
              <w:instrText xml:space="preserve"> PAGEREF _Toc444496086 \h </w:instrText>
            </w:r>
            <w:r w:rsidR="00A554F5">
              <w:rPr>
                <w:noProof/>
                <w:webHidden/>
              </w:rPr>
            </w:r>
            <w:r w:rsidR="00A554F5">
              <w:rPr>
                <w:noProof/>
                <w:webHidden/>
              </w:rPr>
              <w:fldChar w:fldCharType="separate"/>
            </w:r>
            <w:r w:rsidR="00582FE3">
              <w:rPr>
                <w:noProof/>
                <w:webHidden/>
              </w:rPr>
              <w:t>5</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87" w:history="1">
            <w:r w:rsidR="00A554F5" w:rsidRPr="006345DC">
              <w:rPr>
                <w:rStyle w:val="Hyperlink"/>
                <w:noProof/>
              </w:rPr>
              <w:t>B.</w:t>
            </w:r>
            <w:r w:rsidR="00A554F5">
              <w:rPr>
                <w:rFonts w:asciiTheme="minorHAnsi" w:eastAsiaTheme="minorEastAsia" w:hAnsiTheme="minorHAnsi" w:cstheme="minorBidi"/>
                <w:noProof/>
                <w:sz w:val="22"/>
                <w:szCs w:val="22"/>
              </w:rPr>
              <w:tab/>
            </w:r>
            <w:r w:rsidR="00A554F5" w:rsidRPr="006345DC">
              <w:rPr>
                <w:rStyle w:val="Hyperlink"/>
                <w:noProof/>
              </w:rPr>
              <w:t>Leasing Information</w:t>
            </w:r>
            <w:r w:rsidR="00A554F5">
              <w:rPr>
                <w:noProof/>
                <w:webHidden/>
              </w:rPr>
              <w:tab/>
            </w:r>
            <w:r w:rsidR="00A554F5">
              <w:rPr>
                <w:noProof/>
                <w:webHidden/>
              </w:rPr>
              <w:fldChar w:fldCharType="begin"/>
            </w:r>
            <w:r w:rsidR="00A554F5">
              <w:rPr>
                <w:noProof/>
                <w:webHidden/>
              </w:rPr>
              <w:instrText xml:space="preserve"> PAGEREF _Toc444496087 \h </w:instrText>
            </w:r>
            <w:r w:rsidR="00A554F5">
              <w:rPr>
                <w:noProof/>
                <w:webHidden/>
              </w:rPr>
            </w:r>
            <w:r w:rsidR="00A554F5">
              <w:rPr>
                <w:noProof/>
                <w:webHidden/>
              </w:rPr>
              <w:fldChar w:fldCharType="separate"/>
            </w:r>
            <w:r w:rsidR="00582FE3">
              <w:rPr>
                <w:noProof/>
                <w:webHidden/>
              </w:rPr>
              <w:t>7</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88" w:history="1">
            <w:r w:rsidR="00A554F5" w:rsidRPr="006345DC">
              <w:rPr>
                <w:rStyle w:val="Hyperlink"/>
                <w:noProof/>
              </w:rPr>
              <w:t>C.</w:t>
            </w:r>
            <w:r w:rsidR="00A554F5">
              <w:rPr>
                <w:rFonts w:asciiTheme="minorHAnsi" w:eastAsiaTheme="minorEastAsia" w:hAnsiTheme="minorHAnsi" w:cstheme="minorBidi"/>
                <w:noProof/>
                <w:sz w:val="22"/>
                <w:szCs w:val="22"/>
              </w:rPr>
              <w:tab/>
            </w:r>
            <w:r w:rsidR="00A554F5" w:rsidRPr="006345DC">
              <w:rPr>
                <w:rStyle w:val="Hyperlink"/>
                <w:noProof/>
              </w:rPr>
              <w:t>Wait List Information</w:t>
            </w:r>
            <w:r w:rsidR="00A554F5">
              <w:rPr>
                <w:noProof/>
                <w:webHidden/>
              </w:rPr>
              <w:tab/>
            </w:r>
            <w:r w:rsidR="00A554F5">
              <w:rPr>
                <w:noProof/>
                <w:webHidden/>
              </w:rPr>
              <w:fldChar w:fldCharType="begin"/>
            </w:r>
            <w:r w:rsidR="00A554F5">
              <w:rPr>
                <w:noProof/>
                <w:webHidden/>
              </w:rPr>
              <w:instrText xml:space="preserve"> PAGEREF _Toc444496088 \h </w:instrText>
            </w:r>
            <w:r w:rsidR="00A554F5">
              <w:rPr>
                <w:noProof/>
                <w:webHidden/>
              </w:rPr>
            </w:r>
            <w:r w:rsidR="00A554F5">
              <w:rPr>
                <w:noProof/>
                <w:webHidden/>
              </w:rPr>
              <w:fldChar w:fldCharType="separate"/>
            </w:r>
            <w:r w:rsidR="00582FE3">
              <w:rPr>
                <w:noProof/>
                <w:webHidden/>
              </w:rPr>
              <w:t>8</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089" w:history="1">
            <w:r w:rsidR="00A554F5" w:rsidRPr="006345DC">
              <w:rPr>
                <w:rStyle w:val="Hyperlink"/>
                <w:noProof/>
              </w:rPr>
              <w:t>III. Proposed MTW Activities</w:t>
            </w:r>
            <w:r w:rsidR="00A554F5">
              <w:rPr>
                <w:noProof/>
                <w:webHidden/>
              </w:rPr>
              <w:tab/>
            </w:r>
            <w:r w:rsidR="00A554F5">
              <w:rPr>
                <w:noProof/>
                <w:webHidden/>
              </w:rPr>
              <w:fldChar w:fldCharType="begin"/>
            </w:r>
            <w:r w:rsidR="00A554F5">
              <w:rPr>
                <w:noProof/>
                <w:webHidden/>
              </w:rPr>
              <w:instrText xml:space="preserve"> PAGEREF _Toc444496089 \h </w:instrText>
            </w:r>
            <w:r w:rsidR="00A554F5">
              <w:rPr>
                <w:noProof/>
                <w:webHidden/>
              </w:rPr>
            </w:r>
            <w:r w:rsidR="00A554F5">
              <w:rPr>
                <w:noProof/>
                <w:webHidden/>
              </w:rPr>
              <w:fldChar w:fldCharType="separate"/>
            </w:r>
            <w:r w:rsidR="00582FE3">
              <w:rPr>
                <w:noProof/>
                <w:webHidden/>
              </w:rPr>
              <w:t>10</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090" w:history="1">
            <w:r w:rsidR="00A554F5" w:rsidRPr="006345DC">
              <w:rPr>
                <w:rStyle w:val="Hyperlink"/>
                <w:noProof/>
              </w:rPr>
              <w:t>IV. Approved MTW Activities</w:t>
            </w:r>
            <w:r w:rsidR="00A554F5">
              <w:rPr>
                <w:noProof/>
                <w:webHidden/>
              </w:rPr>
              <w:tab/>
            </w:r>
            <w:r w:rsidR="00A554F5">
              <w:rPr>
                <w:noProof/>
                <w:webHidden/>
              </w:rPr>
              <w:fldChar w:fldCharType="begin"/>
            </w:r>
            <w:r w:rsidR="00A554F5">
              <w:rPr>
                <w:noProof/>
                <w:webHidden/>
              </w:rPr>
              <w:instrText xml:space="preserve"> PAGEREF _Toc444496090 \h </w:instrText>
            </w:r>
            <w:r w:rsidR="00A554F5">
              <w:rPr>
                <w:noProof/>
                <w:webHidden/>
              </w:rPr>
            </w:r>
            <w:r w:rsidR="00A554F5">
              <w:rPr>
                <w:noProof/>
                <w:webHidden/>
              </w:rPr>
              <w:fldChar w:fldCharType="separate"/>
            </w:r>
            <w:r w:rsidR="00582FE3">
              <w:rPr>
                <w:noProof/>
                <w:webHidden/>
              </w:rPr>
              <w:t>11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1" w:history="1">
            <w:r w:rsidR="00A554F5" w:rsidRPr="006345DC">
              <w:rPr>
                <w:rStyle w:val="Hyperlink"/>
                <w:noProof/>
              </w:rPr>
              <w:t>A.</w:t>
            </w:r>
            <w:r w:rsidR="00A554F5">
              <w:rPr>
                <w:rFonts w:asciiTheme="minorHAnsi" w:eastAsiaTheme="minorEastAsia" w:hAnsiTheme="minorHAnsi" w:cstheme="minorBidi"/>
                <w:noProof/>
                <w:sz w:val="22"/>
                <w:szCs w:val="22"/>
              </w:rPr>
              <w:tab/>
            </w:r>
            <w:r w:rsidR="00A554F5" w:rsidRPr="006345DC">
              <w:rPr>
                <w:rStyle w:val="Hyperlink"/>
                <w:noProof/>
              </w:rPr>
              <w:t>Implemented Activities</w:t>
            </w:r>
            <w:r w:rsidR="00A554F5">
              <w:rPr>
                <w:noProof/>
                <w:webHidden/>
              </w:rPr>
              <w:tab/>
            </w:r>
            <w:r w:rsidR="00A554F5">
              <w:rPr>
                <w:noProof/>
                <w:webHidden/>
              </w:rPr>
              <w:fldChar w:fldCharType="begin"/>
            </w:r>
            <w:r w:rsidR="00A554F5">
              <w:rPr>
                <w:noProof/>
                <w:webHidden/>
              </w:rPr>
              <w:instrText xml:space="preserve"> PAGEREF _Toc444496091 \h </w:instrText>
            </w:r>
            <w:r w:rsidR="00A554F5">
              <w:rPr>
                <w:noProof/>
                <w:webHidden/>
              </w:rPr>
            </w:r>
            <w:r w:rsidR="00A554F5">
              <w:rPr>
                <w:noProof/>
                <w:webHidden/>
              </w:rPr>
              <w:fldChar w:fldCharType="separate"/>
            </w:r>
            <w:r w:rsidR="00582FE3">
              <w:rPr>
                <w:noProof/>
                <w:webHidden/>
              </w:rPr>
              <w:t>11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2" w:history="1">
            <w:r w:rsidR="00A554F5" w:rsidRPr="006345DC">
              <w:rPr>
                <w:rStyle w:val="Hyperlink"/>
                <w:noProof/>
              </w:rPr>
              <w:t>B.</w:t>
            </w:r>
            <w:r w:rsidR="00A554F5">
              <w:rPr>
                <w:rFonts w:asciiTheme="minorHAnsi" w:eastAsiaTheme="minorEastAsia" w:hAnsiTheme="minorHAnsi" w:cstheme="minorBidi"/>
                <w:noProof/>
                <w:sz w:val="22"/>
                <w:szCs w:val="22"/>
              </w:rPr>
              <w:tab/>
            </w:r>
            <w:r w:rsidR="00A554F5" w:rsidRPr="006345DC">
              <w:rPr>
                <w:rStyle w:val="Hyperlink"/>
                <w:noProof/>
              </w:rPr>
              <w:t>Not Yet Implemented Activities</w:t>
            </w:r>
            <w:r w:rsidR="00A554F5">
              <w:rPr>
                <w:noProof/>
                <w:webHidden/>
              </w:rPr>
              <w:tab/>
            </w:r>
            <w:r w:rsidR="00A554F5">
              <w:rPr>
                <w:noProof/>
                <w:webHidden/>
              </w:rPr>
              <w:fldChar w:fldCharType="begin"/>
            </w:r>
            <w:r w:rsidR="00A554F5">
              <w:rPr>
                <w:noProof/>
                <w:webHidden/>
              </w:rPr>
              <w:instrText xml:space="preserve"> PAGEREF _Toc444496092 \h </w:instrText>
            </w:r>
            <w:r w:rsidR="00A554F5">
              <w:rPr>
                <w:noProof/>
                <w:webHidden/>
              </w:rPr>
            </w:r>
            <w:r w:rsidR="00A554F5">
              <w:rPr>
                <w:noProof/>
                <w:webHidden/>
              </w:rPr>
              <w:fldChar w:fldCharType="separate"/>
            </w:r>
            <w:r w:rsidR="00582FE3">
              <w:rPr>
                <w:noProof/>
                <w:webHidden/>
              </w:rPr>
              <w:t>53</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3" w:history="1">
            <w:r w:rsidR="00A554F5" w:rsidRPr="006345DC">
              <w:rPr>
                <w:rStyle w:val="Hyperlink"/>
                <w:noProof/>
              </w:rPr>
              <w:t>C.</w:t>
            </w:r>
            <w:r w:rsidR="00A554F5">
              <w:rPr>
                <w:rFonts w:asciiTheme="minorHAnsi" w:eastAsiaTheme="minorEastAsia" w:hAnsiTheme="minorHAnsi" w:cstheme="minorBidi"/>
                <w:noProof/>
                <w:sz w:val="22"/>
                <w:szCs w:val="22"/>
              </w:rPr>
              <w:tab/>
            </w:r>
            <w:r w:rsidR="00A554F5" w:rsidRPr="006345DC">
              <w:rPr>
                <w:rStyle w:val="Hyperlink"/>
                <w:noProof/>
              </w:rPr>
              <w:t>Closed out</w:t>
            </w:r>
            <w:r w:rsidR="00A554F5">
              <w:rPr>
                <w:noProof/>
                <w:webHidden/>
              </w:rPr>
              <w:tab/>
            </w:r>
            <w:r w:rsidR="00A554F5">
              <w:rPr>
                <w:noProof/>
                <w:webHidden/>
              </w:rPr>
              <w:fldChar w:fldCharType="begin"/>
            </w:r>
            <w:r w:rsidR="00A554F5">
              <w:rPr>
                <w:noProof/>
                <w:webHidden/>
              </w:rPr>
              <w:instrText xml:space="preserve"> PAGEREF _Toc444496093 \h </w:instrText>
            </w:r>
            <w:r w:rsidR="00A554F5">
              <w:rPr>
                <w:noProof/>
                <w:webHidden/>
              </w:rPr>
            </w:r>
            <w:r w:rsidR="00A554F5">
              <w:rPr>
                <w:noProof/>
                <w:webHidden/>
              </w:rPr>
              <w:fldChar w:fldCharType="separate"/>
            </w:r>
            <w:r w:rsidR="00582FE3">
              <w:rPr>
                <w:noProof/>
                <w:webHidden/>
              </w:rPr>
              <w:t>55</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094" w:history="1">
            <w:r w:rsidR="00A554F5" w:rsidRPr="006345DC">
              <w:rPr>
                <w:rStyle w:val="Hyperlink"/>
                <w:noProof/>
              </w:rPr>
              <w:t>V. Sources and Uses of Funding</w:t>
            </w:r>
            <w:r w:rsidR="00A554F5">
              <w:rPr>
                <w:noProof/>
                <w:webHidden/>
              </w:rPr>
              <w:tab/>
            </w:r>
            <w:r w:rsidR="00A554F5">
              <w:rPr>
                <w:noProof/>
                <w:webHidden/>
              </w:rPr>
              <w:fldChar w:fldCharType="begin"/>
            </w:r>
            <w:r w:rsidR="00A554F5">
              <w:rPr>
                <w:noProof/>
                <w:webHidden/>
              </w:rPr>
              <w:instrText xml:space="preserve"> PAGEREF _Toc444496094 \h </w:instrText>
            </w:r>
            <w:r w:rsidR="00A554F5">
              <w:rPr>
                <w:noProof/>
                <w:webHidden/>
              </w:rPr>
            </w:r>
            <w:r w:rsidR="00A554F5">
              <w:rPr>
                <w:noProof/>
                <w:webHidden/>
              </w:rPr>
              <w:fldChar w:fldCharType="separate"/>
            </w:r>
            <w:r w:rsidR="00582FE3">
              <w:rPr>
                <w:noProof/>
                <w:webHidden/>
              </w:rPr>
              <w:t>56</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5" w:history="1">
            <w:r w:rsidR="00A554F5" w:rsidRPr="006345DC">
              <w:rPr>
                <w:rStyle w:val="Hyperlink"/>
                <w:noProof/>
              </w:rPr>
              <w:t>A.</w:t>
            </w:r>
            <w:r w:rsidR="00A554F5">
              <w:rPr>
                <w:rFonts w:asciiTheme="minorHAnsi" w:eastAsiaTheme="minorEastAsia" w:hAnsiTheme="minorHAnsi" w:cstheme="minorBidi"/>
                <w:noProof/>
                <w:sz w:val="22"/>
                <w:szCs w:val="22"/>
              </w:rPr>
              <w:tab/>
            </w:r>
            <w:r w:rsidR="00A554F5" w:rsidRPr="006345DC">
              <w:rPr>
                <w:rStyle w:val="Hyperlink"/>
                <w:noProof/>
              </w:rPr>
              <w:t>Estimates Sources of MTW Funding for the Fiscal Year</w:t>
            </w:r>
            <w:r w:rsidR="00A554F5">
              <w:rPr>
                <w:noProof/>
                <w:webHidden/>
              </w:rPr>
              <w:tab/>
            </w:r>
            <w:r w:rsidR="00A554F5">
              <w:rPr>
                <w:noProof/>
                <w:webHidden/>
              </w:rPr>
              <w:fldChar w:fldCharType="begin"/>
            </w:r>
            <w:r w:rsidR="00A554F5">
              <w:rPr>
                <w:noProof/>
                <w:webHidden/>
              </w:rPr>
              <w:instrText xml:space="preserve"> PAGEREF _Toc444496095 \h </w:instrText>
            </w:r>
            <w:r w:rsidR="00A554F5">
              <w:rPr>
                <w:noProof/>
                <w:webHidden/>
              </w:rPr>
            </w:r>
            <w:r w:rsidR="00A554F5">
              <w:rPr>
                <w:noProof/>
                <w:webHidden/>
              </w:rPr>
              <w:fldChar w:fldCharType="separate"/>
            </w:r>
            <w:r w:rsidR="00582FE3">
              <w:rPr>
                <w:noProof/>
                <w:webHidden/>
              </w:rPr>
              <w:t>56</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6" w:history="1">
            <w:r w:rsidR="00A554F5" w:rsidRPr="006345DC">
              <w:rPr>
                <w:rStyle w:val="Hyperlink"/>
                <w:noProof/>
              </w:rPr>
              <w:t>B.</w:t>
            </w:r>
            <w:r w:rsidR="00A554F5">
              <w:rPr>
                <w:rFonts w:asciiTheme="minorHAnsi" w:eastAsiaTheme="minorEastAsia" w:hAnsiTheme="minorHAnsi" w:cstheme="minorBidi"/>
                <w:noProof/>
                <w:sz w:val="22"/>
                <w:szCs w:val="22"/>
              </w:rPr>
              <w:tab/>
            </w:r>
            <w:r w:rsidR="00A554F5" w:rsidRPr="006345DC">
              <w:rPr>
                <w:rStyle w:val="Hyperlink"/>
                <w:noProof/>
              </w:rPr>
              <w:t>Estimated Uses of MTW Funding for the Fiscal Year</w:t>
            </w:r>
            <w:r w:rsidR="00A554F5">
              <w:rPr>
                <w:noProof/>
                <w:webHidden/>
              </w:rPr>
              <w:tab/>
            </w:r>
            <w:r w:rsidR="00A554F5">
              <w:rPr>
                <w:noProof/>
                <w:webHidden/>
              </w:rPr>
              <w:fldChar w:fldCharType="begin"/>
            </w:r>
            <w:r w:rsidR="00A554F5">
              <w:rPr>
                <w:noProof/>
                <w:webHidden/>
              </w:rPr>
              <w:instrText xml:space="preserve"> PAGEREF _Toc444496096 \h </w:instrText>
            </w:r>
            <w:r w:rsidR="00A554F5">
              <w:rPr>
                <w:noProof/>
                <w:webHidden/>
              </w:rPr>
            </w:r>
            <w:r w:rsidR="00A554F5">
              <w:rPr>
                <w:noProof/>
                <w:webHidden/>
              </w:rPr>
              <w:fldChar w:fldCharType="separate"/>
            </w:r>
            <w:r w:rsidR="00582FE3">
              <w:rPr>
                <w:noProof/>
                <w:webHidden/>
              </w:rPr>
              <w:t>57</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7" w:history="1">
            <w:r w:rsidR="00A554F5" w:rsidRPr="006345DC">
              <w:rPr>
                <w:rStyle w:val="Hyperlink"/>
                <w:noProof/>
              </w:rPr>
              <w:t>C.</w:t>
            </w:r>
            <w:r w:rsidR="00A554F5">
              <w:rPr>
                <w:rFonts w:asciiTheme="minorHAnsi" w:eastAsiaTheme="minorEastAsia" w:hAnsiTheme="minorHAnsi" w:cstheme="minorBidi"/>
                <w:noProof/>
                <w:sz w:val="22"/>
                <w:szCs w:val="22"/>
              </w:rPr>
              <w:tab/>
            </w:r>
            <w:r w:rsidR="00A554F5" w:rsidRPr="006345DC">
              <w:rPr>
                <w:rStyle w:val="Hyperlink"/>
                <w:noProof/>
              </w:rPr>
              <w:t>MTW Single Fund Flexibility</w:t>
            </w:r>
            <w:r w:rsidR="00A554F5">
              <w:rPr>
                <w:noProof/>
                <w:webHidden/>
              </w:rPr>
              <w:tab/>
            </w:r>
            <w:r w:rsidR="00A554F5">
              <w:rPr>
                <w:noProof/>
                <w:webHidden/>
              </w:rPr>
              <w:fldChar w:fldCharType="begin"/>
            </w:r>
            <w:r w:rsidR="00A554F5">
              <w:rPr>
                <w:noProof/>
                <w:webHidden/>
              </w:rPr>
              <w:instrText xml:space="preserve"> PAGEREF _Toc444496097 \h </w:instrText>
            </w:r>
            <w:r w:rsidR="00A554F5">
              <w:rPr>
                <w:noProof/>
                <w:webHidden/>
              </w:rPr>
            </w:r>
            <w:r w:rsidR="00A554F5">
              <w:rPr>
                <w:noProof/>
                <w:webHidden/>
              </w:rPr>
              <w:fldChar w:fldCharType="separate"/>
            </w:r>
            <w:r w:rsidR="00582FE3">
              <w:rPr>
                <w:noProof/>
                <w:webHidden/>
              </w:rPr>
              <w:t>58</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098" w:history="1">
            <w:r w:rsidR="00A554F5" w:rsidRPr="006345DC">
              <w:rPr>
                <w:rStyle w:val="Hyperlink"/>
                <w:noProof/>
              </w:rPr>
              <w:t>D.</w:t>
            </w:r>
            <w:r w:rsidR="00A554F5">
              <w:rPr>
                <w:rFonts w:asciiTheme="minorHAnsi" w:eastAsiaTheme="minorEastAsia" w:hAnsiTheme="minorHAnsi" w:cstheme="minorBidi"/>
                <w:noProof/>
                <w:sz w:val="22"/>
                <w:szCs w:val="22"/>
              </w:rPr>
              <w:tab/>
            </w:r>
            <w:r w:rsidR="00A554F5" w:rsidRPr="006345DC">
              <w:rPr>
                <w:rStyle w:val="Hyperlink"/>
                <w:noProof/>
              </w:rPr>
              <w:t>Local Asset Management Plan</w:t>
            </w:r>
            <w:r w:rsidR="00A554F5">
              <w:rPr>
                <w:noProof/>
                <w:webHidden/>
              </w:rPr>
              <w:tab/>
            </w:r>
            <w:r w:rsidR="00A554F5">
              <w:rPr>
                <w:noProof/>
                <w:webHidden/>
              </w:rPr>
              <w:fldChar w:fldCharType="begin"/>
            </w:r>
            <w:r w:rsidR="00A554F5">
              <w:rPr>
                <w:noProof/>
                <w:webHidden/>
              </w:rPr>
              <w:instrText xml:space="preserve"> PAGEREF _Toc444496098 \h </w:instrText>
            </w:r>
            <w:r w:rsidR="00A554F5">
              <w:rPr>
                <w:noProof/>
                <w:webHidden/>
              </w:rPr>
            </w:r>
            <w:r w:rsidR="00A554F5">
              <w:rPr>
                <w:noProof/>
                <w:webHidden/>
              </w:rPr>
              <w:fldChar w:fldCharType="separate"/>
            </w:r>
            <w:r w:rsidR="00582FE3">
              <w:rPr>
                <w:noProof/>
                <w:webHidden/>
              </w:rPr>
              <w:t>60</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099" w:history="1">
            <w:r w:rsidR="00A554F5" w:rsidRPr="006345DC">
              <w:rPr>
                <w:rStyle w:val="Hyperlink"/>
                <w:noProof/>
              </w:rPr>
              <w:t>VI. Administrative</w:t>
            </w:r>
            <w:r w:rsidR="00A554F5">
              <w:rPr>
                <w:noProof/>
                <w:webHidden/>
              </w:rPr>
              <w:tab/>
            </w:r>
            <w:r w:rsidR="00A554F5">
              <w:rPr>
                <w:noProof/>
                <w:webHidden/>
              </w:rPr>
              <w:fldChar w:fldCharType="begin"/>
            </w:r>
            <w:r w:rsidR="00A554F5">
              <w:rPr>
                <w:noProof/>
                <w:webHidden/>
              </w:rPr>
              <w:instrText xml:space="preserve"> PAGEREF _Toc444496099 \h </w:instrText>
            </w:r>
            <w:r w:rsidR="00A554F5">
              <w:rPr>
                <w:noProof/>
                <w:webHidden/>
              </w:rPr>
            </w:r>
            <w:r w:rsidR="00A554F5">
              <w:rPr>
                <w:noProof/>
                <w:webHidden/>
              </w:rPr>
              <w:fldChar w:fldCharType="separate"/>
            </w:r>
            <w:r w:rsidR="00582FE3">
              <w:rPr>
                <w:noProof/>
                <w:webHidden/>
              </w:rPr>
              <w:t>61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100" w:history="1">
            <w:r w:rsidR="00A554F5" w:rsidRPr="006345DC">
              <w:rPr>
                <w:rStyle w:val="Hyperlink"/>
                <w:noProof/>
              </w:rPr>
              <w:t>A.</w:t>
            </w:r>
            <w:r w:rsidR="00A554F5">
              <w:rPr>
                <w:rFonts w:asciiTheme="minorHAnsi" w:eastAsiaTheme="minorEastAsia" w:hAnsiTheme="minorHAnsi" w:cstheme="minorBidi"/>
                <w:noProof/>
                <w:sz w:val="22"/>
                <w:szCs w:val="22"/>
              </w:rPr>
              <w:tab/>
            </w:r>
            <w:r w:rsidR="00A554F5" w:rsidRPr="006345DC">
              <w:rPr>
                <w:rStyle w:val="Hyperlink"/>
                <w:noProof/>
              </w:rPr>
              <w:t>Resolution</w:t>
            </w:r>
            <w:r w:rsidR="00A554F5">
              <w:rPr>
                <w:noProof/>
                <w:webHidden/>
              </w:rPr>
              <w:tab/>
            </w:r>
            <w:r w:rsidR="00A554F5">
              <w:rPr>
                <w:noProof/>
                <w:webHidden/>
              </w:rPr>
              <w:fldChar w:fldCharType="begin"/>
            </w:r>
            <w:r w:rsidR="00A554F5">
              <w:rPr>
                <w:noProof/>
                <w:webHidden/>
              </w:rPr>
              <w:instrText xml:space="preserve"> PAGEREF _Toc444496100 \h </w:instrText>
            </w:r>
            <w:r w:rsidR="00A554F5">
              <w:rPr>
                <w:noProof/>
                <w:webHidden/>
              </w:rPr>
            </w:r>
            <w:r w:rsidR="00A554F5">
              <w:rPr>
                <w:noProof/>
                <w:webHidden/>
              </w:rPr>
              <w:fldChar w:fldCharType="separate"/>
            </w:r>
            <w:r w:rsidR="00582FE3">
              <w:rPr>
                <w:noProof/>
                <w:webHidden/>
              </w:rPr>
              <w:t>61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101" w:history="1">
            <w:r w:rsidR="00A554F5" w:rsidRPr="006345DC">
              <w:rPr>
                <w:rStyle w:val="Hyperlink"/>
                <w:noProof/>
              </w:rPr>
              <w:t>B.</w:t>
            </w:r>
            <w:r w:rsidR="00A554F5">
              <w:rPr>
                <w:rFonts w:asciiTheme="minorHAnsi" w:eastAsiaTheme="minorEastAsia" w:hAnsiTheme="minorHAnsi" w:cstheme="minorBidi"/>
                <w:noProof/>
                <w:sz w:val="22"/>
                <w:szCs w:val="22"/>
              </w:rPr>
              <w:tab/>
            </w:r>
            <w:r w:rsidR="00A554F5" w:rsidRPr="006345DC">
              <w:rPr>
                <w:rStyle w:val="Hyperlink"/>
                <w:noProof/>
              </w:rPr>
              <w:t>Public Review Process</w:t>
            </w:r>
            <w:r w:rsidR="00A554F5">
              <w:rPr>
                <w:noProof/>
                <w:webHidden/>
              </w:rPr>
              <w:tab/>
            </w:r>
            <w:r w:rsidR="00A554F5">
              <w:rPr>
                <w:noProof/>
                <w:webHidden/>
              </w:rPr>
              <w:fldChar w:fldCharType="begin"/>
            </w:r>
            <w:r w:rsidR="00A554F5">
              <w:rPr>
                <w:noProof/>
                <w:webHidden/>
              </w:rPr>
              <w:instrText xml:space="preserve"> PAGEREF _Toc444496101 \h </w:instrText>
            </w:r>
            <w:r w:rsidR="00A554F5">
              <w:rPr>
                <w:noProof/>
                <w:webHidden/>
              </w:rPr>
            </w:r>
            <w:r w:rsidR="00A554F5">
              <w:rPr>
                <w:noProof/>
                <w:webHidden/>
              </w:rPr>
              <w:fldChar w:fldCharType="separate"/>
            </w:r>
            <w:r w:rsidR="00582FE3">
              <w:rPr>
                <w:noProof/>
                <w:webHidden/>
              </w:rPr>
              <w:t>61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102" w:history="1">
            <w:r w:rsidR="00A554F5" w:rsidRPr="006345DC">
              <w:rPr>
                <w:rStyle w:val="Hyperlink"/>
                <w:noProof/>
              </w:rPr>
              <w:t>C.</w:t>
            </w:r>
            <w:r w:rsidR="00A554F5">
              <w:rPr>
                <w:rFonts w:asciiTheme="minorHAnsi" w:eastAsiaTheme="minorEastAsia" w:hAnsiTheme="minorHAnsi" w:cstheme="minorBidi"/>
                <w:noProof/>
                <w:sz w:val="22"/>
                <w:szCs w:val="22"/>
              </w:rPr>
              <w:tab/>
            </w:r>
            <w:r w:rsidR="00A554F5" w:rsidRPr="006345DC">
              <w:rPr>
                <w:rStyle w:val="Hyperlink"/>
                <w:noProof/>
              </w:rPr>
              <w:t>Evaluations</w:t>
            </w:r>
            <w:r w:rsidR="00A554F5">
              <w:rPr>
                <w:noProof/>
                <w:webHidden/>
              </w:rPr>
              <w:tab/>
            </w:r>
            <w:r w:rsidR="00A554F5">
              <w:rPr>
                <w:noProof/>
                <w:webHidden/>
              </w:rPr>
              <w:fldChar w:fldCharType="begin"/>
            </w:r>
            <w:r w:rsidR="00A554F5">
              <w:rPr>
                <w:noProof/>
                <w:webHidden/>
              </w:rPr>
              <w:instrText xml:space="preserve"> PAGEREF _Toc444496102 \h </w:instrText>
            </w:r>
            <w:r w:rsidR="00A554F5">
              <w:rPr>
                <w:noProof/>
                <w:webHidden/>
              </w:rPr>
            </w:r>
            <w:r w:rsidR="00A554F5">
              <w:rPr>
                <w:noProof/>
                <w:webHidden/>
              </w:rPr>
              <w:fldChar w:fldCharType="separate"/>
            </w:r>
            <w:r w:rsidR="00582FE3">
              <w:rPr>
                <w:noProof/>
                <w:webHidden/>
              </w:rPr>
              <w:t>61</w:t>
            </w:r>
            <w:r w:rsidR="00A554F5">
              <w:rPr>
                <w:noProof/>
                <w:webHidden/>
              </w:rPr>
              <w:fldChar w:fldCharType="end"/>
            </w:r>
          </w:hyperlink>
        </w:p>
        <w:p w:rsidR="00A554F5" w:rsidRDefault="00C77AC5">
          <w:pPr>
            <w:pStyle w:val="TOC3"/>
            <w:rPr>
              <w:rFonts w:asciiTheme="minorHAnsi" w:eastAsiaTheme="minorEastAsia" w:hAnsiTheme="minorHAnsi" w:cstheme="minorBidi"/>
              <w:noProof/>
              <w:sz w:val="22"/>
              <w:szCs w:val="22"/>
            </w:rPr>
          </w:pPr>
          <w:hyperlink w:anchor="_Toc444496103" w:history="1">
            <w:r w:rsidR="00A554F5" w:rsidRPr="006345DC">
              <w:rPr>
                <w:rStyle w:val="Hyperlink"/>
                <w:noProof/>
              </w:rPr>
              <w:t>D.</w:t>
            </w:r>
            <w:r w:rsidR="00A554F5">
              <w:rPr>
                <w:rFonts w:asciiTheme="minorHAnsi" w:eastAsiaTheme="minorEastAsia" w:hAnsiTheme="minorHAnsi" w:cstheme="minorBidi"/>
                <w:noProof/>
                <w:sz w:val="22"/>
                <w:szCs w:val="22"/>
              </w:rPr>
              <w:tab/>
            </w:r>
            <w:r w:rsidR="00A554F5" w:rsidRPr="006345DC">
              <w:rPr>
                <w:rStyle w:val="Hyperlink"/>
                <w:noProof/>
              </w:rPr>
              <w:t>Annual Statement/Performance and Evaluation Report</w:t>
            </w:r>
            <w:r w:rsidR="00A554F5">
              <w:rPr>
                <w:noProof/>
                <w:webHidden/>
              </w:rPr>
              <w:tab/>
            </w:r>
            <w:r w:rsidR="00A554F5">
              <w:rPr>
                <w:noProof/>
                <w:webHidden/>
              </w:rPr>
              <w:fldChar w:fldCharType="begin"/>
            </w:r>
            <w:r w:rsidR="00A554F5">
              <w:rPr>
                <w:noProof/>
                <w:webHidden/>
              </w:rPr>
              <w:instrText xml:space="preserve"> PAGEREF _Toc444496103 \h </w:instrText>
            </w:r>
            <w:r w:rsidR="00A554F5">
              <w:rPr>
                <w:noProof/>
                <w:webHidden/>
              </w:rPr>
            </w:r>
            <w:r w:rsidR="00A554F5">
              <w:rPr>
                <w:noProof/>
                <w:webHidden/>
              </w:rPr>
              <w:fldChar w:fldCharType="separate"/>
            </w:r>
            <w:r w:rsidR="00582FE3">
              <w:rPr>
                <w:noProof/>
                <w:webHidden/>
              </w:rPr>
              <w:t>61</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104" w:history="1">
            <w:r w:rsidR="00A554F5" w:rsidRPr="006345DC">
              <w:rPr>
                <w:rStyle w:val="Hyperlink"/>
                <w:noProof/>
              </w:rPr>
              <w:t>Appendix A:  Listing of Regional Administering Agencies</w:t>
            </w:r>
            <w:r w:rsidR="00A554F5">
              <w:rPr>
                <w:noProof/>
                <w:webHidden/>
              </w:rPr>
              <w:tab/>
            </w:r>
            <w:r w:rsidR="00A554F5">
              <w:rPr>
                <w:noProof/>
                <w:webHidden/>
              </w:rPr>
              <w:fldChar w:fldCharType="begin"/>
            </w:r>
            <w:r w:rsidR="00A554F5">
              <w:rPr>
                <w:noProof/>
                <w:webHidden/>
              </w:rPr>
              <w:instrText xml:space="preserve"> PAGEREF _Toc444496104 \h </w:instrText>
            </w:r>
            <w:r w:rsidR="00A554F5">
              <w:rPr>
                <w:noProof/>
                <w:webHidden/>
              </w:rPr>
            </w:r>
            <w:r w:rsidR="00A554F5">
              <w:rPr>
                <w:noProof/>
                <w:webHidden/>
              </w:rPr>
              <w:fldChar w:fldCharType="separate"/>
            </w:r>
            <w:r w:rsidR="00582FE3">
              <w:rPr>
                <w:noProof/>
                <w:webHidden/>
              </w:rPr>
              <w:t>62</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105" w:history="1">
            <w:r w:rsidR="00A554F5" w:rsidRPr="006345DC">
              <w:rPr>
                <w:rStyle w:val="Hyperlink"/>
                <w:noProof/>
              </w:rPr>
              <w:t>Appendix B:  Certifications of Compliance</w:t>
            </w:r>
            <w:r w:rsidR="00A554F5">
              <w:rPr>
                <w:noProof/>
                <w:webHidden/>
              </w:rPr>
              <w:tab/>
            </w:r>
            <w:r w:rsidR="00A554F5">
              <w:rPr>
                <w:noProof/>
                <w:webHidden/>
              </w:rPr>
              <w:fldChar w:fldCharType="begin"/>
            </w:r>
            <w:r w:rsidR="00A554F5">
              <w:rPr>
                <w:noProof/>
                <w:webHidden/>
              </w:rPr>
              <w:instrText xml:space="preserve"> PAGEREF _Toc444496105 \h </w:instrText>
            </w:r>
            <w:r w:rsidR="00A554F5">
              <w:rPr>
                <w:noProof/>
                <w:webHidden/>
              </w:rPr>
            </w:r>
            <w:r w:rsidR="00A554F5">
              <w:rPr>
                <w:noProof/>
                <w:webHidden/>
              </w:rPr>
              <w:fldChar w:fldCharType="separate"/>
            </w:r>
            <w:r w:rsidR="00582FE3">
              <w:rPr>
                <w:noProof/>
                <w:webHidden/>
              </w:rPr>
              <w:t>63</w:t>
            </w:r>
            <w:r w:rsidR="00A554F5">
              <w:rPr>
                <w:noProof/>
                <w:webHidden/>
              </w:rPr>
              <w:fldChar w:fldCharType="end"/>
            </w:r>
          </w:hyperlink>
        </w:p>
        <w:p w:rsidR="00A554F5" w:rsidRDefault="00C77AC5">
          <w:pPr>
            <w:pStyle w:val="TOC1"/>
            <w:rPr>
              <w:rFonts w:asciiTheme="minorHAnsi" w:eastAsiaTheme="minorEastAsia" w:hAnsiTheme="minorHAnsi" w:cstheme="minorBidi"/>
              <w:noProof/>
              <w:sz w:val="22"/>
              <w:szCs w:val="22"/>
            </w:rPr>
          </w:pPr>
          <w:hyperlink w:anchor="_Toc444496106" w:history="1">
            <w:r w:rsidR="00A554F5" w:rsidRPr="006345DC">
              <w:rPr>
                <w:rStyle w:val="Hyperlink"/>
                <w:noProof/>
              </w:rPr>
              <w:t>Appendix C:  Public Notice, Written Comments &amp; Public Hearing Sign-in Sheets</w:t>
            </w:r>
            <w:r w:rsidR="00A554F5">
              <w:rPr>
                <w:noProof/>
                <w:webHidden/>
              </w:rPr>
              <w:tab/>
            </w:r>
            <w:r w:rsidR="00A554F5">
              <w:rPr>
                <w:noProof/>
                <w:webHidden/>
              </w:rPr>
              <w:fldChar w:fldCharType="begin"/>
            </w:r>
            <w:r w:rsidR="00A554F5">
              <w:rPr>
                <w:noProof/>
                <w:webHidden/>
              </w:rPr>
              <w:instrText xml:space="preserve"> PAGEREF _Toc444496106 \h </w:instrText>
            </w:r>
            <w:r w:rsidR="00A554F5">
              <w:rPr>
                <w:noProof/>
                <w:webHidden/>
              </w:rPr>
            </w:r>
            <w:r w:rsidR="00A554F5">
              <w:rPr>
                <w:noProof/>
                <w:webHidden/>
              </w:rPr>
              <w:fldChar w:fldCharType="separate"/>
            </w:r>
            <w:r w:rsidR="00582FE3">
              <w:rPr>
                <w:noProof/>
                <w:webHidden/>
              </w:rPr>
              <w:t>64</w:t>
            </w:r>
            <w:r w:rsidR="00A554F5">
              <w:rPr>
                <w:noProof/>
                <w:webHidden/>
              </w:rPr>
              <w:fldChar w:fldCharType="end"/>
            </w:r>
          </w:hyperlink>
        </w:p>
        <w:p w:rsidR="009E048F" w:rsidRDefault="00FB5070">
          <w:r>
            <w:rPr>
              <w:b/>
              <w:bCs/>
              <w:noProof/>
            </w:rPr>
            <w:fldChar w:fldCharType="end"/>
          </w:r>
        </w:p>
      </w:sdtContent>
    </w:sdt>
    <w:p w:rsidR="00A830A2" w:rsidRPr="003F655B" w:rsidRDefault="00A830A2" w:rsidP="003F655B">
      <w:pPr>
        <w:pStyle w:val="Heading1"/>
        <w:rPr>
          <w:rFonts w:ascii="Times New Roman" w:hAnsi="Times New Roman"/>
          <w:highlight w:val="yellow"/>
        </w:rPr>
        <w:sectPr w:rsidR="00A830A2" w:rsidRPr="003F655B" w:rsidSect="00185807">
          <w:footerReference w:type="first" r:id="rId8"/>
          <w:pgSz w:w="12240" w:h="15840"/>
          <w:pgMar w:top="1440" w:right="1800" w:bottom="1440" w:left="1800" w:header="720" w:footer="720" w:gutter="0"/>
          <w:cols w:space="720"/>
          <w:titlePg/>
          <w:docGrid w:linePitch="360"/>
        </w:sectPr>
      </w:pPr>
    </w:p>
    <w:p w:rsidR="001A0983" w:rsidRPr="007F1D51" w:rsidRDefault="001A0983" w:rsidP="001A0983">
      <w:pPr>
        <w:pStyle w:val="Heading1"/>
        <w:rPr>
          <w:rFonts w:ascii="Times New Roman" w:hAnsi="Times New Roman"/>
        </w:rPr>
      </w:pPr>
      <w:bookmarkStart w:id="0" w:name="_Toc444496082"/>
      <w:bookmarkStart w:id="1" w:name="_Toc415115894"/>
      <w:r w:rsidRPr="007F1D51">
        <w:rPr>
          <w:rFonts w:ascii="Times New Roman" w:hAnsi="Times New Roman"/>
        </w:rPr>
        <w:t>I. Introduction</w:t>
      </w:r>
      <w:bookmarkEnd w:id="0"/>
    </w:p>
    <w:p w:rsidR="00877766" w:rsidRPr="007F1D51" w:rsidRDefault="00877766" w:rsidP="00877766">
      <w:pPr>
        <w:rPr>
          <w:color w:val="000000"/>
        </w:rPr>
      </w:pPr>
    </w:p>
    <w:p w:rsidR="00877766" w:rsidRPr="00BF1862" w:rsidRDefault="00877766" w:rsidP="00877766">
      <w:pPr>
        <w:jc w:val="both"/>
        <w:rPr>
          <w:color w:val="000000"/>
        </w:rPr>
      </w:pPr>
      <w:r w:rsidRPr="00BF1862">
        <w:rPr>
          <w:color w:val="000000"/>
        </w:rPr>
        <w:t>The Massachusetts Department of Housing and Community Development (DHCD) is a participant in the Moving To Work (MTW) Demonstration, a program authorized by Congress through which a limited number of Public Housing Authorities are given the flexibility to waive certain provisions of the Housing Act of 1937 and federal regulations in order to design and test approaches for providing housing assistance that:</w:t>
      </w:r>
    </w:p>
    <w:p w:rsidR="00877766" w:rsidRPr="00BF1862" w:rsidRDefault="00877766" w:rsidP="00877766">
      <w:pPr>
        <w:jc w:val="both"/>
        <w:rPr>
          <w:color w:val="000000"/>
        </w:rPr>
      </w:pPr>
    </w:p>
    <w:p w:rsidR="00877766" w:rsidRPr="00BF1862" w:rsidRDefault="00877766" w:rsidP="00877766">
      <w:pPr>
        <w:numPr>
          <w:ilvl w:val="0"/>
          <w:numId w:val="1"/>
        </w:numPr>
        <w:jc w:val="both"/>
        <w:rPr>
          <w:color w:val="000000"/>
        </w:rPr>
      </w:pPr>
      <w:r w:rsidRPr="00BF1862">
        <w:rPr>
          <w:color w:val="000000"/>
        </w:rPr>
        <w:t>Reduce cost and achieve greater cost effectiveness in Federal expenditures;</w:t>
      </w:r>
    </w:p>
    <w:p w:rsidR="00877766" w:rsidRPr="00BF1862" w:rsidRDefault="00877766" w:rsidP="00877766">
      <w:pPr>
        <w:numPr>
          <w:ilvl w:val="0"/>
          <w:numId w:val="1"/>
        </w:numPr>
        <w:jc w:val="both"/>
        <w:rPr>
          <w:color w:val="000000"/>
        </w:rPr>
      </w:pPr>
      <w:r w:rsidRPr="00BF1862">
        <w:rPr>
          <w:color w:val="000000"/>
        </w:rPr>
        <w:t>Give incentives to families with children whose heads of household are either working, seeking work, or are participating in job training, educational or other programs that assist in obtaining employment and becoming economically self-sufficient; and,</w:t>
      </w:r>
    </w:p>
    <w:p w:rsidR="00877766" w:rsidRPr="00BF1862" w:rsidRDefault="00877766" w:rsidP="00877766">
      <w:pPr>
        <w:numPr>
          <w:ilvl w:val="0"/>
          <w:numId w:val="1"/>
        </w:numPr>
        <w:jc w:val="both"/>
        <w:rPr>
          <w:color w:val="000000"/>
        </w:rPr>
      </w:pPr>
      <w:r w:rsidRPr="00BF1862">
        <w:rPr>
          <w:color w:val="000000"/>
        </w:rPr>
        <w:t>Increase housing choices for low-income families.</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The three objectives listed above are referred to as “MTW statutory objectives”.</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 xml:space="preserve">MTW designation provides DHCD with the flexibility to implement new or modified programmatic approaches and to utilize federal Housing Assistance Payment funds in a more flexible manner consistent with the MTW statutory objectives.   DHCD’s existing MTW Agreement with the US Department of Housing and Urban Development (HUD) is effective through 2018; however, pursuant to the 2016 federal budget legislation, HUD is required to extend the Agreement through 2028.  DHCD anticipates execution of an amendment to the MTW Agreement in the near future to extend the term. </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MTW status applies to all tenant-based Housing Choice Vouchers administered by DHCD with certain exceptions.  Those exceptions are special purpose voucher</w:t>
      </w:r>
      <w:r w:rsidR="00AE2779">
        <w:rPr>
          <w:color w:val="000000"/>
        </w:rPr>
        <w:t>s</w:t>
      </w:r>
      <w:r w:rsidRPr="00BF1862">
        <w:rPr>
          <w:color w:val="000000"/>
        </w:rPr>
        <w:t xml:space="preserve"> including Veterans Affairs Supportive Housing (VASH), Five-Year Mainstream, Family Unification Program (FUP), Enhanced Vouchers/Tenant Protection Vouchers and Moderate Rehab programs.  MTW operating flexibility may be applied to special purpose vouchers in accordance with HUD’s published guidance; however, except for Enhanced/Tenant Protection Vouchers, which are rolled into the MTW Block Grant upon renewal of funds, the other special purpose types are not eligible for MTW Block Grant fungibility. This Annual Plan provides information on the MTW flexibility that DHCD currently implements or intends to implement in the voucher program operations. </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 xml:space="preserve">DHCD administers its MTW and other rental assistance programs through a statewide network of Regional Administering Agencies (RAA), which are listed in Appendix A. </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 xml:space="preserve">DHCD is required to prepare an MTW Annual Plan and Annual Report in a format defined by HUD. This Annual Plan, which is subject to HUD approval, reflects the current reporting requirements including use of standard metrics and benchmarks. For purposes of the Annual Plan, an “MTW activity” is defined as any activity that requires MTW flexibility to waive statutory or regulatory requirements.  Conversely, a “non-MTW activity” is any activity that does not require MTW flexibility to implement.  </w:t>
      </w:r>
    </w:p>
    <w:p w:rsidR="00877766" w:rsidRPr="00BF1862" w:rsidRDefault="00877766" w:rsidP="00877766">
      <w:pPr>
        <w:jc w:val="both"/>
        <w:rPr>
          <w:color w:val="000000"/>
        </w:rPr>
      </w:pPr>
    </w:p>
    <w:p w:rsidR="00877766" w:rsidRPr="00BF1862" w:rsidRDefault="00877766" w:rsidP="00877766">
      <w:pPr>
        <w:jc w:val="both"/>
        <w:rPr>
          <w:color w:val="000000"/>
        </w:rPr>
      </w:pPr>
      <w:r w:rsidRPr="00BF1862">
        <w:rPr>
          <w:color w:val="000000"/>
        </w:rPr>
        <w:t xml:space="preserve">DHCD’s FY 2017 MTW Annual Plan summarizes planned activities for the period from July 1, 2016 through June 30, 2017.  HUD provides voucher funding on a calendar year basis; thus, the Annual Plan covers parts of two distinct funding periods.  As of the date of publication, DHCD has not received confirmation of its federal funding levels.  The Plan assumes continuation of funding in calendar years 2016 and 2017 at approximately 2015 levels adjusted for inflation. If decreases in funding occur, DHCD may need to modify, delay or cancel the proposals herein and/or take other necessary measures, including deferring issuance of turnover vouchers. </w:t>
      </w:r>
    </w:p>
    <w:p w:rsidR="00877766" w:rsidRPr="00BF1862" w:rsidRDefault="00877766" w:rsidP="00877766">
      <w:pPr>
        <w:jc w:val="both"/>
        <w:rPr>
          <w:color w:val="000000"/>
        </w:rPr>
      </w:pPr>
    </w:p>
    <w:p w:rsidR="00877766" w:rsidRPr="001A0983" w:rsidRDefault="00877766" w:rsidP="00877766">
      <w:pPr>
        <w:jc w:val="both"/>
        <w:rPr>
          <w:color w:val="000000"/>
        </w:rPr>
      </w:pPr>
      <w:r w:rsidRPr="00BF1862">
        <w:rPr>
          <w:color w:val="000000"/>
        </w:rPr>
        <w:t>Prior to submission to HUD, DHCD makes the Annual Plan available for public review and comment including conducting public hearings.  DHCD reviews and considers written and verbal comments that are received during the public review period.  Appendix C provides information on the public comment period for this Annual Plan.</w:t>
      </w:r>
      <w:r w:rsidRPr="001A0983">
        <w:rPr>
          <w:color w:val="000000"/>
        </w:rPr>
        <w:t xml:space="preserve">  </w:t>
      </w:r>
    </w:p>
    <w:p w:rsidR="001A0983" w:rsidRPr="001A0983" w:rsidRDefault="001A0983" w:rsidP="00877766">
      <w:pPr>
        <w:pStyle w:val="Heading3"/>
        <w:numPr>
          <w:ilvl w:val="0"/>
          <w:numId w:val="0"/>
        </w:numPr>
      </w:pPr>
    </w:p>
    <w:p w:rsidR="001A0983" w:rsidRPr="001A0983" w:rsidRDefault="001A0983" w:rsidP="007E68D3">
      <w:pPr>
        <w:pStyle w:val="Heading3"/>
        <w:numPr>
          <w:ilvl w:val="0"/>
          <w:numId w:val="48"/>
        </w:numPr>
      </w:pPr>
      <w:bookmarkStart w:id="2" w:name="_Toc444496083"/>
      <w:r w:rsidRPr="001A0983">
        <w:t>Overview of Annual Goals and Objectives</w:t>
      </w:r>
      <w:bookmarkEnd w:id="2"/>
    </w:p>
    <w:p w:rsidR="00BF3ECD" w:rsidRDefault="00BF3ECD" w:rsidP="001A0983">
      <w:pPr>
        <w:rPr>
          <w:color w:val="000000"/>
        </w:rPr>
      </w:pPr>
    </w:p>
    <w:p w:rsidR="001A0983" w:rsidRPr="001A0983" w:rsidRDefault="001A0983" w:rsidP="001A0983">
      <w:pPr>
        <w:rPr>
          <w:color w:val="000000"/>
        </w:rPr>
      </w:pPr>
      <w:r w:rsidRPr="001A0983">
        <w:rPr>
          <w:color w:val="000000"/>
        </w:rPr>
        <w:t>Highlights of planned FY 201</w:t>
      </w:r>
      <w:r w:rsidR="00924145">
        <w:rPr>
          <w:color w:val="000000"/>
        </w:rPr>
        <w:t>7</w:t>
      </w:r>
      <w:r w:rsidRPr="001A0983">
        <w:rPr>
          <w:color w:val="000000"/>
        </w:rPr>
        <w:t xml:space="preserve"> MTW activities include:</w:t>
      </w:r>
    </w:p>
    <w:p w:rsidR="001A0983" w:rsidRPr="001A0983" w:rsidRDefault="001A0983" w:rsidP="001A0983">
      <w:pPr>
        <w:rPr>
          <w:color w:val="000000"/>
        </w:rPr>
      </w:pPr>
    </w:p>
    <w:p w:rsidR="001A0983" w:rsidRPr="005E6809" w:rsidRDefault="001A0983" w:rsidP="001A0983">
      <w:pPr>
        <w:numPr>
          <w:ilvl w:val="0"/>
          <w:numId w:val="14"/>
        </w:numPr>
        <w:jc w:val="both"/>
        <w:rPr>
          <w:color w:val="000000"/>
        </w:rPr>
      </w:pPr>
      <w:r w:rsidRPr="005E6809">
        <w:rPr>
          <w:color w:val="000000"/>
        </w:rPr>
        <w:t xml:space="preserve">DHCD projects that rental assistance and related services will be provided to </w:t>
      </w:r>
      <w:r w:rsidR="003C7403">
        <w:rPr>
          <w:color w:val="000000"/>
        </w:rPr>
        <w:t>20,521</w:t>
      </w:r>
      <w:r w:rsidRPr="005E6809">
        <w:rPr>
          <w:color w:val="000000"/>
        </w:rPr>
        <w:t xml:space="preserve"> MTW households, which represents an overall utilization rate of 98</w:t>
      </w:r>
      <w:r w:rsidR="005E6809" w:rsidRPr="005E6809">
        <w:rPr>
          <w:color w:val="000000"/>
        </w:rPr>
        <w:t>%.  Thirteen (13</w:t>
      </w:r>
      <w:r w:rsidRPr="005E6809">
        <w:rPr>
          <w:color w:val="000000"/>
        </w:rPr>
        <w:t>) new Project Based Voucher (PBV) con</w:t>
      </w:r>
      <w:r w:rsidR="00924145" w:rsidRPr="005E6809">
        <w:rPr>
          <w:color w:val="000000"/>
        </w:rPr>
        <w:t>tracts are projected for FY 2017</w:t>
      </w:r>
      <w:r w:rsidRPr="005E6809">
        <w:rPr>
          <w:color w:val="000000"/>
        </w:rPr>
        <w:t xml:space="preserve">.  </w:t>
      </w:r>
    </w:p>
    <w:p w:rsidR="001A0983" w:rsidRPr="00D220CE" w:rsidRDefault="001A0983" w:rsidP="001A0983">
      <w:pPr>
        <w:ind w:left="720"/>
        <w:jc w:val="both"/>
        <w:rPr>
          <w:color w:val="000000"/>
          <w:highlight w:val="yellow"/>
        </w:rPr>
      </w:pPr>
    </w:p>
    <w:p w:rsidR="005E6809" w:rsidRPr="005E6809" w:rsidRDefault="00C51094" w:rsidP="005E6809">
      <w:pPr>
        <w:numPr>
          <w:ilvl w:val="0"/>
          <w:numId w:val="14"/>
        </w:numPr>
        <w:jc w:val="both"/>
        <w:rPr>
          <w:color w:val="000000"/>
        </w:rPr>
      </w:pPr>
      <w:r w:rsidRPr="005E6809">
        <w:rPr>
          <w:color w:val="000000"/>
        </w:rPr>
        <w:t>DHCD will continue to encourage participant self-sufficiency through the Family Economic Stability Program (FESP).  The Boston based program administered by Metropolitan Boston Housing Partnership (MBHP) will</w:t>
      </w:r>
      <w:r w:rsidR="005E6809" w:rsidRPr="005E6809">
        <w:rPr>
          <w:color w:val="000000"/>
        </w:rPr>
        <w:t xml:space="preserve"> look to achieve its participation goal of 50 participants in FY 2017. T</w:t>
      </w:r>
      <w:r w:rsidRPr="005E6809">
        <w:rPr>
          <w:color w:val="000000"/>
        </w:rPr>
        <w:t>he program administered in Worcester County by RCAP Solutions, Inc. (RCAP) no longer accepts new applicants</w:t>
      </w:r>
      <w:r w:rsidR="005E6809" w:rsidRPr="005E6809">
        <w:rPr>
          <w:color w:val="000000"/>
        </w:rPr>
        <w:t xml:space="preserve"> and is anticipated to graduate its last participant in FY 2017</w:t>
      </w:r>
      <w:r w:rsidRPr="005E6809">
        <w:rPr>
          <w:color w:val="000000"/>
        </w:rPr>
        <w:t xml:space="preserve">. </w:t>
      </w:r>
      <w:r w:rsidR="005E6809" w:rsidRPr="005E6809">
        <w:rPr>
          <w:color w:val="000000"/>
        </w:rPr>
        <w:t xml:space="preserve"> As a result of changes in the rental market, DHCD will look to increase the rental portion of the subsidy provi</w:t>
      </w:r>
      <w:r w:rsidR="000D161A">
        <w:rPr>
          <w:color w:val="000000"/>
        </w:rPr>
        <w:t>ded to participants in the FES P</w:t>
      </w:r>
      <w:r w:rsidR="005E6809" w:rsidRPr="005E6809">
        <w:rPr>
          <w:color w:val="000000"/>
        </w:rPr>
        <w:t xml:space="preserve">rogram in FY 2017.  </w:t>
      </w:r>
      <w:r w:rsidR="005E6809" w:rsidRPr="00DA7D52">
        <w:rPr>
          <w:color w:val="000000"/>
        </w:rPr>
        <w:t>Additionally, f</w:t>
      </w:r>
      <w:r w:rsidR="0032256F" w:rsidRPr="00DA7D52">
        <w:rPr>
          <w:color w:val="000000"/>
        </w:rPr>
        <w:t>or the Boston program, DHCD may</w:t>
      </w:r>
      <w:r w:rsidR="005E6809" w:rsidRPr="00DA7D52">
        <w:rPr>
          <w:color w:val="000000"/>
        </w:rPr>
        <w:t xml:space="preserve"> increase the time limit from five years to seven years to provide participants with enough time to achieve goals and to stabilize their careers and families once those goals have</w:t>
      </w:r>
      <w:r w:rsidR="005E6809" w:rsidRPr="005E6809">
        <w:rPr>
          <w:color w:val="000000"/>
        </w:rPr>
        <w:t xml:space="preserve"> been achieved.  </w:t>
      </w:r>
    </w:p>
    <w:p w:rsidR="00C51094" w:rsidRDefault="00C51094" w:rsidP="00C51094">
      <w:pPr>
        <w:pStyle w:val="ListParagraph"/>
        <w:rPr>
          <w:color w:val="000000"/>
        </w:rPr>
      </w:pPr>
    </w:p>
    <w:p w:rsidR="0068343F" w:rsidRPr="0068343F" w:rsidRDefault="00DF6578" w:rsidP="0068343F">
      <w:pPr>
        <w:numPr>
          <w:ilvl w:val="0"/>
          <w:numId w:val="14"/>
        </w:numPr>
        <w:jc w:val="both"/>
        <w:rPr>
          <w:color w:val="000000"/>
        </w:rPr>
      </w:pPr>
      <w:r>
        <w:rPr>
          <w:color w:val="000000"/>
        </w:rPr>
        <w:t xml:space="preserve">In FY 2017 </w:t>
      </w:r>
      <w:r w:rsidR="00A44B12" w:rsidRPr="0068343F">
        <w:rPr>
          <w:color w:val="000000"/>
        </w:rPr>
        <w:t>DHCD pla</w:t>
      </w:r>
      <w:r>
        <w:rPr>
          <w:color w:val="000000"/>
        </w:rPr>
        <w:t xml:space="preserve">ns to implement the </w:t>
      </w:r>
      <w:r w:rsidR="00AA6EEE">
        <w:rPr>
          <w:color w:val="000000"/>
        </w:rPr>
        <w:t>SAFMR</w:t>
      </w:r>
      <w:r w:rsidR="0097231B">
        <w:rPr>
          <w:color w:val="000000"/>
        </w:rPr>
        <w:t>/payment standard policy</w:t>
      </w:r>
      <w:r>
        <w:rPr>
          <w:color w:val="000000"/>
        </w:rPr>
        <w:t xml:space="preserve"> of its</w:t>
      </w:r>
      <w:r w:rsidR="00A44B12" w:rsidRPr="0068343F">
        <w:rPr>
          <w:color w:val="000000"/>
        </w:rPr>
        <w:t xml:space="preserve"> rent simplification initiative which includes the application of Small Area Fair Market Rents (SAFMRs</w:t>
      </w:r>
      <w:r>
        <w:rPr>
          <w:color w:val="000000"/>
        </w:rPr>
        <w:t>).  DHCD wil</w:t>
      </w:r>
      <w:r w:rsidR="009F7DC8">
        <w:rPr>
          <w:color w:val="000000"/>
        </w:rPr>
        <w:t xml:space="preserve">l review the remaining </w:t>
      </w:r>
      <w:r>
        <w:rPr>
          <w:color w:val="000000"/>
        </w:rPr>
        <w:t>rent simplification</w:t>
      </w:r>
      <w:r w:rsidR="009F7DC8">
        <w:rPr>
          <w:color w:val="000000"/>
        </w:rPr>
        <w:t xml:space="preserve"> components</w:t>
      </w:r>
      <w:r>
        <w:rPr>
          <w:color w:val="000000"/>
        </w:rPr>
        <w:t xml:space="preserve"> and may propose changes in a future MTW Plan.</w:t>
      </w:r>
    </w:p>
    <w:p w:rsidR="0068343F" w:rsidRPr="0068343F" w:rsidRDefault="0068343F" w:rsidP="0068343F">
      <w:pPr>
        <w:ind w:left="720"/>
        <w:jc w:val="both"/>
        <w:rPr>
          <w:color w:val="000000"/>
        </w:rPr>
      </w:pPr>
    </w:p>
    <w:p w:rsidR="001A0983" w:rsidRPr="00EC6237" w:rsidRDefault="001A0983" w:rsidP="001A0983">
      <w:pPr>
        <w:numPr>
          <w:ilvl w:val="0"/>
          <w:numId w:val="14"/>
        </w:numPr>
        <w:jc w:val="both"/>
        <w:rPr>
          <w:color w:val="000000"/>
        </w:rPr>
      </w:pPr>
      <w:r w:rsidRPr="0068343F">
        <w:rPr>
          <w:color w:val="000000"/>
        </w:rPr>
        <w:t xml:space="preserve">Use of the MTW simplified Utility Allowance (UA) schedule and allowances, which </w:t>
      </w:r>
      <w:r w:rsidRPr="00EC6237">
        <w:rPr>
          <w:color w:val="000000"/>
        </w:rPr>
        <w:t>began in April</w:t>
      </w:r>
      <w:r w:rsidR="0068343F" w:rsidRPr="00EC6237">
        <w:rPr>
          <w:color w:val="000000"/>
        </w:rPr>
        <w:t xml:space="preserve"> 2014, will continue. In FY 2017</w:t>
      </w:r>
      <w:r w:rsidR="009F7DC8">
        <w:rPr>
          <w:color w:val="000000"/>
        </w:rPr>
        <w:t>, DHCD plans to implement the</w:t>
      </w:r>
      <w:r w:rsidRPr="00EC6237">
        <w:rPr>
          <w:color w:val="000000"/>
        </w:rPr>
        <w:t xml:space="preserve"> flat electric</w:t>
      </w:r>
      <w:r w:rsidR="000D161A">
        <w:rPr>
          <w:color w:val="000000"/>
        </w:rPr>
        <w:t>ity allowance for households which</w:t>
      </w:r>
      <w:r w:rsidRPr="00EC6237">
        <w:rPr>
          <w:color w:val="000000"/>
        </w:rPr>
        <w:t xml:space="preserve"> are responsible for other electricity.  This allowance is in addition to </w:t>
      </w:r>
      <w:r w:rsidR="000D161A">
        <w:rPr>
          <w:color w:val="000000"/>
        </w:rPr>
        <w:t>the allowance for households which</w:t>
      </w:r>
      <w:r w:rsidRPr="00EC6237">
        <w:rPr>
          <w:color w:val="000000"/>
        </w:rPr>
        <w:t xml:space="preserve"> pay for heat.  </w:t>
      </w:r>
    </w:p>
    <w:p w:rsidR="001A0983" w:rsidRPr="00EC6237" w:rsidRDefault="001A0983" w:rsidP="001A0983">
      <w:pPr>
        <w:ind w:left="360"/>
        <w:jc w:val="both"/>
        <w:rPr>
          <w:color w:val="000000"/>
        </w:rPr>
      </w:pPr>
    </w:p>
    <w:p w:rsidR="001A0983" w:rsidRPr="00CA1A58" w:rsidRDefault="005C5B0A" w:rsidP="001A0983">
      <w:pPr>
        <w:numPr>
          <w:ilvl w:val="0"/>
          <w:numId w:val="14"/>
        </w:numPr>
        <w:jc w:val="both"/>
        <w:rPr>
          <w:color w:val="000000"/>
        </w:rPr>
      </w:pPr>
      <w:r w:rsidRPr="00CA1A58">
        <w:rPr>
          <w:color w:val="000000"/>
        </w:rPr>
        <w:t xml:space="preserve">In FY 2017, </w:t>
      </w:r>
      <w:r w:rsidR="00DF6578" w:rsidRPr="00CA1A58">
        <w:rPr>
          <w:color w:val="000000"/>
        </w:rPr>
        <w:t>DHCD will establish</w:t>
      </w:r>
      <w:r w:rsidRPr="00CA1A58">
        <w:rPr>
          <w:color w:val="000000"/>
        </w:rPr>
        <w:t xml:space="preserve"> a pilot program to test the impact of</w:t>
      </w:r>
      <w:r w:rsidR="00DF6578" w:rsidRPr="00CA1A58">
        <w:rPr>
          <w:color w:val="000000"/>
        </w:rPr>
        <w:t xml:space="preserve"> </w:t>
      </w:r>
      <w:r w:rsidR="00630434" w:rsidRPr="00CA1A58">
        <w:rPr>
          <w:color w:val="000000"/>
        </w:rPr>
        <w:t xml:space="preserve">additional </w:t>
      </w:r>
      <w:r w:rsidR="00DF6578" w:rsidRPr="00CA1A58">
        <w:rPr>
          <w:color w:val="000000"/>
        </w:rPr>
        <w:t>cash</w:t>
      </w:r>
      <w:r w:rsidR="00DF6578" w:rsidRPr="005C5B0A">
        <w:rPr>
          <w:color w:val="000000"/>
        </w:rPr>
        <w:t xml:space="preserve"> incentives for completing short term </w:t>
      </w:r>
      <w:r w:rsidR="000D161A">
        <w:rPr>
          <w:color w:val="000000"/>
        </w:rPr>
        <w:t>Family Self-Sufficiency (FSS)</w:t>
      </w:r>
      <w:r w:rsidR="009F7DC8">
        <w:rPr>
          <w:color w:val="000000"/>
        </w:rPr>
        <w:t xml:space="preserve"> </w:t>
      </w:r>
      <w:r w:rsidR="00DF6578" w:rsidRPr="005C5B0A">
        <w:rPr>
          <w:color w:val="000000"/>
        </w:rPr>
        <w:t>g</w:t>
      </w:r>
      <w:r w:rsidR="00630434">
        <w:rPr>
          <w:color w:val="000000"/>
        </w:rPr>
        <w:t>oals outside of education and training, such as increasing a credit score.</w:t>
      </w:r>
      <w:r w:rsidR="00DF6578" w:rsidRPr="005C5B0A">
        <w:rPr>
          <w:color w:val="000000"/>
        </w:rPr>
        <w:t xml:space="preserve"> </w:t>
      </w:r>
      <w:r w:rsidR="001A0983" w:rsidRPr="005C5B0A">
        <w:rPr>
          <w:color w:val="000000"/>
        </w:rPr>
        <w:t xml:space="preserve">It is anticipated that </w:t>
      </w:r>
      <w:r w:rsidR="00DF6578" w:rsidRPr="005C5B0A">
        <w:rPr>
          <w:color w:val="000000"/>
        </w:rPr>
        <w:t xml:space="preserve">these incentives will provide FSS participants with </w:t>
      </w:r>
      <w:r w:rsidR="00EC6237" w:rsidRPr="005C5B0A">
        <w:rPr>
          <w:color w:val="000000"/>
        </w:rPr>
        <w:t xml:space="preserve">continued encouragement to work and complete future goals. DHCD </w:t>
      </w:r>
      <w:r w:rsidR="00DF6578" w:rsidRPr="005C5B0A">
        <w:rPr>
          <w:color w:val="000000"/>
        </w:rPr>
        <w:t xml:space="preserve">will continue to implement MTW activities designed to enhance the </w:t>
      </w:r>
      <w:r w:rsidR="000D161A">
        <w:rPr>
          <w:color w:val="000000"/>
        </w:rPr>
        <w:t>FSS P</w:t>
      </w:r>
      <w:r w:rsidR="00DF6578" w:rsidRPr="005C5B0A">
        <w:rPr>
          <w:color w:val="000000"/>
        </w:rPr>
        <w:t xml:space="preserve">rogram and promote asset development and savings among HCV participants.  </w:t>
      </w:r>
      <w:r w:rsidR="00AE2779" w:rsidRPr="00CA1A58">
        <w:rPr>
          <w:color w:val="000000"/>
        </w:rPr>
        <w:t>DHCD anticipates that 200 new FSS participants will enroll in the FSS program in FY 2017.</w:t>
      </w:r>
    </w:p>
    <w:p w:rsidR="005C5B0A" w:rsidRPr="005C5B0A" w:rsidRDefault="005C5B0A" w:rsidP="005C5B0A">
      <w:pPr>
        <w:jc w:val="both"/>
        <w:rPr>
          <w:color w:val="000000"/>
        </w:rPr>
      </w:pPr>
    </w:p>
    <w:p w:rsidR="001A0983" w:rsidRPr="00692A0A" w:rsidRDefault="00692A0A" w:rsidP="001A0983">
      <w:pPr>
        <w:numPr>
          <w:ilvl w:val="0"/>
          <w:numId w:val="14"/>
        </w:numPr>
        <w:jc w:val="both"/>
        <w:rPr>
          <w:color w:val="000000"/>
        </w:rPr>
      </w:pPr>
      <w:r w:rsidRPr="00692A0A">
        <w:rPr>
          <w:color w:val="000000"/>
        </w:rPr>
        <w:t>Nine at-risk housing development</w:t>
      </w:r>
      <w:r w:rsidR="009F7DC8">
        <w:rPr>
          <w:color w:val="000000"/>
        </w:rPr>
        <w:t>s have been preserved to date</w:t>
      </w:r>
      <w:r w:rsidRPr="00692A0A">
        <w:rPr>
          <w:color w:val="000000"/>
        </w:rPr>
        <w:t xml:space="preserve">.  </w:t>
      </w:r>
      <w:r w:rsidR="001A0983" w:rsidRPr="00692A0A">
        <w:rPr>
          <w:color w:val="000000"/>
        </w:rPr>
        <w:t>DHCD will continue to work with HUD, developers, tenant groups and other stakeholders to identify additional appropriate sites and enter into long-term project based contracts th</w:t>
      </w:r>
      <w:r w:rsidR="009F7DC8">
        <w:rPr>
          <w:color w:val="000000"/>
        </w:rPr>
        <w:t>ereby preserving affordability; however</w:t>
      </w:r>
      <w:r w:rsidR="000D161A">
        <w:rPr>
          <w:color w:val="000000"/>
        </w:rPr>
        <w:t>,</w:t>
      </w:r>
      <w:r w:rsidR="009F7DC8">
        <w:rPr>
          <w:color w:val="000000"/>
        </w:rPr>
        <w:t xml:space="preserve"> DHCD has no way to anticipate whether or not HUD will offer new expiring use sites</w:t>
      </w:r>
      <w:r w:rsidR="00DD65C5">
        <w:rPr>
          <w:color w:val="000000"/>
        </w:rPr>
        <w:t>.</w:t>
      </w:r>
    </w:p>
    <w:p w:rsidR="001A0983" w:rsidRPr="00D220CE" w:rsidRDefault="001A0983" w:rsidP="001A0983">
      <w:pPr>
        <w:ind w:left="720"/>
        <w:jc w:val="both"/>
        <w:rPr>
          <w:color w:val="000000"/>
          <w:highlight w:val="yellow"/>
        </w:rPr>
      </w:pPr>
    </w:p>
    <w:p w:rsidR="001A0983" w:rsidRPr="007B3D3D" w:rsidRDefault="005C5B0A" w:rsidP="001A0983">
      <w:pPr>
        <w:numPr>
          <w:ilvl w:val="0"/>
          <w:numId w:val="14"/>
        </w:numPr>
        <w:jc w:val="both"/>
        <w:rPr>
          <w:color w:val="000000"/>
        </w:rPr>
      </w:pPr>
      <w:r>
        <w:rPr>
          <w:color w:val="000000"/>
        </w:rPr>
        <w:t>I</w:t>
      </w:r>
      <w:r w:rsidR="007B3D3D" w:rsidRPr="007B3D3D">
        <w:rPr>
          <w:color w:val="000000"/>
        </w:rPr>
        <w:t>n FY 2017</w:t>
      </w:r>
      <w:r w:rsidR="00EC6237" w:rsidRPr="007B3D3D">
        <w:rPr>
          <w:color w:val="000000"/>
        </w:rPr>
        <w:t xml:space="preserve"> DHCD will a</w:t>
      </w:r>
      <w:r w:rsidR="007B3D3D" w:rsidRPr="007B3D3D">
        <w:rPr>
          <w:color w:val="000000"/>
        </w:rPr>
        <w:t xml:space="preserve">ccept </w:t>
      </w:r>
      <w:r w:rsidR="009E175E">
        <w:rPr>
          <w:color w:val="000000"/>
        </w:rPr>
        <w:t xml:space="preserve">Massachusetts </w:t>
      </w:r>
      <w:r w:rsidR="007B3D3D" w:rsidRPr="007B3D3D">
        <w:rPr>
          <w:color w:val="000000"/>
        </w:rPr>
        <w:t>D</w:t>
      </w:r>
      <w:r w:rsidR="000D161A">
        <w:rPr>
          <w:color w:val="000000"/>
        </w:rPr>
        <w:t>epartment of Children and Families (D</w:t>
      </w:r>
      <w:r w:rsidR="007B3D3D" w:rsidRPr="007B3D3D">
        <w:rPr>
          <w:color w:val="000000"/>
        </w:rPr>
        <w:t>CF</w:t>
      </w:r>
      <w:r w:rsidR="000D161A">
        <w:rPr>
          <w:color w:val="000000"/>
        </w:rPr>
        <w:t>)</w:t>
      </w:r>
      <w:r w:rsidR="007B3D3D" w:rsidRPr="007B3D3D">
        <w:rPr>
          <w:color w:val="000000"/>
        </w:rPr>
        <w:t xml:space="preserve"> referrals to the </w:t>
      </w:r>
      <w:r w:rsidR="000D161A" w:rsidRPr="007B3D3D">
        <w:rPr>
          <w:color w:val="000000"/>
        </w:rPr>
        <w:t xml:space="preserve">Youth Transition to Success </w:t>
      </w:r>
      <w:r w:rsidR="000D161A">
        <w:rPr>
          <w:color w:val="000000"/>
        </w:rPr>
        <w:t>Program (</w:t>
      </w:r>
      <w:r w:rsidR="007B3D3D" w:rsidRPr="007B3D3D">
        <w:rPr>
          <w:color w:val="000000"/>
        </w:rPr>
        <w:t>YTTSP</w:t>
      </w:r>
      <w:r w:rsidR="000D161A">
        <w:rPr>
          <w:color w:val="000000"/>
        </w:rPr>
        <w:t>)</w:t>
      </w:r>
      <w:r w:rsidR="007B3D3D" w:rsidRPr="007B3D3D">
        <w:rPr>
          <w:color w:val="000000"/>
        </w:rPr>
        <w:t xml:space="preserve"> who may not be able to obtain a FUP voucher but who meet all other program requirements. Additionally, DHCD will extend the program to include two additional years to allow YTTSP participants to complete their educational goals. </w:t>
      </w:r>
      <w:r w:rsidR="00EC6237" w:rsidRPr="007B3D3D">
        <w:rPr>
          <w:color w:val="000000"/>
        </w:rPr>
        <w:t xml:space="preserve"> </w:t>
      </w:r>
      <w:r w:rsidR="001A0983" w:rsidRPr="007B3D3D">
        <w:rPr>
          <w:color w:val="000000"/>
        </w:rPr>
        <w:t xml:space="preserve">DHCD will continue to enroll participants in its </w:t>
      </w:r>
      <w:r w:rsidR="009E175E">
        <w:rPr>
          <w:color w:val="000000"/>
        </w:rPr>
        <w:t>YTTP Program in partnership with DCF</w:t>
      </w:r>
      <w:r w:rsidR="001A0983" w:rsidRPr="007B3D3D">
        <w:rPr>
          <w:color w:val="000000"/>
        </w:rPr>
        <w:t xml:space="preserve">. </w:t>
      </w:r>
    </w:p>
    <w:p w:rsidR="007B3D3D" w:rsidRPr="007B3D3D" w:rsidRDefault="007B3D3D" w:rsidP="007B3D3D">
      <w:pPr>
        <w:jc w:val="both"/>
        <w:rPr>
          <w:color w:val="000000"/>
          <w:highlight w:val="yellow"/>
        </w:rPr>
      </w:pPr>
    </w:p>
    <w:p w:rsidR="001A0983" w:rsidRPr="00DA7D52" w:rsidRDefault="001A0983" w:rsidP="00DA7D52">
      <w:pPr>
        <w:numPr>
          <w:ilvl w:val="0"/>
          <w:numId w:val="2"/>
        </w:numPr>
        <w:jc w:val="both"/>
        <w:rPr>
          <w:color w:val="000000"/>
        </w:rPr>
      </w:pPr>
      <w:r w:rsidRPr="007B3D3D">
        <w:rPr>
          <w:color w:val="000000"/>
        </w:rPr>
        <w:t xml:space="preserve">DHCD will continue administering the MTW Owner Incentive Fund in Berkshire County.  The program provides incentives to landlords in support of DHCD and Commonwealth goals including: expanding housing opportunities in underserved areas; improving the quality of housing units under lease; and, increasing the number of units accessible to households with disabled members. </w:t>
      </w:r>
      <w:r w:rsidR="00DA7D52">
        <w:rPr>
          <w:color w:val="000000"/>
        </w:rPr>
        <w:t xml:space="preserve">DHCD continues to consider expanding the program to other regions, particularly to encourage new landlords to join the program and to increase access to high opportunity neighborhoods. </w:t>
      </w:r>
    </w:p>
    <w:p w:rsidR="001A0983" w:rsidRPr="00D220CE" w:rsidRDefault="001A0983" w:rsidP="001A0983">
      <w:pPr>
        <w:ind w:left="720"/>
        <w:jc w:val="both"/>
        <w:rPr>
          <w:color w:val="000000"/>
          <w:highlight w:val="yellow"/>
        </w:rPr>
      </w:pPr>
    </w:p>
    <w:p w:rsidR="001A0983" w:rsidRPr="00C51094" w:rsidRDefault="001A0983" w:rsidP="00C51094">
      <w:pPr>
        <w:numPr>
          <w:ilvl w:val="0"/>
          <w:numId w:val="2"/>
        </w:numPr>
        <w:jc w:val="both"/>
        <w:rPr>
          <w:color w:val="000000"/>
        </w:rPr>
      </w:pPr>
      <w:r w:rsidRPr="00C51094">
        <w:rPr>
          <w:color w:val="000000"/>
        </w:rPr>
        <w:t xml:space="preserve">Previously approved MTW activities related to reasonable rent, biennial recertifications and asset self-certification will continue to be implemented.  These initiatives are designed to support administrative efficiency while promoting family economic self-sufficiency. </w:t>
      </w:r>
    </w:p>
    <w:p w:rsidR="001A0983" w:rsidRPr="00C51094" w:rsidRDefault="001A0983" w:rsidP="001A0983">
      <w:pPr>
        <w:jc w:val="both"/>
        <w:rPr>
          <w:color w:val="000000"/>
        </w:rPr>
      </w:pPr>
    </w:p>
    <w:p w:rsidR="001A0983" w:rsidRPr="00C51094" w:rsidRDefault="001A0983" w:rsidP="001A0983">
      <w:pPr>
        <w:jc w:val="both"/>
        <w:rPr>
          <w:color w:val="000000"/>
        </w:rPr>
      </w:pPr>
      <w:r w:rsidRPr="00C51094">
        <w:rPr>
          <w:color w:val="000000"/>
        </w:rPr>
        <w:t>Over the course of the coming year, DHCD will continue to explore new initiatives that will further the MTW statutory objectives and DHCD</w:t>
      </w:r>
      <w:r w:rsidR="009E175E">
        <w:rPr>
          <w:color w:val="000000"/>
        </w:rPr>
        <w:t>’s long-term MTW goals.</w:t>
      </w:r>
      <w:r w:rsidRPr="00C51094">
        <w:rPr>
          <w:color w:val="000000"/>
        </w:rPr>
        <w:t xml:space="preserve"> </w:t>
      </w:r>
      <w:r w:rsidR="00C51094" w:rsidRPr="00C51094">
        <w:rPr>
          <w:color w:val="000000"/>
        </w:rPr>
        <w:t xml:space="preserve"> </w:t>
      </w:r>
      <w:r w:rsidRPr="00C51094">
        <w:rPr>
          <w:color w:val="000000"/>
        </w:rPr>
        <w:t>DHCD will continue to meet regularly with its network of RAA contractors to discuss ongoing, new and planned MTW initiatives.  Ongoing collaborative efforts with</w:t>
      </w:r>
      <w:r w:rsidR="00F43E09">
        <w:rPr>
          <w:color w:val="000000"/>
        </w:rPr>
        <w:t xml:space="preserve"> the RAAs will continue to focus</w:t>
      </w:r>
      <w:r w:rsidRPr="00C51094">
        <w:rPr>
          <w:color w:val="000000"/>
        </w:rPr>
        <w:t xml:space="preserve"> on enhancing quality control programs, upgrading the skills and qualifications of program staff, and improving customer service for applicants, program participants and property owners.  </w:t>
      </w:r>
    </w:p>
    <w:p w:rsidR="001A0983" w:rsidRPr="001A0983" w:rsidRDefault="001A0983" w:rsidP="001A0983">
      <w:pPr>
        <w:rPr>
          <w:color w:val="000000"/>
        </w:rPr>
      </w:pPr>
    </w:p>
    <w:p w:rsidR="001A0983" w:rsidRPr="001A0983" w:rsidRDefault="001A0983" w:rsidP="007E68D3">
      <w:pPr>
        <w:pStyle w:val="Heading3"/>
        <w:numPr>
          <w:ilvl w:val="0"/>
          <w:numId w:val="47"/>
        </w:numPr>
      </w:pPr>
      <w:bookmarkStart w:id="3" w:name="_Toc444496084"/>
      <w:r w:rsidRPr="001A0983">
        <w:t>Overview of Long Term Goals</w:t>
      </w:r>
      <w:bookmarkEnd w:id="3"/>
    </w:p>
    <w:p w:rsidR="001A0983" w:rsidRDefault="001A0983" w:rsidP="001A0983"/>
    <w:p w:rsidR="00A469EC" w:rsidRPr="00300907" w:rsidRDefault="00A469EC" w:rsidP="00A469EC">
      <w:pPr>
        <w:jc w:val="both"/>
      </w:pPr>
      <w:r w:rsidRPr="00300907">
        <w:t xml:space="preserve">As documented in prior Annual Plans and Reports, DHCD’s participation in the MTW program supports a wide range of positive housing and supportive service outcomes for thousands of participating low-income households, including families with children, seniors and people with disabilities.  The programmatic flexibility afforded by MTW continues to be an important component of the Commonwealth’s overall housing strategy.  The extension of the MTW Agreement until 2028 will ensure continuity of this valuable set of program tools and resources.  </w:t>
      </w:r>
    </w:p>
    <w:p w:rsidR="00A469EC" w:rsidRPr="00300907" w:rsidRDefault="00A469EC" w:rsidP="00A469EC">
      <w:pPr>
        <w:jc w:val="both"/>
      </w:pPr>
    </w:p>
    <w:p w:rsidR="00A469EC" w:rsidRPr="00300907" w:rsidRDefault="00A469EC" w:rsidP="00A469EC">
      <w:pPr>
        <w:jc w:val="both"/>
      </w:pPr>
      <w:r w:rsidRPr="00300907">
        <w:t>DHCD’s long-term MTW strategy is designed to demonstrate that: 1) Housing stabilization can be the foundation for economic self-sufficiency for extremely and very low-income households; and, 2) Administrative costs savings can be redirected to provide meaningful assistance and, potentially, subsidies to additional program participants and owners.  DHCD believes that affordable housing can provide the foundation that allows extremely and very low-income households to enter the economic mainstream and access good jobs and education.  Maximizing the value of limited federal program dollars to help families achieve important economic goals, enabling them to move on so that program dollars can help serve additional families is a key goal.</w:t>
      </w:r>
    </w:p>
    <w:p w:rsidR="00A469EC" w:rsidRPr="00300907" w:rsidRDefault="00A469EC" w:rsidP="00A469EC">
      <w:pPr>
        <w:jc w:val="both"/>
      </w:pPr>
    </w:p>
    <w:p w:rsidR="00A469EC" w:rsidRPr="00300907" w:rsidRDefault="00A469EC" w:rsidP="00A469EC">
      <w:pPr>
        <w:jc w:val="both"/>
      </w:pPr>
      <w:r w:rsidRPr="00300907">
        <w:t>Additional principles that continue to guide DHCD’s MTW strategy include:</w:t>
      </w:r>
    </w:p>
    <w:p w:rsidR="00A469EC" w:rsidRPr="00300907" w:rsidRDefault="00A469EC" w:rsidP="00A469EC">
      <w:pPr>
        <w:jc w:val="both"/>
      </w:pPr>
    </w:p>
    <w:p w:rsidR="00A469EC" w:rsidRPr="00300907" w:rsidRDefault="00A469EC" w:rsidP="00A469EC">
      <w:pPr>
        <w:numPr>
          <w:ilvl w:val="0"/>
          <w:numId w:val="26"/>
        </w:numPr>
        <w:jc w:val="both"/>
      </w:pPr>
      <w:r w:rsidRPr="00300907">
        <w:t>MTW activities must relate to one or more of the three statutory objectives, i.e. reducing cost and/or promoting administrative efficiency, increasing housing choice, and supporting families in achieving economic self-sufficiency.</w:t>
      </w:r>
    </w:p>
    <w:p w:rsidR="00A469EC" w:rsidRPr="00300907" w:rsidRDefault="00A469EC" w:rsidP="00A469EC">
      <w:pPr>
        <w:ind w:firstLine="60"/>
        <w:jc w:val="both"/>
      </w:pPr>
    </w:p>
    <w:p w:rsidR="00A469EC" w:rsidRPr="00300907" w:rsidRDefault="00A469EC" w:rsidP="00A469EC">
      <w:pPr>
        <w:numPr>
          <w:ilvl w:val="0"/>
          <w:numId w:val="26"/>
        </w:numPr>
        <w:jc w:val="both"/>
      </w:pPr>
      <w:r w:rsidRPr="00300907">
        <w:t>MTW flexibility will be utilized to promote tighter linkages and synergy between the HCV program and other related Commonwealth programs and policy goals such as preve</w:t>
      </w:r>
      <w:r>
        <w:t xml:space="preserve">nting or reducing homelessness; </w:t>
      </w:r>
      <w:r w:rsidRPr="00300907">
        <w:t xml:space="preserve">supporting self-sufficiency and economic independence initiatives; </w:t>
      </w:r>
      <w:r>
        <w:t>preserving and expanding</w:t>
      </w:r>
      <w:r w:rsidRPr="00300907">
        <w:t xml:space="preserve"> proj</w:t>
      </w:r>
      <w:r>
        <w:t>ect-based affordable housing</w:t>
      </w:r>
      <w:r w:rsidRPr="00300907">
        <w:t xml:space="preserve">; supporting those who have one or more disabilities; and stabilizing neighborhoods. </w:t>
      </w:r>
      <w:r>
        <w:t xml:space="preserve"> </w:t>
      </w:r>
      <w:r w:rsidRPr="00300907">
        <w:t>DHCD will also consider the goals of the MTW Annual Plan in the context of the Consolidated Plan</w:t>
      </w:r>
      <w:r>
        <w:t xml:space="preserve"> and as a resource and</w:t>
      </w:r>
      <w:r w:rsidRPr="00300907">
        <w:t xml:space="preserve"> tool to Affirmatively Further Fair Housing Opportunities.   </w:t>
      </w:r>
    </w:p>
    <w:p w:rsidR="00A469EC" w:rsidRPr="00300907" w:rsidRDefault="00A469EC" w:rsidP="00A469EC">
      <w:pPr>
        <w:jc w:val="both"/>
      </w:pPr>
    </w:p>
    <w:p w:rsidR="00A469EC" w:rsidRPr="00300907" w:rsidRDefault="00A469EC" w:rsidP="00A469EC">
      <w:pPr>
        <w:numPr>
          <w:ilvl w:val="0"/>
          <w:numId w:val="26"/>
        </w:numPr>
        <w:jc w:val="both"/>
      </w:pPr>
      <w:r w:rsidRPr="00300907">
        <w:t>By identifying and addressing administrative efficiency opportunities, MTW flexibility will be used wherever feasible to increase the number of extremely and very low-income households served and the overall quality of leased housing units.</w:t>
      </w:r>
    </w:p>
    <w:p w:rsidR="00A469EC" w:rsidRPr="00300907" w:rsidRDefault="00A469EC" w:rsidP="00A469EC">
      <w:pPr>
        <w:jc w:val="both"/>
      </w:pPr>
    </w:p>
    <w:p w:rsidR="00A469EC" w:rsidRPr="00300907" w:rsidRDefault="00A469EC" w:rsidP="00A469EC">
      <w:pPr>
        <w:numPr>
          <w:ilvl w:val="0"/>
          <w:numId w:val="26"/>
        </w:numPr>
        <w:jc w:val="both"/>
      </w:pPr>
      <w:r w:rsidRPr="00300907">
        <w:t>New MTW program initiatives will respond to differences among regional and local housing markets.</w:t>
      </w:r>
    </w:p>
    <w:p w:rsidR="00A469EC" w:rsidRPr="00300907" w:rsidRDefault="00A469EC" w:rsidP="00A469EC">
      <w:pPr>
        <w:jc w:val="both"/>
      </w:pPr>
    </w:p>
    <w:p w:rsidR="00A469EC" w:rsidRDefault="00A469EC" w:rsidP="00A469EC">
      <w:pPr>
        <w:jc w:val="both"/>
      </w:pPr>
      <w:r w:rsidRPr="00300907">
        <w:t>DHCD is committed to continuing to provide opportuni</w:t>
      </w:r>
      <w:r>
        <w:t xml:space="preserve">ties for broad-based input </w:t>
      </w:r>
      <w:r w:rsidRPr="00300907">
        <w:t>from its RAA contractors, program participants</w:t>
      </w:r>
      <w:r>
        <w:t>, housing advocates</w:t>
      </w:r>
      <w:r w:rsidRPr="00300907">
        <w:t xml:space="preserve"> and other stakeholders to inform the design of DHCD’s MTW initiatives.</w:t>
      </w:r>
    </w:p>
    <w:p w:rsidR="00A469EC" w:rsidRDefault="00A469EC" w:rsidP="001A0983"/>
    <w:p w:rsidR="00A469EC" w:rsidRPr="001A0983" w:rsidRDefault="00A469EC" w:rsidP="001A0983"/>
    <w:p w:rsidR="00A469EC" w:rsidRDefault="00A469EC">
      <w:pPr>
        <w:rPr>
          <w:b/>
          <w:bCs/>
          <w:color w:val="000000"/>
          <w:kern w:val="32"/>
          <w:sz w:val="28"/>
          <w:szCs w:val="32"/>
        </w:rPr>
      </w:pPr>
      <w:bookmarkStart w:id="4" w:name="_Toc415115896"/>
      <w:bookmarkStart w:id="5" w:name="_Toc444496085"/>
      <w:bookmarkEnd w:id="1"/>
      <w:r>
        <w:br w:type="page"/>
      </w:r>
    </w:p>
    <w:p w:rsidR="00111F4B" w:rsidRPr="003F655B" w:rsidRDefault="00A91BB8" w:rsidP="003F655B">
      <w:pPr>
        <w:pStyle w:val="Heading1"/>
        <w:rPr>
          <w:rFonts w:ascii="Times New Roman" w:hAnsi="Times New Roman"/>
          <w:szCs w:val="28"/>
        </w:rPr>
      </w:pPr>
      <w:r w:rsidRPr="00961873">
        <w:rPr>
          <w:rFonts w:ascii="Times New Roman" w:hAnsi="Times New Roman"/>
        </w:rPr>
        <w:t xml:space="preserve">II. </w:t>
      </w:r>
      <w:r w:rsidR="00111F4B" w:rsidRPr="00961873">
        <w:rPr>
          <w:rFonts w:ascii="Times New Roman" w:hAnsi="Times New Roman"/>
        </w:rPr>
        <w:t>General Housing Authority Operating Information</w:t>
      </w:r>
      <w:bookmarkEnd w:id="4"/>
      <w:bookmarkEnd w:id="5"/>
    </w:p>
    <w:p w:rsidR="0016151B" w:rsidRPr="003F655B" w:rsidRDefault="0016151B" w:rsidP="000020A5">
      <w:pPr>
        <w:rPr>
          <w:color w:val="000000"/>
          <w:highlight w:val="yellow"/>
        </w:rPr>
      </w:pPr>
    </w:p>
    <w:p w:rsidR="0016151B" w:rsidRPr="00961873" w:rsidRDefault="0016151B" w:rsidP="00180053">
      <w:pPr>
        <w:pStyle w:val="Heading3"/>
        <w:numPr>
          <w:ilvl w:val="0"/>
          <w:numId w:val="22"/>
        </w:numPr>
      </w:pPr>
      <w:bookmarkStart w:id="6" w:name="_Toc415115897"/>
      <w:bookmarkStart w:id="7" w:name="_Toc444496086"/>
      <w:r w:rsidRPr="00961873">
        <w:t>Housing Stock</w:t>
      </w:r>
      <w:r w:rsidR="00111F4B" w:rsidRPr="00961873">
        <w:t xml:space="preserve"> Information</w:t>
      </w:r>
      <w:bookmarkEnd w:id="6"/>
      <w:bookmarkEnd w:id="7"/>
    </w:p>
    <w:p w:rsidR="0016151B" w:rsidRPr="003F655B" w:rsidRDefault="0016151B" w:rsidP="000020A5">
      <w:pPr>
        <w:rPr>
          <w:color w:val="000000"/>
          <w:highlight w:val="yellow"/>
        </w:rPr>
      </w:pPr>
    </w:p>
    <w:p w:rsidR="00A74395" w:rsidRPr="003F655B" w:rsidRDefault="00877766" w:rsidP="00405CC4">
      <w:pPr>
        <w:jc w:val="both"/>
        <w:rPr>
          <w:color w:val="000000"/>
        </w:rPr>
      </w:pPr>
      <w:r>
        <w:rPr>
          <w:color w:val="000000"/>
        </w:rPr>
        <w:t>D</w:t>
      </w:r>
      <w:r w:rsidR="00396696" w:rsidRPr="003F655B">
        <w:rPr>
          <w:color w:val="000000"/>
        </w:rPr>
        <w:t>HCD does not administer a federal public housing program</w:t>
      </w:r>
      <w:r w:rsidR="004D530D">
        <w:rPr>
          <w:color w:val="000000"/>
        </w:rPr>
        <w:t>.</w:t>
      </w:r>
    </w:p>
    <w:p w:rsidR="00111F4B" w:rsidRPr="003F655B" w:rsidRDefault="00111F4B" w:rsidP="000020A5">
      <w:pPr>
        <w:rPr>
          <w:color w:val="000000"/>
          <w:highlight w:val="yellow"/>
        </w:rPr>
      </w:pPr>
    </w:p>
    <w:p w:rsidR="004D530D" w:rsidRDefault="004D530D" w:rsidP="00111F4B">
      <w:pPr>
        <w:rPr>
          <w:b/>
          <w:sz w:val="22"/>
          <w:szCs w:val="28"/>
        </w:rPr>
      </w:pPr>
      <w:r>
        <w:rPr>
          <w:b/>
          <w:sz w:val="22"/>
          <w:szCs w:val="28"/>
        </w:rPr>
        <w:t>Planned New Public Housing Units to be Added During the Fiscal Year</w:t>
      </w:r>
    </w:p>
    <w:p w:rsidR="004D530D" w:rsidRDefault="004D530D" w:rsidP="00111F4B">
      <w:pPr>
        <w:rPr>
          <w:b/>
          <w:sz w:val="22"/>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1230"/>
        <w:gridCol w:w="394"/>
        <w:gridCol w:w="407"/>
        <w:gridCol w:w="394"/>
        <w:gridCol w:w="394"/>
        <w:gridCol w:w="394"/>
        <w:gridCol w:w="394"/>
        <w:gridCol w:w="414"/>
        <w:gridCol w:w="235"/>
        <w:gridCol w:w="725"/>
        <w:gridCol w:w="250"/>
        <w:gridCol w:w="277"/>
        <w:gridCol w:w="966"/>
        <w:gridCol w:w="255"/>
        <w:gridCol w:w="1215"/>
        <w:gridCol w:w="1143"/>
      </w:tblGrid>
      <w:tr w:rsidR="004D530D" w:rsidTr="00405CC4">
        <w:trPr>
          <w:trHeight w:val="267"/>
        </w:trPr>
        <w:tc>
          <w:tcPr>
            <w:tcW w:w="1574" w:type="dxa"/>
            <w:gridSpan w:val="2"/>
            <w:tcBorders>
              <w:top w:val="nil"/>
              <w:left w:val="nil"/>
              <w:bottom w:val="single" w:sz="4" w:space="0" w:color="auto"/>
              <w:right w:val="nil"/>
            </w:tcBorders>
          </w:tcPr>
          <w:p w:rsidR="004D530D" w:rsidRPr="00FE4CFC" w:rsidRDefault="004D530D" w:rsidP="00933122">
            <w:pPr>
              <w:rPr>
                <w:sz w:val="16"/>
                <w:szCs w:val="16"/>
              </w:rPr>
            </w:pPr>
          </w:p>
        </w:tc>
        <w:tc>
          <w:tcPr>
            <w:tcW w:w="2432" w:type="dxa"/>
            <w:gridSpan w:val="6"/>
            <w:tcBorders>
              <w:top w:val="nil"/>
              <w:left w:val="nil"/>
              <w:bottom w:val="single" w:sz="4" w:space="0" w:color="auto"/>
              <w:right w:val="nil"/>
            </w:tcBorders>
          </w:tcPr>
          <w:p w:rsidR="004D530D" w:rsidRPr="00FE4CFC" w:rsidRDefault="004D530D" w:rsidP="00933122">
            <w:pPr>
              <w:rPr>
                <w:sz w:val="16"/>
                <w:szCs w:val="16"/>
              </w:rPr>
            </w:pPr>
          </w:p>
        </w:tc>
        <w:tc>
          <w:tcPr>
            <w:tcW w:w="655" w:type="dxa"/>
            <w:gridSpan w:val="2"/>
            <w:tcBorders>
              <w:top w:val="nil"/>
              <w:left w:val="nil"/>
              <w:bottom w:val="nil"/>
              <w:right w:val="nil"/>
            </w:tcBorders>
          </w:tcPr>
          <w:p w:rsidR="004D530D" w:rsidRPr="00FE4CFC" w:rsidRDefault="004D530D" w:rsidP="00933122">
            <w:pPr>
              <w:rPr>
                <w:sz w:val="16"/>
                <w:szCs w:val="16"/>
              </w:rPr>
            </w:pPr>
          </w:p>
        </w:tc>
        <w:tc>
          <w:tcPr>
            <w:tcW w:w="740" w:type="dxa"/>
            <w:tcBorders>
              <w:top w:val="nil"/>
              <w:left w:val="nil"/>
              <w:bottom w:val="single" w:sz="4" w:space="0" w:color="auto"/>
              <w:right w:val="nil"/>
            </w:tcBorders>
          </w:tcPr>
          <w:p w:rsidR="004D530D" w:rsidRPr="00FE4CFC" w:rsidRDefault="004D530D" w:rsidP="00933122">
            <w:pPr>
              <w:rPr>
                <w:sz w:val="16"/>
                <w:szCs w:val="16"/>
              </w:rPr>
            </w:pPr>
          </w:p>
        </w:tc>
        <w:tc>
          <w:tcPr>
            <w:tcW w:w="253" w:type="dxa"/>
            <w:tcBorders>
              <w:top w:val="nil"/>
              <w:left w:val="nil"/>
              <w:bottom w:val="nil"/>
              <w:right w:val="nil"/>
            </w:tcBorders>
          </w:tcPr>
          <w:p w:rsidR="004D530D" w:rsidRPr="00FE4CFC" w:rsidRDefault="004D530D" w:rsidP="00933122">
            <w:pPr>
              <w:rPr>
                <w:sz w:val="16"/>
                <w:szCs w:val="16"/>
              </w:rPr>
            </w:pPr>
          </w:p>
        </w:tc>
        <w:tc>
          <w:tcPr>
            <w:tcW w:w="1272" w:type="dxa"/>
            <w:gridSpan w:val="2"/>
            <w:tcBorders>
              <w:top w:val="nil"/>
              <w:left w:val="nil"/>
              <w:bottom w:val="single" w:sz="4" w:space="0" w:color="auto"/>
              <w:right w:val="nil"/>
            </w:tcBorders>
          </w:tcPr>
          <w:p w:rsidR="004D530D" w:rsidRPr="00FE4CFC" w:rsidRDefault="004D530D" w:rsidP="00933122">
            <w:pPr>
              <w:rPr>
                <w:sz w:val="16"/>
                <w:szCs w:val="16"/>
              </w:rPr>
            </w:pPr>
          </w:p>
        </w:tc>
        <w:tc>
          <w:tcPr>
            <w:tcW w:w="258" w:type="dxa"/>
            <w:tcBorders>
              <w:top w:val="nil"/>
              <w:left w:val="nil"/>
              <w:bottom w:val="nil"/>
              <w:right w:val="single" w:sz="4" w:space="0" w:color="auto"/>
            </w:tcBorders>
          </w:tcPr>
          <w:p w:rsidR="004D530D" w:rsidRPr="00FE4CFC" w:rsidRDefault="004D530D" w:rsidP="00933122">
            <w:pPr>
              <w:rPr>
                <w:sz w:val="16"/>
                <w:szCs w:val="16"/>
              </w:rPr>
            </w:pPr>
          </w:p>
        </w:tc>
        <w:tc>
          <w:tcPr>
            <w:tcW w:w="2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530D" w:rsidRPr="00D33B25" w:rsidRDefault="004D530D" w:rsidP="00933122">
            <w:pPr>
              <w:jc w:val="center"/>
              <w:rPr>
                <w:b/>
                <w:sz w:val="16"/>
                <w:szCs w:val="16"/>
              </w:rPr>
            </w:pPr>
            <w:r w:rsidRPr="00D33B25">
              <w:rPr>
                <w:b/>
                <w:sz w:val="16"/>
                <w:szCs w:val="16"/>
                <w:shd w:val="clear" w:color="auto" w:fill="D9D9D9" w:themeFill="background1" w:themeFillShade="D9"/>
              </w:rPr>
              <w:t># of UFAS Un</w:t>
            </w:r>
            <w:r w:rsidRPr="00D33B25">
              <w:rPr>
                <w:b/>
                <w:sz w:val="16"/>
                <w:szCs w:val="16"/>
              </w:rPr>
              <w:t>its</w:t>
            </w:r>
          </w:p>
        </w:tc>
      </w:tr>
      <w:tr w:rsidR="00405CC4" w:rsidTr="00405CC4">
        <w:trPr>
          <w:trHeight w:val="267"/>
        </w:trPr>
        <w:tc>
          <w:tcPr>
            <w:tcW w:w="15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933122">
            <w:pPr>
              <w:rPr>
                <w:b/>
                <w:sz w:val="16"/>
                <w:szCs w:val="16"/>
              </w:rPr>
            </w:pPr>
            <w:r w:rsidRPr="00D33B25">
              <w:rPr>
                <w:b/>
                <w:sz w:val="16"/>
                <w:szCs w:val="16"/>
              </w:rPr>
              <w:t>AMP Name and Number</w:t>
            </w:r>
          </w:p>
        </w:tc>
        <w:tc>
          <w:tcPr>
            <w:tcW w:w="28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405CC4">
            <w:pPr>
              <w:jc w:val="center"/>
              <w:rPr>
                <w:b/>
                <w:sz w:val="16"/>
                <w:szCs w:val="16"/>
              </w:rPr>
            </w:pPr>
            <w:r w:rsidRPr="00D33B25">
              <w:rPr>
                <w:b/>
                <w:sz w:val="16"/>
                <w:szCs w:val="16"/>
              </w:rPr>
              <w:t>Bedroom Size</w:t>
            </w:r>
          </w:p>
        </w:tc>
        <w:tc>
          <w:tcPr>
            <w:tcW w:w="236" w:type="dxa"/>
            <w:tcBorders>
              <w:top w:val="nil"/>
              <w:left w:val="nil"/>
              <w:bottom w:val="nil"/>
              <w:right w:val="single" w:sz="4" w:space="0" w:color="auto"/>
            </w:tcBorders>
          </w:tcPr>
          <w:p w:rsidR="00405CC4" w:rsidRPr="00FE4CFC" w:rsidRDefault="00405CC4" w:rsidP="00933122">
            <w:pPr>
              <w:rPr>
                <w:sz w:val="16"/>
                <w:szCs w:val="16"/>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405CC4">
            <w:pPr>
              <w:jc w:val="center"/>
              <w:rPr>
                <w:b/>
                <w:sz w:val="16"/>
                <w:szCs w:val="16"/>
              </w:rPr>
            </w:pPr>
            <w:r w:rsidRPr="00D33B25">
              <w:rPr>
                <w:b/>
                <w:sz w:val="16"/>
                <w:szCs w:val="16"/>
              </w:rPr>
              <w:t>Total Units</w:t>
            </w:r>
          </w:p>
        </w:tc>
        <w:tc>
          <w:tcPr>
            <w:tcW w:w="253" w:type="dxa"/>
            <w:tcBorders>
              <w:top w:val="nil"/>
              <w:left w:val="single" w:sz="4" w:space="0" w:color="auto"/>
              <w:bottom w:val="nil"/>
              <w:right w:val="single" w:sz="4" w:space="0" w:color="auto"/>
            </w:tcBorders>
            <w:shd w:val="clear" w:color="auto" w:fill="auto"/>
          </w:tcPr>
          <w:p w:rsidR="00405CC4" w:rsidRPr="00D33B25" w:rsidRDefault="00405CC4" w:rsidP="00405CC4">
            <w:pPr>
              <w:jc w:val="center"/>
              <w:rPr>
                <w:b/>
                <w:sz w:val="16"/>
                <w:szCs w:val="16"/>
              </w:rPr>
            </w:pPr>
          </w:p>
        </w:tc>
        <w:tc>
          <w:tcPr>
            <w:tcW w:w="127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405CC4">
            <w:pPr>
              <w:jc w:val="center"/>
              <w:rPr>
                <w:b/>
                <w:sz w:val="16"/>
                <w:szCs w:val="16"/>
              </w:rPr>
            </w:pPr>
            <w:r w:rsidRPr="00D33B25">
              <w:rPr>
                <w:b/>
                <w:sz w:val="16"/>
                <w:szCs w:val="16"/>
              </w:rPr>
              <w:t>Population Type</w:t>
            </w:r>
          </w:p>
        </w:tc>
        <w:tc>
          <w:tcPr>
            <w:tcW w:w="258" w:type="dxa"/>
            <w:tcBorders>
              <w:top w:val="nil"/>
              <w:left w:val="single" w:sz="4" w:space="0" w:color="auto"/>
              <w:bottom w:val="nil"/>
              <w:right w:val="single" w:sz="4" w:space="0" w:color="auto"/>
            </w:tcBorders>
          </w:tcPr>
          <w:p w:rsidR="00405CC4" w:rsidRPr="00FE4CFC" w:rsidRDefault="00405CC4" w:rsidP="00933122">
            <w:pPr>
              <w:rPr>
                <w:sz w:val="16"/>
                <w:szCs w:val="16"/>
              </w:rPr>
            </w:pPr>
          </w:p>
        </w:tc>
        <w:tc>
          <w:tcPr>
            <w:tcW w:w="12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405CC4">
            <w:pPr>
              <w:jc w:val="center"/>
              <w:rPr>
                <w:b/>
                <w:sz w:val="16"/>
                <w:szCs w:val="16"/>
              </w:rPr>
            </w:pPr>
            <w:r w:rsidRPr="00D33B25">
              <w:rPr>
                <w:b/>
                <w:sz w:val="16"/>
                <w:szCs w:val="16"/>
              </w:rPr>
              <w:t>Fully Accessible**</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5CC4" w:rsidRPr="00D33B25" w:rsidRDefault="00405CC4" w:rsidP="00405CC4">
            <w:pPr>
              <w:jc w:val="center"/>
              <w:rPr>
                <w:b/>
                <w:sz w:val="16"/>
                <w:szCs w:val="16"/>
              </w:rPr>
            </w:pPr>
            <w:r w:rsidRPr="00D33B25">
              <w:rPr>
                <w:b/>
                <w:sz w:val="16"/>
                <w:szCs w:val="16"/>
              </w:rPr>
              <w:t>Adaptable</w:t>
            </w:r>
          </w:p>
        </w:tc>
      </w:tr>
      <w:tr w:rsidR="004D530D" w:rsidTr="00405CC4">
        <w:trPr>
          <w:trHeight w:val="197"/>
        </w:trPr>
        <w:tc>
          <w:tcPr>
            <w:tcW w:w="157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530D" w:rsidRPr="00FE4CFC" w:rsidRDefault="004D530D" w:rsidP="00933122">
            <w:pPr>
              <w:rPr>
                <w:sz w:val="16"/>
                <w:szCs w:val="16"/>
              </w:rPr>
            </w:pPr>
          </w:p>
        </w:tc>
        <w:tc>
          <w:tcPr>
            <w:tcW w:w="403"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sidRPr="00FE4CFC">
              <w:rPr>
                <w:sz w:val="14"/>
                <w:szCs w:val="14"/>
              </w:rPr>
              <w:t>0</w:t>
            </w:r>
          </w:p>
        </w:tc>
        <w:tc>
          <w:tcPr>
            <w:tcW w:w="417"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sidRPr="00FE4CFC">
              <w:rPr>
                <w:sz w:val="14"/>
                <w:szCs w:val="14"/>
              </w:rPr>
              <w:t>1</w:t>
            </w:r>
          </w:p>
        </w:tc>
        <w:tc>
          <w:tcPr>
            <w:tcW w:w="403"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sidRPr="00FE4CFC">
              <w:rPr>
                <w:sz w:val="14"/>
                <w:szCs w:val="14"/>
              </w:rPr>
              <w:t>2</w:t>
            </w:r>
          </w:p>
        </w:tc>
        <w:tc>
          <w:tcPr>
            <w:tcW w:w="403"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sidRPr="00FE4CFC">
              <w:rPr>
                <w:sz w:val="14"/>
                <w:szCs w:val="14"/>
              </w:rPr>
              <w:t>3</w:t>
            </w:r>
          </w:p>
        </w:tc>
        <w:tc>
          <w:tcPr>
            <w:tcW w:w="403"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sidRPr="00FE4CFC">
              <w:rPr>
                <w:sz w:val="14"/>
                <w:szCs w:val="14"/>
              </w:rPr>
              <w:t>4</w:t>
            </w:r>
          </w:p>
        </w:tc>
        <w:tc>
          <w:tcPr>
            <w:tcW w:w="403"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p>
          <w:p w:rsidR="004D530D" w:rsidRPr="00FE4CFC" w:rsidRDefault="004D530D" w:rsidP="00933122">
            <w:pPr>
              <w:rPr>
                <w:sz w:val="14"/>
                <w:szCs w:val="14"/>
              </w:rPr>
            </w:pPr>
            <w:r>
              <w:rPr>
                <w:sz w:val="14"/>
                <w:szCs w:val="14"/>
              </w:rPr>
              <w:t>5</w:t>
            </w:r>
            <w:r>
              <w:rPr>
                <w:sz w:val="14"/>
                <w:szCs w:val="14"/>
              </w:rPr>
              <w:br/>
            </w:r>
          </w:p>
        </w:tc>
        <w:tc>
          <w:tcPr>
            <w:tcW w:w="419" w:type="dxa"/>
            <w:tcBorders>
              <w:top w:val="single" w:sz="4" w:space="0" w:color="auto"/>
              <w:left w:val="single" w:sz="4" w:space="0" w:color="auto"/>
              <w:bottom w:val="single" w:sz="4" w:space="0" w:color="auto"/>
              <w:right w:val="single" w:sz="4" w:space="0" w:color="auto"/>
            </w:tcBorders>
          </w:tcPr>
          <w:p w:rsidR="004D530D" w:rsidRPr="00FE4CFC" w:rsidRDefault="004D530D" w:rsidP="00933122">
            <w:pPr>
              <w:rPr>
                <w:sz w:val="14"/>
                <w:szCs w:val="14"/>
              </w:rPr>
            </w:pPr>
            <w:r w:rsidRPr="00FE4CFC">
              <w:rPr>
                <w:sz w:val="14"/>
                <w:szCs w:val="14"/>
              </w:rPr>
              <w:t xml:space="preserve">  6+</w:t>
            </w:r>
          </w:p>
        </w:tc>
        <w:tc>
          <w:tcPr>
            <w:tcW w:w="236" w:type="dxa"/>
            <w:tcBorders>
              <w:top w:val="nil"/>
              <w:left w:val="single" w:sz="4" w:space="0" w:color="auto"/>
              <w:bottom w:val="nil"/>
              <w:right w:val="single" w:sz="4" w:space="0" w:color="auto"/>
            </w:tcBorders>
          </w:tcPr>
          <w:p w:rsidR="004D530D" w:rsidRPr="00FE4CFC" w:rsidRDefault="004D530D" w:rsidP="00933122">
            <w:pPr>
              <w:rPr>
                <w:sz w:val="16"/>
                <w:szCs w:val="16"/>
              </w:rPr>
            </w:pPr>
          </w:p>
        </w:tc>
        <w:tc>
          <w:tcPr>
            <w:tcW w:w="7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530D" w:rsidRPr="00FE4CFC" w:rsidRDefault="004D530D" w:rsidP="00933122">
            <w:pPr>
              <w:rPr>
                <w:sz w:val="16"/>
                <w:szCs w:val="16"/>
              </w:rPr>
            </w:pPr>
          </w:p>
        </w:tc>
        <w:tc>
          <w:tcPr>
            <w:tcW w:w="253" w:type="dxa"/>
            <w:tcBorders>
              <w:top w:val="nil"/>
              <w:left w:val="single" w:sz="4" w:space="0" w:color="auto"/>
              <w:bottom w:val="nil"/>
              <w:right w:val="single" w:sz="4" w:space="0" w:color="auto"/>
            </w:tcBorders>
          </w:tcPr>
          <w:p w:rsidR="004D530D" w:rsidRPr="00FE4CFC" w:rsidRDefault="004D530D" w:rsidP="00933122">
            <w:pPr>
              <w:rPr>
                <w:sz w:val="16"/>
                <w:szCs w:val="16"/>
              </w:rPr>
            </w:pPr>
          </w:p>
        </w:tc>
        <w:tc>
          <w:tcPr>
            <w:tcW w:w="1272"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4D530D" w:rsidRPr="00FE4CFC" w:rsidRDefault="004D530D" w:rsidP="00933122">
            <w:pPr>
              <w:rPr>
                <w:sz w:val="16"/>
                <w:szCs w:val="16"/>
              </w:rPr>
            </w:pPr>
          </w:p>
        </w:tc>
        <w:tc>
          <w:tcPr>
            <w:tcW w:w="258" w:type="dxa"/>
            <w:tcBorders>
              <w:top w:val="nil"/>
              <w:left w:val="single" w:sz="4" w:space="0" w:color="auto"/>
              <w:bottom w:val="nil"/>
              <w:right w:val="single" w:sz="4" w:space="0" w:color="auto"/>
            </w:tcBorders>
          </w:tcPr>
          <w:p w:rsidR="004D530D" w:rsidRPr="00FE4CFC" w:rsidRDefault="004D530D" w:rsidP="00933122">
            <w:pPr>
              <w:rPr>
                <w:sz w:val="16"/>
                <w:szCs w:val="16"/>
              </w:rPr>
            </w:pPr>
          </w:p>
        </w:tc>
        <w:tc>
          <w:tcPr>
            <w:tcW w:w="1229" w:type="dxa"/>
            <w:vMerge/>
            <w:tcBorders>
              <w:top w:val="nil"/>
              <w:left w:val="single" w:sz="4" w:space="0" w:color="auto"/>
              <w:bottom w:val="single" w:sz="4" w:space="0" w:color="auto"/>
              <w:right w:val="single" w:sz="4" w:space="0" w:color="auto"/>
            </w:tcBorders>
            <w:shd w:val="clear" w:color="auto" w:fill="D9D9D9" w:themeFill="background1" w:themeFillShade="D9"/>
          </w:tcPr>
          <w:p w:rsidR="004D530D" w:rsidRPr="00FE4CFC" w:rsidRDefault="004D530D" w:rsidP="00933122">
            <w:pPr>
              <w:rPr>
                <w:sz w:val="16"/>
                <w:szCs w:val="16"/>
              </w:rPr>
            </w:pPr>
          </w:p>
        </w:tc>
        <w:tc>
          <w:tcPr>
            <w:tcW w:w="1165" w:type="dxa"/>
            <w:vMerge/>
            <w:tcBorders>
              <w:top w:val="nil"/>
              <w:left w:val="single" w:sz="4" w:space="0" w:color="auto"/>
              <w:bottom w:val="single" w:sz="4" w:space="0" w:color="auto"/>
              <w:right w:val="single" w:sz="4" w:space="0" w:color="auto"/>
            </w:tcBorders>
            <w:shd w:val="clear" w:color="auto" w:fill="D9D9D9" w:themeFill="background1" w:themeFillShade="D9"/>
          </w:tcPr>
          <w:p w:rsidR="004D530D" w:rsidRPr="00FE4CFC" w:rsidRDefault="004D530D" w:rsidP="00933122">
            <w:pPr>
              <w:rPr>
                <w:sz w:val="16"/>
                <w:szCs w:val="16"/>
              </w:rPr>
            </w:pPr>
          </w:p>
        </w:tc>
      </w:tr>
      <w:tr w:rsidR="004D530D" w:rsidTr="00405CC4">
        <w:trPr>
          <w:trHeight w:val="534"/>
        </w:trPr>
        <w:tc>
          <w:tcPr>
            <w:tcW w:w="1574" w:type="dxa"/>
            <w:gridSpan w:val="2"/>
            <w:tcBorders>
              <w:top w:val="single" w:sz="4" w:space="0" w:color="auto"/>
            </w:tcBorders>
            <w:vAlign w:val="center"/>
          </w:tcPr>
          <w:p w:rsidR="004D530D" w:rsidRPr="00F13B32" w:rsidRDefault="004D530D" w:rsidP="00405CC4">
            <w:pPr>
              <w:rPr>
                <w:sz w:val="18"/>
                <w:szCs w:val="18"/>
              </w:rPr>
            </w:pPr>
            <w:r w:rsidRPr="00F13B32">
              <w:rPr>
                <w:sz w:val="18"/>
                <w:szCs w:val="18"/>
              </w:rPr>
              <w:t>N/A</w:t>
            </w:r>
          </w:p>
        </w:tc>
        <w:tc>
          <w:tcPr>
            <w:tcW w:w="403" w:type="dxa"/>
            <w:tcBorders>
              <w:top w:val="single" w:sz="4" w:space="0" w:color="auto"/>
            </w:tcBorders>
            <w:vAlign w:val="center"/>
          </w:tcPr>
          <w:p w:rsidR="004D530D" w:rsidRPr="00F13B32" w:rsidRDefault="004D530D" w:rsidP="00334E54">
            <w:pPr>
              <w:jc w:val="center"/>
              <w:rPr>
                <w:sz w:val="18"/>
                <w:szCs w:val="18"/>
              </w:rPr>
            </w:pPr>
            <w:r w:rsidRPr="00F13B32">
              <w:rPr>
                <w:sz w:val="18"/>
                <w:szCs w:val="18"/>
              </w:rPr>
              <w:t>0</w:t>
            </w:r>
          </w:p>
        </w:tc>
        <w:tc>
          <w:tcPr>
            <w:tcW w:w="417" w:type="dxa"/>
            <w:tcBorders>
              <w:top w:val="single" w:sz="4" w:space="0" w:color="auto"/>
            </w:tcBorders>
            <w:vAlign w:val="center"/>
          </w:tcPr>
          <w:p w:rsidR="004D530D" w:rsidRPr="00F13B32" w:rsidRDefault="004D530D" w:rsidP="00334E54">
            <w:pPr>
              <w:jc w:val="center"/>
              <w:rPr>
                <w:sz w:val="18"/>
                <w:szCs w:val="18"/>
              </w:rPr>
            </w:pPr>
            <w:r w:rsidRPr="00F13B32">
              <w:rPr>
                <w:sz w:val="18"/>
                <w:szCs w:val="18"/>
              </w:rPr>
              <w:t>0</w:t>
            </w:r>
          </w:p>
        </w:tc>
        <w:tc>
          <w:tcPr>
            <w:tcW w:w="403" w:type="dxa"/>
            <w:tcBorders>
              <w:top w:val="single" w:sz="4" w:space="0" w:color="auto"/>
            </w:tcBorders>
            <w:vAlign w:val="center"/>
          </w:tcPr>
          <w:p w:rsidR="004D530D" w:rsidRPr="00F13B32" w:rsidRDefault="004D530D" w:rsidP="00334E54">
            <w:pPr>
              <w:jc w:val="center"/>
              <w:rPr>
                <w:sz w:val="18"/>
                <w:szCs w:val="18"/>
              </w:rPr>
            </w:pPr>
            <w:r w:rsidRPr="00F13B32">
              <w:rPr>
                <w:sz w:val="18"/>
                <w:szCs w:val="18"/>
              </w:rPr>
              <w:t>0</w:t>
            </w:r>
          </w:p>
        </w:tc>
        <w:tc>
          <w:tcPr>
            <w:tcW w:w="403" w:type="dxa"/>
            <w:tcBorders>
              <w:top w:val="single" w:sz="4" w:space="0" w:color="auto"/>
            </w:tcBorders>
            <w:vAlign w:val="center"/>
          </w:tcPr>
          <w:p w:rsidR="004D530D" w:rsidRPr="00F13B32" w:rsidRDefault="004D530D" w:rsidP="00334E54">
            <w:pPr>
              <w:jc w:val="center"/>
              <w:rPr>
                <w:sz w:val="18"/>
                <w:szCs w:val="18"/>
              </w:rPr>
            </w:pPr>
            <w:r w:rsidRPr="00F13B32">
              <w:rPr>
                <w:sz w:val="18"/>
                <w:szCs w:val="18"/>
              </w:rPr>
              <w:t>0</w:t>
            </w:r>
          </w:p>
        </w:tc>
        <w:tc>
          <w:tcPr>
            <w:tcW w:w="403" w:type="dxa"/>
            <w:tcBorders>
              <w:top w:val="single" w:sz="4" w:space="0" w:color="auto"/>
            </w:tcBorders>
            <w:vAlign w:val="center"/>
          </w:tcPr>
          <w:p w:rsidR="004D530D" w:rsidRPr="00F13B32" w:rsidRDefault="004D530D" w:rsidP="00334E54">
            <w:pPr>
              <w:jc w:val="center"/>
              <w:rPr>
                <w:sz w:val="18"/>
                <w:szCs w:val="18"/>
              </w:rPr>
            </w:pPr>
            <w:r w:rsidRPr="00F13B32">
              <w:rPr>
                <w:sz w:val="18"/>
                <w:szCs w:val="18"/>
              </w:rPr>
              <w:t>0</w:t>
            </w:r>
          </w:p>
        </w:tc>
        <w:tc>
          <w:tcPr>
            <w:tcW w:w="403" w:type="dxa"/>
            <w:tcBorders>
              <w:top w:val="single" w:sz="4" w:space="0" w:color="auto"/>
            </w:tcBorders>
            <w:vAlign w:val="center"/>
          </w:tcPr>
          <w:p w:rsidR="004D530D" w:rsidRPr="00F13B32" w:rsidRDefault="004D530D" w:rsidP="00E26DBC">
            <w:pPr>
              <w:jc w:val="center"/>
              <w:rPr>
                <w:sz w:val="18"/>
                <w:szCs w:val="18"/>
              </w:rPr>
            </w:pPr>
            <w:r w:rsidRPr="00F13B32">
              <w:rPr>
                <w:sz w:val="18"/>
                <w:szCs w:val="18"/>
              </w:rPr>
              <w:t>0</w:t>
            </w:r>
          </w:p>
        </w:tc>
        <w:tc>
          <w:tcPr>
            <w:tcW w:w="419" w:type="dxa"/>
            <w:tcBorders>
              <w:top w:val="single" w:sz="4" w:space="0" w:color="auto"/>
            </w:tcBorders>
            <w:vAlign w:val="center"/>
          </w:tcPr>
          <w:p w:rsidR="004D530D" w:rsidRPr="00F13B32" w:rsidRDefault="004D530D" w:rsidP="00E26DBC">
            <w:pPr>
              <w:jc w:val="center"/>
              <w:rPr>
                <w:sz w:val="18"/>
                <w:szCs w:val="18"/>
              </w:rPr>
            </w:pPr>
            <w:r w:rsidRPr="00F13B32">
              <w:rPr>
                <w:sz w:val="18"/>
                <w:szCs w:val="18"/>
              </w:rPr>
              <w:t>0</w:t>
            </w:r>
          </w:p>
        </w:tc>
        <w:tc>
          <w:tcPr>
            <w:tcW w:w="236" w:type="dxa"/>
            <w:tcBorders>
              <w:top w:val="nil"/>
              <w:bottom w:val="nil"/>
            </w:tcBorders>
          </w:tcPr>
          <w:p w:rsidR="004D530D" w:rsidRPr="00F13B32" w:rsidRDefault="004D530D" w:rsidP="00933122">
            <w:pPr>
              <w:rPr>
                <w:sz w:val="18"/>
                <w:szCs w:val="18"/>
              </w:rPr>
            </w:pPr>
          </w:p>
        </w:tc>
        <w:tc>
          <w:tcPr>
            <w:tcW w:w="740" w:type="dxa"/>
            <w:tcBorders>
              <w:top w:val="single" w:sz="4" w:space="0" w:color="auto"/>
            </w:tcBorders>
            <w:shd w:val="clear" w:color="auto" w:fill="auto"/>
            <w:vAlign w:val="center"/>
          </w:tcPr>
          <w:p w:rsidR="004D530D" w:rsidRPr="00F13B32" w:rsidRDefault="004D530D" w:rsidP="00334E54">
            <w:pPr>
              <w:jc w:val="center"/>
              <w:rPr>
                <w:sz w:val="18"/>
                <w:szCs w:val="18"/>
              </w:rPr>
            </w:pPr>
            <w:r w:rsidRPr="00F13B32">
              <w:rPr>
                <w:sz w:val="18"/>
                <w:szCs w:val="18"/>
              </w:rPr>
              <w:t>0</w:t>
            </w:r>
          </w:p>
        </w:tc>
        <w:tc>
          <w:tcPr>
            <w:tcW w:w="253" w:type="dxa"/>
            <w:tcBorders>
              <w:top w:val="nil"/>
              <w:bottom w:val="nil"/>
            </w:tcBorders>
          </w:tcPr>
          <w:p w:rsidR="004D530D" w:rsidRPr="00F13B32" w:rsidRDefault="004D530D" w:rsidP="00933122">
            <w:pPr>
              <w:rPr>
                <w:sz w:val="18"/>
                <w:szCs w:val="18"/>
              </w:rPr>
            </w:pPr>
          </w:p>
        </w:tc>
        <w:tc>
          <w:tcPr>
            <w:tcW w:w="1272" w:type="dxa"/>
            <w:gridSpan w:val="2"/>
            <w:tcBorders>
              <w:top w:val="single" w:sz="4" w:space="0" w:color="auto"/>
            </w:tcBorders>
            <w:vAlign w:val="center"/>
          </w:tcPr>
          <w:p w:rsidR="004D530D" w:rsidRPr="00F13B32" w:rsidRDefault="004D530D" w:rsidP="00A44B12">
            <w:pPr>
              <w:jc w:val="center"/>
              <w:rPr>
                <w:sz w:val="18"/>
                <w:szCs w:val="18"/>
              </w:rPr>
            </w:pPr>
            <w:r w:rsidRPr="00F13B32">
              <w:rPr>
                <w:sz w:val="18"/>
                <w:szCs w:val="18"/>
              </w:rPr>
              <w:t>N/A</w:t>
            </w:r>
          </w:p>
        </w:tc>
        <w:tc>
          <w:tcPr>
            <w:tcW w:w="258" w:type="dxa"/>
            <w:tcBorders>
              <w:top w:val="nil"/>
              <w:bottom w:val="nil"/>
            </w:tcBorders>
          </w:tcPr>
          <w:p w:rsidR="004D530D" w:rsidRPr="00F13B32" w:rsidRDefault="004D530D" w:rsidP="00933122">
            <w:pPr>
              <w:rPr>
                <w:sz w:val="18"/>
                <w:szCs w:val="18"/>
              </w:rPr>
            </w:pPr>
          </w:p>
        </w:tc>
        <w:tc>
          <w:tcPr>
            <w:tcW w:w="1229" w:type="dxa"/>
            <w:tcBorders>
              <w:top w:val="single" w:sz="4" w:space="0" w:color="auto"/>
            </w:tcBorders>
            <w:vAlign w:val="center"/>
          </w:tcPr>
          <w:p w:rsidR="004D530D" w:rsidRPr="00F13B32" w:rsidRDefault="004D530D" w:rsidP="00405CC4">
            <w:pPr>
              <w:jc w:val="center"/>
              <w:rPr>
                <w:sz w:val="18"/>
                <w:szCs w:val="18"/>
              </w:rPr>
            </w:pPr>
            <w:r w:rsidRPr="00F13B32">
              <w:rPr>
                <w:sz w:val="18"/>
                <w:szCs w:val="18"/>
              </w:rPr>
              <w:t>0</w:t>
            </w:r>
          </w:p>
        </w:tc>
        <w:tc>
          <w:tcPr>
            <w:tcW w:w="1165" w:type="dxa"/>
            <w:tcBorders>
              <w:top w:val="single" w:sz="4" w:space="0" w:color="auto"/>
            </w:tcBorders>
            <w:vAlign w:val="center"/>
          </w:tcPr>
          <w:p w:rsidR="004D530D" w:rsidRPr="00F13B32" w:rsidRDefault="004D530D" w:rsidP="00405CC4">
            <w:pPr>
              <w:jc w:val="center"/>
              <w:rPr>
                <w:sz w:val="18"/>
                <w:szCs w:val="18"/>
              </w:rPr>
            </w:pPr>
            <w:r w:rsidRPr="00F13B32">
              <w:rPr>
                <w:sz w:val="18"/>
                <w:szCs w:val="18"/>
              </w:rPr>
              <w:t>0</w:t>
            </w:r>
          </w:p>
        </w:tc>
      </w:tr>
      <w:tr w:rsidR="004D530D" w:rsidTr="00405CC4">
        <w:trPr>
          <w:trHeight w:val="539"/>
        </w:trPr>
        <w:tc>
          <w:tcPr>
            <w:tcW w:w="1574" w:type="dxa"/>
            <w:gridSpan w:val="2"/>
            <w:vAlign w:val="center"/>
          </w:tcPr>
          <w:p w:rsidR="004D530D" w:rsidRPr="00F13B32" w:rsidRDefault="004D530D" w:rsidP="00405CC4">
            <w:pPr>
              <w:rPr>
                <w:sz w:val="18"/>
                <w:szCs w:val="18"/>
              </w:rPr>
            </w:pPr>
            <w:r w:rsidRPr="00F13B32">
              <w:rPr>
                <w:sz w:val="18"/>
                <w:szCs w:val="18"/>
              </w:rPr>
              <w:t>N/A</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17"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E26DBC">
            <w:pPr>
              <w:jc w:val="center"/>
              <w:rPr>
                <w:sz w:val="18"/>
                <w:szCs w:val="18"/>
              </w:rPr>
            </w:pPr>
            <w:r w:rsidRPr="00F13B32">
              <w:rPr>
                <w:sz w:val="18"/>
                <w:szCs w:val="18"/>
              </w:rPr>
              <w:t>0</w:t>
            </w:r>
          </w:p>
        </w:tc>
        <w:tc>
          <w:tcPr>
            <w:tcW w:w="419" w:type="dxa"/>
            <w:vAlign w:val="center"/>
          </w:tcPr>
          <w:p w:rsidR="004D530D" w:rsidRPr="00F13B32" w:rsidRDefault="004D530D" w:rsidP="00E26DBC">
            <w:pPr>
              <w:jc w:val="center"/>
              <w:rPr>
                <w:sz w:val="18"/>
                <w:szCs w:val="18"/>
              </w:rPr>
            </w:pPr>
            <w:r w:rsidRPr="00F13B32">
              <w:rPr>
                <w:sz w:val="18"/>
                <w:szCs w:val="18"/>
              </w:rPr>
              <w:t>0</w:t>
            </w:r>
          </w:p>
        </w:tc>
        <w:tc>
          <w:tcPr>
            <w:tcW w:w="236" w:type="dxa"/>
            <w:tcBorders>
              <w:top w:val="nil"/>
              <w:bottom w:val="nil"/>
            </w:tcBorders>
          </w:tcPr>
          <w:p w:rsidR="004D530D" w:rsidRPr="00F13B32" w:rsidRDefault="004D530D" w:rsidP="00933122">
            <w:pPr>
              <w:rPr>
                <w:sz w:val="18"/>
                <w:szCs w:val="18"/>
              </w:rPr>
            </w:pPr>
          </w:p>
        </w:tc>
        <w:tc>
          <w:tcPr>
            <w:tcW w:w="740" w:type="dxa"/>
            <w:shd w:val="clear" w:color="auto" w:fill="auto"/>
            <w:vAlign w:val="center"/>
          </w:tcPr>
          <w:p w:rsidR="004D530D" w:rsidRPr="00F13B32" w:rsidRDefault="004D530D" w:rsidP="00334E54">
            <w:pPr>
              <w:jc w:val="center"/>
              <w:rPr>
                <w:sz w:val="18"/>
                <w:szCs w:val="18"/>
              </w:rPr>
            </w:pPr>
            <w:r w:rsidRPr="00F13B32">
              <w:rPr>
                <w:sz w:val="18"/>
                <w:szCs w:val="18"/>
              </w:rPr>
              <w:t>0</w:t>
            </w:r>
          </w:p>
        </w:tc>
        <w:tc>
          <w:tcPr>
            <w:tcW w:w="253" w:type="dxa"/>
            <w:tcBorders>
              <w:top w:val="nil"/>
              <w:bottom w:val="nil"/>
            </w:tcBorders>
          </w:tcPr>
          <w:p w:rsidR="004D530D" w:rsidRPr="00F13B32" w:rsidRDefault="004D530D" w:rsidP="00933122">
            <w:pPr>
              <w:rPr>
                <w:sz w:val="18"/>
                <w:szCs w:val="18"/>
              </w:rPr>
            </w:pPr>
          </w:p>
        </w:tc>
        <w:tc>
          <w:tcPr>
            <w:tcW w:w="1272" w:type="dxa"/>
            <w:gridSpan w:val="2"/>
            <w:vAlign w:val="center"/>
          </w:tcPr>
          <w:p w:rsidR="004D530D" w:rsidRPr="00F13B32" w:rsidRDefault="004D530D" w:rsidP="00A44B12">
            <w:pPr>
              <w:jc w:val="center"/>
              <w:rPr>
                <w:sz w:val="18"/>
                <w:szCs w:val="18"/>
              </w:rPr>
            </w:pPr>
            <w:r w:rsidRPr="00F13B32">
              <w:rPr>
                <w:sz w:val="18"/>
                <w:szCs w:val="18"/>
              </w:rPr>
              <w:t>N/A</w:t>
            </w:r>
          </w:p>
        </w:tc>
        <w:tc>
          <w:tcPr>
            <w:tcW w:w="258" w:type="dxa"/>
            <w:tcBorders>
              <w:top w:val="nil"/>
              <w:bottom w:val="nil"/>
            </w:tcBorders>
          </w:tcPr>
          <w:p w:rsidR="004D530D" w:rsidRPr="00F13B32" w:rsidRDefault="004D530D" w:rsidP="00933122">
            <w:pPr>
              <w:rPr>
                <w:sz w:val="18"/>
                <w:szCs w:val="18"/>
              </w:rPr>
            </w:pPr>
          </w:p>
        </w:tc>
        <w:tc>
          <w:tcPr>
            <w:tcW w:w="1229" w:type="dxa"/>
            <w:vAlign w:val="center"/>
          </w:tcPr>
          <w:p w:rsidR="004D530D" w:rsidRPr="00F13B32" w:rsidRDefault="004D530D" w:rsidP="00405CC4">
            <w:pPr>
              <w:jc w:val="center"/>
              <w:rPr>
                <w:sz w:val="18"/>
                <w:szCs w:val="18"/>
              </w:rPr>
            </w:pPr>
            <w:r w:rsidRPr="00F13B32">
              <w:rPr>
                <w:sz w:val="18"/>
                <w:szCs w:val="18"/>
              </w:rPr>
              <w:t>0</w:t>
            </w:r>
          </w:p>
        </w:tc>
        <w:tc>
          <w:tcPr>
            <w:tcW w:w="1165" w:type="dxa"/>
            <w:vAlign w:val="center"/>
          </w:tcPr>
          <w:p w:rsidR="004D530D" w:rsidRPr="00F13B32" w:rsidRDefault="004D530D" w:rsidP="00405CC4">
            <w:pPr>
              <w:jc w:val="center"/>
              <w:rPr>
                <w:sz w:val="18"/>
                <w:szCs w:val="18"/>
              </w:rPr>
            </w:pPr>
            <w:r w:rsidRPr="00F13B32">
              <w:rPr>
                <w:sz w:val="18"/>
                <w:szCs w:val="18"/>
              </w:rPr>
              <w:t>0</w:t>
            </w:r>
          </w:p>
        </w:tc>
      </w:tr>
      <w:tr w:rsidR="004D530D" w:rsidTr="00405CC4">
        <w:trPr>
          <w:trHeight w:val="534"/>
        </w:trPr>
        <w:tc>
          <w:tcPr>
            <w:tcW w:w="1574" w:type="dxa"/>
            <w:gridSpan w:val="2"/>
            <w:vAlign w:val="center"/>
          </w:tcPr>
          <w:p w:rsidR="004D530D" w:rsidRPr="00F13B32" w:rsidRDefault="004D530D" w:rsidP="00405CC4">
            <w:pPr>
              <w:rPr>
                <w:sz w:val="18"/>
                <w:szCs w:val="18"/>
              </w:rPr>
            </w:pPr>
            <w:r w:rsidRPr="00F13B32">
              <w:rPr>
                <w:sz w:val="18"/>
                <w:szCs w:val="18"/>
              </w:rPr>
              <w:t>N/A</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17"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19" w:type="dxa"/>
            <w:vAlign w:val="center"/>
          </w:tcPr>
          <w:p w:rsidR="004D530D" w:rsidRPr="00F13B32" w:rsidRDefault="004D530D" w:rsidP="00334E54">
            <w:pPr>
              <w:jc w:val="center"/>
              <w:rPr>
                <w:sz w:val="18"/>
                <w:szCs w:val="18"/>
              </w:rPr>
            </w:pPr>
            <w:r w:rsidRPr="00F13B32">
              <w:rPr>
                <w:sz w:val="18"/>
                <w:szCs w:val="18"/>
              </w:rPr>
              <w:t>0</w:t>
            </w:r>
          </w:p>
        </w:tc>
        <w:tc>
          <w:tcPr>
            <w:tcW w:w="236" w:type="dxa"/>
            <w:tcBorders>
              <w:top w:val="nil"/>
              <w:bottom w:val="nil"/>
            </w:tcBorders>
          </w:tcPr>
          <w:p w:rsidR="004D530D" w:rsidRPr="00F13B32" w:rsidRDefault="004D530D" w:rsidP="00933122">
            <w:pPr>
              <w:rPr>
                <w:sz w:val="18"/>
                <w:szCs w:val="18"/>
              </w:rPr>
            </w:pPr>
          </w:p>
        </w:tc>
        <w:tc>
          <w:tcPr>
            <w:tcW w:w="740" w:type="dxa"/>
            <w:shd w:val="clear" w:color="auto" w:fill="auto"/>
            <w:vAlign w:val="center"/>
          </w:tcPr>
          <w:p w:rsidR="004D530D" w:rsidRPr="00F13B32" w:rsidRDefault="004D530D" w:rsidP="00334E54">
            <w:pPr>
              <w:jc w:val="center"/>
              <w:rPr>
                <w:sz w:val="18"/>
                <w:szCs w:val="18"/>
              </w:rPr>
            </w:pPr>
            <w:r w:rsidRPr="00F13B32">
              <w:rPr>
                <w:sz w:val="18"/>
                <w:szCs w:val="18"/>
              </w:rPr>
              <w:t>0</w:t>
            </w:r>
          </w:p>
        </w:tc>
        <w:tc>
          <w:tcPr>
            <w:tcW w:w="253" w:type="dxa"/>
            <w:tcBorders>
              <w:top w:val="nil"/>
              <w:bottom w:val="nil"/>
            </w:tcBorders>
          </w:tcPr>
          <w:p w:rsidR="004D530D" w:rsidRPr="00F13B32" w:rsidRDefault="004D530D" w:rsidP="00933122">
            <w:pPr>
              <w:rPr>
                <w:sz w:val="18"/>
                <w:szCs w:val="18"/>
              </w:rPr>
            </w:pPr>
          </w:p>
        </w:tc>
        <w:tc>
          <w:tcPr>
            <w:tcW w:w="1272" w:type="dxa"/>
            <w:gridSpan w:val="2"/>
            <w:vAlign w:val="center"/>
          </w:tcPr>
          <w:p w:rsidR="004D530D" w:rsidRPr="00F13B32" w:rsidRDefault="004D530D" w:rsidP="00A44B12">
            <w:pPr>
              <w:jc w:val="center"/>
              <w:rPr>
                <w:sz w:val="18"/>
                <w:szCs w:val="18"/>
              </w:rPr>
            </w:pPr>
            <w:r w:rsidRPr="00F13B32">
              <w:rPr>
                <w:sz w:val="18"/>
                <w:szCs w:val="18"/>
              </w:rPr>
              <w:t>N/A</w:t>
            </w:r>
          </w:p>
        </w:tc>
        <w:tc>
          <w:tcPr>
            <w:tcW w:w="258" w:type="dxa"/>
            <w:tcBorders>
              <w:top w:val="nil"/>
              <w:bottom w:val="nil"/>
            </w:tcBorders>
          </w:tcPr>
          <w:p w:rsidR="004D530D" w:rsidRPr="00F13B32" w:rsidRDefault="004D530D" w:rsidP="00933122">
            <w:pPr>
              <w:rPr>
                <w:sz w:val="18"/>
                <w:szCs w:val="18"/>
              </w:rPr>
            </w:pPr>
          </w:p>
        </w:tc>
        <w:tc>
          <w:tcPr>
            <w:tcW w:w="1229" w:type="dxa"/>
            <w:vAlign w:val="center"/>
          </w:tcPr>
          <w:p w:rsidR="004D530D" w:rsidRPr="00F13B32" w:rsidRDefault="004D530D" w:rsidP="00405CC4">
            <w:pPr>
              <w:jc w:val="center"/>
              <w:rPr>
                <w:sz w:val="18"/>
                <w:szCs w:val="18"/>
              </w:rPr>
            </w:pPr>
            <w:r w:rsidRPr="00F13B32">
              <w:rPr>
                <w:sz w:val="18"/>
                <w:szCs w:val="18"/>
              </w:rPr>
              <w:t>0</w:t>
            </w:r>
          </w:p>
        </w:tc>
        <w:tc>
          <w:tcPr>
            <w:tcW w:w="1165" w:type="dxa"/>
            <w:vAlign w:val="center"/>
          </w:tcPr>
          <w:p w:rsidR="004D530D" w:rsidRPr="00F13B32" w:rsidRDefault="004D530D" w:rsidP="00405CC4">
            <w:pPr>
              <w:jc w:val="center"/>
              <w:rPr>
                <w:sz w:val="18"/>
                <w:szCs w:val="18"/>
              </w:rPr>
            </w:pPr>
            <w:r w:rsidRPr="00F13B32">
              <w:rPr>
                <w:sz w:val="18"/>
                <w:szCs w:val="18"/>
              </w:rPr>
              <w:t>0</w:t>
            </w:r>
          </w:p>
        </w:tc>
      </w:tr>
      <w:tr w:rsidR="004D530D" w:rsidTr="00405CC4">
        <w:trPr>
          <w:trHeight w:val="534"/>
        </w:trPr>
        <w:tc>
          <w:tcPr>
            <w:tcW w:w="1574" w:type="dxa"/>
            <w:gridSpan w:val="2"/>
            <w:vAlign w:val="center"/>
          </w:tcPr>
          <w:p w:rsidR="004D530D" w:rsidRPr="00F13B32" w:rsidRDefault="004D530D" w:rsidP="00405CC4">
            <w:pPr>
              <w:rPr>
                <w:sz w:val="18"/>
                <w:szCs w:val="18"/>
              </w:rPr>
            </w:pPr>
            <w:r w:rsidRPr="00F13B32">
              <w:rPr>
                <w:sz w:val="18"/>
                <w:szCs w:val="18"/>
              </w:rPr>
              <w:t>N/A</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17"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334E54">
            <w:pPr>
              <w:jc w:val="center"/>
              <w:rPr>
                <w:sz w:val="18"/>
                <w:szCs w:val="18"/>
              </w:rPr>
            </w:pPr>
            <w:r w:rsidRPr="00F13B32">
              <w:rPr>
                <w:sz w:val="18"/>
                <w:szCs w:val="18"/>
              </w:rPr>
              <w:t>0</w:t>
            </w:r>
          </w:p>
        </w:tc>
        <w:tc>
          <w:tcPr>
            <w:tcW w:w="403" w:type="dxa"/>
            <w:vAlign w:val="center"/>
          </w:tcPr>
          <w:p w:rsidR="004D530D" w:rsidRPr="00F13B32" w:rsidRDefault="004D530D" w:rsidP="00E26DBC">
            <w:pPr>
              <w:jc w:val="center"/>
              <w:rPr>
                <w:sz w:val="18"/>
                <w:szCs w:val="18"/>
              </w:rPr>
            </w:pPr>
            <w:r w:rsidRPr="00F13B32">
              <w:rPr>
                <w:sz w:val="18"/>
                <w:szCs w:val="18"/>
              </w:rPr>
              <w:t>0</w:t>
            </w:r>
          </w:p>
        </w:tc>
        <w:tc>
          <w:tcPr>
            <w:tcW w:w="419" w:type="dxa"/>
            <w:vAlign w:val="center"/>
          </w:tcPr>
          <w:p w:rsidR="004D530D" w:rsidRPr="00F13B32" w:rsidRDefault="004D530D" w:rsidP="00E26DBC">
            <w:pPr>
              <w:jc w:val="center"/>
              <w:rPr>
                <w:sz w:val="18"/>
                <w:szCs w:val="18"/>
              </w:rPr>
            </w:pPr>
            <w:r w:rsidRPr="00F13B32">
              <w:rPr>
                <w:sz w:val="18"/>
                <w:szCs w:val="18"/>
              </w:rPr>
              <w:t>0</w:t>
            </w:r>
          </w:p>
        </w:tc>
        <w:tc>
          <w:tcPr>
            <w:tcW w:w="236" w:type="dxa"/>
            <w:tcBorders>
              <w:top w:val="nil"/>
              <w:bottom w:val="nil"/>
            </w:tcBorders>
          </w:tcPr>
          <w:p w:rsidR="004D530D" w:rsidRPr="00F13B32" w:rsidRDefault="004D530D" w:rsidP="00933122">
            <w:pPr>
              <w:rPr>
                <w:sz w:val="18"/>
                <w:szCs w:val="18"/>
              </w:rPr>
            </w:pPr>
          </w:p>
        </w:tc>
        <w:tc>
          <w:tcPr>
            <w:tcW w:w="740" w:type="dxa"/>
            <w:shd w:val="clear" w:color="auto" w:fill="auto"/>
            <w:vAlign w:val="center"/>
          </w:tcPr>
          <w:p w:rsidR="004D530D" w:rsidRPr="00F13B32" w:rsidRDefault="004D530D" w:rsidP="00334E54">
            <w:pPr>
              <w:jc w:val="center"/>
              <w:rPr>
                <w:sz w:val="18"/>
                <w:szCs w:val="18"/>
              </w:rPr>
            </w:pPr>
            <w:r w:rsidRPr="00F13B32">
              <w:rPr>
                <w:sz w:val="18"/>
                <w:szCs w:val="18"/>
              </w:rPr>
              <w:t>0</w:t>
            </w:r>
          </w:p>
        </w:tc>
        <w:tc>
          <w:tcPr>
            <w:tcW w:w="253" w:type="dxa"/>
            <w:tcBorders>
              <w:top w:val="nil"/>
              <w:bottom w:val="nil"/>
            </w:tcBorders>
          </w:tcPr>
          <w:p w:rsidR="004D530D" w:rsidRPr="00F13B32" w:rsidRDefault="004D530D" w:rsidP="00933122">
            <w:pPr>
              <w:rPr>
                <w:sz w:val="18"/>
                <w:szCs w:val="18"/>
              </w:rPr>
            </w:pPr>
          </w:p>
        </w:tc>
        <w:tc>
          <w:tcPr>
            <w:tcW w:w="1272" w:type="dxa"/>
            <w:gridSpan w:val="2"/>
            <w:vAlign w:val="center"/>
          </w:tcPr>
          <w:p w:rsidR="004D530D" w:rsidRPr="00F13B32" w:rsidRDefault="004D530D" w:rsidP="00A44B12">
            <w:pPr>
              <w:jc w:val="center"/>
              <w:rPr>
                <w:sz w:val="18"/>
                <w:szCs w:val="18"/>
              </w:rPr>
            </w:pPr>
            <w:r w:rsidRPr="00F13B32">
              <w:rPr>
                <w:sz w:val="18"/>
                <w:szCs w:val="18"/>
              </w:rPr>
              <w:t>N/A</w:t>
            </w:r>
          </w:p>
        </w:tc>
        <w:tc>
          <w:tcPr>
            <w:tcW w:w="258" w:type="dxa"/>
            <w:tcBorders>
              <w:top w:val="nil"/>
              <w:bottom w:val="nil"/>
            </w:tcBorders>
          </w:tcPr>
          <w:p w:rsidR="004D530D" w:rsidRPr="00F13B32" w:rsidRDefault="004D530D" w:rsidP="00933122">
            <w:pPr>
              <w:rPr>
                <w:sz w:val="18"/>
                <w:szCs w:val="18"/>
              </w:rPr>
            </w:pPr>
          </w:p>
        </w:tc>
        <w:tc>
          <w:tcPr>
            <w:tcW w:w="1229" w:type="dxa"/>
            <w:vAlign w:val="center"/>
          </w:tcPr>
          <w:p w:rsidR="004D530D" w:rsidRPr="00F13B32" w:rsidRDefault="004D530D" w:rsidP="00405CC4">
            <w:pPr>
              <w:jc w:val="center"/>
              <w:rPr>
                <w:sz w:val="18"/>
                <w:szCs w:val="18"/>
              </w:rPr>
            </w:pPr>
            <w:r w:rsidRPr="00F13B32">
              <w:rPr>
                <w:sz w:val="18"/>
                <w:szCs w:val="18"/>
              </w:rPr>
              <w:t>0</w:t>
            </w:r>
          </w:p>
        </w:tc>
        <w:tc>
          <w:tcPr>
            <w:tcW w:w="1165" w:type="dxa"/>
            <w:vAlign w:val="center"/>
          </w:tcPr>
          <w:p w:rsidR="004D530D" w:rsidRPr="00F13B32" w:rsidRDefault="004D530D" w:rsidP="00405CC4">
            <w:pPr>
              <w:jc w:val="center"/>
              <w:rPr>
                <w:sz w:val="18"/>
                <w:szCs w:val="18"/>
              </w:rPr>
            </w:pPr>
            <w:r w:rsidRPr="00F13B32">
              <w:rPr>
                <w:sz w:val="18"/>
                <w:szCs w:val="18"/>
              </w:rPr>
              <w:t>0</w:t>
            </w:r>
          </w:p>
        </w:tc>
      </w:tr>
      <w:tr w:rsidR="00405CC4" w:rsidTr="00405CC4">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4"/>
          <w:wBefore w:w="277" w:type="dxa"/>
          <w:wAfter w:w="3647" w:type="dxa"/>
          <w:trHeight w:val="424"/>
        </w:trPr>
        <w:tc>
          <w:tcPr>
            <w:tcW w:w="4384" w:type="dxa"/>
            <w:gridSpan w:val="9"/>
            <w:tcBorders>
              <w:top w:val="single" w:sz="4" w:space="0" w:color="auto"/>
              <w:left w:val="single" w:sz="4" w:space="0" w:color="auto"/>
              <w:bottom w:val="single" w:sz="4" w:space="0" w:color="auto"/>
              <w:right w:val="single" w:sz="4" w:space="0" w:color="auto"/>
            </w:tcBorders>
            <w:vAlign w:val="center"/>
          </w:tcPr>
          <w:p w:rsidR="00405CC4" w:rsidRPr="00FE4CFC" w:rsidRDefault="00405CC4" w:rsidP="00405CC4">
            <w:pPr>
              <w:jc w:val="center"/>
              <w:rPr>
                <w:sz w:val="18"/>
                <w:szCs w:val="18"/>
              </w:rPr>
            </w:pPr>
            <w:r w:rsidRPr="00FE4CFC">
              <w:rPr>
                <w:sz w:val="18"/>
                <w:szCs w:val="18"/>
              </w:rPr>
              <w:t>Total Public Housing Units to be Added</w:t>
            </w:r>
          </w:p>
        </w:tc>
        <w:tc>
          <w:tcPr>
            <w:tcW w:w="1270"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rsidR="00405CC4" w:rsidRPr="00FE4CFC" w:rsidRDefault="00405CC4" w:rsidP="00A44B12">
            <w:pPr>
              <w:jc w:val="center"/>
              <w:rPr>
                <w:sz w:val="18"/>
                <w:szCs w:val="18"/>
              </w:rPr>
            </w:pPr>
            <w:r>
              <w:rPr>
                <w:sz w:val="18"/>
                <w:szCs w:val="18"/>
              </w:rPr>
              <w:t>0</w:t>
            </w:r>
          </w:p>
        </w:tc>
      </w:tr>
    </w:tbl>
    <w:p w:rsidR="004D530D" w:rsidRDefault="004D530D" w:rsidP="00111F4B">
      <w:pPr>
        <w:rPr>
          <w:b/>
          <w:sz w:val="22"/>
          <w:szCs w:val="28"/>
        </w:rPr>
      </w:pPr>
    </w:p>
    <w:p w:rsidR="00334E54" w:rsidRPr="00F13B32" w:rsidRDefault="00334E54" w:rsidP="00334E54">
      <w:pPr>
        <w:rPr>
          <w:sz w:val="18"/>
          <w:szCs w:val="18"/>
        </w:rPr>
      </w:pPr>
      <w:r w:rsidRPr="00F13B32">
        <w:rPr>
          <w:b/>
          <w:sz w:val="18"/>
          <w:szCs w:val="18"/>
        </w:rPr>
        <w:t xml:space="preserve">* </w:t>
      </w:r>
      <w:r w:rsidRPr="00F13B32">
        <w:rPr>
          <w:sz w:val="18"/>
          <w:szCs w:val="18"/>
        </w:rPr>
        <w:t>Select Population type from: Elderly, disabled, General, Elderly/Disabled, Other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780"/>
      </w:tblGrid>
      <w:tr w:rsidR="00334E54" w:rsidRPr="008908EA" w:rsidTr="008908EA">
        <w:tc>
          <w:tcPr>
            <w:tcW w:w="3240" w:type="dxa"/>
            <w:tcBorders>
              <w:bottom w:val="single" w:sz="4" w:space="0" w:color="auto"/>
            </w:tcBorders>
            <w:shd w:val="clear" w:color="auto" w:fill="auto"/>
          </w:tcPr>
          <w:p w:rsidR="00334E54" w:rsidRPr="008908EA" w:rsidRDefault="00334E54" w:rsidP="008908EA">
            <w:pPr>
              <w:jc w:val="center"/>
              <w:rPr>
                <w:rFonts w:eastAsia="Calibri"/>
                <w:b/>
                <w:sz w:val="18"/>
                <w:szCs w:val="18"/>
              </w:rPr>
            </w:pPr>
            <w:r w:rsidRPr="008908EA">
              <w:rPr>
                <w:rFonts w:eastAsia="Calibri"/>
                <w:b/>
                <w:sz w:val="18"/>
                <w:szCs w:val="18"/>
              </w:rPr>
              <w:t>If other, please describe:</w:t>
            </w:r>
          </w:p>
        </w:tc>
        <w:tc>
          <w:tcPr>
            <w:tcW w:w="3780" w:type="dxa"/>
            <w:shd w:val="clear" w:color="auto" w:fill="auto"/>
          </w:tcPr>
          <w:p w:rsidR="00334E54" w:rsidRPr="008908EA" w:rsidRDefault="00334E54" w:rsidP="008908EA">
            <w:pPr>
              <w:jc w:val="center"/>
              <w:rPr>
                <w:rFonts w:eastAsia="Calibri"/>
                <w:b/>
                <w:sz w:val="18"/>
                <w:szCs w:val="18"/>
              </w:rPr>
            </w:pPr>
            <w:r w:rsidRPr="008908EA">
              <w:rPr>
                <w:rFonts w:eastAsia="Calibri"/>
                <w:b/>
                <w:sz w:val="18"/>
                <w:szCs w:val="18"/>
              </w:rPr>
              <w:t>N/A</w:t>
            </w:r>
          </w:p>
        </w:tc>
      </w:tr>
    </w:tbl>
    <w:p w:rsidR="00334E54" w:rsidRPr="00334E54" w:rsidRDefault="00334E54" w:rsidP="00334E54">
      <w:pPr>
        <w:rPr>
          <w:b/>
          <w:sz w:val="16"/>
          <w:szCs w:val="16"/>
        </w:rPr>
      </w:pPr>
    </w:p>
    <w:p w:rsidR="004D530D" w:rsidRDefault="004D530D" w:rsidP="00111F4B">
      <w:pPr>
        <w:rPr>
          <w:b/>
          <w:sz w:val="22"/>
          <w:szCs w:val="28"/>
        </w:rPr>
      </w:pPr>
      <w:r>
        <w:rPr>
          <w:b/>
          <w:sz w:val="22"/>
          <w:szCs w:val="28"/>
        </w:rPr>
        <w:t>Planned Public Housing Units to be Removed During the Fiscal Year</w:t>
      </w:r>
    </w:p>
    <w:p w:rsidR="004D530D" w:rsidRDefault="004D530D" w:rsidP="00111F4B">
      <w:pPr>
        <w:rPr>
          <w:b/>
          <w:sz w:val="2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352"/>
        <w:gridCol w:w="1672"/>
        <w:gridCol w:w="524"/>
        <w:gridCol w:w="5032"/>
      </w:tblGrid>
      <w:tr w:rsidR="004D530D" w:rsidRPr="00C274F0" w:rsidTr="00405CC4">
        <w:tc>
          <w:tcPr>
            <w:tcW w:w="947" w:type="pct"/>
            <w:tcBorders>
              <w:top w:val="single" w:sz="4" w:space="0" w:color="auto"/>
              <w:left w:val="single" w:sz="4" w:space="0" w:color="auto"/>
              <w:right w:val="single" w:sz="4" w:space="0" w:color="auto"/>
            </w:tcBorders>
            <w:shd w:val="clear" w:color="auto" w:fill="D9D9D9" w:themeFill="background1" w:themeFillShade="D9"/>
          </w:tcPr>
          <w:p w:rsidR="004D530D" w:rsidRPr="00C274F0" w:rsidRDefault="004D530D" w:rsidP="00933122">
            <w:pPr>
              <w:rPr>
                <w:b/>
                <w:sz w:val="18"/>
                <w:szCs w:val="18"/>
              </w:rPr>
            </w:pPr>
            <w:r w:rsidRPr="00C274F0">
              <w:rPr>
                <w:b/>
                <w:sz w:val="18"/>
                <w:szCs w:val="18"/>
              </w:rPr>
              <w:t>PIC D</w:t>
            </w:r>
            <w:r w:rsidRPr="00405CC4">
              <w:rPr>
                <w:b/>
                <w:sz w:val="18"/>
                <w:szCs w:val="18"/>
                <w:shd w:val="clear" w:color="auto" w:fill="D9D9D9" w:themeFill="background1" w:themeFillShade="D9"/>
              </w:rPr>
              <w:t>e</w:t>
            </w:r>
            <w:r w:rsidRPr="00C274F0">
              <w:rPr>
                <w:b/>
                <w:sz w:val="18"/>
                <w:szCs w:val="18"/>
              </w:rPr>
              <w:t>v. # / AMP and PIC Dev. Name</w:t>
            </w:r>
          </w:p>
        </w:tc>
        <w:tc>
          <w:tcPr>
            <w:tcW w:w="188" w:type="pct"/>
            <w:tcBorders>
              <w:top w:val="nil"/>
              <w:left w:val="single" w:sz="4" w:space="0" w:color="auto"/>
              <w:bottom w:val="nil"/>
              <w:right w:val="single" w:sz="4" w:space="0" w:color="auto"/>
            </w:tcBorders>
          </w:tcPr>
          <w:p w:rsidR="004D530D" w:rsidRPr="00C274F0" w:rsidRDefault="004D530D" w:rsidP="00933122">
            <w:pPr>
              <w:rPr>
                <w:b/>
                <w:sz w:val="18"/>
                <w:szCs w:val="18"/>
              </w:rPr>
            </w:pPr>
          </w:p>
        </w:tc>
        <w:tc>
          <w:tcPr>
            <w:tcW w:w="894" w:type="pct"/>
            <w:tcBorders>
              <w:top w:val="single" w:sz="4" w:space="0" w:color="auto"/>
              <w:left w:val="single" w:sz="4" w:space="0" w:color="auto"/>
              <w:right w:val="single" w:sz="4" w:space="0" w:color="auto"/>
            </w:tcBorders>
            <w:shd w:val="clear" w:color="auto" w:fill="D9D9D9" w:themeFill="background1" w:themeFillShade="D9"/>
          </w:tcPr>
          <w:p w:rsidR="004D530D" w:rsidRPr="00C274F0" w:rsidRDefault="004D530D" w:rsidP="00405CC4">
            <w:pPr>
              <w:jc w:val="center"/>
              <w:rPr>
                <w:b/>
                <w:sz w:val="18"/>
                <w:szCs w:val="18"/>
              </w:rPr>
            </w:pPr>
            <w:r w:rsidRPr="00C274F0">
              <w:rPr>
                <w:b/>
                <w:sz w:val="18"/>
                <w:szCs w:val="18"/>
              </w:rPr>
              <w:t>Number of Units to be Removed</w:t>
            </w:r>
          </w:p>
        </w:tc>
        <w:tc>
          <w:tcPr>
            <w:tcW w:w="280" w:type="pct"/>
            <w:tcBorders>
              <w:top w:val="nil"/>
              <w:left w:val="single" w:sz="4" w:space="0" w:color="auto"/>
              <w:bottom w:val="nil"/>
              <w:right w:val="single" w:sz="4" w:space="0" w:color="auto"/>
            </w:tcBorders>
          </w:tcPr>
          <w:p w:rsidR="004D530D" w:rsidRPr="00C274F0" w:rsidRDefault="004D530D" w:rsidP="00405CC4">
            <w:pPr>
              <w:jc w:val="center"/>
              <w:rPr>
                <w:b/>
                <w:sz w:val="18"/>
                <w:szCs w:val="18"/>
              </w:rPr>
            </w:pPr>
          </w:p>
        </w:tc>
        <w:tc>
          <w:tcPr>
            <w:tcW w:w="2691" w:type="pct"/>
            <w:tcBorders>
              <w:top w:val="single" w:sz="4" w:space="0" w:color="auto"/>
              <w:left w:val="single" w:sz="4" w:space="0" w:color="auto"/>
              <w:right w:val="single" w:sz="4" w:space="0" w:color="auto"/>
            </w:tcBorders>
            <w:shd w:val="clear" w:color="auto" w:fill="D9D9D9" w:themeFill="background1" w:themeFillShade="D9"/>
          </w:tcPr>
          <w:p w:rsidR="004D530D" w:rsidRPr="00C274F0" w:rsidRDefault="004D530D" w:rsidP="00405CC4">
            <w:pPr>
              <w:jc w:val="center"/>
              <w:rPr>
                <w:b/>
                <w:sz w:val="18"/>
                <w:szCs w:val="18"/>
              </w:rPr>
            </w:pPr>
            <w:r w:rsidRPr="00C274F0">
              <w:rPr>
                <w:b/>
                <w:sz w:val="18"/>
                <w:szCs w:val="18"/>
              </w:rPr>
              <w:t>Explanation for Removal</w:t>
            </w:r>
          </w:p>
        </w:tc>
      </w:tr>
      <w:tr w:rsidR="004D530D" w:rsidRPr="00C274F0" w:rsidTr="00A44B12">
        <w:tc>
          <w:tcPr>
            <w:tcW w:w="947" w:type="pct"/>
            <w:vAlign w:val="center"/>
          </w:tcPr>
          <w:p w:rsidR="004D530D" w:rsidRPr="004D530D" w:rsidRDefault="004D530D" w:rsidP="00A44B12">
            <w:pPr>
              <w:jc w:val="center"/>
              <w:rPr>
                <w:sz w:val="18"/>
                <w:szCs w:val="18"/>
              </w:rPr>
            </w:pPr>
            <w:r w:rsidRPr="004D530D">
              <w:rPr>
                <w:sz w:val="18"/>
                <w:szCs w:val="18"/>
              </w:rPr>
              <w:t>N/A</w:t>
            </w:r>
          </w:p>
        </w:tc>
        <w:tc>
          <w:tcPr>
            <w:tcW w:w="188" w:type="pct"/>
            <w:tcBorders>
              <w:top w:val="nil"/>
              <w:bottom w:val="nil"/>
            </w:tcBorders>
          </w:tcPr>
          <w:p w:rsidR="004D530D" w:rsidRPr="004D530D" w:rsidRDefault="004D530D" w:rsidP="00933122">
            <w:pPr>
              <w:rPr>
                <w:sz w:val="18"/>
                <w:szCs w:val="18"/>
              </w:rPr>
            </w:pPr>
          </w:p>
        </w:tc>
        <w:tc>
          <w:tcPr>
            <w:tcW w:w="894" w:type="pct"/>
            <w:vAlign w:val="center"/>
          </w:tcPr>
          <w:p w:rsidR="004D530D" w:rsidRPr="004D530D" w:rsidRDefault="004D530D" w:rsidP="00A44B12">
            <w:pPr>
              <w:jc w:val="center"/>
              <w:rPr>
                <w:sz w:val="18"/>
                <w:szCs w:val="18"/>
              </w:rPr>
            </w:pPr>
            <w:r>
              <w:rPr>
                <w:sz w:val="18"/>
                <w:szCs w:val="18"/>
              </w:rPr>
              <w:t>0</w:t>
            </w:r>
          </w:p>
        </w:tc>
        <w:tc>
          <w:tcPr>
            <w:tcW w:w="280" w:type="pct"/>
            <w:tcBorders>
              <w:top w:val="nil"/>
              <w:bottom w:val="nil"/>
            </w:tcBorders>
          </w:tcPr>
          <w:p w:rsidR="004D530D" w:rsidRPr="004D530D" w:rsidRDefault="004D530D" w:rsidP="00933122">
            <w:pPr>
              <w:rPr>
                <w:sz w:val="18"/>
                <w:szCs w:val="18"/>
              </w:rPr>
            </w:pPr>
          </w:p>
        </w:tc>
        <w:tc>
          <w:tcPr>
            <w:tcW w:w="2691" w:type="pct"/>
            <w:vAlign w:val="center"/>
          </w:tcPr>
          <w:p w:rsidR="004D530D" w:rsidRPr="004D530D" w:rsidRDefault="004D530D" w:rsidP="00A44B12">
            <w:pPr>
              <w:jc w:val="center"/>
              <w:rPr>
                <w:sz w:val="18"/>
                <w:szCs w:val="18"/>
              </w:rPr>
            </w:pPr>
            <w:r>
              <w:rPr>
                <w:sz w:val="18"/>
                <w:szCs w:val="18"/>
              </w:rPr>
              <w:t>N/A</w:t>
            </w:r>
          </w:p>
        </w:tc>
      </w:tr>
      <w:tr w:rsidR="004D530D" w:rsidRPr="00C274F0" w:rsidTr="00A44B12">
        <w:tc>
          <w:tcPr>
            <w:tcW w:w="947" w:type="pct"/>
            <w:vAlign w:val="center"/>
          </w:tcPr>
          <w:p w:rsidR="004D530D" w:rsidRPr="004D530D" w:rsidRDefault="000E0AB4" w:rsidP="00A44B12">
            <w:pPr>
              <w:jc w:val="center"/>
              <w:rPr>
                <w:sz w:val="18"/>
                <w:szCs w:val="18"/>
              </w:rPr>
            </w:pPr>
            <w:r>
              <w:rPr>
                <w:sz w:val="18"/>
                <w:szCs w:val="18"/>
              </w:rPr>
              <w:t>N/A</w:t>
            </w:r>
          </w:p>
        </w:tc>
        <w:tc>
          <w:tcPr>
            <w:tcW w:w="188" w:type="pct"/>
            <w:tcBorders>
              <w:top w:val="nil"/>
              <w:bottom w:val="nil"/>
            </w:tcBorders>
          </w:tcPr>
          <w:p w:rsidR="004D530D" w:rsidRPr="004D530D" w:rsidRDefault="004D530D" w:rsidP="00933122">
            <w:pPr>
              <w:rPr>
                <w:sz w:val="18"/>
                <w:szCs w:val="18"/>
              </w:rPr>
            </w:pPr>
          </w:p>
        </w:tc>
        <w:tc>
          <w:tcPr>
            <w:tcW w:w="894" w:type="pct"/>
            <w:vAlign w:val="center"/>
          </w:tcPr>
          <w:p w:rsidR="004D530D" w:rsidRPr="004D530D" w:rsidRDefault="004D530D" w:rsidP="00A44B12">
            <w:pPr>
              <w:jc w:val="center"/>
              <w:rPr>
                <w:sz w:val="18"/>
                <w:szCs w:val="18"/>
              </w:rPr>
            </w:pPr>
            <w:r>
              <w:rPr>
                <w:sz w:val="18"/>
                <w:szCs w:val="18"/>
              </w:rPr>
              <w:t>0</w:t>
            </w:r>
          </w:p>
        </w:tc>
        <w:tc>
          <w:tcPr>
            <w:tcW w:w="280" w:type="pct"/>
            <w:tcBorders>
              <w:top w:val="nil"/>
              <w:bottom w:val="nil"/>
            </w:tcBorders>
          </w:tcPr>
          <w:p w:rsidR="004D530D" w:rsidRPr="004D530D" w:rsidRDefault="004D530D" w:rsidP="00933122">
            <w:pPr>
              <w:rPr>
                <w:sz w:val="18"/>
                <w:szCs w:val="18"/>
              </w:rPr>
            </w:pPr>
          </w:p>
        </w:tc>
        <w:tc>
          <w:tcPr>
            <w:tcW w:w="2691" w:type="pct"/>
            <w:vAlign w:val="center"/>
          </w:tcPr>
          <w:p w:rsidR="004D530D" w:rsidRPr="004D530D" w:rsidRDefault="000E0AB4" w:rsidP="00A44B12">
            <w:pPr>
              <w:jc w:val="center"/>
              <w:rPr>
                <w:sz w:val="18"/>
                <w:szCs w:val="18"/>
              </w:rPr>
            </w:pPr>
            <w:r>
              <w:rPr>
                <w:sz w:val="18"/>
                <w:szCs w:val="18"/>
              </w:rPr>
              <w:t>N/A</w:t>
            </w:r>
          </w:p>
        </w:tc>
      </w:tr>
      <w:tr w:rsidR="004D530D" w:rsidRPr="00C274F0" w:rsidTr="00A44B12">
        <w:tc>
          <w:tcPr>
            <w:tcW w:w="947" w:type="pct"/>
            <w:vAlign w:val="center"/>
          </w:tcPr>
          <w:p w:rsidR="004D530D" w:rsidRPr="004D530D" w:rsidRDefault="000E0AB4" w:rsidP="00A44B12">
            <w:pPr>
              <w:jc w:val="center"/>
              <w:rPr>
                <w:sz w:val="18"/>
                <w:szCs w:val="18"/>
              </w:rPr>
            </w:pPr>
            <w:r>
              <w:rPr>
                <w:sz w:val="18"/>
                <w:szCs w:val="18"/>
              </w:rPr>
              <w:t>N/A</w:t>
            </w:r>
          </w:p>
        </w:tc>
        <w:tc>
          <w:tcPr>
            <w:tcW w:w="188" w:type="pct"/>
            <w:tcBorders>
              <w:top w:val="nil"/>
              <w:bottom w:val="nil"/>
            </w:tcBorders>
          </w:tcPr>
          <w:p w:rsidR="004D530D" w:rsidRPr="004D530D" w:rsidRDefault="004D530D" w:rsidP="00933122">
            <w:pPr>
              <w:rPr>
                <w:sz w:val="18"/>
                <w:szCs w:val="18"/>
              </w:rPr>
            </w:pPr>
          </w:p>
        </w:tc>
        <w:tc>
          <w:tcPr>
            <w:tcW w:w="894" w:type="pct"/>
            <w:vAlign w:val="center"/>
          </w:tcPr>
          <w:p w:rsidR="004D530D" w:rsidRPr="004D530D" w:rsidRDefault="004D530D" w:rsidP="00A44B12">
            <w:pPr>
              <w:jc w:val="center"/>
              <w:rPr>
                <w:sz w:val="18"/>
                <w:szCs w:val="18"/>
              </w:rPr>
            </w:pPr>
            <w:r>
              <w:rPr>
                <w:sz w:val="18"/>
                <w:szCs w:val="18"/>
              </w:rPr>
              <w:t>0</w:t>
            </w:r>
          </w:p>
        </w:tc>
        <w:tc>
          <w:tcPr>
            <w:tcW w:w="280" w:type="pct"/>
            <w:tcBorders>
              <w:top w:val="nil"/>
              <w:bottom w:val="nil"/>
            </w:tcBorders>
          </w:tcPr>
          <w:p w:rsidR="004D530D" w:rsidRPr="004D530D" w:rsidRDefault="004D530D" w:rsidP="00933122">
            <w:pPr>
              <w:rPr>
                <w:sz w:val="18"/>
                <w:szCs w:val="18"/>
              </w:rPr>
            </w:pPr>
          </w:p>
        </w:tc>
        <w:tc>
          <w:tcPr>
            <w:tcW w:w="2691" w:type="pct"/>
            <w:vAlign w:val="center"/>
          </w:tcPr>
          <w:p w:rsidR="004D530D" w:rsidRPr="004D530D" w:rsidRDefault="000E0AB4" w:rsidP="00A44B12">
            <w:pPr>
              <w:jc w:val="center"/>
              <w:rPr>
                <w:sz w:val="18"/>
                <w:szCs w:val="18"/>
              </w:rPr>
            </w:pPr>
            <w:r>
              <w:rPr>
                <w:sz w:val="18"/>
                <w:szCs w:val="18"/>
              </w:rPr>
              <w:t>N/A</w:t>
            </w:r>
          </w:p>
        </w:tc>
      </w:tr>
    </w:tbl>
    <w:p w:rsidR="004D530D" w:rsidRDefault="004D530D" w:rsidP="00111F4B">
      <w:pPr>
        <w:rPr>
          <w:b/>
          <w:sz w:val="22"/>
          <w:szCs w:val="28"/>
        </w:rPr>
      </w:pPr>
    </w:p>
    <w:tbl>
      <w:tblPr>
        <w:tblW w:w="0" w:type="auto"/>
        <w:tblInd w:w="18" w:type="dxa"/>
        <w:tblBorders>
          <w:right w:val="single" w:sz="4" w:space="0" w:color="auto"/>
          <w:insideH w:val="single" w:sz="4" w:space="0" w:color="auto"/>
          <w:insideV w:val="single" w:sz="4" w:space="0" w:color="auto"/>
        </w:tblBorders>
        <w:tblLook w:val="04A0" w:firstRow="1" w:lastRow="0" w:firstColumn="1" w:lastColumn="0" w:noHBand="0" w:noVBand="1"/>
      </w:tblPr>
      <w:tblGrid>
        <w:gridCol w:w="2160"/>
        <w:gridCol w:w="1890"/>
      </w:tblGrid>
      <w:tr w:rsidR="00697F7E" w:rsidRPr="003A35F6" w:rsidTr="00405CC4">
        <w:trPr>
          <w:trHeight w:val="368"/>
        </w:trPr>
        <w:tc>
          <w:tcPr>
            <w:tcW w:w="2160" w:type="dxa"/>
            <w:tcBorders>
              <w:top w:val="single" w:sz="4" w:space="0" w:color="auto"/>
              <w:left w:val="single" w:sz="4" w:space="0" w:color="auto"/>
              <w:bottom w:val="single" w:sz="4" w:space="0" w:color="auto"/>
            </w:tcBorders>
          </w:tcPr>
          <w:p w:rsidR="00697F7E" w:rsidRPr="00C274F0" w:rsidRDefault="00697F7E" w:rsidP="00F13B32">
            <w:pPr>
              <w:ind w:left="342" w:right="252"/>
              <w:jc w:val="right"/>
              <w:rPr>
                <w:b/>
                <w:sz w:val="18"/>
                <w:szCs w:val="18"/>
              </w:rPr>
            </w:pPr>
            <w:r w:rsidRPr="00C274F0">
              <w:rPr>
                <w:b/>
                <w:sz w:val="18"/>
                <w:szCs w:val="18"/>
              </w:rPr>
              <w:t>Total Number of Units to be Removed</w:t>
            </w:r>
          </w:p>
        </w:tc>
        <w:tc>
          <w:tcPr>
            <w:tcW w:w="1890" w:type="dxa"/>
            <w:tcBorders>
              <w:top w:val="single" w:sz="4" w:space="0" w:color="auto"/>
              <w:bottom w:val="single" w:sz="4" w:space="0" w:color="auto"/>
            </w:tcBorders>
            <w:shd w:val="clear" w:color="auto" w:fill="BFBFBF"/>
            <w:vAlign w:val="center"/>
          </w:tcPr>
          <w:p w:rsidR="00697F7E" w:rsidRPr="00C274F0" w:rsidRDefault="00697F7E" w:rsidP="00A44B12">
            <w:pPr>
              <w:jc w:val="center"/>
              <w:rPr>
                <w:b/>
                <w:sz w:val="18"/>
                <w:szCs w:val="18"/>
              </w:rPr>
            </w:pPr>
            <w:r>
              <w:rPr>
                <w:b/>
                <w:sz w:val="18"/>
                <w:szCs w:val="18"/>
              </w:rPr>
              <w:t>0</w:t>
            </w:r>
          </w:p>
        </w:tc>
      </w:tr>
    </w:tbl>
    <w:p w:rsidR="00697F7E" w:rsidRDefault="00697F7E" w:rsidP="00111F4B">
      <w:pPr>
        <w:rPr>
          <w:b/>
          <w:sz w:val="22"/>
          <w:szCs w:val="28"/>
        </w:rPr>
      </w:pPr>
    </w:p>
    <w:p w:rsidR="00111F4B" w:rsidRPr="00AE490B" w:rsidRDefault="00111F4B" w:rsidP="00111F4B">
      <w:pPr>
        <w:rPr>
          <w:b/>
          <w:sz w:val="22"/>
          <w:szCs w:val="28"/>
        </w:rPr>
      </w:pPr>
      <w:r w:rsidRPr="00AE490B">
        <w:rPr>
          <w:b/>
          <w:sz w:val="22"/>
          <w:szCs w:val="28"/>
        </w:rPr>
        <w:t>New Housing Choice Vouchers to be Project-Based During the Fiscal Year</w:t>
      </w:r>
    </w:p>
    <w:p w:rsidR="00A74395" w:rsidRPr="00AE490B" w:rsidRDefault="00A74395" w:rsidP="00111F4B">
      <w:pPr>
        <w:rPr>
          <w:color w:val="000000"/>
        </w:rPr>
      </w:pPr>
    </w:p>
    <w:p w:rsidR="00111F4B" w:rsidRPr="00AE490B" w:rsidRDefault="00A74395" w:rsidP="00405CC4">
      <w:pPr>
        <w:jc w:val="both"/>
        <w:rPr>
          <w:color w:val="000000"/>
        </w:rPr>
      </w:pPr>
      <w:r w:rsidRPr="00692A0A">
        <w:rPr>
          <w:color w:val="000000"/>
        </w:rPr>
        <w:t xml:space="preserve">The table below provides a summary of new Project Based Voucher (PBV) developments for which DHCD anticipates entering into Housing Assistance Payments (HAP) Contracts </w:t>
      </w:r>
      <w:r w:rsidR="00AB747F" w:rsidRPr="00692A0A">
        <w:rPr>
          <w:color w:val="000000"/>
        </w:rPr>
        <w:t>during FY 201</w:t>
      </w:r>
      <w:r w:rsidR="00231E52" w:rsidRPr="00692A0A">
        <w:rPr>
          <w:color w:val="000000"/>
        </w:rPr>
        <w:t>7</w:t>
      </w:r>
      <w:r w:rsidR="00AB747F" w:rsidRPr="00692A0A">
        <w:rPr>
          <w:color w:val="000000"/>
        </w:rPr>
        <w:t xml:space="preserve">.  A total of </w:t>
      </w:r>
      <w:r w:rsidR="00692A0A" w:rsidRPr="00692A0A">
        <w:rPr>
          <w:color w:val="000000"/>
        </w:rPr>
        <w:t>87</w:t>
      </w:r>
      <w:r w:rsidR="00AE490B" w:rsidRPr="00692A0A">
        <w:rPr>
          <w:color w:val="000000"/>
        </w:rPr>
        <w:t xml:space="preserve"> units in </w:t>
      </w:r>
      <w:r w:rsidR="00692A0A" w:rsidRPr="00692A0A">
        <w:rPr>
          <w:color w:val="000000"/>
        </w:rPr>
        <w:t>13</w:t>
      </w:r>
      <w:r w:rsidR="00F44E1D" w:rsidRPr="00692A0A">
        <w:rPr>
          <w:color w:val="000000"/>
        </w:rPr>
        <w:t xml:space="preserve"> </w:t>
      </w:r>
      <w:r w:rsidRPr="00692A0A">
        <w:rPr>
          <w:color w:val="000000"/>
        </w:rPr>
        <w:t>PBV developments are expected to come under HAP contract in the Plan year.  This listing is subject to change due to unanticipated changes in development schedules, project financing</w:t>
      </w:r>
      <w:r w:rsidR="00C457EE" w:rsidRPr="00692A0A">
        <w:rPr>
          <w:color w:val="000000"/>
        </w:rPr>
        <w:t xml:space="preserve">, newly identified preservation or development opportunities </w:t>
      </w:r>
      <w:r w:rsidR="00D72B06" w:rsidRPr="00692A0A">
        <w:rPr>
          <w:color w:val="000000"/>
        </w:rPr>
        <w:t xml:space="preserve">and/or </w:t>
      </w:r>
      <w:r w:rsidRPr="00692A0A">
        <w:rPr>
          <w:color w:val="000000"/>
        </w:rPr>
        <w:t>other factors.</w:t>
      </w:r>
    </w:p>
    <w:p w:rsidR="00A74395" w:rsidRDefault="00F13B32" w:rsidP="00111F4B">
      <w:pPr>
        <w:rPr>
          <w:b/>
        </w:rPr>
      </w:pPr>
      <w:r>
        <w:rPr>
          <w:b/>
        </w:rP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0"/>
        <w:gridCol w:w="2520"/>
        <w:gridCol w:w="630"/>
        <w:gridCol w:w="3330"/>
      </w:tblGrid>
      <w:tr w:rsidR="00AB747F" w:rsidRPr="000629B0" w:rsidTr="00405CC4">
        <w:tc>
          <w:tcPr>
            <w:tcW w:w="2970" w:type="dxa"/>
            <w:shd w:val="clear" w:color="auto" w:fill="D9D9D9" w:themeFill="background1" w:themeFillShade="D9"/>
          </w:tcPr>
          <w:p w:rsidR="00AB747F" w:rsidRPr="006061CA" w:rsidRDefault="00AB747F" w:rsidP="000561CF">
            <w:pPr>
              <w:jc w:val="center"/>
              <w:rPr>
                <w:rFonts w:eastAsia="Calibri"/>
                <w:b/>
                <w:sz w:val="18"/>
                <w:szCs w:val="18"/>
              </w:rPr>
            </w:pPr>
            <w:r w:rsidRPr="006061CA">
              <w:rPr>
                <w:rFonts w:eastAsia="Calibri"/>
                <w:b/>
                <w:sz w:val="18"/>
                <w:szCs w:val="18"/>
              </w:rPr>
              <w:t>Property Name</w:t>
            </w:r>
          </w:p>
        </w:tc>
        <w:tc>
          <w:tcPr>
            <w:tcW w:w="360" w:type="dxa"/>
            <w:tcBorders>
              <w:top w:val="nil"/>
              <w:bottom w:val="nil"/>
            </w:tcBorders>
            <w:shd w:val="clear" w:color="auto" w:fill="auto"/>
          </w:tcPr>
          <w:p w:rsidR="00AB747F" w:rsidRPr="006061CA" w:rsidRDefault="00AB747F" w:rsidP="000561CF">
            <w:pPr>
              <w:jc w:val="center"/>
              <w:rPr>
                <w:rFonts w:eastAsia="Calibri"/>
                <w:b/>
                <w:sz w:val="18"/>
                <w:szCs w:val="18"/>
              </w:rPr>
            </w:pPr>
          </w:p>
        </w:tc>
        <w:tc>
          <w:tcPr>
            <w:tcW w:w="2520" w:type="dxa"/>
            <w:shd w:val="clear" w:color="auto" w:fill="D9D9D9" w:themeFill="background1" w:themeFillShade="D9"/>
          </w:tcPr>
          <w:p w:rsidR="00AB747F" w:rsidRPr="006061CA" w:rsidRDefault="00AB747F" w:rsidP="00737AE3">
            <w:pPr>
              <w:jc w:val="center"/>
              <w:rPr>
                <w:rFonts w:eastAsia="Calibri"/>
                <w:b/>
                <w:sz w:val="18"/>
                <w:szCs w:val="18"/>
              </w:rPr>
            </w:pPr>
            <w:r w:rsidRPr="006061CA">
              <w:rPr>
                <w:rFonts w:eastAsia="Calibri"/>
                <w:b/>
                <w:sz w:val="18"/>
                <w:szCs w:val="18"/>
              </w:rPr>
              <w:t>Anticipated Number of N</w:t>
            </w:r>
            <w:r w:rsidR="00405CC4">
              <w:rPr>
                <w:rFonts w:eastAsia="Calibri"/>
                <w:b/>
                <w:sz w:val="18"/>
                <w:szCs w:val="18"/>
              </w:rPr>
              <w:t>ew Vouchers to be Project-Based</w:t>
            </w:r>
          </w:p>
        </w:tc>
        <w:tc>
          <w:tcPr>
            <w:tcW w:w="630" w:type="dxa"/>
            <w:tcBorders>
              <w:top w:val="nil"/>
              <w:bottom w:val="nil"/>
            </w:tcBorders>
            <w:shd w:val="clear" w:color="auto" w:fill="auto"/>
          </w:tcPr>
          <w:p w:rsidR="00AB747F" w:rsidRPr="006061CA" w:rsidRDefault="00AB747F" w:rsidP="000561CF">
            <w:pPr>
              <w:jc w:val="center"/>
              <w:rPr>
                <w:rFonts w:eastAsia="Calibri"/>
                <w:b/>
                <w:sz w:val="18"/>
                <w:szCs w:val="18"/>
              </w:rPr>
            </w:pPr>
          </w:p>
        </w:tc>
        <w:tc>
          <w:tcPr>
            <w:tcW w:w="3330" w:type="dxa"/>
            <w:shd w:val="clear" w:color="auto" w:fill="D9D9D9" w:themeFill="background1" w:themeFillShade="D9"/>
          </w:tcPr>
          <w:p w:rsidR="00AB747F" w:rsidRPr="006061CA" w:rsidRDefault="00AB747F" w:rsidP="000561CF">
            <w:pPr>
              <w:jc w:val="center"/>
              <w:rPr>
                <w:rFonts w:eastAsia="Calibri"/>
                <w:b/>
                <w:sz w:val="18"/>
                <w:szCs w:val="18"/>
              </w:rPr>
            </w:pPr>
            <w:r w:rsidRPr="006061CA">
              <w:rPr>
                <w:rFonts w:eastAsia="Calibri"/>
                <w:b/>
                <w:sz w:val="18"/>
                <w:szCs w:val="18"/>
              </w:rPr>
              <w:t>Description of Project</w:t>
            </w:r>
          </w:p>
        </w:tc>
      </w:tr>
      <w:tr w:rsidR="00AB747F" w:rsidRPr="00D220CE" w:rsidTr="00D33B25">
        <w:tc>
          <w:tcPr>
            <w:tcW w:w="2970" w:type="dxa"/>
            <w:shd w:val="clear" w:color="auto" w:fill="auto"/>
            <w:vAlign w:val="center"/>
          </w:tcPr>
          <w:p w:rsidR="00AB747F" w:rsidRPr="006061CA" w:rsidRDefault="006061CA" w:rsidP="00D33B25">
            <w:pPr>
              <w:rPr>
                <w:sz w:val="18"/>
                <w:szCs w:val="18"/>
              </w:rPr>
            </w:pPr>
            <w:r w:rsidRPr="006061CA">
              <w:rPr>
                <w:sz w:val="18"/>
                <w:szCs w:val="18"/>
              </w:rPr>
              <w:t>Residences at Stony Brook Phase II</w:t>
            </w:r>
          </w:p>
        </w:tc>
        <w:tc>
          <w:tcPr>
            <w:tcW w:w="36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2520" w:type="dxa"/>
            <w:shd w:val="clear" w:color="auto" w:fill="auto"/>
            <w:vAlign w:val="center"/>
          </w:tcPr>
          <w:p w:rsidR="00AB747F" w:rsidRPr="006061CA" w:rsidRDefault="006061CA" w:rsidP="00D33B25">
            <w:pPr>
              <w:jc w:val="center"/>
              <w:rPr>
                <w:sz w:val="18"/>
                <w:szCs w:val="18"/>
              </w:rPr>
            </w:pPr>
            <w:r w:rsidRPr="006061CA">
              <w:rPr>
                <w:sz w:val="18"/>
                <w:szCs w:val="18"/>
              </w:rPr>
              <w:t>8</w:t>
            </w:r>
          </w:p>
        </w:tc>
        <w:tc>
          <w:tcPr>
            <w:tcW w:w="63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3330" w:type="dxa"/>
            <w:shd w:val="clear" w:color="auto" w:fill="auto"/>
            <w:vAlign w:val="center"/>
          </w:tcPr>
          <w:p w:rsidR="00AB747F" w:rsidRPr="006061CA" w:rsidRDefault="004D7008" w:rsidP="00D33B25">
            <w:pPr>
              <w:rPr>
                <w:rFonts w:eastAsia="Calibri"/>
                <w:sz w:val="18"/>
                <w:szCs w:val="18"/>
              </w:rPr>
            </w:pPr>
            <w:r>
              <w:rPr>
                <w:rFonts w:eastAsia="Calibri"/>
                <w:sz w:val="18"/>
                <w:szCs w:val="18"/>
              </w:rPr>
              <w:t>Family.  New</w:t>
            </w:r>
            <w:r w:rsidR="00944FD9">
              <w:rPr>
                <w:rFonts w:eastAsia="Calibri"/>
                <w:sz w:val="18"/>
                <w:szCs w:val="18"/>
              </w:rPr>
              <w:t xml:space="preserve"> construction.</w:t>
            </w:r>
            <w:r w:rsidR="006061CA" w:rsidRPr="006061CA">
              <w:rPr>
                <w:rFonts w:eastAsia="Calibri"/>
                <w:sz w:val="18"/>
                <w:szCs w:val="18"/>
              </w:rPr>
              <w:t xml:space="preserve">  Seven townhouse style buildings</w:t>
            </w:r>
            <w:r w:rsidR="00636877" w:rsidRPr="006061CA">
              <w:rPr>
                <w:rFonts w:eastAsia="Calibri"/>
                <w:sz w:val="18"/>
                <w:szCs w:val="18"/>
              </w:rPr>
              <w:t xml:space="preserve">    </w:t>
            </w:r>
          </w:p>
        </w:tc>
      </w:tr>
      <w:tr w:rsidR="00AB747F" w:rsidRPr="00D220CE" w:rsidTr="00D33B25">
        <w:tc>
          <w:tcPr>
            <w:tcW w:w="2970" w:type="dxa"/>
            <w:shd w:val="clear" w:color="auto" w:fill="auto"/>
            <w:vAlign w:val="center"/>
          </w:tcPr>
          <w:p w:rsidR="00AB747F" w:rsidRPr="006061CA" w:rsidRDefault="006061CA" w:rsidP="00D33B25">
            <w:pPr>
              <w:rPr>
                <w:sz w:val="18"/>
                <w:szCs w:val="18"/>
              </w:rPr>
            </w:pPr>
            <w:r w:rsidRPr="006061CA">
              <w:rPr>
                <w:sz w:val="18"/>
                <w:szCs w:val="18"/>
              </w:rPr>
              <w:t>Tenny Place Phase I</w:t>
            </w:r>
          </w:p>
        </w:tc>
        <w:tc>
          <w:tcPr>
            <w:tcW w:w="36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2520" w:type="dxa"/>
            <w:shd w:val="clear" w:color="auto" w:fill="auto"/>
            <w:vAlign w:val="center"/>
          </w:tcPr>
          <w:p w:rsidR="00AB747F" w:rsidRPr="006061CA" w:rsidRDefault="006061CA" w:rsidP="00D33B25">
            <w:pPr>
              <w:jc w:val="center"/>
              <w:rPr>
                <w:sz w:val="18"/>
                <w:szCs w:val="18"/>
              </w:rPr>
            </w:pPr>
            <w:r w:rsidRPr="006061CA">
              <w:rPr>
                <w:sz w:val="18"/>
                <w:szCs w:val="18"/>
              </w:rPr>
              <w:t>8</w:t>
            </w:r>
          </w:p>
        </w:tc>
        <w:tc>
          <w:tcPr>
            <w:tcW w:w="63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3330" w:type="dxa"/>
            <w:shd w:val="clear" w:color="auto" w:fill="auto"/>
            <w:vAlign w:val="center"/>
          </w:tcPr>
          <w:p w:rsidR="00AB747F" w:rsidRPr="006061CA" w:rsidRDefault="004D7008" w:rsidP="00D33B25">
            <w:pPr>
              <w:rPr>
                <w:rFonts w:eastAsia="Calibri"/>
                <w:sz w:val="18"/>
                <w:szCs w:val="18"/>
              </w:rPr>
            </w:pPr>
            <w:r>
              <w:rPr>
                <w:rFonts w:eastAsia="Calibri"/>
                <w:sz w:val="18"/>
                <w:szCs w:val="18"/>
              </w:rPr>
              <w:t>Family</w:t>
            </w:r>
            <w:r w:rsidR="006061CA" w:rsidRPr="006061CA">
              <w:rPr>
                <w:rFonts w:eastAsia="Calibri"/>
                <w:sz w:val="18"/>
                <w:szCs w:val="18"/>
              </w:rPr>
              <w:t>. New construction.  Two new buildings</w:t>
            </w:r>
          </w:p>
        </w:tc>
      </w:tr>
      <w:tr w:rsidR="00AB747F" w:rsidRPr="00D220CE" w:rsidTr="00D33B25">
        <w:tc>
          <w:tcPr>
            <w:tcW w:w="2970" w:type="dxa"/>
            <w:shd w:val="clear" w:color="auto" w:fill="auto"/>
            <w:vAlign w:val="center"/>
          </w:tcPr>
          <w:p w:rsidR="00AB747F" w:rsidRPr="006061CA" w:rsidRDefault="006061CA" w:rsidP="00D33B25">
            <w:pPr>
              <w:rPr>
                <w:sz w:val="18"/>
                <w:szCs w:val="18"/>
              </w:rPr>
            </w:pPr>
            <w:r w:rsidRPr="006061CA">
              <w:rPr>
                <w:sz w:val="18"/>
                <w:szCs w:val="18"/>
              </w:rPr>
              <w:t>Stable Path Residences</w:t>
            </w:r>
          </w:p>
        </w:tc>
        <w:tc>
          <w:tcPr>
            <w:tcW w:w="36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2520" w:type="dxa"/>
            <w:shd w:val="clear" w:color="auto" w:fill="auto"/>
            <w:vAlign w:val="center"/>
          </w:tcPr>
          <w:p w:rsidR="00AB747F" w:rsidRPr="006061CA" w:rsidRDefault="006061CA" w:rsidP="00D33B25">
            <w:pPr>
              <w:jc w:val="center"/>
              <w:rPr>
                <w:sz w:val="18"/>
                <w:szCs w:val="18"/>
              </w:rPr>
            </w:pPr>
            <w:r w:rsidRPr="006061CA">
              <w:rPr>
                <w:sz w:val="18"/>
                <w:szCs w:val="18"/>
              </w:rPr>
              <w:t>5</w:t>
            </w:r>
          </w:p>
        </w:tc>
        <w:tc>
          <w:tcPr>
            <w:tcW w:w="63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3330" w:type="dxa"/>
            <w:shd w:val="clear" w:color="auto" w:fill="auto"/>
            <w:vAlign w:val="center"/>
          </w:tcPr>
          <w:p w:rsidR="00AB747F" w:rsidRPr="006061CA" w:rsidRDefault="004D7008" w:rsidP="00D33B25">
            <w:pPr>
              <w:rPr>
                <w:rFonts w:eastAsia="Calibri"/>
                <w:sz w:val="18"/>
                <w:szCs w:val="18"/>
              </w:rPr>
            </w:pPr>
            <w:r>
              <w:rPr>
                <w:rFonts w:eastAsia="Calibri"/>
                <w:sz w:val="18"/>
                <w:szCs w:val="18"/>
              </w:rPr>
              <w:t>Family</w:t>
            </w:r>
            <w:r w:rsidR="00944FD9">
              <w:rPr>
                <w:rFonts w:eastAsia="Calibri"/>
                <w:sz w:val="18"/>
                <w:szCs w:val="18"/>
              </w:rPr>
              <w:t>. New c</w:t>
            </w:r>
            <w:r w:rsidR="006061CA" w:rsidRPr="006061CA">
              <w:rPr>
                <w:rFonts w:eastAsia="Calibri"/>
                <w:sz w:val="18"/>
                <w:szCs w:val="18"/>
              </w:rPr>
              <w:t>onstruction.  Ten buildings, 2 and 3 BR townhouses.</w:t>
            </w:r>
          </w:p>
        </w:tc>
      </w:tr>
      <w:tr w:rsidR="00AB747F" w:rsidRPr="00D220CE" w:rsidTr="00D33B25">
        <w:tc>
          <w:tcPr>
            <w:tcW w:w="2970" w:type="dxa"/>
            <w:shd w:val="clear" w:color="auto" w:fill="auto"/>
            <w:vAlign w:val="center"/>
          </w:tcPr>
          <w:p w:rsidR="00AB747F" w:rsidRPr="006061CA" w:rsidRDefault="006061CA" w:rsidP="00D33B25">
            <w:pPr>
              <w:rPr>
                <w:sz w:val="18"/>
                <w:szCs w:val="18"/>
              </w:rPr>
            </w:pPr>
            <w:r w:rsidRPr="006061CA">
              <w:rPr>
                <w:sz w:val="18"/>
                <w:szCs w:val="18"/>
              </w:rPr>
              <w:t>Washington Street SRO</w:t>
            </w:r>
          </w:p>
        </w:tc>
        <w:tc>
          <w:tcPr>
            <w:tcW w:w="36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2520" w:type="dxa"/>
            <w:shd w:val="clear" w:color="auto" w:fill="auto"/>
            <w:vAlign w:val="center"/>
          </w:tcPr>
          <w:p w:rsidR="00AB747F" w:rsidRPr="006061CA" w:rsidRDefault="006061CA" w:rsidP="00D33B25">
            <w:pPr>
              <w:jc w:val="center"/>
              <w:rPr>
                <w:sz w:val="18"/>
                <w:szCs w:val="18"/>
              </w:rPr>
            </w:pPr>
            <w:r w:rsidRPr="006061CA">
              <w:rPr>
                <w:sz w:val="18"/>
                <w:szCs w:val="18"/>
              </w:rPr>
              <w:t>6</w:t>
            </w:r>
          </w:p>
        </w:tc>
        <w:tc>
          <w:tcPr>
            <w:tcW w:w="63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3330" w:type="dxa"/>
            <w:shd w:val="clear" w:color="auto" w:fill="auto"/>
            <w:vAlign w:val="center"/>
          </w:tcPr>
          <w:p w:rsidR="00AB747F" w:rsidRPr="006061CA" w:rsidRDefault="004D7008" w:rsidP="00D33B25">
            <w:pPr>
              <w:rPr>
                <w:rFonts w:eastAsia="Calibri"/>
                <w:sz w:val="18"/>
                <w:szCs w:val="18"/>
              </w:rPr>
            </w:pPr>
            <w:r w:rsidRPr="006061CA">
              <w:rPr>
                <w:rFonts w:eastAsia="Calibri"/>
                <w:sz w:val="18"/>
                <w:szCs w:val="18"/>
              </w:rPr>
              <w:t>Preference for disabled individuals</w:t>
            </w:r>
            <w:r>
              <w:rPr>
                <w:rFonts w:eastAsia="Calibri"/>
                <w:sz w:val="18"/>
                <w:szCs w:val="18"/>
              </w:rPr>
              <w:t xml:space="preserve">. </w:t>
            </w:r>
            <w:r w:rsidRPr="006061CA">
              <w:rPr>
                <w:rFonts w:eastAsia="Calibri"/>
                <w:sz w:val="18"/>
                <w:szCs w:val="18"/>
              </w:rPr>
              <w:t>.</w:t>
            </w:r>
            <w:r w:rsidR="00944FD9">
              <w:rPr>
                <w:rFonts w:eastAsia="Calibri"/>
                <w:sz w:val="18"/>
                <w:szCs w:val="18"/>
              </w:rPr>
              <w:t xml:space="preserve">Rehab of </w:t>
            </w:r>
            <w:r w:rsidR="006061CA" w:rsidRPr="006061CA">
              <w:rPr>
                <w:rFonts w:eastAsia="Calibri"/>
                <w:sz w:val="18"/>
                <w:szCs w:val="18"/>
              </w:rPr>
              <w:t xml:space="preserve">SRO facility.  Three story building.  </w:t>
            </w:r>
          </w:p>
        </w:tc>
      </w:tr>
      <w:tr w:rsidR="00AB747F" w:rsidRPr="00D220CE" w:rsidTr="00D33B25">
        <w:tc>
          <w:tcPr>
            <w:tcW w:w="2970" w:type="dxa"/>
            <w:shd w:val="clear" w:color="auto" w:fill="auto"/>
            <w:vAlign w:val="center"/>
          </w:tcPr>
          <w:p w:rsidR="00AB747F" w:rsidRPr="006061CA" w:rsidRDefault="006061CA" w:rsidP="00D33B25">
            <w:pPr>
              <w:rPr>
                <w:sz w:val="18"/>
                <w:szCs w:val="18"/>
              </w:rPr>
            </w:pPr>
            <w:r w:rsidRPr="006061CA">
              <w:rPr>
                <w:sz w:val="18"/>
                <w:szCs w:val="18"/>
              </w:rPr>
              <w:t>Oxford Ping On</w:t>
            </w:r>
          </w:p>
        </w:tc>
        <w:tc>
          <w:tcPr>
            <w:tcW w:w="36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2520" w:type="dxa"/>
            <w:shd w:val="clear" w:color="auto" w:fill="auto"/>
            <w:vAlign w:val="center"/>
          </w:tcPr>
          <w:p w:rsidR="00AB747F" w:rsidRPr="006061CA" w:rsidRDefault="006061CA" w:rsidP="00D33B25">
            <w:pPr>
              <w:jc w:val="center"/>
              <w:rPr>
                <w:sz w:val="18"/>
                <w:szCs w:val="18"/>
              </w:rPr>
            </w:pPr>
            <w:r w:rsidRPr="006061CA">
              <w:rPr>
                <w:sz w:val="18"/>
                <w:szCs w:val="18"/>
              </w:rPr>
              <w:t>4</w:t>
            </w:r>
          </w:p>
        </w:tc>
        <w:tc>
          <w:tcPr>
            <w:tcW w:w="630" w:type="dxa"/>
            <w:tcBorders>
              <w:top w:val="nil"/>
              <w:bottom w:val="nil"/>
            </w:tcBorders>
            <w:shd w:val="clear" w:color="auto" w:fill="auto"/>
            <w:vAlign w:val="center"/>
          </w:tcPr>
          <w:p w:rsidR="00AB747F" w:rsidRPr="006061CA" w:rsidRDefault="00AB747F" w:rsidP="00D33B25">
            <w:pPr>
              <w:rPr>
                <w:rFonts w:eastAsia="Calibri"/>
                <w:sz w:val="18"/>
                <w:szCs w:val="18"/>
              </w:rPr>
            </w:pPr>
          </w:p>
        </w:tc>
        <w:tc>
          <w:tcPr>
            <w:tcW w:w="3330" w:type="dxa"/>
            <w:shd w:val="clear" w:color="auto" w:fill="auto"/>
            <w:vAlign w:val="center"/>
          </w:tcPr>
          <w:p w:rsidR="00AB747F" w:rsidRPr="006061CA" w:rsidRDefault="003D4B57" w:rsidP="00D33B25">
            <w:pPr>
              <w:rPr>
                <w:sz w:val="18"/>
                <w:szCs w:val="18"/>
              </w:rPr>
            </w:pPr>
            <w:r>
              <w:rPr>
                <w:sz w:val="18"/>
                <w:szCs w:val="18"/>
              </w:rPr>
              <w:t>Disabled</w:t>
            </w:r>
            <w:r w:rsidR="004702DE">
              <w:rPr>
                <w:sz w:val="18"/>
                <w:szCs w:val="18"/>
              </w:rPr>
              <w:t xml:space="preserve">. </w:t>
            </w:r>
            <w:r w:rsidR="006061CA" w:rsidRPr="006061CA">
              <w:rPr>
                <w:sz w:val="18"/>
                <w:szCs w:val="18"/>
              </w:rPr>
              <w:t>New construction of rental housing in multi-story building</w:t>
            </w:r>
          </w:p>
        </w:tc>
      </w:tr>
      <w:tr w:rsidR="00AB747F" w:rsidRPr="00D220CE" w:rsidTr="00D33B25">
        <w:tc>
          <w:tcPr>
            <w:tcW w:w="2970" w:type="dxa"/>
            <w:shd w:val="clear" w:color="auto" w:fill="auto"/>
            <w:vAlign w:val="center"/>
          </w:tcPr>
          <w:p w:rsidR="00AB747F" w:rsidRPr="004D7008" w:rsidRDefault="006061CA" w:rsidP="00D33B25">
            <w:pPr>
              <w:rPr>
                <w:sz w:val="18"/>
                <w:szCs w:val="18"/>
              </w:rPr>
            </w:pPr>
            <w:r w:rsidRPr="004D7008">
              <w:rPr>
                <w:sz w:val="18"/>
                <w:szCs w:val="18"/>
              </w:rPr>
              <w:t>Bridgeview Center</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6061CA"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 xml:space="preserve">Units reserved for disabled. </w:t>
            </w:r>
            <w:r w:rsidR="006061CA" w:rsidRPr="004D7008">
              <w:rPr>
                <w:sz w:val="18"/>
                <w:szCs w:val="18"/>
              </w:rPr>
              <w:t>New construction.  Mixed use single building</w:t>
            </w:r>
            <w:r w:rsidRPr="004D7008">
              <w:rPr>
                <w:sz w:val="18"/>
                <w:szCs w:val="18"/>
              </w:rPr>
              <w:t>.</w:t>
            </w:r>
            <w:r w:rsidR="006061CA" w:rsidRPr="004D7008">
              <w:rPr>
                <w:sz w:val="18"/>
                <w:szCs w:val="18"/>
              </w:rPr>
              <w:t xml:space="preserve"> </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189 Broadway Street</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Elderly (55 and older).  New construction.  Four stories w/ elevator.</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181 Washington Street</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Family development. New construction. Four story mixed use building.</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Montello Welcome Home</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Supportive housing-homeless preference. New construction.  20 unit building of 1 and 2 BR units</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Island Creek North</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Elderly (55 and older). New construction. One four story building</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Shoe Shop Place</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5</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Family. Adaptive reuse of an old mill to family housing.</w:t>
            </w:r>
          </w:p>
        </w:tc>
      </w:tr>
      <w:tr w:rsidR="00AB747F" w:rsidRPr="00D220CE" w:rsidTr="00D33B25">
        <w:trPr>
          <w:trHeight w:val="341"/>
        </w:trPr>
        <w:tc>
          <w:tcPr>
            <w:tcW w:w="2970" w:type="dxa"/>
            <w:shd w:val="clear" w:color="auto" w:fill="auto"/>
            <w:vAlign w:val="center"/>
          </w:tcPr>
          <w:p w:rsidR="00AB747F" w:rsidRPr="004D7008" w:rsidRDefault="004D7008" w:rsidP="00D33B25">
            <w:pPr>
              <w:rPr>
                <w:sz w:val="18"/>
                <w:szCs w:val="18"/>
              </w:rPr>
            </w:pPr>
            <w:r w:rsidRPr="004D7008">
              <w:rPr>
                <w:sz w:val="18"/>
                <w:szCs w:val="18"/>
              </w:rPr>
              <w:t>Village @ Lincoln Park</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3</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sz w:val="18"/>
                <w:szCs w:val="18"/>
              </w:rPr>
            </w:pPr>
            <w:r w:rsidRPr="004D7008">
              <w:rPr>
                <w:sz w:val="18"/>
                <w:szCs w:val="18"/>
              </w:rPr>
              <w:t>Family.  New construction on site of an old amusement park.</w:t>
            </w:r>
          </w:p>
        </w:tc>
      </w:tr>
      <w:tr w:rsidR="00AB747F" w:rsidRPr="00D220CE" w:rsidTr="00D33B25">
        <w:tc>
          <w:tcPr>
            <w:tcW w:w="2970" w:type="dxa"/>
            <w:shd w:val="clear" w:color="auto" w:fill="auto"/>
            <w:vAlign w:val="center"/>
          </w:tcPr>
          <w:p w:rsidR="00AB747F" w:rsidRPr="004D7008" w:rsidRDefault="004D7008" w:rsidP="00D33B25">
            <w:pPr>
              <w:rPr>
                <w:sz w:val="18"/>
                <w:szCs w:val="18"/>
              </w:rPr>
            </w:pPr>
            <w:r w:rsidRPr="004D7008">
              <w:rPr>
                <w:sz w:val="18"/>
                <w:szCs w:val="18"/>
              </w:rPr>
              <w:t>Cranberry Manor/Carpenters Glen</w:t>
            </w:r>
          </w:p>
        </w:tc>
        <w:tc>
          <w:tcPr>
            <w:tcW w:w="36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2520" w:type="dxa"/>
            <w:shd w:val="clear" w:color="auto" w:fill="auto"/>
            <w:vAlign w:val="center"/>
          </w:tcPr>
          <w:p w:rsidR="00AB747F" w:rsidRPr="004D7008" w:rsidRDefault="004D7008" w:rsidP="00D33B25">
            <w:pPr>
              <w:jc w:val="center"/>
              <w:rPr>
                <w:sz w:val="18"/>
                <w:szCs w:val="18"/>
              </w:rPr>
            </w:pPr>
            <w:r w:rsidRPr="004D7008">
              <w:rPr>
                <w:sz w:val="18"/>
                <w:szCs w:val="18"/>
              </w:rPr>
              <w:t>8</w:t>
            </w:r>
          </w:p>
        </w:tc>
        <w:tc>
          <w:tcPr>
            <w:tcW w:w="630" w:type="dxa"/>
            <w:tcBorders>
              <w:top w:val="nil"/>
              <w:bottom w:val="nil"/>
            </w:tcBorders>
            <w:shd w:val="clear" w:color="auto" w:fill="auto"/>
            <w:vAlign w:val="center"/>
          </w:tcPr>
          <w:p w:rsidR="00AB747F" w:rsidRPr="004D7008" w:rsidRDefault="00AB747F" w:rsidP="00D33B25">
            <w:pPr>
              <w:rPr>
                <w:rFonts w:eastAsia="Calibri"/>
                <w:sz w:val="18"/>
                <w:szCs w:val="18"/>
              </w:rPr>
            </w:pPr>
          </w:p>
        </w:tc>
        <w:tc>
          <w:tcPr>
            <w:tcW w:w="3330" w:type="dxa"/>
            <w:shd w:val="clear" w:color="auto" w:fill="auto"/>
            <w:vAlign w:val="center"/>
          </w:tcPr>
          <w:p w:rsidR="00AB747F" w:rsidRPr="004D7008" w:rsidRDefault="004D7008" w:rsidP="00D33B25">
            <w:pPr>
              <w:rPr>
                <w:rFonts w:eastAsia="Calibri"/>
                <w:sz w:val="18"/>
                <w:szCs w:val="18"/>
              </w:rPr>
            </w:pPr>
            <w:r w:rsidRPr="004D7008">
              <w:rPr>
                <w:rFonts w:eastAsia="Calibri"/>
                <w:sz w:val="18"/>
                <w:szCs w:val="18"/>
              </w:rPr>
              <w:t>Family housing. Refinance and capital needs improvements of existing housing.</w:t>
            </w:r>
          </w:p>
        </w:tc>
      </w:tr>
    </w:tbl>
    <w:p w:rsidR="00111F4B" w:rsidRPr="00D220CE" w:rsidRDefault="00111F4B" w:rsidP="00111F4B">
      <w:pPr>
        <w:rPr>
          <w:sz w:val="10"/>
          <w:szCs w:val="1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314"/>
        <w:gridCol w:w="268"/>
        <w:gridCol w:w="2671"/>
        <w:gridCol w:w="1834"/>
      </w:tblGrid>
      <w:tr w:rsidR="00111F4B" w:rsidRPr="00D220CE" w:rsidTr="00D33B25">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111F4B" w:rsidRPr="004D7008" w:rsidRDefault="00111F4B" w:rsidP="00D33B25">
            <w:pPr>
              <w:jc w:val="center"/>
              <w:rPr>
                <w:rFonts w:eastAsia="Calibri"/>
                <w:sz w:val="18"/>
                <w:szCs w:val="18"/>
              </w:rPr>
            </w:pPr>
            <w:r w:rsidRPr="004D7008">
              <w:rPr>
                <w:rFonts w:eastAsia="Calibri"/>
                <w:sz w:val="18"/>
                <w:szCs w:val="18"/>
              </w:rPr>
              <w:t>Anticipated Total</w:t>
            </w:r>
          </w:p>
          <w:p w:rsidR="00111F4B" w:rsidRPr="004D7008" w:rsidRDefault="00111F4B" w:rsidP="00D33B25">
            <w:pPr>
              <w:jc w:val="center"/>
              <w:rPr>
                <w:rFonts w:eastAsia="Calibri"/>
                <w:sz w:val="18"/>
                <w:szCs w:val="18"/>
              </w:rPr>
            </w:pPr>
            <w:r w:rsidRPr="004D7008">
              <w:rPr>
                <w:rFonts w:eastAsia="Calibri"/>
                <w:sz w:val="18"/>
                <w:szCs w:val="18"/>
              </w:rPr>
              <w:t>New Vouchers to be</w:t>
            </w:r>
          </w:p>
          <w:p w:rsidR="00111F4B" w:rsidRPr="004D7008" w:rsidRDefault="00111F4B" w:rsidP="00D33B25">
            <w:pPr>
              <w:jc w:val="center"/>
              <w:rPr>
                <w:rFonts w:eastAsia="Calibri"/>
                <w:sz w:val="18"/>
                <w:szCs w:val="18"/>
              </w:rPr>
            </w:pPr>
            <w:r w:rsidRPr="004D7008">
              <w:rPr>
                <w:rFonts w:eastAsia="Calibri"/>
                <w:sz w:val="18"/>
                <w:szCs w:val="18"/>
              </w:rPr>
              <w:t>Project-Based</w:t>
            </w:r>
          </w:p>
        </w:tc>
        <w:tc>
          <w:tcPr>
            <w:tcW w:w="1350" w:type="dxa"/>
            <w:tcBorders>
              <w:left w:val="single" w:sz="4" w:space="0" w:color="auto"/>
              <w:bottom w:val="single" w:sz="4" w:space="0" w:color="auto"/>
            </w:tcBorders>
            <w:shd w:val="clear" w:color="auto" w:fill="BFBFBF"/>
            <w:vAlign w:val="center"/>
          </w:tcPr>
          <w:p w:rsidR="00111F4B" w:rsidRPr="004D7008" w:rsidRDefault="004D7008" w:rsidP="00D33B25">
            <w:pPr>
              <w:jc w:val="center"/>
              <w:rPr>
                <w:rFonts w:eastAsia="Calibri"/>
                <w:sz w:val="18"/>
                <w:szCs w:val="18"/>
              </w:rPr>
            </w:pPr>
            <w:r w:rsidRPr="004D7008">
              <w:rPr>
                <w:rFonts w:eastAsia="Calibri"/>
                <w:sz w:val="18"/>
                <w:szCs w:val="18"/>
              </w:rPr>
              <w:t>87</w:t>
            </w:r>
          </w:p>
        </w:tc>
        <w:tc>
          <w:tcPr>
            <w:tcW w:w="270" w:type="dxa"/>
            <w:tcBorders>
              <w:top w:val="nil"/>
              <w:bottom w:val="nil"/>
              <w:right w:val="single" w:sz="4" w:space="0" w:color="auto"/>
            </w:tcBorders>
            <w:shd w:val="clear" w:color="auto" w:fill="auto"/>
            <w:vAlign w:val="center"/>
          </w:tcPr>
          <w:p w:rsidR="00111F4B" w:rsidRPr="00D220CE" w:rsidRDefault="00111F4B" w:rsidP="00D33B25">
            <w:pPr>
              <w:jc w:val="center"/>
              <w:rPr>
                <w:rFonts w:eastAsia="Calibri"/>
                <w:sz w:val="18"/>
                <w:szCs w:val="18"/>
                <w:highlight w:val="yellow"/>
              </w:rPr>
            </w:pPr>
          </w:p>
        </w:tc>
        <w:tc>
          <w:tcPr>
            <w:tcW w:w="2734" w:type="dxa"/>
            <w:tcBorders>
              <w:top w:val="single" w:sz="4" w:space="0" w:color="auto"/>
              <w:left w:val="single" w:sz="4" w:space="0" w:color="auto"/>
              <w:bottom w:val="single" w:sz="4" w:space="0" w:color="auto"/>
            </w:tcBorders>
            <w:shd w:val="clear" w:color="auto" w:fill="auto"/>
            <w:vAlign w:val="center"/>
          </w:tcPr>
          <w:p w:rsidR="00111F4B" w:rsidRPr="005E6809" w:rsidRDefault="00111F4B" w:rsidP="00D33B25">
            <w:pPr>
              <w:jc w:val="center"/>
              <w:rPr>
                <w:rFonts w:eastAsia="Calibri"/>
                <w:sz w:val="18"/>
                <w:szCs w:val="18"/>
              </w:rPr>
            </w:pPr>
            <w:r w:rsidRPr="005E6809">
              <w:rPr>
                <w:rFonts w:eastAsia="Calibri"/>
                <w:sz w:val="18"/>
                <w:szCs w:val="18"/>
              </w:rPr>
              <w:t>Anticipated Total Number of Project-Based Vouchers Committed at the End of the Fiscal Year</w:t>
            </w:r>
          </w:p>
        </w:tc>
        <w:tc>
          <w:tcPr>
            <w:tcW w:w="1874" w:type="dxa"/>
            <w:shd w:val="clear" w:color="auto" w:fill="BFBFBF"/>
            <w:vAlign w:val="center"/>
          </w:tcPr>
          <w:p w:rsidR="00111F4B" w:rsidRPr="005E6809" w:rsidRDefault="00231C83" w:rsidP="00D33B25">
            <w:pPr>
              <w:jc w:val="center"/>
              <w:rPr>
                <w:rFonts w:eastAsia="Calibri"/>
                <w:sz w:val="18"/>
                <w:szCs w:val="18"/>
              </w:rPr>
            </w:pPr>
            <w:r w:rsidRPr="005E6809">
              <w:rPr>
                <w:rFonts w:eastAsia="Calibri"/>
                <w:sz w:val="18"/>
                <w:szCs w:val="18"/>
              </w:rPr>
              <w:t>3,1</w:t>
            </w:r>
            <w:r w:rsidR="009B6B80" w:rsidRPr="005E6809">
              <w:rPr>
                <w:rFonts w:eastAsia="Calibri"/>
                <w:sz w:val="18"/>
                <w:szCs w:val="18"/>
              </w:rPr>
              <w:t>48*</w:t>
            </w:r>
          </w:p>
        </w:tc>
      </w:tr>
      <w:tr w:rsidR="00111F4B" w:rsidRPr="00D220CE" w:rsidTr="00D33B25">
        <w:tc>
          <w:tcPr>
            <w:tcW w:w="3348" w:type="dxa"/>
            <w:tcBorders>
              <w:top w:val="single" w:sz="4" w:space="0" w:color="auto"/>
              <w:left w:val="nil"/>
              <w:bottom w:val="nil"/>
              <w:right w:val="nil"/>
            </w:tcBorders>
            <w:shd w:val="clear" w:color="auto" w:fill="auto"/>
            <w:vAlign w:val="center"/>
          </w:tcPr>
          <w:p w:rsidR="00111F4B" w:rsidRPr="00D220CE" w:rsidRDefault="00111F4B" w:rsidP="00D33B25">
            <w:pPr>
              <w:jc w:val="center"/>
              <w:rPr>
                <w:rFonts w:eastAsia="Calibri"/>
                <w:sz w:val="18"/>
                <w:szCs w:val="18"/>
                <w:highlight w:val="yellow"/>
              </w:rPr>
            </w:pPr>
          </w:p>
        </w:tc>
        <w:tc>
          <w:tcPr>
            <w:tcW w:w="1350" w:type="dxa"/>
            <w:tcBorders>
              <w:left w:val="nil"/>
              <w:bottom w:val="nil"/>
              <w:right w:val="nil"/>
            </w:tcBorders>
            <w:shd w:val="clear" w:color="auto" w:fill="auto"/>
            <w:vAlign w:val="center"/>
          </w:tcPr>
          <w:p w:rsidR="00111F4B" w:rsidRPr="00D220CE" w:rsidRDefault="00111F4B" w:rsidP="00D33B25">
            <w:pPr>
              <w:jc w:val="center"/>
              <w:rPr>
                <w:rFonts w:eastAsia="Calibri"/>
                <w:sz w:val="18"/>
                <w:szCs w:val="18"/>
                <w:highlight w:val="yellow"/>
              </w:rPr>
            </w:pPr>
          </w:p>
        </w:tc>
        <w:tc>
          <w:tcPr>
            <w:tcW w:w="270" w:type="dxa"/>
            <w:tcBorders>
              <w:top w:val="nil"/>
              <w:left w:val="nil"/>
              <w:bottom w:val="nil"/>
              <w:right w:val="single" w:sz="4" w:space="0" w:color="auto"/>
            </w:tcBorders>
            <w:shd w:val="clear" w:color="auto" w:fill="auto"/>
            <w:vAlign w:val="center"/>
          </w:tcPr>
          <w:p w:rsidR="00111F4B" w:rsidRPr="00D220CE" w:rsidRDefault="00111F4B" w:rsidP="00D33B25">
            <w:pPr>
              <w:jc w:val="center"/>
              <w:rPr>
                <w:rFonts w:eastAsia="Calibri"/>
                <w:sz w:val="18"/>
                <w:szCs w:val="18"/>
                <w:highlight w:val="yellow"/>
              </w:rPr>
            </w:pPr>
          </w:p>
        </w:tc>
        <w:tc>
          <w:tcPr>
            <w:tcW w:w="2734" w:type="dxa"/>
            <w:tcBorders>
              <w:top w:val="single" w:sz="4" w:space="0" w:color="auto"/>
              <w:left w:val="single" w:sz="4" w:space="0" w:color="auto"/>
              <w:bottom w:val="single" w:sz="4" w:space="0" w:color="auto"/>
            </w:tcBorders>
            <w:shd w:val="clear" w:color="auto" w:fill="auto"/>
            <w:vAlign w:val="center"/>
          </w:tcPr>
          <w:p w:rsidR="00111F4B" w:rsidRPr="005E6809" w:rsidRDefault="00111F4B" w:rsidP="00D33B25">
            <w:pPr>
              <w:jc w:val="center"/>
              <w:rPr>
                <w:rFonts w:eastAsia="Calibri"/>
                <w:sz w:val="18"/>
                <w:szCs w:val="18"/>
              </w:rPr>
            </w:pPr>
            <w:r w:rsidRPr="005E6809">
              <w:rPr>
                <w:rFonts w:eastAsia="Calibri"/>
                <w:sz w:val="18"/>
                <w:szCs w:val="18"/>
              </w:rPr>
              <w:t>Anticipated Total Number of Project-Based Vouchers Leased Up or Issued to a Potential Tenant at the End of the Fiscal Year</w:t>
            </w:r>
          </w:p>
        </w:tc>
        <w:tc>
          <w:tcPr>
            <w:tcW w:w="1874" w:type="dxa"/>
            <w:shd w:val="clear" w:color="auto" w:fill="BFBFBF"/>
            <w:vAlign w:val="center"/>
          </w:tcPr>
          <w:p w:rsidR="00111F4B" w:rsidRPr="005E6809" w:rsidRDefault="00342B6D" w:rsidP="00D33B25">
            <w:pPr>
              <w:jc w:val="center"/>
              <w:rPr>
                <w:rFonts w:eastAsia="Calibri"/>
                <w:sz w:val="18"/>
                <w:szCs w:val="18"/>
              </w:rPr>
            </w:pPr>
            <w:r>
              <w:rPr>
                <w:rFonts w:eastAsia="Calibri"/>
                <w:sz w:val="18"/>
                <w:szCs w:val="18"/>
              </w:rPr>
              <w:t>2,991</w:t>
            </w:r>
            <w:r w:rsidR="009B6B80" w:rsidRPr="005E6809">
              <w:rPr>
                <w:rFonts w:eastAsia="Calibri"/>
                <w:sz w:val="18"/>
                <w:szCs w:val="18"/>
              </w:rPr>
              <w:t>**</w:t>
            </w:r>
          </w:p>
        </w:tc>
      </w:tr>
    </w:tbl>
    <w:p w:rsidR="00D33B25" w:rsidRDefault="00D33B25" w:rsidP="00111F4B">
      <w:pPr>
        <w:rPr>
          <w:i/>
          <w:sz w:val="18"/>
          <w:szCs w:val="18"/>
        </w:rPr>
      </w:pPr>
    </w:p>
    <w:p w:rsidR="009B6B80" w:rsidRDefault="00AE239E" w:rsidP="00111F4B">
      <w:pPr>
        <w:rPr>
          <w:i/>
          <w:sz w:val="16"/>
          <w:szCs w:val="18"/>
        </w:rPr>
      </w:pPr>
      <w:r w:rsidRPr="009B6B80">
        <w:rPr>
          <w:i/>
          <w:sz w:val="18"/>
          <w:szCs w:val="18"/>
        </w:rPr>
        <w:t xml:space="preserve">* </w:t>
      </w:r>
      <w:r w:rsidRPr="009B6B80">
        <w:rPr>
          <w:i/>
          <w:sz w:val="16"/>
          <w:szCs w:val="18"/>
        </w:rPr>
        <w:t xml:space="preserve">Of the </w:t>
      </w:r>
      <w:r w:rsidR="00757DB7" w:rsidRPr="009B6B80">
        <w:rPr>
          <w:i/>
          <w:sz w:val="16"/>
          <w:szCs w:val="18"/>
        </w:rPr>
        <w:t xml:space="preserve">total </w:t>
      </w:r>
      <w:r w:rsidR="009B6B80" w:rsidRPr="009B6B80">
        <w:rPr>
          <w:i/>
          <w:sz w:val="16"/>
          <w:szCs w:val="18"/>
        </w:rPr>
        <w:t xml:space="preserve">3,148 </w:t>
      </w:r>
      <w:r w:rsidRPr="009B6B80">
        <w:rPr>
          <w:i/>
          <w:sz w:val="16"/>
          <w:szCs w:val="18"/>
        </w:rPr>
        <w:t>PB vouchers anticipated to be leased by the end of FY 201</w:t>
      </w:r>
      <w:r w:rsidR="009B6B80" w:rsidRPr="009B6B80">
        <w:rPr>
          <w:i/>
          <w:sz w:val="16"/>
          <w:szCs w:val="18"/>
        </w:rPr>
        <w:t>7, 546</w:t>
      </w:r>
      <w:r w:rsidR="00757DB7" w:rsidRPr="009B6B80">
        <w:rPr>
          <w:i/>
          <w:sz w:val="16"/>
          <w:szCs w:val="18"/>
        </w:rPr>
        <w:t xml:space="preserve"> are Expiring Us</w:t>
      </w:r>
      <w:r w:rsidR="000C5149" w:rsidRPr="009B6B80">
        <w:rPr>
          <w:i/>
          <w:sz w:val="16"/>
          <w:szCs w:val="18"/>
        </w:rPr>
        <w:t>e</w:t>
      </w:r>
      <w:r w:rsidR="00697F7E" w:rsidRPr="009B6B80">
        <w:rPr>
          <w:i/>
          <w:sz w:val="16"/>
          <w:szCs w:val="18"/>
        </w:rPr>
        <w:t xml:space="preserve"> and </w:t>
      </w:r>
      <w:r w:rsidR="009B6B80" w:rsidRPr="009B6B80">
        <w:rPr>
          <w:i/>
          <w:sz w:val="16"/>
          <w:szCs w:val="18"/>
        </w:rPr>
        <w:t>825</w:t>
      </w:r>
      <w:r w:rsidR="00405CC4">
        <w:rPr>
          <w:i/>
          <w:sz w:val="16"/>
          <w:szCs w:val="18"/>
        </w:rPr>
        <w:t xml:space="preserve"> are RAD.  </w:t>
      </w:r>
      <w:r w:rsidR="00342B6D">
        <w:rPr>
          <w:i/>
          <w:sz w:val="16"/>
          <w:szCs w:val="18"/>
        </w:rPr>
        <w:t xml:space="preserve">Number reflects </w:t>
      </w:r>
      <w:r w:rsidR="009B6B80">
        <w:rPr>
          <w:i/>
          <w:sz w:val="16"/>
          <w:szCs w:val="18"/>
        </w:rPr>
        <w:t>tenant PBV choices pre-2017.</w:t>
      </w:r>
      <w:r w:rsidR="0060793A">
        <w:rPr>
          <w:i/>
          <w:sz w:val="16"/>
          <w:szCs w:val="18"/>
        </w:rPr>
        <w:t xml:space="preserve"> Actual leasing will be updated in the MTW report and will reflect tenant PBV choice for</w:t>
      </w:r>
      <w:r w:rsidR="005E6809">
        <w:rPr>
          <w:i/>
          <w:sz w:val="16"/>
          <w:szCs w:val="18"/>
        </w:rPr>
        <w:t xml:space="preserve"> new PBVs </w:t>
      </w:r>
      <w:r w:rsidR="000B1494">
        <w:rPr>
          <w:i/>
          <w:sz w:val="16"/>
          <w:szCs w:val="18"/>
        </w:rPr>
        <w:t>in FY</w:t>
      </w:r>
      <w:r w:rsidR="005E6809">
        <w:rPr>
          <w:i/>
          <w:sz w:val="16"/>
          <w:szCs w:val="18"/>
        </w:rPr>
        <w:t xml:space="preserve"> 2017.</w:t>
      </w:r>
    </w:p>
    <w:p w:rsidR="00342B6D" w:rsidRDefault="00405CC4" w:rsidP="00111F4B">
      <w:pPr>
        <w:rPr>
          <w:i/>
          <w:sz w:val="16"/>
          <w:szCs w:val="18"/>
        </w:rPr>
      </w:pPr>
      <w:r>
        <w:rPr>
          <w:i/>
          <w:sz w:val="16"/>
          <w:szCs w:val="18"/>
        </w:rPr>
        <w:t>**</w:t>
      </w:r>
      <w:r w:rsidR="00342B6D">
        <w:rPr>
          <w:i/>
          <w:sz w:val="16"/>
          <w:szCs w:val="18"/>
        </w:rPr>
        <w:t>Anticipated number of PBVs depends largely on the point during the year when the units are brought under contract, tenant choice</w:t>
      </w:r>
      <w:r w:rsidR="00940802">
        <w:rPr>
          <w:i/>
          <w:sz w:val="16"/>
          <w:szCs w:val="18"/>
        </w:rPr>
        <w:t xml:space="preserve"> and speed of leasing PBV units. </w:t>
      </w:r>
    </w:p>
    <w:p w:rsidR="004D530D" w:rsidRDefault="004D530D" w:rsidP="00111F4B">
      <w:pPr>
        <w:rPr>
          <w:i/>
          <w:sz w:val="16"/>
          <w:szCs w:val="18"/>
        </w:rPr>
      </w:pPr>
    </w:p>
    <w:p w:rsidR="004D530D" w:rsidRDefault="004D530D" w:rsidP="00111F4B">
      <w:pPr>
        <w:rPr>
          <w:i/>
          <w:sz w:val="16"/>
          <w:szCs w:val="18"/>
        </w:rPr>
      </w:pPr>
    </w:p>
    <w:p w:rsidR="00176111" w:rsidRDefault="00176111" w:rsidP="00111F4B">
      <w:pPr>
        <w:rPr>
          <w:i/>
          <w:sz w:val="16"/>
          <w:szCs w:val="18"/>
        </w:rPr>
      </w:pPr>
    </w:p>
    <w:p w:rsidR="00176111" w:rsidRDefault="00176111" w:rsidP="00111F4B">
      <w:pPr>
        <w:rPr>
          <w:i/>
          <w:sz w:val="16"/>
          <w:szCs w:val="18"/>
        </w:rPr>
      </w:pPr>
    </w:p>
    <w:p w:rsidR="00176111" w:rsidRPr="00624133" w:rsidRDefault="00176111" w:rsidP="00111F4B">
      <w:pPr>
        <w:rPr>
          <w:i/>
          <w:sz w:val="16"/>
          <w:szCs w:val="18"/>
        </w:rPr>
      </w:pPr>
    </w:p>
    <w:p w:rsidR="00111F4B" w:rsidRDefault="00F54531" w:rsidP="000020A5">
      <w:pPr>
        <w:rPr>
          <w:b/>
          <w:color w:val="000000"/>
        </w:rPr>
      </w:pPr>
      <w:r w:rsidRPr="00E20FEC">
        <w:rPr>
          <w:b/>
          <w:color w:val="000000"/>
        </w:rPr>
        <w:t>Other Changes to the Housing Stock Anticipated During the Fiscal Year</w:t>
      </w:r>
    </w:p>
    <w:p w:rsidR="0097146D" w:rsidRPr="00E20FEC" w:rsidRDefault="0097146D" w:rsidP="000020A5">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146D" w:rsidRPr="008908EA" w:rsidTr="008908EA">
        <w:tc>
          <w:tcPr>
            <w:tcW w:w="9576" w:type="dxa"/>
            <w:shd w:val="clear" w:color="auto" w:fill="auto"/>
          </w:tcPr>
          <w:p w:rsidR="0097146D" w:rsidRPr="008908EA" w:rsidRDefault="0097146D" w:rsidP="00285022">
            <w:pPr>
              <w:rPr>
                <w:rFonts w:ascii="Calibri" w:eastAsia="Calibri" w:hAnsi="Calibri"/>
                <w:color w:val="000000"/>
                <w:sz w:val="22"/>
                <w:szCs w:val="22"/>
              </w:rPr>
            </w:pPr>
            <w:r w:rsidRPr="00231C83">
              <w:rPr>
                <w:rFonts w:eastAsia="Calibri"/>
                <w:color w:val="000000"/>
                <w:sz w:val="18"/>
                <w:szCs w:val="18"/>
              </w:rPr>
              <w:t>This section is required by HUD.  DHCD has no housing stock and therefore does not anticipate any changes to the housing stock during the fiscal year.</w:t>
            </w:r>
          </w:p>
        </w:tc>
      </w:tr>
    </w:tbl>
    <w:p w:rsidR="00F54531" w:rsidRDefault="00F54531" w:rsidP="000020A5">
      <w:pPr>
        <w:rPr>
          <w:b/>
          <w:color w:val="000000"/>
        </w:rPr>
      </w:pPr>
    </w:p>
    <w:p w:rsidR="00285022" w:rsidRPr="00E20FEC" w:rsidRDefault="00285022" w:rsidP="000020A5">
      <w:pPr>
        <w:rPr>
          <w:b/>
          <w:color w:val="000000"/>
        </w:rPr>
      </w:pPr>
    </w:p>
    <w:p w:rsidR="00F54531" w:rsidRDefault="00F54531" w:rsidP="000020A5">
      <w:pPr>
        <w:rPr>
          <w:b/>
          <w:color w:val="000000"/>
        </w:rPr>
      </w:pPr>
      <w:r w:rsidRPr="00E20FEC">
        <w:rPr>
          <w:b/>
          <w:color w:val="000000"/>
        </w:rPr>
        <w:t>General Description of All Planned Capital Fund Expenditures During the Plan Year</w:t>
      </w:r>
    </w:p>
    <w:p w:rsidR="0097146D" w:rsidRPr="00E20FEC" w:rsidRDefault="0097146D" w:rsidP="000020A5">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146D" w:rsidRPr="008908EA" w:rsidTr="008908EA">
        <w:tc>
          <w:tcPr>
            <w:tcW w:w="9576" w:type="dxa"/>
            <w:shd w:val="clear" w:color="auto" w:fill="auto"/>
          </w:tcPr>
          <w:p w:rsidR="0097146D" w:rsidRPr="006C139B" w:rsidRDefault="0097146D" w:rsidP="006C139B">
            <w:pPr>
              <w:rPr>
                <w:rFonts w:eastAsia="Calibri"/>
                <w:color w:val="000000"/>
                <w:sz w:val="18"/>
                <w:szCs w:val="18"/>
              </w:rPr>
            </w:pPr>
            <w:r w:rsidRPr="00231C83">
              <w:rPr>
                <w:rFonts w:eastAsia="Calibri"/>
                <w:color w:val="000000"/>
                <w:sz w:val="18"/>
                <w:szCs w:val="18"/>
              </w:rPr>
              <w:t>This section is required by HUD.  DHCD has no housing stock and therefore will have no capital fund expenditures during the plan year.</w:t>
            </w:r>
          </w:p>
        </w:tc>
      </w:tr>
    </w:tbl>
    <w:p w:rsidR="0097146D" w:rsidRDefault="0097146D" w:rsidP="000020A5">
      <w:pPr>
        <w:rPr>
          <w:color w:val="000000"/>
        </w:rPr>
      </w:pPr>
    </w:p>
    <w:p w:rsidR="00F54531" w:rsidRPr="00F54531" w:rsidRDefault="00F54531" w:rsidP="000020A5">
      <w:pPr>
        <w:rPr>
          <w:color w:val="000000"/>
          <w:highlight w:val="yellow"/>
        </w:rPr>
      </w:pPr>
    </w:p>
    <w:p w:rsidR="00A74395" w:rsidRPr="00961873" w:rsidRDefault="00A74395" w:rsidP="00180053">
      <w:pPr>
        <w:pStyle w:val="Heading3"/>
      </w:pPr>
      <w:bookmarkStart w:id="8" w:name="_Toc415115898"/>
      <w:bookmarkStart w:id="9" w:name="_Toc444496087"/>
      <w:r w:rsidRPr="00961873">
        <w:t>Leasing Information</w:t>
      </w:r>
      <w:bookmarkEnd w:id="8"/>
      <w:bookmarkEnd w:id="9"/>
    </w:p>
    <w:p w:rsidR="00CA5D26" w:rsidRPr="003F655B" w:rsidRDefault="00CA5D26" w:rsidP="000020A5">
      <w:pPr>
        <w:rPr>
          <w:color w:val="000000"/>
          <w:highlight w:val="yellow"/>
        </w:rPr>
      </w:pPr>
    </w:p>
    <w:p w:rsidR="00A74395" w:rsidRPr="00BF3ECD" w:rsidRDefault="00A74395" w:rsidP="00A74395">
      <w:pPr>
        <w:rPr>
          <w:b/>
          <w:szCs w:val="28"/>
        </w:rPr>
      </w:pPr>
      <w:r w:rsidRPr="00BF3ECD">
        <w:rPr>
          <w:b/>
          <w:szCs w:val="28"/>
        </w:rPr>
        <w:t>Planned Number of Households Served at the End of the Fiscal Year</w:t>
      </w:r>
    </w:p>
    <w:p w:rsidR="00A74395" w:rsidRPr="003F655B" w:rsidRDefault="00A74395" w:rsidP="00A74395">
      <w:pPr>
        <w:rPr>
          <w:b/>
          <w:sz w:val="20"/>
          <w:highlight w:val="yellow"/>
        </w:rPr>
      </w:pPr>
    </w:p>
    <w:p w:rsidR="00714A49" w:rsidRPr="00757DB7" w:rsidRDefault="00A74395" w:rsidP="00A74395">
      <w:r w:rsidRPr="003F655B">
        <w:t>As required by HUD, the table below provides</w:t>
      </w:r>
      <w:r w:rsidR="00082158">
        <w:t xml:space="preserve"> information only on MTW households that </w:t>
      </w:r>
      <w:r w:rsidRPr="003F655B">
        <w:t>DHCD plans to serve during FY 201</w:t>
      </w:r>
      <w:r w:rsidR="00231E52">
        <w:t>7</w:t>
      </w:r>
      <w:r w:rsidRPr="003F655B">
        <w:t xml:space="preserve">.  </w:t>
      </w:r>
      <w:r w:rsidR="00A469EC">
        <w:t xml:space="preserve"> In total, in FY 2017 DHCD expects to serve </w:t>
      </w:r>
      <w:r w:rsidR="0073170A">
        <w:t>21,130</w:t>
      </w:r>
      <w:r w:rsidR="00A469EC">
        <w:t xml:space="preserve"> MTW and Non-MTW households.</w:t>
      </w:r>
    </w:p>
    <w:p w:rsidR="00714A49" w:rsidRPr="003F655B" w:rsidRDefault="00714A49" w:rsidP="00A74395">
      <w:pPr>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2373"/>
        <w:gridCol w:w="2072"/>
      </w:tblGrid>
      <w:tr w:rsidR="00A74395" w:rsidRPr="00AE490B" w:rsidTr="00D33B25">
        <w:tc>
          <w:tcPr>
            <w:tcW w:w="5058" w:type="dxa"/>
            <w:tcBorders>
              <w:top w:val="single" w:sz="4" w:space="0" w:color="auto"/>
              <w:left w:val="single" w:sz="4" w:space="0" w:color="auto"/>
              <w:bottom w:val="single" w:sz="4" w:space="0" w:color="auto"/>
            </w:tcBorders>
            <w:shd w:val="clear" w:color="auto" w:fill="D9D9D9" w:themeFill="background1" w:themeFillShade="D9"/>
          </w:tcPr>
          <w:p w:rsidR="00A74395" w:rsidRPr="00AE490B" w:rsidRDefault="00A74395" w:rsidP="004172B2">
            <w:pPr>
              <w:rPr>
                <w:rFonts w:eastAsia="Calibri"/>
                <w:b/>
                <w:sz w:val="18"/>
                <w:szCs w:val="18"/>
              </w:rPr>
            </w:pPr>
            <w:r w:rsidRPr="00AE490B">
              <w:rPr>
                <w:rFonts w:eastAsia="Calibri"/>
                <w:b/>
                <w:sz w:val="18"/>
                <w:szCs w:val="18"/>
              </w:rPr>
              <w:t>MTW Households to be Served Through:</w:t>
            </w:r>
          </w:p>
        </w:tc>
        <w:tc>
          <w:tcPr>
            <w:tcW w:w="2430" w:type="dxa"/>
            <w:tcBorders>
              <w:top w:val="single" w:sz="4" w:space="0" w:color="auto"/>
            </w:tcBorders>
            <w:shd w:val="clear" w:color="auto" w:fill="D9D9D9" w:themeFill="background1" w:themeFillShade="D9"/>
          </w:tcPr>
          <w:p w:rsidR="00A74395" w:rsidRPr="002F2F27" w:rsidRDefault="00A74395" w:rsidP="004172B2">
            <w:pPr>
              <w:jc w:val="center"/>
              <w:rPr>
                <w:rFonts w:eastAsia="Calibri"/>
                <w:b/>
                <w:sz w:val="18"/>
                <w:szCs w:val="18"/>
              </w:rPr>
            </w:pPr>
            <w:r w:rsidRPr="002F2F27">
              <w:rPr>
                <w:rFonts w:eastAsia="Calibri"/>
                <w:b/>
                <w:sz w:val="18"/>
                <w:szCs w:val="18"/>
              </w:rPr>
              <w:t>Planned Number of Households to be Served*</w:t>
            </w:r>
          </w:p>
        </w:tc>
        <w:tc>
          <w:tcPr>
            <w:tcW w:w="2088" w:type="dxa"/>
            <w:tcBorders>
              <w:top w:val="single" w:sz="4" w:space="0" w:color="auto"/>
            </w:tcBorders>
            <w:shd w:val="clear" w:color="auto" w:fill="D9D9D9" w:themeFill="background1" w:themeFillShade="D9"/>
          </w:tcPr>
          <w:p w:rsidR="00A74395" w:rsidRPr="002F2F27" w:rsidRDefault="00A74395" w:rsidP="004172B2">
            <w:pPr>
              <w:jc w:val="center"/>
              <w:rPr>
                <w:rFonts w:eastAsia="Calibri"/>
                <w:b/>
                <w:sz w:val="18"/>
                <w:szCs w:val="18"/>
              </w:rPr>
            </w:pPr>
            <w:r w:rsidRPr="002F2F27">
              <w:rPr>
                <w:rFonts w:eastAsia="Calibri"/>
                <w:b/>
                <w:sz w:val="18"/>
                <w:szCs w:val="18"/>
              </w:rPr>
              <w:t>Planned Number of Unit Months Occupied/Leased**</w:t>
            </w:r>
          </w:p>
        </w:tc>
      </w:tr>
      <w:tr w:rsidR="00A74395" w:rsidRPr="00AE490B" w:rsidTr="00D33B25">
        <w:tc>
          <w:tcPr>
            <w:tcW w:w="5058" w:type="dxa"/>
            <w:tcBorders>
              <w:top w:val="single" w:sz="4" w:space="0" w:color="auto"/>
              <w:left w:val="single" w:sz="4" w:space="0" w:color="auto"/>
              <w:bottom w:val="single" w:sz="4" w:space="0" w:color="auto"/>
            </w:tcBorders>
            <w:shd w:val="clear" w:color="auto" w:fill="auto"/>
          </w:tcPr>
          <w:p w:rsidR="00A74395" w:rsidRPr="00AE490B" w:rsidRDefault="00A74395" w:rsidP="004172B2">
            <w:pPr>
              <w:rPr>
                <w:rFonts w:eastAsia="Calibri"/>
                <w:sz w:val="18"/>
                <w:szCs w:val="18"/>
              </w:rPr>
            </w:pPr>
            <w:r w:rsidRPr="00AE490B">
              <w:rPr>
                <w:rFonts w:eastAsia="Calibri"/>
                <w:sz w:val="18"/>
                <w:szCs w:val="18"/>
              </w:rPr>
              <w:t>Federal MTW Public Housing Units to be Leased</w:t>
            </w:r>
          </w:p>
        </w:tc>
        <w:tc>
          <w:tcPr>
            <w:tcW w:w="2430" w:type="dxa"/>
            <w:shd w:val="clear" w:color="auto" w:fill="auto"/>
            <w:vAlign w:val="center"/>
          </w:tcPr>
          <w:p w:rsidR="00A74395" w:rsidRPr="002F2F27" w:rsidRDefault="0097146D" w:rsidP="00D33B25">
            <w:pPr>
              <w:jc w:val="center"/>
              <w:rPr>
                <w:rFonts w:eastAsia="Calibri"/>
                <w:sz w:val="18"/>
                <w:szCs w:val="18"/>
              </w:rPr>
            </w:pPr>
            <w:r w:rsidRPr="002F2F27">
              <w:rPr>
                <w:rFonts w:eastAsia="Calibri"/>
                <w:sz w:val="18"/>
                <w:szCs w:val="18"/>
              </w:rPr>
              <w:t>0</w:t>
            </w:r>
          </w:p>
        </w:tc>
        <w:tc>
          <w:tcPr>
            <w:tcW w:w="2088" w:type="dxa"/>
            <w:shd w:val="clear" w:color="auto" w:fill="auto"/>
            <w:vAlign w:val="center"/>
          </w:tcPr>
          <w:p w:rsidR="00A74395" w:rsidRPr="002F2F27" w:rsidRDefault="0097146D" w:rsidP="00D33B25">
            <w:pPr>
              <w:jc w:val="center"/>
              <w:rPr>
                <w:rFonts w:eastAsia="Calibri"/>
                <w:sz w:val="18"/>
                <w:szCs w:val="18"/>
              </w:rPr>
            </w:pPr>
            <w:r w:rsidRPr="002F2F27">
              <w:rPr>
                <w:rFonts w:eastAsia="Calibri"/>
                <w:sz w:val="18"/>
                <w:szCs w:val="18"/>
              </w:rPr>
              <w:t>0</w:t>
            </w:r>
          </w:p>
        </w:tc>
      </w:tr>
      <w:tr w:rsidR="00C73AD1" w:rsidRPr="00AE490B" w:rsidTr="00D33B25">
        <w:tc>
          <w:tcPr>
            <w:tcW w:w="5058" w:type="dxa"/>
            <w:tcBorders>
              <w:top w:val="single" w:sz="4" w:space="0" w:color="auto"/>
              <w:left w:val="single" w:sz="4" w:space="0" w:color="auto"/>
              <w:bottom w:val="single" w:sz="4" w:space="0" w:color="auto"/>
            </w:tcBorders>
            <w:shd w:val="clear" w:color="auto" w:fill="auto"/>
          </w:tcPr>
          <w:p w:rsidR="00C73AD1" w:rsidRPr="00AE490B" w:rsidRDefault="00C73AD1" w:rsidP="004172B2">
            <w:pPr>
              <w:rPr>
                <w:rFonts w:eastAsia="Calibri"/>
                <w:sz w:val="18"/>
                <w:szCs w:val="18"/>
              </w:rPr>
            </w:pPr>
            <w:r w:rsidRPr="00AE490B">
              <w:rPr>
                <w:rFonts w:eastAsia="Calibri"/>
                <w:sz w:val="18"/>
                <w:szCs w:val="18"/>
              </w:rPr>
              <w:t>Federal MTW Voucher (HCV) Units to be Utilized</w:t>
            </w:r>
          </w:p>
        </w:tc>
        <w:tc>
          <w:tcPr>
            <w:tcW w:w="2430" w:type="dxa"/>
            <w:shd w:val="clear" w:color="auto" w:fill="auto"/>
            <w:vAlign w:val="center"/>
          </w:tcPr>
          <w:p w:rsidR="00C73AD1" w:rsidRPr="002F2F27" w:rsidRDefault="00663DFF" w:rsidP="00D33B25">
            <w:pPr>
              <w:jc w:val="center"/>
              <w:rPr>
                <w:rFonts w:eastAsia="Calibri"/>
                <w:sz w:val="18"/>
                <w:szCs w:val="18"/>
              </w:rPr>
            </w:pPr>
            <w:r>
              <w:rPr>
                <w:rFonts w:eastAsia="Calibri"/>
                <w:sz w:val="18"/>
                <w:szCs w:val="18"/>
              </w:rPr>
              <w:t>20,459</w:t>
            </w:r>
          </w:p>
        </w:tc>
        <w:tc>
          <w:tcPr>
            <w:tcW w:w="2088" w:type="dxa"/>
            <w:shd w:val="clear" w:color="auto" w:fill="auto"/>
            <w:vAlign w:val="center"/>
          </w:tcPr>
          <w:p w:rsidR="00C73AD1" w:rsidRPr="002F2F27" w:rsidRDefault="009F291E" w:rsidP="00D33B25">
            <w:pPr>
              <w:jc w:val="center"/>
              <w:rPr>
                <w:rFonts w:eastAsia="Calibri"/>
                <w:sz w:val="18"/>
                <w:szCs w:val="18"/>
              </w:rPr>
            </w:pPr>
            <w:r w:rsidRPr="002F2F27">
              <w:rPr>
                <w:rFonts w:eastAsia="Calibri"/>
                <w:sz w:val="18"/>
                <w:szCs w:val="18"/>
              </w:rPr>
              <w:t>2</w:t>
            </w:r>
            <w:r w:rsidR="00663DFF">
              <w:rPr>
                <w:rFonts w:eastAsia="Calibri"/>
                <w:sz w:val="18"/>
                <w:szCs w:val="18"/>
              </w:rPr>
              <w:t>45,508</w:t>
            </w:r>
          </w:p>
        </w:tc>
      </w:tr>
      <w:tr w:rsidR="00C73AD1" w:rsidRPr="00AE490B" w:rsidTr="00D33B25">
        <w:tc>
          <w:tcPr>
            <w:tcW w:w="5058" w:type="dxa"/>
            <w:tcBorders>
              <w:top w:val="single" w:sz="4" w:space="0" w:color="auto"/>
              <w:left w:val="single" w:sz="4" w:space="0" w:color="auto"/>
              <w:bottom w:val="single" w:sz="4" w:space="0" w:color="auto"/>
            </w:tcBorders>
            <w:shd w:val="clear" w:color="auto" w:fill="auto"/>
          </w:tcPr>
          <w:p w:rsidR="00C73AD1" w:rsidRPr="00AE490B" w:rsidRDefault="00C73AD1" w:rsidP="004172B2">
            <w:pPr>
              <w:rPr>
                <w:rFonts w:eastAsia="Calibri"/>
                <w:sz w:val="18"/>
                <w:szCs w:val="18"/>
              </w:rPr>
            </w:pPr>
            <w:r w:rsidRPr="00AE490B">
              <w:rPr>
                <w:rFonts w:eastAsia="Calibri"/>
                <w:sz w:val="18"/>
                <w:szCs w:val="18"/>
              </w:rPr>
              <w:t>Number of Units to be Occupied/Leased through Local, Non-Traditional, MTW Funded, Property-Based Assistance Programs***</w:t>
            </w:r>
          </w:p>
        </w:tc>
        <w:tc>
          <w:tcPr>
            <w:tcW w:w="2430" w:type="dxa"/>
            <w:shd w:val="clear" w:color="auto" w:fill="auto"/>
            <w:vAlign w:val="center"/>
          </w:tcPr>
          <w:p w:rsidR="00C73AD1" w:rsidRPr="00C976FE" w:rsidRDefault="0097146D" w:rsidP="00D33B25">
            <w:pPr>
              <w:jc w:val="center"/>
              <w:rPr>
                <w:rFonts w:eastAsia="Calibri"/>
                <w:sz w:val="18"/>
                <w:szCs w:val="18"/>
              </w:rPr>
            </w:pPr>
            <w:r w:rsidRPr="00C976FE">
              <w:rPr>
                <w:rFonts w:eastAsia="Calibri"/>
                <w:sz w:val="18"/>
                <w:szCs w:val="18"/>
              </w:rPr>
              <w:t>0</w:t>
            </w:r>
          </w:p>
        </w:tc>
        <w:tc>
          <w:tcPr>
            <w:tcW w:w="2088" w:type="dxa"/>
            <w:shd w:val="clear" w:color="auto" w:fill="auto"/>
            <w:vAlign w:val="center"/>
          </w:tcPr>
          <w:p w:rsidR="00C73AD1" w:rsidRPr="00C976FE" w:rsidRDefault="0097146D" w:rsidP="00D33B25">
            <w:pPr>
              <w:jc w:val="center"/>
              <w:rPr>
                <w:rFonts w:eastAsia="Calibri"/>
                <w:sz w:val="18"/>
                <w:szCs w:val="18"/>
              </w:rPr>
            </w:pPr>
            <w:r w:rsidRPr="00C976FE">
              <w:rPr>
                <w:rFonts w:eastAsia="Calibri"/>
                <w:sz w:val="18"/>
                <w:szCs w:val="18"/>
              </w:rPr>
              <w:t>0</w:t>
            </w:r>
          </w:p>
        </w:tc>
      </w:tr>
      <w:tr w:rsidR="00C73AD1" w:rsidRPr="00AE490B" w:rsidTr="00D33B25">
        <w:tc>
          <w:tcPr>
            <w:tcW w:w="5058" w:type="dxa"/>
            <w:tcBorders>
              <w:top w:val="single" w:sz="4" w:space="0" w:color="auto"/>
              <w:left w:val="single" w:sz="4" w:space="0" w:color="auto"/>
              <w:bottom w:val="single" w:sz="4" w:space="0" w:color="auto"/>
            </w:tcBorders>
            <w:shd w:val="clear" w:color="auto" w:fill="auto"/>
          </w:tcPr>
          <w:p w:rsidR="00C73AD1" w:rsidRPr="00AE490B" w:rsidRDefault="00C73AD1" w:rsidP="004172B2">
            <w:pPr>
              <w:rPr>
                <w:rFonts w:eastAsia="Calibri"/>
                <w:sz w:val="18"/>
                <w:szCs w:val="18"/>
              </w:rPr>
            </w:pPr>
            <w:r w:rsidRPr="00AE490B">
              <w:rPr>
                <w:rFonts w:eastAsia="Calibri"/>
                <w:sz w:val="18"/>
                <w:szCs w:val="18"/>
              </w:rPr>
              <w:t>Number of Units to be Occupied/Leased through Local, Non-Traditional, MTW Funded, Tenant-Based Assistance Programs***</w:t>
            </w:r>
          </w:p>
        </w:tc>
        <w:tc>
          <w:tcPr>
            <w:tcW w:w="2430" w:type="dxa"/>
            <w:shd w:val="clear" w:color="auto" w:fill="auto"/>
            <w:vAlign w:val="center"/>
          </w:tcPr>
          <w:p w:rsidR="00C73AD1" w:rsidRPr="00C976FE" w:rsidRDefault="00C976FE" w:rsidP="00D33B25">
            <w:pPr>
              <w:jc w:val="center"/>
              <w:rPr>
                <w:rFonts w:eastAsia="Calibri"/>
                <w:sz w:val="18"/>
                <w:szCs w:val="18"/>
              </w:rPr>
            </w:pPr>
            <w:r w:rsidRPr="00C976FE">
              <w:rPr>
                <w:rFonts w:eastAsia="Calibri"/>
                <w:sz w:val="18"/>
                <w:szCs w:val="18"/>
              </w:rPr>
              <w:t>62</w:t>
            </w:r>
          </w:p>
        </w:tc>
        <w:tc>
          <w:tcPr>
            <w:tcW w:w="2088" w:type="dxa"/>
            <w:shd w:val="clear" w:color="auto" w:fill="auto"/>
            <w:vAlign w:val="center"/>
          </w:tcPr>
          <w:p w:rsidR="00C73AD1" w:rsidRPr="00C976FE" w:rsidRDefault="00C976FE" w:rsidP="00D33B25">
            <w:pPr>
              <w:jc w:val="center"/>
              <w:rPr>
                <w:rFonts w:eastAsia="Calibri"/>
                <w:sz w:val="18"/>
                <w:szCs w:val="18"/>
              </w:rPr>
            </w:pPr>
            <w:r w:rsidRPr="00C976FE">
              <w:rPr>
                <w:rFonts w:eastAsia="Calibri"/>
                <w:sz w:val="18"/>
                <w:szCs w:val="18"/>
              </w:rPr>
              <w:t>744</w:t>
            </w:r>
          </w:p>
        </w:tc>
      </w:tr>
      <w:tr w:rsidR="00A74395" w:rsidRPr="00AE490B" w:rsidTr="00D33B25">
        <w:tc>
          <w:tcPr>
            <w:tcW w:w="5058" w:type="dxa"/>
            <w:tcBorders>
              <w:top w:val="single" w:sz="4" w:space="0" w:color="auto"/>
              <w:left w:val="single" w:sz="4" w:space="0" w:color="auto"/>
              <w:bottom w:val="single" w:sz="4" w:space="0" w:color="auto"/>
            </w:tcBorders>
            <w:shd w:val="clear" w:color="auto" w:fill="auto"/>
          </w:tcPr>
          <w:p w:rsidR="00A74395" w:rsidRPr="00AE490B" w:rsidRDefault="00A74395" w:rsidP="004172B2">
            <w:pPr>
              <w:jc w:val="right"/>
              <w:rPr>
                <w:rFonts w:eastAsia="Calibri"/>
                <w:b/>
                <w:sz w:val="18"/>
                <w:szCs w:val="18"/>
              </w:rPr>
            </w:pPr>
            <w:r w:rsidRPr="00AE490B">
              <w:rPr>
                <w:rFonts w:eastAsia="Calibri"/>
                <w:b/>
                <w:sz w:val="18"/>
                <w:szCs w:val="18"/>
              </w:rPr>
              <w:t>Total Households Projected to be Served</w:t>
            </w:r>
          </w:p>
        </w:tc>
        <w:tc>
          <w:tcPr>
            <w:tcW w:w="2430" w:type="dxa"/>
            <w:shd w:val="clear" w:color="auto" w:fill="BFBFBF"/>
          </w:tcPr>
          <w:p w:rsidR="00A74395" w:rsidRPr="00C976FE" w:rsidRDefault="00C0041D" w:rsidP="004172B2">
            <w:pPr>
              <w:jc w:val="center"/>
              <w:rPr>
                <w:rFonts w:eastAsia="Calibri"/>
                <w:sz w:val="18"/>
                <w:szCs w:val="18"/>
              </w:rPr>
            </w:pPr>
            <w:r>
              <w:rPr>
                <w:rFonts w:eastAsia="Calibri"/>
                <w:sz w:val="18"/>
                <w:szCs w:val="18"/>
              </w:rPr>
              <w:t>20,</w:t>
            </w:r>
            <w:r w:rsidR="00663DFF">
              <w:rPr>
                <w:rFonts w:eastAsia="Calibri"/>
                <w:sz w:val="18"/>
                <w:szCs w:val="18"/>
              </w:rPr>
              <w:t>521</w:t>
            </w:r>
          </w:p>
        </w:tc>
        <w:tc>
          <w:tcPr>
            <w:tcW w:w="2088" w:type="dxa"/>
            <w:shd w:val="clear" w:color="auto" w:fill="BFBFBF"/>
          </w:tcPr>
          <w:p w:rsidR="00A74395" w:rsidRPr="00C976FE" w:rsidRDefault="00663DFF" w:rsidP="004172B2">
            <w:pPr>
              <w:jc w:val="center"/>
              <w:rPr>
                <w:rFonts w:eastAsia="Calibri"/>
                <w:sz w:val="18"/>
                <w:szCs w:val="18"/>
              </w:rPr>
            </w:pPr>
            <w:r>
              <w:rPr>
                <w:rFonts w:eastAsia="Calibri"/>
                <w:sz w:val="18"/>
                <w:szCs w:val="18"/>
              </w:rPr>
              <w:t>246,252</w:t>
            </w:r>
          </w:p>
        </w:tc>
      </w:tr>
    </w:tbl>
    <w:p w:rsidR="00D72B06" w:rsidRDefault="00D72B06" w:rsidP="00580AD1">
      <w:pPr>
        <w:rPr>
          <w:sz w:val="18"/>
          <w:szCs w:val="18"/>
        </w:rPr>
      </w:pPr>
    </w:p>
    <w:p w:rsidR="00580AD1" w:rsidRPr="00D72B06" w:rsidRDefault="00580AD1" w:rsidP="00580AD1">
      <w:pPr>
        <w:rPr>
          <w:i/>
          <w:sz w:val="18"/>
          <w:szCs w:val="18"/>
        </w:rPr>
      </w:pPr>
      <w:r w:rsidRPr="00D72B06">
        <w:rPr>
          <w:i/>
          <w:sz w:val="18"/>
          <w:szCs w:val="18"/>
        </w:rPr>
        <w:t>*Calculated by dividing the planned number of unit months occupied/leased by 12</w:t>
      </w:r>
    </w:p>
    <w:p w:rsidR="00580AD1" w:rsidRPr="00D72B06" w:rsidRDefault="00580AD1" w:rsidP="00580AD1">
      <w:pPr>
        <w:rPr>
          <w:i/>
          <w:sz w:val="18"/>
          <w:szCs w:val="18"/>
        </w:rPr>
      </w:pPr>
      <w:r w:rsidRPr="00D72B06">
        <w:rPr>
          <w:i/>
          <w:sz w:val="18"/>
          <w:szCs w:val="18"/>
        </w:rPr>
        <w:t>**Unit Months Occupied/Leased is the total number of months the PHA has leased/occupied units, according to unit category during the fiscal year.</w:t>
      </w:r>
    </w:p>
    <w:p w:rsidR="00580AD1" w:rsidRPr="00D72B06" w:rsidRDefault="00580AD1" w:rsidP="00501DB2">
      <w:pPr>
        <w:rPr>
          <w:i/>
          <w:sz w:val="18"/>
          <w:szCs w:val="18"/>
        </w:rPr>
      </w:pPr>
      <w:r w:rsidRPr="00D72B06">
        <w:rPr>
          <w:i/>
          <w:sz w:val="18"/>
          <w:szCs w:val="18"/>
        </w:rPr>
        <w:t>***In instances when a local, non-traditional program provides a certain subsidy level but does not specify a number of unit/households to be served, the PHA should estimate the number of households to be served.</w:t>
      </w:r>
    </w:p>
    <w:p w:rsidR="002F2F27" w:rsidRDefault="002F2F27" w:rsidP="00501DB2">
      <w:pPr>
        <w:rPr>
          <w:i/>
          <w:sz w:val="18"/>
          <w:szCs w:val="18"/>
        </w:rPr>
      </w:pPr>
    </w:p>
    <w:p w:rsidR="00A469EC" w:rsidRPr="00A469EC" w:rsidRDefault="00A469EC" w:rsidP="00501DB2">
      <w:pPr>
        <w:rPr>
          <w:szCs w:val="18"/>
        </w:rPr>
      </w:pPr>
      <w:r>
        <w:rPr>
          <w:szCs w:val="18"/>
        </w:rPr>
        <w:t>DHCD is also providing the following table to show Non-MTW vouchers projected to be leased during FY 2017</w:t>
      </w:r>
    </w:p>
    <w:p w:rsidR="00A469EC" w:rsidRPr="003F655B" w:rsidRDefault="00A469EC" w:rsidP="00A469EC">
      <w:pPr>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2379"/>
        <w:gridCol w:w="2067"/>
      </w:tblGrid>
      <w:tr w:rsidR="00A469EC" w:rsidRPr="00AE490B" w:rsidTr="00A469EC">
        <w:tc>
          <w:tcPr>
            <w:tcW w:w="5058" w:type="dxa"/>
            <w:tcBorders>
              <w:top w:val="single" w:sz="4" w:space="0" w:color="auto"/>
              <w:left w:val="single" w:sz="4" w:space="0" w:color="auto"/>
              <w:bottom w:val="single" w:sz="4" w:space="0" w:color="auto"/>
            </w:tcBorders>
            <w:shd w:val="clear" w:color="auto" w:fill="D9D9D9" w:themeFill="background1" w:themeFillShade="D9"/>
          </w:tcPr>
          <w:p w:rsidR="00A469EC" w:rsidRPr="00AE490B" w:rsidRDefault="00A469EC" w:rsidP="00A469EC">
            <w:pPr>
              <w:rPr>
                <w:rFonts w:eastAsia="Calibri"/>
                <w:b/>
                <w:sz w:val="18"/>
                <w:szCs w:val="18"/>
              </w:rPr>
            </w:pPr>
            <w:r>
              <w:rPr>
                <w:rFonts w:eastAsia="Calibri"/>
                <w:b/>
                <w:sz w:val="18"/>
                <w:szCs w:val="18"/>
              </w:rPr>
              <w:t>Non-</w:t>
            </w:r>
            <w:r w:rsidRPr="00AE490B">
              <w:rPr>
                <w:rFonts w:eastAsia="Calibri"/>
                <w:b/>
                <w:sz w:val="18"/>
                <w:szCs w:val="18"/>
              </w:rPr>
              <w:t>MTW Households to be Served Through:</w:t>
            </w:r>
          </w:p>
        </w:tc>
        <w:tc>
          <w:tcPr>
            <w:tcW w:w="2430" w:type="dxa"/>
            <w:tcBorders>
              <w:top w:val="single" w:sz="4" w:space="0" w:color="auto"/>
            </w:tcBorders>
            <w:shd w:val="clear" w:color="auto" w:fill="D9D9D9" w:themeFill="background1" w:themeFillShade="D9"/>
          </w:tcPr>
          <w:p w:rsidR="00A469EC" w:rsidRPr="002F2F27" w:rsidRDefault="00A469EC" w:rsidP="00A469EC">
            <w:pPr>
              <w:jc w:val="center"/>
              <w:rPr>
                <w:rFonts w:eastAsia="Calibri"/>
                <w:b/>
                <w:sz w:val="18"/>
                <w:szCs w:val="18"/>
              </w:rPr>
            </w:pPr>
            <w:r w:rsidRPr="002F2F27">
              <w:rPr>
                <w:rFonts w:eastAsia="Calibri"/>
                <w:b/>
                <w:sz w:val="18"/>
                <w:szCs w:val="18"/>
              </w:rPr>
              <w:t>Planned Nu</w:t>
            </w:r>
            <w:r>
              <w:rPr>
                <w:rFonts w:eastAsia="Calibri"/>
                <w:b/>
                <w:sz w:val="18"/>
                <w:szCs w:val="18"/>
              </w:rPr>
              <w:t>mber of Households to be Served</w:t>
            </w:r>
          </w:p>
        </w:tc>
        <w:tc>
          <w:tcPr>
            <w:tcW w:w="2088" w:type="dxa"/>
            <w:tcBorders>
              <w:top w:val="single" w:sz="4" w:space="0" w:color="auto"/>
            </w:tcBorders>
            <w:shd w:val="clear" w:color="auto" w:fill="D9D9D9" w:themeFill="background1" w:themeFillShade="D9"/>
          </w:tcPr>
          <w:p w:rsidR="00A469EC" w:rsidRPr="002F2F27" w:rsidRDefault="00A469EC" w:rsidP="00A469EC">
            <w:pPr>
              <w:jc w:val="center"/>
              <w:rPr>
                <w:rFonts w:eastAsia="Calibri"/>
                <w:b/>
                <w:sz w:val="18"/>
                <w:szCs w:val="18"/>
              </w:rPr>
            </w:pPr>
            <w:r w:rsidRPr="002F2F27">
              <w:rPr>
                <w:rFonts w:eastAsia="Calibri"/>
                <w:b/>
                <w:sz w:val="18"/>
                <w:szCs w:val="18"/>
              </w:rPr>
              <w:t xml:space="preserve">Planned Number </w:t>
            </w:r>
            <w:r>
              <w:rPr>
                <w:rFonts w:eastAsia="Calibri"/>
                <w:b/>
                <w:sz w:val="18"/>
                <w:szCs w:val="18"/>
              </w:rPr>
              <w:t>of Unit Months Occupied/Leased</w:t>
            </w:r>
          </w:p>
        </w:tc>
      </w:tr>
      <w:tr w:rsidR="00A469EC" w:rsidRPr="00AE490B" w:rsidTr="00A469EC">
        <w:trPr>
          <w:trHeight w:val="260"/>
        </w:trPr>
        <w:tc>
          <w:tcPr>
            <w:tcW w:w="5058" w:type="dxa"/>
            <w:tcBorders>
              <w:top w:val="single" w:sz="4" w:space="0" w:color="auto"/>
              <w:left w:val="single" w:sz="4" w:space="0" w:color="auto"/>
              <w:bottom w:val="single" w:sz="4" w:space="0" w:color="auto"/>
            </w:tcBorders>
            <w:shd w:val="clear" w:color="auto" w:fill="auto"/>
          </w:tcPr>
          <w:p w:rsidR="00A469EC" w:rsidRPr="00AE490B" w:rsidRDefault="00A469EC" w:rsidP="00A469EC">
            <w:pPr>
              <w:rPr>
                <w:rFonts w:eastAsia="Calibri"/>
                <w:sz w:val="18"/>
                <w:szCs w:val="18"/>
              </w:rPr>
            </w:pPr>
            <w:r>
              <w:rPr>
                <w:rFonts w:eastAsia="Calibri"/>
                <w:sz w:val="18"/>
                <w:szCs w:val="18"/>
              </w:rPr>
              <w:t>VASH</w:t>
            </w:r>
          </w:p>
        </w:tc>
        <w:tc>
          <w:tcPr>
            <w:tcW w:w="2430" w:type="dxa"/>
            <w:shd w:val="clear" w:color="auto" w:fill="auto"/>
            <w:vAlign w:val="center"/>
          </w:tcPr>
          <w:p w:rsidR="00A469EC" w:rsidRPr="002F2F27" w:rsidRDefault="001C041F" w:rsidP="00A469EC">
            <w:pPr>
              <w:jc w:val="center"/>
              <w:rPr>
                <w:rFonts w:eastAsia="Calibri"/>
                <w:sz w:val="18"/>
                <w:szCs w:val="18"/>
              </w:rPr>
            </w:pPr>
            <w:r>
              <w:rPr>
                <w:rFonts w:eastAsia="Calibri"/>
                <w:sz w:val="18"/>
                <w:szCs w:val="18"/>
              </w:rPr>
              <w:t>538</w:t>
            </w:r>
          </w:p>
        </w:tc>
        <w:tc>
          <w:tcPr>
            <w:tcW w:w="2088" w:type="dxa"/>
            <w:shd w:val="clear" w:color="auto" w:fill="auto"/>
            <w:vAlign w:val="center"/>
          </w:tcPr>
          <w:p w:rsidR="00A469EC" w:rsidRPr="002F2F27" w:rsidRDefault="001C041F" w:rsidP="00A469EC">
            <w:pPr>
              <w:jc w:val="center"/>
              <w:rPr>
                <w:rFonts w:eastAsia="Calibri"/>
                <w:sz w:val="18"/>
                <w:szCs w:val="18"/>
              </w:rPr>
            </w:pPr>
            <w:r>
              <w:rPr>
                <w:rFonts w:eastAsia="Calibri"/>
                <w:sz w:val="18"/>
                <w:szCs w:val="18"/>
              </w:rPr>
              <w:t>6,456</w:t>
            </w:r>
          </w:p>
        </w:tc>
      </w:tr>
      <w:tr w:rsidR="00A469EC" w:rsidRPr="00AE490B" w:rsidTr="00A469EC">
        <w:tc>
          <w:tcPr>
            <w:tcW w:w="5058" w:type="dxa"/>
            <w:tcBorders>
              <w:top w:val="single" w:sz="4" w:space="0" w:color="auto"/>
              <w:left w:val="single" w:sz="4" w:space="0" w:color="auto"/>
              <w:bottom w:val="single" w:sz="4" w:space="0" w:color="auto"/>
            </w:tcBorders>
            <w:shd w:val="clear" w:color="auto" w:fill="auto"/>
          </w:tcPr>
          <w:p w:rsidR="00A469EC" w:rsidRPr="00AE490B" w:rsidRDefault="00A469EC" w:rsidP="00A469EC">
            <w:pPr>
              <w:rPr>
                <w:rFonts w:eastAsia="Calibri"/>
                <w:sz w:val="18"/>
                <w:szCs w:val="18"/>
              </w:rPr>
            </w:pPr>
            <w:r>
              <w:rPr>
                <w:rFonts w:eastAsia="Calibri"/>
                <w:sz w:val="18"/>
                <w:szCs w:val="18"/>
              </w:rPr>
              <w:t>Mainstream 5</w:t>
            </w:r>
          </w:p>
        </w:tc>
        <w:tc>
          <w:tcPr>
            <w:tcW w:w="2430" w:type="dxa"/>
            <w:shd w:val="clear" w:color="auto" w:fill="auto"/>
            <w:vAlign w:val="center"/>
          </w:tcPr>
          <w:p w:rsidR="00A469EC" w:rsidRPr="002F2F27" w:rsidRDefault="00A469EC" w:rsidP="00A469EC">
            <w:pPr>
              <w:jc w:val="center"/>
              <w:rPr>
                <w:rFonts w:eastAsia="Calibri"/>
                <w:sz w:val="18"/>
                <w:szCs w:val="18"/>
              </w:rPr>
            </w:pPr>
            <w:r>
              <w:rPr>
                <w:rFonts w:eastAsia="Calibri"/>
                <w:sz w:val="18"/>
                <w:szCs w:val="18"/>
              </w:rPr>
              <w:t>71</w:t>
            </w:r>
          </w:p>
        </w:tc>
        <w:tc>
          <w:tcPr>
            <w:tcW w:w="2088" w:type="dxa"/>
            <w:shd w:val="clear" w:color="auto" w:fill="auto"/>
            <w:vAlign w:val="center"/>
          </w:tcPr>
          <w:p w:rsidR="00A469EC" w:rsidRPr="002F2F27" w:rsidRDefault="00A469EC" w:rsidP="00A469EC">
            <w:pPr>
              <w:jc w:val="center"/>
              <w:rPr>
                <w:rFonts w:eastAsia="Calibri"/>
                <w:sz w:val="18"/>
                <w:szCs w:val="18"/>
              </w:rPr>
            </w:pPr>
            <w:r>
              <w:rPr>
                <w:rFonts w:eastAsia="Calibri"/>
                <w:sz w:val="18"/>
                <w:szCs w:val="18"/>
              </w:rPr>
              <w:t>852</w:t>
            </w:r>
          </w:p>
        </w:tc>
      </w:tr>
      <w:tr w:rsidR="00A469EC" w:rsidRPr="00AE490B" w:rsidTr="00A469EC">
        <w:tc>
          <w:tcPr>
            <w:tcW w:w="5058" w:type="dxa"/>
            <w:tcBorders>
              <w:top w:val="single" w:sz="4" w:space="0" w:color="auto"/>
              <w:left w:val="single" w:sz="4" w:space="0" w:color="auto"/>
              <w:bottom w:val="single" w:sz="4" w:space="0" w:color="auto"/>
            </w:tcBorders>
            <w:shd w:val="clear" w:color="auto" w:fill="auto"/>
          </w:tcPr>
          <w:p w:rsidR="00A469EC" w:rsidRPr="00AE490B" w:rsidRDefault="00A469EC" w:rsidP="00A469EC">
            <w:pPr>
              <w:jc w:val="right"/>
              <w:rPr>
                <w:rFonts w:eastAsia="Calibri"/>
                <w:b/>
                <w:sz w:val="18"/>
                <w:szCs w:val="18"/>
              </w:rPr>
            </w:pPr>
            <w:r w:rsidRPr="00AE490B">
              <w:rPr>
                <w:rFonts w:eastAsia="Calibri"/>
                <w:b/>
                <w:sz w:val="18"/>
                <w:szCs w:val="18"/>
              </w:rPr>
              <w:t>Total Households Projected to be Served</w:t>
            </w:r>
          </w:p>
        </w:tc>
        <w:tc>
          <w:tcPr>
            <w:tcW w:w="2430" w:type="dxa"/>
            <w:shd w:val="clear" w:color="auto" w:fill="BFBFBF"/>
          </w:tcPr>
          <w:p w:rsidR="00A469EC" w:rsidRPr="00C976FE" w:rsidRDefault="001C041F" w:rsidP="00A469EC">
            <w:pPr>
              <w:jc w:val="center"/>
              <w:rPr>
                <w:rFonts w:eastAsia="Calibri"/>
                <w:sz w:val="18"/>
                <w:szCs w:val="18"/>
              </w:rPr>
            </w:pPr>
            <w:r>
              <w:rPr>
                <w:rFonts w:eastAsia="Calibri"/>
                <w:sz w:val="18"/>
                <w:szCs w:val="18"/>
              </w:rPr>
              <w:t>609</w:t>
            </w:r>
          </w:p>
        </w:tc>
        <w:tc>
          <w:tcPr>
            <w:tcW w:w="2088" w:type="dxa"/>
            <w:shd w:val="clear" w:color="auto" w:fill="BFBFBF"/>
          </w:tcPr>
          <w:p w:rsidR="00A469EC" w:rsidRPr="00C976FE" w:rsidRDefault="001C041F" w:rsidP="00A469EC">
            <w:pPr>
              <w:jc w:val="center"/>
              <w:rPr>
                <w:rFonts w:eastAsia="Calibri"/>
                <w:sz w:val="18"/>
                <w:szCs w:val="18"/>
              </w:rPr>
            </w:pPr>
            <w:r>
              <w:rPr>
                <w:rFonts w:eastAsia="Calibri"/>
                <w:sz w:val="18"/>
                <w:szCs w:val="18"/>
              </w:rPr>
              <w:t>7,308</w:t>
            </w:r>
          </w:p>
        </w:tc>
      </w:tr>
    </w:tbl>
    <w:p w:rsidR="00A469EC" w:rsidRDefault="00A469EC" w:rsidP="00501DB2">
      <w:pPr>
        <w:rPr>
          <w:i/>
          <w:sz w:val="18"/>
          <w:szCs w:val="18"/>
        </w:rPr>
      </w:pPr>
    </w:p>
    <w:p w:rsidR="00A469EC" w:rsidRDefault="00A469EC" w:rsidP="00501DB2">
      <w:pPr>
        <w:rPr>
          <w:i/>
          <w:sz w:val="18"/>
          <w:szCs w:val="18"/>
        </w:rPr>
      </w:pPr>
    </w:p>
    <w:p w:rsidR="00A469EC" w:rsidRPr="002F2F27" w:rsidRDefault="00A469EC" w:rsidP="00501DB2">
      <w:pPr>
        <w:rPr>
          <w:i/>
          <w:sz w:val="18"/>
          <w:szCs w:val="18"/>
        </w:rPr>
      </w:pPr>
    </w:p>
    <w:p w:rsidR="00A74395" w:rsidRPr="00BF3ECD" w:rsidRDefault="00A74395" w:rsidP="000020A5">
      <w:pPr>
        <w:rPr>
          <w:b/>
          <w:szCs w:val="28"/>
        </w:rPr>
      </w:pPr>
      <w:r w:rsidRPr="00BF3ECD">
        <w:rPr>
          <w:b/>
          <w:szCs w:val="28"/>
        </w:rPr>
        <w:t>Reporting Compliance with Statutory MTW Requirements</w:t>
      </w:r>
    </w:p>
    <w:p w:rsidR="003F655B" w:rsidRDefault="003F655B" w:rsidP="000020A5">
      <w:pPr>
        <w:rPr>
          <w:b/>
          <w:sz w:val="22"/>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35E9" w:rsidRPr="008908EA" w:rsidTr="008908EA">
        <w:tc>
          <w:tcPr>
            <w:tcW w:w="9576" w:type="dxa"/>
            <w:shd w:val="clear" w:color="auto" w:fill="auto"/>
          </w:tcPr>
          <w:p w:rsidR="002935E9" w:rsidRPr="00231C83" w:rsidRDefault="002935E9" w:rsidP="008908EA">
            <w:pPr>
              <w:jc w:val="both"/>
              <w:rPr>
                <w:rFonts w:eastAsia="Calibri"/>
                <w:sz w:val="18"/>
                <w:szCs w:val="18"/>
              </w:rPr>
            </w:pPr>
            <w:r w:rsidRPr="00231C83">
              <w:rPr>
                <w:rFonts w:eastAsia="Calibri"/>
                <w:sz w:val="18"/>
                <w:szCs w:val="18"/>
              </w:rPr>
              <w:t>DHCD is in compliance with its MTW statutory requirements.</w:t>
            </w:r>
          </w:p>
          <w:p w:rsidR="002935E9" w:rsidRPr="008908EA" w:rsidRDefault="002935E9" w:rsidP="008908EA">
            <w:pPr>
              <w:jc w:val="center"/>
              <w:rPr>
                <w:rFonts w:ascii="Calibri" w:eastAsia="Calibri" w:hAnsi="Calibri"/>
                <w:b/>
                <w:sz w:val="22"/>
                <w:szCs w:val="28"/>
                <w:highlight w:val="yellow"/>
              </w:rPr>
            </w:pPr>
          </w:p>
        </w:tc>
      </w:tr>
    </w:tbl>
    <w:p w:rsidR="002935E9" w:rsidRPr="003F655B" w:rsidRDefault="002935E9" w:rsidP="000020A5">
      <w:pPr>
        <w:rPr>
          <w:b/>
          <w:sz w:val="22"/>
          <w:szCs w:val="28"/>
          <w:highlight w:val="yellow"/>
        </w:rPr>
      </w:pPr>
    </w:p>
    <w:p w:rsidR="00C73AD1" w:rsidRPr="00EF3990" w:rsidRDefault="00C73AD1" w:rsidP="000020A5">
      <w:pPr>
        <w:rPr>
          <w:b/>
          <w:sz w:val="22"/>
          <w:szCs w:val="28"/>
        </w:rPr>
      </w:pPr>
      <w:r w:rsidRPr="00EF3990">
        <w:rPr>
          <w:b/>
          <w:sz w:val="22"/>
          <w:szCs w:val="28"/>
        </w:rPr>
        <w:t xml:space="preserve">Description of any Anticipated Issues Related to Leasing of </w:t>
      </w:r>
      <w:r w:rsidR="002935E9">
        <w:rPr>
          <w:b/>
          <w:sz w:val="22"/>
          <w:szCs w:val="28"/>
        </w:rPr>
        <w:t xml:space="preserve">Public Housing, </w:t>
      </w:r>
      <w:r w:rsidRPr="00EF3990">
        <w:rPr>
          <w:b/>
          <w:sz w:val="22"/>
          <w:szCs w:val="28"/>
        </w:rPr>
        <w:t>Housing Choice Vouchers and/or Local, Non-Traditional Units and Possible Solutions</w:t>
      </w:r>
    </w:p>
    <w:p w:rsidR="00C73AD1" w:rsidRPr="003C7403" w:rsidRDefault="00C73AD1" w:rsidP="000020A5">
      <w:pPr>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68"/>
        <w:gridCol w:w="7114"/>
      </w:tblGrid>
      <w:tr w:rsidR="00C73AD1" w:rsidRPr="00EF3990" w:rsidTr="00D33B25">
        <w:tc>
          <w:tcPr>
            <w:tcW w:w="1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3AD1" w:rsidRPr="00EF3990" w:rsidRDefault="00C73AD1" w:rsidP="004172B2">
            <w:pPr>
              <w:jc w:val="center"/>
              <w:rPr>
                <w:rFonts w:eastAsia="Calibri"/>
                <w:b/>
                <w:sz w:val="22"/>
              </w:rPr>
            </w:pPr>
            <w:r w:rsidRPr="00EF3990">
              <w:rPr>
                <w:rFonts w:eastAsia="Calibri"/>
                <w:b/>
                <w:sz w:val="22"/>
              </w:rPr>
              <w:t>Housing Program</w:t>
            </w:r>
          </w:p>
        </w:tc>
        <w:tc>
          <w:tcPr>
            <w:tcW w:w="270" w:type="dxa"/>
            <w:tcBorders>
              <w:top w:val="nil"/>
              <w:left w:val="single" w:sz="4" w:space="0" w:color="auto"/>
              <w:bottom w:val="nil"/>
              <w:right w:val="single" w:sz="4" w:space="0" w:color="auto"/>
            </w:tcBorders>
            <w:shd w:val="clear" w:color="auto" w:fill="auto"/>
          </w:tcPr>
          <w:p w:rsidR="00C73AD1" w:rsidRPr="00EF3990" w:rsidRDefault="00C73AD1">
            <w:pPr>
              <w:rPr>
                <w:rFonts w:eastAsia="Calibri"/>
                <w:b/>
                <w:sz w:val="22"/>
              </w:rPr>
            </w:pPr>
          </w:p>
        </w:tc>
        <w:tc>
          <w:tcPr>
            <w:tcW w:w="7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3AD1" w:rsidRPr="00EF3990" w:rsidRDefault="00C73AD1" w:rsidP="004172B2">
            <w:pPr>
              <w:jc w:val="center"/>
              <w:rPr>
                <w:rFonts w:eastAsia="Calibri"/>
                <w:b/>
                <w:sz w:val="22"/>
              </w:rPr>
            </w:pPr>
            <w:r w:rsidRPr="00EF3990">
              <w:rPr>
                <w:rFonts w:eastAsia="Calibri"/>
                <w:b/>
                <w:sz w:val="22"/>
              </w:rPr>
              <w:t>Description of Anticipated Leasing Issues and Possible Solutions</w:t>
            </w:r>
          </w:p>
        </w:tc>
      </w:tr>
      <w:tr w:rsidR="00C73AD1" w:rsidRPr="00EF3990" w:rsidTr="00D33B25">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C73AD1" w:rsidRPr="007F69AC" w:rsidRDefault="007C0A27" w:rsidP="004172B2">
            <w:pPr>
              <w:jc w:val="center"/>
              <w:rPr>
                <w:rFonts w:eastAsia="Calibri"/>
                <w:sz w:val="18"/>
                <w:szCs w:val="18"/>
              </w:rPr>
            </w:pPr>
            <w:r>
              <w:rPr>
                <w:rFonts w:eastAsia="Calibri"/>
                <w:sz w:val="18"/>
                <w:szCs w:val="18"/>
              </w:rPr>
              <w:t>Tenant-Based Local,</w:t>
            </w:r>
            <w:r w:rsidR="00481EE7">
              <w:rPr>
                <w:rFonts w:eastAsia="Calibri"/>
                <w:sz w:val="18"/>
                <w:szCs w:val="18"/>
              </w:rPr>
              <w:t xml:space="preserve"> Non-Traditional MTW Housing Assistance Program</w:t>
            </w:r>
            <w:r>
              <w:rPr>
                <w:rFonts w:eastAsia="Calibri"/>
                <w:sz w:val="18"/>
                <w:szCs w:val="18"/>
              </w:rPr>
              <w:t xml:space="preserve"> </w:t>
            </w:r>
          </w:p>
        </w:tc>
        <w:tc>
          <w:tcPr>
            <w:tcW w:w="270" w:type="dxa"/>
            <w:tcBorders>
              <w:top w:val="nil"/>
              <w:left w:val="single" w:sz="4" w:space="0" w:color="auto"/>
              <w:bottom w:val="nil"/>
              <w:right w:val="single" w:sz="4" w:space="0" w:color="auto"/>
            </w:tcBorders>
            <w:shd w:val="clear" w:color="auto" w:fill="auto"/>
          </w:tcPr>
          <w:p w:rsidR="00C73AD1" w:rsidRPr="007F69AC" w:rsidRDefault="00C73AD1">
            <w:pPr>
              <w:rPr>
                <w:rFonts w:eastAsia="Calibri"/>
                <w:sz w:val="18"/>
                <w:szCs w:val="18"/>
              </w:rPr>
            </w:pPr>
          </w:p>
        </w:tc>
        <w:tc>
          <w:tcPr>
            <w:tcW w:w="7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AD1" w:rsidRPr="007F69AC" w:rsidRDefault="00365AFB" w:rsidP="00D33B25">
            <w:pPr>
              <w:rPr>
                <w:rFonts w:eastAsia="Calibri"/>
                <w:sz w:val="18"/>
                <w:szCs w:val="18"/>
              </w:rPr>
            </w:pPr>
            <w:r w:rsidRPr="007F69AC">
              <w:rPr>
                <w:rFonts w:eastAsia="Calibri"/>
                <w:sz w:val="18"/>
                <w:szCs w:val="18"/>
              </w:rPr>
              <w:t>Referrals</w:t>
            </w:r>
            <w:r w:rsidR="00474E0E" w:rsidRPr="007F69AC">
              <w:rPr>
                <w:rFonts w:eastAsia="Calibri"/>
                <w:sz w:val="18"/>
                <w:szCs w:val="18"/>
              </w:rPr>
              <w:t xml:space="preserve"> to</w:t>
            </w:r>
            <w:r w:rsidRPr="007F69AC">
              <w:rPr>
                <w:rFonts w:eastAsia="Calibri"/>
                <w:sz w:val="18"/>
                <w:szCs w:val="18"/>
              </w:rPr>
              <w:t xml:space="preserve"> and enrollmen</w:t>
            </w:r>
            <w:r w:rsidR="00474E0E" w:rsidRPr="007F69AC">
              <w:rPr>
                <w:rFonts w:eastAsia="Calibri"/>
                <w:sz w:val="18"/>
                <w:szCs w:val="18"/>
              </w:rPr>
              <w:t>t in the FES and YTTSP programs occur throughout the year.  As such, planned leasing for the program will not include a full twelve months for each voucher.</w:t>
            </w:r>
          </w:p>
        </w:tc>
      </w:tr>
      <w:tr w:rsidR="00D824B0" w:rsidRPr="00EF3990" w:rsidTr="00D33B25">
        <w:tc>
          <w:tcPr>
            <w:tcW w:w="1998" w:type="dxa"/>
            <w:tcBorders>
              <w:top w:val="single" w:sz="4" w:space="0" w:color="auto"/>
              <w:left w:val="single" w:sz="4" w:space="0" w:color="auto"/>
              <w:bottom w:val="single" w:sz="4" w:space="0" w:color="auto"/>
              <w:right w:val="single" w:sz="4" w:space="0" w:color="auto"/>
            </w:tcBorders>
            <w:shd w:val="clear" w:color="auto" w:fill="auto"/>
          </w:tcPr>
          <w:p w:rsidR="00D824B0" w:rsidRPr="007F69AC" w:rsidRDefault="00D824B0" w:rsidP="004172B2">
            <w:pPr>
              <w:jc w:val="center"/>
              <w:rPr>
                <w:rFonts w:eastAsia="Calibri"/>
                <w:sz w:val="18"/>
                <w:szCs w:val="18"/>
              </w:rPr>
            </w:pPr>
            <w:r w:rsidRPr="007F69AC">
              <w:rPr>
                <w:rFonts w:eastAsia="Calibri"/>
                <w:sz w:val="18"/>
                <w:szCs w:val="18"/>
              </w:rPr>
              <w:t>N/A</w:t>
            </w:r>
          </w:p>
        </w:tc>
        <w:tc>
          <w:tcPr>
            <w:tcW w:w="270" w:type="dxa"/>
            <w:tcBorders>
              <w:top w:val="nil"/>
              <w:left w:val="single" w:sz="4" w:space="0" w:color="auto"/>
              <w:bottom w:val="nil"/>
              <w:right w:val="single" w:sz="4" w:space="0" w:color="auto"/>
            </w:tcBorders>
            <w:shd w:val="clear" w:color="auto" w:fill="auto"/>
          </w:tcPr>
          <w:p w:rsidR="00D824B0" w:rsidRPr="007F69AC" w:rsidRDefault="00D824B0">
            <w:pPr>
              <w:rPr>
                <w:rFonts w:eastAsia="Calibri"/>
                <w:sz w:val="18"/>
                <w:szCs w:val="18"/>
              </w:rPr>
            </w:pPr>
          </w:p>
        </w:tc>
        <w:tc>
          <w:tcPr>
            <w:tcW w:w="7308" w:type="dxa"/>
            <w:tcBorders>
              <w:top w:val="single" w:sz="4" w:space="0" w:color="auto"/>
              <w:left w:val="single" w:sz="4" w:space="0" w:color="auto"/>
              <w:bottom w:val="single" w:sz="4" w:space="0" w:color="auto"/>
              <w:right w:val="single" w:sz="4" w:space="0" w:color="auto"/>
            </w:tcBorders>
            <w:shd w:val="clear" w:color="auto" w:fill="auto"/>
            <w:vAlign w:val="center"/>
          </w:tcPr>
          <w:p w:rsidR="00D824B0" w:rsidRPr="007F69AC" w:rsidRDefault="00D824B0" w:rsidP="00D33B25">
            <w:pPr>
              <w:jc w:val="center"/>
              <w:rPr>
                <w:rFonts w:eastAsia="Calibri"/>
                <w:sz w:val="18"/>
                <w:szCs w:val="18"/>
              </w:rPr>
            </w:pPr>
            <w:r w:rsidRPr="007F69AC">
              <w:rPr>
                <w:rFonts w:eastAsia="Calibri"/>
                <w:sz w:val="18"/>
                <w:szCs w:val="18"/>
              </w:rPr>
              <w:t>N/A</w:t>
            </w:r>
          </w:p>
        </w:tc>
      </w:tr>
      <w:tr w:rsidR="00D824B0" w:rsidRPr="00EF3990" w:rsidTr="00D33B25">
        <w:tc>
          <w:tcPr>
            <w:tcW w:w="1998" w:type="dxa"/>
            <w:tcBorders>
              <w:top w:val="single" w:sz="4" w:space="0" w:color="auto"/>
              <w:left w:val="single" w:sz="4" w:space="0" w:color="auto"/>
              <w:bottom w:val="single" w:sz="4" w:space="0" w:color="auto"/>
              <w:right w:val="single" w:sz="4" w:space="0" w:color="auto"/>
            </w:tcBorders>
            <w:shd w:val="clear" w:color="auto" w:fill="auto"/>
          </w:tcPr>
          <w:p w:rsidR="00D824B0" w:rsidRPr="007F69AC" w:rsidRDefault="00D824B0" w:rsidP="004172B2">
            <w:pPr>
              <w:jc w:val="center"/>
              <w:rPr>
                <w:rFonts w:eastAsia="Calibri"/>
                <w:sz w:val="18"/>
                <w:szCs w:val="18"/>
              </w:rPr>
            </w:pPr>
            <w:r w:rsidRPr="007F69AC">
              <w:rPr>
                <w:rFonts w:eastAsia="Calibri"/>
                <w:sz w:val="18"/>
                <w:szCs w:val="18"/>
              </w:rPr>
              <w:t>N/A</w:t>
            </w:r>
          </w:p>
        </w:tc>
        <w:tc>
          <w:tcPr>
            <w:tcW w:w="270" w:type="dxa"/>
            <w:tcBorders>
              <w:top w:val="nil"/>
              <w:left w:val="single" w:sz="4" w:space="0" w:color="auto"/>
              <w:bottom w:val="nil"/>
              <w:right w:val="single" w:sz="4" w:space="0" w:color="auto"/>
            </w:tcBorders>
            <w:shd w:val="clear" w:color="auto" w:fill="auto"/>
          </w:tcPr>
          <w:p w:rsidR="00D824B0" w:rsidRPr="007F69AC" w:rsidRDefault="00D824B0">
            <w:pPr>
              <w:rPr>
                <w:rFonts w:eastAsia="Calibri"/>
                <w:sz w:val="18"/>
                <w:szCs w:val="18"/>
              </w:rPr>
            </w:pPr>
          </w:p>
        </w:tc>
        <w:tc>
          <w:tcPr>
            <w:tcW w:w="7308" w:type="dxa"/>
            <w:tcBorders>
              <w:top w:val="single" w:sz="4" w:space="0" w:color="auto"/>
              <w:left w:val="single" w:sz="4" w:space="0" w:color="auto"/>
              <w:bottom w:val="single" w:sz="4" w:space="0" w:color="auto"/>
              <w:right w:val="single" w:sz="4" w:space="0" w:color="auto"/>
            </w:tcBorders>
            <w:shd w:val="clear" w:color="auto" w:fill="auto"/>
            <w:vAlign w:val="center"/>
          </w:tcPr>
          <w:p w:rsidR="00D824B0" w:rsidRPr="007F69AC" w:rsidRDefault="00D824B0" w:rsidP="00D33B25">
            <w:pPr>
              <w:jc w:val="center"/>
              <w:rPr>
                <w:rFonts w:eastAsia="Calibri"/>
                <w:sz w:val="18"/>
                <w:szCs w:val="18"/>
              </w:rPr>
            </w:pPr>
            <w:r w:rsidRPr="007F69AC">
              <w:rPr>
                <w:rFonts w:eastAsia="Calibri"/>
                <w:sz w:val="18"/>
                <w:szCs w:val="18"/>
              </w:rPr>
              <w:t>N/A</w:t>
            </w:r>
          </w:p>
        </w:tc>
      </w:tr>
    </w:tbl>
    <w:p w:rsidR="00757DB7" w:rsidRPr="003F655B" w:rsidRDefault="00757DB7" w:rsidP="000020A5">
      <w:pPr>
        <w:rPr>
          <w:b/>
          <w:sz w:val="28"/>
          <w:szCs w:val="28"/>
          <w:highlight w:val="yellow"/>
        </w:rPr>
      </w:pPr>
    </w:p>
    <w:p w:rsidR="003F655B" w:rsidRPr="00961873" w:rsidRDefault="005D2CD1" w:rsidP="005D2CD1">
      <w:pPr>
        <w:pStyle w:val="Heading3"/>
      </w:pPr>
      <w:bookmarkStart w:id="10" w:name="_Toc415115899"/>
      <w:bookmarkStart w:id="11" w:name="_Toc444496088"/>
      <w:r w:rsidRPr="00961873">
        <w:t>Wait List Information</w:t>
      </w:r>
      <w:bookmarkEnd w:id="10"/>
      <w:bookmarkEnd w:id="11"/>
    </w:p>
    <w:p w:rsidR="00474E0E" w:rsidRPr="003C7403" w:rsidRDefault="00474E0E" w:rsidP="005D2CD1">
      <w:pPr>
        <w:rPr>
          <w:sz w:val="12"/>
          <w:szCs w:val="20"/>
          <w:highlight w:val="yellow"/>
        </w:rPr>
      </w:pPr>
    </w:p>
    <w:p w:rsidR="005D2CD1" w:rsidRPr="000263FE" w:rsidRDefault="005D2CD1" w:rsidP="005D2CD1">
      <w:pPr>
        <w:rPr>
          <w:b/>
          <w:szCs w:val="28"/>
        </w:rPr>
      </w:pPr>
      <w:r w:rsidRPr="000263FE">
        <w:rPr>
          <w:b/>
          <w:szCs w:val="28"/>
        </w:rPr>
        <w:t>Wait List Information Projected for the Beginning of the Fiscal Year</w:t>
      </w:r>
    </w:p>
    <w:p w:rsidR="005D2CD1" w:rsidRPr="003F655B" w:rsidRDefault="005D2CD1" w:rsidP="005D2CD1">
      <w:pPr>
        <w:rPr>
          <w:b/>
          <w:sz w:val="22"/>
          <w:szCs w:val="22"/>
          <w:highlight w:val="yellow"/>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67"/>
        <w:gridCol w:w="1658"/>
        <w:gridCol w:w="267"/>
        <w:gridCol w:w="1506"/>
        <w:gridCol w:w="267"/>
        <w:gridCol w:w="1501"/>
        <w:gridCol w:w="1844"/>
      </w:tblGrid>
      <w:tr w:rsidR="005D2CD1" w:rsidRPr="000263FE" w:rsidTr="00D33B25">
        <w:trPr>
          <w:tblHeader/>
        </w:trPr>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2CD1" w:rsidRPr="000263FE" w:rsidRDefault="005D2CD1" w:rsidP="004172B2">
            <w:pPr>
              <w:jc w:val="center"/>
              <w:rPr>
                <w:rFonts w:eastAsia="Calibri"/>
                <w:b/>
                <w:sz w:val="18"/>
                <w:szCs w:val="18"/>
              </w:rPr>
            </w:pPr>
          </w:p>
          <w:p w:rsidR="005D2CD1" w:rsidRPr="000263FE" w:rsidRDefault="000263FE" w:rsidP="004172B2">
            <w:pPr>
              <w:jc w:val="center"/>
              <w:rPr>
                <w:rFonts w:eastAsia="Calibri"/>
                <w:b/>
                <w:sz w:val="18"/>
                <w:szCs w:val="18"/>
              </w:rPr>
            </w:pPr>
            <w:r>
              <w:rPr>
                <w:rFonts w:eastAsia="Calibri"/>
                <w:b/>
                <w:sz w:val="18"/>
                <w:szCs w:val="18"/>
              </w:rPr>
              <w:t>Housing Program(s)</w:t>
            </w:r>
            <w:r w:rsidR="00231E52">
              <w:rPr>
                <w:rFonts w:eastAsia="Calibri"/>
                <w:b/>
                <w:sz w:val="18"/>
                <w:szCs w:val="18"/>
              </w:rPr>
              <w:t>*</w:t>
            </w:r>
          </w:p>
        </w:tc>
        <w:tc>
          <w:tcPr>
            <w:tcW w:w="270" w:type="dxa"/>
            <w:tcBorders>
              <w:top w:val="nil"/>
              <w:left w:val="single" w:sz="4" w:space="0" w:color="auto"/>
              <w:bottom w:val="nil"/>
              <w:right w:val="single" w:sz="4" w:space="0" w:color="auto"/>
            </w:tcBorders>
            <w:shd w:val="clear" w:color="auto" w:fill="auto"/>
          </w:tcPr>
          <w:p w:rsidR="005D2CD1" w:rsidRPr="000263FE" w:rsidRDefault="005D2CD1" w:rsidP="004172B2">
            <w:pPr>
              <w:jc w:val="center"/>
              <w:rPr>
                <w:rFonts w:eastAsia="Calibri"/>
                <w:b/>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2CD1" w:rsidRPr="000263FE" w:rsidRDefault="005D2CD1" w:rsidP="004172B2">
            <w:pPr>
              <w:jc w:val="center"/>
              <w:rPr>
                <w:rFonts w:eastAsia="Calibri"/>
                <w:b/>
                <w:sz w:val="18"/>
                <w:szCs w:val="18"/>
              </w:rPr>
            </w:pPr>
          </w:p>
          <w:p w:rsidR="005D2CD1" w:rsidRPr="000263FE" w:rsidRDefault="005D2CD1" w:rsidP="004172B2">
            <w:pPr>
              <w:jc w:val="center"/>
              <w:rPr>
                <w:rFonts w:eastAsia="Calibri"/>
                <w:b/>
                <w:sz w:val="18"/>
                <w:szCs w:val="18"/>
              </w:rPr>
            </w:pPr>
            <w:r w:rsidRPr="000263FE">
              <w:rPr>
                <w:rFonts w:eastAsia="Calibri"/>
                <w:b/>
                <w:sz w:val="18"/>
                <w:szCs w:val="18"/>
              </w:rPr>
              <w:t>Wait List Ty</w:t>
            </w:r>
            <w:r w:rsidR="000263FE">
              <w:rPr>
                <w:rFonts w:eastAsia="Calibri"/>
                <w:b/>
                <w:sz w:val="18"/>
                <w:szCs w:val="18"/>
              </w:rPr>
              <w:t>pe</w:t>
            </w:r>
            <w:r w:rsidR="007F69AC">
              <w:rPr>
                <w:rFonts w:eastAsia="Calibri"/>
                <w:b/>
                <w:sz w:val="18"/>
                <w:szCs w:val="18"/>
              </w:rPr>
              <w:t>**</w:t>
            </w:r>
          </w:p>
        </w:tc>
        <w:tc>
          <w:tcPr>
            <w:tcW w:w="270" w:type="dxa"/>
            <w:tcBorders>
              <w:top w:val="nil"/>
              <w:left w:val="single" w:sz="4" w:space="0" w:color="auto"/>
              <w:bottom w:val="nil"/>
              <w:right w:val="single" w:sz="4" w:space="0" w:color="auto"/>
            </w:tcBorders>
            <w:shd w:val="clear" w:color="auto" w:fill="auto"/>
          </w:tcPr>
          <w:p w:rsidR="005D2CD1" w:rsidRPr="000263FE" w:rsidRDefault="005D2CD1" w:rsidP="004172B2">
            <w:pPr>
              <w:jc w:val="center"/>
              <w:rPr>
                <w:rFonts w:eastAsia="Calibri"/>
                <w:b/>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2CD1" w:rsidRPr="000263FE" w:rsidRDefault="005D2CD1" w:rsidP="004172B2">
            <w:pPr>
              <w:jc w:val="center"/>
              <w:rPr>
                <w:rFonts w:eastAsia="Calibri"/>
                <w:b/>
                <w:sz w:val="18"/>
                <w:szCs w:val="18"/>
              </w:rPr>
            </w:pPr>
            <w:r w:rsidRPr="000263FE">
              <w:rPr>
                <w:rFonts w:eastAsia="Calibri"/>
                <w:b/>
                <w:sz w:val="18"/>
                <w:szCs w:val="18"/>
              </w:rPr>
              <w:t>Number of Households on Wait List</w:t>
            </w:r>
          </w:p>
        </w:tc>
        <w:tc>
          <w:tcPr>
            <w:tcW w:w="270" w:type="dxa"/>
            <w:tcBorders>
              <w:top w:val="nil"/>
              <w:left w:val="single" w:sz="4" w:space="0" w:color="auto"/>
              <w:bottom w:val="nil"/>
              <w:right w:val="single" w:sz="4" w:space="0" w:color="auto"/>
            </w:tcBorders>
            <w:shd w:val="clear" w:color="auto" w:fill="auto"/>
          </w:tcPr>
          <w:p w:rsidR="005D2CD1" w:rsidRPr="000263FE" w:rsidRDefault="005D2CD1" w:rsidP="004172B2">
            <w:pPr>
              <w:jc w:val="center"/>
              <w:rPr>
                <w:rFonts w:eastAsia="Calibri"/>
                <w:b/>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2CD1" w:rsidRPr="000263FE" w:rsidRDefault="005D2CD1" w:rsidP="004172B2">
            <w:pPr>
              <w:jc w:val="center"/>
              <w:rPr>
                <w:rFonts w:eastAsia="Calibri"/>
                <w:b/>
                <w:sz w:val="18"/>
                <w:szCs w:val="18"/>
              </w:rPr>
            </w:pPr>
            <w:r w:rsidRPr="000263FE">
              <w:rPr>
                <w:rFonts w:eastAsia="Calibri"/>
                <w:b/>
                <w:sz w:val="18"/>
                <w:szCs w:val="18"/>
              </w:rPr>
              <w:t>Wait List Open, Partially Open or Closed</w:t>
            </w:r>
            <w:r w:rsidR="00231E52">
              <w:rPr>
                <w:rFonts w:eastAsia="Calibri"/>
                <w:b/>
                <w:sz w:val="18"/>
                <w:szCs w:val="18"/>
              </w:rPr>
              <w:t>***</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2CD1" w:rsidRPr="000263FE" w:rsidRDefault="005D2CD1" w:rsidP="004172B2">
            <w:pPr>
              <w:jc w:val="center"/>
              <w:rPr>
                <w:rFonts w:eastAsia="Calibri"/>
                <w:b/>
                <w:sz w:val="18"/>
                <w:szCs w:val="18"/>
              </w:rPr>
            </w:pPr>
            <w:r w:rsidRPr="000263FE">
              <w:rPr>
                <w:rFonts w:eastAsia="Calibri"/>
                <w:b/>
                <w:sz w:val="18"/>
                <w:szCs w:val="18"/>
              </w:rPr>
              <w:t>Are There Plans to Open the Wait List During the Fiscal Year</w:t>
            </w:r>
          </w:p>
        </w:tc>
      </w:tr>
      <w:tr w:rsidR="00231E52" w:rsidRPr="007F69AC" w:rsidTr="00D33B25">
        <w:trPr>
          <w:trHeight w:val="260"/>
        </w:trPr>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231E52" w:rsidRPr="004E156C" w:rsidRDefault="00231E52" w:rsidP="00D220CE">
            <w:pPr>
              <w:jc w:val="center"/>
              <w:rPr>
                <w:rFonts w:eastAsia="Calibri"/>
                <w:sz w:val="18"/>
                <w:szCs w:val="18"/>
              </w:rPr>
            </w:pPr>
            <w:r w:rsidRPr="004E156C">
              <w:rPr>
                <w:rFonts w:eastAsia="Calibri"/>
                <w:sz w:val="18"/>
                <w:szCs w:val="18"/>
              </w:rPr>
              <w:t>Federal MTW Housing Choice Voucher Program, Federal Non-MTW Housing Choice Voucher Units</w:t>
            </w:r>
          </w:p>
        </w:tc>
        <w:tc>
          <w:tcPr>
            <w:tcW w:w="270" w:type="dxa"/>
            <w:tcBorders>
              <w:top w:val="nil"/>
              <w:left w:val="single" w:sz="4" w:space="0" w:color="auto"/>
              <w:bottom w:val="nil"/>
              <w:right w:val="single" w:sz="4" w:space="0" w:color="auto"/>
            </w:tcBorders>
            <w:shd w:val="clear" w:color="auto" w:fill="auto"/>
          </w:tcPr>
          <w:p w:rsidR="00231E52" w:rsidRPr="007F69AC" w:rsidRDefault="00231E52" w:rsidP="00226A34">
            <w:pPr>
              <w:jc w:val="center"/>
              <w:rPr>
                <w:rFonts w:eastAsia="Calibr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7F69AC" w:rsidRDefault="00231E52" w:rsidP="00D33B25">
            <w:pPr>
              <w:jc w:val="center"/>
              <w:rPr>
                <w:rFonts w:eastAsia="Calibri"/>
                <w:sz w:val="18"/>
                <w:szCs w:val="18"/>
              </w:rPr>
            </w:pPr>
            <w:r w:rsidRPr="007F69AC">
              <w:rPr>
                <w:rFonts w:eastAsia="Calibri"/>
                <w:sz w:val="18"/>
                <w:szCs w:val="18"/>
              </w:rPr>
              <w:t>Other</w:t>
            </w:r>
          </w:p>
        </w:tc>
        <w:tc>
          <w:tcPr>
            <w:tcW w:w="270" w:type="dxa"/>
            <w:tcBorders>
              <w:top w:val="nil"/>
              <w:left w:val="single" w:sz="4" w:space="0" w:color="auto"/>
              <w:bottom w:val="nil"/>
              <w:right w:val="single" w:sz="4" w:space="0" w:color="auto"/>
            </w:tcBorders>
            <w:shd w:val="clear" w:color="auto" w:fill="auto"/>
            <w:vAlign w:val="center"/>
          </w:tcPr>
          <w:p w:rsidR="00231E52" w:rsidRPr="002F2F27" w:rsidRDefault="00231E52" w:rsidP="00D33B25">
            <w:pPr>
              <w:jc w:val="cente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E52" w:rsidRPr="002F2F27" w:rsidRDefault="00231E52" w:rsidP="00D33B25">
            <w:pPr>
              <w:jc w:val="center"/>
              <w:rPr>
                <w:rFonts w:eastAsia="Calibri"/>
                <w:sz w:val="18"/>
                <w:szCs w:val="18"/>
              </w:rPr>
            </w:pPr>
            <w:r w:rsidRPr="002F2F27">
              <w:rPr>
                <w:rFonts w:eastAsia="Calibri"/>
                <w:sz w:val="18"/>
                <w:szCs w:val="18"/>
              </w:rPr>
              <w:t>10</w:t>
            </w:r>
            <w:r w:rsidR="002F2F27" w:rsidRPr="002F2F27">
              <w:rPr>
                <w:rFonts w:eastAsia="Calibri"/>
                <w:sz w:val="18"/>
                <w:szCs w:val="18"/>
              </w:rPr>
              <w:t>3,732</w:t>
            </w:r>
          </w:p>
        </w:tc>
        <w:tc>
          <w:tcPr>
            <w:tcW w:w="270" w:type="dxa"/>
            <w:tcBorders>
              <w:top w:val="nil"/>
              <w:left w:val="single" w:sz="4" w:space="0" w:color="auto"/>
              <w:bottom w:val="nil"/>
              <w:right w:val="single" w:sz="4" w:space="0" w:color="auto"/>
            </w:tcBorders>
            <w:shd w:val="clear" w:color="auto" w:fill="auto"/>
            <w:vAlign w:val="center"/>
          </w:tcPr>
          <w:p w:rsidR="00231E52" w:rsidRPr="002F2F27" w:rsidRDefault="00231E52" w:rsidP="00D33B25">
            <w:pPr>
              <w:jc w:val="cente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E52" w:rsidRPr="002F2F27" w:rsidRDefault="00231E52" w:rsidP="00D33B25">
            <w:pPr>
              <w:jc w:val="center"/>
              <w:rPr>
                <w:rFonts w:eastAsia="Calibri"/>
                <w:sz w:val="18"/>
                <w:szCs w:val="18"/>
              </w:rPr>
            </w:pPr>
            <w:r w:rsidRPr="002F2F27">
              <w:rPr>
                <w:rFonts w:eastAsia="Calibri"/>
                <w:sz w:val="18"/>
                <w:szCs w:val="18"/>
              </w:rPr>
              <w:t>Open</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2F2F27" w:rsidRDefault="00231E52" w:rsidP="00D33B25">
            <w:pPr>
              <w:jc w:val="center"/>
              <w:rPr>
                <w:rFonts w:eastAsia="Calibri"/>
                <w:sz w:val="18"/>
                <w:szCs w:val="18"/>
              </w:rPr>
            </w:pPr>
            <w:r w:rsidRPr="002F2F27">
              <w:rPr>
                <w:rFonts w:eastAsia="Calibri"/>
                <w:sz w:val="18"/>
                <w:szCs w:val="18"/>
              </w:rPr>
              <w:t>N/A</w:t>
            </w:r>
          </w:p>
        </w:tc>
      </w:tr>
      <w:tr w:rsidR="00231E52" w:rsidRPr="007F69AC" w:rsidTr="00D33B25">
        <w:tc>
          <w:tcPr>
            <w:tcW w:w="2070" w:type="dxa"/>
            <w:tcBorders>
              <w:top w:val="single" w:sz="4" w:space="0" w:color="auto"/>
              <w:left w:val="single" w:sz="4" w:space="0" w:color="auto"/>
              <w:bottom w:val="single" w:sz="4" w:space="0" w:color="auto"/>
              <w:right w:val="single" w:sz="4" w:space="0" w:color="auto"/>
            </w:tcBorders>
            <w:shd w:val="clear" w:color="auto" w:fill="auto"/>
          </w:tcPr>
          <w:p w:rsidR="00231E52" w:rsidRPr="004E156C" w:rsidRDefault="00231E52" w:rsidP="00D220CE">
            <w:pPr>
              <w:jc w:val="center"/>
              <w:rPr>
                <w:rFonts w:eastAsia="Calibri"/>
                <w:sz w:val="18"/>
                <w:szCs w:val="18"/>
              </w:rPr>
            </w:pPr>
            <w:r w:rsidRPr="004E156C">
              <w:rPr>
                <w:rFonts w:eastAsia="Calibri"/>
                <w:sz w:val="18"/>
                <w:szCs w:val="18"/>
              </w:rPr>
              <w:t>Tenant-Based Local Non-Traditional MTW Housing Assistance Program</w:t>
            </w:r>
          </w:p>
        </w:tc>
        <w:tc>
          <w:tcPr>
            <w:tcW w:w="270" w:type="dxa"/>
            <w:tcBorders>
              <w:top w:val="nil"/>
              <w:left w:val="single" w:sz="4" w:space="0" w:color="auto"/>
              <w:bottom w:val="nil"/>
              <w:right w:val="single" w:sz="4" w:space="0" w:color="auto"/>
            </w:tcBorders>
            <w:shd w:val="clear" w:color="auto" w:fill="auto"/>
          </w:tcPr>
          <w:p w:rsidR="00231E52" w:rsidRPr="007F69AC" w:rsidRDefault="00231E52" w:rsidP="00226A34">
            <w:pPr>
              <w:jc w:val="center"/>
              <w:rPr>
                <w:rFonts w:eastAsia="Calibr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7F69AC" w:rsidRDefault="00231E52" w:rsidP="00D33B25">
            <w:pPr>
              <w:jc w:val="center"/>
              <w:rPr>
                <w:rFonts w:eastAsia="Calibri"/>
                <w:sz w:val="18"/>
                <w:szCs w:val="18"/>
              </w:rPr>
            </w:pPr>
            <w:r>
              <w:rPr>
                <w:rFonts w:eastAsia="Calibri"/>
                <w:sz w:val="18"/>
                <w:szCs w:val="18"/>
              </w:rPr>
              <w:t>Other</w:t>
            </w:r>
          </w:p>
        </w:tc>
        <w:tc>
          <w:tcPr>
            <w:tcW w:w="270" w:type="dxa"/>
            <w:tcBorders>
              <w:top w:val="nil"/>
              <w:left w:val="single" w:sz="4" w:space="0" w:color="auto"/>
              <w:bottom w:val="nil"/>
              <w:right w:val="single" w:sz="4" w:space="0" w:color="auto"/>
            </w:tcBorders>
            <w:shd w:val="clear" w:color="auto" w:fill="auto"/>
            <w:vAlign w:val="center"/>
          </w:tcPr>
          <w:p w:rsidR="00231E52" w:rsidRPr="007F69AC" w:rsidRDefault="00231E52" w:rsidP="00D33B25">
            <w:pPr>
              <w:jc w:val="cente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481EE7" w:rsidRDefault="00C976FE" w:rsidP="00D33B25">
            <w:pPr>
              <w:jc w:val="center"/>
              <w:rPr>
                <w:rFonts w:eastAsia="Calibri"/>
                <w:sz w:val="18"/>
                <w:szCs w:val="18"/>
                <w:highlight w:val="green"/>
              </w:rPr>
            </w:pPr>
            <w:r w:rsidRPr="00C976FE">
              <w:rPr>
                <w:rFonts w:eastAsia="Calibri"/>
                <w:sz w:val="18"/>
                <w:szCs w:val="18"/>
              </w:rPr>
              <w:t>367</w:t>
            </w:r>
          </w:p>
        </w:tc>
        <w:tc>
          <w:tcPr>
            <w:tcW w:w="270" w:type="dxa"/>
            <w:tcBorders>
              <w:top w:val="nil"/>
              <w:left w:val="single" w:sz="4" w:space="0" w:color="auto"/>
              <w:bottom w:val="nil"/>
              <w:right w:val="single" w:sz="4" w:space="0" w:color="auto"/>
            </w:tcBorders>
            <w:shd w:val="clear" w:color="auto" w:fill="auto"/>
            <w:vAlign w:val="center"/>
          </w:tcPr>
          <w:p w:rsidR="00231E52" w:rsidRPr="00481EE7" w:rsidRDefault="00231E52" w:rsidP="00D33B25">
            <w:pPr>
              <w:jc w:val="center"/>
              <w:rPr>
                <w:rFonts w:eastAsia="Calibri"/>
                <w:sz w:val="18"/>
                <w:szCs w:val="18"/>
                <w:highlight w:val="green"/>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C976FE" w:rsidRDefault="00231E52" w:rsidP="00D33B25">
            <w:pPr>
              <w:jc w:val="center"/>
              <w:rPr>
                <w:rFonts w:eastAsia="Calibri"/>
                <w:sz w:val="18"/>
                <w:szCs w:val="18"/>
              </w:rPr>
            </w:pPr>
            <w:r w:rsidRPr="00C976FE">
              <w:rPr>
                <w:rFonts w:eastAsia="Calibri"/>
                <w:sz w:val="18"/>
                <w:szCs w:val="18"/>
              </w:rPr>
              <w:t>Open</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31E52" w:rsidRPr="00C976FE" w:rsidRDefault="00231E52" w:rsidP="00D33B25">
            <w:pPr>
              <w:jc w:val="center"/>
              <w:rPr>
                <w:rFonts w:eastAsia="Calibri"/>
                <w:sz w:val="18"/>
                <w:szCs w:val="18"/>
              </w:rPr>
            </w:pPr>
            <w:r w:rsidRPr="00C976FE">
              <w:rPr>
                <w:rFonts w:eastAsia="Calibri"/>
                <w:sz w:val="18"/>
                <w:szCs w:val="18"/>
              </w:rPr>
              <w:t>N/A</w:t>
            </w:r>
          </w:p>
        </w:tc>
      </w:tr>
      <w:tr w:rsidR="00231E52" w:rsidRPr="007F69AC" w:rsidTr="007F69AC">
        <w:tc>
          <w:tcPr>
            <w:tcW w:w="2070" w:type="dxa"/>
            <w:tcBorders>
              <w:top w:val="single" w:sz="4" w:space="0" w:color="auto"/>
              <w:left w:val="single" w:sz="4" w:space="0" w:color="auto"/>
              <w:bottom w:val="single" w:sz="4" w:space="0" w:color="auto"/>
              <w:right w:val="single" w:sz="4" w:space="0" w:color="auto"/>
            </w:tcBorders>
            <w:shd w:val="clear" w:color="auto" w:fill="auto"/>
          </w:tcPr>
          <w:p w:rsidR="00231E52" w:rsidRPr="007F69AC" w:rsidRDefault="00231E52" w:rsidP="00D220CE">
            <w:pPr>
              <w:jc w:val="center"/>
              <w:rPr>
                <w:rFonts w:eastAsia="Calibri"/>
                <w:sz w:val="18"/>
                <w:szCs w:val="18"/>
              </w:rPr>
            </w:pPr>
            <w:r w:rsidRPr="007F69AC">
              <w:rPr>
                <w:rFonts w:eastAsia="Calibri"/>
                <w:sz w:val="18"/>
                <w:szCs w:val="18"/>
              </w:rPr>
              <w:t>N/A</w:t>
            </w:r>
          </w:p>
        </w:tc>
        <w:tc>
          <w:tcPr>
            <w:tcW w:w="270" w:type="dxa"/>
            <w:tcBorders>
              <w:top w:val="nil"/>
              <w:left w:val="single" w:sz="4" w:space="0" w:color="auto"/>
              <w:bottom w:val="nil"/>
              <w:right w:val="single" w:sz="4" w:space="0" w:color="auto"/>
            </w:tcBorders>
            <w:shd w:val="clear" w:color="auto" w:fill="auto"/>
          </w:tcPr>
          <w:p w:rsidR="00231E52" w:rsidRPr="007F69AC" w:rsidRDefault="00231E52" w:rsidP="00226A34">
            <w:pPr>
              <w:jc w:val="center"/>
              <w:rPr>
                <w:rFonts w:eastAsia="Calibr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31E52" w:rsidRPr="007F69AC" w:rsidRDefault="00231E52" w:rsidP="00226A34">
            <w:pPr>
              <w:jc w:val="center"/>
              <w:rPr>
                <w:rFonts w:eastAsia="Calibri"/>
                <w:sz w:val="18"/>
                <w:szCs w:val="18"/>
              </w:rPr>
            </w:pPr>
            <w:r w:rsidRPr="007F69AC">
              <w:rPr>
                <w:rFonts w:eastAsia="Calibri"/>
                <w:sz w:val="18"/>
                <w:szCs w:val="18"/>
              </w:rPr>
              <w:t>N/A</w:t>
            </w:r>
          </w:p>
        </w:tc>
        <w:tc>
          <w:tcPr>
            <w:tcW w:w="270" w:type="dxa"/>
            <w:tcBorders>
              <w:top w:val="nil"/>
              <w:left w:val="single" w:sz="4" w:space="0" w:color="auto"/>
              <w:bottom w:val="nil"/>
              <w:right w:val="single" w:sz="4" w:space="0" w:color="auto"/>
            </w:tcBorders>
            <w:shd w:val="clear" w:color="auto" w:fill="auto"/>
          </w:tcPr>
          <w:p w:rsidR="00231E52" w:rsidRPr="007F69AC" w:rsidRDefault="00231E52" w:rsidP="00226A34">
            <w:pPr>
              <w:jc w:val="cente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31E52" w:rsidRPr="007F69AC" w:rsidRDefault="00231E52" w:rsidP="00226A34">
            <w:pPr>
              <w:jc w:val="center"/>
              <w:rPr>
                <w:rFonts w:eastAsia="Calibri"/>
                <w:sz w:val="18"/>
                <w:szCs w:val="18"/>
              </w:rPr>
            </w:pPr>
            <w:r>
              <w:rPr>
                <w:rFonts w:eastAsia="Calibri"/>
                <w:sz w:val="18"/>
                <w:szCs w:val="18"/>
              </w:rPr>
              <w:t>0</w:t>
            </w:r>
          </w:p>
        </w:tc>
        <w:tc>
          <w:tcPr>
            <w:tcW w:w="270" w:type="dxa"/>
            <w:tcBorders>
              <w:top w:val="nil"/>
              <w:left w:val="single" w:sz="4" w:space="0" w:color="auto"/>
              <w:bottom w:val="nil"/>
              <w:right w:val="single" w:sz="4" w:space="0" w:color="auto"/>
            </w:tcBorders>
            <w:shd w:val="clear" w:color="auto" w:fill="auto"/>
          </w:tcPr>
          <w:p w:rsidR="00231E52" w:rsidRPr="007F69AC" w:rsidRDefault="00231E52" w:rsidP="00226A34">
            <w:pPr>
              <w:jc w:val="cente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31E52" w:rsidRPr="007F69AC" w:rsidRDefault="00231E52" w:rsidP="00226A34">
            <w:pPr>
              <w:jc w:val="center"/>
              <w:rPr>
                <w:rFonts w:eastAsia="Calibri"/>
                <w:sz w:val="18"/>
                <w:szCs w:val="18"/>
              </w:rPr>
            </w:pPr>
            <w:r w:rsidRPr="007F69AC">
              <w:rPr>
                <w:rFonts w:eastAsia="Calibri"/>
                <w:sz w:val="18"/>
                <w:szCs w:val="18"/>
              </w:rPr>
              <w:t>N/A</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231E52" w:rsidRPr="007F69AC" w:rsidRDefault="00231E52" w:rsidP="00226A34">
            <w:pPr>
              <w:jc w:val="center"/>
              <w:rPr>
                <w:rFonts w:eastAsia="Calibri"/>
                <w:sz w:val="18"/>
                <w:szCs w:val="18"/>
              </w:rPr>
            </w:pPr>
            <w:r w:rsidRPr="007F69AC">
              <w:rPr>
                <w:rFonts w:eastAsia="Calibri"/>
                <w:sz w:val="18"/>
                <w:szCs w:val="18"/>
              </w:rPr>
              <w:t>N/A</w:t>
            </w:r>
          </w:p>
        </w:tc>
      </w:tr>
    </w:tbl>
    <w:p w:rsidR="00231E52" w:rsidRDefault="00231E52" w:rsidP="00231E52">
      <w:pPr>
        <w:rPr>
          <w:i/>
          <w:iCs/>
          <w:sz w:val="18"/>
          <w:szCs w:val="18"/>
        </w:rPr>
      </w:pPr>
      <w:r w:rsidRPr="00FA32AA">
        <w:rPr>
          <w:i/>
          <w:iCs/>
          <w:sz w:val="18"/>
          <w:szCs w:val="18"/>
        </w:rPr>
        <w:t>Rows for additional waiting lists may be added, if needed.</w:t>
      </w:r>
    </w:p>
    <w:p w:rsidR="00231E52" w:rsidRPr="00FA32AA" w:rsidRDefault="00231E52" w:rsidP="00231E52">
      <w:pPr>
        <w:rPr>
          <w:i/>
          <w:iCs/>
          <w:sz w:val="18"/>
          <w:szCs w:val="18"/>
        </w:rPr>
      </w:pPr>
    </w:p>
    <w:p w:rsidR="00231E52" w:rsidRDefault="00231E52" w:rsidP="00231E52">
      <w:pPr>
        <w:rPr>
          <w:sz w:val="18"/>
          <w:szCs w:val="18"/>
        </w:rPr>
      </w:pPr>
      <w:r w:rsidRPr="00FA32AA">
        <w:rPr>
          <w:sz w:val="18"/>
          <w:szCs w:val="18"/>
        </w:rPr>
        <w:t xml:space="preserve">* </w:t>
      </w:r>
      <w:r w:rsidRPr="00FA32AA">
        <w:rPr>
          <w:i/>
          <w:iCs/>
          <w:sz w:val="18"/>
          <w:szCs w:val="18"/>
        </w:rPr>
        <w:t>Select Housing Program</w:t>
      </w:r>
      <w:r w:rsidRPr="00FA32AA">
        <w:rPr>
          <w:sz w:val="18"/>
          <w:szCs w:val="18"/>
        </w:rPr>
        <w:t>: Federal MTW Public Housing Units; Federal MTW Housing Choice Voucher Program;  Federal non-MTW Housing Choice Voucher Units; Tenant-Based Local, Non-Traditional MTW Housing Assistance Program; Project-Based Local, Non-Traditional MTW Housing Assistance Program; and Combined Tenant-Based and Project-Based Local, Non-Traditional MTW Housing Assistance Program.</w:t>
      </w:r>
    </w:p>
    <w:p w:rsidR="00231E52" w:rsidRPr="00FA32AA" w:rsidRDefault="00231E52" w:rsidP="00231E52">
      <w:pPr>
        <w:rPr>
          <w:sz w:val="18"/>
          <w:szCs w:val="18"/>
        </w:rPr>
      </w:pPr>
    </w:p>
    <w:p w:rsidR="00231E52" w:rsidRDefault="00231E52" w:rsidP="00231E52">
      <w:pPr>
        <w:rPr>
          <w:sz w:val="18"/>
          <w:szCs w:val="18"/>
        </w:rPr>
      </w:pPr>
      <w:r w:rsidRPr="00FA32AA">
        <w:rPr>
          <w:sz w:val="18"/>
          <w:szCs w:val="18"/>
        </w:rPr>
        <w:t xml:space="preserve">** </w:t>
      </w:r>
      <w:r w:rsidRPr="00FA32AA">
        <w:rPr>
          <w:i/>
          <w:iCs/>
          <w:sz w:val="18"/>
          <w:szCs w:val="18"/>
        </w:rPr>
        <w:t>Select Wait List Types</w:t>
      </w:r>
      <w:r w:rsidRPr="00FA32AA">
        <w:rPr>
          <w:sz w:val="18"/>
          <w:szCs w:val="18"/>
        </w:rPr>
        <w:t xml:space="preserve">: Community-Wide, Site-Based, Merged (Combined Public Housing or Voucher Wait List), Program Specific (Limited by HUD or Local PHA Rules to Certain Categories of Households which are Described in the Rules for Program Participation), None (If the Program is a New Wait List, Not an Existing Wait List), or Other (Please Provide a Brief Description of this Wait List Type). </w:t>
      </w:r>
    </w:p>
    <w:p w:rsidR="00231E52" w:rsidRPr="00FA32AA" w:rsidRDefault="00231E52" w:rsidP="00231E52">
      <w:pPr>
        <w:rPr>
          <w:sz w:val="18"/>
          <w:szCs w:val="18"/>
        </w:rPr>
      </w:pPr>
    </w:p>
    <w:p w:rsidR="00231E52" w:rsidRPr="00D02722" w:rsidRDefault="00231E52" w:rsidP="00231E52">
      <w:pPr>
        <w:rPr>
          <w:sz w:val="18"/>
          <w:szCs w:val="18"/>
        </w:rPr>
      </w:pPr>
      <w:r w:rsidRPr="00FA32AA">
        <w:rPr>
          <w:sz w:val="18"/>
          <w:szCs w:val="18"/>
        </w:rPr>
        <w:t>*** For Partially Open Wait Lists, provide a description of the populations for which the waiting list is open.</w:t>
      </w:r>
    </w:p>
    <w:p w:rsidR="00231E52" w:rsidRDefault="00231E52" w:rsidP="005D2CD1">
      <w:pPr>
        <w:rPr>
          <w:sz w:val="18"/>
          <w:szCs w:val="18"/>
        </w:rPr>
      </w:pPr>
    </w:p>
    <w:p w:rsidR="00231E52" w:rsidRPr="007F69AC" w:rsidRDefault="00231E52" w:rsidP="005D2CD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69AC" w:rsidRPr="008908EA" w:rsidTr="008908EA">
        <w:tc>
          <w:tcPr>
            <w:tcW w:w="9576" w:type="dxa"/>
            <w:shd w:val="clear" w:color="auto" w:fill="auto"/>
          </w:tcPr>
          <w:p w:rsidR="007F69AC" w:rsidRPr="008908EA" w:rsidRDefault="007F69AC" w:rsidP="007F69AC">
            <w:pPr>
              <w:rPr>
                <w:rFonts w:eastAsia="Calibri"/>
                <w:sz w:val="18"/>
                <w:szCs w:val="18"/>
              </w:rPr>
            </w:pPr>
            <w:r w:rsidRPr="008908EA">
              <w:rPr>
                <w:rFonts w:eastAsia="Calibri"/>
                <w:sz w:val="18"/>
                <w:szCs w:val="18"/>
              </w:rPr>
              <w:t>The waitlist is open to all populations</w:t>
            </w:r>
          </w:p>
        </w:tc>
      </w:tr>
      <w:tr w:rsidR="007F69AC" w:rsidRPr="008908EA" w:rsidTr="008908EA">
        <w:tc>
          <w:tcPr>
            <w:tcW w:w="9576" w:type="dxa"/>
            <w:shd w:val="clear" w:color="auto" w:fill="auto"/>
          </w:tcPr>
          <w:p w:rsidR="007F69AC" w:rsidRPr="008908EA" w:rsidRDefault="007F69AC" w:rsidP="008908EA">
            <w:pPr>
              <w:jc w:val="center"/>
              <w:rPr>
                <w:rFonts w:eastAsia="Calibri"/>
                <w:sz w:val="18"/>
                <w:szCs w:val="18"/>
              </w:rPr>
            </w:pPr>
            <w:r w:rsidRPr="008908EA">
              <w:rPr>
                <w:rFonts w:eastAsia="Calibri"/>
                <w:sz w:val="18"/>
                <w:szCs w:val="18"/>
              </w:rPr>
              <w:t>N/A</w:t>
            </w:r>
          </w:p>
        </w:tc>
      </w:tr>
      <w:tr w:rsidR="007F69AC" w:rsidRPr="008908EA" w:rsidTr="008908EA">
        <w:tc>
          <w:tcPr>
            <w:tcW w:w="9576" w:type="dxa"/>
            <w:shd w:val="clear" w:color="auto" w:fill="auto"/>
          </w:tcPr>
          <w:p w:rsidR="007F69AC" w:rsidRPr="008908EA" w:rsidRDefault="007F69AC" w:rsidP="008908EA">
            <w:pPr>
              <w:jc w:val="center"/>
              <w:rPr>
                <w:rFonts w:eastAsia="Calibri"/>
                <w:sz w:val="18"/>
                <w:szCs w:val="18"/>
              </w:rPr>
            </w:pPr>
            <w:r w:rsidRPr="008908EA">
              <w:rPr>
                <w:rFonts w:eastAsia="Calibri"/>
                <w:sz w:val="18"/>
                <w:szCs w:val="18"/>
              </w:rPr>
              <w:t>N/A</w:t>
            </w:r>
          </w:p>
        </w:tc>
      </w:tr>
    </w:tbl>
    <w:p w:rsidR="007F69AC" w:rsidRPr="00F13B32" w:rsidRDefault="007F69AC" w:rsidP="000020A5">
      <w:pPr>
        <w:rPr>
          <w:sz w:val="18"/>
          <w:szCs w:val="18"/>
        </w:rPr>
      </w:pPr>
    </w:p>
    <w:p w:rsidR="007F69AC" w:rsidRPr="007F69AC" w:rsidRDefault="007F69AC" w:rsidP="000020A5">
      <w:pPr>
        <w:rPr>
          <w:sz w:val="18"/>
          <w:szCs w:val="18"/>
        </w:rPr>
      </w:pPr>
      <w:r w:rsidRPr="007F69AC">
        <w:rPr>
          <w:sz w:val="18"/>
          <w:szCs w:val="18"/>
        </w:rPr>
        <w:t>If local, Non-Traditional Housing Program, please describe: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69AC" w:rsidRPr="008908EA" w:rsidTr="008908EA">
        <w:tc>
          <w:tcPr>
            <w:tcW w:w="9576" w:type="dxa"/>
            <w:shd w:val="clear" w:color="auto" w:fill="auto"/>
          </w:tcPr>
          <w:p w:rsidR="007F69AC" w:rsidRPr="008908EA" w:rsidRDefault="00231E52" w:rsidP="00231E52">
            <w:pPr>
              <w:rPr>
                <w:rFonts w:eastAsia="Calibri"/>
                <w:sz w:val="18"/>
                <w:szCs w:val="18"/>
              </w:rPr>
            </w:pPr>
            <w:r>
              <w:rPr>
                <w:rFonts w:eastAsia="Calibri"/>
                <w:sz w:val="18"/>
                <w:szCs w:val="18"/>
              </w:rPr>
              <w:t>Th</w:t>
            </w:r>
            <w:r w:rsidRPr="00406421">
              <w:rPr>
                <w:rFonts w:eastAsia="Calibri"/>
                <w:sz w:val="18"/>
                <w:szCs w:val="18"/>
              </w:rPr>
              <w:t xml:space="preserve">e Family Economic Stability Program </w:t>
            </w:r>
            <w:r w:rsidRPr="00FA32AA">
              <w:rPr>
                <w:color w:val="000000"/>
                <w:sz w:val="18"/>
                <w:szCs w:val="18"/>
              </w:rPr>
              <w:t>provides a fixed annual stipend to eligible families, regardless of future income or family composition changes</w:t>
            </w:r>
            <w:r>
              <w:rPr>
                <w:color w:val="000000"/>
                <w:sz w:val="18"/>
                <w:szCs w:val="18"/>
              </w:rPr>
              <w:t xml:space="preserve">.  See MTW Activity </w:t>
            </w:r>
            <w:r w:rsidRPr="00406421">
              <w:rPr>
                <w:rFonts w:eastAsia="Calibri"/>
                <w:sz w:val="18"/>
                <w:szCs w:val="18"/>
              </w:rPr>
              <w:t>2000</w:t>
            </w:r>
            <w:r>
              <w:rPr>
                <w:rFonts w:eastAsia="Calibri"/>
                <w:sz w:val="18"/>
                <w:szCs w:val="18"/>
              </w:rPr>
              <w:t>-1 FES.</w:t>
            </w:r>
          </w:p>
        </w:tc>
      </w:tr>
      <w:tr w:rsidR="007F69AC" w:rsidRPr="008908EA" w:rsidTr="008908EA">
        <w:tc>
          <w:tcPr>
            <w:tcW w:w="9576" w:type="dxa"/>
            <w:shd w:val="clear" w:color="auto" w:fill="auto"/>
          </w:tcPr>
          <w:p w:rsidR="007F69AC" w:rsidRPr="008908EA" w:rsidRDefault="007F69AC" w:rsidP="008908EA">
            <w:pPr>
              <w:jc w:val="center"/>
              <w:rPr>
                <w:rFonts w:eastAsia="Calibri"/>
                <w:sz w:val="18"/>
                <w:szCs w:val="18"/>
              </w:rPr>
            </w:pPr>
            <w:r w:rsidRPr="008908EA">
              <w:rPr>
                <w:rFonts w:eastAsia="Calibri"/>
                <w:sz w:val="18"/>
                <w:szCs w:val="18"/>
              </w:rPr>
              <w:t>N/A</w:t>
            </w:r>
          </w:p>
        </w:tc>
      </w:tr>
      <w:tr w:rsidR="007F69AC" w:rsidRPr="008908EA" w:rsidTr="008908EA">
        <w:tc>
          <w:tcPr>
            <w:tcW w:w="9576" w:type="dxa"/>
            <w:shd w:val="clear" w:color="auto" w:fill="auto"/>
          </w:tcPr>
          <w:p w:rsidR="007F69AC" w:rsidRPr="008908EA" w:rsidRDefault="007F69AC" w:rsidP="008908EA">
            <w:pPr>
              <w:jc w:val="center"/>
              <w:rPr>
                <w:rFonts w:eastAsia="Calibri"/>
                <w:sz w:val="18"/>
                <w:szCs w:val="18"/>
              </w:rPr>
            </w:pPr>
            <w:r w:rsidRPr="008908EA">
              <w:rPr>
                <w:rFonts w:eastAsia="Calibri"/>
                <w:sz w:val="18"/>
                <w:szCs w:val="18"/>
              </w:rPr>
              <w:t>N/A</w:t>
            </w:r>
          </w:p>
        </w:tc>
      </w:tr>
    </w:tbl>
    <w:p w:rsidR="007F69AC" w:rsidRPr="00F15A15" w:rsidRDefault="007F69AC" w:rsidP="000020A5">
      <w:pPr>
        <w:rPr>
          <w:sz w:val="20"/>
          <w:szCs w:val="20"/>
        </w:rPr>
      </w:pPr>
    </w:p>
    <w:p w:rsidR="00FD7DAE" w:rsidRDefault="007F69AC" w:rsidP="0095046F">
      <w:pPr>
        <w:rPr>
          <w:b/>
          <w:sz w:val="18"/>
          <w:szCs w:val="18"/>
        </w:rPr>
      </w:pPr>
      <w:r w:rsidRPr="00F15A15">
        <w:rPr>
          <w:b/>
          <w:sz w:val="18"/>
          <w:szCs w:val="18"/>
        </w:rPr>
        <w:t>If Other Wait List Type, please describe: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1E52" w:rsidRPr="008908EA" w:rsidTr="00D220CE">
        <w:tc>
          <w:tcPr>
            <w:tcW w:w="9576" w:type="dxa"/>
            <w:shd w:val="clear" w:color="auto" w:fill="auto"/>
          </w:tcPr>
          <w:p w:rsidR="00231E52" w:rsidRPr="00692A0A" w:rsidRDefault="00231E52" w:rsidP="00D220CE">
            <w:pPr>
              <w:rPr>
                <w:rFonts w:eastAsia="Calibri"/>
                <w:sz w:val="18"/>
                <w:szCs w:val="18"/>
              </w:rPr>
            </w:pPr>
            <w:r w:rsidRPr="00692A0A">
              <w:rPr>
                <w:rFonts w:eastAsia="Calibri"/>
                <w:sz w:val="18"/>
                <w:szCs w:val="18"/>
              </w:rPr>
              <w:t>DHCD combines site-based and centrally managed wait list features.  All of DHCD’s</w:t>
            </w:r>
            <w:r w:rsidR="00AE2779">
              <w:rPr>
                <w:rFonts w:eastAsia="Calibri"/>
                <w:sz w:val="18"/>
                <w:szCs w:val="18"/>
              </w:rPr>
              <w:t xml:space="preserve"> Section 8</w:t>
            </w:r>
            <w:r w:rsidRPr="00692A0A">
              <w:rPr>
                <w:rFonts w:eastAsia="Calibri"/>
                <w:sz w:val="18"/>
                <w:szCs w:val="18"/>
              </w:rPr>
              <w:t xml:space="preserve"> programs (including MTW and Non-MTW vouchers) use a regional, centrally managed wait list with the exception of certain Project Based developments</w:t>
            </w:r>
            <w:r w:rsidR="00692A0A" w:rsidRPr="00692A0A">
              <w:rPr>
                <w:rFonts w:eastAsia="Calibri"/>
                <w:sz w:val="18"/>
                <w:szCs w:val="18"/>
              </w:rPr>
              <w:t>.  There are fifty-nine (59</w:t>
            </w:r>
            <w:r w:rsidRPr="00692A0A">
              <w:rPr>
                <w:rFonts w:eastAsia="Calibri"/>
                <w:sz w:val="18"/>
                <w:szCs w:val="18"/>
              </w:rPr>
              <w:t>) Project Based developments that have site-based wait lists that each development is responsible for managing.  The remaining Project Based developments have centrally managed waitlists maintained by DHCD and each regional administering agency.</w:t>
            </w:r>
          </w:p>
          <w:p w:rsidR="00231E52" w:rsidRPr="00692A0A" w:rsidRDefault="00231E52" w:rsidP="00D220CE">
            <w:pPr>
              <w:rPr>
                <w:rFonts w:eastAsia="Calibri"/>
                <w:sz w:val="18"/>
                <w:szCs w:val="18"/>
              </w:rPr>
            </w:pPr>
          </w:p>
          <w:p w:rsidR="00231E52" w:rsidRPr="00453481" w:rsidRDefault="00231E52" w:rsidP="00D220CE">
            <w:pPr>
              <w:rPr>
                <w:rFonts w:eastAsia="Calibri"/>
                <w:color w:val="000000"/>
                <w:sz w:val="18"/>
                <w:szCs w:val="18"/>
              </w:rPr>
            </w:pPr>
            <w:r w:rsidRPr="00453481">
              <w:rPr>
                <w:rFonts w:eastAsia="Calibri"/>
                <w:color w:val="000000"/>
                <w:sz w:val="18"/>
                <w:szCs w:val="18"/>
              </w:rPr>
              <w:t xml:space="preserve">As was described in previous Annual Plans, DHCD continues to process requests for new PB development owners to operate site-based waiting lists. The revised policy will allow project owners to maintain site-based waiting lists with DHCD approval.  DHCD has begun the process of establishing site based waiting lists for its newer PBV developments.  As the process continues, some or all PBV waiting lists may be closed during the transition period.  DHCD will issue public notices of waiting list openings and closings. </w:t>
            </w:r>
          </w:p>
          <w:p w:rsidR="00231E52" w:rsidRPr="000F350E" w:rsidRDefault="00231E52" w:rsidP="00D220CE">
            <w:pPr>
              <w:rPr>
                <w:rFonts w:eastAsia="Calibri"/>
                <w:sz w:val="18"/>
                <w:szCs w:val="18"/>
                <w:highlight w:val="yellow"/>
              </w:rPr>
            </w:pPr>
          </w:p>
        </w:tc>
      </w:tr>
      <w:tr w:rsidR="00231E52" w:rsidRPr="008908EA" w:rsidTr="00D220CE">
        <w:tc>
          <w:tcPr>
            <w:tcW w:w="9576" w:type="dxa"/>
            <w:shd w:val="clear" w:color="auto" w:fill="auto"/>
          </w:tcPr>
          <w:p w:rsidR="00231E52" w:rsidRPr="008908EA" w:rsidRDefault="00231E52" w:rsidP="00D220CE">
            <w:pPr>
              <w:rPr>
                <w:rFonts w:eastAsia="Calibri"/>
                <w:sz w:val="18"/>
                <w:szCs w:val="18"/>
              </w:rPr>
            </w:pPr>
            <w:r>
              <w:rPr>
                <w:rFonts w:eastAsia="Calibri"/>
                <w:sz w:val="18"/>
                <w:szCs w:val="18"/>
              </w:rPr>
              <w:t>The Tenant-Based Local Non-Traditional MTW</w:t>
            </w:r>
            <w:r w:rsidR="00481EE7">
              <w:rPr>
                <w:rFonts w:eastAsia="Calibri"/>
                <w:sz w:val="18"/>
                <w:szCs w:val="18"/>
              </w:rPr>
              <w:t xml:space="preserve"> Housing Assistance Program </w:t>
            </w:r>
            <w:r>
              <w:rPr>
                <w:rFonts w:eastAsia="Calibri"/>
                <w:sz w:val="18"/>
                <w:szCs w:val="18"/>
              </w:rPr>
              <w:t>is the Family Economic Stability Program.  The waitlist for this program is managed by the Metropolitan Boston Housing Partnership.  Applicants must meet certain requirements such as working at least part-time or participating in a full-time job training program.</w:t>
            </w:r>
          </w:p>
        </w:tc>
      </w:tr>
    </w:tbl>
    <w:p w:rsidR="00F13B32" w:rsidRDefault="00F13B32" w:rsidP="00EF3990">
      <w:pPr>
        <w:rPr>
          <w:b/>
        </w:rPr>
      </w:pPr>
    </w:p>
    <w:p w:rsidR="00E04840" w:rsidRDefault="00E04840" w:rsidP="00EF3990">
      <w:pPr>
        <w:rPr>
          <w:b/>
        </w:rPr>
      </w:pPr>
      <w:r w:rsidRPr="00E04840">
        <w:rPr>
          <w:b/>
        </w:rPr>
        <w:t xml:space="preserve">Organizational Structure of the Waitlist </w:t>
      </w:r>
    </w:p>
    <w:p w:rsidR="00231E52" w:rsidRDefault="00231E52" w:rsidP="00EF3990">
      <w:pPr>
        <w:rPr>
          <w:b/>
        </w:rPr>
      </w:pPr>
    </w:p>
    <w:p w:rsidR="00231E52" w:rsidRPr="00CE39B0" w:rsidRDefault="00231E52" w:rsidP="00231E52">
      <w:pPr>
        <w:rPr>
          <w:sz w:val="18"/>
        </w:rPr>
      </w:pPr>
      <w:bookmarkStart w:id="12" w:name="_Toc415115900"/>
      <w:r w:rsidRPr="00FA32AA">
        <w:rPr>
          <w:sz w:val="18"/>
        </w:rPr>
        <w:t>If there are any changes to the organization structure of the wait list or policy changes regarding the wait list, provide a narrative detailing their changes.</w:t>
      </w:r>
    </w:p>
    <w:p w:rsidR="00231E52" w:rsidRDefault="00231E52" w:rsidP="00231E5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1E52" w:rsidRPr="008908EA" w:rsidTr="00D220CE">
        <w:trPr>
          <w:trHeight w:val="395"/>
        </w:trPr>
        <w:tc>
          <w:tcPr>
            <w:tcW w:w="9576" w:type="dxa"/>
            <w:shd w:val="clear" w:color="auto" w:fill="auto"/>
            <w:vAlign w:val="center"/>
          </w:tcPr>
          <w:p w:rsidR="00231E52" w:rsidRPr="008908EA" w:rsidRDefault="00231E52" w:rsidP="00D220CE">
            <w:pPr>
              <w:rPr>
                <w:rFonts w:ascii="Calibri" w:eastAsia="Calibri" w:hAnsi="Calibri"/>
                <w:b/>
                <w:sz w:val="22"/>
                <w:szCs w:val="22"/>
              </w:rPr>
            </w:pPr>
            <w:r w:rsidRPr="00DA7D52">
              <w:rPr>
                <w:rFonts w:eastAsia="Calibri"/>
                <w:sz w:val="18"/>
                <w:szCs w:val="18"/>
              </w:rPr>
              <w:t>DHCD does not anticipate any changes to the organizational structure of the waitlist or policy changes regarding the waitlist.</w:t>
            </w:r>
          </w:p>
        </w:tc>
      </w:tr>
    </w:tbl>
    <w:p w:rsidR="00231E52" w:rsidRDefault="00231E52" w:rsidP="00231E52">
      <w:pPr>
        <w:pStyle w:val="Heading1"/>
        <w:rPr>
          <w:rFonts w:ascii="Times New Roman" w:hAnsi="Times New Roman"/>
        </w:rPr>
        <w:sectPr w:rsidR="00231E52" w:rsidSect="007E68D3">
          <w:footerReference w:type="default" r:id="rId9"/>
          <w:pgSz w:w="12240" w:h="15840"/>
          <w:pgMar w:top="1440" w:right="1440" w:bottom="1440" w:left="1440" w:header="720" w:footer="720" w:gutter="0"/>
          <w:pgNumType w:start="1"/>
          <w:cols w:space="720"/>
          <w:docGrid w:linePitch="360"/>
        </w:sectPr>
      </w:pPr>
    </w:p>
    <w:p w:rsidR="00111F4B" w:rsidRDefault="00111F4B" w:rsidP="003F655B">
      <w:pPr>
        <w:pStyle w:val="Heading1"/>
        <w:rPr>
          <w:rFonts w:ascii="Times New Roman" w:hAnsi="Times New Roman"/>
          <w:highlight w:val="yellow"/>
        </w:rPr>
      </w:pPr>
      <w:bookmarkStart w:id="13" w:name="_Toc444496089"/>
      <w:r w:rsidRPr="00841825">
        <w:rPr>
          <w:rFonts w:ascii="Times New Roman" w:hAnsi="Times New Roman"/>
        </w:rPr>
        <w:t>III. Proposed MTW Activities</w:t>
      </w:r>
      <w:bookmarkEnd w:id="12"/>
      <w:bookmarkEnd w:id="13"/>
    </w:p>
    <w:p w:rsidR="00841825" w:rsidRDefault="00841825" w:rsidP="00841825">
      <w:pPr>
        <w:rPr>
          <w:highlight w:val="yellow"/>
        </w:rPr>
      </w:pPr>
    </w:p>
    <w:p w:rsidR="00B80272" w:rsidRPr="007914A8" w:rsidRDefault="00A44B12" w:rsidP="00B80272">
      <w:pPr>
        <w:rPr>
          <w:color w:val="000000"/>
        </w:rPr>
      </w:pPr>
      <w:r>
        <w:rPr>
          <w:color w:val="000000"/>
        </w:rPr>
        <w:t xml:space="preserve">DHCD does not plan to propose or significantly modify any existing MTW activities in FY 2017. </w:t>
      </w:r>
    </w:p>
    <w:p w:rsidR="005E3062" w:rsidRPr="00921CB3" w:rsidRDefault="00841825" w:rsidP="00A92A51">
      <w:pPr>
        <w:pStyle w:val="Heading1"/>
        <w:rPr>
          <w:rFonts w:ascii="Times New Roman" w:hAnsi="Times New Roman"/>
        </w:rPr>
      </w:pPr>
      <w:r>
        <w:rPr>
          <w:highlight w:val="yellow"/>
        </w:rPr>
        <w:br w:type="page"/>
      </w:r>
      <w:bookmarkStart w:id="14" w:name="_Toc415115901"/>
      <w:bookmarkStart w:id="15" w:name="_Toc444496090"/>
      <w:r w:rsidR="005E3062" w:rsidRPr="00921CB3">
        <w:rPr>
          <w:rFonts w:ascii="Times New Roman" w:hAnsi="Times New Roman"/>
        </w:rPr>
        <w:t>IV. Approved MTW Activities</w:t>
      </w:r>
      <w:bookmarkEnd w:id="14"/>
      <w:bookmarkEnd w:id="15"/>
    </w:p>
    <w:p w:rsidR="005E3062" w:rsidRPr="003F655B" w:rsidRDefault="005E3062" w:rsidP="005E3062">
      <w:pPr>
        <w:rPr>
          <w:color w:val="000000"/>
        </w:rPr>
      </w:pPr>
    </w:p>
    <w:p w:rsidR="005E3062" w:rsidRDefault="005E3062" w:rsidP="00B73F74">
      <w:pPr>
        <w:jc w:val="both"/>
      </w:pPr>
      <w:r w:rsidRPr="003F655B">
        <w:t>This section of the Annual Plan summarizes and provides a status update on MTW activities that have been previously approved by HUD and implemented by DHCD.  As required, this section also includes summary information on MTW activities that have been not yet been implemented, closed out, or placed on hold by DHC</w:t>
      </w:r>
      <w:r w:rsidR="00720A82">
        <w:t>D</w:t>
      </w:r>
      <w:r w:rsidRPr="003F655B">
        <w:t xml:space="preserve">.  </w:t>
      </w:r>
    </w:p>
    <w:p w:rsidR="00AF712A" w:rsidRPr="003F655B" w:rsidRDefault="00AF712A" w:rsidP="004F3163"/>
    <w:p w:rsidR="005E3062" w:rsidRPr="003F655B" w:rsidRDefault="005E3062" w:rsidP="00180053">
      <w:pPr>
        <w:pStyle w:val="Heading3"/>
        <w:numPr>
          <w:ilvl w:val="0"/>
          <w:numId w:val="21"/>
        </w:numPr>
      </w:pPr>
      <w:bookmarkStart w:id="16" w:name="_Toc415115902"/>
      <w:bookmarkStart w:id="17" w:name="_Toc444496091"/>
      <w:r w:rsidRPr="003F655B">
        <w:t>Implemented Activities</w:t>
      </w:r>
      <w:bookmarkEnd w:id="16"/>
      <w:bookmarkEnd w:id="17"/>
    </w:p>
    <w:p w:rsidR="005E3062" w:rsidRPr="003F655B" w:rsidRDefault="005E3062" w:rsidP="005E3062">
      <w:pPr>
        <w:rPr>
          <w:color w:val="000000"/>
        </w:rPr>
      </w:pPr>
    </w:p>
    <w:p w:rsidR="005E3062" w:rsidRPr="003F655B" w:rsidRDefault="005E3062" w:rsidP="005E3062">
      <w:pPr>
        <w:rPr>
          <w:color w:val="000000"/>
        </w:rPr>
      </w:pPr>
      <w:r w:rsidRPr="003F655B">
        <w:rPr>
          <w:b/>
          <w:color w:val="000000"/>
          <w:u w:val="single"/>
        </w:rPr>
        <w:t>Activity 2000-1:  Family Economic Stabilit</w:t>
      </w:r>
      <w:r w:rsidR="00081F7F">
        <w:rPr>
          <w:b/>
          <w:color w:val="000000"/>
          <w:u w:val="single"/>
        </w:rPr>
        <w:t>y</w:t>
      </w:r>
      <w:r w:rsidR="00D33B25">
        <w:rPr>
          <w:b/>
          <w:color w:val="000000"/>
          <w:u w:val="single"/>
        </w:rPr>
        <w:t xml:space="preserve"> </w:t>
      </w:r>
      <w:r w:rsidRPr="003F655B">
        <w:rPr>
          <w:b/>
          <w:color w:val="000000"/>
          <w:u w:val="single"/>
        </w:rPr>
        <w:t xml:space="preserve">Program </w:t>
      </w:r>
      <w:r w:rsidR="00081F7F" w:rsidRPr="003F655B">
        <w:rPr>
          <w:b/>
          <w:color w:val="000000"/>
          <w:u w:val="single"/>
        </w:rPr>
        <w:t>(FES</w:t>
      </w:r>
      <w:r w:rsidR="00081F7F">
        <w:rPr>
          <w:b/>
          <w:color w:val="000000"/>
          <w:u w:val="single"/>
        </w:rPr>
        <w:t>P</w:t>
      </w:r>
      <w:r w:rsidR="00081F7F" w:rsidRPr="003F655B">
        <w:rPr>
          <w:b/>
          <w:color w:val="000000"/>
          <w:u w:val="single"/>
        </w:rPr>
        <w:t>)</w:t>
      </w:r>
    </w:p>
    <w:p w:rsidR="005E3062" w:rsidRPr="003F655B" w:rsidRDefault="005E3062" w:rsidP="005E3062">
      <w:pPr>
        <w:rPr>
          <w:color w:val="000000"/>
        </w:rPr>
      </w:pPr>
    </w:p>
    <w:p w:rsidR="005B1088" w:rsidRDefault="005B1088" w:rsidP="005B1088">
      <w:pPr>
        <w:jc w:val="both"/>
        <w:rPr>
          <w:color w:val="000000"/>
        </w:rPr>
      </w:pPr>
      <w:r w:rsidRPr="007236E7">
        <w:rPr>
          <w:b/>
          <w:color w:val="000000"/>
        </w:rPr>
        <w:t>Description/Update of MTW Activity</w:t>
      </w:r>
      <w:r w:rsidRPr="007236E7">
        <w:rPr>
          <w:color w:val="000000"/>
        </w:rPr>
        <w:t xml:space="preserve">:  This MTW activity tests an assistance model which provides a fixed annual stipend to eligible families, regardless of future income or family composition changes.  </w:t>
      </w:r>
      <w:r>
        <w:rPr>
          <w:color w:val="000000"/>
        </w:rPr>
        <w:t>Within certain guidelines, participants</w:t>
      </w:r>
      <w:r w:rsidRPr="007236E7">
        <w:rPr>
          <w:color w:val="000000"/>
        </w:rPr>
        <w:t xml:space="preserve"> exercise considerable decision-making in the utilization of the funds.  Case management and program coordination is provided by designated MTW Advisors at each participating agency.  </w:t>
      </w:r>
      <w:r>
        <w:rPr>
          <w:color w:val="000000"/>
        </w:rPr>
        <w:t>Participants</w:t>
      </w:r>
      <w:r w:rsidRPr="007236E7">
        <w:rPr>
          <w:color w:val="000000"/>
        </w:rPr>
        <w:t xml:space="preserve"> may select any housing unit which they deem affordable and appropriate</w:t>
      </w:r>
      <w:r w:rsidR="00F37479">
        <w:rPr>
          <w:color w:val="000000"/>
        </w:rPr>
        <w:t xml:space="preserve"> for their needs and which pass a Housing Quality Standards inspection.</w:t>
      </w:r>
    </w:p>
    <w:p w:rsidR="00F37479" w:rsidRPr="007236E7" w:rsidRDefault="00F37479" w:rsidP="005B1088">
      <w:pPr>
        <w:jc w:val="both"/>
        <w:rPr>
          <w:color w:val="000000"/>
        </w:rPr>
      </w:pPr>
    </w:p>
    <w:p w:rsidR="005B1088" w:rsidRDefault="005B1088" w:rsidP="005B1088">
      <w:pPr>
        <w:jc w:val="both"/>
      </w:pPr>
      <w:r w:rsidRPr="007236E7">
        <w:t xml:space="preserve">Eligibility </w:t>
      </w:r>
      <w:r w:rsidR="00D33B25">
        <w:t>for the FES P</w:t>
      </w:r>
      <w:r>
        <w:t xml:space="preserve">rogram </w:t>
      </w:r>
      <w:r w:rsidRPr="007236E7">
        <w:t>is targeted to low-income working families who meet the following criteria:</w:t>
      </w:r>
    </w:p>
    <w:p w:rsidR="00D33B25" w:rsidRPr="007236E7" w:rsidRDefault="00D33B25" w:rsidP="005B1088">
      <w:pPr>
        <w:jc w:val="both"/>
      </w:pPr>
    </w:p>
    <w:p w:rsidR="005B1088" w:rsidRPr="007236E7" w:rsidRDefault="005B1088" w:rsidP="005B1088">
      <w:pPr>
        <w:numPr>
          <w:ilvl w:val="0"/>
          <w:numId w:val="4"/>
        </w:numPr>
        <w:jc w:val="both"/>
      </w:pPr>
      <w:r w:rsidRPr="007236E7">
        <w:t>Receive, or have received in the past 12 months, public assistance: TAFDC, EA, SNAP</w:t>
      </w:r>
      <w:r>
        <w:t>;</w:t>
      </w:r>
      <w:r w:rsidRPr="007236E7">
        <w:t xml:space="preserve"> and</w:t>
      </w:r>
    </w:p>
    <w:p w:rsidR="005B1088" w:rsidRPr="007236E7" w:rsidRDefault="005B1088" w:rsidP="005B1088">
      <w:pPr>
        <w:numPr>
          <w:ilvl w:val="0"/>
          <w:numId w:val="4"/>
        </w:numPr>
        <w:jc w:val="both"/>
      </w:pPr>
      <w:r w:rsidRPr="007236E7">
        <w:t>Are committed to maintaining employment and agree to provide information to assess the effectiveness of the program</w:t>
      </w:r>
      <w:r>
        <w:t>;</w:t>
      </w:r>
      <w:r w:rsidRPr="007236E7">
        <w:t xml:space="preserve"> and </w:t>
      </w:r>
    </w:p>
    <w:p w:rsidR="005B1088" w:rsidRPr="007236E7" w:rsidRDefault="005B1088" w:rsidP="005B1088">
      <w:pPr>
        <w:numPr>
          <w:ilvl w:val="0"/>
          <w:numId w:val="4"/>
        </w:numPr>
        <w:jc w:val="both"/>
      </w:pPr>
      <w:r w:rsidRPr="007236E7">
        <w:t>In the Boston component only, families who are working at least part-time, who are imminently employed, or who are enrolled in a full-time job training program</w:t>
      </w:r>
      <w:r w:rsidRPr="007236E7">
        <w:rPr>
          <w:i/>
          <w:iCs/>
          <w:color w:val="1F497D"/>
        </w:rPr>
        <w:t xml:space="preserve">. </w:t>
      </w:r>
    </w:p>
    <w:p w:rsidR="005B1088" w:rsidRDefault="005B1088" w:rsidP="005B1088">
      <w:pPr>
        <w:jc w:val="both"/>
        <w:rPr>
          <w:color w:val="FF0000"/>
        </w:rPr>
      </w:pPr>
    </w:p>
    <w:p w:rsidR="005B1088" w:rsidRDefault="005B1088" w:rsidP="005B1088">
      <w:pPr>
        <w:spacing w:after="200"/>
        <w:jc w:val="both"/>
        <w:rPr>
          <w:rFonts w:eastAsiaTheme="minorEastAsia"/>
        </w:rPr>
      </w:pPr>
      <w:r w:rsidRPr="007236E7">
        <w:rPr>
          <w:rFonts w:eastAsiaTheme="minorEastAsia"/>
        </w:rPr>
        <w:t xml:space="preserve">FES provides </w:t>
      </w:r>
      <w:r>
        <w:rPr>
          <w:rFonts w:eastAsiaTheme="minorEastAsia"/>
        </w:rPr>
        <w:t>participants</w:t>
      </w:r>
      <w:r w:rsidRPr="007236E7">
        <w:rPr>
          <w:rFonts w:eastAsiaTheme="minorEastAsia"/>
        </w:rPr>
        <w:t xml:space="preserve"> with a “flat subsidy” that is not tied to hous</w:t>
      </w:r>
      <w:r>
        <w:rPr>
          <w:rFonts w:eastAsiaTheme="minorEastAsia"/>
        </w:rPr>
        <w:t xml:space="preserve">ehold income.  When a participant </w:t>
      </w:r>
      <w:r w:rsidRPr="007236E7">
        <w:rPr>
          <w:rFonts w:eastAsiaTheme="minorEastAsia"/>
        </w:rPr>
        <w:t>increase</w:t>
      </w:r>
      <w:r>
        <w:rPr>
          <w:rFonts w:eastAsiaTheme="minorEastAsia"/>
        </w:rPr>
        <w:t>s</w:t>
      </w:r>
      <w:r w:rsidRPr="007236E7">
        <w:rPr>
          <w:rFonts w:eastAsiaTheme="minorEastAsia"/>
        </w:rPr>
        <w:t xml:space="preserve"> their earned income, as required by the program, their rent subsidy will not decrease.  Conversely, if </w:t>
      </w:r>
      <w:r>
        <w:rPr>
          <w:rFonts w:eastAsiaTheme="minorEastAsia"/>
        </w:rPr>
        <w:t>participants</w:t>
      </w:r>
      <w:r w:rsidRPr="007236E7">
        <w:rPr>
          <w:rFonts w:eastAsiaTheme="minorEastAsia"/>
        </w:rPr>
        <w:t xml:space="preserve"> lose their jobs, their subsidy will not increase.  FES staff and participants will work closely together to manage employment stability t</w:t>
      </w:r>
      <w:r w:rsidR="00D33B25">
        <w:rPr>
          <w:rFonts w:eastAsiaTheme="minorEastAsia"/>
        </w:rPr>
        <w:t>o avoid sudden loss of income.</w:t>
      </w:r>
      <w:r w:rsidRPr="007236E7">
        <w:rPr>
          <w:rFonts w:eastAsiaTheme="minorEastAsia"/>
        </w:rPr>
        <w:t xml:space="preserve">  Participants </w:t>
      </w:r>
      <w:r>
        <w:rPr>
          <w:rFonts w:eastAsiaTheme="minorEastAsia"/>
        </w:rPr>
        <w:t>will</w:t>
      </w:r>
      <w:r w:rsidRPr="007236E7">
        <w:rPr>
          <w:rFonts w:eastAsiaTheme="minorEastAsia"/>
        </w:rPr>
        <w:t xml:space="preserve"> be supported in their housing search and selection to determine the most affordable unit based on family size and </w:t>
      </w:r>
      <w:r>
        <w:rPr>
          <w:rFonts w:eastAsiaTheme="minorEastAsia"/>
        </w:rPr>
        <w:t xml:space="preserve">counseled </w:t>
      </w:r>
      <w:r w:rsidRPr="007236E7">
        <w:rPr>
          <w:rFonts w:eastAsiaTheme="minorEastAsia"/>
        </w:rPr>
        <w:t xml:space="preserve">to consider the challenges of a flat subsidy when selecting potential housing.  </w:t>
      </w:r>
    </w:p>
    <w:p w:rsidR="005B1088" w:rsidRDefault="005B1088" w:rsidP="00346E07">
      <w:pPr>
        <w:jc w:val="both"/>
        <w:rPr>
          <w:color w:val="000000"/>
        </w:rPr>
      </w:pPr>
      <w:r>
        <w:t>Currently, two RAA</w:t>
      </w:r>
      <w:r w:rsidR="00D33B25">
        <w:t>s have implemented FES programs:</w:t>
      </w:r>
      <w:r>
        <w:t xml:space="preserve"> RCAP Solutions in Worcester, MA and Metropolitan Boston Housing Partnership in Boston, MA.  </w:t>
      </w:r>
      <w:r w:rsidRPr="007236E7">
        <w:rPr>
          <w:color w:val="000000"/>
        </w:rPr>
        <w:t xml:space="preserve">The </w:t>
      </w:r>
      <w:r w:rsidRPr="007236E7">
        <w:t>south Worcester County component of FESP no longer accept</w:t>
      </w:r>
      <w:r>
        <w:t>s</w:t>
      </w:r>
      <w:r w:rsidRPr="007236E7">
        <w:t xml:space="preserve"> applicants to FESP.  South Worcester County will continue to serve existing FESP participants through program completion</w:t>
      </w:r>
      <w:r w:rsidR="00344B8B">
        <w:t>,</w:t>
      </w:r>
      <w:r w:rsidRPr="007236E7">
        <w:t xml:space="preserve"> but will no longer administer the program once all existing participants have completed or exited the program.  </w:t>
      </w:r>
    </w:p>
    <w:p w:rsidR="005B1088" w:rsidRPr="008F296F" w:rsidRDefault="005B1088" w:rsidP="00346E07">
      <w:pPr>
        <w:jc w:val="both"/>
        <w:rPr>
          <w:color w:val="000000"/>
        </w:rPr>
      </w:pPr>
    </w:p>
    <w:p w:rsidR="005B1088" w:rsidRDefault="005B1088" w:rsidP="00346E07">
      <w:pPr>
        <w:jc w:val="both"/>
      </w:pPr>
      <w:r w:rsidRPr="003F655B">
        <w:t>Families participating in the south Worcester County component receive the following:</w:t>
      </w:r>
    </w:p>
    <w:p w:rsidR="00344B8B" w:rsidRPr="003F655B" w:rsidRDefault="00344B8B" w:rsidP="00346E07">
      <w:pPr>
        <w:jc w:val="both"/>
      </w:pPr>
    </w:p>
    <w:p w:rsidR="005B1088" w:rsidRPr="003F655B" w:rsidRDefault="005B1088" w:rsidP="00346E07">
      <w:pPr>
        <w:numPr>
          <w:ilvl w:val="0"/>
          <w:numId w:val="5"/>
        </w:numPr>
        <w:jc w:val="both"/>
      </w:pPr>
      <w:r w:rsidRPr="003F655B">
        <w:t>Financial assistance package of $5,500 per year, of which up to $250/month can be applied toward the rent and, in some cases security/upfront costs, for the apartment (paid directly to owner), up to $158/month is available for work-related, utility, or emergency expenses, and $50/month is set aside in an escrow account that is receivable upon successful program completion.</w:t>
      </w:r>
    </w:p>
    <w:p w:rsidR="005B1088" w:rsidRPr="003F655B" w:rsidRDefault="005B1088" w:rsidP="00346E07">
      <w:pPr>
        <w:numPr>
          <w:ilvl w:val="0"/>
          <w:numId w:val="5"/>
        </w:numPr>
        <w:jc w:val="both"/>
      </w:pPr>
      <w:r w:rsidRPr="003F655B">
        <w:t>If the contract rent for the unit is less than the shallow rent subsidy provided, the participant must pay 30% of their adjusted income toward rent. The participant can opt to pay an increased amount for rent and transfer the remaining subsidy amount to their escrow account.</w:t>
      </w:r>
    </w:p>
    <w:p w:rsidR="005B1088" w:rsidRPr="003F655B" w:rsidRDefault="005B1088" w:rsidP="00346E07">
      <w:pPr>
        <w:numPr>
          <w:ilvl w:val="0"/>
          <w:numId w:val="5"/>
        </w:numPr>
        <w:jc w:val="both"/>
      </w:pPr>
      <w:r w:rsidRPr="003F655B">
        <w:t>Case management support to assist the family in addressing employment, housing, or other issues.</w:t>
      </w:r>
    </w:p>
    <w:p w:rsidR="005B1088" w:rsidRPr="003F655B" w:rsidRDefault="005B1088" w:rsidP="00346E07">
      <w:pPr>
        <w:numPr>
          <w:ilvl w:val="0"/>
          <w:numId w:val="5"/>
        </w:numPr>
        <w:jc w:val="both"/>
      </w:pPr>
      <w:r w:rsidRPr="003F655B">
        <w:t>Financial literacy training and homebuyer preparation workshops.</w:t>
      </w:r>
    </w:p>
    <w:p w:rsidR="005B1088" w:rsidRDefault="005B1088" w:rsidP="00346E07">
      <w:pPr>
        <w:numPr>
          <w:ilvl w:val="0"/>
          <w:numId w:val="5"/>
        </w:numPr>
        <w:jc w:val="both"/>
      </w:pPr>
      <w:r w:rsidRPr="003F655B">
        <w:t>Support and resources to assist in home-buying, where desired and appropriate. In FY 2010, the homeownership matching fund program was revised to fund a one-time $500 first-time homebuyer grant for eligible participants provided DHCD ha</w:t>
      </w:r>
      <w:r>
        <w:t>s</w:t>
      </w:r>
      <w:r w:rsidRPr="003F655B">
        <w:t xml:space="preserve"> available funds.</w:t>
      </w:r>
    </w:p>
    <w:p w:rsidR="005B1088" w:rsidRPr="003F655B" w:rsidRDefault="005B1088" w:rsidP="00346E07">
      <w:pPr>
        <w:ind w:left="720"/>
        <w:jc w:val="both"/>
      </w:pPr>
    </w:p>
    <w:p w:rsidR="005B1088" w:rsidRPr="00682975" w:rsidRDefault="005B1088" w:rsidP="00346E07">
      <w:pPr>
        <w:jc w:val="both"/>
      </w:pPr>
      <w:r w:rsidRPr="00682975">
        <w:t>Families participating in the Boston program receive the following:</w:t>
      </w:r>
    </w:p>
    <w:p w:rsidR="005B1088" w:rsidRPr="00A113FC" w:rsidRDefault="005B1088" w:rsidP="00346E07">
      <w:pPr>
        <w:ind w:left="1080"/>
        <w:jc w:val="both"/>
        <w:rPr>
          <w:b/>
        </w:rPr>
      </w:pPr>
    </w:p>
    <w:p w:rsidR="005B1088" w:rsidRPr="00F37479" w:rsidRDefault="005B1088" w:rsidP="00346E07">
      <w:pPr>
        <w:jc w:val="both"/>
        <w:rPr>
          <w:b/>
        </w:rPr>
      </w:pPr>
      <w:r w:rsidRPr="00F37479">
        <w:rPr>
          <w:b/>
        </w:rPr>
        <w:t xml:space="preserve">Rent Subsidy </w:t>
      </w:r>
    </w:p>
    <w:p w:rsidR="005B1088" w:rsidRPr="00F37479" w:rsidRDefault="005B1088" w:rsidP="00346E07">
      <w:pPr>
        <w:numPr>
          <w:ilvl w:val="0"/>
          <w:numId w:val="28"/>
        </w:numPr>
        <w:spacing w:after="200"/>
        <w:ind w:left="720"/>
        <w:contextualSpacing/>
        <w:jc w:val="both"/>
      </w:pPr>
      <w:r w:rsidRPr="00F37479">
        <w:t xml:space="preserve">Flat subsidy </w:t>
      </w:r>
      <w:r w:rsidR="00F37479">
        <w:t>based on family</w:t>
      </w:r>
      <w:r w:rsidR="00F37479" w:rsidRPr="00F37479">
        <w:t xml:space="preserve"> size</w:t>
      </w:r>
      <w:r w:rsidR="00346E07">
        <w:t>.</w:t>
      </w:r>
    </w:p>
    <w:p w:rsidR="005B1088" w:rsidRPr="0010359B" w:rsidRDefault="005B1088" w:rsidP="00346E07">
      <w:pPr>
        <w:numPr>
          <w:ilvl w:val="0"/>
          <w:numId w:val="28"/>
        </w:numPr>
        <w:spacing w:after="200"/>
        <w:ind w:left="720"/>
        <w:contextualSpacing/>
        <w:jc w:val="both"/>
      </w:pPr>
      <w:r w:rsidRPr="0010359B">
        <w:t xml:space="preserve">Time limited – five </w:t>
      </w:r>
      <w:r>
        <w:t xml:space="preserve">(5) </w:t>
      </w:r>
      <w:r w:rsidRPr="0010359B">
        <w:t>years, no extensions</w:t>
      </w:r>
      <w:r w:rsidR="00346E07">
        <w:t>.</w:t>
      </w:r>
    </w:p>
    <w:p w:rsidR="005B1088" w:rsidRPr="0010359B" w:rsidRDefault="005B1088" w:rsidP="00346E07">
      <w:pPr>
        <w:numPr>
          <w:ilvl w:val="0"/>
          <w:numId w:val="28"/>
        </w:numPr>
        <w:spacing w:after="200"/>
        <w:ind w:left="720"/>
        <w:contextualSpacing/>
        <w:jc w:val="both"/>
      </w:pPr>
      <w:r w:rsidRPr="0010359B">
        <w:t>Flexible amount based on family’s goals</w:t>
      </w:r>
      <w:r w:rsidR="00346E07">
        <w:t>.</w:t>
      </w:r>
    </w:p>
    <w:p w:rsidR="005B1088" w:rsidRPr="0010359B" w:rsidRDefault="005B1088" w:rsidP="00346E07">
      <w:pPr>
        <w:numPr>
          <w:ilvl w:val="0"/>
          <w:numId w:val="28"/>
        </w:numPr>
        <w:spacing w:after="200"/>
        <w:ind w:left="720"/>
        <w:contextualSpacing/>
        <w:jc w:val="both"/>
      </w:pPr>
      <w:r w:rsidRPr="0010359B">
        <w:t>Stability Rent Escrow savings program phased in during Years 4 and 5</w:t>
      </w:r>
      <w:r w:rsidR="00346E07">
        <w:t>.</w:t>
      </w:r>
    </w:p>
    <w:p w:rsidR="005B1088" w:rsidRDefault="005B1088" w:rsidP="00346E07">
      <w:pPr>
        <w:jc w:val="both"/>
        <w:rPr>
          <w:b/>
        </w:rPr>
      </w:pPr>
    </w:p>
    <w:p w:rsidR="005B1088" w:rsidRPr="0010359B" w:rsidRDefault="005B1088" w:rsidP="00346E07">
      <w:pPr>
        <w:jc w:val="both"/>
        <w:rPr>
          <w:b/>
        </w:rPr>
      </w:pPr>
      <w:r w:rsidRPr="0010359B">
        <w:rPr>
          <w:b/>
        </w:rPr>
        <w:t xml:space="preserve">Support Account </w:t>
      </w:r>
    </w:p>
    <w:p w:rsidR="005B1088" w:rsidRDefault="005B1088" w:rsidP="00346E07">
      <w:pPr>
        <w:numPr>
          <w:ilvl w:val="0"/>
          <w:numId w:val="29"/>
        </w:numPr>
        <w:spacing w:after="200"/>
        <w:contextualSpacing/>
        <w:jc w:val="both"/>
      </w:pPr>
      <w:r w:rsidRPr="0010359B">
        <w:t xml:space="preserve">$1800 a year to support completion of </w:t>
      </w:r>
      <w:r>
        <w:t>economic stability goals</w:t>
      </w:r>
      <w:r w:rsidR="00346E07">
        <w:t>.</w:t>
      </w:r>
      <w:r>
        <w:t xml:space="preserve"> </w:t>
      </w:r>
    </w:p>
    <w:p w:rsidR="001A57EC" w:rsidRPr="0010359B" w:rsidRDefault="001A57EC" w:rsidP="00346E07">
      <w:pPr>
        <w:spacing w:after="200"/>
        <w:ind w:left="720"/>
        <w:contextualSpacing/>
        <w:jc w:val="both"/>
      </w:pPr>
    </w:p>
    <w:p w:rsidR="005B1088" w:rsidRPr="0010359B" w:rsidRDefault="005B1088" w:rsidP="00346E07">
      <w:pPr>
        <w:jc w:val="both"/>
        <w:rPr>
          <w:b/>
        </w:rPr>
      </w:pPr>
      <w:r w:rsidRPr="0010359B">
        <w:rPr>
          <w:b/>
        </w:rPr>
        <w:t xml:space="preserve">Escrow </w:t>
      </w:r>
      <w:r>
        <w:rPr>
          <w:b/>
        </w:rPr>
        <w:t xml:space="preserve">Savings </w:t>
      </w:r>
      <w:r w:rsidRPr="0010359B">
        <w:rPr>
          <w:b/>
        </w:rPr>
        <w:t>Account</w:t>
      </w:r>
    </w:p>
    <w:p w:rsidR="005B1088" w:rsidRPr="00682975" w:rsidRDefault="005B1088" w:rsidP="00346E07">
      <w:pPr>
        <w:numPr>
          <w:ilvl w:val="0"/>
          <w:numId w:val="39"/>
        </w:numPr>
        <w:jc w:val="both"/>
      </w:pPr>
      <w:r w:rsidRPr="00682975">
        <w:t xml:space="preserve">Each participant is eligible to accrue up to $800 per year in escrow funds.  </w:t>
      </w:r>
    </w:p>
    <w:p w:rsidR="005B1088" w:rsidRPr="00682975" w:rsidRDefault="005B1088" w:rsidP="00346E07">
      <w:pPr>
        <w:numPr>
          <w:ilvl w:val="0"/>
          <w:numId w:val="6"/>
        </w:numPr>
        <w:jc w:val="both"/>
      </w:pPr>
      <w:r w:rsidRPr="00682975">
        <w:t>Case management support to assist the family in addressing employment, housing, or other issues.</w:t>
      </w:r>
    </w:p>
    <w:p w:rsidR="005B1088" w:rsidRPr="00682975" w:rsidRDefault="005B1088" w:rsidP="00346E07">
      <w:pPr>
        <w:numPr>
          <w:ilvl w:val="0"/>
          <w:numId w:val="6"/>
        </w:numPr>
        <w:jc w:val="both"/>
      </w:pPr>
      <w:r w:rsidRPr="00682975">
        <w:t>Financial literacy training.</w:t>
      </w:r>
    </w:p>
    <w:p w:rsidR="005B1088" w:rsidRPr="00682975" w:rsidRDefault="005B1088" w:rsidP="00346E07">
      <w:pPr>
        <w:numPr>
          <w:ilvl w:val="0"/>
          <w:numId w:val="6"/>
        </w:numPr>
        <w:jc w:val="both"/>
      </w:pPr>
      <w:r w:rsidRPr="00682975">
        <w:t xml:space="preserve">Support and resources to assist in home-buying, where desired and appropriate. In FY 2010, the homeownership matching fund program was revised to fund a one-time $500 first-time homebuyer grant for eligible participants provided DHCD has available funds.  </w:t>
      </w:r>
    </w:p>
    <w:p w:rsidR="005B1088" w:rsidRPr="00682975" w:rsidRDefault="005B1088" w:rsidP="00346E07">
      <w:pPr>
        <w:jc w:val="both"/>
      </w:pPr>
    </w:p>
    <w:p w:rsidR="001A02E9" w:rsidRPr="001A02E9" w:rsidRDefault="001A02E9" w:rsidP="00346E07">
      <w:pPr>
        <w:jc w:val="both"/>
        <w:rPr>
          <w:b/>
        </w:rPr>
      </w:pPr>
      <w:r w:rsidRPr="000D5835">
        <w:rPr>
          <w:b/>
        </w:rPr>
        <w:t xml:space="preserve">Case Management and </w:t>
      </w:r>
      <w:r w:rsidR="000B1494" w:rsidRPr="000D5835">
        <w:rPr>
          <w:b/>
        </w:rPr>
        <w:t>Support:</w:t>
      </w:r>
      <w:r>
        <w:rPr>
          <w:b/>
        </w:rPr>
        <w:t xml:space="preserve"> Service and Housing Stability Plans </w:t>
      </w:r>
    </w:p>
    <w:p w:rsidR="00944FD9" w:rsidRDefault="001A02E9" w:rsidP="00346E07">
      <w:pPr>
        <w:jc w:val="both"/>
        <w:rPr>
          <w:lang w:eastAsia="x-none"/>
        </w:rPr>
      </w:pPr>
      <w:r w:rsidRPr="0010359B">
        <w:rPr>
          <w:lang w:eastAsia="x-none"/>
        </w:rPr>
        <w:t>Service plans will address immediate and long term goals (5 year) and will be create</w:t>
      </w:r>
      <w:r w:rsidR="00484B0D">
        <w:rPr>
          <w:lang w:eastAsia="x-none"/>
        </w:rPr>
        <w:t>d through a partnership of the p</w:t>
      </w:r>
      <w:r w:rsidRPr="0010359B">
        <w:rPr>
          <w:lang w:eastAsia="x-none"/>
        </w:rPr>
        <w:t>articipant and FES staff. The plan must take into consideration all the goals of FES, including improved financial literacy skills and financial stability</w:t>
      </w:r>
      <w:r w:rsidR="00944FD9">
        <w:rPr>
          <w:lang w:eastAsia="x-none"/>
        </w:rPr>
        <w:t>,</w:t>
      </w:r>
      <w:r>
        <w:rPr>
          <w:lang w:eastAsia="x-none"/>
        </w:rPr>
        <w:t xml:space="preserve"> </w:t>
      </w:r>
      <w:r w:rsidRPr="0010359B">
        <w:rPr>
          <w:lang w:eastAsia="x-none"/>
        </w:rPr>
        <w:t xml:space="preserve">and career and employment gains. The plan will focus solely on the person enrolled in FES rather than other household members, though goals may certainly include how the development of skills and assets available through participation in FES will benefit other household members directly or indirectly. During the course of the program, Service </w:t>
      </w:r>
      <w:r>
        <w:rPr>
          <w:lang w:eastAsia="x-none"/>
        </w:rPr>
        <w:t>P</w:t>
      </w:r>
      <w:r w:rsidRPr="0010359B">
        <w:rPr>
          <w:lang w:eastAsia="x-none"/>
        </w:rPr>
        <w:t xml:space="preserve">lans may be revisited </w:t>
      </w:r>
      <w:r w:rsidR="00484B0D">
        <w:rPr>
          <w:lang w:eastAsia="x-none"/>
        </w:rPr>
        <w:t>and changes</w:t>
      </w:r>
      <w:r w:rsidRPr="0010359B">
        <w:rPr>
          <w:lang w:eastAsia="x-none"/>
        </w:rPr>
        <w:t xml:space="preserve"> made that reflect evolving interests, opportunities </w:t>
      </w:r>
      <w:r w:rsidR="00484B0D">
        <w:rPr>
          <w:lang w:eastAsia="x-none"/>
        </w:rPr>
        <w:t>and resources available to the p</w:t>
      </w:r>
      <w:r w:rsidRPr="0010359B">
        <w:rPr>
          <w:lang w:eastAsia="x-none"/>
        </w:rPr>
        <w:t xml:space="preserve">articipant. </w:t>
      </w:r>
    </w:p>
    <w:p w:rsidR="00944FD9" w:rsidRDefault="00944FD9" w:rsidP="00346E07">
      <w:pPr>
        <w:jc w:val="both"/>
        <w:rPr>
          <w:lang w:eastAsia="x-none"/>
        </w:rPr>
      </w:pPr>
    </w:p>
    <w:p w:rsidR="001A02E9" w:rsidRPr="0010359B" w:rsidRDefault="001A02E9" w:rsidP="00346E07">
      <w:pPr>
        <w:jc w:val="both"/>
        <w:rPr>
          <w:lang w:eastAsia="x-none"/>
        </w:rPr>
      </w:pPr>
      <w:r w:rsidRPr="0010359B">
        <w:rPr>
          <w:lang w:eastAsia="x-none"/>
        </w:rPr>
        <w:t>The development of the Housing Stability Plan is distinct from the Service Plan, and focuses on creating a road map for hou</w:t>
      </w:r>
      <w:r w:rsidR="00DA7D52">
        <w:rPr>
          <w:lang w:eastAsia="x-none"/>
        </w:rPr>
        <w:t>sing security when the</w:t>
      </w:r>
      <w:r w:rsidRPr="0010359B">
        <w:rPr>
          <w:lang w:eastAsia="x-none"/>
        </w:rPr>
        <w:t xml:space="preserve"> program ends. </w:t>
      </w:r>
      <w:r>
        <w:rPr>
          <w:lang w:eastAsia="x-none"/>
        </w:rPr>
        <w:t xml:space="preserve"> Discussion of future housing stability begins at enrollment, and all FES participants will graduate from FES with a housing plan that provides them with the tools and resources necessary to remain stably housed in the future.  </w:t>
      </w:r>
    </w:p>
    <w:p w:rsidR="001A02E9" w:rsidRDefault="001A02E9" w:rsidP="00346E07">
      <w:pPr>
        <w:jc w:val="both"/>
      </w:pPr>
    </w:p>
    <w:p w:rsidR="005B1088" w:rsidRPr="00DA17EA" w:rsidRDefault="005B1088" w:rsidP="00346E07">
      <w:pPr>
        <w:jc w:val="both"/>
      </w:pPr>
      <w:r w:rsidRPr="00682975">
        <w:t>DHCD reviews, on an ongoing basis, the amount of subsidy/stipend levels and the number of</w:t>
      </w:r>
      <w:r w:rsidRPr="00DA17EA">
        <w:t xml:space="preserve"> program participants. Although DHCD has not yet authorized additional RAAs to implement small scale programs using this program model, DHCD may, at its option, expand the program to other areas of the state in subsequent program years. DHCD may also consider increasing the number of participants for the FES prog</w:t>
      </w:r>
      <w:r>
        <w:t>ram and targeting assistance to</w:t>
      </w:r>
      <w:r w:rsidRPr="00DA17EA">
        <w:t xml:space="preserve"> homeless applicants. Currently program statistics are tracked by program staff a</w:t>
      </w:r>
      <w:r w:rsidR="00484B0D">
        <w:t>nd in DHCD’s housing software.</w:t>
      </w:r>
    </w:p>
    <w:p w:rsidR="005B1088" w:rsidRPr="007236E7" w:rsidRDefault="005B1088" w:rsidP="00346E07">
      <w:pPr>
        <w:jc w:val="both"/>
      </w:pPr>
    </w:p>
    <w:p w:rsidR="00E327E5" w:rsidRPr="0056053B" w:rsidRDefault="00E327E5" w:rsidP="00346E07">
      <w:pPr>
        <w:jc w:val="both"/>
      </w:pPr>
      <w:r>
        <w:t xml:space="preserve">FES’s Hardship Policy is designed to off-set the impact of unanticipated, no-fault loss of employment.  </w:t>
      </w:r>
      <w:r w:rsidRPr="0010359B">
        <w:t xml:space="preserve">During participation in the </w:t>
      </w:r>
      <w:r w:rsidR="00DD65C5">
        <w:t>FESP,</w:t>
      </w:r>
      <w:r w:rsidRPr="0010359B">
        <w:t xml:space="preserve"> participants may request a hardship waiver if he/she experiences an unanticipated loss of income that is anticipated to last longer than</w:t>
      </w:r>
      <w:r>
        <w:t xml:space="preserve"> ninety</w:t>
      </w:r>
      <w:r w:rsidRPr="0010359B">
        <w:t xml:space="preserve"> </w:t>
      </w:r>
      <w:r>
        <w:t>(</w:t>
      </w:r>
      <w:r w:rsidRPr="0010359B">
        <w:t>90</w:t>
      </w:r>
      <w:r>
        <w:t>)</w:t>
      </w:r>
      <w:r w:rsidRPr="0010359B">
        <w:t xml:space="preserve"> days.  This request must be approved by MTW Program</w:t>
      </w:r>
      <w:r>
        <w:t xml:space="preserve"> staff</w:t>
      </w:r>
      <w:r w:rsidRPr="0010359B">
        <w:t xml:space="preserve"> prior to submitting it to DHCD for review.  If the request is granted, any unused support funds available that year will be available to pay the tenant share of rent.  The Hardship Policy does not allow the support account to be used for rent or utility arrearages.  If the hardship occurs in years four or five then the rent subsidy can be restored to the higher level </w:t>
      </w:r>
      <w:r>
        <w:t xml:space="preserve">as necessary and approved by DHCD. </w:t>
      </w:r>
    </w:p>
    <w:p w:rsidR="00E327E5" w:rsidRDefault="00E327E5" w:rsidP="00346E07">
      <w:pPr>
        <w:jc w:val="both"/>
        <w:rPr>
          <w:color w:val="000000"/>
        </w:rPr>
      </w:pPr>
    </w:p>
    <w:p w:rsidR="005B1088" w:rsidRPr="007236E7" w:rsidRDefault="00C810BA" w:rsidP="00346E07">
      <w:pPr>
        <w:jc w:val="both"/>
        <w:rPr>
          <w:color w:val="000000"/>
        </w:rPr>
      </w:pPr>
      <w:r w:rsidRPr="00C810BA">
        <w:rPr>
          <w:color w:val="000000"/>
        </w:rPr>
        <w:t>Currently, FESP has 63</w:t>
      </w:r>
      <w:r w:rsidR="005B1088" w:rsidRPr="00C810BA">
        <w:rPr>
          <w:color w:val="000000"/>
        </w:rPr>
        <w:t xml:space="preserve"> active participants </w:t>
      </w:r>
      <w:r w:rsidRPr="00C810BA">
        <w:rPr>
          <w:color w:val="000000"/>
        </w:rPr>
        <w:t>and approximately 14</w:t>
      </w:r>
      <w:r w:rsidR="005B1088" w:rsidRPr="00C810BA">
        <w:rPr>
          <w:color w:val="000000"/>
        </w:rPr>
        <w:t xml:space="preserve"> new applicants </w:t>
      </w:r>
      <w:r w:rsidR="00F37479" w:rsidRPr="00C810BA">
        <w:rPr>
          <w:color w:val="000000"/>
        </w:rPr>
        <w:t xml:space="preserve">are </w:t>
      </w:r>
      <w:r w:rsidR="005B1088" w:rsidRPr="00C810BA">
        <w:rPr>
          <w:color w:val="000000"/>
        </w:rPr>
        <w:t xml:space="preserve">anticipated to </w:t>
      </w:r>
      <w:r w:rsidR="00F37479" w:rsidRPr="00C810BA">
        <w:rPr>
          <w:color w:val="000000"/>
        </w:rPr>
        <w:t>lease</w:t>
      </w:r>
      <w:r>
        <w:rPr>
          <w:color w:val="000000"/>
        </w:rPr>
        <w:t xml:space="preserve"> up by the close of FY 2017.  </w:t>
      </w:r>
      <w:r w:rsidR="00081F7F">
        <w:rPr>
          <w:color w:val="000000"/>
        </w:rPr>
        <w:t>Twenty-seven (</w:t>
      </w:r>
      <w:r>
        <w:rPr>
          <w:color w:val="000000"/>
        </w:rPr>
        <w:t>27</w:t>
      </w:r>
      <w:r w:rsidR="00081F7F">
        <w:rPr>
          <w:color w:val="000000"/>
        </w:rPr>
        <w:t>)</w:t>
      </w:r>
      <w:r w:rsidR="005B1088" w:rsidRPr="00C810BA">
        <w:rPr>
          <w:color w:val="000000"/>
        </w:rPr>
        <w:t xml:space="preserve"> participants are</w:t>
      </w:r>
      <w:r w:rsidR="00F37479" w:rsidRPr="00C810BA">
        <w:rPr>
          <w:color w:val="000000"/>
        </w:rPr>
        <w:t xml:space="preserve"> expected to graduate between the writing of this report and the end of FY 2017</w:t>
      </w:r>
      <w:r w:rsidR="005B1088" w:rsidRPr="00C810BA">
        <w:rPr>
          <w:color w:val="000000"/>
        </w:rPr>
        <w:t>. DHCD will maintain enrollment with 50 ho</w:t>
      </w:r>
      <w:r w:rsidR="00081F7F">
        <w:rPr>
          <w:color w:val="000000"/>
        </w:rPr>
        <w:t>useholds in the Boston program.</w:t>
      </w:r>
      <w:r w:rsidR="005B1088" w:rsidRPr="00C810BA">
        <w:rPr>
          <w:color w:val="000000"/>
        </w:rPr>
        <w:t xml:space="preserve">  The FES program currently has a </w:t>
      </w:r>
      <w:r w:rsidRPr="00C810BA">
        <w:rPr>
          <w:color w:val="000000"/>
        </w:rPr>
        <w:t>waitlist of 367</w:t>
      </w:r>
      <w:r w:rsidR="005B1088" w:rsidRPr="00C810BA">
        <w:rPr>
          <w:color w:val="000000"/>
        </w:rPr>
        <w:t xml:space="preserve"> households.   </w:t>
      </w:r>
    </w:p>
    <w:p w:rsidR="005B1088" w:rsidRPr="007236E7" w:rsidRDefault="005B1088" w:rsidP="00346E07">
      <w:pPr>
        <w:jc w:val="both"/>
        <w:rPr>
          <w:color w:val="000000"/>
        </w:rPr>
      </w:pPr>
    </w:p>
    <w:p w:rsidR="005B1088" w:rsidRPr="007236E7" w:rsidRDefault="005B1088" w:rsidP="00346E07">
      <w:pPr>
        <w:jc w:val="both"/>
        <w:rPr>
          <w:color w:val="000000"/>
        </w:rPr>
      </w:pPr>
      <w:r w:rsidRPr="007236E7">
        <w:rPr>
          <w:b/>
          <w:color w:val="000000"/>
        </w:rPr>
        <w:t>Proposed Changes to Activity</w:t>
      </w:r>
      <w:r w:rsidRPr="007236E7">
        <w:rPr>
          <w:color w:val="000000"/>
        </w:rPr>
        <w:t xml:space="preserve">: </w:t>
      </w:r>
      <w:r w:rsidR="001D2D42">
        <w:rPr>
          <w:color w:val="000000"/>
        </w:rPr>
        <w:t>In order to market the FES</w:t>
      </w:r>
      <w:r w:rsidR="00081F7F">
        <w:rPr>
          <w:color w:val="000000"/>
        </w:rPr>
        <w:t xml:space="preserve"> P</w:t>
      </w:r>
      <w:r w:rsidR="001D2D42">
        <w:rPr>
          <w:color w:val="000000"/>
        </w:rPr>
        <w:t xml:space="preserve">rogram and provide subsidies which allow participants to lease units and maintain self-sufficiency goals, </w:t>
      </w:r>
      <w:r w:rsidR="00806F13">
        <w:rPr>
          <w:color w:val="000000"/>
        </w:rPr>
        <w:t xml:space="preserve">the </w:t>
      </w:r>
      <w:r w:rsidR="00C623C7">
        <w:rPr>
          <w:color w:val="000000"/>
        </w:rPr>
        <w:t>subsidy provided must</w:t>
      </w:r>
      <w:r w:rsidR="001D2D42">
        <w:rPr>
          <w:color w:val="000000"/>
        </w:rPr>
        <w:t xml:space="preserve"> be in line with </w:t>
      </w:r>
      <w:r w:rsidR="00806F13">
        <w:rPr>
          <w:color w:val="000000"/>
        </w:rPr>
        <w:t xml:space="preserve">rental </w:t>
      </w:r>
      <w:r w:rsidR="001D2D42">
        <w:rPr>
          <w:color w:val="000000"/>
        </w:rPr>
        <w:t>market</w:t>
      </w:r>
      <w:r w:rsidR="006C139B">
        <w:rPr>
          <w:color w:val="000000"/>
        </w:rPr>
        <w:t xml:space="preserve"> trends.  Over the course of the past five years, the Fair Market Rents (FMRs) in the</w:t>
      </w:r>
      <w:r w:rsidR="001D2D42">
        <w:rPr>
          <w:color w:val="000000"/>
        </w:rPr>
        <w:t xml:space="preserve"> Boston</w:t>
      </w:r>
      <w:r w:rsidR="006C139B">
        <w:rPr>
          <w:color w:val="000000"/>
        </w:rPr>
        <w:t xml:space="preserve"> area </w:t>
      </w:r>
      <w:r w:rsidR="001D2D42">
        <w:rPr>
          <w:color w:val="000000"/>
        </w:rPr>
        <w:t xml:space="preserve">for one, two and three bedroom units increased on average 9%.  </w:t>
      </w:r>
      <w:r w:rsidR="00C1788D">
        <w:rPr>
          <w:color w:val="000000"/>
        </w:rPr>
        <w:t xml:space="preserve">As a result of changes in the rental market, </w:t>
      </w:r>
      <w:r w:rsidR="00A44B12">
        <w:rPr>
          <w:color w:val="000000"/>
        </w:rPr>
        <w:t>DHCD w</w:t>
      </w:r>
      <w:r w:rsidR="00C623C7">
        <w:rPr>
          <w:color w:val="000000"/>
        </w:rPr>
        <w:t>ill look to increa</w:t>
      </w:r>
      <w:r w:rsidR="006C139B">
        <w:rPr>
          <w:color w:val="000000"/>
        </w:rPr>
        <w:t xml:space="preserve">se the rental portion of the </w:t>
      </w:r>
      <w:r w:rsidR="00A44B12">
        <w:rPr>
          <w:color w:val="000000"/>
        </w:rPr>
        <w:t>subsidy provided to pa</w:t>
      </w:r>
      <w:r w:rsidR="00081F7F">
        <w:rPr>
          <w:color w:val="000000"/>
        </w:rPr>
        <w:t>rticipants in the FES P</w:t>
      </w:r>
      <w:r w:rsidR="00C1788D">
        <w:rPr>
          <w:color w:val="000000"/>
        </w:rPr>
        <w:t>rogram</w:t>
      </w:r>
      <w:r w:rsidR="00806F13">
        <w:rPr>
          <w:color w:val="000000"/>
        </w:rPr>
        <w:t xml:space="preserve"> in FY 2017</w:t>
      </w:r>
      <w:r w:rsidR="00C1788D">
        <w:rPr>
          <w:color w:val="000000"/>
        </w:rPr>
        <w:t>.</w:t>
      </w:r>
      <w:r w:rsidR="00C623C7">
        <w:rPr>
          <w:color w:val="000000"/>
        </w:rPr>
        <w:t xml:space="preserve">  Additionally, f</w:t>
      </w:r>
      <w:r w:rsidR="00DA7D52">
        <w:rPr>
          <w:color w:val="000000"/>
        </w:rPr>
        <w:t>or the Boston program, DHCD may</w:t>
      </w:r>
      <w:r w:rsidR="00C623C7">
        <w:rPr>
          <w:color w:val="000000"/>
        </w:rPr>
        <w:t xml:space="preserve"> increase the time limit from five years to seven years to provide participants with enoug</w:t>
      </w:r>
      <w:r w:rsidR="006C139B">
        <w:rPr>
          <w:color w:val="000000"/>
        </w:rPr>
        <w:t>h time to achieve goals and</w:t>
      </w:r>
      <w:r w:rsidR="00C623C7">
        <w:rPr>
          <w:color w:val="000000"/>
        </w:rPr>
        <w:t xml:space="preserve"> to stabilize their careers and families once those goals have been achieved.  </w:t>
      </w:r>
    </w:p>
    <w:p w:rsidR="005B1088" w:rsidRPr="003F655B" w:rsidRDefault="005B1088" w:rsidP="00346E07">
      <w:pPr>
        <w:jc w:val="both"/>
        <w:rPr>
          <w:b/>
          <w:color w:val="000000"/>
        </w:rPr>
      </w:pPr>
    </w:p>
    <w:p w:rsidR="005B1088" w:rsidRPr="003F655B" w:rsidRDefault="005B1088" w:rsidP="00346E07">
      <w:pPr>
        <w:jc w:val="both"/>
        <w:rPr>
          <w:color w:val="000000"/>
        </w:rPr>
      </w:pPr>
      <w:r w:rsidRPr="003F655B">
        <w:rPr>
          <w:b/>
          <w:color w:val="000000"/>
        </w:rPr>
        <w:t>Approval and Implementation</w:t>
      </w:r>
      <w:r w:rsidRPr="003F655B">
        <w:rPr>
          <w:color w:val="000000"/>
        </w:rPr>
        <w:t>:   2000 - Implementation activities began in FY 2001.</w:t>
      </w:r>
    </w:p>
    <w:p w:rsidR="005B1088" w:rsidRPr="003F655B" w:rsidRDefault="005B1088" w:rsidP="00346E07">
      <w:pPr>
        <w:jc w:val="both"/>
        <w:rPr>
          <w:b/>
          <w:color w:val="000000"/>
        </w:rPr>
      </w:pPr>
    </w:p>
    <w:p w:rsidR="00BE5732" w:rsidRPr="00AC4AEF" w:rsidRDefault="00BE5732" w:rsidP="00346E07">
      <w:pPr>
        <w:jc w:val="both"/>
        <w:rPr>
          <w:bCs/>
        </w:rPr>
      </w:pPr>
      <w:r>
        <w:rPr>
          <w:b/>
        </w:rPr>
        <w:t xml:space="preserve">Changes to Baseline, Benchmarks &amp; Metrics: </w:t>
      </w:r>
      <w:r w:rsidRPr="00A704F7">
        <w:rPr>
          <w:bCs/>
        </w:rPr>
        <w:t xml:space="preserve">The benchmarks have been updated to reflect </w:t>
      </w:r>
      <w:r>
        <w:rPr>
          <w:bCs/>
        </w:rPr>
        <w:t xml:space="preserve">anticipated program activities in FY 2017.  </w:t>
      </w:r>
      <w:r>
        <w:t>DHCD will report on outcomes in the MTW Annual Report.</w:t>
      </w:r>
    </w:p>
    <w:p w:rsidR="00BE5732" w:rsidRDefault="00BE5732" w:rsidP="00346E07">
      <w:pPr>
        <w:jc w:val="both"/>
        <w:rPr>
          <w:b/>
          <w:color w:val="000000"/>
        </w:rPr>
      </w:pPr>
    </w:p>
    <w:p w:rsidR="005B1088" w:rsidRDefault="005B1088" w:rsidP="005B1088">
      <w:pPr>
        <w:jc w:val="both"/>
        <w:rPr>
          <w:color w:val="000000"/>
        </w:rPr>
      </w:pPr>
      <w:r>
        <w:rPr>
          <w:b/>
          <w:color w:val="000000"/>
        </w:rPr>
        <w:t>Metrics</w:t>
      </w:r>
      <w:r w:rsidRPr="004A47C3">
        <w:rPr>
          <w:color w:val="000000"/>
        </w:rPr>
        <w:t xml:space="preserve">:  </w:t>
      </w:r>
    </w:p>
    <w:p w:rsidR="005B1088" w:rsidRDefault="005B1088" w:rsidP="005B1088">
      <w:pPr>
        <w:rPr>
          <w:color w:val="000000"/>
        </w:rPr>
      </w:pPr>
    </w:p>
    <w:p w:rsidR="00DD65C5" w:rsidRPr="00FB4487" w:rsidRDefault="00DD65C5" w:rsidP="005B108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66"/>
        <w:gridCol w:w="1872"/>
        <w:gridCol w:w="1854"/>
        <w:gridCol w:w="1872"/>
      </w:tblGrid>
      <w:tr w:rsidR="005B1088" w:rsidRPr="00FB4487" w:rsidTr="00081F7F">
        <w:trPr>
          <w:trHeight w:val="314"/>
        </w:trPr>
        <w:tc>
          <w:tcPr>
            <w:tcW w:w="9576" w:type="dxa"/>
            <w:gridSpan w:val="5"/>
            <w:shd w:val="clear" w:color="auto" w:fill="C6D9F1" w:themeFill="text2" w:themeFillTint="33"/>
          </w:tcPr>
          <w:p w:rsidR="005B1088" w:rsidRPr="00FB4487" w:rsidRDefault="005B1088" w:rsidP="005A007D">
            <w:pPr>
              <w:jc w:val="center"/>
              <w:rPr>
                <w:rFonts w:eastAsia="Calibri"/>
                <w:b/>
                <w:bCs/>
                <w:i/>
                <w:iCs/>
                <w:sz w:val="22"/>
                <w:szCs w:val="22"/>
              </w:rPr>
            </w:pPr>
            <w:r w:rsidRPr="00FB4487">
              <w:rPr>
                <w:b/>
                <w:bCs/>
                <w:i/>
                <w:iCs/>
                <w:sz w:val="22"/>
                <w:szCs w:val="22"/>
              </w:rPr>
              <w:t>CE #4: Increase in Resources Leveraged</w:t>
            </w:r>
          </w:p>
        </w:tc>
      </w:tr>
      <w:tr w:rsidR="005B1088" w:rsidRPr="00FB4487" w:rsidTr="00081F7F">
        <w:trPr>
          <w:trHeight w:val="314"/>
        </w:trPr>
        <w:tc>
          <w:tcPr>
            <w:tcW w:w="1915" w:type="dxa"/>
            <w:shd w:val="clear" w:color="auto" w:fill="D9D9D9" w:themeFill="background1" w:themeFillShade="D9"/>
            <w:vAlign w:val="center"/>
          </w:tcPr>
          <w:p w:rsidR="005B1088" w:rsidRPr="00FB4487" w:rsidRDefault="005B1088" w:rsidP="005A007D">
            <w:pPr>
              <w:jc w:val="cente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5B1088" w:rsidRPr="00FB4487" w:rsidRDefault="005B1088" w:rsidP="005A007D">
            <w:pPr>
              <w:jc w:val="center"/>
              <w:rPr>
                <w:rFonts w:eastAsia="Calibri"/>
                <w:b/>
                <w:bCs/>
                <w:sz w:val="22"/>
                <w:szCs w:val="22"/>
              </w:rPr>
            </w:pPr>
            <w:r w:rsidRPr="00FB4487">
              <w:rPr>
                <w:rFonts w:eastAsia="Calibri"/>
                <w:b/>
                <w:bCs/>
                <w:sz w:val="22"/>
                <w:szCs w:val="22"/>
              </w:rPr>
              <w:t>Baseline</w:t>
            </w:r>
          </w:p>
        </w:tc>
        <w:tc>
          <w:tcPr>
            <w:tcW w:w="1915" w:type="dxa"/>
            <w:shd w:val="clear" w:color="auto" w:fill="D9D9D9" w:themeFill="background1" w:themeFillShade="D9"/>
            <w:vAlign w:val="center"/>
          </w:tcPr>
          <w:p w:rsidR="005B1088" w:rsidRPr="00FB4487" w:rsidRDefault="005B1088" w:rsidP="005A007D">
            <w:pPr>
              <w:jc w:val="center"/>
              <w:rPr>
                <w:rFonts w:eastAsia="Calibri"/>
                <w:b/>
                <w:bCs/>
                <w:sz w:val="22"/>
                <w:szCs w:val="22"/>
              </w:rPr>
            </w:pPr>
            <w:r w:rsidRPr="00FB4487">
              <w:rPr>
                <w:rFonts w:eastAsia="Calibri"/>
                <w:b/>
                <w:bCs/>
                <w:sz w:val="22"/>
                <w:szCs w:val="22"/>
              </w:rPr>
              <w:t>Benchmark</w:t>
            </w:r>
          </w:p>
        </w:tc>
        <w:tc>
          <w:tcPr>
            <w:tcW w:w="1915" w:type="dxa"/>
            <w:shd w:val="clear" w:color="auto" w:fill="D9D9D9" w:themeFill="background1" w:themeFillShade="D9"/>
            <w:vAlign w:val="center"/>
          </w:tcPr>
          <w:p w:rsidR="005B1088" w:rsidRPr="00FB4487" w:rsidRDefault="005B1088" w:rsidP="005A007D">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5B1088" w:rsidRPr="00FB4487" w:rsidRDefault="005B1088" w:rsidP="005A007D">
            <w:pPr>
              <w:jc w:val="center"/>
              <w:rPr>
                <w:rFonts w:eastAsia="Calibri"/>
                <w:b/>
                <w:bCs/>
                <w:sz w:val="22"/>
                <w:szCs w:val="22"/>
              </w:rPr>
            </w:pPr>
            <w:r w:rsidRPr="00FB4487">
              <w:rPr>
                <w:rFonts w:eastAsia="Calibri"/>
                <w:b/>
                <w:bCs/>
                <w:sz w:val="22"/>
                <w:szCs w:val="22"/>
              </w:rPr>
              <w:t>Benchmark Achieved?</w:t>
            </w:r>
          </w:p>
        </w:tc>
      </w:tr>
      <w:tr w:rsidR="005B1088" w:rsidRPr="003F655B" w:rsidTr="005A007D">
        <w:trPr>
          <w:trHeight w:val="314"/>
        </w:trPr>
        <w:tc>
          <w:tcPr>
            <w:tcW w:w="1915" w:type="dxa"/>
            <w:shd w:val="clear" w:color="auto" w:fill="auto"/>
          </w:tcPr>
          <w:p w:rsidR="005B1088" w:rsidRPr="00FB4487" w:rsidRDefault="005B1088" w:rsidP="005A007D">
            <w:pPr>
              <w:rPr>
                <w:rFonts w:eastAsia="Calibri"/>
                <w:b/>
                <w:bCs/>
                <w:i/>
                <w:iCs/>
                <w:sz w:val="22"/>
                <w:szCs w:val="22"/>
              </w:rPr>
            </w:pPr>
            <w:r w:rsidRPr="00FB4487">
              <w:rPr>
                <w:sz w:val="22"/>
                <w:szCs w:val="22"/>
              </w:rPr>
              <w:t>Amount of funds leveraged in dollars (increase).</w:t>
            </w:r>
          </w:p>
        </w:tc>
        <w:tc>
          <w:tcPr>
            <w:tcW w:w="1915" w:type="dxa"/>
            <w:shd w:val="clear" w:color="auto" w:fill="auto"/>
            <w:vAlign w:val="center"/>
          </w:tcPr>
          <w:p w:rsidR="005B1088" w:rsidRPr="00FB4487" w:rsidRDefault="005B1088" w:rsidP="005A007D">
            <w:pPr>
              <w:jc w:val="center"/>
              <w:rPr>
                <w:rFonts w:eastAsia="Calibri"/>
                <w:bCs/>
                <w:iCs/>
                <w:sz w:val="22"/>
                <w:szCs w:val="22"/>
              </w:rPr>
            </w:pPr>
            <w:r w:rsidRPr="00FB4487">
              <w:rPr>
                <w:rFonts w:eastAsia="Calibri"/>
                <w:bCs/>
                <w:iCs/>
                <w:sz w:val="22"/>
                <w:szCs w:val="22"/>
              </w:rPr>
              <w:t>$0.00</w:t>
            </w:r>
          </w:p>
        </w:tc>
        <w:tc>
          <w:tcPr>
            <w:tcW w:w="1915" w:type="dxa"/>
            <w:shd w:val="clear" w:color="auto" w:fill="auto"/>
            <w:vAlign w:val="center"/>
          </w:tcPr>
          <w:p w:rsidR="005B1088" w:rsidRPr="00FB4487" w:rsidRDefault="005B1088" w:rsidP="000433A8">
            <w:pPr>
              <w:jc w:val="center"/>
              <w:rPr>
                <w:rFonts w:eastAsia="Calibri"/>
                <w:bCs/>
                <w:iCs/>
                <w:sz w:val="22"/>
                <w:szCs w:val="22"/>
              </w:rPr>
            </w:pPr>
            <w:r w:rsidRPr="00FB4487">
              <w:rPr>
                <w:rFonts w:eastAsia="Calibri"/>
                <w:bCs/>
                <w:iCs/>
                <w:sz w:val="22"/>
                <w:szCs w:val="22"/>
              </w:rPr>
              <w:t>$0.00</w:t>
            </w:r>
          </w:p>
          <w:p w:rsidR="005B1088" w:rsidRPr="00806F13" w:rsidRDefault="005B1088" w:rsidP="00806F13">
            <w:pPr>
              <w:jc w:val="center"/>
              <w:rPr>
                <w:color w:val="000000"/>
              </w:rPr>
            </w:pPr>
            <w:r w:rsidRPr="00FB4487">
              <w:rPr>
                <w:i/>
                <w:sz w:val="20"/>
                <w:szCs w:val="20"/>
              </w:rPr>
              <w:t>*This metric has been required by HUD.  DHCD does not leverage funds in connection with this activity and does not consider this metric to be applicable to this activity.</w:t>
            </w:r>
          </w:p>
        </w:tc>
        <w:tc>
          <w:tcPr>
            <w:tcW w:w="1915" w:type="dxa"/>
            <w:shd w:val="clear" w:color="auto" w:fill="auto"/>
          </w:tcPr>
          <w:p w:rsidR="005B1088" w:rsidRPr="00FB4487" w:rsidRDefault="005B1088" w:rsidP="005A007D">
            <w:pPr>
              <w:jc w:val="center"/>
              <w:rPr>
                <w:rFonts w:eastAsia="Calibri"/>
                <w:b/>
                <w:bCs/>
                <w:i/>
                <w:iCs/>
                <w:sz w:val="22"/>
                <w:szCs w:val="22"/>
              </w:rPr>
            </w:pPr>
          </w:p>
        </w:tc>
        <w:tc>
          <w:tcPr>
            <w:tcW w:w="1916" w:type="dxa"/>
            <w:shd w:val="clear" w:color="auto" w:fill="auto"/>
          </w:tcPr>
          <w:p w:rsidR="005B1088" w:rsidRPr="00FB4487" w:rsidRDefault="005B1088" w:rsidP="005A007D">
            <w:pPr>
              <w:jc w:val="center"/>
              <w:rPr>
                <w:rFonts w:eastAsia="Calibri"/>
                <w:b/>
                <w:bCs/>
                <w:i/>
                <w:iCs/>
                <w:sz w:val="22"/>
                <w:szCs w:val="22"/>
              </w:rPr>
            </w:pPr>
          </w:p>
        </w:tc>
      </w:tr>
      <w:tr w:rsidR="005B1088" w:rsidRPr="003F655B" w:rsidTr="00081F7F">
        <w:trPr>
          <w:trHeight w:val="314"/>
        </w:trPr>
        <w:tc>
          <w:tcPr>
            <w:tcW w:w="9576" w:type="dxa"/>
            <w:gridSpan w:val="5"/>
            <w:shd w:val="clear" w:color="auto" w:fill="C6D9F1" w:themeFill="text2" w:themeFillTint="33"/>
            <w:hideMark/>
          </w:tcPr>
          <w:p w:rsidR="005B1088" w:rsidRPr="00227FA8" w:rsidRDefault="005B1088" w:rsidP="005A007D">
            <w:pPr>
              <w:jc w:val="center"/>
              <w:rPr>
                <w:rFonts w:eastAsia="Calibri"/>
                <w:b/>
                <w:bCs/>
                <w:i/>
                <w:iCs/>
                <w:sz w:val="22"/>
                <w:szCs w:val="22"/>
              </w:rPr>
            </w:pPr>
            <w:r w:rsidRPr="00227FA8">
              <w:rPr>
                <w:rFonts w:eastAsia="Calibri"/>
                <w:b/>
                <w:bCs/>
                <w:i/>
                <w:iCs/>
                <w:sz w:val="22"/>
                <w:szCs w:val="22"/>
              </w:rPr>
              <w:t>SS #1: Increase in Household Income</w:t>
            </w:r>
          </w:p>
        </w:tc>
      </w:tr>
      <w:tr w:rsidR="005B1088" w:rsidRPr="003F655B" w:rsidTr="00081F7F">
        <w:trPr>
          <w:trHeight w:val="615"/>
        </w:trPr>
        <w:tc>
          <w:tcPr>
            <w:tcW w:w="1915" w:type="dxa"/>
            <w:shd w:val="clear" w:color="auto" w:fill="D9D9D9" w:themeFill="background1" w:themeFillShade="D9"/>
            <w:vAlign w:val="center"/>
            <w:hideMark/>
          </w:tcPr>
          <w:p w:rsidR="005B1088" w:rsidRPr="002C51B4" w:rsidRDefault="005B1088" w:rsidP="005A007D">
            <w:pPr>
              <w:jc w:val="center"/>
              <w:rPr>
                <w:rFonts w:eastAsia="Calibri"/>
                <w:b/>
                <w:bCs/>
                <w:sz w:val="22"/>
                <w:szCs w:val="22"/>
              </w:rPr>
            </w:pPr>
            <w:r w:rsidRPr="002C51B4">
              <w:rPr>
                <w:rFonts w:eastAsia="Calibri"/>
                <w:b/>
                <w:bCs/>
                <w:sz w:val="22"/>
                <w:szCs w:val="22"/>
              </w:rPr>
              <w:t>Unit of Measurement</w:t>
            </w:r>
          </w:p>
        </w:tc>
        <w:tc>
          <w:tcPr>
            <w:tcW w:w="1915" w:type="dxa"/>
            <w:shd w:val="clear" w:color="auto" w:fill="D9D9D9" w:themeFill="background1" w:themeFillShade="D9"/>
            <w:vAlign w:val="center"/>
            <w:hideMark/>
          </w:tcPr>
          <w:p w:rsidR="005B1088" w:rsidRPr="00227FA8" w:rsidRDefault="005B1088" w:rsidP="005A007D">
            <w:pPr>
              <w:jc w:val="center"/>
              <w:rPr>
                <w:rFonts w:eastAsia="Calibri"/>
                <w:b/>
                <w:bCs/>
                <w:sz w:val="22"/>
                <w:szCs w:val="22"/>
              </w:rPr>
            </w:pPr>
            <w:r w:rsidRPr="00227FA8">
              <w:rPr>
                <w:rFonts w:eastAsia="Calibri"/>
                <w:b/>
                <w:bCs/>
                <w:sz w:val="22"/>
                <w:szCs w:val="22"/>
              </w:rPr>
              <w:t>Baseline</w:t>
            </w:r>
          </w:p>
        </w:tc>
        <w:tc>
          <w:tcPr>
            <w:tcW w:w="1915" w:type="dxa"/>
            <w:shd w:val="clear" w:color="auto" w:fill="D9D9D9" w:themeFill="background1" w:themeFillShade="D9"/>
            <w:vAlign w:val="center"/>
            <w:hideMark/>
          </w:tcPr>
          <w:p w:rsidR="005B1088" w:rsidRPr="00227FA8" w:rsidRDefault="005B1088" w:rsidP="005A007D">
            <w:pPr>
              <w:jc w:val="center"/>
              <w:rPr>
                <w:rFonts w:eastAsia="Calibri"/>
                <w:b/>
                <w:bCs/>
                <w:sz w:val="22"/>
                <w:szCs w:val="22"/>
              </w:rPr>
            </w:pPr>
            <w:r w:rsidRPr="00227FA8">
              <w:rPr>
                <w:rFonts w:eastAsia="Calibri"/>
                <w:b/>
                <w:bCs/>
                <w:sz w:val="22"/>
                <w:szCs w:val="22"/>
              </w:rPr>
              <w:t>Benchmark</w:t>
            </w:r>
          </w:p>
        </w:tc>
        <w:tc>
          <w:tcPr>
            <w:tcW w:w="1915" w:type="dxa"/>
            <w:shd w:val="clear" w:color="auto" w:fill="D9D9D9" w:themeFill="background1" w:themeFillShade="D9"/>
            <w:vAlign w:val="center"/>
            <w:hideMark/>
          </w:tcPr>
          <w:p w:rsidR="005B1088" w:rsidRPr="00227FA8" w:rsidRDefault="005B1088" w:rsidP="005A007D">
            <w:pPr>
              <w:jc w:val="center"/>
              <w:rPr>
                <w:rFonts w:eastAsia="Calibri"/>
                <w:b/>
                <w:bCs/>
                <w:sz w:val="22"/>
                <w:szCs w:val="22"/>
              </w:rPr>
            </w:pPr>
            <w:r w:rsidRPr="00227FA8">
              <w:rPr>
                <w:rFonts w:eastAsia="Calibri"/>
                <w:b/>
                <w:bCs/>
                <w:sz w:val="22"/>
                <w:szCs w:val="22"/>
              </w:rPr>
              <w:t>Outcome</w:t>
            </w:r>
          </w:p>
        </w:tc>
        <w:tc>
          <w:tcPr>
            <w:tcW w:w="1916" w:type="dxa"/>
            <w:shd w:val="clear" w:color="auto" w:fill="D9D9D9" w:themeFill="background1" w:themeFillShade="D9"/>
            <w:vAlign w:val="center"/>
            <w:hideMark/>
          </w:tcPr>
          <w:p w:rsidR="005B1088" w:rsidRPr="00227FA8" w:rsidRDefault="005B1088" w:rsidP="005A007D">
            <w:pPr>
              <w:jc w:val="center"/>
              <w:rPr>
                <w:rFonts w:eastAsia="Calibri"/>
                <w:b/>
                <w:bCs/>
                <w:sz w:val="22"/>
                <w:szCs w:val="22"/>
              </w:rPr>
            </w:pPr>
            <w:r w:rsidRPr="00227FA8">
              <w:rPr>
                <w:rFonts w:eastAsia="Calibri"/>
                <w:b/>
                <w:bCs/>
                <w:sz w:val="22"/>
                <w:szCs w:val="22"/>
              </w:rPr>
              <w:t>Benchmark Achieved?</w:t>
            </w:r>
          </w:p>
        </w:tc>
      </w:tr>
      <w:tr w:rsidR="005B1088" w:rsidRPr="003F655B" w:rsidTr="005A007D">
        <w:trPr>
          <w:trHeight w:val="1061"/>
        </w:trPr>
        <w:tc>
          <w:tcPr>
            <w:tcW w:w="1915" w:type="dxa"/>
            <w:shd w:val="clear" w:color="auto" w:fill="auto"/>
            <w:hideMark/>
          </w:tcPr>
          <w:p w:rsidR="005B1088" w:rsidRPr="002C51B4" w:rsidRDefault="005B1088" w:rsidP="005A007D">
            <w:pPr>
              <w:rPr>
                <w:rFonts w:eastAsia="Calibri"/>
                <w:sz w:val="22"/>
                <w:szCs w:val="22"/>
              </w:rPr>
            </w:pPr>
            <w:r w:rsidRPr="002C51B4">
              <w:rPr>
                <w:rFonts w:eastAsia="Calibri"/>
                <w:sz w:val="22"/>
                <w:szCs w:val="22"/>
              </w:rPr>
              <w:t>Average earned income of households affected by this policy in dollars (increase).</w:t>
            </w:r>
          </w:p>
        </w:tc>
        <w:tc>
          <w:tcPr>
            <w:tcW w:w="1915" w:type="dxa"/>
            <w:shd w:val="clear" w:color="auto" w:fill="auto"/>
            <w:vAlign w:val="center"/>
            <w:hideMark/>
          </w:tcPr>
          <w:p w:rsidR="005B1088" w:rsidRPr="00227FA8" w:rsidRDefault="005B1088" w:rsidP="005A007D">
            <w:pPr>
              <w:jc w:val="center"/>
              <w:rPr>
                <w:rFonts w:eastAsia="Calibri"/>
                <w:sz w:val="22"/>
                <w:szCs w:val="22"/>
              </w:rPr>
            </w:pPr>
            <w:r w:rsidRPr="00227FA8">
              <w:rPr>
                <w:rFonts w:eastAsia="Calibri"/>
                <w:sz w:val="22"/>
                <w:szCs w:val="22"/>
              </w:rPr>
              <w:t>$18,937</w:t>
            </w:r>
          </w:p>
        </w:tc>
        <w:tc>
          <w:tcPr>
            <w:tcW w:w="1915" w:type="dxa"/>
            <w:shd w:val="clear" w:color="auto" w:fill="auto"/>
            <w:vAlign w:val="center"/>
            <w:hideMark/>
          </w:tcPr>
          <w:p w:rsidR="005B1088" w:rsidRPr="006C139B" w:rsidRDefault="005B1088" w:rsidP="005A007D">
            <w:pPr>
              <w:jc w:val="center"/>
              <w:rPr>
                <w:rFonts w:eastAsia="Calibri"/>
                <w:sz w:val="22"/>
                <w:szCs w:val="22"/>
                <w:highlight w:val="yellow"/>
              </w:rPr>
            </w:pPr>
            <w:r w:rsidRPr="00F37479">
              <w:rPr>
                <w:rFonts w:eastAsia="Calibri"/>
                <w:sz w:val="22"/>
                <w:szCs w:val="22"/>
              </w:rPr>
              <w:t>$</w:t>
            </w:r>
            <w:r w:rsidR="00F37479" w:rsidRPr="00F37479">
              <w:rPr>
                <w:rFonts w:eastAsia="Calibri"/>
                <w:sz w:val="22"/>
                <w:szCs w:val="22"/>
              </w:rPr>
              <w:t>24,827</w:t>
            </w:r>
          </w:p>
        </w:tc>
        <w:tc>
          <w:tcPr>
            <w:tcW w:w="1915" w:type="dxa"/>
            <w:shd w:val="clear" w:color="auto" w:fill="auto"/>
            <w:vAlign w:val="center"/>
          </w:tcPr>
          <w:p w:rsidR="005B1088" w:rsidRPr="00227FA8" w:rsidRDefault="005B1088" w:rsidP="005A007D">
            <w:pPr>
              <w:jc w:val="center"/>
              <w:rPr>
                <w:rFonts w:eastAsia="Calibri"/>
                <w:sz w:val="22"/>
                <w:szCs w:val="22"/>
              </w:rPr>
            </w:pPr>
          </w:p>
        </w:tc>
        <w:tc>
          <w:tcPr>
            <w:tcW w:w="1916" w:type="dxa"/>
            <w:shd w:val="clear" w:color="auto" w:fill="auto"/>
          </w:tcPr>
          <w:p w:rsidR="005B1088" w:rsidRPr="00227FA8" w:rsidRDefault="005B1088" w:rsidP="005A007D">
            <w:pPr>
              <w:rPr>
                <w:rFonts w:eastAsia="Calibri"/>
                <w:sz w:val="22"/>
                <w:szCs w:val="22"/>
              </w:rPr>
            </w:pPr>
          </w:p>
        </w:tc>
      </w:tr>
      <w:tr w:rsidR="005B1088" w:rsidRPr="003F655B" w:rsidTr="00081F7F">
        <w:trPr>
          <w:trHeight w:val="296"/>
        </w:trPr>
        <w:tc>
          <w:tcPr>
            <w:tcW w:w="9576" w:type="dxa"/>
            <w:gridSpan w:val="5"/>
            <w:shd w:val="clear" w:color="auto" w:fill="C6D9F1" w:themeFill="text2" w:themeFillTint="33"/>
            <w:hideMark/>
          </w:tcPr>
          <w:p w:rsidR="005B1088" w:rsidRPr="00374AEA" w:rsidRDefault="005B1088" w:rsidP="005A007D">
            <w:pPr>
              <w:jc w:val="center"/>
              <w:rPr>
                <w:rFonts w:eastAsia="Calibri"/>
                <w:b/>
                <w:bCs/>
                <w:i/>
                <w:iCs/>
                <w:sz w:val="22"/>
                <w:szCs w:val="22"/>
              </w:rPr>
            </w:pPr>
            <w:r w:rsidRPr="00374AEA">
              <w:rPr>
                <w:rFonts w:eastAsia="Calibri"/>
                <w:b/>
                <w:bCs/>
                <w:i/>
                <w:iCs/>
                <w:sz w:val="22"/>
                <w:szCs w:val="22"/>
              </w:rPr>
              <w:t>SS #2: Increase in Household Savings</w:t>
            </w:r>
          </w:p>
        </w:tc>
      </w:tr>
      <w:tr w:rsidR="005B1088" w:rsidRPr="003F655B" w:rsidTr="00081F7F">
        <w:trPr>
          <w:trHeight w:val="615"/>
        </w:trPr>
        <w:tc>
          <w:tcPr>
            <w:tcW w:w="1915" w:type="dxa"/>
            <w:shd w:val="clear" w:color="auto" w:fill="D9D9D9" w:themeFill="background1" w:themeFillShade="D9"/>
            <w:vAlign w:val="center"/>
            <w:hideMark/>
          </w:tcPr>
          <w:p w:rsidR="005B1088" w:rsidRPr="00374AEA" w:rsidRDefault="005B1088" w:rsidP="005A007D">
            <w:pPr>
              <w:jc w:val="center"/>
              <w:rPr>
                <w:rFonts w:eastAsia="Calibri"/>
                <w:b/>
                <w:bCs/>
                <w:sz w:val="22"/>
                <w:szCs w:val="22"/>
              </w:rPr>
            </w:pPr>
            <w:r w:rsidRPr="00374AEA">
              <w:rPr>
                <w:rFonts w:eastAsia="Calibri"/>
                <w:b/>
                <w:bCs/>
                <w:sz w:val="22"/>
                <w:szCs w:val="22"/>
              </w:rPr>
              <w:t>Unit of Measurement</w:t>
            </w:r>
          </w:p>
        </w:tc>
        <w:tc>
          <w:tcPr>
            <w:tcW w:w="1915" w:type="dxa"/>
            <w:shd w:val="clear" w:color="auto" w:fill="D9D9D9" w:themeFill="background1" w:themeFillShade="D9"/>
            <w:vAlign w:val="center"/>
            <w:hideMark/>
          </w:tcPr>
          <w:p w:rsidR="005B1088" w:rsidRPr="00374AEA" w:rsidRDefault="005B1088" w:rsidP="005A007D">
            <w:pPr>
              <w:jc w:val="center"/>
              <w:rPr>
                <w:rFonts w:eastAsia="Calibri"/>
                <w:b/>
                <w:bCs/>
                <w:sz w:val="22"/>
                <w:szCs w:val="22"/>
              </w:rPr>
            </w:pPr>
            <w:r w:rsidRPr="00374AEA">
              <w:rPr>
                <w:rFonts w:eastAsia="Calibri"/>
                <w:b/>
                <w:bCs/>
                <w:sz w:val="22"/>
                <w:szCs w:val="22"/>
              </w:rPr>
              <w:t>Baseline</w:t>
            </w:r>
          </w:p>
        </w:tc>
        <w:tc>
          <w:tcPr>
            <w:tcW w:w="1915" w:type="dxa"/>
            <w:shd w:val="clear" w:color="auto" w:fill="D9D9D9" w:themeFill="background1" w:themeFillShade="D9"/>
            <w:vAlign w:val="center"/>
            <w:hideMark/>
          </w:tcPr>
          <w:p w:rsidR="005B1088" w:rsidRPr="00374AEA" w:rsidRDefault="005B1088" w:rsidP="005A007D">
            <w:pPr>
              <w:jc w:val="center"/>
              <w:rPr>
                <w:rFonts w:eastAsia="Calibri"/>
                <w:b/>
                <w:bCs/>
                <w:sz w:val="22"/>
                <w:szCs w:val="22"/>
              </w:rPr>
            </w:pPr>
            <w:r w:rsidRPr="00374AEA">
              <w:rPr>
                <w:rFonts w:eastAsia="Calibri"/>
                <w:b/>
                <w:bCs/>
                <w:sz w:val="22"/>
                <w:szCs w:val="22"/>
              </w:rPr>
              <w:t>Benchmark</w:t>
            </w:r>
          </w:p>
        </w:tc>
        <w:tc>
          <w:tcPr>
            <w:tcW w:w="1915" w:type="dxa"/>
            <w:shd w:val="clear" w:color="auto" w:fill="D9D9D9" w:themeFill="background1" w:themeFillShade="D9"/>
            <w:vAlign w:val="center"/>
            <w:hideMark/>
          </w:tcPr>
          <w:p w:rsidR="005B1088" w:rsidRPr="002C51B4" w:rsidRDefault="005B1088" w:rsidP="005A007D">
            <w:pPr>
              <w:jc w:val="center"/>
              <w:rPr>
                <w:rFonts w:eastAsia="Calibri"/>
                <w:b/>
                <w:bCs/>
                <w:sz w:val="22"/>
                <w:szCs w:val="22"/>
              </w:rPr>
            </w:pPr>
            <w:r w:rsidRPr="002C51B4">
              <w:rPr>
                <w:rFonts w:eastAsia="Calibri"/>
                <w:b/>
                <w:bCs/>
                <w:sz w:val="22"/>
                <w:szCs w:val="22"/>
              </w:rPr>
              <w:t>Outcome</w:t>
            </w:r>
          </w:p>
        </w:tc>
        <w:tc>
          <w:tcPr>
            <w:tcW w:w="1916" w:type="dxa"/>
            <w:shd w:val="clear" w:color="auto" w:fill="D9D9D9" w:themeFill="background1" w:themeFillShade="D9"/>
            <w:vAlign w:val="center"/>
            <w:hideMark/>
          </w:tcPr>
          <w:p w:rsidR="005B1088" w:rsidRPr="002C51B4" w:rsidRDefault="005B1088" w:rsidP="005A007D">
            <w:pPr>
              <w:jc w:val="center"/>
              <w:rPr>
                <w:rFonts w:eastAsia="Calibri"/>
                <w:b/>
                <w:bCs/>
                <w:sz w:val="22"/>
                <w:szCs w:val="22"/>
              </w:rPr>
            </w:pPr>
            <w:r w:rsidRPr="002C51B4">
              <w:rPr>
                <w:rFonts w:eastAsia="Calibri"/>
                <w:b/>
                <w:bCs/>
                <w:sz w:val="22"/>
                <w:szCs w:val="22"/>
              </w:rPr>
              <w:t>Benchmark Achieved?</w:t>
            </w:r>
          </w:p>
        </w:tc>
      </w:tr>
      <w:tr w:rsidR="005B1088" w:rsidRPr="003F655B" w:rsidTr="00806F13">
        <w:tc>
          <w:tcPr>
            <w:tcW w:w="1915" w:type="dxa"/>
            <w:shd w:val="clear" w:color="auto" w:fill="auto"/>
            <w:hideMark/>
          </w:tcPr>
          <w:p w:rsidR="005B1088" w:rsidRPr="00374AEA" w:rsidRDefault="005B1088" w:rsidP="005A007D">
            <w:pPr>
              <w:rPr>
                <w:rFonts w:eastAsia="Calibri"/>
                <w:sz w:val="22"/>
                <w:szCs w:val="22"/>
              </w:rPr>
            </w:pPr>
            <w:r w:rsidRPr="00374AEA">
              <w:rPr>
                <w:rFonts w:eastAsia="Calibri"/>
                <w:sz w:val="22"/>
                <w:szCs w:val="22"/>
              </w:rPr>
              <w:t xml:space="preserve">Average amount of </w:t>
            </w:r>
            <w:r w:rsidRPr="00374AEA">
              <w:rPr>
                <w:rFonts w:eastAsia="Calibri"/>
                <w:b/>
                <w:sz w:val="22"/>
                <w:szCs w:val="22"/>
              </w:rPr>
              <w:t>escrow</w:t>
            </w:r>
            <w:r w:rsidRPr="00374AEA">
              <w:rPr>
                <w:rFonts w:eastAsia="Calibri"/>
                <w:sz w:val="22"/>
                <w:szCs w:val="22"/>
              </w:rPr>
              <w:t xml:space="preserve"> of households affected by this policy in dollars (increase).</w:t>
            </w:r>
          </w:p>
        </w:tc>
        <w:tc>
          <w:tcPr>
            <w:tcW w:w="1915" w:type="dxa"/>
            <w:shd w:val="clear" w:color="auto" w:fill="auto"/>
            <w:vAlign w:val="center"/>
            <w:hideMark/>
          </w:tcPr>
          <w:p w:rsidR="005B1088" w:rsidRPr="00374AEA" w:rsidRDefault="005B1088" w:rsidP="005A007D">
            <w:pPr>
              <w:jc w:val="center"/>
              <w:rPr>
                <w:rFonts w:eastAsia="Calibri"/>
                <w:sz w:val="22"/>
                <w:szCs w:val="22"/>
              </w:rPr>
            </w:pPr>
            <w:r w:rsidRPr="00374AEA">
              <w:rPr>
                <w:rFonts w:eastAsia="Calibri"/>
                <w:sz w:val="22"/>
                <w:szCs w:val="22"/>
              </w:rPr>
              <w:t>$0.00</w:t>
            </w:r>
          </w:p>
        </w:tc>
        <w:tc>
          <w:tcPr>
            <w:tcW w:w="1915" w:type="dxa"/>
            <w:shd w:val="clear" w:color="auto" w:fill="auto"/>
            <w:vAlign w:val="center"/>
            <w:hideMark/>
          </w:tcPr>
          <w:p w:rsidR="005B1088" w:rsidRPr="00374AEA" w:rsidRDefault="005B1088" w:rsidP="005A007D">
            <w:pPr>
              <w:jc w:val="center"/>
              <w:rPr>
                <w:rFonts w:eastAsia="Calibri"/>
                <w:sz w:val="22"/>
                <w:szCs w:val="22"/>
              </w:rPr>
            </w:pPr>
            <w:r w:rsidRPr="00374AEA">
              <w:rPr>
                <w:rFonts w:eastAsia="Calibri"/>
                <w:sz w:val="22"/>
                <w:szCs w:val="22"/>
              </w:rPr>
              <w:t>$</w:t>
            </w:r>
            <w:r w:rsidR="00374AEA" w:rsidRPr="00374AEA">
              <w:rPr>
                <w:rFonts w:eastAsia="Calibri"/>
                <w:sz w:val="22"/>
                <w:szCs w:val="22"/>
              </w:rPr>
              <w:t>2,</w:t>
            </w:r>
            <w:r w:rsidR="00F37479">
              <w:rPr>
                <w:rFonts w:eastAsia="Calibri"/>
                <w:sz w:val="22"/>
                <w:szCs w:val="22"/>
              </w:rPr>
              <w:t>703</w:t>
            </w:r>
          </w:p>
        </w:tc>
        <w:tc>
          <w:tcPr>
            <w:tcW w:w="1915" w:type="dxa"/>
            <w:shd w:val="clear" w:color="auto" w:fill="auto"/>
          </w:tcPr>
          <w:p w:rsidR="005B1088" w:rsidRPr="002C51B4" w:rsidRDefault="005B1088" w:rsidP="005A007D">
            <w:pPr>
              <w:jc w:val="center"/>
              <w:rPr>
                <w:rFonts w:eastAsia="Calibri"/>
                <w:sz w:val="22"/>
                <w:szCs w:val="22"/>
              </w:rPr>
            </w:pPr>
          </w:p>
        </w:tc>
        <w:tc>
          <w:tcPr>
            <w:tcW w:w="1916" w:type="dxa"/>
            <w:shd w:val="clear" w:color="auto" w:fill="auto"/>
          </w:tcPr>
          <w:p w:rsidR="005B1088" w:rsidRPr="002C51B4" w:rsidRDefault="005B1088" w:rsidP="005A007D">
            <w:pPr>
              <w:jc w:val="center"/>
              <w:rPr>
                <w:rFonts w:eastAsia="Calibri"/>
                <w:sz w:val="22"/>
                <w:szCs w:val="22"/>
              </w:rPr>
            </w:pPr>
          </w:p>
        </w:tc>
      </w:tr>
      <w:tr w:rsidR="005B1088" w:rsidRPr="003F655B" w:rsidTr="005A007D">
        <w:trPr>
          <w:trHeight w:val="710"/>
        </w:trPr>
        <w:tc>
          <w:tcPr>
            <w:tcW w:w="1915" w:type="dxa"/>
            <w:shd w:val="clear" w:color="auto" w:fill="auto"/>
          </w:tcPr>
          <w:p w:rsidR="005B1088" w:rsidRPr="00374AEA" w:rsidRDefault="005B1088" w:rsidP="005A007D">
            <w:pPr>
              <w:rPr>
                <w:rFonts w:eastAsia="Calibri"/>
                <w:sz w:val="22"/>
                <w:szCs w:val="22"/>
              </w:rPr>
            </w:pPr>
            <w:r w:rsidRPr="00374AEA">
              <w:rPr>
                <w:rFonts w:eastAsia="Calibri"/>
                <w:sz w:val="22"/>
                <w:szCs w:val="22"/>
              </w:rPr>
              <w:t xml:space="preserve">Average amount of </w:t>
            </w:r>
            <w:r w:rsidRPr="00374AEA">
              <w:rPr>
                <w:rFonts w:eastAsia="Calibri"/>
                <w:b/>
                <w:sz w:val="22"/>
                <w:szCs w:val="22"/>
              </w:rPr>
              <w:t>savings</w:t>
            </w:r>
            <w:r w:rsidRPr="00374AEA">
              <w:rPr>
                <w:rFonts w:eastAsia="Calibri"/>
                <w:sz w:val="22"/>
                <w:szCs w:val="22"/>
              </w:rPr>
              <w:t xml:space="preserve"> of households affected by this policy in dollars (increase).</w:t>
            </w:r>
          </w:p>
        </w:tc>
        <w:tc>
          <w:tcPr>
            <w:tcW w:w="1915" w:type="dxa"/>
            <w:shd w:val="clear" w:color="auto" w:fill="auto"/>
            <w:vAlign w:val="center"/>
          </w:tcPr>
          <w:p w:rsidR="005B1088" w:rsidRPr="00374AEA" w:rsidRDefault="005B1088" w:rsidP="005A007D">
            <w:pPr>
              <w:jc w:val="center"/>
              <w:rPr>
                <w:rFonts w:eastAsia="Calibri"/>
                <w:sz w:val="22"/>
                <w:szCs w:val="22"/>
              </w:rPr>
            </w:pPr>
            <w:r w:rsidRPr="00374AEA">
              <w:rPr>
                <w:rFonts w:eastAsia="Calibri"/>
                <w:sz w:val="22"/>
                <w:szCs w:val="22"/>
              </w:rPr>
              <w:t>$0.00</w:t>
            </w:r>
          </w:p>
        </w:tc>
        <w:tc>
          <w:tcPr>
            <w:tcW w:w="1915" w:type="dxa"/>
            <w:shd w:val="clear" w:color="auto" w:fill="auto"/>
            <w:vAlign w:val="center"/>
          </w:tcPr>
          <w:p w:rsidR="005B1088" w:rsidRPr="00374AEA" w:rsidRDefault="005B1088" w:rsidP="005A007D">
            <w:pPr>
              <w:jc w:val="center"/>
              <w:rPr>
                <w:rFonts w:eastAsia="Calibri"/>
                <w:sz w:val="22"/>
                <w:szCs w:val="22"/>
              </w:rPr>
            </w:pPr>
            <w:r w:rsidRPr="00374AEA">
              <w:rPr>
                <w:rFonts w:eastAsia="Calibri"/>
                <w:sz w:val="22"/>
                <w:szCs w:val="22"/>
              </w:rPr>
              <w:t>$</w:t>
            </w:r>
            <w:r w:rsidR="0036525C">
              <w:rPr>
                <w:rFonts w:eastAsia="Calibri"/>
                <w:sz w:val="22"/>
                <w:szCs w:val="22"/>
              </w:rPr>
              <w:t>957</w:t>
            </w:r>
          </w:p>
        </w:tc>
        <w:tc>
          <w:tcPr>
            <w:tcW w:w="1915" w:type="dxa"/>
            <w:shd w:val="clear" w:color="auto" w:fill="auto"/>
          </w:tcPr>
          <w:p w:rsidR="005B1088" w:rsidRPr="002C51B4" w:rsidRDefault="005B1088" w:rsidP="005A007D">
            <w:pPr>
              <w:jc w:val="center"/>
              <w:rPr>
                <w:rFonts w:eastAsia="Calibri"/>
                <w:sz w:val="22"/>
                <w:szCs w:val="22"/>
              </w:rPr>
            </w:pPr>
          </w:p>
        </w:tc>
        <w:tc>
          <w:tcPr>
            <w:tcW w:w="1916" w:type="dxa"/>
            <w:shd w:val="clear" w:color="auto" w:fill="auto"/>
          </w:tcPr>
          <w:p w:rsidR="005B1088" w:rsidRPr="003F655B" w:rsidRDefault="005B1088" w:rsidP="005A007D">
            <w:pPr>
              <w:jc w:val="center"/>
              <w:rPr>
                <w:rFonts w:eastAsia="Calibri"/>
                <w:sz w:val="22"/>
                <w:szCs w:val="22"/>
                <w:highlight w:val="yellow"/>
              </w:rPr>
            </w:pPr>
          </w:p>
        </w:tc>
      </w:tr>
      <w:tr w:rsidR="00BE5732" w:rsidRPr="00735F68" w:rsidTr="00081F7F">
        <w:trPr>
          <w:trHeight w:val="260"/>
        </w:trPr>
        <w:tc>
          <w:tcPr>
            <w:tcW w:w="9576" w:type="dxa"/>
            <w:gridSpan w:val="5"/>
            <w:shd w:val="clear" w:color="auto" w:fill="C6D9F1" w:themeFill="text2" w:themeFillTint="33"/>
            <w:hideMark/>
          </w:tcPr>
          <w:p w:rsidR="00BE5732" w:rsidRPr="00735F68" w:rsidRDefault="00BE5732" w:rsidP="00D220CE">
            <w:pPr>
              <w:jc w:val="center"/>
              <w:rPr>
                <w:rFonts w:eastAsia="Calibri"/>
                <w:b/>
                <w:bCs/>
                <w:i/>
                <w:iCs/>
                <w:sz w:val="22"/>
                <w:szCs w:val="22"/>
              </w:rPr>
            </w:pPr>
            <w:r w:rsidRPr="00735F68">
              <w:rPr>
                <w:rFonts w:eastAsia="Calibri"/>
                <w:b/>
                <w:bCs/>
                <w:i/>
                <w:iCs/>
                <w:sz w:val="22"/>
                <w:szCs w:val="22"/>
              </w:rPr>
              <w:t>SS #3: Increase in Positive Outcomes in Employment Status</w:t>
            </w:r>
          </w:p>
        </w:tc>
      </w:tr>
      <w:tr w:rsidR="00BE5732" w:rsidRPr="00735F68" w:rsidTr="00081F7F">
        <w:trPr>
          <w:trHeight w:val="615"/>
        </w:trPr>
        <w:tc>
          <w:tcPr>
            <w:tcW w:w="1915" w:type="dxa"/>
            <w:shd w:val="clear" w:color="auto" w:fill="D9D9D9" w:themeFill="background1" w:themeFillShade="D9"/>
            <w:vAlign w:val="center"/>
            <w:hideMark/>
          </w:tcPr>
          <w:p w:rsidR="00BE5732" w:rsidRPr="00735F68" w:rsidRDefault="00BE5732" w:rsidP="00D220CE">
            <w:pPr>
              <w:jc w:val="center"/>
              <w:rPr>
                <w:rFonts w:eastAsia="Calibri"/>
                <w:b/>
                <w:bCs/>
                <w:sz w:val="22"/>
                <w:szCs w:val="22"/>
              </w:rPr>
            </w:pPr>
            <w:r w:rsidRPr="00735F68">
              <w:rPr>
                <w:rFonts w:eastAsia="Calibri"/>
                <w:b/>
                <w:bCs/>
                <w:sz w:val="22"/>
                <w:szCs w:val="22"/>
              </w:rPr>
              <w:t>Unit of Measurement</w:t>
            </w:r>
          </w:p>
        </w:tc>
        <w:tc>
          <w:tcPr>
            <w:tcW w:w="1915" w:type="dxa"/>
            <w:shd w:val="clear" w:color="auto" w:fill="D9D9D9" w:themeFill="background1" w:themeFillShade="D9"/>
            <w:vAlign w:val="center"/>
            <w:hideMark/>
          </w:tcPr>
          <w:p w:rsidR="00BE5732" w:rsidRPr="00735F68" w:rsidRDefault="00BE5732" w:rsidP="00D220CE">
            <w:pPr>
              <w:jc w:val="center"/>
              <w:rPr>
                <w:rFonts w:eastAsia="Calibri"/>
                <w:b/>
                <w:bCs/>
                <w:sz w:val="22"/>
                <w:szCs w:val="22"/>
              </w:rPr>
            </w:pPr>
            <w:r w:rsidRPr="00735F68">
              <w:rPr>
                <w:rFonts w:eastAsia="Calibri"/>
                <w:b/>
                <w:bCs/>
                <w:sz w:val="22"/>
                <w:szCs w:val="22"/>
              </w:rPr>
              <w:t>Baseline</w:t>
            </w:r>
          </w:p>
        </w:tc>
        <w:tc>
          <w:tcPr>
            <w:tcW w:w="1915" w:type="dxa"/>
            <w:shd w:val="clear" w:color="auto" w:fill="D9D9D9" w:themeFill="background1" w:themeFillShade="D9"/>
            <w:vAlign w:val="center"/>
            <w:hideMark/>
          </w:tcPr>
          <w:p w:rsidR="00BE5732" w:rsidRPr="00735F68" w:rsidRDefault="00BE5732" w:rsidP="00D220CE">
            <w:pPr>
              <w:jc w:val="center"/>
              <w:rPr>
                <w:rFonts w:eastAsia="Calibri"/>
                <w:b/>
                <w:bCs/>
                <w:sz w:val="22"/>
                <w:szCs w:val="22"/>
              </w:rPr>
            </w:pPr>
            <w:r w:rsidRPr="00735F68">
              <w:rPr>
                <w:rFonts w:eastAsia="Calibri"/>
                <w:b/>
                <w:bCs/>
                <w:sz w:val="22"/>
                <w:szCs w:val="22"/>
              </w:rPr>
              <w:t>Benchmark</w:t>
            </w:r>
          </w:p>
        </w:tc>
        <w:tc>
          <w:tcPr>
            <w:tcW w:w="1915" w:type="dxa"/>
            <w:shd w:val="clear" w:color="auto" w:fill="D9D9D9" w:themeFill="background1" w:themeFillShade="D9"/>
            <w:vAlign w:val="center"/>
            <w:hideMark/>
          </w:tcPr>
          <w:p w:rsidR="00BE5732" w:rsidRPr="00735F68" w:rsidRDefault="00BE5732" w:rsidP="00D220CE">
            <w:pPr>
              <w:jc w:val="center"/>
              <w:rPr>
                <w:rFonts w:eastAsia="Calibri"/>
                <w:b/>
                <w:bCs/>
                <w:sz w:val="22"/>
                <w:szCs w:val="22"/>
              </w:rPr>
            </w:pPr>
            <w:r w:rsidRPr="00735F68">
              <w:rPr>
                <w:rFonts w:eastAsia="Calibri"/>
                <w:b/>
                <w:bCs/>
                <w:sz w:val="22"/>
                <w:szCs w:val="22"/>
              </w:rPr>
              <w:t>Outcome</w:t>
            </w:r>
          </w:p>
        </w:tc>
        <w:tc>
          <w:tcPr>
            <w:tcW w:w="1916" w:type="dxa"/>
            <w:shd w:val="clear" w:color="auto" w:fill="D9D9D9" w:themeFill="background1" w:themeFillShade="D9"/>
            <w:vAlign w:val="center"/>
            <w:hideMark/>
          </w:tcPr>
          <w:p w:rsidR="00BE5732" w:rsidRPr="00735F68" w:rsidRDefault="00BE5732" w:rsidP="00D220CE">
            <w:pPr>
              <w:jc w:val="center"/>
              <w:rPr>
                <w:rFonts w:eastAsia="Calibri"/>
                <w:b/>
                <w:bCs/>
                <w:sz w:val="22"/>
                <w:szCs w:val="22"/>
              </w:rPr>
            </w:pPr>
            <w:r w:rsidRPr="00735F68">
              <w:rPr>
                <w:rFonts w:eastAsia="Calibri"/>
                <w:b/>
                <w:bCs/>
                <w:sz w:val="22"/>
                <w:szCs w:val="22"/>
              </w:rPr>
              <w:t>Benchmark Achieved?</w:t>
            </w:r>
          </w:p>
        </w:tc>
      </w:tr>
      <w:tr w:rsidR="00BE5732" w:rsidRPr="00735F68" w:rsidTr="00D220CE">
        <w:trPr>
          <w:trHeight w:val="315"/>
        </w:trPr>
        <w:tc>
          <w:tcPr>
            <w:tcW w:w="1915" w:type="dxa"/>
            <w:vMerge w:val="restart"/>
            <w:shd w:val="clear" w:color="auto" w:fill="auto"/>
          </w:tcPr>
          <w:p w:rsidR="00BE5732" w:rsidRDefault="00BE5732" w:rsidP="00D220CE">
            <w:pPr>
              <w:rPr>
                <w:rFonts w:eastAsia="Calibri"/>
                <w:sz w:val="22"/>
                <w:szCs w:val="22"/>
              </w:rPr>
            </w:pPr>
            <w:r w:rsidRPr="00735F68">
              <w:rPr>
                <w:rFonts w:eastAsia="Calibri"/>
                <w:sz w:val="22"/>
                <w:szCs w:val="22"/>
              </w:rPr>
              <w:t>Unemployed</w:t>
            </w:r>
          </w:p>
        </w:tc>
        <w:tc>
          <w:tcPr>
            <w:tcW w:w="1915" w:type="dxa"/>
            <w:shd w:val="clear" w:color="auto" w:fill="auto"/>
          </w:tcPr>
          <w:p w:rsidR="00BE5732" w:rsidRPr="00735F68" w:rsidRDefault="00BE5732" w:rsidP="00D220CE">
            <w:pPr>
              <w:jc w:val="center"/>
              <w:rPr>
                <w:rFonts w:eastAsia="Calibri"/>
                <w:sz w:val="22"/>
                <w:szCs w:val="22"/>
              </w:rPr>
            </w:pPr>
            <w:r w:rsidRPr="00735F68">
              <w:rPr>
                <w:rFonts w:eastAsia="Calibri"/>
                <w:sz w:val="22"/>
                <w:szCs w:val="22"/>
              </w:rPr>
              <w:t>1</w:t>
            </w:r>
            <w:r>
              <w:rPr>
                <w:rFonts w:eastAsia="Calibri"/>
                <w:sz w:val="22"/>
                <w:szCs w:val="22"/>
              </w:rPr>
              <w:t xml:space="preserve"> participant</w:t>
            </w:r>
          </w:p>
        </w:tc>
        <w:tc>
          <w:tcPr>
            <w:tcW w:w="1915" w:type="dxa"/>
            <w:shd w:val="clear" w:color="auto" w:fill="auto"/>
          </w:tcPr>
          <w:p w:rsidR="00BE5732" w:rsidRPr="0036525C" w:rsidRDefault="009428C4" w:rsidP="00D220CE">
            <w:pPr>
              <w:jc w:val="center"/>
              <w:rPr>
                <w:rFonts w:eastAsia="Calibri"/>
                <w:sz w:val="22"/>
                <w:szCs w:val="22"/>
              </w:rPr>
            </w:pPr>
            <w:r>
              <w:rPr>
                <w:rFonts w:eastAsia="Calibri"/>
                <w:sz w:val="22"/>
                <w:szCs w:val="22"/>
              </w:rPr>
              <w:t>4</w:t>
            </w:r>
            <w:r w:rsidR="00BE5732" w:rsidRPr="0036525C">
              <w:rPr>
                <w:rFonts w:eastAsia="Calibri"/>
                <w:sz w:val="22"/>
                <w:szCs w:val="22"/>
              </w:rPr>
              <w:t xml:space="preserve"> participants</w:t>
            </w:r>
          </w:p>
        </w:tc>
        <w:tc>
          <w:tcPr>
            <w:tcW w:w="1915" w:type="dxa"/>
            <w:shd w:val="clear" w:color="auto" w:fill="auto"/>
          </w:tcPr>
          <w:p w:rsidR="00BE5732" w:rsidRPr="00735F68" w:rsidRDefault="00BE5732" w:rsidP="00D220CE">
            <w:pPr>
              <w:jc w:val="center"/>
              <w:rPr>
                <w:rFonts w:eastAsia="Calibri"/>
                <w:sz w:val="22"/>
                <w:szCs w:val="22"/>
              </w:rPr>
            </w:pPr>
          </w:p>
        </w:tc>
        <w:tc>
          <w:tcPr>
            <w:tcW w:w="1916" w:type="dxa"/>
            <w:shd w:val="clear" w:color="auto" w:fill="auto"/>
          </w:tcPr>
          <w:p w:rsidR="00BE5732" w:rsidRPr="00735F68" w:rsidRDefault="00BE5732" w:rsidP="00D220CE">
            <w:pPr>
              <w:jc w:val="center"/>
              <w:rPr>
                <w:rFonts w:eastAsia="Calibri"/>
                <w:sz w:val="22"/>
                <w:szCs w:val="22"/>
              </w:rPr>
            </w:pPr>
          </w:p>
        </w:tc>
      </w:tr>
      <w:tr w:rsidR="00BE5732" w:rsidRPr="00735F68" w:rsidTr="00D220CE">
        <w:trPr>
          <w:trHeight w:val="315"/>
        </w:trPr>
        <w:tc>
          <w:tcPr>
            <w:tcW w:w="1915" w:type="dxa"/>
            <w:vMerge/>
            <w:shd w:val="clear" w:color="auto" w:fill="auto"/>
          </w:tcPr>
          <w:p w:rsidR="00BE5732" w:rsidRDefault="00BE5732" w:rsidP="00D220CE">
            <w:pPr>
              <w:rPr>
                <w:rFonts w:eastAsia="Calibri"/>
                <w:sz w:val="22"/>
                <w:szCs w:val="22"/>
              </w:rPr>
            </w:pPr>
          </w:p>
        </w:tc>
        <w:tc>
          <w:tcPr>
            <w:tcW w:w="1915" w:type="dxa"/>
            <w:shd w:val="clear" w:color="auto" w:fill="auto"/>
          </w:tcPr>
          <w:p w:rsidR="00BE5732" w:rsidRPr="00735F68" w:rsidRDefault="00BE5732" w:rsidP="00D220CE">
            <w:pPr>
              <w:jc w:val="center"/>
              <w:rPr>
                <w:rFonts w:eastAsia="Calibri"/>
                <w:sz w:val="22"/>
                <w:szCs w:val="22"/>
              </w:rPr>
            </w:pPr>
            <w:r>
              <w:rPr>
                <w:rFonts w:eastAsia="Calibri"/>
                <w:sz w:val="22"/>
                <w:szCs w:val="22"/>
              </w:rPr>
              <w:t>1% of participants</w:t>
            </w:r>
          </w:p>
        </w:tc>
        <w:tc>
          <w:tcPr>
            <w:tcW w:w="1915" w:type="dxa"/>
            <w:shd w:val="clear" w:color="auto" w:fill="auto"/>
          </w:tcPr>
          <w:p w:rsidR="00BE5732" w:rsidRPr="0036525C" w:rsidRDefault="0036525C" w:rsidP="00D220CE">
            <w:pPr>
              <w:jc w:val="center"/>
              <w:rPr>
                <w:rFonts w:eastAsia="Calibri"/>
                <w:sz w:val="22"/>
                <w:szCs w:val="22"/>
              </w:rPr>
            </w:pPr>
            <w:r w:rsidRPr="0036525C">
              <w:rPr>
                <w:rFonts w:eastAsia="Calibri"/>
                <w:sz w:val="22"/>
                <w:szCs w:val="22"/>
              </w:rPr>
              <w:t>7</w:t>
            </w:r>
            <w:r w:rsidR="00BE5732" w:rsidRPr="0036525C">
              <w:rPr>
                <w:rFonts w:eastAsia="Calibri"/>
                <w:sz w:val="22"/>
                <w:szCs w:val="22"/>
              </w:rPr>
              <w:t xml:space="preserve"> % of participants</w:t>
            </w:r>
          </w:p>
        </w:tc>
        <w:tc>
          <w:tcPr>
            <w:tcW w:w="1915" w:type="dxa"/>
            <w:shd w:val="clear" w:color="auto" w:fill="auto"/>
          </w:tcPr>
          <w:p w:rsidR="00BE5732" w:rsidRPr="00735F68" w:rsidRDefault="00BE5732" w:rsidP="00D220CE">
            <w:pPr>
              <w:jc w:val="center"/>
              <w:rPr>
                <w:rFonts w:eastAsia="Calibri"/>
                <w:sz w:val="22"/>
                <w:szCs w:val="22"/>
              </w:rPr>
            </w:pPr>
          </w:p>
        </w:tc>
        <w:tc>
          <w:tcPr>
            <w:tcW w:w="1916" w:type="dxa"/>
            <w:shd w:val="clear" w:color="auto" w:fill="auto"/>
          </w:tcPr>
          <w:p w:rsidR="00BE5732" w:rsidRPr="00735F68" w:rsidRDefault="00BE5732" w:rsidP="00D220CE">
            <w:pPr>
              <w:jc w:val="center"/>
              <w:rPr>
                <w:rFonts w:eastAsia="Calibri"/>
                <w:sz w:val="22"/>
                <w:szCs w:val="22"/>
              </w:rPr>
            </w:pPr>
          </w:p>
        </w:tc>
      </w:tr>
      <w:tr w:rsidR="00BE5732" w:rsidRPr="00735F68" w:rsidTr="00D220CE">
        <w:trPr>
          <w:trHeight w:val="315"/>
        </w:trPr>
        <w:tc>
          <w:tcPr>
            <w:tcW w:w="1915" w:type="dxa"/>
            <w:vMerge w:val="restart"/>
            <w:shd w:val="clear" w:color="auto" w:fill="auto"/>
            <w:hideMark/>
          </w:tcPr>
          <w:p w:rsidR="00BE5732" w:rsidRPr="00735F68" w:rsidRDefault="00BE5732" w:rsidP="00D220CE">
            <w:pPr>
              <w:rPr>
                <w:rFonts w:eastAsia="Calibri"/>
                <w:sz w:val="22"/>
                <w:szCs w:val="22"/>
              </w:rPr>
            </w:pPr>
            <w:r>
              <w:rPr>
                <w:rFonts w:eastAsia="Calibri"/>
                <w:sz w:val="22"/>
                <w:szCs w:val="22"/>
              </w:rPr>
              <w:t xml:space="preserve">Other - </w:t>
            </w:r>
            <w:r w:rsidRPr="00735F68">
              <w:rPr>
                <w:rFonts w:eastAsia="Calibri"/>
                <w:sz w:val="22"/>
                <w:szCs w:val="22"/>
              </w:rPr>
              <w:t xml:space="preserve">Employed </w:t>
            </w:r>
          </w:p>
        </w:tc>
        <w:tc>
          <w:tcPr>
            <w:tcW w:w="1915" w:type="dxa"/>
            <w:shd w:val="clear" w:color="auto" w:fill="auto"/>
            <w:hideMark/>
          </w:tcPr>
          <w:p w:rsidR="00BE5732" w:rsidRPr="00735F68" w:rsidRDefault="00BE5732" w:rsidP="00D220CE">
            <w:pPr>
              <w:jc w:val="center"/>
              <w:rPr>
                <w:rFonts w:eastAsia="Calibri"/>
                <w:sz w:val="22"/>
                <w:szCs w:val="22"/>
              </w:rPr>
            </w:pPr>
            <w:r w:rsidRPr="00735F68">
              <w:rPr>
                <w:rFonts w:eastAsia="Calibri"/>
                <w:sz w:val="22"/>
                <w:szCs w:val="22"/>
              </w:rPr>
              <w:t>85</w:t>
            </w:r>
            <w:r>
              <w:rPr>
                <w:rFonts w:eastAsia="Calibri"/>
                <w:sz w:val="22"/>
                <w:szCs w:val="22"/>
              </w:rPr>
              <w:t xml:space="preserve"> participants</w:t>
            </w:r>
          </w:p>
        </w:tc>
        <w:tc>
          <w:tcPr>
            <w:tcW w:w="1915" w:type="dxa"/>
            <w:shd w:val="clear" w:color="auto" w:fill="auto"/>
            <w:hideMark/>
          </w:tcPr>
          <w:p w:rsidR="00BE5732" w:rsidRPr="0036525C" w:rsidRDefault="00FA535F" w:rsidP="00D220CE">
            <w:pPr>
              <w:jc w:val="center"/>
              <w:rPr>
                <w:rFonts w:eastAsia="Calibri"/>
                <w:sz w:val="22"/>
                <w:szCs w:val="22"/>
              </w:rPr>
            </w:pPr>
            <w:r>
              <w:rPr>
                <w:rFonts w:eastAsia="Calibri"/>
                <w:sz w:val="22"/>
                <w:szCs w:val="22"/>
              </w:rPr>
              <w:t>42</w:t>
            </w:r>
            <w:r w:rsidR="00BE5732" w:rsidRPr="0036525C">
              <w:rPr>
                <w:rFonts w:eastAsia="Calibri"/>
                <w:sz w:val="22"/>
                <w:szCs w:val="22"/>
              </w:rPr>
              <w:t xml:space="preserve"> participants</w:t>
            </w:r>
          </w:p>
        </w:tc>
        <w:tc>
          <w:tcPr>
            <w:tcW w:w="1915" w:type="dxa"/>
            <w:shd w:val="clear" w:color="auto" w:fill="auto"/>
          </w:tcPr>
          <w:p w:rsidR="00BE5732" w:rsidRPr="00735F68" w:rsidRDefault="00BE5732" w:rsidP="00D220CE">
            <w:pPr>
              <w:jc w:val="center"/>
              <w:rPr>
                <w:rFonts w:eastAsia="Calibri"/>
                <w:sz w:val="22"/>
                <w:szCs w:val="22"/>
              </w:rPr>
            </w:pPr>
          </w:p>
        </w:tc>
        <w:tc>
          <w:tcPr>
            <w:tcW w:w="1916" w:type="dxa"/>
            <w:shd w:val="clear" w:color="auto" w:fill="auto"/>
          </w:tcPr>
          <w:p w:rsidR="00BE5732" w:rsidRPr="00735F68" w:rsidRDefault="00BE5732" w:rsidP="00D220CE">
            <w:pPr>
              <w:jc w:val="center"/>
              <w:rPr>
                <w:rFonts w:eastAsia="Calibri"/>
                <w:sz w:val="22"/>
                <w:szCs w:val="22"/>
              </w:rPr>
            </w:pPr>
          </w:p>
        </w:tc>
      </w:tr>
      <w:tr w:rsidR="00BE5732" w:rsidRPr="00735F68" w:rsidTr="00D220CE">
        <w:trPr>
          <w:trHeight w:val="315"/>
        </w:trPr>
        <w:tc>
          <w:tcPr>
            <w:tcW w:w="1915" w:type="dxa"/>
            <w:vMerge/>
            <w:shd w:val="clear" w:color="auto" w:fill="auto"/>
            <w:hideMark/>
          </w:tcPr>
          <w:p w:rsidR="00BE5732" w:rsidRPr="00735F68" w:rsidRDefault="00BE5732" w:rsidP="00D220CE">
            <w:pPr>
              <w:rPr>
                <w:rFonts w:eastAsia="Calibri"/>
                <w:sz w:val="22"/>
                <w:szCs w:val="22"/>
              </w:rPr>
            </w:pPr>
          </w:p>
        </w:tc>
        <w:tc>
          <w:tcPr>
            <w:tcW w:w="1915" w:type="dxa"/>
            <w:shd w:val="clear" w:color="auto" w:fill="auto"/>
            <w:hideMark/>
          </w:tcPr>
          <w:p w:rsidR="00BE5732" w:rsidRPr="00735F68" w:rsidRDefault="00BE5732" w:rsidP="00D220CE">
            <w:pPr>
              <w:jc w:val="center"/>
              <w:rPr>
                <w:rFonts w:eastAsia="Calibri"/>
                <w:sz w:val="22"/>
                <w:szCs w:val="22"/>
              </w:rPr>
            </w:pPr>
            <w:r>
              <w:rPr>
                <w:rFonts w:eastAsia="Calibri"/>
                <w:sz w:val="22"/>
                <w:szCs w:val="22"/>
              </w:rPr>
              <w:t>99% of participants</w:t>
            </w:r>
          </w:p>
        </w:tc>
        <w:tc>
          <w:tcPr>
            <w:tcW w:w="1915" w:type="dxa"/>
            <w:shd w:val="clear" w:color="auto" w:fill="auto"/>
            <w:hideMark/>
          </w:tcPr>
          <w:p w:rsidR="00BE5732" w:rsidRPr="0036525C" w:rsidRDefault="0036525C" w:rsidP="00D220CE">
            <w:pPr>
              <w:jc w:val="center"/>
              <w:rPr>
                <w:rFonts w:eastAsia="Calibri"/>
                <w:sz w:val="22"/>
                <w:szCs w:val="22"/>
              </w:rPr>
            </w:pPr>
            <w:r w:rsidRPr="0036525C">
              <w:rPr>
                <w:rFonts w:eastAsia="Calibri"/>
                <w:sz w:val="22"/>
                <w:szCs w:val="22"/>
              </w:rPr>
              <w:t>82</w:t>
            </w:r>
            <w:r w:rsidR="00BE5732" w:rsidRPr="0036525C">
              <w:rPr>
                <w:rFonts w:eastAsia="Calibri"/>
                <w:sz w:val="22"/>
                <w:szCs w:val="22"/>
              </w:rPr>
              <w:t>% of participants</w:t>
            </w:r>
          </w:p>
        </w:tc>
        <w:tc>
          <w:tcPr>
            <w:tcW w:w="1915" w:type="dxa"/>
            <w:shd w:val="clear" w:color="auto" w:fill="auto"/>
          </w:tcPr>
          <w:p w:rsidR="00BE5732" w:rsidRPr="00735F68" w:rsidRDefault="00BE5732" w:rsidP="00D220CE">
            <w:pPr>
              <w:jc w:val="center"/>
              <w:rPr>
                <w:rFonts w:eastAsia="Calibri"/>
                <w:sz w:val="22"/>
                <w:szCs w:val="22"/>
              </w:rPr>
            </w:pPr>
          </w:p>
        </w:tc>
        <w:tc>
          <w:tcPr>
            <w:tcW w:w="1916" w:type="dxa"/>
            <w:shd w:val="clear" w:color="auto" w:fill="auto"/>
          </w:tcPr>
          <w:p w:rsidR="00BE5732" w:rsidRPr="00735F68" w:rsidRDefault="00BE5732" w:rsidP="00D220CE">
            <w:pPr>
              <w:jc w:val="center"/>
              <w:rPr>
                <w:rFonts w:eastAsia="Calibri"/>
                <w:sz w:val="22"/>
                <w:szCs w:val="22"/>
              </w:rPr>
            </w:pPr>
          </w:p>
        </w:tc>
      </w:tr>
      <w:tr w:rsidR="00BE5732" w:rsidRPr="00FB4487" w:rsidTr="00D220CE">
        <w:trPr>
          <w:trHeight w:val="315"/>
        </w:trPr>
        <w:tc>
          <w:tcPr>
            <w:tcW w:w="1915" w:type="dxa"/>
            <w:vMerge w:val="restart"/>
            <w:shd w:val="clear" w:color="auto" w:fill="auto"/>
          </w:tcPr>
          <w:p w:rsidR="00BE5732" w:rsidRDefault="00BE5732" w:rsidP="00D220CE">
            <w:pPr>
              <w:rPr>
                <w:rFonts w:eastAsia="Calibri"/>
                <w:sz w:val="22"/>
                <w:szCs w:val="22"/>
              </w:rPr>
            </w:pPr>
            <w:r w:rsidRPr="00FB4487">
              <w:rPr>
                <w:rFonts w:eastAsia="Calibri"/>
                <w:sz w:val="22"/>
                <w:szCs w:val="22"/>
              </w:rPr>
              <w:t>Other - Education/Job Training</w:t>
            </w:r>
          </w:p>
          <w:p w:rsidR="00DD65C5" w:rsidRPr="00FB4487" w:rsidRDefault="00DD65C5" w:rsidP="00D220CE">
            <w:pPr>
              <w:rPr>
                <w:rFonts w:eastAsia="Calibri"/>
                <w:sz w:val="22"/>
                <w:szCs w:val="22"/>
              </w:rPr>
            </w:pPr>
          </w:p>
        </w:tc>
        <w:tc>
          <w:tcPr>
            <w:tcW w:w="1915" w:type="dxa"/>
            <w:shd w:val="clear" w:color="auto" w:fill="auto"/>
          </w:tcPr>
          <w:p w:rsidR="00BE5732" w:rsidRPr="00FB4487" w:rsidRDefault="00BE5732" w:rsidP="00D220CE">
            <w:pPr>
              <w:jc w:val="center"/>
              <w:rPr>
                <w:rFonts w:eastAsia="Calibri"/>
                <w:sz w:val="22"/>
                <w:szCs w:val="22"/>
              </w:rPr>
            </w:pPr>
            <w:r w:rsidRPr="00FB4487">
              <w:rPr>
                <w:rFonts w:eastAsia="Calibri"/>
                <w:sz w:val="22"/>
                <w:szCs w:val="22"/>
              </w:rPr>
              <w:t>0 participants</w:t>
            </w:r>
          </w:p>
        </w:tc>
        <w:tc>
          <w:tcPr>
            <w:tcW w:w="1915" w:type="dxa"/>
            <w:shd w:val="clear" w:color="auto" w:fill="auto"/>
          </w:tcPr>
          <w:p w:rsidR="00FA535F" w:rsidRPr="00A03F3B" w:rsidRDefault="00A03F3B" w:rsidP="00A03F3B">
            <w:pPr>
              <w:jc w:val="center"/>
              <w:rPr>
                <w:rFonts w:eastAsia="Calibri"/>
                <w:sz w:val="22"/>
                <w:szCs w:val="22"/>
              </w:rPr>
            </w:pPr>
            <w:r w:rsidRPr="00A03F3B">
              <w:rPr>
                <w:rFonts w:eastAsia="Calibri"/>
                <w:sz w:val="22"/>
                <w:szCs w:val="22"/>
              </w:rPr>
              <w:t>9</w:t>
            </w:r>
            <w:r w:rsidR="00BE5732" w:rsidRPr="00A03F3B">
              <w:rPr>
                <w:rFonts w:eastAsia="Calibri"/>
                <w:sz w:val="22"/>
                <w:szCs w:val="22"/>
              </w:rPr>
              <w:t xml:space="preserve"> participants</w:t>
            </w:r>
          </w:p>
        </w:tc>
        <w:tc>
          <w:tcPr>
            <w:tcW w:w="1915" w:type="dxa"/>
            <w:shd w:val="clear" w:color="auto" w:fill="auto"/>
          </w:tcPr>
          <w:p w:rsidR="00BE5732" w:rsidRPr="00A03F3B" w:rsidRDefault="00BE5732" w:rsidP="00D220CE">
            <w:pPr>
              <w:jc w:val="center"/>
              <w:rPr>
                <w:rFonts w:eastAsia="Calibri"/>
                <w:sz w:val="22"/>
                <w:szCs w:val="22"/>
              </w:rPr>
            </w:pPr>
          </w:p>
        </w:tc>
        <w:tc>
          <w:tcPr>
            <w:tcW w:w="1916" w:type="dxa"/>
            <w:shd w:val="clear" w:color="auto" w:fill="auto"/>
          </w:tcPr>
          <w:p w:rsidR="00BE5732" w:rsidRPr="00FB4487" w:rsidRDefault="00BE5732" w:rsidP="00D220CE">
            <w:pPr>
              <w:jc w:val="center"/>
              <w:rPr>
                <w:rFonts w:eastAsia="Calibri"/>
                <w:sz w:val="22"/>
                <w:szCs w:val="22"/>
              </w:rPr>
            </w:pPr>
          </w:p>
        </w:tc>
      </w:tr>
      <w:tr w:rsidR="00BE5732" w:rsidRPr="00FB4487" w:rsidTr="00D220CE">
        <w:trPr>
          <w:trHeight w:val="315"/>
        </w:trPr>
        <w:tc>
          <w:tcPr>
            <w:tcW w:w="1915" w:type="dxa"/>
            <w:vMerge/>
            <w:shd w:val="clear" w:color="auto" w:fill="auto"/>
          </w:tcPr>
          <w:p w:rsidR="00BE5732" w:rsidRPr="00FB4487" w:rsidRDefault="00BE5732" w:rsidP="00D220CE">
            <w:pPr>
              <w:rPr>
                <w:rFonts w:eastAsia="Calibri"/>
                <w:sz w:val="22"/>
                <w:szCs w:val="22"/>
              </w:rPr>
            </w:pPr>
          </w:p>
        </w:tc>
        <w:tc>
          <w:tcPr>
            <w:tcW w:w="1915" w:type="dxa"/>
            <w:shd w:val="clear" w:color="auto" w:fill="auto"/>
          </w:tcPr>
          <w:p w:rsidR="00BE5732" w:rsidRPr="00FB4487" w:rsidRDefault="00BE5732" w:rsidP="00D220CE">
            <w:pPr>
              <w:jc w:val="center"/>
              <w:rPr>
                <w:rFonts w:eastAsia="Calibri"/>
                <w:sz w:val="22"/>
                <w:szCs w:val="22"/>
              </w:rPr>
            </w:pPr>
            <w:r w:rsidRPr="00FB4487">
              <w:rPr>
                <w:rFonts w:eastAsia="Calibri"/>
                <w:sz w:val="22"/>
                <w:szCs w:val="22"/>
              </w:rPr>
              <w:t>0% of participants</w:t>
            </w:r>
          </w:p>
        </w:tc>
        <w:tc>
          <w:tcPr>
            <w:tcW w:w="1915" w:type="dxa"/>
            <w:shd w:val="clear" w:color="auto" w:fill="auto"/>
          </w:tcPr>
          <w:p w:rsidR="00BE5732" w:rsidRPr="006C139B" w:rsidRDefault="00A03F3B" w:rsidP="00D220CE">
            <w:pPr>
              <w:jc w:val="center"/>
              <w:rPr>
                <w:rFonts w:eastAsia="Calibri"/>
                <w:sz w:val="22"/>
                <w:szCs w:val="22"/>
                <w:highlight w:val="yellow"/>
              </w:rPr>
            </w:pPr>
            <w:r>
              <w:rPr>
                <w:rFonts w:eastAsia="Calibri"/>
                <w:sz w:val="22"/>
                <w:szCs w:val="22"/>
              </w:rPr>
              <w:t>17</w:t>
            </w:r>
            <w:r w:rsidR="00BE5732" w:rsidRPr="009428C4">
              <w:rPr>
                <w:rFonts w:eastAsia="Calibri"/>
                <w:sz w:val="22"/>
                <w:szCs w:val="22"/>
              </w:rPr>
              <w:t>% of participants</w:t>
            </w:r>
          </w:p>
        </w:tc>
        <w:tc>
          <w:tcPr>
            <w:tcW w:w="1915" w:type="dxa"/>
            <w:shd w:val="clear" w:color="auto" w:fill="auto"/>
          </w:tcPr>
          <w:p w:rsidR="00BE5732" w:rsidRPr="00FB4487" w:rsidRDefault="00BE5732" w:rsidP="00D220CE">
            <w:pPr>
              <w:jc w:val="center"/>
              <w:rPr>
                <w:rFonts w:eastAsia="Calibri"/>
                <w:sz w:val="22"/>
                <w:szCs w:val="22"/>
              </w:rPr>
            </w:pPr>
          </w:p>
        </w:tc>
        <w:tc>
          <w:tcPr>
            <w:tcW w:w="1916" w:type="dxa"/>
            <w:shd w:val="clear" w:color="auto" w:fill="auto"/>
          </w:tcPr>
          <w:p w:rsidR="00BE5732" w:rsidRPr="00FB4487" w:rsidRDefault="00BE5732" w:rsidP="00D220CE">
            <w:pPr>
              <w:jc w:val="center"/>
              <w:rPr>
                <w:rFonts w:eastAsia="Calibri"/>
                <w:sz w:val="22"/>
                <w:szCs w:val="22"/>
              </w:rPr>
            </w:pPr>
          </w:p>
        </w:tc>
      </w:tr>
      <w:tr w:rsidR="00BE5732" w:rsidRPr="00FB4487" w:rsidTr="00081F7F">
        <w:trPr>
          <w:trHeight w:val="305"/>
        </w:trPr>
        <w:tc>
          <w:tcPr>
            <w:tcW w:w="9576" w:type="dxa"/>
            <w:gridSpan w:val="5"/>
            <w:shd w:val="clear" w:color="auto" w:fill="C6D9F1" w:themeFill="text2" w:themeFillTint="33"/>
          </w:tcPr>
          <w:p w:rsidR="00BE5732" w:rsidRPr="0026064D" w:rsidRDefault="00BE5732" w:rsidP="00D220CE">
            <w:pPr>
              <w:jc w:val="center"/>
              <w:rPr>
                <w:rFonts w:eastAsia="Calibri"/>
                <w:b/>
                <w:bCs/>
                <w:i/>
                <w:iCs/>
                <w:sz w:val="22"/>
                <w:szCs w:val="22"/>
              </w:rPr>
            </w:pPr>
            <w:r w:rsidRPr="0026064D">
              <w:rPr>
                <w:b/>
                <w:bCs/>
                <w:i/>
                <w:iCs/>
                <w:sz w:val="22"/>
                <w:szCs w:val="22"/>
              </w:rPr>
              <w:t>SS #4: Households Removed from Temporary Assistance for Needy Families (TANF)</w:t>
            </w:r>
          </w:p>
        </w:tc>
      </w:tr>
      <w:tr w:rsidR="00BE5732" w:rsidRPr="00FB4487" w:rsidTr="00081F7F">
        <w:trPr>
          <w:trHeight w:val="305"/>
        </w:trPr>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Unit of Measurement</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Baseline</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Benchmark</w:t>
            </w:r>
          </w:p>
        </w:tc>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Benchmark Achieved?</w:t>
            </w:r>
          </w:p>
        </w:tc>
      </w:tr>
      <w:tr w:rsidR="00BE5732" w:rsidRPr="00FB4487" w:rsidTr="00D220CE">
        <w:trPr>
          <w:trHeight w:val="305"/>
        </w:trPr>
        <w:tc>
          <w:tcPr>
            <w:tcW w:w="1915" w:type="dxa"/>
            <w:shd w:val="clear" w:color="auto" w:fill="auto"/>
          </w:tcPr>
          <w:p w:rsidR="00BE5732" w:rsidRPr="0026064D" w:rsidRDefault="00BE5732" w:rsidP="00D220CE">
            <w:pPr>
              <w:rPr>
                <w:rFonts w:eastAsia="Calibri"/>
                <w:b/>
                <w:bCs/>
                <w:i/>
                <w:iCs/>
                <w:sz w:val="22"/>
                <w:szCs w:val="22"/>
              </w:rPr>
            </w:pPr>
            <w:r w:rsidRPr="0026064D">
              <w:rPr>
                <w:sz w:val="22"/>
                <w:szCs w:val="22"/>
              </w:rPr>
              <w:t>Number of households receiving TANF assistance (decrease).</w:t>
            </w:r>
          </w:p>
        </w:tc>
        <w:tc>
          <w:tcPr>
            <w:tcW w:w="1915" w:type="dxa"/>
            <w:shd w:val="clear" w:color="auto" w:fill="auto"/>
            <w:vAlign w:val="center"/>
          </w:tcPr>
          <w:p w:rsidR="00BE5732" w:rsidRPr="0026064D" w:rsidRDefault="00BE5732" w:rsidP="00D220CE">
            <w:pPr>
              <w:jc w:val="center"/>
              <w:rPr>
                <w:rFonts w:eastAsia="Calibri"/>
                <w:bCs/>
                <w:iCs/>
                <w:sz w:val="22"/>
                <w:szCs w:val="22"/>
              </w:rPr>
            </w:pPr>
            <w:r w:rsidRPr="0026064D">
              <w:rPr>
                <w:rFonts w:eastAsia="Calibri"/>
                <w:bCs/>
                <w:iCs/>
                <w:sz w:val="22"/>
                <w:szCs w:val="22"/>
              </w:rPr>
              <w:t>4 households in FY 2015</w:t>
            </w:r>
          </w:p>
        </w:tc>
        <w:tc>
          <w:tcPr>
            <w:tcW w:w="1915" w:type="dxa"/>
            <w:shd w:val="clear" w:color="auto" w:fill="auto"/>
            <w:vAlign w:val="center"/>
          </w:tcPr>
          <w:p w:rsidR="00BE5732" w:rsidRPr="0026064D" w:rsidRDefault="0036525C" w:rsidP="00D220CE">
            <w:pPr>
              <w:jc w:val="center"/>
              <w:rPr>
                <w:rFonts w:eastAsia="Calibri"/>
                <w:bCs/>
                <w:iCs/>
                <w:sz w:val="22"/>
                <w:szCs w:val="22"/>
              </w:rPr>
            </w:pPr>
            <w:r>
              <w:rPr>
                <w:rFonts w:eastAsia="Calibri"/>
                <w:bCs/>
                <w:iCs/>
                <w:sz w:val="22"/>
                <w:szCs w:val="22"/>
              </w:rPr>
              <w:t>4</w:t>
            </w:r>
            <w:r w:rsidR="00BE5732" w:rsidRPr="0026064D">
              <w:rPr>
                <w:rFonts w:eastAsia="Calibri"/>
                <w:bCs/>
                <w:iCs/>
                <w:sz w:val="22"/>
                <w:szCs w:val="22"/>
              </w:rPr>
              <w:t xml:space="preserve"> households</w:t>
            </w:r>
          </w:p>
        </w:tc>
        <w:tc>
          <w:tcPr>
            <w:tcW w:w="1915" w:type="dxa"/>
            <w:shd w:val="clear" w:color="auto" w:fill="auto"/>
          </w:tcPr>
          <w:p w:rsidR="00BE5732" w:rsidRPr="006A2020" w:rsidRDefault="00BE5732" w:rsidP="00D220CE">
            <w:pPr>
              <w:jc w:val="center"/>
              <w:rPr>
                <w:rFonts w:eastAsia="Calibri"/>
                <w:bCs/>
                <w:iCs/>
                <w:sz w:val="22"/>
                <w:szCs w:val="22"/>
              </w:rPr>
            </w:pPr>
          </w:p>
        </w:tc>
        <w:tc>
          <w:tcPr>
            <w:tcW w:w="1916" w:type="dxa"/>
            <w:shd w:val="clear" w:color="auto" w:fill="auto"/>
          </w:tcPr>
          <w:p w:rsidR="00BE5732" w:rsidRPr="00FB4487" w:rsidRDefault="00BE5732" w:rsidP="00D220CE">
            <w:pPr>
              <w:jc w:val="center"/>
              <w:rPr>
                <w:rFonts w:eastAsia="Calibri"/>
                <w:b/>
                <w:bCs/>
                <w:i/>
                <w:iCs/>
                <w:sz w:val="22"/>
                <w:szCs w:val="22"/>
              </w:rPr>
            </w:pPr>
          </w:p>
        </w:tc>
      </w:tr>
      <w:tr w:rsidR="00BE5732" w:rsidRPr="003F655B" w:rsidTr="00081F7F">
        <w:trPr>
          <w:trHeight w:val="305"/>
        </w:trPr>
        <w:tc>
          <w:tcPr>
            <w:tcW w:w="9576" w:type="dxa"/>
            <w:gridSpan w:val="5"/>
            <w:shd w:val="clear" w:color="auto" w:fill="C6D9F1" w:themeFill="text2" w:themeFillTint="33"/>
            <w:hideMark/>
          </w:tcPr>
          <w:p w:rsidR="00BE5732" w:rsidRPr="0026064D" w:rsidRDefault="00BE5732" w:rsidP="00D220CE">
            <w:pPr>
              <w:jc w:val="center"/>
              <w:rPr>
                <w:rFonts w:eastAsia="Calibri"/>
                <w:b/>
                <w:bCs/>
                <w:i/>
                <w:iCs/>
                <w:sz w:val="22"/>
                <w:szCs w:val="22"/>
              </w:rPr>
            </w:pPr>
            <w:r w:rsidRPr="0026064D">
              <w:rPr>
                <w:rFonts w:eastAsia="Calibri"/>
                <w:b/>
                <w:bCs/>
                <w:i/>
                <w:iCs/>
                <w:sz w:val="22"/>
                <w:szCs w:val="22"/>
              </w:rPr>
              <w:t>SS #5: Households Assisted by Services that Increase Self Sufficiency</w:t>
            </w:r>
          </w:p>
        </w:tc>
      </w:tr>
      <w:tr w:rsidR="00BE5732" w:rsidRPr="003F655B" w:rsidTr="00081F7F">
        <w:trPr>
          <w:trHeight w:val="615"/>
        </w:trPr>
        <w:tc>
          <w:tcPr>
            <w:tcW w:w="1915" w:type="dxa"/>
            <w:shd w:val="clear" w:color="auto" w:fill="D9D9D9" w:themeFill="background1" w:themeFillShade="D9"/>
            <w:vAlign w:val="center"/>
            <w:hideMark/>
          </w:tcPr>
          <w:p w:rsidR="00BE5732" w:rsidRPr="003F655B" w:rsidRDefault="00BE5732" w:rsidP="00D220CE">
            <w:pPr>
              <w:jc w:val="center"/>
              <w:rPr>
                <w:rFonts w:eastAsia="Calibri"/>
                <w:b/>
                <w:bCs/>
                <w:sz w:val="22"/>
                <w:szCs w:val="22"/>
              </w:rPr>
            </w:pPr>
            <w:r w:rsidRPr="003F655B">
              <w:rPr>
                <w:rFonts w:eastAsia="Calibri"/>
                <w:b/>
                <w:bCs/>
                <w:sz w:val="22"/>
                <w:szCs w:val="22"/>
              </w:rPr>
              <w:t>Unit of Measurement</w:t>
            </w:r>
          </w:p>
        </w:tc>
        <w:tc>
          <w:tcPr>
            <w:tcW w:w="1915" w:type="dxa"/>
            <w:shd w:val="clear" w:color="auto" w:fill="D9D9D9" w:themeFill="background1" w:themeFillShade="D9"/>
            <w:vAlign w:val="center"/>
            <w:hideMark/>
          </w:tcPr>
          <w:p w:rsidR="00BE5732" w:rsidRPr="0026064D" w:rsidRDefault="00BE5732" w:rsidP="00D220CE">
            <w:pPr>
              <w:jc w:val="center"/>
              <w:rPr>
                <w:rFonts w:eastAsia="Calibri"/>
                <w:b/>
                <w:bCs/>
                <w:sz w:val="22"/>
                <w:szCs w:val="22"/>
              </w:rPr>
            </w:pPr>
            <w:r w:rsidRPr="0026064D">
              <w:rPr>
                <w:rFonts w:eastAsia="Calibri"/>
                <w:b/>
                <w:bCs/>
                <w:sz w:val="22"/>
                <w:szCs w:val="22"/>
              </w:rPr>
              <w:t>Baseline</w:t>
            </w:r>
          </w:p>
        </w:tc>
        <w:tc>
          <w:tcPr>
            <w:tcW w:w="1915" w:type="dxa"/>
            <w:shd w:val="clear" w:color="auto" w:fill="D9D9D9" w:themeFill="background1" w:themeFillShade="D9"/>
            <w:vAlign w:val="center"/>
            <w:hideMark/>
          </w:tcPr>
          <w:p w:rsidR="00BE5732" w:rsidRPr="0026064D" w:rsidRDefault="00BE5732" w:rsidP="00D220CE">
            <w:pPr>
              <w:jc w:val="center"/>
              <w:rPr>
                <w:rFonts w:eastAsia="Calibri"/>
                <w:b/>
                <w:bCs/>
                <w:sz w:val="22"/>
                <w:szCs w:val="22"/>
              </w:rPr>
            </w:pPr>
            <w:r w:rsidRPr="0026064D">
              <w:rPr>
                <w:rFonts w:eastAsia="Calibri"/>
                <w:b/>
                <w:bCs/>
                <w:sz w:val="22"/>
                <w:szCs w:val="22"/>
              </w:rPr>
              <w:t>Benchmark</w:t>
            </w:r>
          </w:p>
        </w:tc>
        <w:tc>
          <w:tcPr>
            <w:tcW w:w="1915" w:type="dxa"/>
            <w:shd w:val="clear" w:color="auto" w:fill="D9D9D9" w:themeFill="background1" w:themeFillShade="D9"/>
            <w:vAlign w:val="center"/>
            <w:hideMark/>
          </w:tcPr>
          <w:p w:rsidR="00BE5732" w:rsidRPr="0026064D" w:rsidRDefault="00BE5732" w:rsidP="00D220CE">
            <w:pPr>
              <w:jc w:val="center"/>
              <w:rPr>
                <w:rFonts w:eastAsia="Calibri"/>
                <w:b/>
                <w:bCs/>
                <w:sz w:val="22"/>
                <w:szCs w:val="22"/>
              </w:rPr>
            </w:pPr>
            <w:r w:rsidRPr="0026064D">
              <w:rPr>
                <w:rFonts w:eastAsia="Calibri"/>
                <w:b/>
                <w:bCs/>
                <w:sz w:val="22"/>
                <w:szCs w:val="22"/>
              </w:rPr>
              <w:t>Outcome</w:t>
            </w:r>
          </w:p>
        </w:tc>
        <w:tc>
          <w:tcPr>
            <w:tcW w:w="1916" w:type="dxa"/>
            <w:shd w:val="clear" w:color="auto" w:fill="D9D9D9" w:themeFill="background1" w:themeFillShade="D9"/>
            <w:vAlign w:val="center"/>
            <w:hideMark/>
          </w:tcPr>
          <w:p w:rsidR="00BE5732" w:rsidRPr="003F655B" w:rsidRDefault="00BE5732" w:rsidP="00D220CE">
            <w:pPr>
              <w:jc w:val="center"/>
              <w:rPr>
                <w:rFonts w:eastAsia="Calibri"/>
                <w:b/>
                <w:bCs/>
                <w:sz w:val="22"/>
                <w:szCs w:val="22"/>
              </w:rPr>
            </w:pPr>
            <w:r w:rsidRPr="003F655B">
              <w:rPr>
                <w:rFonts w:eastAsia="Calibri"/>
                <w:b/>
                <w:bCs/>
                <w:sz w:val="22"/>
                <w:szCs w:val="22"/>
              </w:rPr>
              <w:t>Benchmark Achieved?</w:t>
            </w:r>
          </w:p>
        </w:tc>
      </w:tr>
      <w:tr w:rsidR="00BE5732" w:rsidRPr="003F655B" w:rsidTr="00D220CE">
        <w:trPr>
          <w:trHeight w:val="1124"/>
        </w:trPr>
        <w:tc>
          <w:tcPr>
            <w:tcW w:w="1915" w:type="dxa"/>
            <w:shd w:val="clear" w:color="auto" w:fill="auto"/>
            <w:hideMark/>
          </w:tcPr>
          <w:p w:rsidR="00BE5732" w:rsidRPr="003F655B" w:rsidRDefault="00BE5732" w:rsidP="00D220CE">
            <w:pPr>
              <w:rPr>
                <w:rFonts w:eastAsia="Calibri"/>
                <w:sz w:val="22"/>
                <w:szCs w:val="22"/>
              </w:rPr>
            </w:pPr>
            <w:r w:rsidRPr="003F655B">
              <w:rPr>
                <w:rFonts w:eastAsia="Calibri"/>
                <w:sz w:val="22"/>
                <w:szCs w:val="22"/>
              </w:rPr>
              <w:t xml:space="preserve">Number of households receiving </w:t>
            </w:r>
            <w:r>
              <w:rPr>
                <w:rFonts w:eastAsia="Calibri"/>
                <w:sz w:val="22"/>
                <w:szCs w:val="22"/>
              </w:rPr>
              <w:t>services aimed to increase self-</w:t>
            </w:r>
            <w:r w:rsidRPr="003F655B">
              <w:rPr>
                <w:rFonts w:eastAsia="Calibri"/>
                <w:sz w:val="22"/>
                <w:szCs w:val="22"/>
              </w:rPr>
              <w:t>sufficiency (increase).</w:t>
            </w:r>
          </w:p>
        </w:tc>
        <w:tc>
          <w:tcPr>
            <w:tcW w:w="1915" w:type="dxa"/>
            <w:shd w:val="clear" w:color="auto" w:fill="auto"/>
            <w:hideMark/>
          </w:tcPr>
          <w:p w:rsidR="00BE5732" w:rsidRPr="0026064D" w:rsidRDefault="00BE5732" w:rsidP="00D220CE">
            <w:pPr>
              <w:jc w:val="center"/>
              <w:rPr>
                <w:rFonts w:eastAsia="Calibri"/>
                <w:sz w:val="22"/>
                <w:szCs w:val="22"/>
              </w:rPr>
            </w:pPr>
          </w:p>
          <w:p w:rsidR="00BE5732" w:rsidRPr="0026064D" w:rsidRDefault="00BE5732" w:rsidP="00D220CE">
            <w:pPr>
              <w:jc w:val="center"/>
              <w:rPr>
                <w:rFonts w:eastAsia="Calibri"/>
                <w:sz w:val="22"/>
                <w:szCs w:val="22"/>
              </w:rPr>
            </w:pPr>
          </w:p>
          <w:p w:rsidR="00BE5732" w:rsidRPr="0026064D" w:rsidRDefault="00BE5732" w:rsidP="00D220CE">
            <w:pPr>
              <w:jc w:val="center"/>
              <w:rPr>
                <w:rFonts w:eastAsia="Calibri"/>
                <w:sz w:val="22"/>
                <w:szCs w:val="22"/>
              </w:rPr>
            </w:pPr>
            <w:r w:rsidRPr="0026064D">
              <w:rPr>
                <w:rFonts w:eastAsia="Calibri"/>
                <w:sz w:val="22"/>
                <w:szCs w:val="22"/>
              </w:rPr>
              <w:t>0 households</w:t>
            </w:r>
          </w:p>
        </w:tc>
        <w:tc>
          <w:tcPr>
            <w:tcW w:w="1915" w:type="dxa"/>
            <w:shd w:val="clear" w:color="auto" w:fill="auto"/>
            <w:hideMark/>
          </w:tcPr>
          <w:p w:rsidR="00BE5732" w:rsidRPr="0026064D" w:rsidRDefault="00BE5732" w:rsidP="00D220CE">
            <w:pPr>
              <w:rPr>
                <w:rFonts w:eastAsia="Calibri"/>
                <w:sz w:val="22"/>
                <w:szCs w:val="22"/>
              </w:rPr>
            </w:pPr>
          </w:p>
          <w:p w:rsidR="00BE5732" w:rsidRPr="0026064D" w:rsidRDefault="00BE5732" w:rsidP="00D220CE">
            <w:pPr>
              <w:rPr>
                <w:rFonts w:eastAsia="Calibri"/>
                <w:sz w:val="22"/>
                <w:szCs w:val="22"/>
              </w:rPr>
            </w:pPr>
          </w:p>
          <w:p w:rsidR="00BE5732" w:rsidRPr="0026064D" w:rsidRDefault="0036525C" w:rsidP="00D220CE">
            <w:pPr>
              <w:jc w:val="center"/>
              <w:rPr>
                <w:rFonts w:eastAsia="Calibri"/>
                <w:sz w:val="22"/>
                <w:szCs w:val="22"/>
              </w:rPr>
            </w:pPr>
            <w:r>
              <w:rPr>
                <w:rFonts w:eastAsia="Calibri"/>
                <w:sz w:val="22"/>
                <w:szCs w:val="22"/>
              </w:rPr>
              <w:t>51</w:t>
            </w:r>
            <w:r w:rsidR="00BE5732" w:rsidRPr="0026064D">
              <w:rPr>
                <w:rFonts w:eastAsia="Calibri"/>
                <w:sz w:val="22"/>
                <w:szCs w:val="22"/>
              </w:rPr>
              <w:t xml:space="preserve"> households</w:t>
            </w:r>
          </w:p>
        </w:tc>
        <w:tc>
          <w:tcPr>
            <w:tcW w:w="1915" w:type="dxa"/>
            <w:shd w:val="clear" w:color="auto" w:fill="auto"/>
          </w:tcPr>
          <w:p w:rsidR="00BE5732" w:rsidRPr="0026064D" w:rsidRDefault="00BE5732" w:rsidP="00D220CE">
            <w:pPr>
              <w:rPr>
                <w:rFonts w:eastAsia="Calibri"/>
                <w:sz w:val="22"/>
                <w:szCs w:val="22"/>
              </w:rPr>
            </w:pPr>
          </w:p>
        </w:tc>
        <w:tc>
          <w:tcPr>
            <w:tcW w:w="1916" w:type="dxa"/>
            <w:shd w:val="clear" w:color="auto" w:fill="auto"/>
          </w:tcPr>
          <w:p w:rsidR="00BE5732" w:rsidRPr="003F655B" w:rsidRDefault="00BE5732" w:rsidP="00D220CE">
            <w:pPr>
              <w:rPr>
                <w:rFonts w:eastAsia="Calibri"/>
                <w:sz w:val="22"/>
                <w:szCs w:val="22"/>
              </w:rPr>
            </w:pPr>
          </w:p>
        </w:tc>
      </w:tr>
      <w:tr w:rsidR="00BE5732" w:rsidRPr="00FB4487" w:rsidTr="00081F7F">
        <w:trPr>
          <w:trHeight w:val="296"/>
        </w:trPr>
        <w:tc>
          <w:tcPr>
            <w:tcW w:w="9576" w:type="dxa"/>
            <w:gridSpan w:val="5"/>
            <w:shd w:val="clear" w:color="auto" w:fill="C6D9F1" w:themeFill="text2" w:themeFillTint="33"/>
          </w:tcPr>
          <w:p w:rsidR="00BE5732" w:rsidRPr="0026064D" w:rsidRDefault="00BE5732" w:rsidP="00D220CE">
            <w:pPr>
              <w:jc w:val="center"/>
              <w:rPr>
                <w:rFonts w:eastAsia="Calibri"/>
                <w:b/>
                <w:bCs/>
                <w:i/>
                <w:iCs/>
                <w:sz w:val="22"/>
                <w:szCs w:val="22"/>
              </w:rPr>
            </w:pPr>
            <w:r w:rsidRPr="0026064D">
              <w:rPr>
                <w:b/>
                <w:bCs/>
                <w:i/>
                <w:iCs/>
                <w:sz w:val="22"/>
                <w:szCs w:val="22"/>
              </w:rPr>
              <w:t>SS #6: Reducing Per Unit Subsidy Costs for Participating Households</w:t>
            </w:r>
          </w:p>
        </w:tc>
      </w:tr>
      <w:tr w:rsidR="00BE5732" w:rsidRPr="00FB4487" w:rsidTr="00081F7F">
        <w:trPr>
          <w:trHeight w:val="296"/>
        </w:trPr>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Unit of Measurement</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Baseline</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Benchmark</w:t>
            </w:r>
          </w:p>
        </w:tc>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Benchmark Achieved?</w:t>
            </w:r>
          </w:p>
        </w:tc>
      </w:tr>
      <w:tr w:rsidR="00BE5732" w:rsidRPr="00FB4487" w:rsidTr="00D220CE">
        <w:trPr>
          <w:trHeight w:val="296"/>
        </w:trPr>
        <w:tc>
          <w:tcPr>
            <w:tcW w:w="1915" w:type="dxa"/>
            <w:shd w:val="clear" w:color="auto" w:fill="auto"/>
          </w:tcPr>
          <w:p w:rsidR="00BE5732" w:rsidRPr="0026064D" w:rsidRDefault="00BE5732" w:rsidP="00D220CE">
            <w:pPr>
              <w:rPr>
                <w:rFonts w:eastAsia="Calibri"/>
                <w:b/>
                <w:bCs/>
                <w:i/>
                <w:iCs/>
                <w:sz w:val="22"/>
                <w:szCs w:val="22"/>
              </w:rPr>
            </w:pPr>
            <w:r w:rsidRPr="0026064D">
              <w:rPr>
                <w:sz w:val="22"/>
                <w:szCs w:val="22"/>
              </w:rPr>
              <w:t>Average amount of Section 8 subsidy per household affected by this policy in dollars (decrease).</w:t>
            </w:r>
          </w:p>
        </w:tc>
        <w:tc>
          <w:tcPr>
            <w:tcW w:w="1915" w:type="dxa"/>
            <w:shd w:val="clear" w:color="auto" w:fill="auto"/>
            <w:vAlign w:val="center"/>
          </w:tcPr>
          <w:p w:rsidR="00BE5732" w:rsidRPr="0026064D" w:rsidRDefault="00BE5732" w:rsidP="00D220CE">
            <w:pPr>
              <w:jc w:val="center"/>
              <w:rPr>
                <w:rFonts w:eastAsia="Calibri"/>
                <w:bCs/>
                <w:iCs/>
                <w:sz w:val="22"/>
                <w:szCs w:val="22"/>
              </w:rPr>
            </w:pPr>
            <w:r w:rsidRPr="0026064D">
              <w:rPr>
                <w:rFonts w:eastAsia="Calibri"/>
                <w:bCs/>
                <w:iCs/>
                <w:sz w:val="22"/>
                <w:szCs w:val="22"/>
              </w:rPr>
              <w:t>$450 in FY 2015</w:t>
            </w:r>
          </w:p>
        </w:tc>
        <w:tc>
          <w:tcPr>
            <w:tcW w:w="1915" w:type="dxa"/>
            <w:shd w:val="clear" w:color="auto" w:fill="auto"/>
            <w:vAlign w:val="center"/>
          </w:tcPr>
          <w:p w:rsidR="00BE5732" w:rsidRPr="0026064D" w:rsidRDefault="005536C4" w:rsidP="005536C4">
            <w:pPr>
              <w:jc w:val="center"/>
              <w:rPr>
                <w:rFonts w:eastAsia="Calibri"/>
                <w:bCs/>
                <w:iCs/>
                <w:sz w:val="22"/>
                <w:szCs w:val="22"/>
              </w:rPr>
            </w:pPr>
            <w:r w:rsidRPr="0026064D">
              <w:rPr>
                <w:rFonts w:eastAsia="Calibri"/>
                <w:bCs/>
                <w:iCs/>
                <w:sz w:val="22"/>
                <w:szCs w:val="22"/>
              </w:rPr>
              <w:t>$420</w:t>
            </w:r>
          </w:p>
        </w:tc>
        <w:tc>
          <w:tcPr>
            <w:tcW w:w="1915" w:type="dxa"/>
            <w:shd w:val="clear" w:color="auto" w:fill="auto"/>
          </w:tcPr>
          <w:p w:rsidR="00BE5732" w:rsidRPr="00FB4487" w:rsidRDefault="00BE5732" w:rsidP="00D220CE">
            <w:pPr>
              <w:jc w:val="center"/>
              <w:rPr>
                <w:rFonts w:eastAsia="Calibri"/>
                <w:b/>
                <w:bCs/>
                <w:i/>
                <w:iCs/>
                <w:sz w:val="22"/>
                <w:szCs w:val="22"/>
              </w:rPr>
            </w:pPr>
          </w:p>
        </w:tc>
        <w:tc>
          <w:tcPr>
            <w:tcW w:w="1916" w:type="dxa"/>
            <w:shd w:val="clear" w:color="auto" w:fill="auto"/>
          </w:tcPr>
          <w:p w:rsidR="00BE5732" w:rsidRPr="00FB4487" w:rsidRDefault="00BE5732" w:rsidP="00D220CE">
            <w:pPr>
              <w:jc w:val="center"/>
              <w:rPr>
                <w:rFonts w:eastAsia="Calibri"/>
                <w:b/>
                <w:bCs/>
                <w:i/>
                <w:iCs/>
                <w:sz w:val="22"/>
                <w:szCs w:val="22"/>
              </w:rPr>
            </w:pPr>
          </w:p>
        </w:tc>
      </w:tr>
      <w:tr w:rsidR="00BE5732" w:rsidRPr="00FB4487" w:rsidTr="00081F7F">
        <w:trPr>
          <w:trHeight w:val="242"/>
        </w:trPr>
        <w:tc>
          <w:tcPr>
            <w:tcW w:w="9576" w:type="dxa"/>
            <w:gridSpan w:val="5"/>
            <w:shd w:val="clear" w:color="auto" w:fill="C6D9F1" w:themeFill="text2" w:themeFillTint="33"/>
          </w:tcPr>
          <w:p w:rsidR="00BE5732" w:rsidRPr="0026064D" w:rsidRDefault="00BE5732" w:rsidP="00D220CE">
            <w:pPr>
              <w:jc w:val="center"/>
              <w:rPr>
                <w:rFonts w:eastAsia="Calibri"/>
                <w:b/>
                <w:bCs/>
                <w:i/>
                <w:iCs/>
                <w:sz w:val="22"/>
                <w:szCs w:val="22"/>
              </w:rPr>
            </w:pPr>
            <w:r w:rsidRPr="0026064D">
              <w:rPr>
                <w:b/>
                <w:bCs/>
                <w:i/>
                <w:iCs/>
                <w:sz w:val="22"/>
                <w:szCs w:val="22"/>
              </w:rPr>
              <w:t>SS #7: Increase in Agency Rental Revenue</w:t>
            </w:r>
          </w:p>
        </w:tc>
      </w:tr>
      <w:tr w:rsidR="00BE5732" w:rsidRPr="00FB4487" w:rsidTr="00081F7F">
        <w:trPr>
          <w:trHeight w:val="296"/>
        </w:trPr>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Baseline</w:t>
            </w:r>
          </w:p>
        </w:tc>
        <w:tc>
          <w:tcPr>
            <w:tcW w:w="1915" w:type="dxa"/>
            <w:shd w:val="clear" w:color="auto" w:fill="D9D9D9" w:themeFill="background1" w:themeFillShade="D9"/>
            <w:vAlign w:val="center"/>
          </w:tcPr>
          <w:p w:rsidR="00BE5732" w:rsidRPr="0026064D" w:rsidRDefault="00BE5732" w:rsidP="00D220CE">
            <w:pPr>
              <w:jc w:val="center"/>
              <w:rPr>
                <w:rFonts w:eastAsia="Calibri"/>
                <w:b/>
                <w:bCs/>
                <w:sz w:val="22"/>
                <w:szCs w:val="22"/>
              </w:rPr>
            </w:pPr>
            <w:r w:rsidRPr="0026064D">
              <w:rPr>
                <w:rFonts w:eastAsia="Calibri"/>
                <w:b/>
                <w:bCs/>
                <w:sz w:val="22"/>
                <w:szCs w:val="22"/>
              </w:rPr>
              <w:t>Benchmark</w:t>
            </w:r>
          </w:p>
        </w:tc>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Benchmark Achieved?</w:t>
            </w:r>
          </w:p>
        </w:tc>
      </w:tr>
      <w:tr w:rsidR="00BE5732" w:rsidRPr="00FB4487" w:rsidTr="00D220CE">
        <w:trPr>
          <w:trHeight w:val="296"/>
        </w:trPr>
        <w:tc>
          <w:tcPr>
            <w:tcW w:w="1915" w:type="dxa"/>
            <w:shd w:val="clear" w:color="auto" w:fill="auto"/>
          </w:tcPr>
          <w:p w:rsidR="00BE5732" w:rsidRPr="00FB4487" w:rsidRDefault="00BE5732" w:rsidP="00D220CE">
            <w:pPr>
              <w:rPr>
                <w:rFonts w:eastAsia="Calibri"/>
                <w:b/>
                <w:bCs/>
                <w:i/>
                <w:iCs/>
                <w:sz w:val="22"/>
                <w:szCs w:val="22"/>
              </w:rPr>
            </w:pPr>
            <w:r w:rsidRPr="00FB4487">
              <w:rPr>
                <w:sz w:val="22"/>
                <w:szCs w:val="22"/>
              </w:rPr>
              <w:t>PHA rental revenue in dollars (increase).</w:t>
            </w:r>
          </w:p>
        </w:tc>
        <w:tc>
          <w:tcPr>
            <w:tcW w:w="1915" w:type="dxa"/>
            <w:shd w:val="clear" w:color="auto" w:fill="auto"/>
          </w:tcPr>
          <w:p w:rsidR="00BE5732" w:rsidRPr="0026064D" w:rsidRDefault="00BE5732" w:rsidP="00D220CE">
            <w:pPr>
              <w:jc w:val="center"/>
              <w:rPr>
                <w:rFonts w:eastAsia="Calibri"/>
                <w:bCs/>
                <w:iCs/>
                <w:sz w:val="22"/>
                <w:szCs w:val="22"/>
              </w:rPr>
            </w:pPr>
            <w:r w:rsidRPr="0026064D">
              <w:rPr>
                <w:rFonts w:eastAsia="Calibri"/>
                <w:bCs/>
                <w:iCs/>
                <w:sz w:val="22"/>
                <w:szCs w:val="22"/>
              </w:rPr>
              <w:t>$473 in FY 2015</w:t>
            </w:r>
          </w:p>
        </w:tc>
        <w:tc>
          <w:tcPr>
            <w:tcW w:w="1915" w:type="dxa"/>
            <w:shd w:val="clear" w:color="auto" w:fill="auto"/>
          </w:tcPr>
          <w:p w:rsidR="00BE5732" w:rsidRPr="0026064D" w:rsidRDefault="000433A8" w:rsidP="00D220CE">
            <w:pPr>
              <w:jc w:val="center"/>
              <w:rPr>
                <w:rFonts w:eastAsia="Calibri"/>
                <w:bCs/>
                <w:iCs/>
                <w:sz w:val="22"/>
                <w:szCs w:val="22"/>
              </w:rPr>
            </w:pPr>
            <w:r w:rsidRPr="0026064D">
              <w:rPr>
                <w:rFonts w:eastAsia="Calibri"/>
                <w:bCs/>
                <w:iCs/>
                <w:sz w:val="22"/>
                <w:szCs w:val="22"/>
              </w:rPr>
              <w:t>$550</w:t>
            </w:r>
            <w:r w:rsidR="00BE5732" w:rsidRPr="0026064D">
              <w:rPr>
                <w:rFonts w:eastAsia="Calibri"/>
                <w:bCs/>
                <w:iCs/>
                <w:sz w:val="22"/>
                <w:szCs w:val="22"/>
              </w:rPr>
              <w:t>.00*</w:t>
            </w:r>
          </w:p>
          <w:p w:rsidR="00BE5732" w:rsidRPr="0026064D" w:rsidRDefault="00BE5732" w:rsidP="00D220CE">
            <w:pPr>
              <w:jc w:val="center"/>
              <w:rPr>
                <w:rFonts w:eastAsia="Calibri"/>
                <w:bCs/>
                <w:i/>
                <w:iCs/>
                <w:sz w:val="22"/>
                <w:szCs w:val="22"/>
              </w:rPr>
            </w:pPr>
            <w:r w:rsidRPr="0026064D">
              <w:rPr>
                <w:rFonts w:eastAsia="Calibri"/>
                <w:bCs/>
                <w:i/>
                <w:iCs/>
                <w:sz w:val="22"/>
                <w:szCs w:val="22"/>
              </w:rPr>
              <w:t>*DHCD does not have any rental revenue and has been instructed by HUD to report on Average Tenant Rent to Owner</w:t>
            </w:r>
          </w:p>
        </w:tc>
        <w:tc>
          <w:tcPr>
            <w:tcW w:w="1915" w:type="dxa"/>
            <w:shd w:val="clear" w:color="auto" w:fill="auto"/>
          </w:tcPr>
          <w:p w:rsidR="00BE5732" w:rsidRPr="003D11C4" w:rsidRDefault="00BE5732" w:rsidP="00D220CE">
            <w:pPr>
              <w:jc w:val="center"/>
              <w:rPr>
                <w:rFonts w:eastAsia="Calibri"/>
                <w:b/>
                <w:bCs/>
                <w:iCs/>
                <w:sz w:val="22"/>
                <w:szCs w:val="22"/>
              </w:rPr>
            </w:pPr>
          </w:p>
        </w:tc>
        <w:tc>
          <w:tcPr>
            <w:tcW w:w="1916" w:type="dxa"/>
            <w:shd w:val="clear" w:color="auto" w:fill="auto"/>
          </w:tcPr>
          <w:p w:rsidR="00BE5732" w:rsidRPr="00FB4487" w:rsidRDefault="00BE5732" w:rsidP="00D220CE">
            <w:pPr>
              <w:jc w:val="center"/>
              <w:rPr>
                <w:rFonts w:eastAsia="Calibri"/>
                <w:b/>
                <w:bCs/>
                <w:i/>
                <w:iCs/>
                <w:sz w:val="22"/>
                <w:szCs w:val="22"/>
              </w:rPr>
            </w:pPr>
          </w:p>
        </w:tc>
      </w:tr>
      <w:tr w:rsidR="00BE5732" w:rsidRPr="00FB4487" w:rsidTr="00081F7F">
        <w:trPr>
          <w:trHeight w:val="296"/>
        </w:trPr>
        <w:tc>
          <w:tcPr>
            <w:tcW w:w="9576" w:type="dxa"/>
            <w:gridSpan w:val="5"/>
            <w:shd w:val="clear" w:color="auto" w:fill="C6D9F1" w:themeFill="text2" w:themeFillTint="33"/>
            <w:hideMark/>
          </w:tcPr>
          <w:p w:rsidR="00BE5732" w:rsidRPr="00DC2009" w:rsidRDefault="00BE5732" w:rsidP="00D220CE">
            <w:pPr>
              <w:jc w:val="center"/>
              <w:rPr>
                <w:rFonts w:eastAsia="Calibri"/>
                <w:b/>
                <w:bCs/>
                <w:i/>
                <w:iCs/>
                <w:sz w:val="22"/>
                <w:szCs w:val="22"/>
              </w:rPr>
            </w:pPr>
            <w:r w:rsidRPr="00DC2009">
              <w:rPr>
                <w:rFonts w:eastAsia="Calibri"/>
                <w:b/>
                <w:bCs/>
                <w:i/>
                <w:iCs/>
                <w:sz w:val="22"/>
                <w:szCs w:val="22"/>
              </w:rPr>
              <w:t>SS #8: Households Transitioned to Self Sufficiency</w:t>
            </w:r>
          </w:p>
        </w:tc>
      </w:tr>
      <w:tr w:rsidR="00BE5732" w:rsidRPr="00FB4487" w:rsidTr="00081F7F">
        <w:trPr>
          <w:trHeight w:val="615"/>
        </w:trPr>
        <w:tc>
          <w:tcPr>
            <w:tcW w:w="1915" w:type="dxa"/>
            <w:shd w:val="clear" w:color="auto" w:fill="D9D9D9" w:themeFill="background1" w:themeFillShade="D9"/>
            <w:vAlign w:val="center"/>
            <w:hideMark/>
          </w:tcPr>
          <w:p w:rsidR="00BE5732" w:rsidRPr="00FB4487" w:rsidRDefault="00BE5732" w:rsidP="00D220CE">
            <w:pPr>
              <w:jc w:val="cente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hideMark/>
          </w:tcPr>
          <w:p w:rsidR="00BE5732" w:rsidRPr="00DC2009" w:rsidRDefault="00BE5732" w:rsidP="00D220CE">
            <w:pPr>
              <w:jc w:val="center"/>
              <w:rPr>
                <w:rFonts w:eastAsia="Calibri"/>
                <w:b/>
                <w:bCs/>
                <w:sz w:val="22"/>
                <w:szCs w:val="22"/>
              </w:rPr>
            </w:pPr>
            <w:r w:rsidRPr="00DC2009">
              <w:rPr>
                <w:rFonts w:eastAsia="Calibri"/>
                <w:b/>
                <w:bCs/>
                <w:sz w:val="22"/>
                <w:szCs w:val="22"/>
              </w:rPr>
              <w:t>Baseline</w:t>
            </w:r>
          </w:p>
        </w:tc>
        <w:tc>
          <w:tcPr>
            <w:tcW w:w="1915" w:type="dxa"/>
            <w:shd w:val="clear" w:color="auto" w:fill="D9D9D9" w:themeFill="background1" w:themeFillShade="D9"/>
            <w:vAlign w:val="center"/>
            <w:hideMark/>
          </w:tcPr>
          <w:p w:rsidR="00BE5732" w:rsidRPr="00DC2009" w:rsidRDefault="00BE5732" w:rsidP="00D220CE">
            <w:pPr>
              <w:jc w:val="center"/>
              <w:rPr>
                <w:rFonts w:eastAsia="Calibri"/>
                <w:b/>
                <w:bCs/>
                <w:sz w:val="22"/>
                <w:szCs w:val="22"/>
              </w:rPr>
            </w:pPr>
            <w:r w:rsidRPr="00DC2009">
              <w:rPr>
                <w:rFonts w:eastAsia="Calibri"/>
                <w:b/>
                <w:bCs/>
                <w:sz w:val="22"/>
                <w:szCs w:val="22"/>
              </w:rPr>
              <w:t>Benchmark</w:t>
            </w:r>
          </w:p>
        </w:tc>
        <w:tc>
          <w:tcPr>
            <w:tcW w:w="1915" w:type="dxa"/>
            <w:shd w:val="clear" w:color="auto" w:fill="D9D9D9" w:themeFill="background1" w:themeFillShade="D9"/>
            <w:vAlign w:val="center"/>
            <w:hideMark/>
          </w:tcPr>
          <w:p w:rsidR="00BE5732" w:rsidRPr="00FB4487" w:rsidRDefault="00BE5732" w:rsidP="00D220CE">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hideMark/>
          </w:tcPr>
          <w:p w:rsidR="00BE5732" w:rsidRPr="00FB4487" w:rsidRDefault="00BE5732" w:rsidP="00D220CE">
            <w:pPr>
              <w:jc w:val="center"/>
              <w:rPr>
                <w:rFonts w:eastAsia="Calibri"/>
                <w:b/>
                <w:bCs/>
                <w:sz w:val="22"/>
                <w:szCs w:val="22"/>
              </w:rPr>
            </w:pPr>
            <w:r w:rsidRPr="00FB4487">
              <w:rPr>
                <w:rFonts w:eastAsia="Calibri"/>
                <w:b/>
                <w:bCs/>
                <w:sz w:val="22"/>
                <w:szCs w:val="22"/>
              </w:rPr>
              <w:t>Benchmark Achieved?</w:t>
            </w:r>
          </w:p>
        </w:tc>
      </w:tr>
      <w:tr w:rsidR="00BE5732" w:rsidRPr="00FB4487" w:rsidTr="00D220CE">
        <w:trPr>
          <w:trHeight w:val="350"/>
        </w:trPr>
        <w:tc>
          <w:tcPr>
            <w:tcW w:w="1915" w:type="dxa"/>
            <w:shd w:val="clear" w:color="auto" w:fill="auto"/>
            <w:hideMark/>
          </w:tcPr>
          <w:p w:rsidR="00BE5732" w:rsidRPr="00FB4487" w:rsidRDefault="00BE5732" w:rsidP="00D220CE">
            <w:pPr>
              <w:rPr>
                <w:rFonts w:eastAsia="Calibri"/>
                <w:sz w:val="22"/>
                <w:szCs w:val="22"/>
              </w:rPr>
            </w:pPr>
            <w:r w:rsidRPr="00FB4487">
              <w:rPr>
                <w:rFonts w:eastAsia="Calibri"/>
                <w:sz w:val="22"/>
                <w:szCs w:val="22"/>
              </w:rPr>
              <w:t xml:space="preserve">Number of </w:t>
            </w:r>
            <w:r>
              <w:rPr>
                <w:rFonts w:eastAsia="Calibri"/>
                <w:sz w:val="22"/>
                <w:szCs w:val="22"/>
              </w:rPr>
              <w:t>households transitioned to self-</w:t>
            </w:r>
            <w:r w:rsidRPr="00FB4487">
              <w:rPr>
                <w:rFonts w:eastAsia="Calibri"/>
                <w:sz w:val="22"/>
                <w:szCs w:val="22"/>
              </w:rPr>
              <w:t xml:space="preserve">sufficiency (increase). </w:t>
            </w:r>
          </w:p>
        </w:tc>
        <w:tc>
          <w:tcPr>
            <w:tcW w:w="1915" w:type="dxa"/>
            <w:shd w:val="clear" w:color="auto" w:fill="auto"/>
            <w:vAlign w:val="center"/>
          </w:tcPr>
          <w:p w:rsidR="00BE5732" w:rsidRPr="00FB4487" w:rsidRDefault="00BE5732" w:rsidP="00D220CE">
            <w:pPr>
              <w:jc w:val="center"/>
              <w:rPr>
                <w:rFonts w:eastAsia="Calibri"/>
                <w:sz w:val="22"/>
                <w:szCs w:val="22"/>
              </w:rPr>
            </w:pPr>
            <w:r w:rsidRPr="00FB4487">
              <w:rPr>
                <w:rFonts w:eastAsia="Calibri"/>
                <w:sz w:val="22"/>
                <w:szCs w:val="22"/>
              </w:rPr>
              <w:t>0</w:t>
            </w:r>
            <w:r>
              <w:rPr>
                <w:rFonts w:eastAsia="Calibri"/>
                <w:sz w:val="22"/>
                <w:szCs w:val="22"/>
              </w:rPr>
              <w:t xml:space="preserve"> households</w:t>
            </w:r>
          </w:p>
        </w:tc>
        <w:tc>
          <w:tcPr>
            <w:tcW w:w="1915" w:type="dxa"/>
            <w:shd w:val="clear" w:color="auto" w:fill="auto"/>
            <w:vAlign w:val="center"/>
          </w:tcPr>
          <w:p w:rsidR="00BE5732" w:rsidRPr="00DC2009" w:rsidRDefault="00DC2009" w:rsidP="00D220CE">
            <w:pPr>
              <w:jc w:val="center"/>
              <w:rPr>
                <w:rFonts w:eastAsia="Calibri"/>
                <w:sz w:val="22"/>
                <w:szCs w:val="22"/>
              </w:rPr>
            </w:pPr>
            <w:r w:rsidRPr="00DC2009">
              <w:rPr>
                <w:rFonts w:eastAsia="Calibri"/>
                <w:sz w:val="22"/>
                <w:szCs w:val="22"/>
              </w:rPr>
              <w:t>1</w:t>
            </w:r>
            <w:r w:rsidR="00BE5732" w:rsidRPr="00DC2009">
              <w:rPr>
                <w:rFonts w:eastAsia="Calibri"/>
                <w:sz w:val="22"/>
                <w:szCs w:val="22"/>
              </w:rPr>
              <w:t xml:space="preserve"> household</w:t>
            </w:r>
            <w:r w:rsidR="000433A8" w:rsidRPr="00DC2009">
              <w:rPr>
                <w:rFonts w:eastAsia="Calibri"/>
                <w:sz w:val="22"/>
                <w:szCs w:val="22"/>
              </w:rPr>
              <w:t>*</w:t>
            </w:r>
          </w:p>
        </w:tc>
        <w:tc>
          <w:tcPr>
            <w:tcW w:w="1915" w:type="dxa"/>
            <w:shd w:val="clear" w:color="auto" w:fill="auto"/>
          </w:tcPr>
          <w:p w:rsidR="00BE5732" w:rsidRPr="00DC2009" w:rsidRDefault="00BE5732" w:rsidP="00D220CE">
            <w:pPr>
              <w:jc w:val="center"/>
              <w:rPr>
                <w:rFonts w:eastAsia="Calibri"/>
                <w:sz w:val="22"/>
                <w:szCs w:val="22"/>
              </w:rPr>
            </w:pPr>
          </w:p>
        </w:tc>
        <w:tc>
          <w:tcPr>
            <w:tcW w:w="1916" w:type="dxa"/>
            <w:shd w:val="clear" w:color="auto" w:fill="auto"/>
          </w:tcPr>
          <w:p w:rsidR="00BE5732" w:rsidRPr="00FB4487" w:rsidRDefault="00BE5732" w:rsidP="00D220CE">
            <w:pPr>
              <w:jc w:val="center"/>
              <w:rPr>
                <w:rFonts w:eastAsia="Calibri"/>
                <w:sz w:val="22"/>
                <w:szCs w:val="22"/>
              </w:rPr>
            </w:pPr>
          </w:p>
        </w:tc>
      </w:tr>
      <w:tr w:rsidR="000433A8" w:rsidRPr="00FB4487" w:rsidTr="00D220CE">
        <w:trPr>
          <w:trHeight w:val="314"/>
        </w:trPr>
        <w:tc>
          <w:tcPr>
            <w:tcW w:w="9576" w:type="dxa"/>
            <w:gridSpan w:val="5"/>
            <w:shd w:val="clear" w:color="auto" w:fill="auto"/>
          </w:tcPr>
          <w:p w:rsidR="000433A8" w:rsidRDefault="000433A8" w:rsidP="000433A8">
            <w:pPr>
              <w:rPr>
                <w:bCs/>
                <w:i/>
                <w:iCs/>
                <w:sz w:val="18"/>
                <w:szCs w:val="22"/>
              </w:rPr>
            </w:pPr>
            <w:r w:rsidRPr="000433A8">
              <w:rPr>
                <w:bCs/>
                <w:i/>
                <w:iCs/>
                <w:sz w:val="18"/>
                <w:szCs w:val="22"/>
              </w:rPr>
              <w:t>*Self-sufficiency is defined as graduation from the FES program</w:t>
            </w:r>
          </w:p>
          <w:p w:rsidR="006A5667" w:rsidRDefault="006A5667" w:rsidP="000433A8">
            <w:pPr>
              <w:rPr>
                <w:bCs/>
                <w:i/>
                <w:iCs/>
                <w:sz w:val="18"/>
                <w:szCs w:val="22"/>
              </w:rPr>
            </w:pPr>
          </w:p>
          <w:p w:rsidR="006A5667" w:rsidRDefault="006A5667" w:rsidP="000433A8">
            <w:pPr>
              <w:rPr>
                <w:bCs/>
                <w:i/>
                <w:iCs/>
                <w:sz w:val="18"/>
                <w:szCs w:val="22"/>
              </w:rPr>
            </w:pPr>
          </w:p>
          <w:p w:rsidR="006A5667" w:rsidRDefault="006A5667" w:rsidP="000433A8">
            <w:pPr>
              <w:rPr>
                <w:bCs/>
                <w:i/>
                <w:iCs/>
                <w:sz w:val="18"/>
                <w:szCs w:val="22"/>
              </w:rPr>
            </w:pPr>
          </w:p>
          <w:p w:rsidR="006A5667" w:rsidRPr="000433A8" w:rsidRDefault="006A5667" w:rsidP="000433A8">
            <w:pPr>
              <w:rPr>
                <w:bCs/>
                <w:i/>
                <w:iCs/>
                <w:sz w:val="18"/>
                <w:szCs w:val="22"/>
                <w:highlight w:val="yellow"/>
              </w:rPr>
            </w:pPr>
          </w:p>
        </w:tc>
      </w:tr>
      <w:tr w:rsidR="00BE5732" w:rsidRPr="00FB4487" w:rsidTr="00081F7F">
        <w:trPr>
          <w:trHeight w:val="314"/>
        </w:trPr>
        <w:tc>
          <w:tcPr>
            <w:tcW w:w="9576" w:type="dxa"/>
            <w:gridSpan w:val="5"/>
            <w:shd w:val="clear" w:color="auto" w:fill="C6D9F1" w:themeFill="text2" w:themeFillTint="33"/>
          </w:tcPr>
          <w:p w:rsidR="00BE5732" w:rsidRPr="000433A8" w:rsidRDefault="00BE5732" w:rsidP="00D220CE">
            <w:pPr>
              <w:jc w:val="center"/>
              <w:rPr>
                <w:rFonts w:eastAsia="Calibri"/>
                <w:sz w:val="22"/>
                <w:szCs w:val="22"/>
              </w:rPr>
            </w:pPr>
            <w:r w:rsidRPr="000433A8">
              <w:rPr>
                <w:b/>
                <w:bCs/>
                <w:i/>
                <w:iCs/>
                <w:sz w:val="22"/>
                <w:szCs w:val="22"/>
              </w:rPr>
              <w:t>HC #5: Increase in Resident Mobility</w:t>
            </w:r>
          </w:p>
        </w:tc>
      </w:tr>
      <w:tr w:rsidR="00BE5732" w:rsidRPr="00FB4487" w:rsidTr="00081F7F">
        <w:trPr>
          <w:trHeight w:val="350"/>
        </w:trPr>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Baseline</w:t>
            </w:r>
          </w:p>
        </w:tc>
        <w:tc>
          <w:tcPr>
            <w:tcW w:w="1915" w:type="dxa"/>
            <w:shd w:val="clear" w:color="auto" w:fill="D9D9D9" w:themeFill="background1" w:themeFillShade="D9"/>
            <w:vAlign w:val="center"/>
          </w:tcPr>
          <w:p w:rsidR="00BE5732" w:rsidRPr="000433A8" w:rsidRDefault="00BE5732" w:rsidP="00D220CE">
            <w:pPr>
              <w:jc w:val="center"/>
              <w:rPr>
                <w:rFonts w:eastAsia="Calibri"/>
                <w:b/>
                <w:bCs/>
                <w:sz w:val="22"/>
                <w:szCs w:val="22"/>
              </w:rPr>
            </w:pPr>
            <w:r w:rsidRPr="000433A8">
              <w:rPr>
                <w:rFonts w:eastAsia="Calibri"/>
                <w:b/>
                <w:bCs/>
                <w:sz w:val="22"/>
                <w:szCs w:val="22"/>
              </w:rPr>
              <w:t>Benchmark</w:t>
            </w:r>
          </w:p>
        </w:tc>
        <w:tc>
          <w:tcPr>
            <w:tcW w:w="1915"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BE5732" w:rsidRPr="00FB4487" w:rsidRDefault="00BE5732" w:rsidP="00D220CE">
            <w:pPr>
              <w:jc w:val="center"/>
              <w:rPr>
                <w:rFonts w:eastAsia="Calibri"/>
                <w:b/>
                <w:bCs/>
                <w:sz w:val="22"/>
                <w:szCs w:val="22"/>
              </w:rPr>
            </w:pPr>
            <w:r w:rsidRPr="00FB4487">
              <w:rPr>
                <w:rFonts w:eastAsia="Calibri"/>
                <w:b/>
                <w:bCs/>
                <w:sz w:val="22"/>
                <w:szCs w:val="22"/>
              </w:rPr>
              <w:t>Benchmark Achieved?</w:t>
            </w:r>
          </w:p>
        </w:tc>
      </w:tr>
      <w:tr w:rsidR="00BE5732" w:rsidRPr="00FB4487" w:rsidTr="00D220CE">
        <w:trPr>
          <w:trHeight w:val="350"/>
        </w:trPr>
        <w:tc>
          <w:tcPr>
            <w:tcW w:w="1915" w:type="dxa"/>
            <w:shd w:val="clear" w:color="auto" w:fill="auto"/>
          </w:tcPr>
          <w:p w:rsidR="00BE5732" w:rsidRPr="00FB4487" w:rsidRDefault="00BE5732" w:rsidP="00D220CE">
            <w:pPr>
              <w:rPr>
                <w:rFonts w:eastAsia="Calibri"/>
                <w:sz w:val="22"/>
                <w:szCs w:val="22"/>
              </w:rPr>
            </w:pPr>
            <w:r w:rsidRPr="00FB4487">
              <w:rPr>
                <w:sz w:val="22"/>
                <w:szCs w:val="22"/>
              </w:rPr>
              <w:t>Number of households able to move to a better unit and/or neighborhood of opportunity as a result of the activity (increase).</w:t>
            </w:r>
          </w:p>
        </w:tc>
        <w:tc>
          <w:tcPr>
            <w:tcW w:w="1915" w:type="dxa"/>
            <w:shd w:val="clear" w:color="auto" w:fill="auto"/>
            <w:vAlign w:val="center"/>
          </w:tcPr>
          <w:p w:rsidR="00BE5732" w:rsidRPr="000433A8" w:rsidRDefault="00BE5732" w:rsidP="00D220CE">
            <w:pPr>
              <w:jc w:val="center"/>
              <w:rPr>
                <w:rFonts w:eastAsia="Calibri"/>
                <w:sz w:val="22"/>
                <w:szCs w:val="22"/>
              </w:rPr>
            </w:pPr>
            <w:r w:rsidRPr="000433A8">
              <w:rPr>
                <w:rFonts w:eastAsia="Calibri"/>
                <w:bCs/>
                <w:iCs/>
                <w:sz w:val="22"/>
                <w:szCs w:val="22"/>
              </w:rPr>
              <w:t>0 households</w:t>
            </w:r>
          </w:p>
        </w:tc>
        <w:tc>
          <w:tcPr>
            <w:tcW w:w="1915" w:type="dxa"/>
            <w:shd w:val="clear" w:color="auto" w:fill="auto"/>
            <w:vAlign w:val="center"/>
          </w:tcPr>
          <w:p w:rsidR="00BE5732" w:rsidRPr="000433A8" w:rsidRDefault="00BE5732" w:rsidP="00D220CE">
            <w:pPr>
              <w:jc w:val="center"/>
              <w:rPr>
                <w:rFonts w:eastAsia="Calibri"/>
                <w:sz w:val="22"/>
                <w:szCs w:val="22"/>
              </w:rPr>
            </w:pPr>
            <w:r w:rsidRPr="000433A8">
              <w:rPr>
                <w:rFonts w:eastAsia="Calibri"/>
                <w:bCs/>
                <w:iCs/>
                <w:sz w:val="22"/>
                <w:szCs w:val="22"/>
              </w:rPr>
              <w:t>5 households in FY 1</w:t>
            </w:r>
            <w:r w:rsidR="000433A8">
              <w:rPr>
                <w:rFonts w:eastAsia="Calibri"/>
                <w:bCs/>
                <w:iCs/>
                <w:sz w:val="22"/>
                <w:szCs w:val="22"/>
              </w:rPr>
              <w:t>7</w:t>
            </w:r>
          </w:p>
        </w:tc>
        <w:tc>
          <w:tcPr>
            <w:tcW w:w="1915" w:type="dxa"/>
            <w:shd w:val="clear" w:color="auto" w:fill="auto"/>
          </w:tcPr>
          <w:p w:rsidR="00BE5732" w:rsidRPr="00FB4487" w:rsidRDefault="00BE5732" w:rsidP="00D220CE">
            <w:pPr>
              <w:jc w:val="center"/>
              <w:rPr>
                <w:rFonts w:eastAsia="Calibri"/>
                <w:sz w:val="22"/>
                <w:szCs w:val="22"/>
              </w:rPr>
            </w:pPr>
          </w:p>
        </w:tc>
        <w:tc>
          <w:tcPr>
            <w:tcW w:w="1916" w:type="dxa"/>
            <w:shd w:val="clear" w:color="auto" w:fill="auto"/>
          </w:tcPr>
          <w:p w:rsidR="00BE5732" w:rsidRPr="00FB4487" w:rsidRDefault="00BE5732" w:rsidP="00D220CE">
            <w:pPr>
              <w:jc w:val="center"/>
              <w:rPr>
                <w:rFonts w:eastAsia="Calibri"/>
                <w:sz w:val="22"/>
                <w:szCs w:val="22"/>
              </w:rPr>
            </w:pPr>
          </w:p>
        </w:tc>
      </w:tr>
      <w:tr w:rsidR="00BE5732" w:rsidRPr="00FB4487" w:rsidTr="00081F7F">
        <w:trPr>
          <w:trHeight w:val="350"/>
        </w:trPr>
        <w:tc>
          <w:tcPr>
            <w:tcW w:w="9576" w:type="dxa"/>
            <w:gridSpan w:val="5"/>
            <w:shd w:val="clear" w:color="auto" w:fill="C6D9F1" w:themeFill="text2" w:themeFillTint="33"/>
          </w:tcPr>
          <w:p w:rsidR="00BE5732" w:rsidRPr="00DC2009" w:rsidRDefault="00BE5732" w:rsidP="00D220CE">
            <w:pPr>
              <w:jc w:val="center"/>
              <w:rPr>
                <w:rFonts w:eastAsia="Calibri"/>
                <w:sz w:val="22"/>
                <w:szCs w:val="22"/>
              </w:rPr>
            </w:pPr>
            <w:r w:rsidRPr="00DC2009">
              <w:br w:type="page"/>
            </w:r>
            <w:r w:rsidRPr="00DC2009">
              <w:rPr>
                <w:b/>
                <w:bCs/>
                <w:i/>
                <w:iCs/>
                <w:sz w:val="22"/>
                <w:szCs w:val="22"/>
              </w:rPr>
              <w:t>HC #6: Increase in Homeownership Opportunities</w:t>
            </w:r>
          </w:p>
        </w:tc>
      </w:tr>
      <w:tr w:rsidR="00BE5732" w:rsidRPr="00FB4487" w:rsidTr="00081F7F">
        <w:trPr>
          <w:trHeight w:val="350"/>
        </w:trPr>
        <w:tc>
          <w:tcPr>
            <w:tcW w:w="1915" w:type="dxa"/>
            <w:shd w:val="clear" w:color="auto" w:fill="D9D9D9" w:themeFill="background1" w:themeFillShade="D9"/>
            <w:vAlign w:val="center"/>
          </w:tcPr>
          <w:p w:rsidR="00BE5732" w:rsidRPr="00FB4487" w:rsidRDefault="00BE5732" w:rsidP="00D220CE">
            <w:pPr>
              <w:rPr>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BE5732" w:rsidRPr="00DC2009" w:rsidRDefault="00BE5732" w:rsidP="00D220CE">
            <w:pPr>
              <w:jc w:val="center"/>
              <w:rPr>
                <w:rFonts w:eastAsia="Calibri"/>
                <w:b/>
                <w:bCs/>
                <w:i/>
                <w:iCs/>
                <w:sz w:val="22"/>
                <w:szCs w:val="22"/>
              </w:rPr>
            </w:pPr>
            <w:r w:rsidRPr="00DC2009">
              <w:rPr>
                <w:rFonts w:eastAsia="Calibri"/>
                <w:b/>
                <w:bCs/>
                <w:sz w:val="22"/>
                <w:szCs w:val="22"/>
              </w:rPr>
              <w:t>Baseline</w:t>
            </w:r>
          </w:p>
        </w:tc>
        <w:tc>
          <w:tcPr>
            <w:tcW w:w="1915" w:type="dxa"/>
            <w:shd w:val="clear" w:color="auto" w:fill="D9D9D9" w:themeFill="background1" w:themeFillShade="D9"/>
            <w:vAlign w:val="center"/>
          </w:tcPr>
          <w:p w:rsidR="00BE5732" w:rsidRPr="00DC2009" w:rsidRDefault="00BE5732" w:rsidP="00D220CE">
            <w:pPr>
              <w:jc w:val="center"/>
              <w:rPr>
                <w:rFonts w:eastAsia="Calibri"/>
                <w:bCs/>
                <w:iCs/>
                <w:sz w:val="22"/>
                <w:szCs w:val="22"/>
              </w:rPr>
            </w:pPr>
            <w:r w:rsidRPr="00DC2009">
              <w:rPr>
                <w:rFonts w:eastAsia="Calibri"/>
                <w:b/>
                <w:bCs/>
                <w:sz w:val="22"/>
                <w:szCs w:val="22"/>
              </w:rPr>
              <w:t>Benchmark</w:t>
            </w:r>
          </w:p>
        </w:tc>
        <w:tc>
          <w:tcPr>
            <w:tcW w:w="1915" w:type="dxa"/>
            <w:shd w:val="clear" w:color="auto" w:fill="D9D9D9" w:themeFill="background1" w:themeFillShade="D9"/>
            <w:vAlign w:val="center"/>
          </w:tcPr>
          <w:p w:rsidR="00BE5732" w:rsidRPr="00DC2009" w:rsidRDefault="00BE5732" w:rsidP="00D220CE">
            <w:pPr>
              <w:jc w:val="center"/>
              <w:rPr>
                <w:rFonts w:eastAsia="Calibri"/>
                <w:sz w:val="22"/>
                <w:szCs w:val="22"/>
              </w:rPr>
            </w:pPr>
            <w:r w:rsidRPr="00DC2009">
              <w:rPr>
                <w:rFonts w:eastAsia="Calibri"/>
                <w:b/>
                <w:bCs/>
                <w:sz w:val="22"/>
                <w:szCs w:val="22"/>
              </w:rPr>
              <w:t>Outcome</w:t>
            </w:r>
          </w:p>
        </w:tc>
        <w:tc>
          <w:tcPr>
            <w:tcW w:w="1916" w:type="dxa"/>
            <w:shd w:val="clear" w:color="auto" w:fill="D9D9D9" w:themeFill="background1" w:themeFillShade="D9"/>
            <w:vAlign w:val="center"/>
          </w:tcPr>
          <w:p w:rsidR="00BE5732" w:rsidRPr="00FB4487" w:rsidRDefault="00BE5732" w:rsidP="00D220CE">
            <w:pPr>
              <w:jc w:val="center"/>
              <w:rPr>
                <w:rFonts w:eastAsia="Calibri"/>
                <w:sz w:val="22"/>
                <w:szCs w:val="22"/>
              </w:rPr>
            </w:pPr>
            <w:r w:rsidRPr="00FB4487">
              <w:rPr>
                <w:rFonts w:eastAsia="Calibri"/>
                <w:b/>
                <w:bCs/>
                <w:sz w:val="22"/>
                <w:szCs w:val="22"/>
              </w:rPr>
              <w:t>Benchmark Achieved?</w:t>
            </w:r>
          </w:p>
        </w:tc>
      </w:tr>
      <w:tr w:rsidR="00BE5732" w:rsidRPr="00FB4487" w:rsidTr="00D220CE">
        <w:trPr>
          <w:trHeight w:val="350"/>
        </w:trPr>
        <w:tc>
          <w:tcPr>
            <w:tcW w:w="1915" w:type="dxa"/>
            <w:shd w:val="clear" w:color="auto" w:fill="auto"/>
          </w:tcPr>
          <w:p w:rsidR="00BE5732" w:rsidRPr="00FB4487" w:rsidRDefault="00BE5732" w:rsidP="00D220CE">
            <w:pPr>
              <w:rPr>
                <w:sz w:val="22"/>
                <w:szCs w:val="22"/>
              </w:rPr>
            </w:pPr>
            <w:r w:rsidRPr="00FB4487">
              <w:rPr>
                <w:sz w:val="22"/>
                <w:szCs w:val="22"/>
              </w:rPr>
              <w:t>Number of households that purchased a home as a result of the activity (increase).</w:t>
            </w:r>
          </w:p>
        </w:tc>
        <w:tc>
          <w:tcPr>
            <w:tcW w:w="1915" w:type="dxa"/>
            <w:shd w:val="clear" w:color="auto" w:fill="auto"/>
            <w:vAlign w:val="center"/>
          </w:tcPr>
          <w:p w:rsidR="00BE5732" w:rsidRPr="00FB4487" w:rsidRDefault="00BE5732" w:rsidP="00D220CE">
            <w:pPr>
              <w:jc w:val="center"/>
              <w:rPr>
                <w:rFonts w:eastAsia="Calibri"/>
                <w:b/>
                <w:bCs/>
                <w:i/>
                <w:iCs/>
                <w:sz w:val="22"/>
                <w:szCs w:val="22"/>
              </w:rPr>
            </w:pPr>
            <w:r w:rsidRPr="00ED394E">
              <w:rPr>
                <w:rFonts w:eastAsia="Calibri"/>
                <w:bCs/>
                <w:iCs/>
                <w:sz w:val="22"/>
                <w:szCs w:val="22"/>
              </w:rPr>
              <w:t>0 households</w:t>
            </w:r>
          </w:p>
        </w:tc>
        <w:tc>
          <w:tcPr>
            <w:tcW w:w="1915" w:type="dxa"/>
            <w:shd w:val="clear" w:color="auto" w:fill="auto"/>
            <w:vAlign w:val="center"/>
          </w:tcPr>
          <w:p w:rsidR="00BE5732" w:rsidRPr="006C139B" w:rsidRDefault="00BE5732" w:rsidP="00D220CE">
            <w:pPr>
              <w:jc w:val="center"/>
              <w:rPr>
                <w:rFonts w:eastAsia="Calibri"/>
                <w:bCs/>
                <w:iCs/>
                <w:sz w:val="22"/>
                <w:szCs w:val="22"/>
                <w:highlight w:val="yellow"/>
              </w:rPr>
            </w:pPr>
            <w:r w:rsidRPr="00DC2009">
              <w:rPr>
                <w:rFonts w:eastAsia="Calibri"/>
                <w:bCs/>
                <w:iCs/>
                <w:sz w:val="22"/>
                <w:szCs w:val="22"/>
              </w:rPr>
              <w:t>0 households</w:t>
            </w:r>
          </w:p>
        </w:tc>
        <w:tc>
          <w:tcPr>
            <w:tcW w:w="1915" w:type="dxa"/>
            <w:shd w:val="clear" w:color="auto" w:fill="auto"/>
          </w:tcPr>
          <w:p w:rsidR="00BE5732" w:rsidRPr="00FB4487" w:rsidRDefault="00BE5732" w:rsidP="00D220CE">
            <w:pPr>
              <w:jc w:val="center"/>
              <w:rPr>
                <w:rFonts w:eastAsia="Calibri"/>
                <w:sz w:val="22"/>
                <w:szCs w:val="22"/>
              </w:rPr>
            </w:pPr>
          </w:p>
        </w:tc>
        <w:tc>
          <w:tcPr>
            <w:tcW w:w="1916" w:type="dxa"/>
            <w:shd w:val="clear" w:color="auto" w:fill="auto"/>
          </w:tcPr>
          <w:p w:rsidR="00BE5732" w:rsidRPr="00FB4487" w:rsidRDefault="00BE5732" w:rsidP="00D220CE">
            <w:pPr>
              <w:jc w:val="center"/>
              <w:rPr>
                <w:rFonts w:eastAsia="Calibri"/>
                <w:sz w:val="22"/>
                <w:szCs w:val="22"/>
              </w:rPr>
            </w:pPr>
          </w:p>
        </w:tc>
      </w:tr>
    </w:tbl>
    <w:p w:rsidR="005E3062" w:rsidRPr="00BE5732" w:rsidRDefault="005E3062" w:rsidP="005E3062"/>
    <w:p w:rsidR="005E3062" w:rsidRPr="003F655B" w:rsidRDefault="005E3062" w:rsidP="005E3062">
      <w:pPr>
        <w:rPr>
          <w:b/>
          <w:i/>
          <w:color w:val="000000"/>
        </w:rPr>
      </w:pPr>
      <w:r w:rsidRPr="003F655B">
        <w:rPr>
          <w:b/>
          <w:color w:val="000000"/>
          <w:u w:val="single"/>
        </w:rPr>
        <w:br w:type="page"/>
        <w:t>Activity 2010-1:  PBV Site Based Waiting Lists</w:t>
      </w:r>
    </w:p>
    <w:p w:rsidR="005E3062" w:rsidRPr="00EC0868" w:rsidRDefault="005E3062" w:rsidP="005E3062">
      <w:pPr>
        <w:rPr>
          <w:color w:val="000000"/>
          <w:sz w:val="18"/>
        </w:rPr>
      </w:pPr>
    </w:p>
    <w:p w:rsidR="005E3062" w:rsidRPr="004F3163" w:rsidRDefault="005E3062" w:rsidP="004F3163">
      <w:pPr>
        <w:jc w:val="both"/>
        <w:rPr>
          <w:color w:val="000000"/>
        </w:rPr>
      </w:pPr>
      <w:r w:rsidRPr="00B73F74">
        <w:rPr>
          <w:b/>
          <w:color w:val="000000"/>
        </w:rPr>
        <w:t>Description/Update of MTW Activity</w:t>
      </w:r>
      <w:r w:rsidR="00C65963">
        <w:rPr>
          <w:color w:val="000000"/>
        </w:rPr>
        <w:t>:</w:t>
      </w:r>
      <w:r w:rsidRPr="00B73F74">
        <w:rPr>
          <w:color w:val="000000"/>
        </w:rPr>
        <w:t xml:space="preserve">  </w:t>
      </w:r>
      <w:r w:rsidRPr="004F3163">
        <w:rPr>
          <w:color w:val="000000"/>
        </w:rPr>
        <w:t xml:space="preserve">Under this initiative, </w:t>
      </w:r>
      <w:r w:rsidR="00CD47BD" w:rsidRPr="004F3163">
        <w:rPr>
          <w:color w:val="000000"/>
        </w:rPr>
        <w:t xml:space="preserve">DHCD authorizes </w:t>
      </w:r>
      <w:r w:rsidRPr="004F3163">
        <w:rPr>
          <w:color w:val="000000"/>
        </w:rPr>
        <w:t xml:space="preserve">owner/managers of PBV developments </w:t>
      </w:r>
      <w:r w:rsidR="00CD47BD" w:rsidRPr="004F3163">
        <w:rPr>
          <w:color w:val="000000"/>
        </w:rPr>
        <w:t>to be</w:t>
      </w:r>
      <w:r w:rsidRPr="004F3163">
        <w:rPr>
          <w:color w:val="000000"/>
        </w:rPr>
        <w:t xml:space="preserve"> responsible for all PBV waiting list intake and management functions</w:t>
      </w:r>
      <w:r w:rsidR="006556CA">
        <w:rPr>
          <w:color w:val="000000"/>
        </w:rPr>
        <w:t xml:space="preserve"> for their development</w:t>
      </w:r>
      <w:r w:rsidRPr="004F3163">
        <w:rPr>
          <w:color w:val="000000"/>
        </w:rPr>
        <w:t xml:space="preserve">.  Generally, DHCD </w:t>
      </w:r>
      <w:r w:rsidR="00CD47BD" w:rsidRPr="004F3163">
        <w:rPr>
          <w:color w:val="000000"/>
        </w:rPr>
        <w:t>intends to</w:t>
      </w:r>
      <w:r w:rsidRPr="004F3163">
        <w:rPr>
          <w:color w:val="000000"/>
        </w:rPr>
        <w:t xml:space="preserve"> require PBV owners to assume and manage these functions; however, exceptions may be made at DHCD’s option.  Under the new system, applicants contact the owner/manager of a specific development in order to f</w:t>
      </w:r>
      <w:r w:rsidR="00B73F74" w:rsidRPr="004F3163">
        <w:rPr>
          <w:color w:val="000000"/>
        </w:rPr>
        <w:t xml:space="preserve">ile an application.  </w:t>
      </w:r>
      <w:r w:rsidR="00B73F74" w:rsidRPr="00B73F74">
        <w:rPr>
          <w:color w:val="000000"/>
        </w:rPr>
        <w:t>Applicant</w:t>
      </w:r>
      <w:r w:rsidRPr="004F3163">
        <w:rPr>
          <w:color w:val="000000"/>
        </w:rPr>
        <w:t xml:space="preserve"> files and the waiting list itself </w:t>
      </w:r>
      <w:r w:rsidR="00CD47BD" w:rsidRPr="004F3163">
        <w:rPr>
          <w:color w:val="000000"/>
        </w:rPr>
        <w:t>are</w:t>
      </w:r>
      <w:r w:rsidRPr="004F3163">
        <w:rPr>
          <w:color w:val="000000"/>
        </w:rPr>
        <w:t xml:space="preserve"> maintained at the development site.  Owner/managers </w:t>
      </w:r>
      <w:r w:rsidR="00CD47BD" w:rsidRPr="004F3163">
        <w:rPr>
          <w:color w:val="000000"/>
        </w:rPr>
        <w:t>are</w:t>
      </w:r>
      <w:r w:rsidRPr="004F3163">
        <w:rPr>
          <w:color w:val="000000"/>
        </w:rPr>
        <w:t xml:space="preserve"> responsible for contacting and screening applicants who come to the top of the waiting list, collecting all needed information from the applicant, and then forwarding the applicant to the RAA for eligibility determination and processing.</w:t>
      </w:r>
    </w:p>
    <w:p w:rsidR="005E3062" w:rsidRPr="00EC0868" w:rsidRDefault="005E3062" w:rsidP="005E3062">
      <w:pPr>
        <w:ind w:left="360"/>
        <w:rPr>
          <w:color w:val="000000"/>
          <w:sz w:val="18"/>
        </w:rPr>
      </w:pPr>
    </w:p>
    <w:p w:rsidR="005E3062" w:rsidRPr="004F3163" w:rsidRDefault="005E3062" w:rsidP="004F3163">
      <w:pPr>
        <w:jc w:val="both"/>
      </w:pPr>
      <w:r w:rsidRPr="004F3163">
        <w:rPr>
          <w:color w:val="000000"/>
        </w:rPr>
        <w:t xml:space="preserve">All PBV developments utilizing the new waiting list management methods are required to modify their tenant selection plans and other documents as needed, and </w:t>
      </w:r>
      <w:r w:rsidRPr="004F3163">
        <w:t>must administer the waiting list in conformance with DHCD’s Affirmative Fair Housing Marketing Plan and all other applicable HUD Fair Housing regulations and guidance.</w:t>
      </w:r>
      <w:r w:rsidR="00486170">
        <w:t xml:space="preserve"> </w:t>
      </w:r>
      <w:r w:rsidR="006556CA" w:rsidRPr="004F3163">
        <w:rPr>
          <w:color w:val="000000"/>
        </w:rPr>
        <w:t>DHCD will either use existing staff or contract with a Fair Housing organization to conduct periodic reviews of the system to ensure compliance with DHCD’s approved tenant selection plan for each respective project and conformance to fair housing guidelines.</w:t>
      </w:r>
    </w:p>
    <w:p w:rsidR="005E3062" w:rsidRPr="00EC0868" w:rsidRDefault="005E3062" w:rsidP="005E3062">
      <w:pPr>
        <w:ind w:left="360"/>
        <w:rPr>
          <w:color w:val="000000"/>
          <w:sz w:val="16"/>
          <w:highlight w:val="yellow"/>
        </w:rPr>
      </w:pPr>
    </w:p>
    <w:p w:rsidR="005E3062" w:rsidRPr="00692A0A" w:rsidRDefault="005E3062" w:rsidP="00D073CA">
      <w:pPr>
        <w:jc w:val="both"/>
        <w:rPr>
          <w:color w:val="000000"/>
        </w:rPr>
      </w:pPr>
      <w:r w:rsidRPr="004F3163">
        <w:rPr>
          <w:color w:val="000000"/>
        </w:rPr>
        <w:t>Starting in FY 2013,</w:t>
      </w:r>
      <w:r w:rsidR="009D09B5">
        <w:rPr>
          <w:color w:val="000000"/>
        </w:rPr>
        <w:t xml:space="preserve"> DHCD authorized</w:t>
      </w:r>
      <w:r w:rsidRPr="004F3163">
        <w:rPr>
          <w:color w:val="000000"/>
        </w:rPr>
        <w:t xml:space="preserve"> new PBV developments to establish and manage their own site base</w:t>
      </w:r>
      <w:r w:rsidR="00C3612F">
        <w:rPr>
          <w:color w:val="000000"/>
        </w:rPr>
        <w:t xml:space="preserve">d waiting lists.  </w:t>
      </w:r>
      <w:r w:rsidR="00226A34" w:rsidRPr="004F3163">
        <w:rPr>
          <w:color w:val="000000"/>
        </w:rPr>
        <w:t xml:space="preserve">DHCD </w:t>
      </w:r>
      <w:r w:rsidR="00C3612F">
        <w:rPr>
          <w:color w:val="000000"/>
        </w:rPr>
        <w:t xml:space="preserve">has </w:t>
      </w:r>
      <w:r w:rsidR="00226A34" w:rsidRPr="004F3163">
        <w:rPr>
          <w:color w:val="000000"/>
        </w:rPr>
        <w:t>continued</w:t>
      </w:r>
      <w:r w:rsidRPr="004F3163">
        <w:rPr>
          <w:color w:val="000000"/>
        </w:rPr>
        <w:t xml:space="preserve"> to authorize</w:t>
      </w:r>
      <w:r w:rsidR="007355BD" w:rsidRPr="004F3163">
        <w:rPr>
          <w:color w:val="000000"/>
        </w:rPr>
        <w:t xml:space="preserve"> owners of</w:t>
      </w:r>
      <w:r w:rsidRPr="004F3163">
        <w:rPr>
          <w:color w:val="000000"/>
        </w:rPr>
        <w:t xml:space="preserve"> new PBV developments to maintain their own waiting lists</w:t>
      </w:r>
      <w:r w:rsidR="00806F13">
        <w:rPr>
          <w:color w:val="000000"/>
        </w:rPr>
        <w:t xml:space="preserve">.  </w:t>
      </w:r>
      <w:r w:rsidR="006556CA" w:rsidRPr="00692A0A">
        <w:rPr>
          <w:color w:val="000000"/>
        </w:rPr>
        <w:t>Cu</w:t>
      </w:r>
      <w:r w:rsidR="009207AE">
        <w:rPr>
          <w:color w:val="000000"/>
        </w:rPr>
        <w:t>rrently, there are a total of 61</w:t>
      </w:r>
      <w:r w:rsidR="006556CA" w:rsidRPr="00692A0A">
        <w:rPr>
          <w:color w:val="000000"/>
        </w:rPr>
        <w:t xml:space="preserve"> owner managed site based waiting lists.  </w:t>
      </w:r>
      <w:r w:rsidRPr="00692A0A">
        <w:rPr>
          <w:color w:val="000000"/>
        </w:rPr>
        <w:t>In FY 201</w:t>
      </w:r>
      <w:r w:rsidR="00806F13" w:rsidRPr="00692A0A">
        <w:rPr>
          <w:color w:val="000000"/>
        </w:rPr>
        <w:t>7</w:t>
      </w:r>
      <w:r w:rsidR="006556CA" w:rsidRPr="00692A0A">
        <w:rPr>
          <w:color w:val="000000"/>
        </w:rPr>
        <w:t>,</w:t>
      </w:r>
      <w:r w:rsidR="00C3612F" w:rsidRPr="00692A0A">
        <w:rPr>
          <w:color w:val="000000"/>
        </w:rPr>
        <w:t xml:space="preserve"> DHCD anticipates all</w:t>
      </w:r>
      <w:r w:rsidR="00486170" w:rsidRPr="00692A0A">
        <w:rPr>
          <w:color w:val="000000"/>
        </w:rPr>
        <w:t xml:space="preserve"> </w:t>
      </w:r>
      <w:r w:rsidR="00692A0A" w:rsidRPr="00692A0A">
        <w:rPr>
          <w:color w:val="000000"/>
        </w:rPr>
        <w:t>13</w:t>
      </w:r>
      <w:r w:rsidR="006556CA" w:rsidRPr="00692A0A">
        <w:rPr>
          <w:color w:val="000000"/>
        </w:rPr>
        <w:t xml:space="preserve"> additional PBV developments</w:t>
      </w:r>
      <w:r w:rsidRPr="00692A0A">
        <w:rPr>
          <w:color w:val="000000"/>
        </w:rPr>
        <w:t xml:space="preserve"> will have owner managed site-based waiting lists</w:t>
      </w:r>
      <w:r w:rsidR="009207AE">
        <w:rPr>
          <w:color w:val="000000"/>
        </w:rPr>
        <w:t xml:space="preserve"> with a total of 74</w:t>
      </w:r>
      <w:r w:rsidR="006556CA" w:rsidRPr="00692A0A">
        <w:rPr>
          <w:color w:val="000000"/>
        </w:rPr>
        <w:t xml:space="preserve"> across the portfolio by year end</w:t>
      </w:r>
      <w:r w:rsidR="00EC0868">
        <w:rPr>
          <w:color w:val="000000"/>
        </w:rPr>
        <w:t xml:space="preserve"> representing 1,761 PBV units.</w:t>
      </w:r>
    </w:p>
    <w:p w:rsidR="005E3062" w:rsidRPr="0027440A" w:rsidRDefault="005E3062" w:rsidP="005E3062">
      <w:pPr>
        <w:rPr>
          <w:color w:val="000000"/>
          <w:sz w:val="16"/>
        </w:rPr>
      </w:pPr>
    </w:p>
    <w:p w:rsidR="005E3062" w:rsidRDefault="005E3062" w:rsidP="005E3062">
      <w:pPr>
        <w:rPr>
          <w:color w:val="000000"/>
        </w:rPr>
      </w:pPr>
      <w:r w:rsidRPr="00593948">
        <w:rPr>
          <w:b/>
          <w:color w:val="000000"/>
        </w:rPr>
        <w:t>Proposed Changes to Activity</w:t>
      </w:r>
      <w:r w:rsidRPr="00593948">
        <w:rPr>
          <w:color w:val="000000"/>
        </w:rPr>
        <w:t>:  No changes are proposed.</w:t>
      </w:r>
    </w:p>
    <w:p w:rsidR="00BE5732" w:rsidRPr="00EC0868" w:rsidRDefault="00BE5732" w:rsidP="005E3062">
      <w:pPr>
        <w:rPr>
          <w:color w:val="000000"/>
          <w:sz w:val="18"/>
        </w:rPr>
      </w:pPr>
    </w:p>
    <w:p w:rsidR="00BE5732" w:rsidRPr="00BE5732" w:rsidRDefault="00BE5732" w:rsidP="00BE5732">
      <w:pPr>
        <w:jc w:val="both"/>
        <w:rPr>
          <w:bCs/>
        </w:rPr>
      </w:pPr>
      <w:r>
        <w:rPr>
          <w:b/>
        </w:rPr>
        <w:t xml:space="preserve">Changes to Baseline, Benchmarks &amp; Metrics: </w:t>
      </w:r>
      <w:r w:rsidRPr="00A704F7">
        <w:rPr>
          <w:bCs/>
        </w:rPr>
        <w:t xml:space="preserve">The benchmarks have been updated to reflect </w:t>
      </w:r>
      <w:r>
        <w:rPr>
          <w:bCs/>
        </w:rPr>
        <w:t xml:space="preserve">the volume of wait list activity in FY 2017.  </w:t>
      </w:r>
      <w:r>
        <w:t>DHCD will report on outcomes in the MTW Annual Report.</w:t>
      </w:r>
    </w:p>
    <w:p w:rsidR="005E3062" w:rsidRPr="0027440A" w:rsidRDefault="005E3062" w:rsidP="005E3062">
      <w:pPr>
        <w:rPr>
          <w:b/>
          <w:color w:val="000000"/>
          <w:sz w:val="14"/>
        </w:rPr>
      </w:pPr>
    </w:p>
    <w:p w:rsidR="005E3062" w:rsidRPr="003F655B" w:rsidRDefault="005E3062" w:rsidP="005E3062">
      <w:pPr>
        <w:rPr>
          <w:color w:val="000000"/>
        </w:rPr>
      </w:pPr>
      <w:r w:rsidRPr="003F655B">
        <w:rPr>
          <w:b/>
          <w:color w:val="000000"/>
        </w:rPr>
        <w:t>Approval and Implementation</w:t>
      </w:r>
      <w:r w:rsidRPr="003F655B">
        <w:rPr>
          <w:color w:val="000000"/>
        </w:rPr>
        <w:t>:   2010 – Implementation activities began in FY 2013.</w:t>
      </w:r>
    </w:p>
    <w:p w:rsidR="005E3062" w:rsidRPr="00EC0868" w:rsidRDefault="005E3062" w:rsidP="005E3062">
      <w:pPr>
        <w:rPr>
          <w:b/>
          <w:color w:val="000000"/>
          <w:sz w:val="16"/>
        </w:rPr>
      </w:pPr>
    </w:p>
    <w:p w:rsidR="00273A2E" w:rsidRPr="00EC0868" w:rsidRDefault="0015013E" w:rsidP="005E3062">
      <w:pPr>
        <w:rPr>
          <w:color w:val="000000"/>
        </w:rPr>
      </w:pPr>
      <w:r w:rsidRPr="00EC0868">
        <w:rPr>
          <w:b/>
          <w:color w:val="000000"/>
        </w:rPr>
        <w:t>Metrics</w:t>
      </w:r>
      <w:r w:rsidR="005E3062" w:rsidRPr="00EC0868">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692"/>
        <w:gridCol w:w="1875"/>
        <w:gridCol w:w="1858"/>
        <w:gridCol w:w="1876"/>
      </w:tblGrid>
      <w:tr w:rsidR="005E3062" w:rsidRPr="00EC0868" w:rsidTr="00C65963">
        <w:trPr>
          <w:trHeight w:val="278"/>
        </w:trPr>
        <w:tc>
          <w:tcPr>
            <w:tcW w:w="9576" w:type="dxa"/>
            <w:gridSpan w:val="5"/>
            <w:shd w:val="clear" w:color="auto" w:fill="C6D9F1" w:themeFill="text2" w:themeFillTint="33"/>
            <w:hideMark/>
          </w:tcPr>
          <w:p w:rsidR="005E3062" w:rsidRPr="00EC0868" w:rsidRDefault="005E3062" w:rsidP="004172B2">
            <w:pPr>
              <w:jc w:val="center"/>
              <w:rPr>
                <w:rFonts w:eastAsia="Calibri"/>
                <w:b/>
                <w:bCs/>
                <w:i/>
                <w:iCs/>
                <w:sz w:val="22"/>
                <w:szCs w:val="22"/>
              </w:rPr>
            </w:pPr>
            <w:r w:rsidRPr="00EC0868">
              <w:rPr>
                <w:rFonts w:eastAsia="Calibri"/>
                <w:b/>
                <w:bCs/>
                <w:i/>
                <w:iCs/>
                <w:sz w:val="22"/>
                <w:szCs w:val="22"/>
              </w:rPr>
              <w:t>CE #1: Agency Cost Savings</w:t>
            </w:r>
          </w:p>
        </w:tc>
      </w:tr>
      <w:tr w:rsidR="005E3062" w:rsidRPr="00EC0868" w:rsidTr="00C65963">
        <w:trPr>
          <w:trHeight w:val="615"/>
        </w:trPr>
        <w:tc>
          <w:tcPr>
            <w:tcW w:w="2088"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Unit of Measurement</w:t>
            </w:r>
          </w:p>
        </w:tc>
        <w:tc>
          <w:tcPr>
            <w:tcW w:w="1742"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Baseline</w:t>
            </w:r>
          </w:p>
        </w:tc>
        <w:tc>
          <w:tcPr>
            <w:tcW w:w="1915"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Benchmark</w:t>
            </w:r>
          </w:p>
        </w:tc>
        <w:tc>
          <w:tcPr>
            <w:tcW w:w="1915"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Outcome</w:t>
            </w:r>
          </w:p>
        </w:tc>
        <w:tc>
          <w:tcPr>
            <w:tcW w:w="1916"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Benchmark Achieved?</w:t>
            </w:r>
          </w:p>
        </w:tc>
      </w:tr>
      <w:tr w:rsidR="005E3062" w:rsidRPr="00EC0868" w:rsidTr="00EC0868">
        <w:trPr>
          <w:trHeight w:val="593"/>
        </w:trPr>
        <w:tc>
          <w:tcPr>
            <w:tcW w:w="2088" w:type="dxa"/>
            <w:shd w:val="clear" w:color="auto" w:fill="auto"/>
            <w:hideMark/>
          </w:tcPr>
          <w:p w:rsidR="005E3062" w:rsidRPr="00EC0868" w:rsidRDefault="005E3062" w:rsidP="00B82342">
            <w:pPr>
              <w:rPr>
                <w:rFonts w:eastAsia="Calibri"/>
                <w:sz w:val="22"/>
                <w:szCs w:val="22"/>
              </w:rPr>
            </w:pPr>
            <w:r w:rsidRPr="00EC0868">
              <w:rPr>
                <w:rFonts w:eastAsia="Calibri"/>
                <w:sz w:val="22"/>
                <w:szCs w:val="22"/>
              </w:rPr>
              <w:t xml:space="preserve">Total cost of task </w:t>
            </w:r>
            <w:r w:rsidR="009D09B5" w:rsidRPr="00EC0868">
              <w:rPr>
                <w:rFonts w:eastAsia="Calibri"/>
                <w:sz w:val="22"/>
                <w:szCs w:val="22"/>
              </w:rPr>
              <w:t xml:space="preserve">in dollars </w:t>
            </w:r>
            <w:r w:rsidRPr="00EC0868">
              <w:rPr>
                <w:rFonts w:eastAsia="Calibri"/>
                <w:sz w:val="22"/>
                <w:szCs w:val="22"/>
              </w:rPr>
              <w:t>(decrease).</w:t>
            </w:r>
          </w:p>
        </w:tc>
        <w:tc>
          <w:tcPr>
            <w:tcW w:w="1742" w:type="dxa"/>
            <w:shd w:val="clear" w:color="auto" w:fill="auto"/>
            <w:vAlign w:val="center"/>
          </w:tcPr>
          <w:p w:rsidR="009207AE" w:rsidRPr="00EC0868" w:rsidRDefault="00A729BD" w:rsidP="009207AE">
            <w:pPr>
              <w:jc w:val="center"/>
              <w:rPr>
                <w:rFonts w:eastAsia="Calibri"/>
                <w:sz w:val="22"/>
                <w:szCs w:val="22"/>
              </w:rPr>
            </w:pPr>
            <w:r w:rsidRPr="00EC0868">
              <w:rPr>
                <w:rFonts w:eastAsia="Calibri"/>
                <w:sz w:val="22"/>
                <w:szCs w:val="22"/>
              </w:rPr>
              <w:t>$</w:t>
            </w:r>
            <w:r w:rsidR="00EF0E45" w:rsidRPr="00EC0868">
              <w:rPr>
                <w:rFonts w:eastAsia="Calibri"/>
                <w:sz w:val="22"/>
                <w:szCs w:val="22"/>
              </w:rPr>
              <w:t>5,142</w:t>
            </w:r>
            <w:r w:rsidR="009207AE">
              <w:rPr>
                <w:rFonts w:eastAsia="Calibri"/>
                <w:sz w:val="22"/>
                <w:szCs w:val="22"/>
              </w:rPr>
              <w:t xml:space="preserve"> </w:t>
            </w:r>
          </w:p>
        </w:tc>
        <w:tc>
          <w:tcPr>
            <w:tcW w:w="1915" w:type="dxa"/>
            <w:shd w:val="clear" w:color="auto" w:fill="auto"/>
            <w:vAlign w:val="center"/>
          </w:tcPr>
          <w:p w:rsidR="00A729BD" w:rsidRPr="00EC0868" w:rsidRDefault="00A01925" w:rsidP="005B1088">
            <w:pPr>
              <w:jc w:val="center"/>
              <w:rPr>
                <w:rFonts w:eastAsia="Calibri"/>
                <w:sz w:val="22"/>
                <w:szCs w:val="22"/>
              </w:rPr>
            </w:pPr>
            <w:r w:rsidRPr="00EC0868">
              <w:rPr>
                <w:rFonts w:eastAsia="Calibri"/>
                <w:sz w:val="22"/>
                <w:szCs w:val="22"/>
              </w:rPr>
              <w:t>$</w:t>
            </w:r>
            <w:r w:rsidR="00EC0868" w:rsidRPr="00EC0868">
              <w:rPr>
                <w:rFonts w:eastAsia="Calibri"/>
                <w:sz w:val="22"/>
                <w:szCs w:val="22"/>
              </w:rPr>
              <w:t>7,050</w:t>
            </w:r>
          </w:p>
        </w:tc>
        <w:tc>
          <w:tcPr>
            <w:tcW w:w="1915" w:type="dxa"/>
            <w:shd w:val="clear" w:color="auto" w:fill="auto"/>
          </w:tcPr>
          <w:p w:rsidR="005E3062" w:rsidRPr="00EC0868" w:rsidRDefault="005E3062" w:rsidP="00B82342">
            <w:pPr>
              <w:jc w:val="center"/>
              <w:rPr>
                <w:rFonts w:eastAsia="Calibri"/>
                <w:sz w:val="22"/>
                <w:szCs w:val="22"/>
              </w:rPr>
            </w:pPr>
          </w:p>
        </w:tc>
        <w:tc>
          <w:tcPr>
            <w:tcW w:w="1916" w:type="dxa"/>
            <w:shd w:val="clear" w:color="auto" w:fill="auto"/>
          </w:tcPr>
          <w:p w:rsidR="005E3062" w:rsidRPr="00EC0868" w:rsidRDefault="005E3062" w:rsidP="00B82342">
            <w:pPr>
              <w:jc w:val="center"/>
              <w:rPr>
                <w:rFonts w:eastAsia="Calibri"/>
                <w:sz w:val="22"/>
                <w:szCs w:val="22"/>
              </w:rPr>
            </w:pPr>
          </w:p>
        </w:tc>
      </w:tr>
      <w:tr w:rsidR="005E3062" w:rsidRPr="00EC0868" w:rsidTr="00C65963">
        <w:trPr>
          <w:trHeight w:val="233"/>
        </w:trPr>
        <w:tc>
          <w:tcPr>
            <w:tcW w:w="9576" w:type="dxa"/>
            <w:gridSpan w:val="5"/>
            <w:shd w:val="clear" w:color="auto" w:fill="C6D9F1" w:themeFill="text2" w:themeFillTint="33"/>
            <w:hideMark/>
          </w:tcPr>
          <w:p w:rsidR="005E3062" w:rsidRPr="00EC0868" w:rsidRDefault="005E3062" w:rsidP="004172B2">
            <w:pPr>
              <w:jc w:val="center"/>
              <w:rPr>
                <w:rFonts w:eastAsia="Calibri"/>
                <w:b/>
                <w:bCs/>
                <w:i/>
                <w:iCs/>
                <w:sz w:val="22"/>
                <w:szCs w:val="22"/>
              </w:rPr>
            </w:pPr>
            <w:r w:rsidRPr="00EC0868">
              <w:rPr>
                <w:rFonts w:eastAsia="Calibri"/>
                <w:b/>
                <w:bCs/>
                <w:i/>
                <w:iCs/>
                <w:sz w:val="22"/>
                <w:szCs w:val="22"/>
              </w:rPr>
              <w:t>CE #2: Staff Time Savings</w:t>
            </w:r>
          </w:p>
        </w:tc>
      </w:tr>
      <w:tr w:rsidR="005E3062" w:rsidRPr="00EC0868" w:rsidTr="00C65963">
        <w:trPr>
          <w:trHeight w:val="615"/>
        </w:trPr>
        <w:tc>
          <w:tcPr>
            <w:tcW w:w="2088"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Unit of Measurement</w:t>
            </w:r>
          </w:p>
        </w:tc>
        <w:tc>
          <w:tcPr>
            <w:tcW w:w="1742"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Baseline</w:t>
            </w:r>
          </w:p>
        </w:tc>
        <w:tc>
          <w:tcPr>
            <w:tcW w:w="1915"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Benchmark</w:t>
            </w:r>
          </w:p>
        </w:tc>
        <w:tc>
          <w:tcPr>
            <w:tcW w:w="1915"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Outcome</w:t>
            </w:r>
          </w:p>
        </w:tc>
        <w:tc>
          <w:tcPr>
            <w:tcW w:w="1916" w:type="dxa"/>
            <w:shd w:val="clear" w:color="auto" w:fill="D9D9D9" w:themeFill="background1" w:themeFillShade="D9"/>
            <w:vAlign w:val="center"/>
            <w:hideMark/>
          </w:tcPr>
          <w:p w:rsidR="005E3062" w:rsidRPr="00EC0868" w:rsidRDefault="005E3062" w:rsidP="00B82342">
            <w:pPr>
              <w:jc w:val="center"/>
              <w:rPr>
                <w:rFonts w:eastAsia="Calibri"/>
                <w:b/>
                <w:bCs/>
                <w:sz w:val="22"/>
                <w:szCs w:val="22"/>
              </w:rPr>
            </w:pPr>
            <w:r w:rsidRPr="00EC0868">
              <w:rPr>
                <w:rFonts w:eastAsia="Calibri"/>
                <w:b/>
                <w:bCs/>
                <w:sz w:val="22"/>
                <w:szCs w:val="22"/>
              </w:rPr>
              <w:t>Benchmark Achieved?</w:t>
            </w:r>
          </w:p>
        </w:tc>
      </w:tr>
      <w:tr w:rsidR="005E3062" w:rsidRPr="003F655B" w:rsidTr="00EC0868">
        <w:trPr>
          <w:trHeight w:val="260"/>
        </w:trPr>
        <w:tc>
          <w:tcPr>
            <w:tcW w:w="2088" w:type="dxa"/>
            <w:shd w:val="clear" w:color="auto" w:fill="auto"/>
            <w:hideMark/>
          </w:tcPr>
          <w:p w:rsidR="005E3062" w:rsidRPr="00EC0868" w:rsidRDefault="005E3062" w:rsidP="00B82342">
            <w:pPr>
              <w:rPr>
                <w:rFonts w:eastAsia="Calibri"/>
                <w:sz w:val="22"/>
                <w:szCs w:val="22"/>
              </w:rPr>
            </w:pPr>
            <w:r w:rsidRPr="00EC0868">
              <w:rPr>
                <w:rFonts w:eastAsia="Calibri"/>
                <w:sz w:val="22"/>
                <w:szCs w:val="22"/>
              </w:rPr>
              <w:t>Total time to complete the task in staff hours (decrease).</w:t>
            </w:r>
          </w:p>
        </w:tc>
        <w:tc>
          <w:tcPr>
            <w:tcW w:w="1742" w:type="dxa"/>
            <w:shd w:val="clear" w:color="auto" w:fill="auto"/>
            <w:vAlign w:val="center"/>
          </w:tcPr>
          <w:p w:rsidR="005E3062" w:rsidRPr="00EC0868" w:rsidRDefault="00EF0E45" w:rsidP="00273A2E">
            <w:pPr>
              <w:jc w:val="center"/>
              <w:rPr>
                <w:rFonts w:eastAsia="Calibri"/>
                <w:sz w:val="22"/>
                <w:szCs w:val="22"/>
              </w:rPr>
            </w:pPr>
            <w:r w:rsidRPr="00EC0868">
              <w:rPr>
                <w:rFonts w:eastAsia="Calibri"/>
                <w:sz w:val="22"/>
                <w:szCs w:val="22"/>
              </w:rPr>
              <w:t xml:space="preserve">283 </w:t>
            </w:r>
            <w:r w:rsidR="00A729BD" w:rsidRPr="00EC0868">
              <w:rPr>
                <w:rFonts w:eastAsia="Calibri"/>
                <w:sz w:val="22"/>
                <w:szCs w:val="22"/>
              </w:rPr>
              <w:t>hours</w:t>
            </w:r>
          </w:p>
        </w:tc>
        <w:tc>
          <w:tcPr>
            <w:tcW w:w="1915" w:type="dxa"/>
            <w:shd w:val="clear" w:color="auto" w:fill="auto"/>
            <w:vAlign w:val="center"/>
          </w:tcPr>
          <w:p w:rsidR="00A729BD" w:rsidRPr="00EC0868" w:rsidRDefault="00EC0868" w:rsidP="005B1088">
            <w:pPr>
              <w:jc w:val="center"/>
              <w:rPr>
                <w:rFonts w:eastAsia="Calibri"/>
                <w:sz w:val="22"/>
                <w:szCs w:val="22"/>
              </w:rPr>
            </w:pPr>
            <w:r w:rsidRPr="00EC0868">
              <w:rPr>
                <w:rFonts w:eastAsia="Calibri"/>
                <w:sz w:val="22"/>
                <w:szCs w:val="22"/>
              </w:rPr>
              <w:t>388</w:t>
            </w:r>
            <w:r w:rsidR="00A01925" w:rsidRPr="00EC0868">
              <w:rPr>
                <w:rFonts w:eastAsia="Calibri"/>
                <w:sz w:val="22"/>
                <w:szCs w:val="22"/>
              </w:rPr>
              <w:t xml:space="preserve"> hours</w:t>
            </w:r>
          </w:p>
        </w:tc>
        <w:tc>
          <w:tcPr>
            <w:tcW w:w="1915" w:type="dxa"/>
            <w:shd w:val="clear" w:color="auto" w:fill="auto"/>
          </w:tcPr>
          <w:p w:rsidR="005E3062" w:rsidRPr="00A729BD" w:rsidRDefault="005E3062" w:rsidP="00B82342">
            <w:pPr>
              <w:jc w:val="center"/>
              <w:rPr>
                <w:rFonts w:eastAsia="Calibri"/>
                <w:sz w:val="22"/>
                <w:szCs w:val="22"/>
              </w:rPr>
            </w:pPr>
          </w:p>
        </w:tc>
        <w:tc>
          <w:tcPr>
            <w:tcW w:w="1916" w:type="dxa"/>
            <w:shd w:val="clear" w:color="auto" w:fill="auto"/>
          </w:tcPr>
          <w:p w:rsidR="005E3062" w:rsidRPr="00A729BD" w:rsidRDefault="005E3062" w:rsidP="00B82342">
            <w:pPr>
              <w:jc w:val="center"/>
              <w:rPr>
                <w:rFonts w:eastAsia="Calibri"/>
                <w:sz w:val="22"/>
                <w:szCs w:val="22"/>
              </w:rPr>
            </w:pPr>
          </w:p>
        </w:tc>
      </w:tr>
    </w:tbl>
    <w:p w:rsidR="005E3062" w:rsidRPr="003F655B" w:rsidRDefault="00BE5732" w:rsidP="005E3062">
      <w:pPr>
        <w:rPr>
          <w:color w:val="000000"/>
        </w:rPr>
      </w:pPr>
      <w:r>
        <w:rPr>
          <w:color w:val="000000"/>
        </w:rPr>
        <w:br w:type="page"/>
      </w:r>
    </w:p>
    <w:p w:rsidR="005E3062" w:rsidRPr="003F655B" w:rsidRDefault="005E3062" w:rsidP="005E3062">
      <w:pPr>
        <w:rPr>
          <w:b/>
          <w:i/>
          <w:color w:val="000000"/>
        </w:rPr>
      </w:pPr>
      <w:r w:rsidRPr="003F655B">
        <w:rPr>
          <w:b/>
          <w:color w:val="000000"/>
          <w:u w:val="single"/>
        </w:rPr>
        <w:t>Activity 2010-2:  Payment Standard Exceptions</w:t>
      </w:r>
    </w:p>
    <w:p w:rsidR="005E3062" w:rsidRPr="003F655B" w:rsidRDefault="005E3062" w:rsidP="005E3062">
      <w:pPr>
        <w:rPr>
          <w:color w:val="000000"/>
        </w:rPr>
      </w:pPr>
    </w:p>
    <w:p w:rsidR="005E3062" w:rsidRPr="004F3163" w:rsidRDefault="005E3062" w:rsidP="00D073CA">
      <w:pPr>
        <w:jc w:val="both"/>
      </w:pPr>
      <w:r w:rsidRPr="003F655B">
        <w:rPr>
          <w:b/>
          <w:color w:val="000000"/>
        </w:rPr>
        <w:t>Description/Update of MTW Activity</w:t>
      </w:r>
      <w:r w:rsidRPr="003F655B">
        <w:rPr>
          <w:color w:val="000000"/>
        </w:rPr>
        <w:t xml:space="preserve">: </w:t>
      </w:r>
      <w:r w:rsidRPr="004F3163">
        <w:t xml:space="preserve">Under this MTW initiative, DHCD </w:t>
      </w:r>
      <w:r w:rsidR="00CD47BD" w:rsidRPr="004F3163">
        <w:t>is authorized to</w:t>
      </w:r>
      <w:r w:rsidRPr="004F3163">
        <w:t xml:space="preserve"> approve any documented and reasonable exception to payment standards as a reasonable accommodation for HCV households with disabled household members without HUD approval.  </w:t>
      </w:r>
      <w:r w:rsidRPr="004F3163">
        <w:rPr>
          <w:color w:val="000000"/>
        </w:rPr>
        <w:t>This policy is utilized without regard to the percentage increase requested over the payment standard.</w:t>
      </w:r>
    </w:p>
    <w:p w:rsidR="005E3062" w:rsidRPr="00273A2E" w:rsidRDefault="005E3062" w:rsidP="00D073CA">
      <w:pPr>
        <w:jc w:val="both"/>
        <w:rPr>
          <w:highlight w:val="yellow"/>
        </w:rPr>
      </w:pPr>
    </w:p>
    <w:p w:rsidR="005E3062" w:rsidRPr="004F3163" w:rsidRDefault="005E3062" w:rsidP="00D073CA">
      <w:pPr>
        <w:jc w:val="both"/>
        <w:rPr>
          <w:color w:val="000000"/>
        </w:rPr>
      </w:pPr>
      <w:r w:rsidRPr="004F3163">
        <w:rPr>
          <w:color w:val="000000"/>
        </w:rPr>
        <w:t xml:space="preserve">DHCD will continue to utilize its MTW authority to approve payment standard exceptions without prior HUD approval.  </w:t>
      </w:r>
      <w:r w:rsidR="00FA7771" w:rsidRPr="00374AEA">
        <w:rPr>
          <w:color w:val="000000"/>
        </w:rPr>
        <w:t xml:space="preserve">DHCD anticipates </w:t>
      </w:r>
      <w:r w:rsidR="00374AEA" w:rsidRPr="00374AEA">
        <w:rPr>
          <w:color w:val="000000"/>
        </w:rPr>
        <w:t>approving 6</w:t>
      </w:r>
      <w:r w:rsidR="00FA7771" w:rsidRPr="00374AEA">
        <w:rPr>
          <w:color w:val="000000"/>
        </w:rPr>
        <w:t xml:space="preserve"> payment standard exceptions during the fiscal year.</w:t>
      </w:r>
    </w:p>
    <w:p w:rsidR="005E3062" w:rsidRPr="004F3163" w:rsidRDefault="005E3062" w:rsidP="00D073CA">
      <w:pPr>
        <w:jc w:val="both"/>
        <w:rPr>
          <w:b/>
          <w:color w:val="000000"/>
        </w:rPr>
      </w:pPr>
    </w:p>
    <w:p w:rsidR="005E3062" w:rsidRDefault="005E3062" w:rsidP="00D073CA">
      <w:pPr>
        <w:jc w:val="both"/>
      </w:pPr>
      <w:r w:rsidRPr="004F3163">
        <w:rPr>
          <w:b/>
          <w:color w:val="000000"/>
        </w:rPr>
        <w:t>Proposed Changes to Activity</w:t>
      </w:r>
      <w:r w:rsidRPr="004F3163">
        <w:rPr>
          <w:color w:val="000000"/>
        </w:rPr>
        <w:t xml:space="preserve">:  </w:t>
      </w:r>
      <w:r w:rsidR="00D37ECF">
        <w:rPr>
          <w:color w:val="000000"/>
        </w:rPr>
        <w:t>No changes are proposed for this activity</w:t>
      </w:r>
      <w:r w:rsidR="00DE5B29">
        <w:t xml:space="preserve">.  </w:t>
      </w:r>
    </w:p>
    <w:p w:rsidR="00DE5B29" w:rsidRDefault="00DE5B29" w:rsidP="00D073CA">
      <w:pPr>
        <w:jc w:val="both"/>
      </w:pPr>
    </w:p>
    <w:p w:rsidR="00DE5B29" w:rsidRPr="003F655B" w:rsidRDefault="00DE5B29" w:rsidP="00D073CA">
      <w:pPr>
        <w:jc w:val="both"/>
        <w:rPr>
          <w:b/>
          <w:color w:val="000000"/>
        </w:rPr>
      </w:pPr>
      <w:r>
        <w:t>The metric b</w:t>
      </w:r>
      <w:r w:rsidR="00D073CA">
        <w:t xml:space="preserve">elow includes only requests that were granted as a reasonable accommodation. </w:t>
      </w:r>
    </w:p>
    <w:p w:rsidR="005E3062" w:rsidRPr="003F655B" w:rsidRDefault="005E3062" w:rsidP="00D073CA">
      <w:pPr>
        <w:jc w:val="both"/>
        <w:rPr>
          <w:b/>
          <w:color w:val="000000"/>
        </w:rPr>
      </w:pPr>
    </w:p>
    <w:p w:rsidR="005E3062" w:rsidRDefault="005E3062" w:rsidP="00D073CA">
      <w:pPr>
        <w:jc w:val="both"/>
        <w:rPr>
          <w:color w:val="000000"/>
        </w:rPr>
      </w:pPr>
      <w:r w:rsidRPr="003F655B">
        <w:rPr>
          <w:b/>
          <w:color w:val="000000"/>
        </w:rPr>
        <w:t>Approval and Implementation</w:t>
      </w:r>
      <w:r w:rsidRPr="003F655B">
        <w:rPr>
          <w:color w:val="000000"/>
        </w:rPr>
        <w:t>:   2010 – Implementation activities began in FY 2010.</w:t>
      </w:r>
    </w:p>
    <w:p w:rsidR="00BE5732" w:rsidRDefault="00BE5732" w:rsidP="00D073CA">
      <w:pPr>
        <w:jc w:val="both"/>
        <w:rPr>
          <w:color w:val="000000"/>
        </w:rPr>
      </w:pPr>
    </w:p>
    <w:p w:rsidR="00BE5732" w:rsidRPr="00006120" w:rsidRDefault="00BE5732" w:rsidP="00D073CA">
      <w:pPr>
        <w:jc w:val="both"/>
        <w:rPr>
          <w:bCs/>
        </w:rPr>
      </w:pPr>
      <w:r>
        <w:rPr>
          <w:b/>
        </w:rPr>
        <w:t xml:space="preserve">Changes to Baseline, Benchmarks &amp; Metrics: </w:t>
      </w:r>
      <w:r w:rsidRPr="00A704F7">
        <w:rPr>
          <w:bCs/>
        </w:rPr>
        <w:t>The benchmarks have been updated to reflect</w:t>
      </w:r>
      <w:r>
        <w:rPr>
          <w:bCs/>
        </w:rPr>
        <w:t xml:space="preserve"> anticipated payment standard exceptions proposed in FY 2017.  </w:t>
      </w:r>
      <w:r>
        <w:t>DHCD will report on outcomes in the MTW Annual Report.</w:t>
      </w:r>
    </w:p>
    <w:p w:rsidR="005E3062" w:rsidRPr="003F655B" w:rsidRDefault="005E3062" w:rsidP="005E3062">
      <w:pPr>
        <w:rPr>
          <w:color w:val="000000"/>
        </w:rPr>
      </w:pPr>
    </w:p>
    <w:p w:rsidR="00D37ECF" w:rsidRPr="00D37ECF" w:rsidRDefault="0015013E" w:rsidP="00D37ECF">
      <w:pPr>
        <w:rPr>
          <w:color w:val="000000"/>
        </w:rPr>
      </w:pPr>
      <w:r>
        <w:rPr>
          <w:b/>
          <w:color w:val="000000"/>
        </w:rPr>
        <w:t>Metrics</w:t>
      </w:r>
      <w:r w:rsidR="005E3062" w:rsidRPr="00FB4487">
        <w:rPr>
          <w:color w:val="000000"/>
        </w:rPr>
        <w:t xml:space="preserve">:  </w:t>
      </w:r>
      <w:r w:rsidR="00D37ECF">
        <w:rPr>
          <w:color w:val="000000"/>
        </w:rPr>
        <w:t>DHCD has updated the benchmark to reflect anticipated activity in</w:t>
      </w:r>
      <w:r w:rsidR="004053E2">
        <w:rPr>
          <w:color w:val="000000"/>
        </w:rPr>
        <w:t xml:space="preserve"> FY 2017.</w:t>
      </w:r>
    </w:p>
    <w:p w:rsidR="005E3062" w:rsidRPr="003F655B" w:rsidRDefault="005E3062" w:rsidP="005E306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1915"/>
        <w:gridCol w:w="1915"/>
        <w:gridCol w:w="1916"/>
      </w:tblGrid>
      <w:tr w:rsidR="005E3062" w:rsidRPr="003F655B" w:rsidTr="00C65963">
        <w:trPr>
          <w:trHeight w:val="287"/>
        </w:trPr>
        <w:tc>
          <w:tcPr>
            <w:tcW w:w="9576" w:type="dxa"/>
            <w:gridSpan w:val="5"/>
            <w:shd w:val="clear" w:color="auto" w:fill="C6D9F1" w:themeFill="text2" w:themeFillTint="33"/>
            <w:hideMark/>
          </w:tcPr>
          <w:p w:rsidR="005E3062" w:rsidRPr="003F655B" w:rsidRDefault="005E3062" w:rsidP="004172B2">
            <w:pPr>
              <w:jc w:val="center"/>
              <w:rPr>
                <w:rFonts w:eastAsia="Calibri"/>
                <w:b/>
                <w:bCs/>
                <w:i/>
                <w:iCs/>
                <w:sz w:val="22"/>
                <w:szCs w:val="22"/>
              </w:rPr>
            </w:pPr>
            <w:r w:rsidRPr="003F655B">
              <w:rPr>
                <w:rFonts w:eastAsia="Calibri"/>
                <w:b/>
                <w:bCs/>
                <w:i/>
                <w:iCs/>
                <w:sz w:val="22"/>
                <w:szCs w:val="22"/>
              </w:rPr>
              <w:t>HC #5: Increase in Resident Mobility</w:t>
            </w:r>
          </w:p>
        </w:tc>
      </w:tr>
      <w:tr w:rsidR="005E3062" w:rsidRPr="003F655B" w:rsidTr="00C65963">
        <w:trPr>
          <w:trHeight w:val="615"/>
        </w:trPr>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Unit of Measurement</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Baseline</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Benchmark</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Outcome</w:t>
            </w:r>
          </w:p>
        </w:tc>
        <w:tc>
          <w:tcPr>
            <w:tcW w:w="1916"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Benchmark Achieved?</w:t>
            </w:r>
          </w:p>
        </w:tc>
      </w:tr>
      <w:tr w:rsidR="005E3062" w:rsidRPr="003F655B" w:rsidTr="00C31FCA">
        <w:trPr>
          <w:trHeight w:val="1331"/>
        </w:trPr>
        <w:tc>
          <w:tcPr>
            <w:tcW w:w="1915" w:type="dxa"/>
            <w:shd w:val="clear" w:color="auto" w:fill="auto"/>
            <w:hideMark/>
          </w:tcPr>
          <w:p w:rsidR="005E3062" w:rsidRPr="003F655B" w:rsidRDefault="005E3062" w:rsidP="004172B2">
            <w:pPr>
              <w:rPr>
                <w:rFonts w:eastAsia="Calibri"/>
                <w:sz w:val="22"/>
                <w:szCs w:val="22"/>
              </w:rPr>
            </w:pPr>
            <w:r w:rsidRPr="003F655B">
              <w:rPr>
                <w:rFonts w:eastAsia="Calibri"/>
                <w:sz w:val="22"/>
                <w:szCs w:val="22"/>
              </w:rPr>
              <w:t>Number of households able to move to a better unit and/or neighborhood of opportunity as a result of the activity (increase).</w:t>
            </w:r>
          </w:p>
        </w:tc>
        <w:tc>
          <w:tcPr>
            <w:tcW w:w="1915" w:type="dxa"/>
            <w:shd w:val="clear" w:color="auto" w:fill="auto"/>
            <w:vAlign w:val="center"/>
          </w:tcPr>
          <w:p w:rsidR="005E3062" w:rsidRPr="003F655B" w:rsidRDefault="005E3062" w:rsidP="00273A2E">
            <w:pPr>
              <w:jc w:val="center"/>
              <w:rPr>
                <w:rFonts w:eastAsia="Calibri"/>
                <w:sz w:val="22"/>
                <w:szCs w:val="22"/>
              </w:rPr>
            </w:pPr>
            <w:r w:rsidRPr="003F655B">
              <w:rPr>
                <w:rFonts w:eastAsia="Calibri"/>
                <w:sz w:val="22"/>
                <w:szCs w:val="22"/>
              </w:rPr>
              <w:t>0</w:t>
            </w:r>
            <w:r w:rsidR="00273A2E">
              <w:rPr>
                <w:rFonts w:eastAsia="Calibri"/>
                <w:sz w:val="22"/>
                <w:szCs w:val="22"/>
              </w:rPr>
              <w:t xml:space="preserve"> households</w:t>
            </w:r>
          </w:p>
        </w:tc>
        <w:tc>
          <w:tcPr>
            <w:tcW w:w="1915" w:type="dxa"/>
            <w:shd w:val="clear" w:color="auto" w:fill="auto"/>
            <w:vAlign w:val="center"/>
          </w:tcPr>
          <w:p w:rsidR="00C31FCA" w:rsidRPr="003F655B" w:rsidRDefault="00374AEA" w:rsidP="00C31FCA">
            <w:pPr>
              <w:jc w:val="center"/>
              <w:rPr>
                <w:rFonts w:eastAsia="Calibri"/>
                <w:sz w:val="22"/>
                <w:szCs w:val="22"/>
              </w:rPr>
            </w:pPr>
            <w:r>
              <w:rPr>
                <w:rFonts w:eastAsia="Calibri"/>
                <w:sz w:val="22"/>
                <w:szCs w:val="22"/>
              </w:rPr>
              <w:t>6 households</w:t>
            </w:r>
          </w:p>
        </w:tc>
        <w:tc>
          <w:tcPr>
            <w:tcW w:w="1915" w:type="dxa"/>
            <w:shd w:val="clear" w:color="auto" w:fill="auto"/>
          </w:tcPr>
          <w:p w:rsidR="005E3062" w:rsidRPr="003F655B" w:rsidRDefault="005E3062" w:rsidP="00B82342">
            <w:pPr>
              <w:jc w:val="center"/>
              <w:rPr>
                <w:rFonts w:eastAsia="Calibri"/>
                <w:sz w:val="22"/>
                <w:szCs w:val="22"/>
              </w:rPr>
            </w:pPr>
          </w:p>
        </w:tc>
        <w:tc>
          <w:tcPr>
            <w:tcW w:w="1916" w:type="dxa"/>
            <w:shd w:val="clear" w:color="auto" w:fill="auto"/>
          </w:tcPr>
          <w:p w:rsidR="005E3062" w:rsidRPr="003F655B" w:rsidRDefault="005E3062" w:rsidP="00B82342">
            <w:pPr>
              <w:jc w:val="center"/>
              <w:rPr>
                <w:rFonts w:eastAsia="Calibri"/>
                <w:sz w:val="22"/>
                <w:szCs w:val="22"/>
              </w:rPr>
            </w:pPr>
          </w:p>
        </w:tc>
      </w:tr>
    </w:tbl>
    <w:p w:rsidR="00A92A51" w:rsidRPr="00BE5732" w:rsidRDefault="00A92A51">
      <w:pPr>
        <w:rPr>
          <w:sz w:val="18"/>
        </w:rPr>
      </w:pPr>
    </w:p>
    <w:p w:rsidR="00A92A51" w:rsidRDefault="00A92A5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1915"/>
        <w:gridCol w:w="1915"/>
        <w:gridCol w:w="1916"/>
      </w:tblGrid>
      <w:tr w:rsidR="002D6823" w:rsidRPr="00DC5A89" w:rsidTr="00C65963">
        <w:trPr>
          <w:trHeight w:val="350"/>
        </w:trPr>
        <w:tc>
          <w:tcPr>
            <w:tcW w:w="9576" w:type="dxa"/>
            <w:gridSpan w:val="5"/>
            <w:shd w:val="clear" w:color="auto" w:fill="C6D9F1" w:themeFill="text2" w:themeFillTint="33"/>
            <w:hideMark/>
          </w:tcPr>
          <w:p w:rsidR="002D6823" w:rsidRPr="002D6823" w:rsidRDefault="002D6823" w:rsidP="00FF0F35">
            <w:pPr>
              <w:jc w:val="center"/>
              <w:rPr>
                <w:b/>
                <w:bCs/>
                <w:i/>
                <w:iCs/>
                <w:sz w:val="22"/>
                <w:szCs w:val="22"/>
              </w:rPr>
            </w:pPr>
            <w:r w:rsidRPr="002D6823">
              <w:rPr>
                <w:b/>
                <w:bCs/>
                <w:i/>
                <w:iCs/>
                <w:sz w:val="22"/>
                <w:szCs w:val="22"/>
              </w:rPr>
              <w:t>CE #1: Agency Cost Savings</w:t>
            </w:r>
          </w:p>
        </w:tc>
      </w:tr>
      <w:tr w:rsidR="002D6823" w:rsidRPr="00DC5A89" w:rsidTr="00C65963">
        <w:trPr>
          <w:trHeight w:val="615"/>
        </w:trPr>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Unit of Measurement</w:t>
            </w:r>
          </w:p>
        </w:tc>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Baseline</w:t>
            </w:r>
          </w:p>
        </w:tc>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Benchmark</w:t>
            </w:r>
          </w:p>
        </w:tc>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Outcome</w:t>
            </w:r>
          </w:p>
        </w:tc>
        <w:tc>
          <w:tcPr>
            <w:tcW w:w="1916"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Benchmark Achieved?</w:t>
            </w:r>
          </w:p>
        </w:tc>
      </w:tr>
      <w:tr w:rsidR="002D6823" w:rsidRPr="00DC5A89" w:rsidTr="00B35B24">
        <w:trPr>
          <w:trHeight w:val="1275"/>
        </w:trPr>
        <w:tc>
          <w:tcPr>
            <w:tcW w:w="1915" w:type="dxa"/>
            <w:hideMark/>
          </w:tcPr>
          <w:p w:rsidR="002D6823" w:rsidRPr="002D6823" w:rsidRDefault="002D6823" w:rsidP="002D6823">
            <w:pPr>
              <w:rPr>
                <w:sz w:val="22"/>
                <w:szCs w:val="22"/>
              </w:rPr>
            </w:pPr>
            <w:r w:rsidRPr="002D6823">
              <w:rPr>
                <w:sz w:val="22"/>
                <w:szCs w:val="22"/>
              </w:rPr>
              <w:t>Total cost of task in dollars (decrease).</w:t>
            </w:r>
          </w:p>
        </w:tc>
        <w:tc>
          <w:tcPr>
            <w:tcW w:w="1915" w:type="dxa"/>
            <w:hideMark/>
          </w:tcPr>
          <w:p w:rsidR="00015BA2" w:rsidRPr="009D6E84" w:rsidRDefault="00015BA2" w:rsidP="00015BA2">
            <w:pPr>
              <w:rPr>
                <w:sz w:val="22"/>
                <w:szCs w:val="22"/>
              </w:rPr>
            </w:pPr>
            <w:r w:rsidRPr="009D6E84">
              <w:rPr>
                <w:b/>
                <w:sz w:val="22"/>
                <w:szCs w:val="22"/>
              </w:rPr>
              <w:t>Time to process request</w:t>
            </w:r>
            <w:r w:rsidRPr="009D6E84">
              <w:rPr>
                <w:sz w:val="22"/>
                <w:szCs w:val="22"/>
              </w:rPr>
              <w:t>: 1.5 hours</w:t>
            </w:r>
          </w:p>
          <w:p w:rsidR="00015BA2" w:rsidRPr="009D6E84" w:rsidRDefault="00015BA2" w:rsidP="00015BA2">
            <w:pPr>
              <w:rPr>
                <w:sz w:val="22"/>
                <w:szCs w:val="22"/>
              </w:rPr>
            </w:pPr>
          </w:p>
          <w:p w:rsidR="00015BA2" w:rsidRPr="009D6E84" w:rsidRDefault="00015BA2" w:rsidP="00015BA2">
            <w:pPr>
              <w:rPr>
                <w:sz w:val="22"/>
                <w:szCs w:val="22"/>
              </w:rPr>
            </w:pPr>
            <w:r w:rsidRPr="009D6E84">
              <w:rPr>
                <w:b/>
                <w:sz w:val="22"/>
                <w:szCs w:val="22"/>
              </w:rPr>
              <w:t xml:space="preserve">FY 2011 Requests: </w:t>
            </w:r>
            <w:r w:rsidRPr="009D6E84">
              <w:rPr>
                <w:sz w:val="22"/>
                <w:szCs w:val="22"/>
              </w:rPr>
              <w:t>3</w:t>
            </w:r>
          </w:p>
          <w:p w:rsidR="00015BA2" w:rsidRPr="009D6E84" w:rsidRDefault="00015BA2" w:rsidP="00015BA2">
            <w:pPr>
              <w:rPr>
                <w:sz w:val="22"/>
                <w:szCs w:val="22"/>
              </w:rPr>
            </w:pPr>
          </w:p>
          <w:p w:rsidR="00015BA2" w:rsidRPr="009D6E84" w:rsidRDefault="00015BA2" w:rsidP="00015BA2">
            <w:pPr>
              <w:rPr>
                <w:b/>
                <w:sz w:val="22"/>
                <w:szCs w:val="22"/>
              </w:rPr>
            </w:pPr>
            <w:r w:rsidRPr="009D6E84">
              <w:rPr>
                <w:b/>
                <w:sz w:val="22"/>
                <w:szCs w:val="22"/>
              </w:rPr>
              <w:t xml:space="preserve">Staff hourly rate: </w:t>
            </w:r>
            <w:r w:rsidRPr="009D6E84">
              <w:rPr>
                <w:sz w:val="22"/>
                <w:szCs w:val="22"/>
              </w:rPr>
              <w:t>$18.17</w:t>
            </w:r>
          </w:p>
          <w:p w:rsidR="00015BA2" w:rsidRPr="009D6E84" w:rsidRDefault="00015BA2" w:rsidP="00015BA2">
            <w:pPr>
              <w:rPr>
                <w:b/>
                <w:sz w:val="22"/>
                <w:szCs w:val="22"/>
              </w:rPr>
            </w:pPr>
          </w:p>
          <w:p w:rsidR="002D6823" w:rsidRPr="009D6E84" w:rsidRDefault="005E5B18" w:rsidP="00015BA2">
            <w:pPr>
              <w:rPr>
                <w:sz w:val="22"/>
                <w:szCs w:val="22"/>
              </w:rPr>
            </w:pPr>
            <w:r w:rsidRPr="009D6E84">
              <w:rPr>
                <w:b/>
                <w:sz w:val="22"/>
                <w:szCs w:val="22"/>
              </w:rPr>
              <w:t>Total</w:t>
            </w:r>
            <w:r w:rsidR="00015BA2" w:rsidRPr="009D6E84">
              <w:rPr>
                <w:b/>
                <w:sz w:val="22"/>
                <w:szCs w:val="22"/>
              </w:rPr>
              <w:t xml:space="preserve"> cost</w:t>
            </w:r>
            <w:r w:rsidRPr="009D6E84">
              <w:rPr>
                <w:b/>
                <w:sz w:val="22"/>
                <w:szCs w:val="22"/>
              </w:rPr>
              <w:t xml:space="preserve"> of time</w:t>
            </w:r>
            <w:r w:rsidR="00015BA2" w:rsidRPr="009D6E84">
              <w:rPr>
                <w:b/>
                <w:sz w:val="22"/>
                <w:szCs w:val="22"/>
              </w:rPr>
              <w:t xml:space="preserve"> </w:t>
            </w:r>
            <w:r w:rsidRPr="009D6E84">
              <w:rPr>
                <w:b/>
                <w:sz w:val="22"/>
                <w:szCs w:val="22"/>
              </w:rPr>
              <w:t xml:space="preserve">prior </w:t>
            </w:r>
            <w:r w:rsidR="00015BA2" w:rsidRPr="009D6E84">
              <w:rPr>
                <w:b/>
                <w:sz w:val="22"/>
                <w:szCs w:val="22"/>
              </w:rPr>
              <w:t xml:space="preserve">to implementation: </w:t>
            </w:r>
            <w:r w:rsidR="009F3729" w:rsidRPr="009D6E84">
              <w:rPr>
                <w:sz w:val="22"/>
                <w:szCs w:val="22"/>
              </w:rPr>
              <w:t>$82.00</w:t>
            </w:r>
          </w:p>
        </w:tc>
        <w:tc>
          <w:tcPr>
            <w:tcW w:w="1915" w:type="dxa"/>
            <w:hideMark/>
          </w:tcPr>
          <w:p w:rsidR="00015BA2" w:rsidRPr="009D6E84" w:rsidRDefault="00015BA2" w:rsidP="00015BA2">
            <w:pPr>
              <w:rPr>
                <w:sz w:val="22"/>
                <w:szCs w:val="22"/>
              </w:rPr>
            </w:pPr>
            <w:r w:rsidRPr="009D6E84">
              <w:rPr>
                <w:b/>
                <w:sz w:val="22"/>
                <w:szCs w:val="22"/>
              </w:rPr>
              <w:t>Time to process request</w:t>
            </w:r>
            <w:r w:rsidRPr="009D6E84">
              <w:rPr>
                <w:sz w:val="22"/>
                <w:szCs w:val="22"/>
              </w:rPr>
              <w:t xml:space="preserve">: </w:t>
            </w:r>
            <w:r w:rsidR="00273A2E" w:rsidRPr="009D6E84">
              <w:rPr>
                <w:sz w:val="22"/>
                <w:szCs w:val="22"/>
              </w:rPr>
              <w:t xml:space="preserve"> .75 </w:t>
            </w:r>
            <w:r w:rsidRPr="009D6E84">
              <w:rPr>
                <w:sz w:val="22"/>
                <w:szCs w:val="22"/>
              </w:rPr>
              <w:t>hours</w:t>
            </w:r>
          </w:p>
          <w:p w:rsidR="00015BA2" w:rsidRPr="009D6E84" w:rsidRDefault="00015BA2" w:rsidP="00015BA2">
            <w:pPr>
              <w:rPr>
                <w:sz w:val="22"/>
                <w:szCs w:val="22"/>
              </w:rPr>
            </w:pPr>
          </w:p>
          <w:p w:rsidR="00015BA2" w:rsidRPr="009D6E84" w:rsidRDefault="009D6E84" w:rsidP="00015BA2">
            <w:pPr>
              <w:rPr>
                <w:sz w:val="22"/>
                <w:szCs w:val="22"/>
              </w:rPr>
            </w:pPr>
            <w:r w:rsidRPr="009D6E84">
              <w:rPr>
                <w:b/>
                <w:sz w:val="22"/>
                <w:szCs w:val="22"/>
              </w:rPr>
              <w:t>FY 2017</w:t>
            </w:r>
            <w:r w:rsidR="00015BA2" w:rsidRPr="009D6E84">
              <w:rPr>
                <w:b/>
                <w:sz w:val="22"/>
                <w:szCs w:val="22"/>
              </w:rPr>
              <w:t xml:space="preserve"> Requests: </w:t>
            </w:r>
            <w:r w:rsidRPr="009D6E84">
              <w:rPr>
                <w:sz w:val="22"/>
                <w:szCs w:val="22"/>
              </w:rPr>
              <w:t>6</w:t>
            </w:r>
          </w:p>
          <w:p w:rsidR="00015BA2" w:rsidRPr="009D6E84" w:rsidRDefault="00015BA2" w:rsidP="00015BA2">
            <w:pPr>
              <w:rPr>
                <w:sz w:val="22"/>
                <w:szCs w:val="22"/>
              </w:rPr>
            </w:pPr>
          </w:p>
          <w:p w:rsidR="00015BA2" w:rsidRPr="009D6E84" w:rsidRDefault="00015BA2" w:rsidP="00015BA2">
            <w:pPr>
              <w:rPr>
                <w:sz w:val="22"/>
                <w:szCs w:val="22"/>
              </w:rPr>
            </w:pPr>
            <w:r w:rsidRPr="009D6E84">
              <w:rPr>
                <w:b/>
                <w:sz w:val="22"/>
                <w:szCs w:val="22"/>
              </w:rPr>
              <w:t xml:space="preserve">Staff hourly rate:  </w:t>
            </w:r>
            <w:r w:rsidRPr="009D6E84">
              <w:rPr>
                <w:sz w:val="22"/>
                <w:szCs w:val="22"/>
              </w:rPr>
              <w:t>$</w:t>
            </w:r>
            <w:r w:rsidR="00273A2E" w:rsidRPr="009D6E84">
              <w:rPr>
                <w:sz w:val="22"/>
                <w:szCs w:val="22"/>
              </w:rPr>
              <w:t>18.17</w:t>
            </w:r>
          </w:p>
          <w:p w:rsidR="00015BA2" w:rsidRPr="009D6E84" w:rsidRDefault="00015BA2" w:rsidP="00015BA2">
            <w:pPr>
              <w:rPr>
                <w:b/>
                <w:sz w:val="22"/>
                <w:szCs w:val="22"/>
              </w:rPr>
            </w:pPr>
          </w:p>
          <w:p w:rsidR="00015BA2" w:rsidRPr="009D6E84" w:rsidRDefault="005E5B18" w:rsidP="00015BA2">
            <w:pPr>
              <w:rPr>
                <w:b/>
                <w:sz w:val="22"/>
                <w:szCs w:val="22"/>
              </w:rPr>
            </w:pPr>
            <w:r w:rsidRPr="009D6E84">
              <w:rPr>
                <w:b/>
                <w:sz w:val="22"/>
                <w:szCs w:val="22"/>
              </w:rPr>
              <w:t xml:space="preserve">Total </w:t>
            </w:r>
            <w:r w:rsidR="00015BA2" w:rsidRPr="009D6E84">
              <w:rPr>
                <w:b/>
                <w:sz w:val="22"/>
                <w:szCs w:val="22"/>
              </w:rPr>
              <w:t>cost</w:t>
            </w:r>
            <w:r w:rsidRPr="009D6E84">
              <w:rPr>
                <w:b/>
                <w:sz w:val="22"/>
                <w:szCs w:val="22"/>
              </w:rPr>
              <w:t xml:space="preserve"> of time</w:t>
            </w:r>
            <w:r w:rsidR="00015BA2" w:rsidRPr="009D6E84">
              <w:rPr>
                <w:b/>
                <w:sz w:val="22"/>
                <w:szCs w:val="22"/>
              </w:rPr>
              <w:t xml:space="preserve"> after implementation: </w:t>
            </w:r>
          </w:p>
          <w:p w:rsidR="002D6823" w:rsidRPr="009D6E84" w:rsidRDefault="009F3729" w:rsidP="00C31FCA">
            <w:pPr>
              <w:tabs>
                <w:tab w:val="center" w:pos="849"/>
              </w:tabs>
              <w:rPr>
                <w:sz w:val="22"/>
                <w:szCs w:val="22"/>
              </w:rPr>
            </w:pPr>
            <w:r w:rsidRPr="009D6E84">
              <w:rPr>
                <w:sz w:val="22"/>
                <w:szCs w:val="22"/>
              </w:rPr>
              <w:t>$</w:t>
            </w:r>
            <w:r w:rsidR="009D6E84" w:rsidRPr="009D6E84">
              <w:rPr>
                <w:sz w:val="22"/>
                <w:szCs w:val="22"/>
              </w:rPr>
              <w:t>82.00</w:t>
            </w:r>
            <w:r w:rsidR="00C31FCA" w:rsidRPr="009D6E84">
              <w:rPr>
                <w:sz w:val="22"/>
                <w:szCs w:val="22"/>
              </w:rPr>
              <w:tab/>
            </w:r>
          </w:p>
        </w:tc>
        <w:tc>
          <w:tcPr>
            <w:tcW w:w="1915" w:type="dxa"/>
            <w:hideMark/>
          </w:tcPr>
          <w:p w:rsidR="002D6823" w:rsidRPr="002D6823" w:rsidRDefault="002D6823" w:rsidP="002D6823">
            <w:pPr>
              <w:rPr>
                <w:sz w:val="22"/>
                <w:szCs w:val="22"/>
              </w:rPr>
            </w:pPr>
          </w:p>
        </w:tc>
        <w:tc>
          <w:tcPr>
            <w:tcW w:w="1916" w:type="dxa"/>
            <w:hideMark/>
          </w:tcPr>
          <w:p w:rsidR="002D6823" w:rsidRPr="002D6823" w:rsidRDefault="002D6823" w:rsidP="002D6823">
            <w:pPr>
              <w:rPr>
                <w:sz w:val="22"/>
                <w:szCs w:val="22"/>
              </w:rPr>
            </w:pPr>
          </w:p>
        </w:tc>
      </w:tr>
      <w:tr w:rsidR="002D6823" w:rsidRPr="00DC5A89" w:rsidTr="00C65963">
        <w:trPr>
          <w:trHeight w:val="332"/>
        </w:trPr>
        <w:tc>
          <w:tcPr>
            <w:tcW w:w="9576" w:type="dxa"/>
            <w:gridSpan w:val="5"/>
            <w:shd w:val="clear" w:color="auto" w:fill="C6D9F1" w:themeFill="text2" w:themeFillTint="33"/>
            <w:hideMark/>
          </w:tcPr>
          <w:p w:rsidR="002D6823" w:rsidRPr="009D6E84" w:rsidRDefault="002D6823" w:rsidP="00FF0F35">
            <w:pPr>
              <w:jc w:val="center"/>
              <w:rPr>
                <w:b/>
                <w:bCs/>
                <w:i/>
                <w:iCs/>
                <w:sz w:val="22"/>
                <w:szCs w:val="22"/>
              </w:rPr>
            </w:pPr>
            <w:r w:rsidRPr="009D6E84">
              <w:rPr>
                <w:b/>
                <w:bCs/>
                <w:i/>
                <w:iCs/>
                <w:sz w:val="22"/>
                <w:szCs w:val="22"/>
              </w:rPr>
              <w:t>CE #2: Staff Time Savings</w:t>
            </w:r>
          </w:p>
        </w:tc>
      </w:tr>
      <w:tr w:rsidR="002D6823" w:rsidRPr="00DC5A89" w:rsidTr="00C65963">
        <w:trPr>
          <w:trHeight w:val="615"/>
        </w:trPr>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Unit of Measurement</w:t>
            </w:r>
          </w:p>
        </w:tc>
        <w:tc>
          <w:tcPr>
            <w:tcW w:w="1915" w:type="dxa"/>
            <w:shd w:val="clear" w:color="auto" w:fill="D9D9D9" w:themeFill="background1" w:themeFillShade="D9"/>
            <w:hideMark/>
          </w:tcPr>
          <w:p w:rsidR="002D6823" w:rsidRPr="009D6E84" w:rsidRDefault="002D6823" w:rsidP="002D6823">
            <w:pPr>
              <w:rPr>
                <w:b/>
                <w:bCs/>
                <w:sz w:val="22"/>
                <w:szCs w:val="22"/>
              </w:rPr>
            </w:pPr>
            <w:r w:rsidRPr="009D6E84">
              <w:rPr>
                <w:b/>
                <w:bCs/>
                <w:sz w:val="22"/>
                <w:szCs w:val="22"/>
              </w:rPr>
              <w:t>Baseline</w:t>
            </w:r>
          </w:p>
        </w:tc>
        <w:tc>
          <w:tcPr>
            <w:tcW w:w="1915" w:type="dxa"/>
            <w:shd w:val="clear" w:color="auto" w:fill="D9D9D9" w:themeFill="background1" w:themeFillShade="D9"/>
            <w:hideMark/>
          </w:tcPr>
          <w:p w:rsidR="002D6823" w:rsidRPr="009D6E84" w:rsidRDefault="002D6823" w:rsidP="002D6823">
            <w:pPr>
              <w:rPr>
                <w:b/>
                <w:bCs/>
                <w:sz w:val="22"/>
                <w:szCs w:val="22"/>
              </w:rPr>
            </w:pPr>
            <w:r w:rsidRPr="009D6E84">
              <w:rPr>
                <w:b/>
                <w:bCs/>
                <w:sz w:val="22"/>
                <w:szCs w:val="22"/>
              </w:rPr>
              <w:t>Benchmark</w:t>
            </w:r>
          </w:p>
        </w:tc>
        <w:tc>
          <w:tcPr>
            <w:tcW w:w="1915"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Outcome</w:t>
            </w:r>
          </w:p>
        </w:tc>
        <w:tc>
          <w:tcPr>
            <w:tcW w:w="1916" w:type="dxa"/>
            <w:shd w:val="clear" w:color="auto" w:fill="D9D9D9" w:themeFill="background1" w:themeFillShade="D9"/>
            <w:hideMark/>
          </w:tcPr>
          <w:p w:rsidR="002D6823" w:rsidRPr="002D6823" w:rsidRDefault="002D6823" w:rsidP="002D6823">
            <w:pPr>
              <w:rPr>
                <w:b/>
                <w:bCs/>
                <w:sz w:val="22"/>
                <w:szCs w:val="22"/>
              </w:rPr>
            </w:pPr>
            <w:r w:rsidRPr="002D6823">
              <w:rPr>
                <w:b/>
                <w:bCs/>
                <w:sz w:val="22"/>
                <w:szCs w:val="22"/>
              </w:rPr>
              <w:t>Benchmark Achieved?</w:t>
            </w:r>
          </w:p>
        </w:tc>
      </w:tr>
      <w:tr w:rsidR="002D6823" w:rsidRPr="00DC5A89" w:rsidTr="00B35B24">
        <w:trPr>
          <w:trHeight w:val="1515"/>
        </w:trPr>
        <w:tc>
          <w:tcPr>
            <w:tcW w:w="1915" w:type="dxa"/>
            <w:hideMark/>
          </w:tcPr>
          <w:p w:rsidR="002D6823" w:rsidRPr="002D6823" w:rsidRDefault="002D6823" w:rsidP="002D6823">
            <w:pPr>
              <w:rPr>
                <w:sz w:val="22"/>
                <w:szCs w:val="22"/>
              </w:rPr>
            </w:pPr>
            <w:r w:rsidRPr="002D6823">
              <w:rPr>
                <w:sz w:val="22"/>
                <w:szCs w:val="22"/>
              </w:rPr>
              <w:t>Total time to complete the task in staff hours (decrease).</w:t>
            </w:r>
          </w:p>
        </w:tc>
        <w:tc>
          <w:tcPr>
            <w:tcW w:w="1915" w:type="dxa"/>
            <w:hideMark/>
          </w:tcPr>
          <w:p w:rsidR="002D6823" w:rsidRPr="009D6E84" w:rsidRDefault="00015BA2" w:rsidP="002D6823">
            <w:pPr>
              <w:rPr>
                <w:sz w:val="22"/>
                <w:szCs w:val="22"/>
              </w:rPr>
            </w:pPr>
            <w:r w:rsidRPr="009D6E84">
              <w:rPr>
                <w:b/>
                <w:sz w:val="22"/>
                <w:szCs w:val="22"/>
              </w:rPr>
              <w:t>Time to process request</w:t>
            </w:r>
            <w:r w:rsidRPr="009D6E84">
              <w:rPr>
                <w:sz w:val="22"/>
                <w:szCs w:val="22"/>
              </w:rPr>
              <w:t>: 1.5 hours</w:t>
            </w:r>
          </w:p>
          <w:p w:rsidR="00015BA2" w:rsidRPr="009D6E84" w:rsidRDefault="00015BA2" w:rsidP="002D6823">
            <w:pPr>
              <w:rPr>
                <w:sz w:val="22"/>
                <w:szCs w:val="22"/>
              </w:rPr>
            </w:pPr>
          </w:p>
          <w:p w:rsidR="00015BA2" w:rsidRPr="009D6E84" w:rsidRDefault="00015BA2" w:rsidP="002D6823">
            <w:pPr>
              <w:rPr>
                <w:sz w:val="22"/>
                <w:szCs w:val="22"/>
              </w:rPr>
            </w:pPr>
            <w:r w:rsidRPr="009D6E84">
              <w:rPr>
                <w:b/>
                <w:sz w:val="22"/>
                <w:szCs w:val="22"/>
              </w:rPr>
              <w:t xml:space="preserve">FY 2011 Requests: </w:t>
            </w:r>
            <w:r w:rsidRPr="009D6E84">
              <w:rPr>
                <w:sz w:val="22"/>
                <w:szCs w:val="22"/>
              </w:rPr>
              <w:t>3</w:t>
            </w:r>
          </w:p>
          <w:p w:rsidR="00015BA2" w:rsidRPr="009D6E84" w:rsidRDefault="00015BA2" w:rsidP="002D6823">
            <w:pPr>
              <w:rPr>
                <w:sz w:val="22"/>
                <w:szCs w:val="22"/>
              </w:rPr>
            </w:pPr>
          </w:p>
          <w:p w:rsidR="00015BA2" w:rsidRPr="009D6E84" w:rsidRDefault="00015BA2" w:rsidP="002D6823">
            <w:pPr>
              <w:rPr>
                <w:b/>
                <w:sz w:val="22"/>
                <w:szCs w:val="22"/>
              </w:rPr>
            </w:pPr>
            <w:r w:rsidRPr="009D6E84">
              <w:rPr>
                <w:b/>
                <w:sz w:val="22"/>
                <w:szCs w:val="22"/>
              </w:rPr>
              <w:t xml:space="preserve">Total time prior to implementation: </w:t>
            </w:r>
          </w:p>
          <w:p w:rsidR="00015BA2" w:rsidRPr="009D6E84" w:rsidRDefault="00015BA2" w:rsidP="002D6823">
            <w:pPr>
              <w:rPr>
                <w:sz w:val="22"/>
                <w:szCs w:val="22"/>
              </w:rPr>
            </w:pPr>
            <w:r w:rsidRPr="009D6E84">
              <w:rPr>
                <w:sz w:val="22"/>
                <w:szCs w:val="22"/>
              </w:rPr>
              <w:t>4.5 hours</w:t>
            </w:r>
          </w:p>
        </w:tc>
        <w:tc>
          <w:tcPr>
            <w:tcW w:w="1915" w:type="dxa"/>
            <w:hideMark/>
          </w:tcPr>
          <w:p w:rsidR="00015BA2" w:rsidRPr="009D6E84" w:rsidRDefault="00015BA2" w:rsidP="00015BA2">
            <w:pPr>
              <w:rPr>
                <w:sz w:val="22"/>
                <w:szCs w:val="22"/>
              </w:rPr>
            </w:pPr>
            <w:r w:rsidRPr="009D6E84">
              <w:rPr>
                <w:b/>
                <w:sz w:val="22"/>
                <w:szCs w:val="22"/>
              </w:rPr>
              <w:t>Time to process request</w:t>
            </w:r>
            <w:r w:rsidRPr="009D6E84">
              <w:rPr>
                <w:sz w:val="22"/>
                <w:szCs w:val="22"/>
              </w:rPr>
              <w:t xml:space="preserve">: </w:t>
            </w:r>
            <w:r w:rsidR="00273A2E" w:rsidRPr="009D6E84">
              <w:rPr>
                <w:sz w:val="22"/>
                <w:szCs w:val="22"/>
              </w:rPr>
              <w:t xml:space="preserve">.75 </w:t>
            </w:r>
            <w:r w:rsidRPr="009D6E84">
              <w:rPr>
                <w:sz w:val="22"/>
                <w:szCs w:val="22"/>
              </w:rPr>
              <w:t>hours</w:t>
            </w:r>
          </w:p>
          <w:p w:rsidR="00015BA2" w:rsidRPr="009D6E84" w:rsidRDefault="00015BA2" w:rsidP="00015BA2">
            <w:pPr>
              <w:rPr>
                <w:sz w:val="22"/>
                <w:szCs w:val="22"/>
              </w:rPr>
            </w:pPr>
          </w:p>
          <w:p w:rsidR="00015BA2" w:rsidRPr="009D6E84" w:rsidRDefault="009D6E84" w:rsidP="00015BA2">
            <w:pPr>
              <w:rPr>
                <w:sz w:val="22"/>
                <w:szCs w:val="22"/>
              </w:rPr>
            </w:pPr>
            <w:r w:rsidRPr="009D6E84">
              <w:rPr>
                <w:b/>
                <w:sz w:val="22"/>
                <w:szCs w:val="22"/>
              </w:rPr>
              <w:t>FY 2017</w:t>
            </w:r>
            <w:r w:rsidR="00015BA2" w:rsidRPr="009D6E84">
              <w:rPr>
                <w:b/>
                <w:sz w:val="22"/>
                <w:szCs w:val="22"/>
              </w:rPr>
              <w:t xml:space="preserve"> Requests: </w:t>
            </w:r>
            <w:r w:rsidRPr="009D6E84">
              <w:rPr>
                <w:sz w:val="22"/>
                <w:szCs w:val="22"/>
              </w:rPr>
              <w:t>6</w:t>
            </w:r>
          </w:p>
          <w:p w:rsidR="00015BA2" w:rsidRPr="009D6E84" w:rsidRDefault="00015BA2" w:rsidP="00015BA2">
            <w:pPr>
              <w:rPr>
                <w:sz w:val="22"/>
                <w:szCs w:val="22"/>
              </w:rPr>
            </w:pPr>
          </w:p>
          <w:p w:rsidR="00015BA2" w:rsidRPr="009D6E84" w:rsidRDefault="00015BA2" w:rsidP="00015BA2">
            <w:pPr>
              <w:rPr>
                <w:b/>
                <w:sz w:val="22"/>
                <w:szCs w:val="22"/>
              </w:rPr>
            </w:pPr>
            <w:r w:rsidRPr="009D6E84">
              <w:rPr>
                <w:b/>
                <w:sz w:val="22"/>
                <w:szCs w:val="22"/>
              </w:rPr>
              <w:t xml:space="preserve">Total time after implementation: </w:t>
            </w:r>
          </w:p>
          <w:p w:rsidR="002D6823" w:rsidRPr="009D6E84" w:rsidRDefault="009D6E84" w:rsidP="00015BA2">
            <w:pPr>
              <w:rPr>
                <w:sz w:val="22"/>
                <w:szCs w:val="22"/>
              </w:rPr>
            </w:pPr>
            <w:r w:rsidRPr="009D6E84">
              <w:rPr>
                <w:sz w:val="22"/>
                <w:szCs w:val="22"/>
              </w:rPr>
              <w:t>4.5</w:t>
            </w:r>
            <w:r w:rsidR="00C31FCA" w:rsidRPr="009D6E84">
              <w:rPr>
                <w:sz w:val="22"/>
                <w:szCs w:val="22"/>
              </w:rPr>
              <w:t xml:space="preserve"> </w:t>
            </w:r>
            <w:r w:rsidR="00015BA2" w:rsidRPr="009D6E84">
              <w:rPr>
                <w:sz w:val="22"/>
                <w:szCs w:val="22"/>
              </w:rPr>
              <w:t>hours</w:t>
            </w:r>
          </w:p>
        </w:tc>
        <w:tc>
          <w:tcPr>
            <w:tcW w:w="1915" w:type="dxa"/>
            <w:hideMark/>
          </w:tcPr>
          <w:p w:rsidR="002D6823" w:rsidRPr="002D6823" w:rsidRDefault="002D6823" w:rsidP="002D6823">
            <w:pPr>
              <w:rPr>
                <w:sz w:val="22"/>
                <w:szCs w:val="22"/>
              </w:rPr>
            </w:pPr>
          </w:p>
        </w:tc>
        <w:tc>
          <w:tcPr>
            <w:tcW w:w="1916" w:type="dxa"/>
            <w:hideMark/>
          </w:tcPr>
          <w:p w:rsidR="002D6823" w:rsidRPr="002D6823" w:rsidRDefault="002D6823" w:rsidP="002D6823">
            <w:pPr>
              <w:rPr>
                <w:sz w:val="22"/>
                <w:szCs w:val="22"/>
              </w:rPr>
            </w:pPr>
          </w:p>
        </w:tc>
      </w:tr>
    </w:tbl>
    <w:p w:rsidR="005E3062" w:rsidRPr="00BE5732" w:rsidRDefault="005E3062" w:rsidP="005E3062">
      <w:pPr>
        <w:rPr>
          <w:color w:val="000000"/>
          <w:sz w:val="20"/>
        </w:rPr>
      </w:pPr>
    </w:p>
    <w:p w:rsidR="005E3062" w:rsidRPr="003F655B" w:rsidRDefault="005E3062" w:rsidP="005E3062">
      <w:pPr>
        <w:rPr>
          <w:color w:val="000000"/>
        </w:rPr>
      </w:pPr>
      <w:r w:rsidRPr="003F655B">
        <w:rPr>
          <w:color w:val="000000"/>
        </w:rPr>
        <w:br w:type="page"/>
      </w:r>
      <w:r w:rsidRPr="003F655B">
        <w:rPr>
          <w:b/>
          <w:color w:val="000000"/>
          <w:u w:val="single"/>
        </w:rPr>
        <w:t>Activity 2010-3:  Owner Incentive Fund</w:t>
      </w:r>
    </w:p>
    <w:p w:rsidR="005E3062" w:rsidRPr="003F655B" w:rsidRDefault="005E3062" w:rsidP="005E3062">
      <w:pPr>
        <w:rPr>
          <w:color w:val="000000"/>
        </w:rPr>
      </w:pPr>
    </w:p>
    <w:p w:rsidR="005E3062" w:rsidRPr="00FA7771" w:rsidRDefault="005E3062" w:rsidP="009C2E6D">
      <w:pPr>
        <w:jc w:val="both"/>
      </w:pPr>
      <w:r w:rsidRPr="003F655B">
        <w:rPr>
          <w:b/>
          <w:color w:val="000000"/>
        </w:rPr>
        <w:t>Description/Update of MTW Activity</w:t>
      </w:r>
      <w:r w:rsidRPr="00FA7771">
        <w:rPr>
          <w:color w:val="000000"/>
        </w:rPr>
        <w:t xml:space="preserve">:   </w:t>
      </w:r>
      <w:r w:rsidRPr="00FA7771">
        <w:t>Beginning in January 2010, an Owner Incentive Fund pilot initiative was established to promote upgrades to the housing stock in areas of the state with a large percentage of older, deteriorated housing stock.  DHCD’s goals for this activity are:  leasing higher quality units including incentivizing owners to upgrade existing housing at least one grade level, i.e. from a “C” to a “B” grade, or from a “B” to an “A” grade; increasing the number of units that are accessible to persons with disabilities; expanding the number of units leased in currently underserved neighborhoods; and encouraging new owner participation.</w:t>
      </w:r>
    </w:p>
    <w:p w:rsidR="005E3062" w:rsidRPr="00FA7771" w:rsidRDefault="005E3062" w:rsidP="009C2E6D">
      <w:pPr>
        <w:jc w:val="both"/>
        <w:rPr>
          <w:color w:val="FF0000"/>
        </w:rPr>
      </w:pPr>
    </w:p>
    <w:p w:rsidR="005E3062" w:rsidRPr="00FA7771" w:rsidRDefault="005E3062" w:rsidP="009C2E6D">
      <w:pPr>
        <w:jc w:val="both"/>
      </w:pPr>
      <w:r w:rsidRPr="00FA7771">
        <w:t xml:space="preserve">The program has been piloted by the Berkshire Housing Development Corporation (BHDC) since inception. Participating owners are eligible for a flat fee financial incentive (initially established at $900 or $1,200) payable in 4 quarterly installments over the first year of the HAP contract. At the end of the first year under HAP contract, owners are eligible for an additional one-time payment (initially established at $500) if one or more of the following applied: the owner was not previously part of the HCV program; the unit was not previously under contract to an HCV participant; the unit was new construction or substantial rehabilitation; or, the unit was a foreclosed property prior to leasing and at least a “B” grade level. In the first year of the pilot, BHDC waived the requirement that the tenant remains in occupancy, or that the owner has agreed to lease to another HCVP referral from the RAA to receive the $500 bonus payment in order to attract a higher level of interest. In the second year of the pilot, starting January 1, 2011, this requirement was implemented due to the strong response from owners in the first year.  </w:t>
      </w:r>
    </w:p>
    <w:p w:rsidR="005E3062" w:rsidRPr="00FA7771" w:rsidRDefault="005E3062" w:rsidP="009C2E6D">
      <w:pPr>
        <w:jc w:val="both"/>
      </w:pPr>
    </w:p>
    <w:p w:rsidR="005E3062" w:rsidRPr="00FA7771" w:rsidRDefault="005E3062" w:rsidP="009C2E6D">
      <w:pPr>
        <w:jc w:val="both"/>
      </w:pPr>
      <w:r w:rsidRPr="00FA7771">
        <w:t xml:space="preserve">In order to be eligible for incentive payments, the unit must be compliant with HQS at all times during the HAP term.  An agreement is signed certifying that the incentive payments are not part of the monthly rent to owner.  BHDC has established caps on the overall number of units and the number of units per owner.  </w:t>
      </w:r>
    </w:p>
    <w:p w:rsidR="005E3062" w:rsidRPr="00FA7771" w:rsidRDefault="005E3062" w:rsidP="009C2E6D">
      <w:pPr>
        <w:jc w:val="both"/>
      </w:pPr>
    </w:p>
    <w:p w:rsidR="005E3062" w:rsidRPr="00FA7771" w:rsidRDefault="005E3062" w:rsidP="009C2E6D">
      <w:pPr>
        <w:jc w:val="both"/>
      </w:pPr>
      <w:r w:rsidRPr="00FA7771">
        <w:t xml:space="preserve">In the first year of the program, BHDC established an initial cap of five units per owner per year, and a total program cap of seven percent of BHDC’s voucher allocation (approximately thirty-eight units). The annual cap for year two of the demonstration was increased to ten units per owner and a total of forty units. The incentive was and remains capped at $1,700 per unit. </w:t>
      </w:r>
    </w:p>
    <w:p w:rsidR="005E3062" w:rsidRPr="00FA7771" w:rsidRDefault="005E3062" w:rsidP="009C2E6D">
      <w:pPr>
        <w:jc w:val="both"/>
      </w:pPr>
    </w:p>
    <w:p w:rsidR="005E3062" w:rsidRPr="00FA7771" w:rsidRDefault="005E3062" w:rsidP="009C2E6D">
      <w:pPr>
        <w:jc w:val="both"/>
      </w:pPr>
      <w:r w:rsidRPr="00FA7771">
        <w:t>Detailed policies and procedures for this initiative were developed for the initial year of the program and revised for the second year of the program. No further adjustments have been made to the program.</w:t>
      </w:r>
    </w:p>
    <w:p w:rsidR="00DA7D52" w:rsidRDefault="00DA7D52" w:rsidP="009C2E6D">
      <w:pPr>
        <w:jc w:val="both"/>
        <w:rPr>
          <w:color w:val="000000"/>
        </w:rPr>
      </w:pPr>
    </w:p>
    <w:p w:rsidR="00DA7D52" w:rsidRPr="00FA7771" w:rsidRDefault="00DA7D52" w:rsidP="009C2E6D">
      <w:pPr>
        <w:jc w:val="both"/>
      </w:pPr>
      <w:r w:rsidRPr="00FA7771">
        <w:t>DHCD has the flexibility to adjust the program criteria and payment amounts as needed to respond to local market conditions, particularly when planning an expansion of this program to additional RAAs. DHCD may assess the feasibility of expanding the program to other regions using the same program parameter</w:t>
      </w:r>
      <w:r>
        <w:t>s, with a focus on increasing the number of new landlords participating in the program, and increasing the number of units available in high opportunity communities.</w:t>
      </w:r>
    </w:p>
    <w:p w:rsidR="005E3062" w:rsidRPr="00273A2E" w:rsidRDefault="005E3062" w:rsidP="009C2E6D">
      <w:pPr>
        <w:jc w:val="both"/>
        <w:rPr>
          <w:color w:val="000000"/>
          <w:highlight w:val="yellow"/>
        </w:rPr>
      </w:pPr>
    </w:p>
    <w:p w:rsidR="005E3062" w:rsidRDefault="005E3062" w:rsidP="009C2E6D">
      <w:pPr>
        <w:jc w:val="both"/>
        <w:rPr>
          <w:color w:val="000000"/>
        </w:rPr>
      </w:pPr>
      <w:r w:rsidRPr="006325BC">
        <w:rPr>
          <w:b/>
          <w:color w:val="000000"/>
        </w:rPr>
        <w:t>Proposed Changes to Activity</w:t>
      </w:r>
      <w:r w:rsidRPr="006325BC">
        <w:rPr>
          <w:color w:val="000000"/>
        </w:rPr>
        <w:t>:  No changes are proposed.</w:t>
      </w:r>
    </w:p>
    <w:p w:rsidR="00C238D1" w:rsidRDefault="00C238D1" w:rsidP="009C2E6D">
      <w:pPr>
        <w:jc w:val="both"/>
        <w:rPr>
          <w:color w:val="000000"/>
        </w:rPr>
      </w:pPr>
    </w:p>
    <w:p w:rsidR="00C238D1" w:rsidRPr="00AC4AEF" w:rsidRDefault="00C238D1" w:rsidP="00C238D1">
      <w:pPr>
        <w:jc w:val="both"/>
        <w:rPr>
          <w:bCs/>
        </w:rPr>
      </w:pPr>
      <w:r>
        <w:rPr>
          <w:b/>
        </w:rPr>
        <w:t xml:space="preserve">Changes to Baseline, Benchmarks &amp; Metrics: </w:t>
      </w:r>
      <w:r w:rsidRPr="00A704F7">
        <w:rPr>
          <w:bCs/>
        </w:rPr>
        <w:t>The benchmarks have been updated to reflect</w:t>
      </w:r>
      <w:r>
        <w:rPr>
          <w:bCs/>
        </w:rPr>
        <w:t xml:space="preserve"> the anticipated number of households who will move to better units/neighborhoods in FY 2017.   </w:t>
      </w:r>
      <w:r>
        <w:t>DHCD will report on outcomes in the MTW Annual Report.</w:t>
      </w:r>
    </w:p>
    <w:p w:rsidR="005E3062" w:rsidRPr="003F655B" w:rsidRDefault="005E3062" w:rsidP="009C2E6D">
      <w:pPr>
        <w:jc w:val="both"/>
        <w:rPr>
          <w:color w:val="000000"/>
        </w:rPr>
      </w:pPr>
    </w:p>
    <w:p w:rsidR="005E3062" w:rsidRPr="003F655B" w:rsidRDefault="005E3062" w:rsidP="009C2E6D">
      <w:pPr>
        <w:jc w:val="both"/>
        <w:rPr>
          <w:color w:val="000000"/>
        </w:rPr>
      </w:pPr>
      <w:r w:rsidRPr="003F655B">
        <w:rPr>
          <w:b/>
          <w:color w:val="000000"/>
        </w:rPr>
        <w:t>Approval and Implementation</w:t>
      </w:r>
      <w:r w:rsidRPr="003F655B">
        <w:rPr>
          <w:color w:val="000000"/>
        </w:rPr>
        <w:t>:   2010 – Implementation activities began in FY 2010.</w:t>
      </w:r>
    </w:p>
    <w:p w:rsidR="005E3062" w:rsidRPr="003F655B" w:rsidRDefault="005E3062" w:rsidP="009C2E6D">
      <w:pPr>
        <w:jc w:val="both"/>
        <w:rPr>
          <w:color w:val="000000"/>
          <w:highlight w:val="yellow"/>
        </w:rPr>
      </w:pPr>
    </w:p>
    <w:p w:rsidR="00BA1074" w:rsidRDefault="0015013E" w:rsidP="00BA1074">
      <w:pPr>
        <w:rPr>
          <w:color w:val="000000"/>
        </w:rPr>
      </w:pPr>
      <w:r>
        <w:rPr>
          <w:b/>
          <w:color w:val="000000"/>
        </w:rPr>
        <w:t>Metrics</w:t>
      </w:r>
      <w:r w:rsidR="005E3062" w:rsidRPr="00FB4487">
        <w:rPr>
          <w:color w:val="000000"/>
        </w:rPr>
        <w:t xml:space="preserve">: </w:t>
      </w:r>
    </w:p>
    <w:p w:rsidR="00BA1074" w:rsidRPr="003F655B" w:rsidRDefault="00BA1074" w:rsidP="00BA107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64"/>
        <w:gridCol w:w="1872"/>
        <w:gridCol w:w="1855"/>
        <w:gridCol w:w="1873"/>
      </w:tblGrid>
      <w:tr w:rsidR="005E3062" w:rsidRPr="003F655B" w:rsidTr="00A315B4">
        <w:trPr>
          <w:trHeight w:val="242"/>
        </w:trPr>
        <w:tc>
          <w:tcPr>
            <w:tcW w:w="9576" w:type="dxa"/>
            <w:gridSpan w:val="5"/>
            <w:shd w:val="clear" w:color="auto" w:fill="C6D9F1" w:themeFill="text2" w:themeFillTint="33"/>
            <w:hideMark/>
          </w:tcPr>
          <w:p w:rsidR="005E3062" w:rsidRPr="003F655B" w:rsidRDefault="005E3062" w:rsidP="004172B2">
            <w:pPr>
              <w:jc w:val="center"/>
              <w:rPr>
                <w:rFonts w:eastAsia="Calibri"/>
                <w:b/>
                <w:bCs/>
                <w:i/>
                <w:iCs/>
                <w:sz w:val="22"/>
                <w:szCs w:val="22"/>
              </w:rPr>
            </w:pPr>
            <w:r w:rsidRPr="003F655B">
              <w:rPr>
                <w:rFonts w:eastAsia="Calibri"/>
                <w:b/>
                <w:bCs/>
                <w:i/>
                <w:iCs/>
                <w:sz w:val="22"/>
                <w:szCs w:val="22"/>
              </w:rPr>
              <w:t>HC #5: Increase in Resident Mobility</w:t>
            </w:r>
          </w:p>
        </w:tc>
      </w:tr>
      <w:tr w:rsidR="005E3062" w:rsidRPr="003F655B" w:rsidTr="00A315B4">
        <w:trPr>
          <w:trHeight w:val="615"/>
        </w:trPr>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Unit of Measurement</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Baseline</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Benchmark</w:t>
            </w:r>
          </w:p>
        </w:tc>
        <w:tc>
          <w:tcPr>
            <w:tcW w:w="1915"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Outcome</w:t>
            </w:r>
          </w:p>
        </w:tc>
        <w:tc>
          <w:tcPr>
            <w:tcW w:w="1916" w:type="dxa"/>
            <w:shd w:val="clear" w:color="auto" w:fill="D9D9D9" w:themeFill="background1" w:themeFillShade="D9"/>
            <w:vAlign w:val="center"/>
            <w:hideMark/>
          </w:tcPr>
          <w:p w:rsidR="005E3062" w:rsidRPr="003F655B" w:rsidRDefault="005E3062" w:rsidP="00B82342">
            <w:pPr>
              <w:jc w:val="center"/>
              <w:rPr>
                <w:rFonts w:eastAsia="Calibri"/>
                <w:b/>
                <w:bCs/>
                <w:sz w:val="22"/>
                <w:szCs w:val="22"/>
              </w:rPr>
            </w:pPr>
            <w:r w:rsidRPr="003F655B">
              <w:rPr>
                <w:rFonts w:eastAsia="Calibri"/>
                <w:b/>
                <w:bCs/>
                <w:sz w:val="22"/>
                <w:szCs w:val="22"/>
              </w:rPr>
              <w:t>Benchmark Achieved?</w:t>
            </w:r>
          </w:p>
        </w:tc>
      </w:tr>
      <w:tr w:rsidR="005E3062" w:rsidRPr="003F655B" w:rsidTr="00273A2E">
        <w:trPr>
          <w:trHeight w:val="1322"/>
        </w:trPr>
        <w:tc>
          <w:tcPr>
            <w:tcW w:w="1915" w:type="dxa"/>
            <w:shd w:val="clear" w:color="auto" w:fill="auto"/>
            <w:hideMark/>
          </w:tcPr>
          <w:p w:rsidR="005E3062" w:rsidRPr="003F655B" w:rsidRDefault="005E3062" w:rsidP="004172B2">
            <w:pPr>
              <w:rPr>
                <w:rFonts w:eastAsia="Calibri"/>
                <w:sz w:val="22"/>
                <w:szCs w:val="22"/>
              </w:rPr>
            </w:pPr>
            <w:r w:rsidRPr="003F655B">
              <w:rPr>
                <w:rFonts w:eastAsia="Calibri"/>
                <w:sz w:val="22"/>
                <w:szCs w:val="22"/>
              </w:rPr>
              <w:t>Number of households able to move to a better unit and/or neighborhood of opportunity as a result of the activity (increase).</w:t>
            </w:r>
          </w:p>
        </w:tc>
        <w:tc>
          <w:tcPr>
            <w:tcW w:w="1915" w:type="dxa"/>
            <w:shd w:val="clear" w:color="auto" w:fill="auto"/>
            <w:vAlign w:val="center"/>
          </w:tcPr>
          <w:p w:rsidR="005E3062" w:rsidRPr="009D6E84" w:rsidRDefault="005E3062" w:rsidP="00273A2E">
            <w:pPr>
              <w:jc w:val="center"/>
              <w:rPr>
                <w:rFonts w:eastAsia="Calibri"/>
                <w:sz w:val="22"/>
                <w:szCs w:val="22"/>
              </w:rPr>
            </w:pPr>
            <w:r w:rsidRPr="009D6E84">
              <w:rPr>
                <w:rFonts w:eastAsia="Calibri"/>
                <w:sz w:val="22"/>
                <w:szCs w:val="22"/>
              </w:rPr>
              <w:t>0</w:t>
            </w:r>
            <w:r w:rsidR="00273A2E" w:rsidRPr="009D6E84">
              <w:rPr>
                <w:rFonts w:eastAsia="Calibri"/>
                <w:sz w:val="22"/>
                <w:szCs w:val="22"/>
              </w:rPr>
              <w:t xml:space="preserve"> households</w:t>
            </w:r>
          </w:p>
        </w:tc>
        <w:tc>
          <w:tcPr>
            <w:tcW w:w="1915" w:type="dxa"/>
            <w:shd w:val="clear" w:color="auto" w:fill="auto"/>
            <w:vAlign w:val="center"/>
          </w:tcPr>
          <w:p w:rsidR="005E3062" w:rsidRPr="009D6E84" w:rsidRDefault="00C238D1" w:rsidP="00273A2E">
            <w:pPr>
              <w:jc w:val="center"/>
              <w:rPr>
                <w:rFonts w:eastAsia="Calibri"/>
                <w:sz w:val="22"/>
                <w:szCs w:val="22"/>
              </w:rPr>
            </w:pPr>
            <w:r w:rsidRPr="009D6E84">
              <w:rPr>
                <w:rFonts w:eastAsia="Calibri"/>
                <w:sz w:val="22"/>
                <w:szCs w:val="22"/>
              </w:rPr>
              <w:t>2</w:t>
            </w:r>
            <w:r w:rsidR="009D6E84" w:rsidRPr="009D6E84">
              <w:rPr>
                <w:rFonts w:eastAsia="Calibri"/>
                <w:sz w:val="22"/>
                <w:szCs w:val="22"/>
              </w:rPr>
              <w:t>0</w:t>
            </w:r>
            <w:r w:rsidR="00D06098" w:rsidRPr="009D6E84">
              <w:rPr>
                <w:rFonts w:eastAsia="Calibri"/>
                <w:sz w:val="22"/>
                <w:szCs w:val="22"/>
              </w:rPr>
              <w:t xml:space="preserve"> </w:t>
            </w:r>
            <w:r w:rsidR="00273A2E" w:rsidRPr="009D6E84">
              <w:rPr>
                <w:rFonts w:eastAsia="Calibri"/>
                <w:sz w:val="22"/>
                <w:szCs w:val="22"/>
              </w:rPr>
              <w:t>households</w:t>
            </w:r>
          </w:p>
        </w:tc>
        <w:tc>
          <w:tcPr>
            <w:tcW w:w="1915" w:type="dxa"/>
            <w:shd w:val="clear" w:color="auto" w:fill="auto"/>
          </w:tcPr>
          <w:p w:rsidR="005E3062" w:rsidRPr="003F655B" w:rsidRDefault="005E3062" w:rsidP="00B82342">
            <w:pPr>
              <w:jc w:val="center"/>
              <w:rPr>
                <w:rFonts w:eastAsia="Calibri"/>
                <w:sz w:val="22"/>
                <w:szCs w:val="22"/>
              </w:rPr>
            </w:pPr>
          </w:p>
        </w:tc>
        <w:tc>
          <w:tcPr>
            <w:tcW w:w="1916" w:type="dxa"/>
            <w:shd w:val="clear" w:color="auto" w:fill="auto"/>
          </w:tcPr>
          <w:p w:rsidR="005E3062" w:rsidRPr="003F655B" w:rsidRDefault="005E3062" w:rsidP="00B82342">
            <w:pPr>
              <w:jc w:val="center"/>
              <w:rPr>
                <w:rFonts w:eastAsia="Calibri"/>
                <w:sz w:val="22"/>
                <w:szCs w:val="22"/>
              </w:rPr>
            </w:pPr>
          </w:p>
        </w:tc>
      </w:tr>
    </w:tbl>
    <w:p w:rsidR="005E3062" w:rsidRPr="003F655B" w:rsidRDefault="005E3062" w:rsidP="005E3062">
      <w:pPr>
        <w:rPr>
          <w:b/>
          <w:color w:val="000000"/>
          <w:highlight w:val="yellow"/>
          <w:u w:val="single"/>
        </w:rPr>
      </w:pPr>
    </w:p>
    <w:p w:rsidR="005E3062" w:rsidRPr="003F655B" w:rsidRDefault="005E3062" w:rsidP="005E3062">
      <w:pPr>
        <w:rPr>
          <w:b/>
          <w:color w:val="000000"/>
          <w:u w:val="single"/>
        </w:rPr>
      </w:pPr>
    </w:p>
    <w:p w:rsidR="003F660F" w:rsidRPr="003F655B" w:rsidRDefault="003F660F" w:rsidP="003F660F">
      <w:pPr>
        <w:rPr>
          <w:i/>
          <w:color w:val="000000"/>
        </w:rPr>
      </w:pPr>
      <w:r w:rsidRPr="003F655B">
        <w:br w:type="page"/>
      </w:r>
      <w:r w:rsidRPr="003F655B">
        <w:rPr>
          <w:b/>
          <w:color w:val="000000"/>
          <w:u w:val="single"/>
        </w:rPr>
        <w:t xml:space="preserve">Activity 2010-4:   </w:t>
      </w:r>
      <w:r w:rsidR="00006120">
        <w:rPr>
          <w:b/>
          <w:color w:val="000000"/>
          <w:u w:val="single"/>
        </w:rPr>
        <w:t>Development of Local Forms</w:t>
      </w:r>
    </w:p>
    <w:p w:rsidR="003F660F" w:rsidRPr="003F655B" w:rsidRDefault="003F660F" w:rsidP="003F660F">
      <w:pPr>
        <w:rPr>
          <w:color w:val="000000"/>
        </w:rPr>
      </w:pPr>
    </w:p>
    <w:p w:rsidR="00006120" w:rsidRPr="004F3163" w:rsidRDefault="00006120" w:rsidP="00006120">
      <w:pPr>
        <w:jc w:val="both"/>
        <w:rPr>
          <w:color w:val="000000"/>
        </w:rPr>
      </w:pPr>
      <w:r w:rsidRPr="004F3163">
        <w:rPr>
          <w:b/>
          <w:color w:val="000000"/>
        </w:rPr>
        <w:t>Description/Update of MTW Activity</w:t>
      </w:r>
      <w:r w:rsidRPr="004F3163">
        <w:rPr>
          <w:color w:val="000000"/>
        </w:rPr>
        <w:t xml:space="preserve">: Under this initiative, </w:t>
      </w:r>
      <w:r>
        <w:rPr>
          <w:color w:val="000000"/>
        </w:rPr>
        <w:t xml:space="preserve">DHCD will develop local versions of forms, </w:t>
      </w:r>
      <w:r w:rsidRPr="004F3163">
        <w:rPr>
          <w:color w:val="000000"/>
        </w:rPr>
        <w:t>as needed</w:t>
      </w:r>
      <w:r>
        <w:rPr>
          <w:color w:val="000000"/>
        </w:rPr>
        <w:t>,</w:t>
      </w:r>
      <w:r w:rsidRPr="004F3163">
        <w:rPr>
          <w:color w:val="000000"/>
        </w:rPr>
        <w:t xml:space="preserve"> to streamline processing, utilize “plain language”,</w:t>
      </w:r>
      <w:r>
        <w:rPr>
          <w:color w:val="000000"/>
        </w:rPr>
        <w:t xml:space="preserve"> address MTW policies</w:t>
      </w:r>
      <w:r w:rsidRPr="004F3163">
        <w:rPr>
          <w:color w:val="000000"/>
        </w:rPr>
        <w:t xml:space="preserve"> and address local housing market features.  New forms are rolled out to RAA contractors as they are completed.  As required under the MTW Agreement, any changes to the HAP form will include language noting that funding for the contract is subject to the availability of appropriations.  </w:t>
      </w:r>
    </w:p>
    <w:p w:rsidR="00006120" w:rsidRPr="004F3163" w:rsidRDefault="00006120" w:rsidP="00006120">
      <w:pPr>
        <w:jc w:val="both"/>
        <w:rPr>
          <w:color w:val="FF0000"/>
        </w:rPr>
      </w:pPr>
    </w:p>
    <w:p w:rsidR="00006120" w:rsidRPr="004F3163" w:rsidRDefault="00006120" w:rsidP="00006120">
      <w:pPr>
        <w:jc w:val="both"/>
        <w:rPr>
          <w:color w:val="000000"/>
        </w:rPr>
      </w:pPr>
      <w:r w:rsidRPr="004F3163">
        <w:rPr>
          <w:color w:val="000000"/>
        </w:rPr>
        <w:t>To date, DHCD has</w:t>
      </w:r>
      <w:r>
        <w:rPr>
          <w:color w:val="000000"/>
        </w:rPr>
        <w:t xml:space="preserve"> developed local versions of the </w:t>
      </w:r>
      <w:r w:rsidRPr="004F3163">
        <w:rPr>
          <w:color w:val="000000"/>
        </w:rPr>
        <w:t>PBV HAP and AHAP forms to incorporate relevant MTW provisions. The revised forms have been implemented at all new ex</w:t>
      </w:r>
      <w:r>
        <w:rPr>
          <w:color w:val="000000"/>
        </w:rPr>
        <w:t>piring use projects.  DHCD will use MTW authority to develop a local version of the PB Tenancy Addendum to reflect DHCD MTW policies.  Additionally, in FY 2017 DHCD will develop a lo</w:t>
      </w:r>
      <w:r w:rsidR="001E53BF">
        <w:rPr>
          <w:color w:val="000000"/>
        </w:rPr>
        <w:t>cal version of the Authorization for Release of Information</w:t>
      </w:r>
      <w:r>
        <w:rPr>
          <w:color w:val="000000"/>
        </w:rPr>
        <w:t xml:space="preserve"> to reflect the biennial f</w:t>
      </w:r>
      <w:r w:rsidR="001E53BF">
        <w:rPr>
          <w:color w:val="000000"/>
        </w:rPr>
        <w:t>requency of reexaminations. Use of the revised Release Form will eliminate</w:t>
      </w:r>
      <w:r>
        <w:rPr>
          <w:color w:val="000000"/>
        </w:rPr>
        <w:t xml:space="preserve"> the need to </w:t>
      </w:r>
      <w:r w:rsidR="001E53BF">
        <w:rPr>
          <w:color w:val="000000"/>
        </w:rPr>
        <w:t xml:space="preserve">execute a new Release Form at interim recertifications.  </w:t>
      </w:r>
      <w:r>
        <w:rPr>
          <w:color w:val="000000"/>
        </w:rPr>
        <w:t>DHCD w</w:t>
      </w:r>
      <w:r w:rsidRPr="004F3163">
        <w:rPr>
          <w:color w:val="000000"/>
        </w:rPr>
        <w:t>ill continue to u</w:t>
      </w:r>
      <w:r>
        <w:rPr>
          <w:color w:val="000000"/>
        </w:rPr>
        <w:t>tilize this authority as needed.</w:t>
      </w:r>
    </w:p>
    <w:p w:rsidR="00006120" w:rsidRPr="004F3163" w:rsidRDefault="00006120" w:rsidP="00006120">
      <w:pPr>
        <w:jc w:val="both"/>
        <w:rPr>
          <w:color w:val="000000"/>
        </w:rPr>
      </w:pPr>
    </w:p>
    <w:p w:rsidR="00006120" w:rsidRPr="004F3163" w:rsidRDefault="00006120" w:rsidP="00006120">
      <w:pPr>
        <w:jc w:val="both"/>
        <w:rPr>
          <w:color w:val="000000"/>
        </w:rPr>
      </w:pPr>
      <w:r w:rsidRPr="004F3163">
        <w:rPr>
          <w:b/>
          <w:color w:val="000000"/>
        </w:rPr>
        <w:t>Proposed Changes to Activity</w:t>
      </w:r>
      <w:r w:rsidRPr="004F3163">
        <w:rPr>
          <w:color w:val="000000"/>
        </w:rPr>
        <w:t>:  No changes are proposed.</w:t>
      </w:r>
    </w:p>
    <w:p w:rsidR="00006120" w:rsidRPr="004F3163" w:rsidRDefault="00006120" w:rsidP="00006120">
      <w:pPr>
        <w:jc w:val="both"/>
        <w:rPr>
          <w:color w:val="000000"/>
        </w:rPr>
      </w:pPr>
    </w:p>
    <w:p w:rsidR="00006120" w:rsidRPr="003F655B" w:rsidRDefault="00006120" w:rsidP="00006120">
      <w:pPr>
        <w:jc w:val="both"/>
        <w:rPr>
          <w:color w:val="000000"/>
        </w:rPr>
      </w:pPr>
      <w:r w:rsidRPr="004F3163">
        <w:rPr>
          <w:b/>
          <w:color w:val="000000"/>
        </w:rPr>
        <w:t>Approval and Implementation</w:t>
      </w:r>
      <w:r w:rsidRPr="004F3163">
        <w:rPr>
          <w:color w:val="000000"/>
        </w:rPr>
        <w:t>:   2010 – Implementation activities began in FY 2013.</w:t>
      </w:r>
    </w:p>
    <w:p w:rsidR="00006120" w:rsidRPr="003F655B" w:rsidRDefault="00006120" w:rsidP="00006120">
      <w:pPr>
        <w:rPr>
          <w:color w:val="000000"/>
          <w:highlight w:val="yellow"/>
        </w:rPr>
      </w:pPr>
    </w:p>
    <w:p w:rsidR="00006120" w:rsidRPr="003C226D" w:rsidRDefault="00006120" w:rsidP="00006120">
      <w:pPr>
        <w:jc w:val="both"/>
        <w:rPr>
          <w:bCs/>
        </w:rPr>
      </w:pPr>
      <w:r>
        <w:rPr>
          <w:b/>
        </w:rPr>
        <w:t>Changes to Baseline, Benchmarks &amp; Metrics</w:t>
      </w:r>
      <w:r w:rsidR="009C0867">
        <w:t>:</w:t>
      </w:r>
      <w:r>
        <w:t xml:space="preserve">  </w:t>
      </w:r>
      <w:r w:rsidRPr="00A704F7">
        <w:rPr>
          <w:bCs/>
        </w:rPr>
        <w:t>The benchmarks have been updated to reflect</w:t>
      </w:r>
      <w:r>
        <w:rPr>
          <w:bCs/>
        </w:rPr>
        <w:t xml:space="preserve"> the</w:t>
      </w:r>
      <w:r w:rsidR="001E53BF">
        <w:rPr>
          <w:bCs/>
        </w:rPr>
        <w:t xml:space="preserve"> leasing projections for FY 2017</w:t>
      </w:r>
      <w:r>
        <w:rPr>
          <w:bCs/>
        </w:rPr>
        <w:t xml:space="preserve">.  </w:t>
      </w:r>
      <w:r>
        <w:t>DHCD will report on outcomes in the MTW Annual Report.</w:t>
      </w:r>
    </w:p>
    <w:p w:rsidR="003F660F" w:rsidRPr="003F655B" w:rsidRDefault="003F660F" w:rsidP="003F660F">
      <w:pPr>
        <w:rPr>
          <w:color w:val="000000"/>
          <w:highlight w:val="yellow"/>
        </w:rPr>
      </w:pPr>
    </w:p>
    <w:p w:rsidR="00BA1074" w:rsidRDefault="0015013E" w:rsidP="00BA1074">
      <w:pPr>
        <w:rPr>
          <w:color w:val="000000"/>
        </w:rPr>
      </w:pPr>
      <w:r>
        <w:rPr>
          <w:b/>
          <w:color w:val="000000"/>
        </w:rPr>
        <w:t>Metrics</w:t>
      </w:r>
      <w:r w:rsidR="003F660F" w:rsidRPr="00FB4487">
        <w:rPr>
          <w:color w:val="000000"/>
        </w:rPr>
        <w:t xml:space="preserve">:  </w:t>
      </w:r>
    </w:p>
    <w:p w:rsidR="005E3062" w:rsidRPr="003F655B" w:rsidRDefault="005E3062" w:rsidP="005E306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196"/>
        <w:gridCol w:w="1875"/>
        <w:gridCol w:w="1702"/>
        <w:gridCol w:w="1764"/>
      </w:tblGrid>
      <w:tr w:rsidR="00EB15AE" w:rsidRPr="005F27D5" w:rsidTr="00456D71">
        <w:trPr>
          <w:trHeight w:val="278"/>
        </w:trPr>
        <w:tc>
          <w:tcPr>
            <w:tcW w:w="9576" w:type="dxa"/>
            <w:gridSpan w:val="5"/>
            <w:shd w:val="clear" w:color="auto" w:fill="C6D9F1" w:themeFill="text2" w:themeFillTint="33"/>
            <w:hideMark/>
          </w:tcPr>
          <w:p w:rsidR="00EB15AE" w:rsidRPr="005F27D5" w:rsidRDefault="00EB15AE" w:rsidP="006C5120">
            <w:pPr>
              <w:jc w:val="center"/>
              <w:rPr>
                <w:rFonts w:eastAsia="Calibri"/>
                <w:b/>
                <w:bCs/>
                <w:i/>
                <w:iCs/>
                <w:sz w:val="22"/>
                <w:szCs w:val="22"/>
              </w:rPr>
            </w:pPr>
            <w:r w:rsidRPr="005F27D5">
              <w:rPr>
                <w:rFonts w:eastAsia="Calibri"/>
                <w:b/>
                <w:bCs/>
                <w:i/>
                <w:iCs/>
                <w:sz w:val="22"/>
                <w:szCs w:val="22"/>
              </w:rPr>
              <w:t>CE #1: Agency Cost Savings</w:t>
            </w:r>
          </w:p>
        </w:tc>
      </w:tr>
      <w:tr w:rsidR="00EB15AE" w:rsidRPr="005F27D5" w:rsidTr="00456D71">
        <w:trPr>
          <w:trHeight w:val="615"/>
        </w:trPr>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Unit of Measurement</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Baseline</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Benchmark</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Outcome</w:t>
            </w:r>
          </w:p>
        </w:tc>
        <w:tc>
          <w:tcPr>
            <w:tcW w:w="1916"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Benchmark Achieved?</w:t>
            </w:r>
          </w:p>
        </w:tc>
      </w:tr>
      <w:tr w:rsidR="00EB15AE" w:rsidRPr="005F27D5" w:rsidTr="0027440A">
        <w:trPr>
          <w:trHeight w:val="548"/>
        </w:trPr>
        <w:tc>
          <w:tcPr>
            <w:tcW w:w="1915" w:type="dxa"/>
            <w:shd w:val="clear" w:color="auto" w:fill="auto"/>
            <w:hideMark/>
          </w:tcPr>
          <w:p w:rsidR="00EB15AE" w:rsidRPr="005F27D5" w:rsidRDefault="00EB15AE" w:rsidP="00B82342">
            <w:pPr>
              <w:rPr>
                <w:rFonts w:eastAsia="Calibri"/>
                <w:sz w:val="22"/>
                <w:szCs w:val="22"/>
              </w:rPr>
            </w:pPr>
            <w:r w:rsidRPr="005F27D5">
              <w:rPr>
                <w:rFonts w:eastAsia="Calibri"/>
                <w:sz w:val="22"/>
                <w:szCs w:val="22"/>
              </w:rPr>
              <w:t>Total cost of task in dollars (decrease).</w:t>
            </w:r>
          </w:p>
        </w:tc>
        <w:tc>
          <w:tcPr>
            <w:tcW w:w="1915" w:type="dxa"/>
            <w:shd w:val="clear" w:color="auto" w:fill="auto"/>
          </w:tcPr>
          <w:p w:rsidR="00FE3E56" w:rsidRPr="002B21BB" w:rsidRDefault="00FE3E56" w:rsidP="0027440A">
            <w:pPr>
              <w:rPr>
                <w:rFonts w:eastAsia="Calibri"/>
                <w:sz w:val="22"/>
                <w:szCs w:val="22"/>
              </w:rPr>
            </w:pPr>
            <w:r w:rsidRPr="002B21BB">
              <w:rPr>
                <w:rFonts w:eastAsia="Calibri"/>
                <w:b/>
                <w:sz w:val="22"/>
                <w:szCs w:val="22"/>
              </w:rPr>
              <w:t>HAP Contracts executed in FY 13</w:t>
            </w:r>
            <w:r w:rsidRPr="002B21BB">
              <w:rPr>
                <w:rFonts w:eastAsia="Calibri"/>
                <w:sz w:val="22"/>
                <w:szCs w:val="22"/>
              </w:rPr>
              <w:t xml:space="preserve">:  11 </w:t>
            </w:r>
          </w:p>
          <w:p w:rsidR="00FE3E56" w:rsidRPr="002B21BB" w:rsidRDefault="00FE3E56" w:rsidP="0027440A">
            <w:pPr>
              <w:rPr>
                <w:rFonts w:eastAsia="Calibri"/>
                <w:sz w:val="22"/>
                <w:szCs w:val="22"/>
              </w:rPr>
            </w:pPr>
          </w:p>
          <w:p w:rsidR="00FE3E56" w:rsidRPr="002B21BB" w:rsidRDefault="00FE3E56" w:rsidP="0027440A">
            <w:pPr>
              <w:rPr>
                <w:rFonts w:eastAsia="Calibri"/>
                <w:sz w:val="22"/>
                <w:szCs w:val="22"/>
              </w:rPr>
            </w:pPr>
            <w:r w:rsidRPr="002B21BB">
              <w:rPr>
                <w:rFonts w:eastAsia="Calibri"/>
                <w:b/>
                <w:sz w:val="22"/>
                <w:szCs w:val="22"/>
              </w:rPr>
              <w:t>Time to Prepare HAP contract prior to implementation</w:t>
            </w:r>
            <w:r w:rsidRPr="002B21BB">
              <w:rPr>
                <w:rFonts w:eastAsia="Calibri"/>
                <w:sz w:val="22"/>
                <w:szCs w:val="22"/>
              </w:rPr>
              <w:t>: 2 hours</w:t>
            </w:r>
          </w:p>
          <w:p w:rsidR="00FE3E56" w:rsidRPr="002B21BB" w:rsidRDefault="00FE3E56" w:rsidP="0027440A">
            <w:pPr>
              <w:rPr>
                <w:rFonts w:eastAsia="Calibri"/>
                <w:sz w:val="22"/>
                <w:szCs w:val="22"/>
              </w:rPr>
            </w:pPr>
          </w:p>
          <w:p w:rsidR="00FE3E56" w:rsidRPr="002B21BB" w:rsidRDefault="00FE3E56" w:rsidP="0027440A">
            <w:pPr>
              <w:rPr>
                <w:rFonts w:eastAsia="Calibri"/>
                <w:sz w:val="22"/>
                <w:szCs w:val="22"/>
              </w:rPr>
            </w:pPr>
            <w:r w:rsidRPr="002B21BB">
              <w:rPr>
                <w:rFonts w:eastAsia="Calibri"/>
                <w:b/>
                <w:sz w:val="22"/>
                <w:szCs w:val="22"/>
              </w:rPr>
              <w:t>Average hourly wage</w:t>
            </w:r>
            <w:r w:rsidRPr="002B21BB">
              <w:rPr>
                <w:rFonts w:eastAsia="Calibri"/>
                <w:sz w:val="22"/>
                <w:szCs w:val="22"/>
              </w:rPr>
              <w:t>: $18.17</w:t>
            </w:r>
          </w:p>
          <w:p w:rsidR="00FE3E56" w:rsidRPr="002B21BB" w:rsidRDefault="00FE3E56" w:rsidP="0027440A">
            <w:pPr>
              <w:rPr>
                <w:rFonts w:eastAsia="Calibri"/>
                <w:sz w:val="22"/>
                <w:szCs w:val="22"/>
              </w:rPr>
            </w:pPr>
          </w:p>
          <w:p w:rsidR="005F27D5" w:rsidRPr="005F27D5" w:rsidRDefault="00FE3E56" w:rsidP="0027440A">
            <w:pPr>
              <w:rPr>
                <w:rFonts w:eastAsia="Calibri"/>
                <w:sz w:val="22"/>
                <w:szCs w:val="22"/>
              </w:rPr>
            </w:pPr>
            <w:r w:rsidRPr="002B21BB">
              <w:rPr>
                <w:rFonts w:eastAsia="Calibri"/>
                <w:b/>
                <w:sz w:val="22"/>
                <w:szCs w:val="22"/>
              </w:rPr>
              <w:t>Total cost prior to implementation</w:t>
            </w:r>
            <w:r w:rsidRPr="002B21BB">
              <w:rPr>
                <w:rFonts w:eastAsia="Calibri"/>
                <w:sz w:val="22"/>
                <w:szCs w:val="22"/>
              </w:rPr>
              <w:t>:$400</w:t>
            </w:r>
          </w:p>
        </w:tc>
        <w:tc>
          <w:tcPr>
            <w:tcW w:w="1915" w:type="dxa"/>
            <w:shd w:val="clear" w:color="auto" w:fill="auto"/>
            <w:vAlign w:val="center"/>
          </w:tcPr>
          <w:p w:rsidR="00FE3E56" w:rsidRPr="0027440A" w:rsidRDefault="00FE3E56" w:rsidP="00FE3E56">
            <w:pPr>
              <w:spacing w:after="240"/>
              <w:rPr>
                <w:rFonts w:eastAsia="Calibri"/>
                <w:sz w:val="22"/>
                <w:szCs w:val="22"/>
              </w:rPr>
            </w:pPr>
            <w:r w:rsidRPr="0027440A">
              <w:rPr>
                <w:rFonts w:eastAsia="Calibri"/>
                <w:b/>
                <w:sz w:val="22"/>
                <w:szCs w:val="22"/>
              </w:rPr>
              <w:t xml:space="preserve">Expected HAP Contracts executed in FY </w:t>
            </w:r>
            <w:r w:rsidR="007914A8" w:rsidRPr="0027440A">
              <w:rPr>
                <w:rFonts w:eastAsia="Calibri"/>
                <w:b/>
                <w:sz w:val="22"/>
                <w:szCs w:val="22"/>
              </w:rPr>
              <w:t>20</w:t>
            </w:r>
            <w:r w:rsidRPr="0027440A">
              <w:rPr>
                <w:rFonts w:eastAsia="Calibri"/>
                <w:b/>
                <w:sz w:val="22"/>
                <w:szCs w:val="22"/>
              </w:rPr>
              <w:t>1</w:t>
            </w:r>
            <w:r w:rsidR="009D6E84" w:rsidRPr="0027440A">
              <w:rPr>
                <w:rFonts w:eastAsia="Calibri"/>
                <w:b/>
                <w:sz w:val="22"/>
                <w:szCs w:val="22"/>
              </w:rPr>
              <w:t>7</w:t>
            </w:r>
            <w:r w:rsidRPr="0027440A">
              <w:rPr>
                <w:rFonts w:eastAsia="Calibri"/>
                <w:sz w:val="22"/>
                <w:szCs w:val="22"/>
              </w:rPr>
              <w:t>:  1</w:t>
            </w:r>
            <w:r w:rsidR="0027440A" w:rsidRPr="0027440A">
              <w:rPr>
                <w:rFonts w:eastAsia="Calibri"/>
                <w:sz w:val="22"/>
                <w:szCs w:val="22"/>
              </w:rPr>
              <w:t>3</w:t>
            </w:r>
          </w:p>
          <w:p w:rsidR="00FE3E56" w:rsidRPr="0027440A" w:rsidRDefault="00FE3E56" w:rsidP="00FE3E56">
            <w:pPr>
              <w:rPr>
                <w:rFonts w:eastAsia="Calibri"/>
                <w:sz w:val="22"/>
                <w:szCs w:val="22"/>
              </w:rPr>
            </w:pPr>
            <w:r w:rsidRPr="0027440A">
              <w:rPr>
                <w:rFonts w:eastAsia="Calibri"/>
                <w:b/>
                <w:sz w:val="22"/>
                <w:szCs w:val="22"/>
              </w:rPr>
              <w:t>Time to Prepare HAP contract after implementation</w:t>
            </w:r>
            <w:r w:rsidRPr="0027440A">
              <w:rPr>
                <w:rFonts w:eastAsia="Calibri"/>
                <w:sz w:val="22"/>
                <w:szCs w:val="22"/>
              </w:rPr>
              <w:t>: .25 hours</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Average hourly wage</w:t>
            </w:r>
            <w:r w:rsidRPr="0027440A">
              <w:rPr>
                <w:rFonts w:eastAsia="Calibri"/>
                <w:sz w:val="22"/>
                <w:szCs w:val="22"/>
              </w:rPr>
              <w:t>: $18.17</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Total cost after implementation</w:t>
            </w:r>
            <w:r w:rsidRPr="0027440A">
              <w:rPr>
                <w:rFonts w:eastAsia="Calibri"/>
                <w:sz w:val="22"/>
                <w:szCs w:val="22"/>
              </w:rPr>
              <w:t>:</w:t>
            </w:r>
          </w:p>
          <w:p w:rsidR="005F27D5" w:rsidRPr="005F27D5" w:rsidRDefault="00FE3E56" w:rsidP="00FE3E56">
            <w:pPr>
              <w:rPr>
                <w:rFonts w:eastAsia="Calibri"/>
                <w:sz w:val="22"/>
                <w:szCs w:val="22"/>
              </w:rPr>
            </w:pPr>
            <w:r w:rsidRPr="0027440A">
              <w:rPr>
                <w:rFonts w:eastAsia="Calibri"/>
                <w:sz w:val="22"/>
                <w:szCs w:val="22"/>
              </w:rPr>
              <w:t>$</w:t>
            </w:r>
            <w:r w:rsidR="0027440A" w:rsidRPr="0027440A">
              <w:rPr>
                <w:rFonts w:eastAsia="Calibri"/>
                <w:sz w:val="22"/>
                <w:szCs w:val="22"/>
              </w:rPr>
              <w:t>59</w:t>
            </w:r>
          </w:p>
        </w:tc>
        <w:tc>
          <w:tcPr>
            <w:tcW w:w="1915" w:type="dxa"/>
            <w:shd w:val="clear" w:color="auto" w:fill="auto"/>
          </w:tcPr>
          <w:p w:rsidR="00EB15AE" w:rsidRPr="005F27D5" w:rsidRDefault="00EB15AE" w:rsidP="00B82342">
            <w:pPr>
              <w:jc w:val="center"/>
              <w:rPr>
                <w:rFonts w:eastAsia="Calibri"/>
                <w:sz w:val="22"/>
                <w:szCs w:val="22"/>
              </w:rPr>
            </w:pPr>
          </w:p>
        </w:tc>
        <w:tc>
          <w:tcPr>
            <w:tcW w:w="1916" w:type="dxa"/>
            <w:shd w:val="clear" w:color="auto" w:fill="auto"/>
          </w:tcPr>
          <w:p w:rsidR="00EB15AE" w:rsidRPr="005F27D5" w:rsidRDefault="00EB15AE" w:rsidP="00B82342">
            <w:pPr>
              <w:jc w:val="center"/>
              <w:rPr>
                <w:rFonts w:eastAsia="Calibri"/>
                <w:sz w:val="22"/>
                <w:szCs w:val="22"/>
              </w:rPr>
            </w:pPr>
          </w:p>
        </w:tc>
      </w:tr>
    </w:tbl>
    <w:p w:rsidR="00D20672" w:rsidRDefault="00D20672"/>
    <w:p w:rsidR="0027440A" w:rsidRDefault="002744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898"/>
        <w:gridCol w:w="1898"/>
        <w:gridCol w:w="1827"/>
        <w:gridCol w:w="1853"/>
      </w:tblGrid>
      <w:tr w:rsidR="00EB15AE" w:rsidRPr="005F27D5" w:rsidTr="00456D71">
        <w:trPr>
          <w:trHeight w:val="233"/>
        </w:trPr>
        <w:tc>
          <w:tcPr>
            <w:tcW w:w="9576" w:type="dxa"/>
            <w:gridSpan w:val="5"/>
            <w:shd w:val="clear" w:color="auto" w:fill="C6D9F1" w:themeFill="text2" w:themeFillTint="33"/>
            <w:hideMark/>
          </w:tcPr>
          <w:p w:rsidR="00EB15AE" w:rsidRPr="005F27D5" w:rsidRDefault="00EB15AE" w:rsidP="006C5120">
            <w:pPr>
              <w:jc w:val="center"/>
              <w:rPr>
                <w:rFonts w:eastAsia="Calibri"/>
                <w:b/>
                <w:bCs/>
                <w:i/>
                <w:iCs/>
                <w:sz w:val="22"/>
                <w:szCs w:val="22"/>
              </w:rPr>
            </w:pPr>
            <w:r w:rsidRPr="005F27D5">
              <w:rPr>
                <w:rFonts w:eastAsia="Calibri"/>
                <w:b/>
                <w:bCs/>
                <w:i/>
                <w:iCs/>
                <w:sz w:val="22"/>
                <w:szCs w:val="22"/>
              </w:rPr>
              <w:t>CE #2: Staff Time Savings</w:t>
            </w:r>
          </w:p>
        </w:tc>
      </w:tr>
      <w:tr w:rsidR="00EB15AE" w:rsidRPr="005F27D5" w:rsidTr="00456D71">
        <w:trPr>
          <w:trHeight w:val="615"/>
        </w:trPr>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Unit of Measurement</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Baseline</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Benchmark</w:t>
            </w:r>
          </w:p>
        </w:tc>
        <w:tc>
          <w:tcPr>
            <w:tcW w:w="1915"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Outcome</w:t>
            </w:r>
          </w:p>
        </w:tc>
        <w:tc>
          <w:tcPr>
            <w:tcW w:w="1916" w:type="dxa"/>
            <w:shd w:val="clear" w:color="auto" w:fill="D9D9D9" w:themeFill="background1" w:themeFillShade="D9"/>
            <w:vAlign w:val="center"/>
            <w:hideMark/>
          </w:tcPr>
          <w:p w:rsidR="00EB15AE" w:rsidRPr="005F27D5" w:rsidRDefault="00EB15AE" w:rsidP="00B82342">
            <w:pPr>
              <w:jc w:val="center"/>
              <w:rPr>
                <w:rFonts w:eastAsia="Calibri"/>
                <w:b/>
                <w:bCs/>
                <w:sz w:val="22"/>
                <w:szCs w:val="22"/>
              </w:rPr>
            </w:pPr>
            <w:r w:rsidRPr="005F27D5">
              <w:rPr>
                <w:rFonts w:eastAsia="Calibri"/>
                <w:b/>
                <w:bCs/>
                <w:sz w:val="22"/>
                <w:szCs w:val="22"/>
              </w:rPr>
              <w:t>Benchmark Achieved?</w:t>
            </w:r>
          </w:p>
        </w:tc>
      </w:tr>
      <w:tr w:rsidR="00EB15AE" w:rsidRPr="003F655B" w:rsidTr="00273A2E">
        <w:trPr>
          <w:trHeight w:val="728"/>
        </w:trPr>
        <w:tc>
          <w:tcPr>
            <w:tcW w:w="1915" w:type="dxa"/>
            <w:shd w:val="clear" w:color="auto" w:fill="auto"/>
            <w:hideMark/>
          </w:tcPr>
          <w:p w:rsidR="00EB15AE" w:rsidRPr="00A729BD" w:rsidRDefault="00EB15AE" w:rsidP="00B82342">
            <w:pPr>
              <w:rPr>
                <w:rFonts w:eastAsia="Calibri"/>
                <w:sz w:val="22"/>
                <w:szCs w:val="22"/>
              </w:rPr>
            </w:pPr>
            <w:r w:rsidRPr="00A729BD">
              <w:rPr>
                <w:rFonts w:eastAsia="Calibri"/>
                <w:sz w:val="22"/>
                <w:szCs w:val="22"/>
              </w:rPr>
              <w:t>Total time to complete the task in staff hours (decrease).</w:t>
            </w:r>
          </w:p>
        </w:tc>
        <w:tc>
          <w:tcPr>
            <w:tcW w:w="1915" w:type="dxa"/>
            <w:shd w:val="clear" w:color="auto" w:fill="auto"/>
            <w:vAlign w:val="center"/>
          </w:tcPr>
          <w:p w:rsidR="00FE3E56" w:rsidRPr="0027440A" w:rsidRDefault="00FE3E56" w:rsidP="00FE3E56">
            <w:pPr>
              <w:rPr>
                <w:rFonts w:eastAsia="Calibri"/>
                <w:sz w:val="22"/>
                <w:szCs w:val="22"/>
              </w:rPr>
            </w:pPr>
            <w:r w:rsidRPr="0027440A">
              <w:rPr>
                <w:rFonts w:eastAsia="Calibri"/>
                <w:b/>
                <w:sz w:val="22"/>
                <w:szCs w:val="22"/>
              </w:rPr>
              <w:t>HAP Contracts executed in FY 13</w:t>
            </w:r>
            <w:r w:rsidRPr="0027440A">
              <w:rPr>
                <w:rFonts w:eastAsia="Calibri"/>
                <w:sz w:val="22"/>
                <w:szCs w:val="22"/>
              </w:rPr>
              <w:t xml:space="preserve">:  11 </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Time to Prepare HAP contract prior to implementation</w:t>
            </w:r>
            <w:r w:rsidRPr="0027440A">
              <w:rPr>
                <w:rFonts w:eastAsia="Calibri"/>
                <w:sz w:val="22"/>
                <w:szCs w:val="22"/>
              </w:rPr>
              <w:t>: 2 hours</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Total staff time required prior to implementation</w:t>
            </w:r>
            <w:r w:rsidRPr="0027440A">
              <w:rPr>
                <w:rFonts w:eastAsia="Calibri"/>
                <w:sz w:val="22"/>
                <w:szCs w:val="22"/>
              </w:rPr>
              <w:t>:</w:t>
            </w:r>
          </w:p>
          <w:p w:rsidR="00EB15AE" w:rsidRPr="0027440A" w:rsidRDefault="00FE3E56" w:rsidP="00FE3E56">
            <w:pPr>
              <w:rPr>
                <w:rFonts w:eastAsia="Calibri"/>
                <w:sz w:val="22"/>
                <w:szCs w:val="22"/>
              </w:rPr>
            </w:pPr>
            <w:r w:rsidRPr="0027440A">
              <w:rPr>
                <w:rFonts w:eastAsia="Calibri"/>
                <w:sz w:val="22"/>
                <w:szCs w:val="22"/>
              </w:rPr>
              <w:t>22 hours</w:t>
            </w:r>
          </w:p>
        </w:tc>
        <w:tc>
          <w:tcPr>
            <w:tcW w:w="1915" w:type="dxa"/>
            <w:shd w:val="clear" w:color="auto" w:fill="auto"/>
            <w:vAlign w:val="center"/>
          </w:tcPr>
          <w:p w:rsidR="00FE3E56" w:rsidRPr="0027440A" w:rsidRDefault="00FE3E56" w:rsidP="00FE3E56">
            <w:pPr>
              <w:rPr>
                <w:rFonts w:eastAsia="Calibri"/>
                <w:sz w:val="22"/>
                <w:szCs w:val="22"/>
              </w:rPr>
            </w:pPr>
            <w:r w:rsidRPr="0027440A">
              <w:rPr>
                <w:rFonts w:eastAsia="Calibri"/>
                <w:b/>
                <w:sz w:val="22"/>
                <w:szCs w:val="22"/>
              </w:rPr>
              <w:t xml:space="preserve">Expected HAP Contracts executed in FY </w:t>
            </w:r>
            <w:r w:rsidR="007914A8" w:rsidRPr="0027440A">
              <w:rPr>
                <w:rFonts w:eastAsia="Calibri"/>
                <w:b/>
                <w:sz w:val="22"/>
                <w:szCs w:val="22"/>
              </w:rPr>
              <w:t>20</w:t>
            </w:r>
            <w:r w:rsidRPr="0027440A">
              <w:rPr>
                <w:rFonts w:eastAsia="Calibri"/>
                <w:b/>
                <w:sz w:val="22"/>
                <w:szCs w:val="22"/>
              </w:rPr>
              <w:t>1</w:t>
            </w:r>
            <w:r w:rsidR="009D6E84" w:rsidRPr="0027440A">
              <w:rPr>
                <w:rFonts w:eastAsia="Calibri"/>
                <w:b/>
                <w:sz w:val="22"/>
                <w:szCs w:val="22"/>
              </w:rPr>
              <w:t>7</w:t>
            </w:r>
            <w:r w:rsidR="0027440A" w:rsidRPr="0027440A">
              <w:rPr>
                <w:rFonts w:eastAsia="Calibri"/>
                <w:sz w:val="22"/>
                <w:szCs w:val="22"/>
              </w:rPr>
              <w:t>:  13</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Time to Prepare HAP contract after implementation</w:t>
            </w:r>
            <w:r w:rsidRPr="0027440A">
              <w:rPr>
                <w:rFonts w:eastAsia="Calibri"/>
                <w:sz w:val="22"/>
                <w:szCs w:val="22"/>
              </w:rPr>
              <w:t>: .25 hours</w:t>
            </w:r>
          </w:p>
          <w:p w:rsidR="00FE3E56" w:rsidRPr="0027440A" w:rsidRDefault="00FE3E56" w:rsidP="00FE3E56">
            <w:pPr>
              <w:rPr>
                <w:rFonts w:eastAsia="Calibri"/>
                <w:sz w:val="22"/>
                <w:szCs w:val="22"/>
              </w:rPr>
            </w:pPr>
          </w:p>
          <w:p w:rsidR="00FE3E56" w:rsidRPr="0027440A" w:rsidRDefault="00FE3E56" w:rsidP="00FE3E56">
            <w:pPr>
              <w:rPr>
                <w:rFonts w:eastAsia="Calibri"/>
                <w:sz w:val="22"/>
                <w:szCs w:val="22"/>
              </w:rPr>
            </w:pPr>
            <w:r w:rsidRPr="0027440A">
              <w:rPr>
                <w:rFonts w:eastAsia="Calibri"/>
                <w:b/>
                <w:sz w:val="22"/>
                <w:szCs w:val="22"/>
              </w:rPr>
              <w:t>Total staff time required after implementation</w:t>
            </w:r>
            <w:r w:rsidRPr="0027440A">
              <w:rPr>
                <w:rFonts w:eastAsia="Calibri"/>
                <w:sz w:val="22"/>
                <w:szCs w:val="22"/>
              </w:rPr>
              <w:t>:</w:t>
            </w:r>
          </w:p>
          <w:p w:rsidR="00EB15AE" w:rsidRPr="0027440A" w:rsidRDefault="0027440A" w:rsidP="00FE3E56">
            <w:pPr>
              <w:rPr>
                <w:rFonts w:eastAsia="Calibri"/>
                <w:sz w:val="22"/>
                <w:szCs w:val="22"/>
              </w:rPr>
            </w:pPr>
            <w:r w:rsidRPr="0027440A">
              <w:rPr>
                <w:rFonts w:eastAsia="Calibri"/>
                <w:sz w:val="22"/>
                <w:szCs w:val="22"/>
              </w:rPr>
              <w:t>3.25</w:t>
            </w:r>
            <w:r w:rsidR="00FE3E56" w:rsidRPr="0027440A">
              <w:rPr>
                <w:rFonts w:eastAsia="Calibri"/>
                <w:sz w:val="22"/>
                <w:szCs w:val="22"/>
              </w:rPr>
              <w:t xml:space="preserve"> hours</w:t>
            </w:r>
          </w:p>
        </w:tc>
        <w:tc>
          <w:tcPr>
            <w:tcW w:w="1915" w:type="dxa"/>
            <w:shd w:val="clear" w:color="auto" w:fill="auto"/>
          </w:tcPr>
          <w:p w:rsidR="00EB15AE" w:rsidRPr="00A729BD" w:rsidRDefault="00EB15AE" w:rsidP="00B82342">
            <w:pPr>
              <w:jc w:val="center"/>
              <w:rPr>
                <w:rFonts w:eastAsia="Calibri"/>
                <w:sz w:val="22"/>
                <w:szCs w:val="22"/>
              </w:rPr>
            </w:pPr>
          </w:p>
        </w:tc>
        <w:tc>
          <w:tcPr>
            <w:tcW w:w="1916" w:type="dxa"/>
            <w:shd w:val="clear" w:color="auto" w:fill="auto"/>
          </w:tcPr>
          <w:p w:rsidR="00EB15AE" w:rsidRPr="00A729BD" w:rsidRDefault="00EB15AE" w:rsidP="00B82342">
            <w:pPr>
              <w:jc w:val="center"/>
              <w:rPr>
                <w:rFonts w:eastAsia="Calibri"/>
                <w:sz w:val="22"/>
                <w:szCs w:val="22"/>
              </w:rPr>
            </w:pPr>
          </w:p>
        </w:tc>
      </w:tr>
    </w:tbl>
    <w:p w:rsidR="0013595A" w:rsidRPr="003F655B" w:rsidRDefault="003F660F" w:rsidP="0013595A">
      <w:pPr>
        <w:rPr>
          <w:b/>
          <w:color w:val="000000"/>
          <w:u w:val="single"/>
        </w:rPr>
      </w:pPr>
      <w:r w:rsidRPr="003F655B">
        <w:rPr>
          <w:b/>
          <w:color w:val="000000"/>
          <w:u w:val="single"/>
        </w:rPr>
        <w:br w:type="page"/>
      </w:r>
    </w:p>
    <w:p w:rsidR="005E3062" w:rsidRPr="003F655B" w:rsidRDefault="005E3062" w:rsidP="005E3062">
      <w:pPr>
        <w:rPr>
          <w:b/>
          <w:color w:val="000000"/>
          <w:u w:val="single"/>
        </w:rPr>
      </w:pPr>
      <w:r w:rsidRPr="003F655B">
        <w:rPr>
          <w:b/>
          <w:color w:val="000000"/>
          <w:u w:val="single"/>
        </w:rPr>
        <w:t>Activity 2011-4:  Biennial Recertification Process</w:t>
      </w:r>
    </w:p>
    <w:p w:rsidR="005E3062" w:rsidRPr="003F655B" w:rsidRDefault="005E3062" w:rsidP="005E3062">
      <w:pPr>
        <w:rPr>
          <w:color w:val="000000"/>
        </w:rPr>
      </w:pPr>
    </w:p>
    <w:p w:rsidR="005E3062" w:rsidRPr="004F3163" w:rsidRDefault="005E3062" w:rsidP="004F3163">
      <w:pPr>
        <w:jc w:val="both"/>
      </w:pPr>
      <w:r w:rsidRPr="004F3163">
        <w:rPr>
          <w:b/>
          <w:color w:val="000000"/>
        </w:rPr>
        <w:t>Description/Update of MTW Activity</w:t>
      </w:r>
      <w:r w:rsidRPr="004F3163">
        <w:rPr>
          <w:color w:val="000000"/>
        </w:rPr>
        <w:t xml:space="preserve">:  </w:t>
      </w:r>
      <w:r w:rsidR="001819EB" w:rsidRPr="004F3163">
        <w:rPr>
          <w:color w:val="000000"/>
        </w:rPr>
        <w:t xml:space="preserve">Under this initiative, the recertification process has been modified from an annual to a biennial process. </w:t>
      </w:r>
      <w:r w:rsidRPr="004F3163">
        <w:t xml:space="preserve">DHCD initially planned to apply the biennial recertification policy to households on fixed income only; however, DHCD subsequently modified the initiative in the FY 2012 Annual Plan. The modified initiative includes the following recertification policies: </w:t>
      </w:r>
    </w:p>
    <w:p w:rsidR="005E3062" w:rsidRPr="004F3163" w:rsidRDefault="005E3062" w:rsidP="005E3062"/>
    <w:p w:rsidR="005E3062" w:rsidRPr="004F3163" w:rsidRDefault="005E3062" w:rsidP="004F3163">
      <w:pPr>
        <w:numPr>
          <w:ilvl w:val="0"/>
          <w:numId w:val="12"/>
        </w:numPr>
        <w:ind w:left="1080" w:hanging="450"/>
        <w:jc w:val="both"/>
      </w:pPr>
      <w:r w:rsidRPr="004F3163">
        <w:t xml:space="preserve">Allow biennial recertifications for all MTW households; </w:t>
      </w:r>
    </w:p>
    <w:p w:rsidR="005E3062" w:rsidRPr="004F3163" w:rsidRDefault="00E257C4" w:rsidP="004F3163">
      <w:pPr>
        <w:numPr>
          <w:ilvl w:val="0"/>
          <w:numId w:val="12"/>
        </w:numPr>
        <w:ind w:left="1080" w:hanging="450"/>
        <w:jc w:val="both"/>
      </w:pPr>
      <w:r w:rsidRPr="004F3163">
        <w:rPr>
          <w:color w:val="000000"/>
        </w:rPr>
        <w:t>Limit the number of voluntary interim recertifications that a MTW family may complete between regul</w:t>
      </w:r>
      <w:r w:rsidR="00944FD9">
        <w:rPr>
          <w:color w:val="000000"/>
        </w:rPr>
        <w:t>ar biennial recertifications to</w:t>
      </w:r>
      <w:r w:rsidR="00E67EF1" w:rsidRPr="00E67EF1">
        <w:rPr>
          <w:color w:val="000000"/>
        </w:rPr>
        <w:t xml:space="preserve"> </w:t>
      </w:r>
      <w:r w:rsidRPr="004F3163">
        <w:rPr>
          <w:color w:val="000000"/>
        </w:rPr>
        <w:t>two</w:t>
      </w:r>
      <w:r w:rsidR="00944FD9">
        <w:rPr>
          <w:color w:val="000000"/>
        </w:rPr>
        <w:t xml:space="preserve"> (2)</w:t>
      </w:r>
      <w:r w:rsidRPr="004F3163">
        <w:rPr>
          <w:color w:val="000000"/>
        </w:rPr>
        <w:t>.  Required interim recertifications do not count against the limit, i.e., interims required for changes in family composition</w:t>
      </w:r>
      <w:r w:rsidR="00E96DF2">
        <w:rPr>
          <w:color w:val="000000"/>
        </w:rPr>
        <w:t xml:space="preserve"> or otherwise required by DHCD.</w:t>
      </w:r>
      <w:r w:rsidRPr="004F3163">
        <w:rPr>
          <w:color w:val="000000"/>
        </w:rPr>
        <w:t xml:space="preserve">  A hardship policy has been adopted to allow households whose loss of income is greater than 30% and beyond the household’s control to request an exemption from the limit on interims.  Elderly and disabled households</w:t>
      </w:r>
      <w:r w:rsidRPr="004F3163">
        <w:t xml:space="preserve">, as well as households who live in an Expiring Use project on the </w:t>
      </w:r>
      <w:r w:rsidR="00E67EF1" w:rsidRPr="004F3163">
        <w:t>conversion date and select a PBV</w:t>
      </w:r>
      <w:r w:rsidRPr="004F3163">
        <w:t>,</w:t>
      </w:r>
      <w:r w:rsidRPr="004F3163">
        <w:rPr>
          <w:color w:val="000000"/>
        </w:rPr>
        <w:t xml:space="preserve"> are exempt from this provision and are able to complete an interim recertification at any time;</w:t>
      </w:r>
    </w:p>
    <w:p w:rsidR="005E3062" w:rsidRPr="004F3163" w:rsidRDefault="005E3062" w:rsidP="004F3163">
      <w:pPr>
        <w:numPr>
          <w:ilvl w:val="0"/>
          <w:numId w:val="12"/>
        </w:numPr>
        <w:ind w:left="1080" w:hanging="450"/>
        <w:jc w:val="both"/>
      </w:pPr>
      <w:r w:rsidRPr="004F3163">
        <w:t xml:space="preserve">Any household that believes they would benefit by an annual recertification may request an annual income recertification. </w:t>
      </w:r>
      <w:r w:rsidR="00096A0D">
        <w:t>If a household has requested and is approved for an annual recertification frequency, DHCD will allow one voluntary interim recertification between annual recertifications.</w:t>
      </w:r>
    </w:p>
    <w:p w:rsidR="005E3062" w:rsidRPr="00273A2E" w:rsidRDefault="005E3062" w:rsidP="005E3062">
      <w:pPr>
        <w:rPr>
          <w:highlight w:val="yellow"/>
        </w:rPr>
      </w:pPr>
    </w:p>
    <w:p w:rsidR="005E3062" w:rsidRPr="004F3163" w:rsidRDefault="005E3062" w:rsidP="004F3163">
      <w:pPr>
        <w:jc w:val="both"/>
      </w:pPr>
      <w:r w:rsidRPr="004F3163">
        <w:t>DHCD continues to utilize the Enterprise Income Verification (EIV) system for screening of applican</w:t>
      </w:r>
      <w:r w:rsidR="00E96DF2">
        <w:t>ts and new household members</w:t>
      </w:r>
      <w:r w:rsidRPr="004F3163">
        <w:t xml:space="preserve"> during the regular and interim recertification process.  The EIV system’s existing tenant search, prior debt and adverse termination reports are run for applicants a</w:t>
      </w:r>
      <w:r w:rsidR="00E96DF2">
        <w:t>nd new household members.  EIV i</w:t>
      </w:r>
      <w:r w:rsidRPr="004F3163">
        <w:t>nc</w:t>
      </w:r>
      <w:r w:rsidR="00E96DF2">
        <w:t>ome r</w:t>
      </w:r>
      <w:r w:rsidRPr="004F3163">
        <w:t>eports are used to verify and calculate S</w:t>
      </w:r>
      <w:r w:rsidR="00E96DF2">
        <w:t xml:space="preserve">ocial </w:t>
      </w:r>
      <w:r w:rsidRPr="004F3163">
        <w:t>S</w:t>
      </w:r>
      <w:r w:rsidR="00E96DF2">
        <w:t>ecurity</w:t>
      </w:r>
      <w:r w:rsidRPr="004F3163">
        <w:t>, SSI benefits and Medicare insurance premiums, but are not generally used to calculate earned income a</w:t>
      </w:r>
      <w:r w:rsidR="00E96DF2">
        <w:t>nd unemployment benefits.  EIV income r</w:t>
      </w:r>
      <w:r w:rsidRPr="004F3163">
        <w:t>eports are used to validate income from sources such as wages and unemployment benefits.  EIV income reports are also used during the regular and interim reexamination process to identify any current and/or prio</w:t>
      </w:r>
      <w:r w:rsidR="00E96DF2">
        <w:t>r discrepancies between tenant-</w:t>
      </w:r>
      <w:r w:rsidRPr="004F3163">
        <w:t xml:space="preserve">reported income and income shown in the EIV system.  EIV is also used to verify that families claiming zero income are not receiving income from any of the EIV reported sources.  DHCD utilizes the EIV Identity Verification Reports on a continuous basis for ID discrepancy matching errors with respect to PIC50058-MTW as a primary compliance tool after conversion from conventional PIC50058.  The EIV Deceased Tenant Report is monitored by DHCD </w:t>
      </w:r>
      <w:r w:rsidR="0076228E">
        <w:t>on a regular basis.</w:t>
      </w:r>
    </w:p>
    <w:p w:rsidR="005E3062" w:rsidRPr="004F3163" w:rsidRDefault="005E3062" w:rsidP="004F3163">
      <w:pPr>
        <w:jc w:val="both"/>
      </w:pPr>
    </w:p>
    <w:p w:rsidR="005E3062" w:rsidRPr="004F3163" w:rsidRDefault="005E3062" w:rsidP="004F3163">
      <w:pPr>
        <w:jc w:val="both"/>
      </w:pPr>
      <w:r w:rsidRPr="004F3163">
        <w:t>This initiative i</w:t>
      </w:r>
      <w:r w:rsidR="00E67EF1" w:rsidRPr="004F3163">
        <w:t xml:space="preserve">s fully implemented.  In FY </w:t>
      </w:r>
      <w:r w:rsidR="005B7E63">
        <w:t>2017</w:t>
      </w:r>
      <w:r w:rsidRPr="004F3163">
        <w:t xml:space="preserve">, DHCD plans to continue the biennial recertification process.  DHCD continues to benefit from the reduction in staff time for processing recertifications.  </w:t>
      </w:r>
    </w:p>
    <w:p w:rsidR="005E3062" w:rsidRPr="00273A2E" w:rsidRDefault="005E3062" w:rsidP="005E3062">
      <w:pPr>
        <w:rPr>
          <w:color w:val="000000"/>
          <w:highlight w:val="yellow"/>
        </w:rPr>
      </w:pPr>
    </w:p>
    <w:p w:rsidR="005E3062" w:rsidRDefault="005E3062" w:rsidP="00E96DF2">
      <w:pPr>
        <w:jc w:val="both"/>
        <w:rPr>
          <w:color w:val="000000"/>
        </w:rPr>
      </w:pPr>
      <w:r w:rsidRPr="004F3163">
        <w:rPr>
          <w:b/>
          <w:color w:val="000000"/>
        </w:rPr>
        <w:t xml:space="preserve">Proposed Changes to Activity: </w:t>
      </w:r>
      <w:r w:rsidR="0076228E">
        <w:rPr>
          <w:color w:val="000000"/>
        </w:rPr>
        <w:t>No changes are proposed.</w:t>
      </w:r>
    </w:p>
    <w:p w:rsidR="0076228E" w:rsidRPr="003F655B" w:rsidRDefault="0076228E" w:rsidP="00E96DF2">
      <w:pPr>
        <w:jc w:val="both"/>
        <w:rPr>
          <w:b/>
          <w:color w:val="000000"/>
        </w:rPr>
      </w:pPr>
    </w:p>
    <w:p w:rsidR="005E3062" w:rsidRPr="003F655B" w:rsidRDefault="005E3062" w:rsidP="00E96DF2">
      <w:pPr>
        <w:jc w:val="both"/>
        <w:rPr>
          <w:color w:val="000000"/>
        </w:rPr>
      </w:pPr>
      <w:r w:rsidRPr="003F655B">
        <w:rPr>
          <w:b/>
          <w:color w:val="000000"/>
        </w:rPr>
        <w:t xml:space="preserve">Approval and Implementation: </w:t>
      </w:r>
      <w:r w:rsidRPr="003F655B">
        <w:rPr>
          <w:color w:val="000000"/>
        </w:rPr>
        <w:t>2011 – Implementation activities began in FY 2012.</w:t>
      </w:r>
    </w:p>
    <w:p w:rsidR="001819EB" w:rsidRDefault="001819EB" w:rsidP="005E3062">
      <w:pPr>
        <w:rPr>
          <w:b/>
          <w:color w:val="000000"/>
        </w:rPr>
      </w:pPr>
    </w:p>
    <w:p w:rsidR="000E1363" w:rsidRDefault="000E1363" w:rsidP="00E96DF2">
      <w:pPr>
        <w:jc w:val="both"/>
        <w:rPr>
          <w:b/>
          <w:color w:val="000000"/>
        </w:rPr>
      </w:pPr>
      <w:r>
        <w:rPr>
          <w:b/>
        </w:rPr>
        <w:t xml:space="preserve">Changes to Baseline, Benchmarks &amp; Metrics: </w:t>
      </w:r>
      <w:r>
        <w:t>The benchmarks have been updated to reflect FY 2017 projections for this activity.</w:t>
      </w:r>
      <w:r w:rsidR="00E96DF2">
        <w:t xml:space="preserve"> </w:t>
      </w:r>
      <w:r>
        <w:t xml:space="preserve"> DHCD will report on outcomes in the MTW Annual Report</w:t>
      </w:r>
      <w:r w:rsidR="00E96DF2">
        <w:t>.</w:t>
      </w:r>
    </w:p>
    <w:p w:rsidR="000E1363" w:rsidRDefault="000E1363" w:rsidP="005E3062">
      <w:pPr>
        <w:rPr>
          <w:b/>
          <w:color w:val="000000"/>
        </w:rPr>
      </w:pPr>
    </w:p>
    <w:p w:rsidR="0002423B" w:rsidRDefault="0015013E" w:rsidP="005E3062">
      <w:pPr>
        <w:rPr>
          <w:color w:val="000000"/>
        </w:rPr>
      </w:pPr>
      <w:r>
        <w:rPr>
          <w:b/>
          <w:color w:val="000000"/>
        </w:rPr>
        <w:t>Metrics</w:t>
      </w:r>
      <w:r w:rsidR="00BA1074">
        <w:rPr>
          <w:color w:val="000000"/>
        </w:rPr>
        <w:t>:</w:t>
      </w:r>
    </w:p>
    <w:p w:rsidR="004F3163" w:rsidRPr="009342C8" w:rsidRDefault="004F3163" w:rsidP="005E306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01"/>
        <w:gridCol w:w="1898"/>
        <w:gridCol w:w="1826"/>
        <w:gridCol w:w="1853"/>
      </w:tblGrid>
      <w:tr w:rsidR="005E3062" w:rsidRPr="009342C8" w:rsidTr="00E96DF2">
        <w:trPr>
          <w:trHeight w:val="314"/>
        </w:trPr>
        <w:tc>
          <w:tcPr>
            <w:tcW w:w="9576" w:type="dxa"/>
            <w:gridSpan w:val="5"/>
            <w:shd w:val="clear" w:color="auto" w:fill="C6D9F1" w:themeFill="text2" w:themeFillTint="33"/>
            <w:hideMark/>
          </w:tcPr>
          <w:p w:rsidR="005E3062" w:rsidRPr="009342C8" w:rsidRDefault="005E3062" w:rsidP="004172B2">
            <w:pPr>
              <w:jc w:val="center"/>
              <w:rPr>
                <w:rFonts w:eastAsia="Calibri"/>
                <w:b/>
                <w:bCs/>
                <w:i/>
                <w:iCs/>
                <w:sz w:val="22"/>
                <w:szCs w:val="22"/>
              </w:rPr>
            </w:pPr>
            <w:r w:rsidRPr="009342C8">
              <w:rPr>
                <w:rFonts w:eastAsia="Calibri"/>
                <w:b/>
                <w:bCs/>
                <w:i/>
                <w:iCs/>
                <w:sz w:val="22"/>
                <w:szCs w:val="22"/>
              </w:rPr>
              <w:t>CE #1: Agency Cost Savings</w:t>
            </w:r>
          </w:p>
        </w:tc>
      </w:tr>
      <w:tr w:rsidR="005E3062" w:rsidRPr="009342C8" w:rsidTr="00E96DF2">
        <w:trPr>
          <w:trHeight w:val="615"/>
        </w:trPr>
        <w:tc>
          <w:tcPr>
            <w:tcW w:w="1915" w:type="dxa"/>
            <w:shd w:val="clear" w:color="auto" w:fill="D9D9D9" w:themeFill="background1" w:themeFillShade="D9"/>
            <w:vAlign w:val="center"/>
            <w:hideMark/>
          </w:tcPr>
          <w:p w:rsidR="005E3062" w:rsidRPr="009342C8" w:rsidRDefault="005E3062" w:rsidP="009472B1">
            <w:pPr>
              <w:jc w:val="center"/>
              <w:rPr>
                <w:rFonts w:eastAsia="Calibri"/>
                <w:b/>
                <w:bCs/>
                <w:sz w:val="22"/>
                <w:szCs w:val="22"/>
              </w:rPr>
            </w:pPr>
            <w:r w:rsidRPr="009342C8">
              <w:rPr>
                <w:rFonts w:eastAsia="Calibri"/>
                <w:b/>
                <w:bCs/>
                <w:sz w:val="22"/>
                <w:szCs w:val="22"/>
              </w:rPr>
              <w:t>Unit of Measurement</w:t>
            </w:r>
          </w:p>
        </w:tc>
        <w:tc>
          <w:tcPr>
            <w:tcW w:w="1915" w:type="dxa"/>
            <w:shd w:val="clear" w:color="auto" w:fill="D9D9D9" w:themeFill="background1" w:themeFillShade="D9"/>
            <w:vAlign w:val="center"/>
            <w:hideMark/>
          </w:tcPr>
          <w:p w:rsidR="005E3062" w:rsidRPr="009342C8" w:rsidRDefault="005E3062" w:rsidP="009472B1">
            <w:pPr>
              <w:jc w:val="center"/>
              <w:rPr>
                <w:rFonts w:eastAsia="Calibri"/>
                <w:b/>
                <w:bCs/>
                <w:sz w:val="22"/>
                <w:szCs w:val="22"/>
              </w:rPr>
            </w:pPr>
            <w:r w:rsidRPr="009342C8">
              <w:rPr>
                <w:rFonts w:eastAsia="Calibri"/>
                <w:b/>
                <w:bCs/>
                <w:sz w:val="22"/>
                <w:szCs w:val="22"/>
              </w:rPr>
              <w:t>Baseline</w:t>
            </w:r>
          </w:p>
        </w:tc>
        <w:tc>
          <w:tcPr>
            <w:tcW w:w="1915" w:type="dxa"/>
            <w:shd w:val="clear" w:color="auto" w:fill="D9D9D9" w:themeFill="background1" w:themeFillShade="D9"/>
            <w:vAlign w:val="center"/>
            <w:hideMark/>
          </w:tcPr>
          <w:p w:rsidR="005E3062" w:rsidRPr="009342C8" w:rsidRDefault="005E3062" w:rsidP="009472B1">
            <w:pPr>
              <w:jc w:val="center"/>
              <w:rPr>
                <w:rFonts w:eastAsia="Calibri"/>
                <w:b/>
                <w:bCs/>
                <w:sz w:val="22"/>
                <w:szCs w:val="22"/>
              </w:rPr>
            </w:pPr>
            <w:r w:rsidRPr="009342C8">
              <w:rPr>
                <w:rFonts w:eastAsia="Calibri"/>
                <w:b/>
                <w:bCs/>
                <w:sz w:val="22"/>
                <w:szCs w:val="22"/>
              </w:rPr>
              <w:t>Benchmark</w:t>
            </w:r>
          </w:p>
        </w:tc>
        <w:tc>
          <w:tcPr>
            <w:tcW w:w="1915" w:type="dxa"/>
            <w:shd w:val="clear" w:color="auto" w:fill="D9D9D9" w:themeFill="background1" w:themeFillShade="D9"/>
            <w:vAlign w:val="center"/>
            <w:hideMark/>
          </w:tcPr>
          <w:p w:rsidR="005E3062" w:rsidRPr="009342C8" w:rsidRDefault="005E3062" w:rsidP="009472B1">
            <w:pPr>
              <w:jc w:val="center"/>
              <w:rPr>
                <w:rFonts w:eastAsia="Calibri"/>
                <w:b/>
                <w:bCs/>
                <w:sz w:val="22"/>
                <w:szCs w:val="22"/>
              </w:rPr>
            </w:pPr>
            <w:r w:rsidRPr="009342C8">
              <w:rPr>
                <w:rFonts w:eastAsia="Calibri"/>
                <w:b/>
                <w:bCs/>
                <w:sz w:val="22"/>
                <w:szCs w:val="22"/>
              </w:rPr>
              <w:t>Outcome</w:t>
            </w:r>
          </w:p>
        </w:tc>
        <w:tc>
          <w:tcPr>
            <w:tcW w:w="1916" w:type="dxa"/>
            <w:shd w:val="clear" w:color="auto" w:fill="D9D9D9" w:themeFill="background1" w:themeFillShade="D9"/>
            <w:vAlign w:val="center"/>
            <w:hideMark/>
          </w:tcPr>
          <w:p w:rsidR="005E3062" w:rsidRPr="009342C8" w:rsidRDefault="005E3062" w:rsidP="009472B1">
            <w:pPr>
              <w:jc w:val="center"/>
              <w:rPr>
                <w:rFonts w:eastAsia="Calibri"/>
                <w:b/>
                <w:bCs/>
                <w:sz w:val="22"/>
                <w:szCs w:val="22"/>
              </w:rPr>
            </w:pPr>
            <w:r w:rsidRPr="009342C8">
              <w:rPr>
                <w:rFonts w:eastAsia="Calibri"/>
                <w:b/>
                <w:bCs/>
                <w:sz w:val="22"/>
                <w:szCs w:val="22"/>
              </w:rPr>
              <w:t>Benchmark Achieved?</w:t>
            </w:r>
          </w:p>
        </w:tc>
      </w:tr>
      <w:tr w:rsidR="005E3062" w:rsidRPr="006A2360" w:rsidTr="004E49FD">
        <w:trPr>
          <w:trHeight w:val="521"/>
        </w:trPr>
        <w:tc>
          <w:tcPr>
            <w:tcW w:w="1915" w:type="dxa"/>
            <w:shd w:val="clear" w:color="auto" w:fill="auto"/>
            <w:hideMark/>
          </w:tcPr>
          <w:p w:rsidR="005E3062" w:rsidRPr="006A2360" w:rsidRDefault="005E3062" w:rsidP="009472B1">
            <w:pPr>
              <w:rPr>
                <w:rFonts w:eastAsia="Calibri"/>
                <w:sz w:val="22"/>
                <w:szCs w:val="22"/>
              </w:rPr>
            </w:pPr>
            <w:r w:rsidRPr="006A2360">
              <w:rPr>
                <w:rFonts w:eastAsia="Calibri"/>
                <w:sz w:val="22"/>
                <w:szCs w:val="22"/>
              </w:rPr>
              <w:t>Total cost of task in dollars (decrease).</w:t>
            </w:r>
          </w:p>
        </w:tc>
        <w:tc>
          <w:tcPr>
            <w:tcW w:w="1915" w:type="dxa"/>
            <w:shd w:val="clear" w:color="auto" w:fill="auto"/>
          </w:tcPr>
          <w:p w:rsidR="009342C8" w:rsidRPr="006A2360" w:rsidRDefault="004B2703" w:rsidP="004B2703">
            <w:pPr>
              <w:rPr>
                <w:rFonts w:eastAsia="Calibri"/>
                <w:sz w:val="22"/>
                <w:szCs w:val="22"/>
              </w:rPr>
            </w:pPr>
            <w:r w:rsidRPr="006A2360">
              <w:rPr>
                <w:rFonts w:eastAsia="Calibri"/>
                <w:b/>
                <w:sz w:val="22"/>
                <w:szCs w:val="22"/>
              </w:rPr>
              <w:t>Number of vouchers</w:t>
            </w:r>
            <w:r w:rsidRPr="006A2360">
              <w:rPr>
                <w:rFonts w:eastAsia="Calibri"/>
                <w:sz w:val="22"/>
                <w:szCs w:val="22"/>
              </w:rPr>
              <w:t>: 20,298</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Time per Recertification</w:t>
            </w:r>
            <w:r w:rsidRPr="006A2360">
              <w:rPr>
                <w:rFonts w:eastAsia="Calibri"/>
                <w:sz w:val="22"/>
                <w:szCs w:val="22"/>
              </w:rPr>
              <w:t>: 2.5 hours</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Average Hourly Staff Rate</w:t>
            </w:r>
            <w:r w:rsidRPr="006A2360">
              <w:rPr>
                <w:rFonts w:eastAsia="Calibri"/>
                <w:sz w:val="22"/>
                <w:szCs w:val="22"/>
              </w:rPr>
              <w:t>: $18.17</w:t>
            </w:r>
          </w:p>
          <w:p w:rsidR="004B2703" w:rsidRPr="006A2360" w:rsidRDefault="004B2703" w:rsidP="004B2703">
            <w:pPr>
              <w:rPr>
                <w:rFonts w:eastAsia="Calibri"/>
                <w:sz w:val="22"/>
                <w:szCs w:val="22"/>
              </w:rPr>
            </w:pPr>
          </w:p>
          <w:p w:rsidR="004B2703" w:rsidRPr="006A2360" w:rsidRDefault="004B2703" w:rsidP="00770317">
            <w:pPr>
              <w:rPr>
                <w:rFonts w:eastAsia="Calibri"/>
                <w:sz w:val="22"/>
                <w:szCs w:val="22"/>
              </w:rPr>
            </w:pPr>
            <w:r w:rsidRPr="006A2360">
              <w:rPr>
                <w:rFonts w:eastAsia="Calibri"/>
                <w:b/>
                <w:sz w:val="22"/>
                <w:szCs w:val="22"/>
              </w:rPr>
              <w:t>Total Cost of Activity Prior to Implementation</w:t>
            </w:r>
            <w:r w:rsidRPr="006A2360">
              <w:rPr>
                <w:rFonts w:eastAsia="Calibri"/>
                <w:sz w:val="22"/>
                <w:szCs w:val="22"/>
              </w:rPr>
              <w:t>: $922,</w:t>
            </w:r>
            <w:r w:rsidR="00770317" w:rsidRPr="006A2360">
              <w:rPr>
                <w:rFonts w:eastAsia="Calibri"/>
                <w:sz w:val="22"/>
                <w:szCs w:val="22"/>
              </w:rPr>
              <w:t>037</w:t>
            </w:r>
          </w:p>
        </w:tc>
        <w:tc>
          <w:tcPr>
            <w:tcW w:w="1915" w:type="dxa"/>
            <w:shd w:val="clear" w:color="auto" w:fill="auto"/>
          </w:tcPr>
          <w:p w:rsidR="001829F2" w:rsidRPr="006A2360" w:rsidRDefault="008679DE" w:rsidP="004B2703">
            <w:pPr>
              <w:rPr>
                <w:rFonts w:eastAsia="Calibri"/>
                <w:sz w:val="22"/>
                <w:szCs w:val="22"/>
              </w:rPr>
            </w:pPr>
            <w:r w:rsidRPr="006A2360">
              <w:rPr>
                <w:rFonts w:eastAsia="Calibri"/>
                <w:b/>
                <w:sz w:val="22"/>
                <w:szCs w:val="22"/>
              </w:rPr>
              <w:t>Anticipated Number</w:t>
            </w:r>
            <w:r w:rsidR="004B2703" w:rsidRPr="006A2360">
              <w:rPr>
                <w:rFonts w:eastAsia="Calibri"/>
                <w:b/>
                <w:sz w:val="22"/>
                <w:szCs w:val="22"/>
              </w:rPr>
              <w:t xml:space="preserve"> of Recertifications</w:t>
            </w:r>
            <w:r w:rsidR="00663DFF">
              <w:rPr>
                <w:rFonts w:eastAsia="Calibri"/>
                <w:sz w:val="22"/>
                <w:szCs w:val="22"/>
              </w:rPr>
              <w:t>: 10,230</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Time per Recertification</w:t>
            </w:r>
            <w:r w:rsidR="007225B0" w:rsidRPr="006A2360">
              <w:rPr>
                <w:rFonts w:eastAsia="Calibri"/>
                <w:sz w:val="22"/>
                <w:szCs w:val="22"/>
              </w:rPr>
              <w:t>: 2.25</w:t>
            </w:r>
            <w:r w:rsidRPr="006A2360">
              <w:rPr>
                <w:rFonts w:eastAsia="Calibri"/>
                <w:sz w:val="22"/>
                <w:szCs w:val="22"/>
              </w:rPr>
              <w:t xml:space="preserve"> hours </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Average Hourly Staff Rate</w:t>
            </w:r>
            <w:r w:rsidRPr="006A2360">
              <w:rPr>
                <w:rFonts w:eastAsia="Calibri"/>
                <w:sz w:val="22"/>
                <w:szCs w:val="22"/>
              </w:rPr>
              <w:t>: $18.17</w:t>
            </w:r>
          </w:p>
          <w:p w:rsidR="004B2703" w:rsidRPr="006A2360" w:rsidRDefault="004B2703" w:rsidP="004B2703">
            <w:pPr>
              <w:rPr>
                <w:rFonts w:eastAsia="Calibri"/>
                <w:sz w:val="22"/>
                <w:szCs w:val="22"/>
              </w:rPr>
            </w:pPr>
          </w:p>
          <w:p w:rsidR="004B2703" w:rsidRPr="006A2360" w:rsidRDefault="005E25DA" w:rsidP="004B2703">
            <w:pPr>
              <w:rPr>
                <w:rFonts w:eastAsia="Calibri"/>
                <w:sz w:val="22"/>
                <w:szCs w:val="22"/>
              </w:rPr>
            </w:pPr>
            <w:r w:rsidRPr="006A2360">
              <w:rPr>
                <w:rFonts w:eastAsia="Calibri"/>
                <w:b/>
                <w:sz w:val="22"/>
                <w:szCs w:val="22"/>
              </w:rPr>
              <w:t xml:space="preserve">Anticipated </w:t>
            </w:r>
            <w:r w:rsidR="004B2703" w:rsidRPr="006A2360">
              <w:rPr>
                <w:rFonts w:eastAsia="Calibri"/>
                <w:b/>
                <w:sz w:val="22"/>
                <w:szCs w:val="22"/>
              </w:rPr>
              <w:t>Total Cost of Activity in FY 2016</w:t>
            </w:r>
            <w:r w:rsidR="004B2703" w:rsidRPr="006A2360">
              <w:rPr>
                <w:rFonts w:eastAsia="Calibri"/>
                <w:sz w:val="22"/>
                <w:szCs w:val="22"/>
              </w:rPr>
              <w:t>: $</w:t>
            </w:r>
            <w:r w:rsidR="00663DFF">
              <w:rPr>
                <w:rFonts w:eastAsia="Calibri"/>
                <w:sz w:val="22"/>
                <w:szCs w:val="22"/>
              </w:rPr>
              <w:t>418,237</w:t>
            </w:r>
            <w:r w:rsidR="004B2703" w:rsidRPr="006A2360">
              <w:rPr>
                <w:rFonts w:eastAsia="Calibri"/>
                <w:sz w:val="22"/>
                <w:szCs w:val="22"/>
              </w:rPr>
              <w:t>*</w:t>
            </w:r>
          </w:p>
          <w:p w:rsidR="004B2703" w:rsidRPr="006A2360" w:rsidRDefault="004B2703" w:rsidP="004B2703">
            <w:pPr>
              <w:rPr>
                <w:rFonts w:eastAsia="Calibri"/>
                <w:sz w:val="22"/>
                <w:szCs w:val="22"/>
              </w:rPr>
            </w:pPr>
          </w:p>
          <w:p w:rsidR="001829F2" w:rsidRPr="006A2360" w:rsidRDefault="001829F2" w:rsidP="001829F2">
            <w:pPr>
              <w:rPr>
                <w:rFonts w:eastAsia="Calibri"/>
                <w:sz w:val="22"/>
                <w:szCs w:val="22"/>
              </w:rPr>
            </w:pPr>
            <w:r w:rsidRPr="006A2360">
              <w:rPr>
                <w:rFonts w:eastAsia="Calibri"/>
                <w:sz w:val="22"/>
                <w:szCs w:val="22"/>
              </w:rPr>
              <w:t>*Accounts for cost savings from Biennial Recertifications and Rent Simplification.</w:t>
            </w:r>
          </w:p>
          <w:p w:rsidR="001829F2" w:rsidRPr="006A2360" w:rsidRDefault="001829F2" w:rsidP="00AA4D3B">
            <w:pPr>
              <w:jc w:val="center"/>
              <w:rPr>
                <w:rFonts w:eastAsia="Calibri"/>
                <w:sz w:val="22"/>
                <w:szCs w:val="22"/>
              </w:rPr>
            </w:pPr>
          </w:p>
        </w:tc>
        <w:tc>
          <w:tcPr>
            <w:tcW w:w="1915" w:type="dxa"/>
            <w:shd w:val="clear" w:color="auto" w:fill="auto"/>
          </w:tcPr>
          <w:p w:rsidR="005E3062" w:rsidRPr="006A2360" w:rsidRDefault="005E3062" w:rsidP="009472B1">
            <w:pPr>
              <w:jc w:val="center"/>
              <w:rPr>
                <w:rFonts w:eastAsia="Calibri"/>
                <w:sz w:val="22"/>
                <w:szCs w:val="22"/>
              </w:rPr>
            </w:pPr>
          </w:p>
        </w:tc>
        <w:tc>
          <w:tcPr>
            <w:tcW w:w="1916" w:type="dxa"/>
            <w:shd w:val="clear" w:color="auto" w:fill="auto"/>
          </w:tcPr>
          <w:p w:rsidR="005E3062" w:rsidRPr="006A2360" w:rsidRDefault="005E3062" w:rsidP="009472B1">
            <w:pPr>
              <w:jc w:val="center"/>
              <w:rPr>
                <w:rFonts w:eastAsia="Calibri"/>
                <w:sz w:val="22"/>
                <w:szCs w:val="22"/>
              </w:rPr>
            </w:pPr>
          </w:p>
        </w:tc>
      </w:tr>
    </w:tbl>
    <w:p w:rsidR="00CA2CB8" w:rsidRPr="006A2360" w:rsidRDefault="00CA2CB8"/>
    <w:p w:rsidR="00CA2CB8" w:rsidRPr="006A2360" w:rsidRDefault="00CA2CB8">
      <w:r w:rsidRPr="006A236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901"/>
        <w:gridCol w:w="1898"/>
        <w:gridCol w:w="1826"/>
        <w:gridCol w:w="1853"/>
      </w:tblGrid>
      <w:tr w:rsidR="005E3062" w:rsidRPr="006A2360" w:rsidTr="00E96DF2">
        <w:trPr>
          <w:trHeight w:val="314"/>
        </w:trPr>
        <w:tc>
          <w:tcPr>
            <w:tcW w:w="9576" w:type="dxa"/>
            <w:gridSpan w:val="5"/>
            <w:shd w:val="clear" w:color="auto" w:fill="C6D9F1" w:themeFill="text2" w:themeFillTint="33"/>
            <w:hideMark/>
          </w:tcPr>
          <w:p w:rsidR="005E3062" w:rsidRPr="006A2360" w:rsidRDefault="005E3062" w:rsidP="004172B2">
            <w:pPr>
              <w:jc w:val="center"/>
              <w:rPr>
                <w:rFonts w:eastAsia="Calibri"/>
                <w:b/>
                <w:bCs/>
                <w:i/>
                <w:iCs/>
                <w:sz w:val="22"/>
                <w:szCs w:val="22"/>
              </w:rPr>
            </w:pPr>
            <w:r w:rsidRPr="006A2360">
              <w:rPr>
                <w:rFonts w:eastAsia="Calibri"/>
                <w:b/>
                <w:bCs/>
                <w:i/>
                <w:iCs/>
                <w:sz w:val="22"/>
                <w:szCs w:val="22"/>
              </w:rPr>
              <w:t>CE #2: Staff Time Savings</w:t>
            </w:r>
          </w:p>
        </w:tc>
      </w:tr>
      <w:tr w:rsidR="005E3062" w:rsidRPr="006A2360" w:rsidTr="00E96DF2">
        <w:trPr>
          <w:trHeight w:val="615"/>
        </w:trPr>
        <w:tc>
          <w:tcPr>
            <w:tcW w:w="1915" w:type="dxa"/>
            <w:shd w:val="clear" w:color="auto" w:fill="D9D9D9" w:themeFill="background1" w:themeFillShade="D9"/>
            <w:vAlign w:val="center"/>
            <w:hideMark/>
          </w:tcPr>
          <w:p w:rsidR="005E3062" w:rsidRPr="006A2360" w:rsidRDefault="005E3062" w:rsidP="009472B1">
            <w:pPr>
              <w:jc w:val="center"/>
              <w:rPr>
                <w:rFonts w:eastAsia="Calibri"/>
                <w:b/>
                <w:bCs/>
                <w:sz w:val="22"/>
                <w:szCs w:val="22"/>
              </w:rPr>
            </w:pPr>
            <w:r w:rsidRPr="006A2360">
              <w:rPr>
                <w:rFonts w:eastAsia="Calibri"/>
                <w:b/>
                <w:bCs/>
                <w:sz w:val="22"/>
                <w:szCs w:val="22"/>
              </w:rPr>
              <w:t>Unit of Measurement</w:t>
            </w:r>
          </w:p>
        </w:tc>
        <w:tc>
          <w:tcPr>
            <w:tcW w:w="1915" w:type="dxa"/>
            <w:shd w:val="clear" w:color="auto" w:fill="D9D9D9" w:themeFill="background1" w:themeFillShade="D9"/>
            <w:vAlign w:val="center"/>
            <w:hideMark/>
          </w:tcPr>
          <w:p w:rsidR="005E3062" w:rsidRPr="006A2360" w:rsidRDefault="005E3062" w:rsidP="009472B1">
            <w:pPr>
              <w:jc w:val="center"/>
              <w:rPr>
                <w:rFonts w:eastAsia="Calibri"/>
                <w:b/>
                <w:bCs/>
                <w:sz w:val="22"/>
                <w:szCs w:val="22"/>
              </w:rPr>
            </w:pPr>
            <w:r w:rsidRPr="006A2360">
              <w:rPr>
                <w:rFonts w:eastAsia="Calibri"/>
                <w:b/>
                <w:bCs/>
                <w:sz w:val="22"/>
                <w:szCs w:val="22"/>
              </w:rPr>
              <w:t>Baseline</w:t>
            </w:r>
          </w:p>
        </w:tc>
        <w:tc>
          <w:tcPr>
            <w:tcW w:w="1915" w:type="dxa"/>
            <w:shd w:val="clear" w:color="auto" w:fill="D9D9D9" w:themeFill="background1" w:themeFillShade="D9"/>
            <w:vAlign w:val="center"/>
            <w:hideMark/>
          </w:tcPr>
          <w:p w:rsidR="005E3062" w:rsidRPr="006A2360" w:rsidRDefault="005E3062" w:rsidP="009472B1">
            <w:pPr>
              <w:jc w:val="center"/>
              <w:rPr>
                <w:rFonts w:eastAsia="Calibri"/>
                <w:b/>
                <w:bCs/>
                <w:sz w:val="22"/>
                <w:szCs w:val="22"/>
              </w:rPr>
            </w:pPr>
            <w:r w:rsidRPr="006A2360">
              <w:rPr>
                <w:rFonts w:eastAsia="Calibri"/>
                <w:b/>
                <w:bCs/>
                <w:sz w:val="22"/>
                <w:szCs w:val="22"/>
              </w:rPr>
              <w:t>Benchmark</w:t>
            </w:r>
          </w:p>
        </w:tc>
        <w:tc>
          <w:tcPr>
            <w:tcW w:w="1915" w:type="dxa"/>
            <w:shd w:val="clear" w:color="auto" w:fill="D9D9D9" w:themeFill="background1" w:themeFillShade="D9"/>
            <w:vAlign w:val="center"/>
            <w:hideMark/>
          </w:tcPr>
          <w:p w:rsidR="005E3062" w:rsidRPr="006A2360" w:rsidRDefault="005E3062" w:rsidP="009472B1">
            <w:pPr>
              <w:jc w:val="center"/>
              <w:rPr>
                <w:rFonts w:eastAsia="Calibri"/>
                <w:b/>
                <w:bCs/>
                <w:sz w:val="22"/>
                <w:szCs w:val="22"/>
              </w:rPr>
            </w:pPr>
            <w:r w:rsidRPr="006A2360">
              <w:rPr>
                <w:rFonts w:eastAsia="Calibri"/>
                <w:b/>
                <w:bCs/>
                <w:sz w:val="22"/>
                <w:szCs w:val="22"/>
              </w:rPr>
              <w:t>Outcome</w:t>
            </w:r>
          </w:p>
        </w:tc>
        <w:tc>
          <w:tcPr>
            <w:tcW w:w="1916" w:type="dxa"/>
            <w:shd w:val="clear" w:color="auto" w:fill="D9D9D9" w:themeFill="background1" w:themeFillShade="D9"/>
            <w:vAlign w:val="center"/>
            <w:hideMark/>
          </w:tcPr>
          <w:p w:rsidR="005E3062" w:rsidRPr="006A2360" w:rsidRDefault="005E3062" w:rsidP="009472B1">
            <w:pPr>
              <w:jc w:val="center"/>
              <w:rPr>
                <w:rFonts w:eastAsia="Calibri"/>
                <w:b/>
                <w:bCs/>
                <w:sz w:val="22"/>
                <w:szCs w:val="22"/>
              </w:rPr>
            </w:pPr>
            <w:r w:rsidRPr="006A2360">
              <w:rPr>
                <w:rFonts w:eastAsia="Calibri"/>
                <w:b/>
                <w:bCs/>
                <w:sz w:val="22"/>
                <w:szCs w:val="22"/>
              </w:rPr>
              <w:t>Benchmark Achieved?</w:t>
            </w:r>
          </w:p>
        </w:tc>
      </w:tr>
      <w:tr w:rsidR="005E3062" w:rsidRPr="003F655B" w:rsidTr="004E49FD">
        <w:trPr>
          <w:trHeight w:val="755"/>
        </w:trPr>
        <w:tc>
          <w:tcPr>
            <w:tcW w:w="1915" w:type="dxa"/>
            <w:shd w:val="clear" w:color="auto" w:fill="auto"/>
            <w:hideMark/>
          </w:tcPr>
          <w:p w:rsidR="005E3062" w:rsidRPr="006A2360" w:rsidRDefault="005E3062" w:rsidP="009472B1">
            <w:pPr>
              <w:rPr>
                <w:rFonts w:eastAsia="Calibri"/>
                <w:sz w:val="22"/>
                <w:szCs w:val="22"/>
              </w:rPr>
            </w:pPr>
            <w:r w:rsidRPr="006A2360">
              <w:rPr>
                <w:rFonts w:eastAsia="Calibri"/>
                <w:sz w:val="22"/>
                <w:szCs w:val="22"/>
              </w:rPr>
              <w:t>Total time to complete the task in staff hours (decrease).</w:t>
            </w:r>
          </w:p>
        </w:tc>
        <w:tc>
          <w:tcPr>
            <w:tcW w:w="1915" w:type="dxa"/>
            <w:shd w:val="clear" w:color="auto" w:fill="auto"/>
          </w:tcPr>
          <w:p w:rsidR="004B2703" w:rsidRPr="006A2360" w:rsidRDefault="004B2703" w:rsidP="004B2703">
            <w:pPr>
              <w:rPr>
                <w:rFonts w:eastAsia="Calibri"/>
                <w:sz w:val="22"/>
                <w:szCs w:val="22"/>
              </w:rPr>
            </w:pPr>
            <w:r w:rsidRPr="006A2360">
              <w:rPr>
                <w:rFonts w:eastAsia="Calibri"/>
                <w:b/>
                <w:sz w:val="22"/>
                <w:szCs w:val="22"/>
              </w:rPr>
              <w:t>Number of vouchers</w:t>
            </w:r>
            <w:r w:rsidRPr="006A2360">
              <w:rPr>
                <w:rFonts w:eastAsia="Calibri"/>
                <w:sz w:val="22"/>
                <w:szCs w:val="22"/>
              </w:rPr>
              <w:t>: 20,298</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Time per Recertification</w:t>
            </w:r>
            <w:r w:rsidRPr="006A2360">
              <w:rPr>
                <w:rFonts w:eastAsia="Calibri"/>
                <w:sz w:val="22"/>
                <w:szCs w:val="22"/>
              </w:rPr>
              <w:t>: 2.5 hours</w:t>
            </w:r>
          </w:p>
          <w:p w:rsidR="004B2703" w:rsidRPr="006A2360" w:rsidRDefault="004B2703" w:rsidP="004B2703">
            <w:pPr>
              <w:rPr>
                <w:rFonts w:eastAsia="Calibri"/>
                <w:sz w:val="22"/>
                <w:szCs w:val="22"/>
              </w:rPr>
            </w:pPr>
          </w:p>
          <w:p w:rsidR="005E3062" w:rsidRPr="006A2360" w:rsidRDefault="004B2703" w:rsidP="004B2703">
            <w:pPr>
              <w:rPr>
                <w:rFonts w:eastAsia="Calibri"/>
                <w:sz w:val="22"/>
                <w:szCs w:val="22"/>
              </w:rPr>
            </w:pPr>
            <w:r w:rsidRPr="006A2360">
              <w:rPr>
                <w:rFonts w:eastAsia="Calibri"/>
                <w:b/>
                <w:sz w:val="22"/>
                <w:szCs w:val="22"/>
              </w:rPr>
              <w:t>Total Time Spent on Activity Prior to Implementation</w:t>
            </w:r>
            <w:r w:rsidRPr="006A2360">
              <w:rPr>
                <w:rFonts w:eastAsia="Calibri"/>
                <w:sz w:val="22"/>
                <w:szCs w:val="22"/>
              </w:rPr>
              <w:t xml:space="preserve">: </w:t>
            </w:r>
            <w:r w:rsidR="009342C8" w:rsidRPr="006A2360">
              <w:rPr>
                <w:rFonts w:eastAsia="Calibri"/>
                <w:sz w:val="22"/>
                <w:szCs w:val="22"/>
              </w:rPr>
              <w:t>50,745</w:t>
            </w:r>
            <w:r w:rsidR="005E3062" w:rsidRPr="006A2360">
              <w:rPr>
                <w:rFonts w:eastAsia="Calibri"/>
                <w:sz w:val="22"/>
                <w:szCs w:val="22"/>
              </w:rPr>
              <w:t xml:space="preserve"> hours</w:t>
            </w:r>
          </w:p>
        </w:tc>
        <w:tc>
          <w:tcPr>
            <w:tcW w:w="1915" w:type="dxa"/>
            <w:shd w:val="clear" w:color="auto" w:fill="auto"/>
          </w:tcPr>
          <w:p w:rsidR="004B2703" w:rsidRPr="006A2360" w:rsidRDefault="008679DE" w:rsidP="004B2703">
            <w:pPr>
              <w:rPr>
                <w:rFonts w:eastAsia="Calibri"/>
                <w:sz w:val="22"/>
                <w:szCs w:val="22"/>
              </w:rPr>
            </w:pPr>
            <w:r w:rsidRPr="006A2360">
              <w:rPr>
                <w:rFonts w:eastAsia="Calibri"/>
                <w:b/>
                <w:sz w:val="22"/>
                <w:szCs w:val="22"/>
              </w:rPr>
              <w:t>Anticipated Number</w:t>
            </w:r>
            <w:r w:rsidR="004B2703" w:rsidRPr="006A2360">
              <w:rPr>
                <w:rFonts w:eastAsia="Calibri"/>
                <w:b/>
                <w:sz w:val="22"/>
                <w:szCs w:val="22"/>
              </w:rPr>
              <w:t xml:space="preserve"> of Recertifications</w:t>
            </w:r>
            <w:r w:rsidR="00663DFF">
              <w:rPr>
                <w:rFonts w:eastAsia="Calibri"/>
                <w:sz w:val="22"/>
                <w:szCs w:val="22"/>
              </w:rPr>
              <w:t>: 10,230</w:t>
            </w:r>
          </w:p>
          <w:p w:rsidR="004B2703" w:rsidRPr="006A2360" w:rsidRDefault="004B2703" w:rsidP="004B2703">
            <w:pPr>
              <w:rPr>
                <w:rFonts w:eastAsia="Calibri"/>
                <w:sz w:val="22"/>
                <w:szCs w:val="22"/>
              </w:rPr>
            </w:pPr>
          </w:p>
          <w:p w:rsidR="004B2703" w:rsidRPr="006A2360" w:rsidRDefault="004B2703" w:rsidP="004B2703">
            <w:pPr>
              <w:rPr>
                <w:rFonts w:eastAsia="Calibri"/>
                <w:sz w:val="22"/>
                <w:szCs w:val="22"/>
              </w:rPr>
            </w:pPr>
            <w:r w:rsidRPr="006A2360">
              <w:rPr>
                <w:rFonts w:eastAsia="Calibri"/>
                <w:b/>
                <w:sz w:val="22"/>
                <w:szCs w:val="22"/>
              </w:rPr>
              <w:t>Time per Recertification</w:t>
            </w:r>
            <w:r w:rsidRPr="006A2360">
              <w:rPr>
                <w:rFonts w:eastAsia="Calibri"/>
                <w:sz w:val="22"/>
                <w:szCs w:val="22"/>
              </w:rPr>
              <w:t>: 2.</w:t>
            </w:r>
            <w:r w:rsidR="00405EDE" w:rsidRPr="006A2360">
              <w:rPr>
                <w:rFonts w:eastAsia="Calibri"/>
                <w:sz w:val="22"/>
                <w:szCs w:val="22"/>
              </w:rPr>
              <w:t>2</w:t>
            </w:r>
            <w:r w:rsidRPr="006A2360">
              <w:rPr>
                <w:rFonts w:eastAsia="Calibri"/>
                <w:sz w:val="22"/>
                <w:szCs w:val="22"/>
              </w:rPr>
              <w:t xml:space="preserve">5 hours </w:t>
            </w:r>
          </w:p>
          <w:p w:rsidR="004B2703" w:rsidRPr="006A2360" w:rsidRDefault="004B2703" w:rsidP="004B2703">
            <w:pPr>
              <w:rPr>
                <w:rFonts w:eastAsia="Calibri"/>
                <w:sz w:val="22"/>
                <w:szCs w:val="22"/>
              </w:rPr>
            </w:pPr>
          </w:p>
          <w:p w:rsidR="004B2703" w:rsidRPr="006A2360" w:rsidRDefault="005E25DA" w:rsidP="004B2703">
            <w:pPr>
              <w:rPr>
                <w:rFonts w:eastAsia="Calibri"/>
                <w:sz w:val="22"/>
                <w:szCs w:val="22"/>
              </w:rPr>
            </w:pPr>
            <w:r w:rsidRPr="006A2360">
              <w:rPr>
                <w:rFonts w:eastAsia="Calibri"/>
                <w:b/>
                <w:sz w:val="22"/>
                <w:szCs w:val="22"/>
              </w:rPr>
              <w:t xml:space="preserve">Anticipated </w:t>
            </w:r>
            <w:r w:rsidR="004B2703" w:rsidRPr="006A2360">
              <w:rPr>
                <w:rFonts w:eastAsia="Calibri"/>
                <w:b/>
                <w:sz w:val="22"/>
                <w:szCs w:val="22"/>
              </w:rPr>
              <w:t>Total Time Spent on Activity in FY 2016</w:t>
            </w:r>
            <w:r w:rsidR="004B2703" w:rsidRPr="006A2360">
              <w:rPr>
                <w:rFonts w:eastAsia="Calibri"/>
                <w:sz w:val="22"/>
                <w:szCs w:val="22"/>
              </w:rPr>
              <w:t xml:space="preserve">: </w:t>
            </w:r>
            <w:r w:rsidR="00663DFF">
              <w:rPr>
                <w:rFonts w:eastAsia="Calibri"/>
                <w:sz w:val="22"/>
                <w:szCs w:val="22"/>
              </w:rPr>
              <w:t>23,018</w:t>
            </w:r>
            <w:r w:rsidR="00405EDE" w:rsidRPr="006A2360">
              <w:rPr>
                <w:rFonts w:eastAsia="Calibri"/>
                <w:sz w:val="22"/>
                <w:szCs w:val="22"/>
              </w:rPr>
              <w:t xml:space="preserve"> hours</w:t>
            </w:r>
          </w:p>
          <w:p w:rsidR="005E3062" w:rsidRPr="006A2360" w:rsidRDefault="005E3062" w:rsidP="00AA4D3B">
            <w:pPr>
              <w:jc w:val="center"/>
              <w:rPr>
                <w:rFonts w:eastAsia="Calibri"/>
                <w:sz w:val="22"/>
                <w:szCs w:val="22"/>
              </w:rPr>
            </w:pPr>
          </w:p>
          <w:p w:rsidR="001829F2" w:rsidRPr="006A2360" w:rsidRDefault="001829F2" w:rsidP="00AA4D3B">
            <w:pPr>
              <w:jc w:val="center"/>
              <w:rPr>
                <w:rFonts w:eastAsia="Calibri"/>
                <w:sz w:val="22"/>
                <w:szCs w:val="22"/>
              </w:rPr>
            </w:pPr>
          </w:p>
          <w:p w:rsidR="001829F2" w:rsidRPr="001829F2" w:rsidRDefault="001829F2" w:rsidP="001829F2">
            <w:pPr>
              <w:rPr>
                <w:rFonts w:eastAsia="Calibri"/>
                <w:sz w:val="22"/>
                <w:szCs w:val="22"/>
              </w:rPr>
            </w:pPr>
            <w:r w:rsidRPr="006A2360">
              <w:rPr>
                <w:rFonts w:eastAsia="Calibri"/>
                <w:sz w:val="22"/>
                <w:szCs w:val="22"/>
              </w:rPr>
              <w:t>*Accounts for time savings from Biennial Recertifications and Rent Simplification.</w:t>
            </w:r>
          </w:p>
          <w:p w:rsidR="001829F2" w:rsidRPr="009342C8" w:rsidRDefault="001829F2" w:rsidP="00AA4D3B">
            <w:pPr>
              <w:jc w:val="center"/>
              <w:rPr>
                <w:rFonts w:eastAsia="Calibri"/>
                <w:sz w:val="22"/>
                <w:szCs w:val="22"/>
              </w:rPr>
            </w:pPr>
          </w:p>
        </w:tc>
        <w:tc>
          <w:tcPr>
            <w:tcW w:w="1915" w:type="dxa"/>
            <w:shd w:val="clear" w:color="auto" w:fill="auto"/>
          </w:tcPr>
          <w:p w:rsidR="005E3062" w:rsidRPr="009342C8" w:rsidRDefault="005E3062" w:rsidP="009472B1">
            <w:pPr>
              <w:jc w:val="center"/>
              <w:rPr>
                <w:rFonts w:eastAsia="Calibri"/>
                <w:sz w:val="22"/>
                <w:szCs w:val="22"/>
              </w:rPr>
            </w:pPr>
          </w:p>
        </w:tc>
        <w:tc>
          <w:tcPr>
            <w:tcW w:w="1916" w:type="dxa"/>
            <w:shd w:val="clear" w:color="auto" w:fill="auto"/>
          </w:tcPr>
          <w:p w:rsidR="005E3062" w:rsidRPr="009342C8" w:rsidRDefault="005E3062" w:rsidP="009472B1">
            <w:pPr>
              <w:jc w:val="center"/>
              <w:rPr>
                <w:rFonts w:eastAsia="Calibri"/>
                <w:sz w:val="22"/>
                <w:szCs w:val="22"/>
              </w:rPr>
            </w:pPr>
          </w:p>
        </w:tc>
      </w:tr>
      <w:tr w:rsidR="008C1A1E" w:rsidRPr="00FB4487" w:rsidTr="00E96DF2">
        <w:trPr>
          <w:trHeight w:val="287"/>
        </w:trPr>
        <w:tc>
          <w:tcPr>
            <w:tcW w:w="9576" w:type="dxa"/>
            <w:gridSpan w:val="5"/>
            <w:tcBorders>
              <w:top w:val="single" w:sz="4" w:space="0" w:color="auto"/>
            </w:tcBorders>
            <w:shd w:val="clear" w:color="auto" w:fill="C6D9F1" w:themeFill="text2" w:themeFillTint="33"/>
          </w:tcPr>
          <w:p w:rsidR="008C1A1E" w:rsidRPr="00AE0E14" w:rsidRDefault="008C1A1E" w:rsidP="00C24E45">
            <w:pPr>
              <w:jc w:val="center"/>
              <w:rPr>
                <w:rFonts w:eastAsia="Calibri"/>
                <w:sz w:val="22"/>
                <w:szCs w:val="22"/>
              </w:rPr>
            </w:pPr>
            <w:r w:rsidRPr="00AE0E14">
              <w:rPr>
                <w:b/>
                <w:bCs/>
                <w:i/>
                <w:iCs/>
                <w:sz w:val="22"/>
                <w:szCs w:val="22"/>
              </w:rPr>
              <w:t>SS #1: Increase in Household Income</w:t>
            </w:r>
          </w:p>
        </w:tc>
      </w:tr>
      <w:tr w:rsidR="008C1A1E" w:rsidRPr="00FB4487" w:rsidTr="00E96DF2">
        <w:trPr>
          <w:trHeight w:val="521"/>
        </w:trPr>
        <w:tc>
          <w:tcPr>
            <w:tcW w:w="1915"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Unit of Measurement</w:t>
            </w:r>
          </w:p>
        </w:tc>
        <w:tc>
          <w:tcPr>
            <w:tcW w:w="1915"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Baseline</w:t>
            </w:r>
          </w:p>
        </w:tc>
        <w:tc>
          <w:tcPr>
            <w:tcW w:w="1915" w:type="dxa"/>
            <w:shd w:val="clear" w:color="auto" w:fill="D9D9D9" w:themeFill="background1" w:themeFillShade="D9"/>
            <w:vAlign w:val="center"/>
          </w:tcPr>
          <w:p w:rsidR="008C1A1E" w:rsidRPr="00AE0E14" w:rsidRDefault="008C1A1E" w:rsidP="001829F2">
            <w:pPr>
              <w:jc w:val="center"/>
              <w:rPr>
                <w:b/>
                <w:bCs/>
                <w:sz w:val="22"/>
                <w:szCs w:val="22"/>
              </w:rPr>
            </w:pPr>
            <w:r w:rsidRPr="00AE0E14">
              <w:rPr>
                <w:b/>
                <w:bCs/>
                <w:sz w:val="22"/>
                <w:szCs w:val="22"/>
              </w:rPr>
              <w:t>Benchmark</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Outcome</w:t>
            </w:r>
          </w:p>
        </w:tc>
        <w:tc>
          <w:tcPr>
            <w:tcW w:w="1916"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Benchmark Achieved?</w:t>
            </w:r>
          </w:p>
        </w:tc>
      </w:tr>
      <w:tr w:rsidR="008C1A1E" w:rsidRPr="00FB4487" w:rsidTr="008573AB">
        <w:trPr>
          <w:trHeight w:val="755"/>
        </w:trPr>
        <w:tc>
          <w:tcPr>
            <w:tcW w:w="1915" w:type="dxa"/>
            <w:shd w:val="clear" w:color="auto" w:fill="auto"/>
          </w:tcPr>
          <w:p w:rsidR="008C1A1E" w:rsidRPr="00FB4487" w:rsidRDefault="008C1A1E" w:rsidP="00C24E45">
            <w:pPr>
              <w:rPr>
                <w:sz w:val="22"/>
                <w:szCs w:val="22"/>
              </w:rPr>
            </w:pPr>
            <w:r w:rsidRPr="00FB4487">
              <w:rPr>
                <w:sz w:val="22"/>
                <w:szCs w:val="22"/>
              </w:rPr>
              <w:t>Average earned income of households affected by this policy in dollars (increase).</w:t>
            </w:r>
          </w:p>
        </w:tc>
        <w:tc>
          <w:tcPr>
            <w:tcW w:w="1915" w:type="dxa"/>
            <w:shd w:val="clear" w:color="auto" w:fill="auto"/>
            <w:vAlign w:val="center"/>
          </w:tcPr>
          <w:p w:rsidR="008C1A1E" w:rsidRDefault="00EB1E3B" w:rsidP="004A2A98">
            <w:pPr>
              <w:jc w:val="center"/>
              <w:rPr>
                <w:sz w:val="22"/>
                <w:szCs w:val="22"/>
              </w:rPr>
            </w:pPr>
            <w:r w:rsidRPr="00FB4487">
              <w:rPr>
                <w:sz w:val="22"/>
                <w:szCs w:val="22"/>
              </w:rPr>
              <w:t>$</w:t>
            </w:r>
            <w:r w:rsidR="004A2A98">
              <w:rPr>
                <w:sz w:val="22"/>
                <w:szCs w:val="22"/>
              </w:rPr>
              <w:t>19,058*</w:t>
            </w:r>
          </w:p>
          <w:p w:rsidR="004A2A98" w:rsidRDefault="004A2A98" w:rsidP="004A2A98">
            <w:pPr>
              <w:jc w:val="center"/>
              <w:rPr>
                <w:sz w:val="22"/>
                <w:szCs w:val="22"/>
              </w:rPr>
            </w:pPr>
          </w:p>
          <w:p w:rsidR="004A2A98" w:rsidRPr="00FB4487" w:rsidRDefault="004A2A98" w:rsidP="004A2A98">
            <w:pPr>
              <w:jc w:val="center"/>
              <w:rPr>
                <w:sz w:val="22"/>
                <w:szCs w:val="22"/>
              </w:rPr>
            </w:pPr>
            <w:r>
              <w:rPr>
                <w:sz w:val="22"/>
                <w:szCs w:val="22"/>
              </w:rPr>
              <w:t>*DHCD modified this baseline in FY 2016 based on revised calculation methods applied to FY 2012 figures.</w:t>
            </w:r>
          </w:p>
        </w:tc>
        <w:tc>
          <w:tcPr>
            <w:tcW w:w="1915" w:type="dxa"/>
            <w:shd w:val="clear" w:color="auto" w:fill="auto"/>
            <w:vAlign w:val="center"/>
          </w:tcPr>
          <w:p w:rsidR="008C1A1E" w:rsidRPr="0076228E" w:rsidRDefault="00EB1E3B" w:rsidP="004A2A98">
            <w:pPr>
              <w:jc w:val="center"/>
              <w:rPr>
                <w:sz w:val="22"/>
                <w:szCs w:val="22"/>
                <w:highlight w:val="yellow"/>
              </w:rPr>
            </w:pPr>
            <w:r w:rsidRPr="00AE0E14">
              <w:rPr>
                <w:sz w:val="22"/>
                <w:szCs w:val="22"/>
              </w:rPr>
              <w:t>$</w:t>
            </w:r>
            <w:r w:rsidR="00AE0E14" w:rsidRPr="00AE0E14">
              <w:rPr>
                <w:sz w:val="22"/>
                <w:szCs w:val="22"/>
              </w:rPr>
              <w:t>22,428</w:t>
            </w:r>
          </w:p>
        </w:tc>
        <w:tc>
          <w:tcPr>
            <w:tcW w:w="1915" w:type="dxa"/>
            <w:shd w:val="clear" w:color="auto" w:fill="auto"/>
          </w:tcPr>
          <w:p w:rsidR="008C1A1E" w:rsidRPr="00FB4487" w:rsidRDefault="008C1A1E" w:rsidP="00C24E45">
            <w:pPr>
              <w:rPr>
                <w:sz w:val="22"/>
                <w:szCs w:val="22"/>
              </w:rPr>
            </w:pPr>
          </w:p>
        </w:tc>
        <w:tc>
          <w:tcPr>
            <w:tcW w:w="1916" w:type="dxa"/>
            <w:shd w:val="clear" w:color="auto" w:fill="auto"/>
          </w:tcPr>
          <w:p w:rsidR="008C1A1E" w:rsidRPr="00FB4487" w:rsidRDefault="008C1A1E" w:rsidP="00C24E45">
            <w:pPr>
              <w:rPr>
                <w:sz w:val="22"/>
                <w:szCs w:val="22"/>
              </w:rPr>
            </w:pPr>
          </w:p>
        </w:tc>
      </w:tr>
      <w:tr w:rsidR="008C1A1E" w:rsidRPr="00FB4487" w:rsidTr="00E96DF2">
        <w:trPr>
          <w:trHeight w:val="323"/>
        </w:trPr>
        <w:tc>
          <w:tcPr>
            <w:tcW w:w="9576" w:type="dxa"/>
            <w:gridSpan w:val="5"/>
            <w:shd w:val="clear" w:color="auto" w:fill="C6D9F1" w:themeFill="text2" w:themeFillTint="33"/>
          </w:tcPr>
          <w:p w:rsidR="008C1A1E" w:rsidRPr="00AE0E14" w:rsidRDefault="008C1A1E" w:rsidP="00C24E45">
            <w:pPr>
              <w:jc w:val="center"/>
              <w:rPr>
                <w:rFonts w:eastAsia="Calibri"/>
                <w:sz w:val="22"/>
                <w:szCs w:val="22"/>
              </w:rPr>
            </w:pPr>
            <w:r w:rsidRPr="00AE0E14">
              <w:rPr>
                <w:b/>
                <w:bCs/>
                <w:i/>
                <w:iCs/>
                <w:sz w:val="22"/>
                <w:szCs w:val="22"/>
              </w:rPr>
              <w:t>SS #3: Increase in Positive Outcomes in Employment Status</w:t>
            </w:r>
          </w:p>
        </w:tc>
      </w:tr>
      <w:tr w:rsidR="008C1A1E" w:rsidRPr="00FB4487" w:rsidTr="00E96DF2">
        <w:trPr>
          <w:trHeight w:val="521"/>
        </w:trPr>
        <w:tc>
          <w:tcPr>
            <w:tcW w:w="1915"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Unit of Measurement</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Baseline</w:t>
            </w:r>
          </w:p>
        </w:tc>
        <w:tc>
          <w:tcPr>
            <w:tcW w:w="1915" w:type="dxa"/>
            <w:shd w:val="clear" w:color="auto" w:fill="D9D9D9" w:themeFill="background1" w:themeFillShade="D9"/>
            <w:vAlign w:val="center"/>
          </w:tcPr>
          <w:p w:rsidR="008C1A1E" w:rsidRPr="00AE0E14" w:rsidRDefault="008C1A1E" w:rsidP="001829F2">
            <w:pPr>
              <w:jc w:val="center"/>
              <w:rPr>
                <w:b/>
                <w:bCs/>
                <w:sz w:val="22"/>
                <w:szCs w:val="22"/>
              </w:rPr>
            </w:pPr>
            <w:r w:rsidRPr="00AE0E14">
              <w:rPr>
                <w:b/>
                <w:bCs/>
                <w:sz w:val="22"/>
                <w:szCs w:val="22"/>
              </w:rPr>
              <w:t>Benchmark</w:t>
            </w:r>
          </w:p>
        </w:tc>
        <w:tc>
          <w:tcPr>
            <w:tcW w:w="1915"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Outcome</w:t>
            </w:r>
          </w:p>
        </w:tc>
        <w:tc>
          <w:tcPr>
            <w:tcW w:w="1916"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Benchmark Achieved?</w:t>
            </w:r>
          </w:p>
        </w:tc>
      </w:tr>
      <w:tr w:rsidR="008C1A1E" w:rsidRPr="00FB4487" w:rsidTr="008573AB">
        <w:trPr>
          <w:trHeight w:val="755"/>
        </w:trPr>
        <w:tc>
          <w:tcPr>
            <w:tcW w:w="1915" w:type="dxa"/>
            <w:vMerge w:val="restart"/>
            <w:shd w:val="clear" w:color="auto" w:fill="auto"/>
          </w:tcPr>
          <w:p w:rsidR="008C1A1E" w:rsidRPr="00FB4487" w:rsidRDefault="008C1A1E" w:rsidP="00C24E45">
            <w:pPr>
              <w:rPr>
                <w:rFonts w:eastAsia="Calibri"/>
                <w:sz w:val="22"/>
                <w:szCs w:val="22"/>
              </w:rPr>
            </w:pPr>
            <w:r w:rsidRPr="00FB4487">
              <w:rPr>
                <w:sz w:val="22"/>
                <w:szCs w:val="22"/>
              </w:rPr>
              <w:t>(6) Other - Employed</w:t>
            </w:r>
          </w:p>
        </w:tc>
        <w:tc>
          <w:tcPr>
            <w:tcW w:w="1915" w:type="dxa"/>
            <w:shd w:val="clear" w:color="auto" w:fill="auto"/>
            <w:vAlign w:val="center"/>
          </w:tcPr>
          <w:p w:rsidR="008C1A1E" w:rsidRPr="00AE0E14" w:rsidRDefault="00EB1E3B" w:rsidP="008573AB">
            <w:pPr>
              <w:jc w:val="center"/>
              <w:rPr>
                <w:rFonts w:eastAsia="Calibri"/>
                <w:sz w:val="22"/>
                <w:szCs w:val="22"/>
              </w:rPr>
            </w:pPr>
            <w:r w:rsidRPr="00AE0E14">
              <w:rPr>
                <w:rFonts w:eastAsia="Calibri"/>
                <w:sz w:val="22"/>
                <w:szCs w:val="22"/>
              </w:rPr>
              <w:t>5,019 households</w:t>
            </w:r>
            <w:r w:rsidR="00A534AD" w:rsidRPr="00AE0E14">
              <w:rPr>
                <w:rFonts w:eastAsia="Calibri"/>
                <w:sz w:val="22"/>
                <w:szCs w:val="22"/>
              </w:rPr>
              <w:t xml:space="preserve"> in FY 2011</w:t>
            </w:r>
          </w:p>
        </w:tc>
        <w:tc>
          <w:tcPr>
            <w:tcW w:w="1915" w:type="dxa"/>
            <w:shd w:val="clear" w:color="auto" w:fill="auto"/>
            <w:vAlign w:val="center"/>
          </w:tcPr>
          <w:p w:rsidR="008C1A1E" w:rsidRPr="00AE0E14" w:rsidRDefault="0013595A" w:rsidP="009B0235">
            <w:pPr>
              <w:jc w:val="center"/>
              <w:rPr>
                <w:rFonts w:eastAsia="Calibri"/>
                <w:sz w:val="22"/>
                <w:szCs w:val="22"/>
              </w:rPr>
            </w:pPr>
            <w:r w:rsidRPr="00AE0E14">
              <w:rPr>
                <w:rFonts w:eastAsia="Calibri"/>
                <w:sz w:val="22"/>
                <w:szCs w:val="22"/>
              </w:rPr>
              <w:t>5,</w:t>
            </w:r>
            <w:r w:rsidR="00AE0E14" w:rsidRPr="00AE0E14">
              <w:rPr>
                <w:rFonts w:eastAsia="Calibri"/>
                <w:sz w:val="22"/>
                <w:szCs w:val="22"/>
              </w:rPr>
              <w:t>489</w:t>
            </w:r>
            <w:r w:rsidR="00D71902" w:rsidRPr="00AE0E14">
              <w:rPr>
                <w:rFonts w:eastAsia="Calibri"/>
                <w:sz w:val="22"/>
                <w:szCs w:val="22"/>
              </w:rPr>
              <w:t xml:space="preserve"> </w:t>
            </w:r>
            <w:r w:rsidR="00EB1E3B" w:rsidRPr="00AE0E14">
              <w:rPr>
                <w:rFonts w:eastAsia="Calibri"/>
                <w:sz w:val="22"/>
                <w:szCs w:val="22"/>
              </w:rPr>
              <w:t>households</w:t>
            </w:r>
          </w:p>
        </w:tc>
        <w:tc>
          <w:tcPr>
            <w:tcW w:w="1915" w:type="dxa"/>
            <w:shd w:val="clear" w:color="auto" w:fill="auto"/>
          </w:tcPr>
          <w:p w:rsidR="008C1A1E" w:rsidRPr="00FB4487" w:rsidRDefault="008C1A1E" w:rsidP="00C24E45">
            <w:pPr>
              <w:rPr>
                <w:rFonts w:eastAsia="Calibri"/>
                <w:b/>
                <w:sz w:val="22"/>
                <w:szCs w:val="22"/>
              </w:rPr>
            </w:pPr>
          </w:p>
        </w:tc>
        <w:tc>
          <w:tcPr>
            <w:tcW w:w="1916" w:type="dxa"/>
            <w:shd w:val="clear" w:color="auto" w:fill="auto"/>
          </w:tcPr>
          <w:p w:rsidR="008C1A1E" w:rsidRPr="00FB4487" w:rsidRDefault="008C1A1E" w:rsidP="00C24E45">
            <w:pPr>
              <w:jc w:val="center"/>
              <w:rPr>
                <w:rFonts w:eastAsia="Calibri"/>
                <w:sz w:val="22"/>
                <w:szCs w:val="22"/>
              </w:rPr>
            </w:pPr>
          </w:p>
        </w:tc>
      </w:tr>
      <w:tr w:rsidR="008C1A1E" w:rsidRPr="00FB4487" w:rsidTr="008573AB">
        <w:trPr>
          <w:trHeight w:val="755"/>
        </w:trPr>
        <w:tc>
          <w:tcPr>
            <w:tcW w:w="1915" w:type="dxa"/>
            <w:vMerge/>
            <w:shd w:val="clear" w:color="auto" w:fill="auto"/>
          </w:tcPr>
          <w:p w:rsidR="008C1A1E" w:rsidRPr="00FB4487" w:rsidRDefault="008C1A1E" w:rsidP="00C24E45">
            <w:pPr>
              <w:rPr>
                <w:sz w:val="22"/>
                <w:szCs w:val="22"/>
              </w:rPr>
            </w:pPr>
          </w:p>
        </w:tc>
        <w:tc>
          <w:tcPr>
            <w:tcW w:w="1915" w:type="dxa"/>
            <w:shd w:val="clear" w:color="auto" w:fill="auto"/>
            <w:vAlign w:val="center"/>
          </w:tcPr>
          <w:p w:rsidR="008C1A1E" w:rsidRPr="00AE0E14" w:rsidRDefault="00EB1E3B" w:rsidP="008573AB">
            <w:pPr>
              <w:jc w:val="center"/>
              <w:rPr>
                <w:rFonts w:eastAsia="Calibri"/>
                <w:sz w:val="22"/>
                <w:szCs w:val="22"/>
              </w:rPr>
            </w:pPr>
            <w:r w:rsidRPr="00AE0E14">
              <w:rPr>
                <w:rFonts w:eastAsia="Calibri"/>
                <w:sz w:val="22"/>
                <w:szCs w:val="22"/>
              </w:rPr>
              <w:t>54% of work-able households</w:t>
            </w:r>
          </w:p>
        </w:tc>
        <w:tc>
          <w:tcPr>
            <w:tcW w:w="1915" w:type="dxa"/>
            <w:shd w:val="clear" w:color="auto" w:fill="auto"/>
            <w:vAlign w:val="center"/>
          </w:tcPr>
          <w:p w:rsidR="008C1A1E" w:rsidRPr="00AE0E14" w:rsidRDefault="00AE0E14" w:rsidP="00CE70FD">
            <w:pPr>
              <w:jc w:val="center"/>
              <w:rPr>
                <w:rFonts w:eastAsia="Calibri"/>
                <w:sz w:val="22"/>
                <w:szCs w:val="22"/>
              </w:rPr>
            </w:pPr>
            <w:r w:rsidRPr="00AE0E14">
              <w:rPr>
                <w:rFonts w:eastAsia="Calibri"/>
                <w:sz w:val="22"/>
                <w:szCs w:val="22"/>
              </w:rPr>
              <w:t>61</w:t>
            </w:r>
            <w:r w:rsidR="00EB1E3B" w:rsidRPr="00AE0E14">
              <w:rPr>
                <w:rFonts w:eastAsia="Calibri"/>
                <w:sz w:val="22"/>
                <w:szCs w:val="22"/>
              </w:rPr>
              <w:t>% of work-able households</w:t>
            </w:r>
          </w:p>
        </w:tc>
        <w:tc>
          <w:tcPr>
            <w:tcW w:w="1915" w:type="dxa"/>
            <w:shd w:val="clear" w:color="auto" w:fill="auto"/>
          </w:tcPr>
          <w:p w:rsidR="008C1A1E" w:rsidRPr="00FB4487" w:rsidRDefault="008C1A1E" w:rsidP="00C24E45">
            <w:pPr>
              <w:rPr>
                <w:rFonts w:eastAsia="Calibri"/>
                <w:b/>
                <w:sz w:val="22"/>
                <w:szCs w:val="22"/>
              </w:rPr>
            </w:pPr>
          </w:p>
        </w:tc>
        <w:tc>
          <w:tcPr>
            <w:tcW w:w="1916" w:type="dxa"/>
            <w:shd w:val="clear" w:color="auto" w:fill="auto"/>
          </w:tcPr>
          <w:p w:rsidR="008C1A1E" w:rsidRPr="00FB4487" w:rsidRDefault="008C1A1E" w:rsidP="00C24E45">
            <w:pPr>
              <w:jc w:val="center"/>
              <w:rPr>
                <w:rFonts w:eastAsia="Calibri"/>
                <w:sz w:val="22"/>
                <w:szCs w:val="22"/>
              </w:rPr>
            </w:pPr>
          </w:p>
        </w:tc>
      </w:tr>
    </w:tbl>
    <w:p w:rsidR="00CA2CB8" w:rsidRDefault="00CA2CB8"/>
    <w:p w:rsidR="00CA2CB8" w:rsidRDefault="00CA2CB8">
      <w:r>
        <w:br w:type="page"/>
      </w:r>
    </w:p>
    <w:p w:rsidR="00CA2CB8" w:rsidRDefault="00CA2C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71"/>
        <w:gridCol w:w="1871"/>
        <w:gridCol w:w="1852"/>
        <w:gridCol w:w="1871"/>
      </w:tblGrid>
      <w:tr w:rsidR="008C1A1E" w:rsidRPr="00AE0E14" w:rsidTr="00E96DF2">
        <w:trPr>
          <w:trHeight w:val="332"/>
        </w:trPr>
        <w:tc>
          <w:tcPr>
            <w:tcW w:w="9576" w:type="dxa"/>
            <w:gridSpan w:val="5"/>
            <w:shd w:val="clear" w:color="auto" w:fill="C6D9F1" w:themeFill="text2" w:themeFillTint="33"/>
          </w:tcPr>
          <w:p w:rsidR="008C1A1E" w:rsidRPr="00AE0E14" w:rsidRDefault="008C1A1E" w:rsidP="00C24E45">
            <w:pPr>
              <w:jc w:val="center"/>
              <w:rPr>
                <w:rFonts w:eastAsia="Calibri"/>
                <w:sz w:val="22"/>
                <w:szCs w:val="22"/>
              </w:rPr>
            </w:pPr>
            <w:r w:rsidRPr="00AE0E14">
              <w:rPr>
                <w:b/>
                <w:bCs/>
                <w:i/>
                <w:iCs/>
                <w:sz w:val="22"/>
                <w:szCs w:val="22"/>
              </w:rPr>
              <w:t>SS #4: Households Removed from Temporary Assistance for Needy Families (TANF)</w:t>
            </w:r>
          </w:p>
        </w:tc>
      </w:tr>
      <w:tr w:rsidR="008C1A1E" w:rsidRPr="00AE0E14" w:rsidTr="00E96DF2">
        <w:trPr>
          <w:trHeight w:val="458"/>
        </w:trPr>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Unit of Measurement</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Baseline</w:t>
            </w:r>
          </w:p>
        </w:tc>
        <w:tc>
          <w:tcPr>
            <w:tcW w:w="1915" w:type="dxa"/>
            <w:shd w:val="clear" w:color="auto" w:fill="D9D9D9" w:themeFill="background1" w:themeFillShade="D9"/>
            <w:vAlign w:val="center"/>
          </w:tcPr>
          <w:p w:rsidR="008C1A1E" w:rsidRPr="00AE0E14" w:rsidRDefault="008C1A1E" w:rsidP="001829F2">
            <w:pPr>
              <w:jc w:val="center"/>
              <w:rPr>
                <w:b/>
                <w:bCs/>
                <w:sz w:val="22"/>
                <w:szCs w:val="22"/>
              </w:rPr>
            </w:pPr>
            <w:r w:rsidRPr="00AE0E14">
              <w:rPr>
                <w:b/>
                <w:bCs/>
                <w:sz w:val="22"/>
                <w:szCs w:val="22"/>
              </w:rPr>
              <w:t>Benchmark</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Outcome</w:t>
            </w:r>
          </w:p>
        </w:tc>
        <w:tc>
          <w:tcPr>
            <w:tcW w:w="1916"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Benchmark Achieved?</w:t>
            </w:r>
          </w:p>
        </w:tc>
      </w:tr>
      <w:tr w:rsidR="008C1A1E" w:rsidRPr="00FB4487" w:rsidTr="008573AB">
        <w:trPr>
          <w:trHeight w:val="755"/>
        </w:trPr>
        <w:tc>
          <w:tcPr>
            <w:tcW w:w="1915" w:type="dxa"/>
            <w:shd w:val="clear" w:color="auto" w:fill="auto"/>
          </w:tcPr>
          <w:p w:rsidR="008C1A1E" w:rsidRPr="00AE0E14" w:rsidRDefault="008C1A1E" w:rsidP="00C24E45">
            <w:pPr>
              <w:rPr>
                <w:rFonts w:eastAsia="Calibri"/>
                <w:sz w:val="22"/>
                <w:szCs w:val="22"/>
              </w:rPr>
            </w:pPr>
            <w:r w:rsidRPr="00AE0E14">
              <w:rPr>
                <w:sz w:val="22"/>
                <w:szCs w:val="22"/>
              </w:rPr>
              <w:t>Number of households receiving TANF assistance (decrease).</w:t>
            </w:r>
          </w:p>
        </w:tc>
        <w:tc>
          <w:tcPr>
            <w:tcW w:w="1915" w:type="dxa"/>
            <w:shd w:val="clear" w:color="auto" w:fill="auto"/>
            <w:vAlign w:val="center"/>
          </w:tcPr>
          <w:p w:rsidR="008C1A1E" w:rsidRPr="00AE0E14" w:rsidRDefault="00A534AD" w:rsidP="008573AB">
            <w:pPr>
              <w:jc w:val="center"/>
              <w:rPr>
                <w:rFonts w:eastAsia="Calibri"/>
                <w:sz w:val="22"/>
                <w:szCs w:val="22"/>
              </w:rPr>
            </w:pPr>
            <w:r w:rsidRPr="00AE0E14">
              <w:rPr>
                <w:rFonts w:eastAsia="Calibri"/>
                <w:sz w:val="22"/>
                <w:szCs w:val="22"/>
              </w:rPr>
              <w:t>2,920 households in FY 2011</w:t>
            </w:r>
          </w:p>
        </w:tc>
        <w:tc>
          <w:tcPr>
            <w:tcW w:w="1915" w:type="dxa"/>
            <w:shd w:val="clear" w:color="auto" w:fill="auto"/>
            <w:vAlign w:val="center"/>
          </w:tcPr>
          <w:p w:rsidR="008C1A1E" w:rsidRPr="00AE0E14" w:rsidRDefault="00AE0E14" w:rsidP="008573AB">
            <w:pPr>
              <w:jc w:val="center"/>
              <w:rPr>
                <w:rFonts w:eastAsia="Calibri"/>
                <w:sz w:val="22"/>
                <w:szCs w:val="22"/>
              </w:rPr>
            </w:pPr>
            <w:r w:rsidRPr="00AE0E14">
              <w:rPr>
                <w:rFonts w:eastAsia="Calibri"/>
                <w:sz w:val="22"/>
                <w:szCs w:val="22"/>
              </w:rPr>
              <w:t>2,218</w:t>
            </w:r>
            <w:r w:rsidR="00C67169" w:rsidRPr="00AE0E14">
              <w:rPr>
                <w:rFonts w:eastAsia="Calibri"/>
                <w:sz w:val="22"/>
                <w:szCs w:val="22"/>
              </w:rPr>
              <w:t xml:space="preserve"> </w:t>
            </w:r>
            <w:r w:rsidR="00A534AD" w:rsidRPr="00AE0E14">
              <w:rPr>
                <w:rFonts w:eastAsia="Calibri"/>
                <w:sz w:val="22"/>
                <w:szCs w:val="22"/>
              </w:rPr>
              <w:t>households</w:t>
            </w:r>
          </w:p>
        </w:tc>
        <w:tc>
          <w:tcPr>
            <w:tcW w:w="1915" w:type="dxa"/>
            <w:shd w:val="clear" w:color="auto" w:fill="auto"/>
          </w:tcPr>
          <w:p w:rsidR="008C1A1E" w:rsidRPr="00FB4487" w:rsidRDefault="008C1A1E" w:rsidP="00C24E45">
            <w:pPr>
              <w:rPr>
                <w:rFonts w:eastAsia="Calibri"/>
                <w:b/>
                <w:sz w:val="22"/>
                <w:szCs w:val="22"/>
              </w:rPr>
            </w:pPr>
          </w:p>
        </w:tc>
        <w:tc>
          <w:tcPr>
            <w:tcW w:w="1916" w:type="dxa"/>
            <w:shd w:val="clear" w:color="auto" w:fill="auto"/>
          </w:tcPr>
          <w:p w:rsidR="008C1A1E" w:rsidRPr="00FB4487" w:rsidRDefault="008C1A1E" w:rsidP="00C24E45">
            <w:pPr>
              <w:jc w:val="center"/>
              <w:rPr>
                <w:rFonts w:eastAsia="Calibri"/>
                <w:sz w:val="22"/>
                <w:szCs w:val="22"/>
              </w:rPr>
            </w:pPr>
          </w:p>
        </w:tc>
      </w:tr>
      <w:tr w:rsidR="008C1A1E" w:rsidRPr="00FB4487" w:rsidTr="00E96DF2">
        <w:trPr>
          <w:trHeight w:val="296"/>
        </w:trPr>
        <w:tc>
          <w:tcPr>
            <w:tcW w:w="9576" w:type="dxa"/>
            <w:gridSpan w:val="5"/>
            <w:shd w:val="clear" w:color="auto" w:fill="C6D9F1" w:themeFill="text2" w:themeFillTint="33"/>
          </w:tcPr>
          <w:p w:rsidR="008C1A1E" w:rsidRPr="00AE0E14" w:rsidRDefault="008C1A1E" w:rsidP="00C24E45">
            <w:pPr>
              <w:jc w:val="center"/>
              <w:rPr>
                <w:rFonts w:eastAsia="Calibri"/>
                <w:sz w:val="22"/>
                <w:szCs w:val="22"/>
              </w:rPr>
            </w:pPr>
            <w:r w:rsidRPr="00AE0E14">
              <w:rPr>
                <w:b/>
                <w:bCs/>
                <w:i/>
                <w:iCs/>
                <w:sz w:val="22"/>
                <w:szCs w:val="22"/>
              </w:rPr>
              <w:t>SS #8: Households Transitioned to Self Sufficiency</w:t>
            </w:r>
          </w:p>
        </w:tc>
      </w:tr>
      <w:tr w:rsidR="008C1A1E" w:rsidRPr="00FB4487" w:rsidTr="00E96DF2">
        <w:trPr>
          <w:trHeight w:val="494"/>
        </w:trPr>
        <w:tc>
          <w:tcPr>
            <w:tcW w:w="1915"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Unit of Measurement</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Baseline</w:t>
            </w:r>
          </w:p>
        </w:tc>
        <w:tc>
          <w:tcPr>
            <w:tcW w:w="1915" w:type="dxa"/>
            <w:shd w:val="clear" w:color="auto" w:fill="D9D9D9" w:themeFill="background1" w:themeFillShade="D9"/>
            <w:vAlign w:val="center"/>
          </w:tcPr>
          <w:p w:rsidR="008C1A1E" w:rsidRPr="00AE0E14" w:rsidRDefault="008C1A1E" w:rsidP="001829F2">
            <w:pPr>
              <w:jc w:val="center"/>
              <w:rPr>
                <w:b/>
                <w:bCs/>
                <w:sz w:val="22"/>
                <w:szCs w:val="22"/>
              </w:rPr>
            </w:pPr>
            <w:r w:rsidRPr="00AE0E14">
              <w:rPr>
                <w:b/>
                <w:bCs/>
                <w:sz w:val="22"/>
                <w:szCs w:val="22"/>
              </w:rPr>
              <w:t>Benchmark</w:t>
            </w:r>
          </w:p>
        </w:tc>
        <w:tc>
          <w:tcPr>
            <w:tcW w:w="1915" w:type="dxa"/>
            <w:shd w:val="clear" w:color="auto" w:fill="D9D9D9" w:themeFill="background1" w:themeFillShade="D9"/>
            <w:vAlign w:val="center"/>
          </w:tcPr>
          <w:p w:rsidR="008C1A1E" w:rsidRPr="00AE0E14" w:rsidRDefault="008C1A1E" w:rsidP="00C24E45">
            <w:pPr>
              <w:jc w:val="center"/>
              <w:rPr>
                <w:b/>
                <w:bCs/>
                <w:sz w:val="22"/>
                <w:szCs w:val="22"/>
              </w:rPr>
            </w:pPr>
            <w:r w:rsidRPr="00AE0E14">
              <w:rPr>
                <w:b/>
                <w:bCs/>
                <w:sz w:val="22"/>
                <w:szCs w:val="22"/>
              </w:rPr>
              <w:t>Outcome</w:t>
            </w:r>
          </w:p>
        </w:tc>
        <w:tc>
          <w:tcPr>
            <w:tcW w:w="1916" w:type="dxa"/>
            <w:shd w:val="clear" w:color="auto" w:fill="D9D9D9" w:themeFill="background1" w:themeFillShade="D9"/>
            <w:vAlign w:val="center"/>
          </w:tcPr>
          <w:p w:rsidR="008C1A1E" w:rsidRPr="00FB4487" w:rsidRDefault="008C1A1E" w:rsidP="00C24E45">
            <w:pPr>
              <w:jc w:val="center"/>
              <w:rPr>
                <w:b/>
                <w:bCs/>
                <w:sz w:val="22"/>
                <w:szCs w:val="22"/>
              </w:rPr>
            </w:pPr>
            <w:r w:rsidRPr="00FB4487">
              <w:rPr>
                <w:b/>
                <w:bCs/>
                <w:sz w:val="22"/>
                <w:szCs w:val="22"/>
              </w:rPr>
              <w:t>Benchmark Achieved?</w:t>
            </w:r>
          </w:p>
        </w:tc>
      </w:tr>
      <w:tr w:rsidR="008C1A1E" w:rsidRPr="00FB4487" w:rsidTr="008573AB">
        <w:trPr>
          <w:trHeight w:val="755"/>
        </w:trPr>
        <w:tc>
          <w:tcPr>
            <w:tcW w:w="1915" w:type="dxa"/>
            <w:shd w:val="clear" w:color="auto" w:fill="auto"/>
          </w:tcPr>
          <w:p w:rsidR="008C1A1E" w:rsidRPr="00FB4487" w:rsidRDefault="008C1A1E" w:rsidP="00C24E45">
            <w:pPr>
              <w:rPr>
                <w:rFonts w:eastAsia="Calibri"/>
                <w:sz w:val="22"/>
                <w:szCs w:val="22"/>
              </w:rPr>
            </w:pPr>
            <w:r w:rsidRPr="00FB4487">
              <w:rPr>
                <w:sz w:val="22"/>
                <w:szCs w:val="22"/>
              </w:rPr>
              <w:t xml:space="preserve">Number of households transitioned to </w:t>
            </w:r>
            <w:r w:rsidR="008679DE" w:rsidRPr="00FB4487">
              <w:rPr>
                <w:sz w:val="22"/>
                <w:szCs w:val="22"/>
              </w:rPr>
              <w:t>self-sufficiency</w:t>
            </w:r>
            <w:r w:rsidRPr="00FB4487">
              <w:rPr>
                <w:sz w:val="22"/>
                <w:szCs w:val="22"/>
              </w:rPr>
              <w:t xml:space="preserve"> (increase).</w:t>
            </w:r>
          </w:p>
        </w:tc>
        <w:tc>
          <w:tcPr>
            <w:tcW w:w="1915" w:type="dxa"/>
            <w:shd w:val="clear" w:color="auto" w:fill="auto"/>
            <w:vAlign w:val="center"/>
          </w:tcPr>
          <w:p w:rsidR="008C1A1E" w:rsidRPr="00AE0E14" w:rsidRDefault="00A534AD" w:rsidP="008573AB">
            <w:pPr>
              <w:jc w:val="center"/>
              <w:rPr>
                <w:rFonts w:eastAsia="Calibri"/>
                <w:sz w:val="22"/>
                <w:szCs w:val="22"/>
              </w:rPr>
            </w:pPr>
            <w:r w:rsidRPr="00AE0E14">
              <w:rPr>
                <w:rFonts w:eastAsia="Calibri"/>
                <w:sz w:val="22"/>
                <w:szCs w:val="22"/>
              </w:rPr>
              <w:t>0</w:t>
            </w:r>
            <w:r w:rsidR="005E25DA" w:rsidRPr="00AE0E14">
              <w:rPr>
                <w:rFonts w:eastAsia="Calibri"/>
                <w:sz w:val="22"/>
                <w:szCs w:val="22"/>
              </w:rPr>
              <w:t xml:space="preserve"> households</w:t>
            </w:r>
            <w:r w:rsidR="00A24CA6" w:rsidRPr="00AE0E14">
              <w:rPr>
                <w:rFonts w:eastAsia="Calibri"/>
                <w:sz w:val="22"/>
                <w:szCs w:val="22"/>
              </w:rPr>
              <w:t>*</w:t>
            </w:r>
          </w:p>
          <w:p w:rsidR="00A24CA6" w:rsidRPr="00AE0E14" w:rsidRDefault="00A24CA6" w:rsidP="008573AB">
            <w:pPr>
              <w:jc w:val="center"/>
              <w:rPr>
                <w:rFonts w:eastAsia="Calibri"/>
                <w:sz w:val="22"/>
                <w:szCs w:val="22"/>
              </w:rPr>
            </w:pPr>
          </w:p>
          <w:p w:rsidR="00A24CA6" w:rsidRPr="00AE0E14" w:rsidRDefault="00A24CA6" w:rsidP="008573AB">
            <w:pPr>
              <w:jc w:val="center"/>
              <w:rPr>
                <w:rFonts w:eastAsia="Calibri"/>
                <w:sz w:val="22"/>
                <w:szCs w:val="22"/>
              </w:rPr>
            </w:pPr>
            <w:r w:rsidRPr="00AE0E14">
              <w:rPr>
                <w:rFonts w:eastAsia="Calibri"/>
                <w:sz w:val="22"/>
                <w:szCs w:val="22"/>
              </w:rPr>
              <w:t>*This data was not previously tracked</w:t>
            </w:r>
          </w:p>
        </w:tc>
        <w:tc>
          <w:tcPr>
            <w:tcW w:w="1915" w:type="dxa"/>
            <w:shd w:val="clear" w:color="auto" w:fill="auto"/>
            <w:vAlign w:val="center"/>
          </w:tcPr>
          <w:p w:rsidR="00A24CA6" w:rsidRPr="00AE0E14" w:rsidRDefault="00AE0E14" w:rsidP="008573AB">
            <w:pPr>
              <w:jc w:val="center"/>
              <w:rPr>
                <w:rFonts w:eastAsia="Calibri"/>
                <w:sz w:val="22"/>
                <w:szCs w:val="22"/>
              </w:rPr>
            </w:pPr>
            <w:r w:rsidRPr="00AE0E14">
              <w:rPr>
                <w:rFonts w:eastAsia="Calibri"/>
                <w:sz w:val="22"/>
                <w:szCs w:val="22"/>
              </w:rPr>
              <w:t xml:space="preserve">57 </w:t>
            </w:r>
            <w:r w:rsidR="00153B23" w:rsidRPr="00AE0E14">
              <w:rPr>
                <w:rFonts w:eastAsia="Calibri"/>
                <w:sz w:val="22"/>
                <w:szCs w:val="22"/>
              </w:rPr>
              <w:t>households</w:t>
            </w:r>
            <w:r w:rsidR="00A24CA6" w:rsidRPr="00AE0E14">
              <w:rPr>
                <w:rFonts w:eastAsia="Calibri"/>
                <w:sz w:val="22"/>
                <w:szCs w:val="22"/>
              </w:rPr>
              <w:t>*</w:t>
            </w:r>
          </w:p>
          <w:p w:rsidR="00A24CA6" w:rsidRPr="00AE0E14" w:rsidRDefault="00A24CA6" w:rsidP="008573AB">
            <w:pPr>
              <w:jc w:val="center"/>
              <w:rPr>
                <w:rFonts w:eastAsia="Calibri"/>
                <w:sz w:val="22"/>
                <w:szCs w:val="22"/>
              </w:rPr>
            </w:pPr>
          </w:p>
          <w:p w:rsidR="008C1A1E" w:rsidRPr="00AE0E14" w:rsidRDefault="00A24CA6" w:rsidP="00AE0E14">
            <w:pPr>
              <w:jc w:val="center"/>
              <w:rPr>
                <w:rFonts w:eastAsia="Calibri"/>
                <w:sz w:val="22"/>
                <w:szCs w:val="22"/>
              </w:rPr>
            </w:pPr>
            <w:r w:rsidRPr="00AE0E14">
              <w:rPr>
                <w:rFonts w:eastAsia="Calibri"/>
                <w:sz w:val="22"/>
                <w:szCs w:val="22"/>
              </w:rPr>
              <w:t>*</w:t>
            </w:r>
            <w:r w:rsidR="00AE0E14" w:rsidRPr="00AE0E14">
              <w:rPr>
                <w:rFonts w:eastAsia="Calibri"/>
                <w:sz w:val="22"/>
                <w:szCs w:val="22"/>
              </w:rPr>
              <w:t xml:space="preserve"> The benchmark includes households anticipated to  transition to self-sufficiency in</w:t>
            </w:r>
            <w:r w:rsidRPr="00AE0E14">
              <w:rPr>
                <w:rFonts w:eastAsia="Calibri"/>
                <w:sz w:val="22"/>
                <w:szCs w:val="22"/>
              </w:rPr>
              <w:t xml:space="preserve"> </w:t>
            </w:r>
            <w:r w:rsidR="00F34AEE" w:rsidRPr="00AE0E14">
              <w:rPr>
                <w:rFonts w:eastAsia="Calibri"/>
                <w:sz w:val="22"/>
                <w:szCs w:val="22"/>
              </w:rPr>
              <w:t>FY 201</w:t>
            </w:r>
            <w:r w:rsidR="00AE0E14" w:rsidRPr="00AE0E14">
              <w:rPr>
                <w:rFonts w:eastAsia="Calibri"/>
                <w:sz w:val="22"/>
                <w:szCs w:val="22"/>
              </w:rPr>
              <w:t>7</w:t>
            </w:r>
          </w:p>
        </w:tc>
        <w:tc>
          <w:tcPr>
            <w:tcW w:w="1915" w:type="dxa"/>
            <w:shd w:val="clear" w:color="auto" w:fill="auto"/>
          </w:tcPr>
          <w:p w:rsidR="008C1A1E" w:rsidRPr="00AE0E14" w:rsidRDefault="008C1A1E" w:rsidP="00C24E45">
            <w:pPr>
              <w:rPr>
                <w:rFonts w:eastAsia="Calibri"/>
                <w:b/>
                <w:sz w:val="22"/>
                <w:szCs w:val="22"/>
              </w:rPr>
            </w:pPr>
          </w:p>
        </w:tc>
        <w:tc>
          <w:tcPr>
            <w:tcW w:w="1916" w:type="dxa"/>
            <w:shd w:val="clear" w:color="auto" w:fill="auto"/>
          </w:tcPr>
          <w:p w:rsidR="008C1A1E" w:rsidRPr="00FB4487" w:rsidRDefault="008C1A1E" w:rsidP="00C24E45">
            <w:pPr>
              <w:jc w:val="center"/>
              <w:rPr>
                <w:rFonts w:eastAsia="Calibri"/>
                <w:sz w:val="22"/>
                <w:szCs w:val="22"/>
              </w:rPr>
            </w:pPr>
          </w:p>
        </w:tc>
      </w:tr>
    </w:tbl>
    <w:p w:rsidR="008C1A1E" w:rsidRDefault="008C1A1E" w:rsidP="005E3062">
      <w:pPr>
        <w:rPr>
          <w:b/>
          <w:color w:val="000000"/>
        </w:rPr>
      </w:pPr>
    </w:p>
    <w:p w:rsidR="005E3062" w:rsidRPr="003F655B" w:rsidRDefault="005E3062" w:rsidP="005E3062">
      <w:pPr>
        <w:rPr>
          <w:color w:val="000000"/>
        </w:rPr>
      </w:pPr>
    </w:p>
    <w:p w:rsidR="00CA2CB8" w:rsidRDefault="00CA2CB8">
      <w:pPr>
        <w:rPr>
          <w:color w:val="000000"/>
        </w:rPr>
      </w:pPr>
      <w:r>
        <w:rPr>
          <w:color w:val="000000"/>
        </w:rPr>
        <w:br w:type="page"/>
      </w:r>
    </w:p>
    <w:p w:rsidR="005E3062" w:rsidRPr="003F655B" w:rsidRDefault="005E3062" w:rsidP="005E3062">
      <w:pPr>
        <w:rPr>
          <w:b/>
          <w:color w:val="000000"/>
        </w:rPr>
      </w:pPr>
      <w:r w:rsidRPr="003F655B">
        <w:rPr>
          <w:b/>
          <w:color w:val="000000"/>
          <w:u w:val="single"/>
        </w:rPr>
        <w:t>Activity 2011-5: Youth Transitions to Success</w:t>
      </w:r>
    </w:p>
    <w:p w:rsidR="005E3062" w:rsidRPr="003F655B" w:rsidRDefault="005E3062" w:rsidP="005E3062">
      <w:pPr>
        <w:rPr>
          <w:color w:val="000000"/>
        </w:rPr>
      </w:pPr>
    </w:p>
    <w:p w:rsidR="005E3062" w:rsidRPr="004F3163" w:rsidRDefault="005E3062" w:rsidP="004F3163">
      <w:pPr>
        <w:jc w:val="both"/>
      </w:pPr>
      <w:r w:rsidRPr="004F3163">
        <w:rPr>
          <w:b/>
          <w:color w:val="000000"/>
        </w:rPr>
        <w:t>Description/Update of MTW Activity</w:t>
      </w:r>
      <w:r w:rsidRPr="004F3163">
        <w:rPr>
          <w:color w:val="000000"/>
        </w:rPr>
        <w:t xml:space="preserve">:   </w:t>
      </w:r>
      <w:bookmarkStart w:id="18" w:name="OLE_LINK1"/>
      <w:bookmarkStart w:id="19" w:name="OLE_LINK2"/>
      <w:r w:rsidRPr="004F3163">
        <w:t>DHCD has designed and implemented a time-limited pilot program to provide continued support to and build upon the successes of youth currently participating in its Family Unificati</w:t>
      </w:r>
      <w:r w:rsidR="003D20AC">
        <w:t>on Program Aging Out of Foster Care P</w:t>
      </w:r>
      <w:r w:rsidRPr="004F3163">
        <w:t>rogram that are facing the current 18 month expiration date.  Designed similarly to the current stipend program</w:t>
      </w:r>
      <w:r w:rsidR="00CD47BD" w:rsidRPr="004F3163">
        <w:t>,</w:t>
      </w:r>
      <w:r w:rsidRPr="004F3163">
        <w:t xml:space="preserve"> DHCD currently administers in MBHP</w:t>
      </w:r>
      <w:r w:rsidR="003D20AC">
        <w:t>’</w:t>
      </w:r>
      <w:r w:rsidRPr="004F3163">
        <w:t>s region, this initiative will provide a shallow short-term and time-limited subsidy, supportive services funds for education, training and employment related expenses, an escrow account and case management.  Up to 25 current participants facing the expiration date for the Family Unificati</w:t>
      </w:r>
      <w:r w:rsidR="003D20AC">
        <w:t>on Program Aging Out of Foster Care P</w:t>
      </w:r>
      <w:r w:rsidRPr="004F3163">
        <w:t xml:space="preserve">rogram will be eligible to participate in the extension. Eligible participants for the extension must be in good standing and be making progress toward their education and employment goals. </w:t>
      </w:r>
    </w:p>
    <w:p w:rsidR="005E3062" w:rsidRPr="008573AB" w:rsidRDefault="005E3062" w:rsidP="005E3062">
      <w:pPr>
        <w:rPr>
          <w:highlight w:val="yellow"/>
        </w:rPr>
      </w:pPr>
    </w:p>
    <w:p w:rsidR="005E3062" w:rsidRPr="004F3163" w:rsidRDefault="005E3062" w:rsidP="004F3163">
      <w:pPr>
        <w:jc w:val="both"/>
      </w:pPr>
      <w:r w:rsidRPr="004F3163">
        <w:t>DHCD and the Department of Children and Families (DCF) m</w:t>
      </w:r>
      <w:r w:rsidR="00167FCC">
        <w:t>eet regularly to administer</w:t>
      </w:r>
      <w:r w:rsidRPr="004F3163">
        <w:t xml:space="preserve"> the Youth Transition to Success Program (YTTSP). DHCD staff completed the administrative elements of the YTTS Program: an Administrative Plan was written; a model lease and HAP Contract were drafted and approved by DHCD’s legal department; and a Memorandum of Understanding between DHCD and DCF was drafted. </w:t>
      </w:r>
    </w:p>
    <w:p w:rsidR="005E3062" w:rsidRPr="004F3163" w:rsidRDefault="005E3062" w:rsidP="004F3163">
      <w:pPr>
        <w:jc w:val="both"/>
      </w:pPr>
    </w:p>
    <w:p w:rsidR="005E3062" w:rsidRDefault="005E3062" w:rsidP="004F3163">
      <w:pPr>
        <w:jc w:val="both"/>
      </w:pPr>
      <w:r w:rsidRPr="004F3163">
        <w:t>The three-year YTTS</w:t>
      </w:r>
      <w:r w:rsidR="00D073CA">
        <w:t>P</w:t>
      </w:r>
      <w:r w:rsidRPr="004F3163">
        <w:t xml:space="preserve"> will provide participants with:</w:t>
      </w:r>
    </w:p>
    <w:p w:rsidR="003D20AC" w:rsidRPr="004F3163" w:rsidRDefault="003D20AC" w:rsidP="004F3163">
      <w:pPr>
        <w:jc w:val="both"/>
      </w:pPr>
    </w:p>
    <w:p w:rsidR="005E3062" w:rsidRPr="004F3163" w:rsidRDefault="005E3062" w:rsidP="004F3163">
      <w:pPr>
        <w:numPr>
          <w:ilvl w:val="0"/>
          <w:numId w:val="11"/>
        </w:numPr>
        <w:contextualSpacing/>
        <w:jc w:val="both"/>
      </w:pPr>
      <w:r w:rsidRPr="004F3163">
        <w:t>A flat rental subsidy that steps down annually by 15%;</w:t>
      </w:r>
    </w:p>
    <w:p w:rsidR="005E3062" w:rsidRPr="004F3163" w:rsidRDefault="005E3062" w:rsidP="004F3163">
      <w:pPr>
        <w:numPr>
          <w:ilvl w:val="0"/>
          <w:numId w:val="11"/>
        </w:numPr>
        <w:contextualSpacing/>
        <w:jc w:val="both"/>
      </w:pPr>
      <w:r w:rsidRPr="004F3163">
        <w:t>A matched savings account; and</w:t>
      </w:r>
    </w:p>
    <w:p w:rsidR="005E3062" w:rsidRPr="004F3163" w:rsidRDefault="00BA0074" w:rsidP="004F3163">
      <w:pPr>
        <w:numPr>
          <w:ilvl w:val="0"/>
          <w:numId w:val="11"/>
        </w:numPr>
        <w:contextualSpacing/>
        <w:jc w:val="both"/>
      </w:pPr>
      <w:r>
        <w:t>An annual support budget of $750</w:t>
      </w:r>
      <w:r w:rsidR="005E3062" w:rsidRPr="004F3163">
        <w:t xml:space="preserve"> for expenses related to sustaining employment and meeting educational goals.</w:t>
      </w:r>
    </w:p>
    <w:p w:rsidR="005E3062" w:rsidRPr="00EE5DCF" w:rsidRDefault="005E3062" w:rsidP="005E3062"/>
    <w:p w:rsidR="005E3062" w:rsidRPr="00EE5DCF" w:rsidRDefault="0076228E" w:rsidP="004F3163">
      <w:pPr>
        <w:jc w:val="both"/>
      </w:pPr>
      <w:r>
        <w:t>It has been three years since the YTTSP was fully implemented</w:t>
      </w:r>
      <w:r w:rsidR="0041361E">
        <w:t xml:space="preserve">. </w:t>
      </w:r>
      <w:r w:rsidR="0027440A" w:rsidRPr="0027440A">
        <w:t>Sin</w:t>
      </w:r>
      <w:r w:rsidR="00BA0074">
        <w:t>ce inception and through FY 2017</w:t>
      </w:r>
      <w:r w:rsidR="0041361E" w:rsidRPr="0027440A">
        <w:t>,</w:t>
      </w:r>
      <w:r w:rsidR="00394C02" w:rsidRPr="0027440A">
        <w:t xml:space="preserve"> </w:t>
      </w:r>
      <w:r w:rsidR="0027440A" w:rsidRPr="0027440A">
        <w:t xml:space="preserve">18 participants </w:t>
      </w:r>
      <w:r w:rsidR="00BA0074">
        <w:t>will have</w:t>
      </w:r>
      <w:r w:rsidR="001E0216" w:rsidRPr="0027440A">
        <w:t xml:space="preserve"> graduated</w:t>
      </w:r>
      <w:r w:rsidR="0041361E">
        <w:t>.  During FY 2017</w:t>
      </w:r>
      <w:r w:rsidR="003D20AC">
        <w:t>,</w:t>
      </w:r>
      <w:r w:rsidR="008E1530" w:rsidRPr="0021021D">
        <w:t xml:space="preserve"> </w:t>
      </w:r>
      <w:r w:rsidR="00BA0074">
        <w:t>DHCD anticipates</w:t>
      </w:r>
      <w:r w:rsidR="007B3D3D" w:rsidRPr="0021021D">
        <w:t xml:space="preserve"> 15</w:t>
      </w:r>
      <w:r w:rsidR="008E1530" w:rsidRPr="0021021D">
        <w:t xml:space="preserve"> new referrals</w:t>
      </w:r>
      <w:r w:rsidR="008E1530">
        <w:t xml:space="preserve">.  </w:t>
      </w:r>
      <w:r w:rsidR="005E3062" w:rsidRPr="00EE5DCF">
        <w:t xml:space="preserve">The participants who graduated or who are currently enrolled in the program have all maintained employment, enhanced their education, and increased their asset base through savings. </w:t>
      </w:r>
    </w:p>
    <w:p w:rsidR="008E1530" w:rsidRPr="004F3163" w:rsidRDefault="008E1530" w:rsidP="004F3163">
      <w:pPr>
        <w:jc w:val="both"/>
      </w:pPr>
    </w:p>
    <w:p w:rsidR="005E3062" w:rsidRDefault="0041361E" w:rsidP="004F3163">
      <w:pPr>
        <w:jc w:val="both"/>
        <w:rPr>
          <w:color w:val="000000"/>
        </w:rPr>
      </w:pPr>
      <w:r>
        <w:rPr>
          <w:color w:val="000000"/>
        </w:rPr>
        <w:t>In FY 2017</w:t>
      </w:r>
      <w:r w:rsidR="005E3062" w:rsidRPr="008E1530">
        <w:rPr>
          <w:color w:val="000000"/>
        </w:rPr>
        <w:t xml:space="preserve">, </w:t>
      </w:r>
      <w:r w:rsidR="00CE05D4" w:rsidRPr="008E1530">
        <w:rPr>
          <w:color w:val="000000"/>
        </w:rPr>
        <w:t xml:space="preserve">DHCD </w:t>
      </w:r>
      <w:r>
        <w:rPr>
          <w:color w:val="000000"/>
        </w:rPr>
        <w:t>will continue to explore way</w:t>
      </w:r>
      <w:r w:rsidR="004E0E41">
        <w:rPr>
          <w:color w:val="000000"/>
        </w:rPr>
        <w:t>s</w:t>
      </w:r>
      <w:r>
        <w:rPr>
          <w:color w:val="000000"/>
        </w:rPr>
        <w:t xml:space="preserve"> to expand</w:t>
      </w:r>
      <w:r w:rsidR="00CE05D4" w:rsidRPr="008E1530">
        <w:rPr>
          <w:color w:val="000000"/>
        </w:rPr>
        <w:t xml:space="preserve"> the referral pool for YTTSP, finding new partners who can offer the case management and supportive services simila</w:t>
      </w:r>
      <w:r>
        <w:rPr>
          <w:color w:val="000000"/>
        </w:rPr>
        <w:t xml:space="preserve">r to the ones provided by DCF.  </w:t>
      </w:r>
    </w:p>
    <w:p w:rsidR="004E0E41" w:rsidRPr="004F3163" w:rsidRDefault="004E0E41" w:rsidP="004F3163">
      <w:pPr>
        <w:jc w:val="both"/>
        <w:rPr>
          <w:b/>
          <w:color w:val="000000"/>
        </w:rPr>
      </w:pPr>
    </w:p>
    <w:p w:rsidR="004E0E41" w:rsidRPr="004F3163" w:rsidRDefault="005E3062" w:rsidP="004E0E41">
      <w:pPr>
        <w:jc w:val="both"/>
        <w:rPr>
          <w:color w:val="000000"/>
        </w:rPr>
      </w:pPr>
      <w:r w:rsidRPr="004F3163">
        <w:rPr>
          <w:b/>
          <w:color w:val="000000"/>
        </w:rPr>
        <w:t xml:space="preserve">Proposed Changes to Activity: </w:t>
      </w:r>
      <w:r w:rsidR="004E0E41">
        <w:rPr>
          <w:color w:val="000000"/>
        </w:rPr>
        <w:t xml:space="preserve">FY 2017, DHCD will accept referrals from DCF who might not be able to obtain a FUP voucher but who meet </w:t>
      </w:r>
      <w:r w:rsidR="00167FCC">
        <w:rPr>
          <w:color w:val="000000"/>
        </w:rPr>
        <w:t xml:space="preserve">all other </w:t>
      </w:r>
      <w:r w:rsidR="004E0E41">
        <w:rPr>
          <w:color w:val="000000"/>
        </w:rPr>
        <w:t xml:space="preserve">YTTSP eligibility requirements.  These individuals will be entitled to the same three year term as the DCF referrals who completed the FUP AOP term.  </w:t>
      </w:r>
      <w:r w:rsidR="000E1363">
        <w:rPr>
          <w:color w:val="000000"/>
        </w:rPr>
        <w:t xml:space="preserve">In FY 2017, DHCD will review the changes in </w:t>
      </w:r>
      <w:r w:rsidR="003D20AC">
        <w:rPr>
          <w:color w:val="000000"/>
        </w:rPr>
        <w:t xml:space="preserve">the </w:t>
      </w:r>
      <w:r w:rsidR="000E1363">
        <w:rPr>
          <w:color w:val="000000"/>
        </w:rPr>
        <w:t xml:space="preserve">rental market and may increase the flat rental subsidy for the YTTSP.  </w:t>
      </w:r>
      <w:r w:rsidR="0021021D">
        <w:rPr>
          <w:color w:val="000000"/>
        </w:rPr>
        <w:t>The subsidy change may be regionally based to reflect market rents in the areas served under the YTTS program.  Finally, in FY 2017 DHCD will extend the program to include two additional optional years to allow YTTSP participants time to com</w:t>
      </w:r>
      <w:r w:rsidR="00E327E5">
        <w:rPr>
          <w:color w:val="000000"/>
        </w:rPr>
        <w:t xml:space="preserve">plete their educational goals and to bring the YTTSP’s timeframe into alignment with HUD’s FUP AOP FSS program.  </w:t>
      </w:r>
    </w:p>
    <w:p w:rsidR="005E3062" w:rsidRPr="003F655B" w:rsidRDefault="005E3062" w:rsidP="005E3062">
      <w:pPr>
        <w:rPr>
          <w:color w:val="000000"/>
        </w:rPr>
      </w:pPr>
    </w:p>
    <w:p w:rsidR="005E3062" w:rsidRPr="003F655B" w:rsidRDefault="005E3062" w:rsidP="00925298">
      <w:pPr>
        <w:jc w:val="both"/>
        <w:rPr>
          <w:color w:val="000000"/>
        </w:rPr>
      </w:pPr>
      <w:r w:rsidRPr="003F655B">
        <w:rPr>
          <w:b/>
          <w:color w:val="000000"/>
        </w:rPr>
        <w:t xml:space="preserve">Approval and Implementation: </w:t>
      </w:r>
      <w:r w:rsidRPr="003F655B">
        <w:rPr>
          <w:color w:val="000000"/>
        </w:rPr>
        <w:t>2011 – Implementation activities began in FY 2013.</w:t>
      </w:r>
    </w:p>
    <w:p w:rsidR="005E3062" w:rsidRDefault="005E3062" w:rsidP="005E3062">
      <w:pPr>
        <w:rPr>
          <w:b/>
          <w:color w:val="000000"/>
        </w:rPr>
      </w:pPr>
    </w:p>
    <w:p w:rsidR="000E1363" w:rsidRDefault="000E1363" w:rsidP="00925298">
      <w:pPr>
        <w:jc w:val="both"/>
        <w:rPr>
          <w:b/>
          <w:color w:val="000000"/>
        </w:rPr>
      </w:pPr>
      <w:r>
        <w:rPr>
          <w:b/>
        </w:rPr>
        <w:t xml:space="preserve">Changes to Baseline, Benchmarks &amp; Metrics: </w:t>
      </w:r>
      <w:r>
        <w:t>The benchmarks have been updated to reflect FY 2017 projections for this activity. DHCD will report on outcomes in the MTW Annual Report</w:t>
      </w:r>
      <w:r w:rsidR="003D20AC">
        <w:t>.</w:t>
      </w:r>
    </w:p>
    <w:p w:rsidR="000E1363" w:rsidRPr="003F655B" w:rsidRDefault="000E1363" w:rsidP="005E3062">
      <w:pPr>
        <w:rPr>
          <w:b/>
          <w:color w:val="000000"/>
        </w:rPr>
      </w:pPr>
    </w:p>
    <w:p w:rsidR="00BA1074" w:rsidRDefault="00CA2CB8" w:rsidP="00BA1074">
      <w:pPr>
        <w:rPr>
          <w:color w:val="000000"/>
        </w:rPr>
      </w:pPr>
      <w:r>
        <w:rPr>
          <w:b/>
          <w:color w:val="000000"/>
        </w:rPr>
        <w:t>Metrics</w:t>
      </w:r>
      <w:r w:rsidR="005E3062" w:rsidRPr="004A47C3">
        <w:rPr>
          <w:color w:val="000000"/>
        </w:rPr>
        <w:t xml:space="preserve">:  </w:t>
      </w:r>
    </w:p>
    <w:p w:rsidR="005E3062" w:rsidRDefault="005E3062" w:rsidP="005E3062">
      <w:pPr>
        <w:rPr>
          <w:color w:val="00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65"/>
        <w:gridCol w:w="1871"/>
        <w:gridCol w:w="1853"/>
        <w:gridCol w:w="1872"/>
      </w:tblGrid>
      <w:tr w:rsidR="006B2C53" w:rsidRPr="00DC5A89" w:rsidTr="003D20AC">
        <w:trPr>
          <w:trHeight w:val="278"/>
        </w:trPr>
        <w:tc>
          <w:tcPr>
            <w:tcW w:w="957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B2C53" w:rsidRPr="00F13B32" w:rsidRDefault="006B2C53" w:rsidP="006B2C53">
            <w:pPr>
              <w:jc w:val="center"/>
              <w:rPr>
                <w:rFonts w:eastAsia="Calibri"/>
                <w:b/>
                <w:bCs/>
                <w:i/>
                <w:iCs/>
                <w:sz w:val="22"/>
                <w:szCs w:val="22"/>
              </w:rPr>
            </w:pPr>
            <w:r w:rsidRPr="00F13B32">
              <w:rPr>
                <w:rFonts w:eastAsia="Calibri"/>
                <w:b/>
                <w:bCs/>
                <w:i/>
                <w:iCs/>
                <w:sz w:val="22"/>
                <w:szCs w:val="22"/>
              </w:rPr>
              <w:t>CE #4: Increase in Resources Leveraged</w:t>
            </w:r>
          </w:p>
        </w:tc>
      </w:tr>
      <w:tr w:rsidR="006B2C53" w:rsidRPr="00DC5A89" w:rsidTr="003D20AC">
        <w:trPr>
          <w:trHeight w:val="615"/>
        </w:trPr>
        <w:tc>
          <w:tcPr>
            <w:tcW w:w="1915" w:type="dxa"/>
            <w:shd w:val="clear" w:color="auto" w:fill="D9D9D9" w:themeFill="background1" w:themeFillShade="D9"/>
            <w:hideMark/>
          </w:tcPr>
          <w:p w:rsidR="006B2C53" w:rsidRPr="006B2C53" w:rsidRDefault="006B2C53" w:rsidP="003D20AC">
            <w:pPr>
              <w:jc w:val="center"/>
              <w:rPr>
                <w:b/>
                <w:bCs/>
                <w:sz w:val="22"/>
                <w:szCs w:val="22"/>
              </w:rPr>
            </w:pPr>
            <w:r w:rsidRPr="006B2C53">
              <w:rPr>
                <w:b/>
                <w:bCs/>
                <w:sz w:val="22"/>
                <w:szCs w:val="22"/>
              </w:rPr>
              <w:t>Unit of Measurement</w:t>
            </w:r>
          </w:p>
        </w:tc>
        <w:tc>
          <w:tcPr>
            <w:tcW w:w="1915" w:type="dxa"/>
            <w:shd w:val="clear" w:color="auto" w:fill="D9D9D9" w:themeFill="background1" w:themeFillShade="D9"/>
            <w:hideMark/>
          </w:tcPr>
          <w:p w:rsidR="006B2C53" w:rsidRPr="00F13B32" w:rsidRDefault="006B2C53" w:rsidP="003D20AC">
            <w:pPr>
              <w:jc w:val="center"/>
              <w:rPr>
                <w:b/>
                <w:bCs/>
                <w:sz w:val="22"/>
                <w:szCs w:val="22"/>
              </w:rPr>
            </w:pPr>
            <w:r w:rsidRPr="00F13B32">
              <w:rPr>
                <w:b/>
                <w:bCs/>
                <w:sz w:val="22"/>
                <w:szCs w:val="22"/>
              </w:rPr>
              <w:t>Baseline</w:t>
            </w:r>
          </w:p>
        </w:tc>
        <w:tc>
          <w:tcPr>
            <w:tcW w:w="1915" w:type="dxa"/>
            <w:shd w:val="clear" w:color="auto" w:fill="D9D9D9" w:themeFill="background1" w:themeFillShade="D9"/>
            <w:hideMark/>
          </w:tcPr>
          <w:p w:rsidR="006B2C53" w:rsidRPr="00F13B32" w:rsidRDefault="006B2C53" w:rsidP="003D20AC">
            <w:pPr>
              <w:jc w:val="center"/>
              <w:rPr>
                <w:b/>
                <w:bCs/>
                <w:sz w:val="22"/>
                <w:szCs w:val="22"/>
              </w:rPr>
            </w:pPr>
            <w:r w:rsidRPr="00F13B32">
              <w:rPr>
                <w:b/>
                <w:bCs/>
                <w:sz w:val="22"/>
                <w:szCs w:val="22"/>
              </w:rPr>
              <w:t>Benchmark</w:t>
            </w:r>
          </w:p>
        </w:tc>
        <w:tc>
          <w:tcPr>
            <w:tcW w:w="1915" w:type="dxa"/>
            <w:shd w:val="clear" w:color="auto" w:fill="D9D9D9" w:themeFill="background1" w:themeFillShade="D9"/>
            <w:hideMark/>
          </w:tcPr>
          <w:p w:rsidR="006B2C53" w:rsidRPr="00F13B32" w:rsidRDefault="006B2C53" w:rsidP="003D20AC">
            <w:pPr>
              <w:jc w:val="center"/>
              <w:rPr>
                <w:b/>
                <w:bCs/>
                <w:sz w:val="22"/>
                <w:szCs w:val="22"/>
              </w:rPr>
            </w:pPr>
            <w:r w:rsidRPr="00F13B32">
              <w:rPr>
                <w:b/>
                <w:bCs/>
                <w:sz w:val="22"/>
                <w:szCs w:val="22"/>
              </w:rPr>
              <w:t>Outcome</w:t>
            </w:r>
          </w:p>
        </w:tc>
        <w:tc>
          <w:tcPr>
            <w:tcW w:w="1916" w:type="dxa"/>
            <w:shd w:val="clear" w:color="auto" w:fill="D9D9D9" w:themeFill="background1" w:themeFillShade="D9"/>
            <w:hideMark/>
          </w:tcPr>
          <w:p w:rsidR="006B2C53" w:rsidRPr="00F13B32" w:rsidRDefault="006B2C53" w:rsidP="003D20AC">
            <w:pPr>
              <w:jc w:val="center"/>
              <w:rPr>
                <w:b/>
                <w:bCs/>
                <w:sz w:val="22"/>
                <w:szCs w:val="22"/>
              </w:rPr>
            </w:pPr>
            <w:r w:rsidRPr="00F13B32">
              <w:rPr>
                <w:b/>
                <w:bCs/>
                <w:sz w:val="22"/>
                <w:szCs w:val="22"/>
              </w:rPr>
              <w:t>Benchmark Achieved?</w:t>
            </w:r>
          </w:p>
        </w:tc>
      </w:tr>
      <w:tr w:rsidR="006B2C53" w:rsidRPr="00DC5A89" w:rsidTr="008573AB">
        <w:trPr>
          <w:trHeight w:val="836"/>
        </w:trPr>
        <w:tc>
          <w:tcPr>
            <w:tcW w:w="1915" w:type="dxa"/>
            <w:hideMark/>
          </w:tcPr>
          <w:p w:rsidR="006B2C53" w:rsidRDefault="006B2C53" w:rsidP="006B2C53">
            <w:pPr>
              <w:rPr>
                <w:sz w:val="22"/>
                <w:szCs w:val="22"/>
              </w:rPr>
            </w:pPr>
            <w:r w:rsidRPr="006B2C53">
              <w:rPr>
                <w:sz w:val="22"/>
                <w:szCs w:val="22"/>
              </w:rPr>
              <w:t>Amount of funds leveraged in dollars (increase).</w:t>
            </w:r>
          </w:p>
          <w:p w:rsidR="00292E70" w:rsidRPr="006B2C53" w:rsidRDefault="00292E70" w:rsidP="006B2C53">
            <w:pPr>
              <w:rPr>
                <w:sz w:val="22"/>
                <w:szCs w:val="22"/>
              </w:rPr>
            </w:pPr>
          </w:p>
        </w:tc>
        <w:tc>
          <w:tcPr>
            <w:tcW w:w="1915" w:type="dxa"/>
            <w:vAlign w:val="center"/>
            <w:hideMark/>
          </w:tcPr>
          <w:p w:rsidR="006B2C53" w:rsidRPr="00FB4487" w:rsidRDefault="006B2C53" w:rsidP="008573AB">
            <w:pPr>
              <w:jc w:val="center"/>
              <w:rPr>
                <w:sz w:val="22"/>
                <w:szCs w:val="22"/>
              </w:rPr>
            </w:pPr>
            <w:r w:rsidRPr="00FB4487">
              <w:rPr>
                <w:sz w:val="22"/>
                <w:szCs w:val="22"/>
              </w:rPr>
              <w:t>$0.00</w:t>
            </w:r>
          </w:p>
        </w:tc>
        <w:tc>
          <w:tcPr>
            <w:tcW w:w="1915" w:type="dxa"/>
            <w:vAlign w:val="center"/>
            <w:hideMark/>
          </w:tcPr>
          <w:p w:rsidR="006B2C53" w:rsidRPr="00FB4487" w:rsidRDefault="006B2C53" w:rsidP="00BA0074">
            <w:pPr>
              <w:jc w:val="center"/>
              <w:rPr>
                <w:sz w:val="22"/>
                <w:szCs w:val="22"/>
              </w:rPr>
            </w:pPr>
            <w:r w:rsidRPr="00BA0074">
              <w:rPr>
                <w:sz w:val="22"/>
                <w:szCs w:val="22"/>
              </w:rPr>
              <w:t>$</w:t>
            </w:r>
            <w:r w:rsidR="00BA0074">
              <w:rPr>
                <w:sz w:val="22"/>
                <w:szCs w:val="22"/>
              </w:rPr>
              <w:t>2</w:t>
            </w:r>
            <w:r w:rsidR="00940802">
              <w:rPr>
                <w:sz w:val="22"/>
                <w:szCs w:val="22"/>
              </w:rPr>
              <w:t>18,750</w:t>
            </w:r>
          </w:p>
        </w:tc>
        <w:tc>
          <w:tcPr>
            <w:tcW w:w="1915" w:type="dxa"/>
            <w:hideMark/>
          </w:tcPr>
          <w:p w:rsidR="006B2C53" w:rsidRPr="00FB4487" w:rsidRDefault="006B2C53" w:rsidP="006B2C53">
            <w:pPr>
              <w:rPr>
                <w:sz w:val="22"/>
                <w:szCs w:val="22"/>
              </w:rPr>
            </w:pPr>
          </w:p>
        </w:tc>
        <w:tc>
          <w:tcPr>
            <w:tcW w:w="1916" w:type="dxa"/>
            <w:hideMark/>
          </w:tcPr>
          <w:p w:rsidR="006B2C53" w:rsidRPr="00FB4487" w:rsidRDefault="006B2C53" w:rsidP="006B2C53">
            <w:pPr>
              <w:rPr>
                <w:sz w:val="22"/>
                <w:szCs w:val="22"/>
              </w:rPr>
            </w:pPr>
          </w:p>
        </w:tc>
      </w:tr>
      <w:tr w:rsidR="008C1A1E" w:rsidRPr="00DC5A89" w:rsidTr="003D20AC">
        <w:trPr>
          <w:trHeight w:val="260"/>
        </w:trPr>
        <w:tc>
          <w:tcPr>
            <w:tcW w:w="9576" w:type="dxa"/>
            <w:gridSpan w:val="5"/>
            <w:shd w:val="clear" w:color="auto" w:fill="C6D9F1" w:themeFill="text2" w:themeFillTint="33"/>
          </w:tcPr>
          <w:p w:rsidR="008C1A1E" w:rsidRPr="00FB4487" w:rsidRDefault="00334C67" w:rsidP="00334C67">
            <w:pPr>
              <w:jc w:val="center"/>
              <w:rPr>
                <w:sz w:val="22"/>
                <w:szCs w:val="22"/>
              </w:rPr>
            </w:pPr>
            <w:r w:rsidRPr="00FB4487">
              <w:rPr>
                <w:b/>
                <w:bCs/>
                <w:i/>
                <w:iCs/>
                <w:sz w:val="22"/>
                <w:szCs w:val="22"/>
              </w:rPr>
              <w:t>SS #1: Increase in Household Income</w:t>
            </w:r>
          </w:p>
        </w:tc>
      </w:tr>
      <w:tr w:rsidR="008C1A1E" w:rsidRPr="00DC5A89" w:rsidTr="003D20AC">
        <w:trPr>
          <w:trHeight w:val="836"/>
        </w:trPr>
        <w:tc>
          <w:tcPr>
            <w:tcW w:w="1915" w:type="dxa"/>
            <w:shd w:val="clear" w:color="auto" w:fill="D9D9D9" w:themeFill="background1" w:themeFillShade="D9"/>
            <w:vAlign w:val="center"/>
          </w:tcPr>
          <w:p w:rsidR="008C1A1E" w:rsidRPr="00FB4487" w:rsidRDefault="008C1A1E" w:rsidP="008C1A1E">
            <w:pPr>
              <w:jc w:val="center"/>
              <w:rPr>
                <w:b/>
                <w:bCs/>
                <w:sz w:val="22"/>
                <w:szCs w:val="22"/>
              </w:rPr>
            </w:pPr>
            <w:r w:rsidRPr="00FB4487">
              <w:rPr>
                <w:b/>
                <w:bCs/>
                <w:sz w:val="22"/>
                <w:szCs w:val="22"/>
              </w:rPr>
              <w:t>Unit of Measurement</w:t>
            </w:r>
          </w:p>
        </w:tc>
        <w:tc>
          <w:tcPr>
            <w:tcW w:w="1915" w:type="dxa"/>
            <w:shd w:val="clear" w:color="auto" w:fill="D9D9D9" w:themeFill="background1" w:themeFillShade="D9"/>
            <w:vAlign w:val="center"/>
          </w:tcPr>
          <w:p w:rsidR="008C1A1E" w:rsidRPr="00FB4487" w:rsidRDefault="008C1A1E" w:rsidP="008C1A1E">
            <w:pPr>
              <w:jc w:val="center"/>
              <w:rPr>
                <w:b/>
                <w:bCs/>
                <w:sz w:val="22"/>
                <w:szCs w:val="22"/>
              </w:rPr>
            </w:pPr>
            <w:r w:rsidRPr="00FB4487">
              <w:rPr>
                <w:b/>
                <w:bCs/>
                <w:sz w:val="22"/>
                <w:szCs w:val="22"/>
              </w:rPr>
              <w:t>Baseline</w:t>
            </w:r>
          </w:p>
        </w:tc>
        <w:tc>
          <w:tcPr>
            <w:tcW w:w="1915" w:type="dxa"/>
            <w:shd w:val="clear" w:color="auto" w:fill="D9D9D9" w:themeFill="background1" w:themeFillShade="D9"/>
            <w:vAlign w:val="center"/>
          </w:tcPr>
          <w:p w:rsidR="008C1A1E" w:rsidRPr="00FB4487" w:rsidRDefault="008C1A1E" w:rsidP="008C1A1E">
            <w:pPr>
              <w:jc w:val="center"/>
              <w:rPr>
                <w:b/>
                <w:bCs/>
                <w:sz w:val="22"/>
                <w:szCs w:val="22"/>
              </w:rPr>
            </w:pPr>
            <w:r w:rsidRPr="00FB4487">
              <w:rPr>
                <w:b/>
                <w:bCs/>
                <w:sz w:val="22"/>
                <w:szCs w:val="22"/>
              </w:rPr>
              <w:t>Benchmark</w:t>
            </w:r>
          </w:p>
        </w:tc>
        <w:tc>
          <w:tcPr>
            <w:tcW w:w="1915" w:type="dxa"/>
            <w:shd w:val="clear" w:color="auto" w:fill="D9D9D9" w:themeFill="background1" w:themeFillShade="D9"/>
            <w:vAlign w:val="center"/>
          </w:tcPr>
          <w:p w:rsidR="008C1A1E" w:rsidRPr="00FB4487" w:rsidRDefault="008C1A1E" w:rsidP="008C1A1E">
            <w:pPr>
              <w:jc w:val="center"/>
              <w:rPr>
                <w:b/>
                <w:bCs/>
                <w:sz w:val="22"/>
                <w:szCs w:val="22"/>
              </w:rPr>
            </w:pPr>
            <w:r w:rsidRPr="00FB4487">
              <w:rPr>
                <w:b/>
                <w:bCs/>
                <w:sz w:val="22"/>
                <w:szCs w:val="22"/>
              </w:rPr>
              <w:t>Outcome</w:t>
            </w:r>
          </w:p>
        </w:tc>
        <w:tc>
          <w:tcPr>
            <w:tcW w:w="1916" w:type="dxa"/>
            <w:shd w:val="clear" w:color="auto" w:fill="D9D9D9" w:themeFill="background1" w:themeFillShade="D9"/>
            <w:vAlign w:val="center"/>
          </w:tcPr>
          <w:p w:rsidR="008C1A1E" w:rsidRPr="00FB4487" w:rsidRDefault="008C1A1E" w:rsidP="008C1A1E">
            <w:pPr>
              <w:jc w:val="center"/>
              <w:rPr>
                <w:b/>
                <w:bCs/>
                <w:sz w:val="22"/>
                <w:szCs w:val="22"/>
              </w:rPr>
            </w:pPr>
            <w:r w:rsidRPr="00FB4487">
              <w:rPr>
                <w:b/>
                <w:bCs/>
                <w:sz w:val="22"/>
                <w:szCs w:val="22"/>
              </w:rPr>
              <w:t>Benchmark Achieved?</w:t>
            </w:r>
          </w:p>
        </w:tc>
      </w:tr>
      <w:tr w:rsidR="008C1A1E" w:rsidRPr="00DC5A89" w:rsidTr="00B2501A">
        <w:trPr>
          <w:trHeight w:val="836"/>
        </w:trPr>
        <w:tc>
          <w:tcPr>
            <w:tcW w:w="1915" w:type="dxa"/>
          </w:tcPr>
          <w:p w:rsidR="008C1A1E" w:rsidRDefault="00334C67" w:rsidP="006B2C53">
            <w:pPr>
              <w:rPr>
                <w:sz w:val="22"/>
                <w:szCs w:val="22"/>
              </w:rPr>
            </w:pPr>
            <w:r w:rsidRPr="00FB4487">
              <w:rPr>
                <w:sz w:val="22"/>
                <w:szCs w:val="22"/>
              </w:rPr>
              <w:t>Average earned income of households affected by this policy in dollars (increase).</w:t>
            </w:r>
          </w:p>
          <w:p w:rsidR="00292E70" w:rsidRPr="00FB4487" w:rsidRDefault="00292E70" w:rsidP="006B2C53">
            <w:pPr>
              <w:rPr>
                <w:sz w:val="22"/>
                <w:szCs w:val="22"/>
              </w:rPr>
            </w:pPr>
          </w:p>
        </w:tc>
        <w:tc>
          <w:tcPr>
            <w:tcW w:w="1915" w:type="dxa"/>
            <w:vAlign w:val="center"/>
          </w:tcPr>
          <w:p w:rsidR="008C1A1E" w:rsidRPr="00201A2E" w:rsidRDefault="00B26685" w:rsidP="00B2501A">
            <w:pPr>
              <w:jc w:val="center"/>
              <w:rPr>
                <w:sz w:val="22"/>
                <w:szCs w:val="22"/>
              </w:rPr>
            </w:pPr>
            <w:r w:rsidRPr="00201A2E">
              <w:rPr>
                <w:sz w:val="22"/>
                <w:szCs w:val="22"/>
              </w:rPr>
              <w:t>$9,492 for current YT</w:t>
            </w:r>
            <w:r w:rsidR="00A24CA6" w:rsidRPr="00201A2E">
              <w:rPr>
                <w:sz w:val="22"/>
                <w:szCs w:val="22"/>
              </w:rPr>
              <w:t>T</w:t>
            </w:r>
            <w:r w:rsidRPr="00201A2E">
              <w:rPr>
                <w:sz w:val="22"/>
                <w:szCs w:val="22"/>
              </w:rPr>
              <w:t>SP participants</w:t>
            </w:r>
            <w:r w:rsidR="00A24CA6" w:rsidRPr="00201A2E">
              <w:rPr>
                <w:sz w:val="22"/>
                <w:szCs w:val="22"/>
              </w:rPr>
              <w:t xml:space="preserve"> at time of enrollment</w:t>
            </w:r>
          </w:p>
        </w:tc>
        <w:tc>
          <w:tcPr>
            <w:tcW w:w="1915" w:type="dxa"/>
            <w:vAlign w:val="center"/>
          </w:tcPr>
          <w:p w:rsidR="008C1A1E" w:rsidRPr="00201A2E" w:rsidRDefault="00C67169" w:rsidP="00B2501A">
            <w:pPr>
              <w:jc w:val="center"/>
              <w:rPr>
                <w:sz w:val="22"/>
                <w:szCs w:val="22"/>
              </w:rPr>
            </w:pPr>
            <w:r w:rsidRPr="00201A2E">
              <w:rPr>
                <w:rFonts w:eastAsia="Calibri"/>
                <w:bCs/>
                <w:iCs/>
                <w:sz w:val="22"/>
                <w:szCs w:val="22"/>
              </w:rPr>
              <w:t>$</w:t>
            </w:r>
            <w:r w:rsidR="00201A2E" w:rsidRPr="00201A2E">
              <w:rPr>
                <w:rFonts w:eastAsia="Calibri"/>
                <w:bCs/>
                <w:iCs/>
                <w:sz w:val="22"/>
                <w:szCs w:val="22"/>
              </w:rPr>
              <w:t>10,069</w:t>
            </w:r>
          </w:p>
        </w:tc>
        <w:tc>
          <w:tcPr>
            <w:tcW w:w="1915" w:type="dxa"/>
          </w:tcPr>
          <w:p w:rsidR="008C1A1E" w:rsidRPr="00FB4487" w:rsidRDefault="008C1A1E" w:rsidP="006B7F6E">
            <w:pPr>
              <w:jc w:val="center"/>
              <w:rPr>
                <w:sz w:val="22"/>
                <w:szCs w:val="22"/>
              </w:rPr>
            </w:pPr>
          </w:p>
        </w:tc>
        <w:tc>
          <w:tcPr>
            <w:tcW w:w="1916" w:type="dxa"/>
          </w:tcPr>
          <w:p w:rsidR="008C1A1E" w:rsidRPr="00FB4487" w:rsidRDefault="008C1A1E" w:rsidP="006B7F6E">
            <w:pPr>
              <w:jc w:val="center"/>
              <w:rPr>
                <w:sz w:val="22"/>
                <w:szCs w:val="22"/>
              </w:rPr>
            </w:pPr>
          </w:p>
        </w:tc>
      </w:tr>
      <w:tr w:rsidR="00CD5149" w:rsidRPr="00DC5A89" w:rsidTr="003D20AC">
        <w:trPr>
          <w:trHeight w:val="332"/>
        </w:trPr>
        <w:tc>
          <w:tcPr>
            <w:tcW w:w="9576" w:type="dxa"/>
            <w:gridSpan w:val="5"/>
            <w:shd w:val="clear" w:color="auto" w:fill="C6D9F1" w:themeFill="text2" w:themeFillTint="33"/>
            <w:hideMark/>
          </w:tcPr>
          <w:p w:rsidR="00CD5149" w:rsidRPr="005E0EE4" w:rsidRDefault="00CD5149" w:rsidP="00CD5149">
            <w:pPr>
              <w:jc w:val="center"/>
              <w:rPr>
                <w:b/>
                <w:bCs/>
                <w:i/>
                <w:iCs/>
                <w:sz w:val="22"/>
                <w:szCs w:val="22"/>
              </w:rPr>
            </w:pPr>
            <w:r w:rsidRPr="005E0EE4">
              <w:rPr>
                <w:b/>
                <w:bCs/>
                <w:i/>
                <w:iCs/>
                <w:sz w:val="22"/>
                <w:szCs w:val="22"/>
              </w:rPr>
              <w:t>SS #2: Increase in Household Savings</w:t>
            </w:r>
          </w:p>
        </w:tc>
      </w:tr>
      <w:tr w:rsidR="00CD5149" w:rsidRPr="00DC5A89" w:rsidTr="003D20AC">
        <w:trPr>
          <w:trHeight w:val="615"/>
        </w:trPr>
        <w:tc>
          <w:tcPr>
            <w:tcW w:w="1915" w:type="dxa"/>
            <w:shd w:val="clear" w:color="auto" w:fill="D9D9D9" w:themeFill="background1" w:themeFillShade="D9"/>
            <w:hideMark/>
          </w:tcPr>
          <w:p w:rsidR="00CD5149" w:rsidRPr="00F13B32" w:rsidRDefault="00CD5149" w:rsidP="003D20AC">
            <w:pPr>
              <w:jc w:val="center"/>
              <w:rPr>
                <w:b/>
                <w:bCs/>
                <w:sz w:val="22"/>
                <w:szCs w:val="22"/>
              </w:rPr>
            </w:pPr>
            <w:r w:rsidRPr="00F13B32">
              <w:rPr>
                <w:b/>
                <w:bCs/>
                <w:sz w:val="22"/>
                <w:szCs w:val="22"/>
              </w:rPr>
              <w:t>Unit of Measurement</w:t>
            </w:r>
          </w:p>
        </w:tc>
        <w:tc>
          <w:tcPr>
            <w:tcW w:w="1915" w:type="dxa"/>
            <w:shd w:val="clear" w:color="auto" w:fill="D9D9D9" w:themeFill="background1" w:themeFillShade="D9"/>
            <w:hideMark/>
          </w:tcPr>
          <w:p w:rsidR="00CD5149" w:rsidRPr="005E0EE4" w:rsidRDefault="00CD5149" w:rsidP="003D20AC">
            <w:pPr>
              <w:jc w:val="center"/>
              <w:rPr>
                <w:b/>
                <w:bCs/>
                <w:sz w:val="22"/>
                <w:szCs w:val="22"/>
              </w:rPr>
            </w:pPr>
            <w:r w:rsidRPr="005E0EE4">
              <w:rPr>
                <w:b/>
                <w:bCs/>
                <w:sz w:val="22"/>
                <w:szCs w:val="22"/>
              </w:rPr>
              <w:t>Baseline</w:t>
            </w:r>
          </w:p>
        </w:tc>
        <w:tc>
          <w:tcPr>
            <w:tcW w:w="1915" w:type="dxa"/>
            <w:shd w:val="clear" w:color="auto" w:fill="D9D9D9" w:themeFill="background1" w:themeFillShade="D9"/>
            <w:hideMark/>
          </w:tcPr>
          <w:p w:rsidR="00CD5149" w:rsidRPr="005E0EE4" w:rsidRDefault="00CD5149" w:rsidP="003D20AC">
            <w:pPr>
              <w:jc w:val="center"/>
              <w:rPr>
                <w:b/>
                <w:bCs/>
                <w:sz w:val="22"/>
                <w:szCs w:val="22"/>
              </w:rPr>
            </w:pPr>
            <w:r w:rsidRPr="005E0EE4">
              <w:rPr>
                <w:b/>
                <w:bCs/>
                <w:sz w:val="22"/>
                <w:szCs w:val="22"/>
              </w:rPr>
              <w:t>Benchmark</w:t>
            </w:r>
          </w:p>
        </w:tc>
        <w:tc>
          <w:tcPr>
            <w:tcW w:w="1915" w:type="dxa"/>
            <w:shd w:val="clear" w:color="auto" w:fill="D9D9D9" w:themeFill="background1" w:themeFillShade="D9"/>
            <w:hideMark/>
          </w:tcPr>
          <w:p w:rsidR="00CD5149" w:rsidRPr="00F13B32" w:rsidRDefault="00CD5149" w:rsidP="003D20AC">
            <w:pPr>
              <w:jc w:val="center"/>
              <w:rPr>
                <w:b/>
                <w:bCs/>
                <w:sz w:val="22"/>
                <w:szCs w:val="22"/>
              </w:rPr>
            </w:pPr>
            <w:r w:rsidRPr="00F13B32">
              <w:rPr>
                <w:b/>
                <w:bCs/>
                <w:sz w:val="22"/>
                <w:szCs w:val="22"/>
              </w:rPr>
              <w:t>Outcome</w:t>
            </w:r>
          </w:p>
        </w:tc>
        <w:tc>
          <w:tcPr>
            <w:tcW w:w="1916" w:type="dxa"/>
            <w:shd w:val="clear" w:color="auto" w:fill="D9D9D9" w:themeFill="background1" w:themeFillShade="D9"/>
            <w:hideMark/>
          </w:tcPr>
          <w:p w:rsidR="00CD5149" w:rsidRPr="00F13B32" w:rsidRDefault="00CD5149" w:rsidP="003D20AC">
            <w:pPr>
              <w:jc w:val="center"/>
              <w:rPr>
                <w:b/>
                <w:bCs/>
                <w:sz w:val="22"/>
                <w:szCs w:val="22"/>
              </w:rPr>
            </w:pPr>
            <w:r w:rsidRPr="00F13B32">
              <w:rPr>
                <w:b/>
                <w:bCs/>
                <w:sz w:val="22"/>
                <w:szCs w:val="22"/>
              </w:rPr>
              <w:t>Benchmark Achieved?</w:t>
            </w:r>
          </w:p>
        </w:tc>
      </w:tr>
      <w:tr w:rsidR="00CD5149" w:rsidRPr="00DC5A89" w:rsidTr="008573AB">
        <w:trPr>
          <w:trHeight w:val="1349"/>
        </w:trPr>
        <w:tc>
          <w:tcPr>
            <w:tcW w:w="1915" w:type="dxa"/>
            <w:hideMark/>
          </w:tcPr>
          <w:p w:rsidR="00CD5149" w:rsidRDefault="00CD5149" w:rsidP="00CD5149">
            <w:pPr>
              <w:rPr>
                <w:sz w:val="22"/>
                <w:szCs w:val="22"/>
              </w:rPr>
            </w:pPr>
            <w:r w:rsidRPr="00F13B32">
              <w:rPr>
                <w:sz w:val="22"/>
                <w:szCs w:val="22"/>
              </w:rPr>
              <w:t>Average amount of savings/escrow of households affected by this policy in dollars (increase).</w:t>
            </w:r>
          </w:p>
          <w:p w:rsidR="00292E70" w:rsidRPr="00F13B32" w:rsidRDefault="00292E70" w:rsidP="00CD5149">
            <w:pPr>
              <w:rPr>
                <w:sz w:val="22"/>
                <w:szCs w:val="22"/>
              </w:rPr>
            </w:pPr>
          </w:p>
        </w:tc>
        <w:tc>
          <w:tcPr>
            <w:tcW w:w="1915" w:type="dxa"/>
            <w:vAlign w:val="center"/>
            <w:hideMark/>
          </w:tcPr>
          <w:p w:rsidR="00CD5149" w:rsidRPr="005E0EE4" w:rsidRDefault="00F41EC2" w:rsidP="008573AB">
            <w:pPr>
              <w:jc w:val="center"/>
              <w:rPr>
                <w:sz w:val="22"/>
                <w:szCs w:val="22"/>
              </w:rPr>
            </w:pPr>
            <w:r w:rsidRPr="005E0EE4">
              <w:rPr>
                <w:sz w:val="22"/>
                <w:szCs w:val="22"/>
              </w:rPr>
              <w:t>$0</w:t>
            </w:r>
          </w:p>
        </w:tc>
        <w:tc>
          <w:tcPr>
            <w:tcW w:w="1915" w:type="dxa"/>
            <w:vAlign w:val="center"/>
            <w:hideMark/>
          </w:tcPr>
          <w:p w:rsidR="00CD5149" w:rsidRPr="005E0EE4" w:rsidRDefault="00851A6B" w:rsidP="008573AB">
            <w:pPr>
              <w:jc w:val="center"/>
              <w:rPr>
                <w:sz w:val="22"/>
                <w:szCs w:val="22"/>
              </w:rPr>
            </w:pPr>
            <w:r w:rsidRPr="005E0EE4">
              <w:rPr>
                <w:sz w:val="22"/>
                <w:szCs w:val="22"/>
              </w:rPr>
              <w:t>$</w:t>
            </w:r>
            <w:r w:rsidR="00201A2E" w:rsidRPr="005E0EE4">
              <w:rPr>
                <w:sz w:val="22"/>
                <w:szCs w:val="22"/>
              </w:rPr>
              <w:t>1,549</w:t>
            </w:r>
          </w:p>
        </w:tc>
        <w:tc>
          <w:tcPr>
            <w:tcW w:w="1915" w:type="dxa"/>
            <w:hideMark/>
          </w:tcPr>
          <w:p w:rsidR="00CD5149" w:rsidRPr="00F13B32" w:rsidRDefault="00CD5149" w:rsidP="006B7F6E">
            <w:pPr>
              <w:jc w:val="center"/>
              <w:rPr>
                <w:sz w:val="22"/>
                <w:szCs w:val="22"/>
              </w:rPr>
            </w:pPr>
          </w:p>
        </w:tc>
        <w:tc>
          <w:tcPr>
            <w:tcW w:w="1916" w:type="dxa"/>
            <w:hideMark/>
          </w:tcPr>
          <w:p w:rsidR="00CD5149" w:rsidRPr="00F13B32" w:rsidRDefault="00CD5149" w:rsidP="006B7F6E">
            <w:pPr>
              <w:jc w:val="center"/>
              <w:rPr>
                <w:sz w:val="22"/>
                <w:szCs w:val="22"/>
              </w:rPr>
            </w:pPr>
          </w:p>
        </w:tc>
      </w:tr>
      <w:tr w:rsidR="005E3062" w:rsidRPr="003F655B" w:rsidTr="003D20AC">
        <w:trPr>
          <w:trHeight w:val="278"/>
        </w:trPr>
        <w:tc>
          <w:tcPr>
            <w:tcW w:w="9576" w:type="dxa"/>
            <w:gridSpan w:val="5"/>
            <w:shd w:val="clear" w:color="auto" w:fill="C6D9F1" w:themeFill="text2" w:themeFillTint="33"/>
            <w:hideMark/>
          </w:tcPr>
          <w:p w:rsidR="005E3062" w:rsidRPr="005E0EE4" w:rsidRDefault="005E3062" w:rsidP="004172B2">
            <w:pPr>
              <w:jc w:val="center"/>
              <w:rPr>
                <w:rFonts w:eastAsia="Calibri"/>
                <w:b/>
                <w:bCs/>
                <w:i/>
                <w:iCs/>
                <w:sz w:val="22"/>
                <w:szCs w:val="22"/>
              </w:rPr>
            </w:pPr>
            <w:r w:rsidRPr="005E0EE4">
              <w:rPr>
                <w:rFonts w:eastAsia="Calibri"/>
                <w:b/>
                <w:bCs/>
                <w:i/>
                <w:iCs/>
                <w:sz w:val="22"/>
                <w:szCs w:val="22"/>
              </w:rPr>
              <w:t>SS #3: Increase in Positive Outcomes in Employment Status</w:t>
            </w:r>
          </w:p>
        </w:tc>
      </w:tr>
      <w:tr w:rsidR="005E3062" w:rsidRPr="003F655B" w:rsidTr="003D20AC">
        <w:trPr>
          <w:trHeight w:val="404"/>
        </w:trPr>
        <w:tc>
          <w:tcPr>
            <w:tcW w:w="1915" w:type="dxa"/>
            <w:shd w:val="clear" w:color="auto" w:fill="D9D9D9" w:themeFill="background1" w:themeFillShade="D9"/>
            <w:vAlign w:val="center"/>
            <w:hideMark/>
          </w:tcPr>
          <w:p w:rsidR="005E3062" w:rsidRPr="00394C02" w:rsidRDefault="005E3062" w:rsidP="00B82342">
            <w:pPr>
              <w:jc w:val="center"/>
              <w:rPr>
                <w:rFonts w:eastAsia="Calibri"/>
                <w:b/>
                <w:bCs/>
                <w:sz w:val="22"/>
                <w:szCs w:val="22"/>
              </w:rPr>
            </w:pPr>
            <w:r w:rsidRPr="00394C02">
              <w:rPr>
                <w:rFonts w:eastAsia="Calibri"/>
                <w:b/>
                <w:bCs/>
                <w:sz w:val="22"/>
                <w:szCs w:val="22"/>
              </w:rPr>
              <w:t>Unit of Measurement</w:t>
            </w:r>
          </w:p>
        </w:tc>
        <w:tc>
          <w:tcPr>
            <w:tcW w:w="1915" w:type="dxa"/>
            <w:shd w:val="clear" w:color="auto" w:fill="D9D9D9" w:themeFill="background1" w:themeFillShade="D9"/>
            <w:vAlign w:val="center"/>
            <w:hideMark/>
          </w:tcPr>
          <w:p w:rsidR="005E3062" w:rsidRPr="005E0EE4" w:rsidRDefault="005E3062" w:rsidP="00B82342">
            <w:pPr>
              <w:jc w:val="center"/>
              <w:rPr>
                <w:rFonts w:eastAsia="Calibri"/>
                <w:b/>
                <w:bCs/>
                <w:sz w:val="22"/>
                <w:szCs w:val="22"/>
              </w:rPr>
            </w:pPr>
            <w:r w:rsidRPr="005E0EE4">
              <w:rPr>
                <w:rFonts w:eastAsia="Calibri"/>
                <w:b/>
                <w:bCs/>
                <w:sz w:val="22"/>
                <w:szCs w:val="22"/>
              </w:rPr>
              <w:t>Baseline</w:t>
            </w:r>
          </w:p>
        </w:tc>
        <w:tc>
          <w:tcPr>
            <w:tcW w:w="1915" w:type="dxa"/>
            <w:shd w:val="clear" w:color="auto" w:fill="D9D9D9" w:themeFill="background1" w:themeFillShade="D9"/>
            <w:vAlign w:val="center"/>
            <w:hideMark/>
          </w:tcPr>
          <w:p w:rsidR="005E3062" w:rsidRPr="005E0EE4" w:rsidRDefault="005E3062" w:rsidP="00B82342">
            <w:pPr>
              <w:jc w:val="center"/>
              <w:rPr>
                <w:rFonts w:eastAsia="Calibri"/>
                <w:b/>
                <w:bCs/>
                <w:sz w:val="22"/>
                <w:szCs w:val="22"/>
              </w:rPr>
            </w:pPr>
            <w:r w:rsidRPr="005E0EE4">
              <w:rPr>
                <w:rFonts w:eastAsia="Calibri"/>
                <w:b/>
                <w:bCs/>
                <w:sz w:val="22"/>
                <w:szCs w:val="22"/>
              </w:rPr>
              <w:t>Benchmark</w:t>
            </w:r>
          </w:p>
        </w:tc>
        <w:tc>
          <w:tcPr>
            <w:tcW w:w="1915" w:type="dxa"/>
            <w:shd w:val="clear" w:color="auto" w:fill="D9D9D9" w:themeFill="background1" w:themeFillShade="D9"/>
            <w:vAlign w:val="center"/>
            <w:hideMark/>
          </w:tcPr>
          <w:p w:rsidR="005E3062" w:rsidRPr="00394C02" w:rsidRDefault="005E3062" w:rsidP="00B82342">
            <w:pPr>
              <w:jc w:val="center"/>
              <w:rPr>
                <w:rFonts w:eastAsia="Calibri"/>
                <w:b/>
                <w:bCs/>
                <w:sz w:val="22"/>
                <w:szCs w:val="22"/>
              </w:rPr>
            </w:pPr>
            <w:r w:rsidRPr="00394C02">
              <w:rPr>
                <w:rFonts w:eastAsia="Calibri"/>
                <w:b/>
                <w:bCs/>
                <w:sz w:val="22"/>
                <w:szCs w:val="22"/>
              </w:rPr>
              <w:t>Outcome</w:t>
            </w:r>
          </w:p>
        </w:tc>
        <w:tc>
          <w:tcPr>
            <w:tcW w:w="1916" w:type="dxa"/>
            <w:shd w:val="clear" w:color="auto" w:fill="D9D9D9" w:themeFill="background1" w:themeFillShade="D9"/>
            <w:vAlign w:val="center"/>
            <w:hideMark/>
          </w:tcPr>
          <w:p w:rsidR="005E3062" w:rsidRPr="00394C02" w:rsidRDefault="005E3062" w:rsidP="00B82342">
            <w:pPr>
              <w:jc w:val="center"/>
              <w:rPr>
                <w:rFonts w:eastAsia="Calibri"/>
                <w:b/>
                <w:bCs/>
                <w:sz w:val="22"/>
                <w:szCs w:val="22"/>
              </w:rPr>
            </w:pPr>
            <w:r w:rsidRPr="00394C02">
              <w:rPr>
                <w:rFonts w:eastAsia="Calibri"/>
                <w:b/>
                <w:bCs/>
                <w:sz w:val="22"/>
                <w:szCs w:val="22"/>
              </w:rPr>
              <w:t>Benchmark Achieved?</w:t>
            </w:r>
          </w:p>
        </w:tc>
      </w:tr>
      <w:tr w:rsidR="00316D42" w:rsidRPr="003F655B" w:rsidTr="004E49FD">
        <w:trPr>
          <w:trHeight w:val="315"/>
        </w:trPr>
        <w:tc>
          <w:tcPr>
            <w:tcW w:w="1915" w:type="dxa"/>
            <w:vMerge w:val="restart"/>
            <w:shd w:val="clear" w:color="auto" w:fill="auto"/>
            <w:hideMark/>
          </w:tcPr>
          <w:p w:rsidR="00316D42" w:rsidRDefault="00316D42" w:rsidP="004172B2">
            <w:pPr>
              <w:rPr>
                <w:rFonts w:eastAsia="Calibri"/>
                <w:sz w:val="22"/>
                <w:szCs w:val="22"/>
              </w:rPr>
            </w:pPr>
            <w:r w:rsidRPr="00394C02">
              <w:rPr>
                <w:rFonts w:eastAsia="Calibri"/>
                <w:sz w:val="22"/>
                <w:szCs w:val="22"/>
              </w:rPr>
              <w:t>Enrolled in an  Educational Program</w:t>
            </w:r>
          </w:p>
          <w:p w:rsidR="00292E70" w:rsidRPr="00394C02" w:rsidRDefault="00292E70" w:rsidP="004172B2">
            <w:pPr>
              <w:rPr>
                <w:rFonts w:eastAsia="Calibri"/>
                <w:sz w:val="22"/>
                <w:szCs w:val="22"/>
              </w:rPr>
            </w:pPr>
          </w:p>
        </w:tc>
        <w:tc>
          <w:tcPr>
            <w:tcW w:w="1915" w:type="dxa"/>
            <w:shd w:val="clear" w:color="auto" w:fill="auto"/>
          </w:tcPr>
          <w:p w:rsidR="00316D42" w:rsidRPr="00394C02" w:rsidRDefault="00316D42" w:rsidP="009472B1">
            <w:pPr>
              <w:jc w:val="center"/>
              <w:rPr>
                <w:rFonts w:eastAsia="Calibri"/>
                <w:sz w:val="22"/>
                <w:szCs w:val="22"/>
              </w:rPr>
            </w:pPr>
            <w:r>
              <w:rPr>
                <w:rFonts w:eastAsia="Calibri"/>
                <w:sz w:val="22"/>
                <w:szCs w:val="22"/>
              </w:rPr>
              <w:t>7 participants</w:t>
            </w:r>
          </w:p>
        </w:tc>
        <w:tc>
          <w:tcPr>
            <w:tcW w:w="1915" w:type="dxa"/>
            <w:shd w:val="clear" w:color="auto" w:fill="auto"/>
          </w:tcPr>
          <w:p w:rsidR="00316D42" w:rsidRPr="005E0EE4" w:rsidRDefault="00730399" w:rsidP="009472B1">
            <w:pPr>
              <w:jc w:val="center"/>
              <w:rPr>
                <w:rFonts w:eastAsia="Calibri"/>
                <w:sz w:val="22"/>
                <w:szCs w:val="22"/>
              </w:rPr>
            </w:pPr>
            <w:r>
              <w:rPr>
                <w:rFonts w:eastAsia="Calibri"/>
                <w:sz w:val="22"/>
                <w:szCs w:val="22"/>
              </w:rPr>
              <w:t>25</w:t>
            </w:r>
            <w:r w:rsidR="00316D42" w:rsidRPr="005E0EE4">
              <w:rPr>
                <w:rFonts w:eastAsia="Calibri"/>
                <w:sz w:val="22"/>
                <w:szCs w:val="22"/>
              </w:rPr>
              <w:t xml:space="preserve"> participants</w:t>
            </w:r>
          </w:p>
        </w:tc>
        <w:tc>
          <w:tcPr>
            <w:tcW w:w="1915" w:type="dxa"/>
            <w:shd w:val="clear" w:color="auto" w:fill="auto"/>
          </w:tcPr>
          <w:p w:rsidR="00316D42" w:rsidRPr="00394C02" w:rsidRDefault="00316D42" w:rsidP="009472B1">
            <w:pPr>
              <w:jc w:val="center"/>
              <w:rPr>
                <w:rFonts w:eastAsia="Calibri"/>
                <w:sz w:val="22"/>
                <w:szCs w:val="22"/>
              </w:rPr>
            </w:pPr>
          </w:p>
        </w:tc>
        <w:tc>
          <w:tcPr>
            <w:tcW w:w="1916" w:type="dxa"/>
            <w:shd w:val="clear" w:color="auto" w:fill="auto"/>
          </w:tcPr>
          <w:p w:rsidR="00316D42" w:rsidRPr="00394C02" w:rsidRDefault="00316D42" w:rsidP="009472B1">
            <w:pPr>
              <w:jc w:val="center"/>
              <w:rPr>
                <w:rFonts w:eastAsia="Calibri"/>
                <w:sz w:val="22"/>
                <w:szCs w:val="22"/>
              </w:rPr>
            </w:pPr>
          </w:p>
        </w:tc>
      </w:tr>
      <w:tr w:rsidR="00316D42" w:rsidRPr="003F655B" w:rsidTr="004E49FD">
        <w:trPr>
          <w:trHeight w:val="315"/>
        </w:trPr>
        <w:tc>
          <w:tcPr>
            <w:tcW w:w="1915" w:type="dxa"/>
            <w:vMerge/>
            <w:shd w:val="clear" w:color="auto" w:fill="auto"/>
            <w:hideMark/>
          </w:tcPr>
          <w:p w:rsidR="00316D42" w:rsidRPr="00394C02" w:rsidRDefault="00316D42" w:rsidP="004172B2">
            <w:pPr>
              <w:rPr>
                <w:rFonts w:eastAsia="Calibri"/>
                <w:sz w:val="22"/>
                <w:szCs w:val="22"/>
              </w:rPr>
            </w:pPr>
          </w:p>
        </w:tc>
        <w:tc>
          <w:tcPr>
            <w:tcW w:w="1915" w:type="dxa"/>
            <w:shd w:val="clear" w:color="auto" w:fill="auto"/>
          </w:tcPr>
          <w:p w:rsidR="00316D42" w:rsidRDefault="00316D42" w:rsidP="009472B1">
            <w:pPr>
              <w:jc w:val="center"/>
              <w:rPr>
                <w:rFonts w:eastAsia="Calibri"/>
                <w:sz w:val="22"/>
                <w:szCs w:val="22"/>
              </w:rPr>
            </w:pPr>
            <w:r>
              <w:rPr>
                <w:rFonts w:eastAsia="Calibri"/>
                <w:sz w:val="22"/>
                <w:szCs w:val="22"/>
              </w:rPr>
              <w:t>100% of participants</w:t>
            </w:r>
          </w:p>
        </w:tc>
        <w:tc>
          <w:tcPr>
            <w:tcW w:w="1915" w:type="dxa"/>
            <w:shd w:val="clear" w:color="auto" w:fill="auto"/>
          </w:tcPr>
          <w:p w:rsidR="00316D42" w:rsidRPr="005E0EE4" w:rsidRDefault="00730399" w:rsidP="009472B1">
            <w:pPr>
              <w:jc w:val="center"/>
              <w:rPr>
                <w:rFonts w:eastAsia="Calibri"/>
                <w:sz w:val="22"/>
                <w:szCs w:val="22"/>
              </w:rPr>
            </w:pPr>
            <w:r>
              <w:rPr>
                <w:rFonts w:eastAsia="Calibri"/>
                <w:sz w:val="22"/>
                <w:szCs w:val="22"/>
              </w:rPr>
              <w:t>100</w:t>
            </w:r>
            <w:r w:rsidR="00C67169" w:rsidRPr="005E0EE4">
              <w:rPr>
                <w:rFonts w:eastAsia="Calibri"/>
                <w:sz w:val="22"/>
                <w:szCs w:val="22"/>
              </w:rPr>
              <w:t xml:space="preserve"> </w:t>
            </w:r>
            <w:r w:rsidR="00316D42" w:rsidRPr="005E0EE4">
              <w:rPr>
                <w:rFonts w:eastAsia="Calibri"/>
                <w:sz w:val="22"/>
                <w:szCs w:val="22"/>
              </w:rPr>
              <w:t>% of participants</w:t>
            </w:r>
          </w:p>
        </w:tc>
        <w:tc>
          <w:tcPr>
            <w:tcW w:w="1915" w:type="dxa"/>
            <w:shd w:val="clear" w:color="auto" w:fill="auto"/>
          </w:tcPr>
          <w:p w:rsidR="00316D42" w:rsidRPr="00394C02" w:rsidRDefault="00316D42" w:rsidP="009472B1">
            <w:pPr>
              <w:jc w:val="center"/>
              <w:rPr>
                <w:rFonts w:eastAsia="Calibri"/>
                <w:sz w:val="22"/>
                <w:szCs w:val="22"/>
              </w:rPr>
            </w:pPr>
          </w:p>
        </w:tc>
        <w:tc>
          <w:tcPr>
            <w:tcW w:w="1916" w:type="dxa"/>
            <w:shd w:val="clear" w:color="auto" w:fill="auto"/>
          </w:tcPr>
          <w:p w:rsidR="00316D42" w:rsidRPr="00394C02" w:rsidRDefault="00316D42" w:rsidP="009472B1">
            <w:pPr>
              <w:jc w:val="center"/>
              <w:rPr>
                <w:rFonts w:eastAsia="Calibri"/>
                <w:sz w:val="22"/>
                <w:szCs w:val="22"/>
              </w:rPr>
            </w:pPr>
          </w:p>
        </w:tc>
      </w:tr>
      <w:tr w:rsidR="00316D42" w:rsidRPr="003F655B" w:rsidTr="004E49FD">
        <w:trPr>
          <w:trHeight w:val="315"/>
        </w:trPr>
        <w:tc>
          <w:tcPr>
            <w:tcW w:w="1915" w:type="dxa"/>
            <w:vMerge w:val="restart"/>
            <w:shd w:val="clear" w:color="auto" w:fill="auto"/>
            <w:hideMark/>
          </w:tcPr>
          <w:p w:rsidR="00316D42" w:rsidRPr="00394C02" w:rsidRDefault="00316D42" w:rsidP="004172B2">
            <w:pPr>
              <w:rPr>
                <w:rFonts w:eastAsia="Calibri"/>
                <w:sz w:val="22"/>
                <w:szCs w:val="22"/>
              </w:rPr>
            </w:pPr>
            <w:r w:rsidRPr="00394C02">
              <w:rPr>
                <w:rFonts w:eastAsia="Calibri"/>
                <w:sz w:val="22"/>
                <w:szCs w:val="22"/>
              </w:rPr>
              <w:t>Unemployed</w:t>
            </w:r>
          </w:p>
        </w:tc>
        <w:tc>
          <w:tcPr>
            <w:tcW w:w="1915" w:type="dxa"/>
            <w:shd w:val="clear" w:color="auto" w:fill="auto"/>
          </w:tcPr>
          <w:p w:rsidR="00316D42" w:rsidRPr="00394C02" w:rsidRDefault="00316D42" w:rsidP="009472B1">
            <w:pPr>
              <w:jc w:val="center"/>
              <w:rPr>
                <w:rFonts w:eastAsia="Calibri"/>
                <w:sz w:val="22"/>
                <w:szCs w:val="22"/>
              </w:rPr>
            </w:pPr>
            <w:r>
              <w:rPr>
                <w:rFonts w:eastAsia="Calibri"/>
                <w:sz w:val="22"/>
                <w:szCs w:val="22"/>
              </w:rPr>
              <w:t>0 participants</w:t>
            </w:r>
          </w:p>
        </w:tc>
        <w:tc>
          <w:tcPr>
            <w:tcW w:w="1915" w:type="dxa"/>
            <w:shd w:val="clear" w:color="auto" w:fill="auto"/>
          </w:tcPr>
          <w:p w:rsidR="00316D42" w:rsidRPr="005E0EE4" w:rsidRDefault="00940802" w:rsidP="009472B1">
            <w:pPr>
              <w:jc w:val="center"/>
              <w:rPr>
                <w:rFonts w:eastAsia="Calibri"/>
                <w:sz w:val="22"/>
                <w:szCs w:val="22"/>
              </w:rPr>
            </w:pPr>
            <w:r>
              <w:rPr>
                <w:rFonts w:eastAsia="Calibri"/>
                <w:sz w:val="22"/>
                <w:szCs w:val="22"/>
              </w:rPr>
              <w:t>4</w:t>
            </w:r>
            <w:r w:rsidR="00C67169" w:rsidRPr="005E0EE4">
              <w:rPr>
                <w:rFonts w:eastAsia="Calibri"/>
                <w:sz w:val="22"/>
                <w:szCs w:val="22"/>
              </w:rPr>
              <w:t xml:space="preserve"> </w:t>
            </w:r>
            <w:r w:rsidR="00316D42" w:rsidRPr="005E0EE4">
              <w:rPr>
                <w:rFonts w:eastAsia="Calibri"/>
                <w:sz w:val="22"/>
                <w:szCs w:val="22"/>
              </w:rPr>
              <w:t>participants</w:t>
            </w:r>
          </w:p>
        </w:tc>
        <w:tc>
          <w:tcPr>
            <w:tcW w:w="1915" w:type="dxa"/>
            <w:shd w:val="clear" w:color="auto" w:fill="auto"/>
          </w:tcPr>
          <w:p w:rsidR="00316D42" w:rsidRPr="00394C02" w:rsidRDefault="00316D42" w:rsidP="009472B1">
            <w:pPr>
              <w:jc w:val="center"/>
              <w:rPr>
                <w:rFonts w:eastAsia="Calibri"/>
                <w:sz w:val="22"/>
                <w:szCs w:val="22"/>
              </w:rPr>
            </w:pPr>
          </w:p>
        </w:tc>
        <w:tc>
          <w:tcPr>
            <w:tcW w:w="1916" w:type="dxa"/>
            <w:shd w:val="clear" w:color="auto" w:fill="auto"/>
          </w:tcPr>
          <w:p w:rsidR="00316D42" w:rsidRPr="00394C02" w:rsidRDefault="00316D42" w:rsidP="009472B1">
            <w:pPr>
              <w:jc w:val="center"/>
              <w:rPr>
                <w:rFonts w:eastAsia="Calibri"/>
                <w:sz w:val="22"/>
                <w:szCs w:val="22"/>
              </w:rPr>
            </w:pPr>
          </w:p>
        </w:tc>
      </w:tr>
      <w:tr w:rsidR="00316D42" w:rsidRPr="003F655B" w:rsidTr="004E49FD">
        <w:trPr>
          <w:trHeight w:val="315"/>
        </w:trPr>
        <w:tc>
          <w:tcPr>
            <w:tcW w:w="1915" w:type="dxa"/>
            <w:vMerge/>
            <w:shd w:val="clear" w:color="auto" w:fill="auto"/>
            <w:hideMark/>
          </w:tcPr>
          <w:p w:rsidR="00316D42" w:rsidRPr="00394C02" w:rsidRDefault="00316D42" w:rsidP="004172B2">
            <w:pPr>
              <w:rPr>
                <w:rFonts w:eastAsia="Calibri"/>
                <w:sz w:val="22"/>
                <w:szCs w:val="22"/>
              </w:rPr>
            </w:pPr>
          </w:p>
        </w:tc>
        <w:tc>
          <w:tcPr>
            <w:tcW w:w="1915" w:type="dxa"/>
            <w:shd w:val="clear" w:color="auto" w:fill="auto"/>
          </w:tcPr>
          <w:p w:rsidR="00316D42" w:rsidRDefault="00316D42" w:rsidP="009472B1">
            <w:pPr>
              <w:jc w:val="center"/>
              <w:rPr>
                <w:rFonts w:eastAsia="Calibri"/>
                <w:sz w:val="22"/>
                <w:szCs w:val="22"/>
              </w:rPr>
            </w:pPr>
            <w:r>
              <w:rPr>
                <w:rFonts w:eastAsia="Calibri"/>
                <w:sz w:val="22"/>
                <w:szCs w:val="22"/>
              </w:rPr>
              <w:t>0% of participants</w:t>
            </w:r>
          </w:p>
        </w:tc>
        <w:tc>
          <w:tcPr>
            <w:tcW w:w="1915" w:type="dxa"/>
            <w:shd w:val="clear" w:color="auto" w:fill="auto"/>
          </w:tcPr>
          <w:p w:rsidR="00316D42" w:rsidRPr="005E0EE4" w:rsidRDefault="00940802" w:rsidP="009472B1">
            <w:pPr>
              <w:jc w:val="center"/>
              <w:rPr>
                <w:rFonts w:eastAsia="Calibri"/>
                <w:sz w:val="22"/>
                <w:szCs w:val="22"/>
              </w:rPr>
            </w:pPr>
            <w:r>
              <w:rPr>
                <w:rFonts w:eastAsia="Calibri"/>
                <w:sz w:val="22"/>
                <w:szCs w:val="22"/>
              </w:rPr>
              <w:t>16</w:t>
            </w:r>
            <w:r w:rsidR="00C67169" w:rsidRPr="005E0EE4">
              <w:rPr>
                <w:rFonts w:eastAsia="Calibri"/>
                <w:sz w:val="22"/>
                <w:szCs w:val="22"/>
              </w:rPr>
              <w:t xml:space="preserve"> </w:t>
            </w:r>
            <w:r w:rsidR="00316D42" w:rsidRPr="005E0EE4">
              <w:rPr>
                <w:rFonts w:eastAsia="Calibri"/>
                <w:sz w:val="22"/>
                <w:szCs w:val="22"/>
              </w:rPr>
              <w:t>% of participants</w:t>
            </w:r>
          </w:p>
        </w:tc>
        <w:tc>
          <w:tcPr>
            <w:tcW w:w="1915" w:type="dxa"/>
            <w:shd w:val="clear" w:color="auto" w:fill="auto"/>
          </w:tcPr>
          <w:p w:rsidR="00316D42" w:rsidRPr="00394C02" w:rsidRDefault="00316D42" w:rsidP="009472B1">
            <w:pPr>
              <w:jc w:val="center"/>
              <w:rPr>
                <w:rFonts w:eastAsia="Calibri"/>
                <w:sz w:val="22"/>
                <w:szCs w:val="22"/>
              </w:rPr>
            </w:pPr>
          </w:p>
        </w:tc>
        <w:tc>
          <w:tcPr>
            <w:tcW w:w="1916" w:type="dxa"/>
            <w:shd w:val="clear" w:color="auto" w:fill="auto"/>
          </w:tcPr>
          <w:p w:rsidR="00316D42" w:rsidRPr="00394C02" w:rsidRDefault="00316D42" w:rsidP="009472B1">
            <w:pPr>
              <w:jc w:val="center"/>
              <w:rPr>
                <w:rFonts w:eastAsia="Calibri"/>
                <w:sz w:val="22"/>
                <w:szCs w:val="22"/>
              </w:rPr>
            </w:pPr>
          </w:p>
        </w:tc>
      </w:tr>
      <w:tr w:rsidR="00F62FCD" w:rsidRPr="003F655B" w:rsidTr="004E49FD">
        <w:trPr>
          <w:trHeight w:val="315"/>
        </w:trPr>
        <w:tc>
          <w:tcPr>
            <w:tcW w:w="1915" w:type="dxa"/>
            <w:vMerge w:val="restart"/>
            <w:shd w:val="clear" w:color="auto" w:fill="auto"/>
          </w:tcPr>
          <w:p w:rsidR="00292E70" w:rsidRDefault="00F62FCD" w:rsidP="00F62FCD">
            <w:pPr>
              <w:rPr>
                <w:rFonts w:eastAsia="Calibri"/>
                <w:sz w:val="22"/>
                <w:szCs w:val="22"/>
              </w:rPr>
            </w:pPr>
            <w:r w:rsidRPr="00FB4487">
              <w:rPr>
                <w:rFonts w:eastAsia="Calibri"/>
                <w:sz w:val="22"/>
                <w:szCs w:val="22"/>
              </w:rPr>
              <w:t xml:space="preserve">Other </w:t>
            </w:r>
            <w:r w:rsidR="00292E70">
              <w:rPr>
                <w:rFonts w:eastAsia="Calibri"/>
                <w:sz w:val="22"/>
                <w:szCs w:val="22"/>
              </w:rPr>
              <w:t>–</w:t>
            </w:r>
            <w:r w:rsidRPr="00FB4487">
              <w:rPr>
                <w:rFonts w:eastAsia="Calibri"/>
                <w:sz w:val="22"/>
                <w:szCs w:val="22"/>
              </w:rPr>
              <w:t xml:space="preserve"> Employed</w:t>
            </w:r>
          </w:p>
          <w:p w:rsidR="00292E70" w:rsidRDefault="00292E70" w:rsidP="00F62FCD">
            <w:pPr>
              <w:rPr>
                <w:rFonts w:eastAsia="Calibri"/>
                <w:sz w:val="22"/>
                <w:szCs w:val="22"/>
              </w:rPr>
            </w:pPr>
          </w:p>
          <w:p w:rsidR="00292E70" w:rsidRDefault="00292E70" w:rsidP="00F62FCD">
            <w:pPr>
              <w:rPr>
                <w:rFonts w:eastAsia="Calibri"/>
                <w:sz w:val="22"/>
                <w:szCs w:val="22"/>
              </w:rPr>
            </w:pPr>
          </w:p>
          <w:p w:rsidR="00F62FCD" w:rsidRPr="00FB4487" w:rsidRDefault="00F62FCD" w:rsidP="00F62FCD">
            <w:pPr>
              <w:rPr>
                <w:rFonts w:eastAsia="Calibri"/>
                <w:sz w:val="22"/>
                <w:szCs w:val="22"/>
              </w:rPr>
            </w:pPr>
            <w:r w:rsidRPr="00FB4487">
              <w:rPr>
                <w:rFonts w:eastAsia="Calibri"/>
                <w:sz w:val="22"/>
                <w:szCs w:val="22"/>
              </w:rPr>
              <w:t xml:space="preserve"> </w:t>
            </w:r>
          </w:p>
        </w:tc>
        <w:tc>
          <w:tcPr>
            <w:tcW w:w="1915" w:type="dxa"/>
            <w:shd w:val="clear" w:color="auto" w:fill="auto"/>
          </w:tcPr>
          <w:p w:rsidR="00F62FCD" w:rsidRPr="005E0EE4" w:rsidRDefault="00F62FCD" w:rsidP="00F62FCD">
            <w:pPr>
              <w:jc w:val="center"/>
              <w:rPr>
                <w:rFonts w:eastAsia="Calibri"/>
                <w:sz w:val="22"/>
                <w:szCs w:val="22"/>
              </w:rPr>
            </w:pPr>
            <w:r w:rsidRPr="005E0EE4">
              <w:rPr>
                <w:rFonts w:eastAsia="Calibri"/>
                <w:sz w:val="22"/>
                <w:szCs w:val="22"/>
              </w:rPr>
              <w:t>7 participants</w:t>
            </w:r>
          </w:p>
        </w:tc>
        <w:tc>
          <w:tcPr>
            <w:tcW w:w="1915" w:type="dxa"/>
            <w:shd w:val="clear" w:color="auto" w:fill="auto"/>
          </w:tcPr>
          <w:p w:rsidR="00F62FCD" w:rsidRPr="005E0EE4" w:rsidRDefault="00940802" w:rsidP="00F62FCD">
            <w:pPr>
              <w:jc w:val="center"/>
              <w:rPr>
                <w:rFonts w:eastAsia="Calibri"/>
                <w:sz w:val="22"/>
                <w:szCs w:val="22"/>
              </w:rPr>
            </w:pPr>
            <w:r>
              <w:rPr>
                <w:rFonts w:eastAsia="Calibri"/>
                <w:sz w:val="22"/>
                <w:szCs w:val="22"/>
              </w:rPr>
              <w:t>21</w:t>
            </w:r>
            <w:r w:rsidR="00C67169" w:rsidRPr="005E0EE4">
              <w:rPr>
                <w:rFonts w:eastAsia="Calibri"/>
                <w:sz w:val="22"/>
                <w:szCs w:val="22"/>
              </w:rPr>
              <w:t xml:space="preserve"> </w:t>
            </w:r>
            <w:r w:rsidR="00F62FCD" w:rsidRPr="005E0EE4">
              <w:rPr>
                <w:rFonts w:eastAsia="Calibri"/>
                <w:sz w:val="22"/>
                <w:szCs w:val="22"/>
              </w:rPr>
              <w:t>participants</w:t>
            </w:r>
          </w:p>
        </w:tc>
        <w:tc>
          <w:tcPr>
            <w:tcW w:w="1915" w:type="dxa"/>
            <w:shd w:val="clear" w:color="auto" w:fill="auto"/>
          </w:tcPr>
          <w:p w:rsidR="00F62FCD" w:rsidRPr="00FB4487" w:rsidRDefault="00F62FCD" w:rsidP="00F62FCD">
            <w:pPr>
              <w:jc w:val="center"/>
              <w:rPr>
                <w:rFonts w:eastAsia="Calibri"/>
                <w:sz w:val="22"/>
                <w:szCs w:val="22"/>
              </w:rPr>
            </w:pPr>
          </w:p>
        </w:tc>
        <w:tc>
          <w:tcPr>
            <w:tcW w:w="1916" w:type="dxa"/>
            <w:shd w:val="clear" w:color="auto" w:fill="auto"/>
          </w:tcPr>
          <w:p w:rsidR="00F62FCD" w:rsidRPr="00FB4487" w:rsidRDefault="00F62FCD" w:rsidP="00F62FCD">
            <w:pPr>
              <w:jc w:val="center"/>
              <w:rPr>
                <w:rFonts w:eastAsia="Calibri"/>
                <w:sz w:val="22"/>
                <w:szCs w:val="22"/>
              </w:rPr>
            </w:pPr>
          </w:p>
        </w:tc>
      </w:tr>
      <w:tr w:rsidR="00F62FCD" w:rsidRPr="003F655B" w:rsidTr="004E49FD">
        <w:trPr>
          <w:trHeight w:val="315"/>
        </w:trPr>
        <w:tc>
          <w:tcPr>
            <w:tcW w:w="1915" w:type="dxa"/>
            <w:vMerge/>
            <w:shd w:val="clear" w:color="auto" w:fill="auto"/>
          </w:tcPr>
          <w:p w:rsidR="00F62FCD" w:rsidRPr="00FB4487" w:rsidRDefault="00F62FCD" w:rsidP="004172B2">
            <w:pPr>
              <w:rPr>
                <w:rFonts w:eastAsia="Calibri"/>
                <w:sz w:val="22"/>
                <w:szCs w:val="22"/>
              </w:rPr>
            </w:pPr>
          </w:p>
        </w:tc>
        <w:tc>
          <w:tcPr>
            <w:tcW w:w="1915" w:type="dxa"/>
            <w:shd w:val="clear" w:color="auto" w:fill="auto"/>
          </w:tcPr>
          <w:p w:rsidR="00F62FCD" w:rsidRPr="005E0EE4" w:rsidRDefault="00F62FCD" w:rsidP="009472B1">
            <w:pPr>
              <w:jc w:val="center"/>
              <w:rPr>
                <w:rFonts w:eastAsia="Calibri"/>
                <w:sz w:val="22"/>
                <w:szCs w:val="22"/>
              </w:rPr>
            </w:pPr>
            <w:r w:rsidRPr="005E0EE4">
              <w:rPr>
                <w:rFonts w:eastAsia="Calibri"/>
                <w:sz w:val="22"/>
                <w:szCs w:val="22"/>
              </w:rPr>
              <w:t>100% of participants</w:t>
            </w:r>
          </w:p>
        </w:tc>
        <w:tc>
          <w:tcPr>
            <w:tcW w:w="1915" w:type="dxa"/>
            <w:shd w:val="clear" w:color="auto" w:fill="auto"/>
          </w:tcPr>
          <w:p w:rsidR="00F62FCD" w:rsidRPr="005E0EE4" w:rsidRDefault="00940802" w:rsidP="009472B1">
            <w:pPr>
              <w:jc w:val="center"/>
              <w:rPr>
                <w:rFonts w:eastAsia="Calibri"/>
                <w:sz w:val="22"/>
                <w:szCs w:val="22"/>
              </w:rPr>
            </w:pPr>
            <w:r>
              <w:rPr>
                <w:rFonts w:eastAsia="Calibri"/>
                <w:sz w:val="22"/>
                <w:szCs w:val="22"/>
              </w:rPr>
              <w:t>84</w:t>
            </w:r>
            <w:r w:rsidR="00C67169" w:rsidRPr="005E0EE4">
              <w:rPr>
                <w:rFonts w:eastAsia="Calibri"/>
                <w:sz w:val="22"/>
                <w:szCs w:val="22"/>
              </w:rPr>
              <w:t xml:space="preserve"> </w:t>
            </w:r>
            <w:r w:rsidR="00F62FCD" w:rsidRPr="005E0EE4">
              <w:rPr>
                <w:rFonts w:eastAsia="Calibri"/>
                <w:sz w:val="22"/>
                <w:szCs w:val="22"/>
              </w:rPr>
              <w:t>% of participants</w:t>
            </w:r>
          </w:p>
        </w:tc>
        <w:tc>
          <w:tcPr>
            <w:tcW w:w="1915" w:type="dxa"/>
            <w:shd w:val="clear" w:color="auto" w:fill="auto"/>
          </w:tcPr>
          <w:p w:rsidR="00F62FCD" w:rsidRPr="00FB4487" w:rsidRDefault="00F62FCD" w:rsidP="009472B1">
            <w:pPr>
              <w:jc w:val="center"/>
              <w:rPr>
                <w:rFonts w:eastAsia="Calibri"/>
                <w:sz w:val="22"/>
                <w:szCs w:val="22"/>
              </w:rPr>
            </w:pPr>
          </w:p>
        </w:tc>
        <w:tc>
          <w:tcPr>
            <w:tcW w:w="1916" w:type="dxa"/>
            <w:shd w:val="clear" w:color="auto" w:fill="auto"/>
          </w:tcPr>
          <w:p w:rsidR="00F62FCD" w:rsidRPr="00FB4487" w:rsidRDefault="00F62FCD" w:rsidP="009472B1">
            <w:pPr>
              <w:jc w:val="center"/>
              <w:rPr>
                <w:rFonts w:eastAsia="Calibri"/>
                <w:sz w:val="22"/>
                <w:szCs w:val="22"/>
              </w:rPr>
            </w:pPr>
          </w:p>
        </w:tc>
      </w:tr>
      <w:tr w:rsidR="00F62FCD" w:rsidRPr="003F655B" w:rsidTr="003D20AC">
        <w:trPr>
          <w:trHeight w:val="305"/>
        </w:trPr>
        <w:tc>
          <w:tcPr>
            <w:tcW w:w="9576" w:type="dxa"/>
            <w:gridSpan w:val="5"/>
            <w:shd w:val="clear" w:color="auto" w:fill="C6D9F1" w:themeFill="text2" w:themeFillTint="33"/>
          </w:tcPr>
          <w:p w:rsidR="00F62FCD" w:rsidRPr="005E0EE4" w:rsidRDefault="00F62FCD" w:rsidP="004172B2">
            <w:pPr>
              <w:jc w:val="center"/>
              <w:rPr>
                <w:rFonts w:eastAsia="Calibri"/>
                <w:b/>
                <w:bCs/>
                <w:i/>
                <w:iCs/>
                <w:sz w:val="22"/>
                <w:szCs w:val="22"/>
              </w:rPr>
            </w:pPr>
            <w:r w:rsidRPr="005E0EE4">
              <w:rPr>
                <w:b/>
                <w:bCs/>
                <w:i/>
                <w:iCs/>
                <w:sz w:val="22"/>
                <w:szCs w:val="22"/>
              </w:rPr>
              <w:t>SS #4: Households Removed from Temporary Assistance for Needy Families (TANF)</w:t>
            </w:r>
          </w:p>
        </w:tc>
      </w:tr>
      <w:tr w:rsidR="00F62FCD" w:rsidRPr="003F655B" w:rsidTr="003D20AC">
        <w:trPr>
          <w:trHeight w:val="305"/>
        </w:trPr>
        <w:tc>
          <w:tcPr>
            <w:tcW w:w="1915" w:type="dxa"/>
            <w:shd w:val="clear" w:color="auto" w:fill="D9D9D9" w:themeFill="background1" w:themeFillShade="D9"/>
            <w:vAlign w:val="center"/>
          </w:tcPr>
          <w:p w:rsidR="00F62FCD" w:rsidRPr="00FB4487" w:rsidRDefault="00F62FCD" w:rsidP="00C24E45">
            <w:pPr>
              <w:jc w:val="cente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F62FCD" w:rsidRPr="00FB4487" w:rsidRDefault="00F62FCD" w:rsidP="00C24E45">
            <w:pPr>
              <w:jc w:val="center"/>
              <w:rPr>
                <w:rFonts w:eastAsia="Calibri"/>
                <w:b/>
                <w:bCs/>
                <w:sz w:val="22"/>
                <w:szCs w:val="22"/>
              </w:rPr>
            </w:pPr>
            <w:r w:rsidRPr="00FB4487">
              <w:rPr>
                <w:rFonts w:eastAsia="Calibri"/>
                <w:b/>
                <w:bCs/>
                <w:sz w:val="22"/>
                <w:szCs w:val="22"/>
              </w:rPr>
              <w:t>Baseline</w:t>
            </w:r>
          </w:p>
        </w:tc>
        <w:tc>
          <w:tcPr>
            <w:tcW w:w="1915" w:type="dxa"/>
            <w:shd w:val="clear" w:color="auto" w:fill="D9D9D9" w:themeFill="background1" w:themeFillShade="D9"/>
            <w:vAlign w:val="center"/>
          </w:tcPr>
          <w:p w:rsidR="00F62FCD" w:rsidRPr="005E0EE4" w:rsidRDefault="00F62FCD" w:rsidP="00C24E45">
            <w:pPr>
              <w:jc w:val="center"/>
              <w:rPr>
                <w:rFonts w:eastAsia="Calibri"/>
                <w:b/>
                <w:bCs/>
                <w:sz w:val="22"/>
                <w:szCs w:val="22"/>
              </w:rPr>
            </w:pPr>
            <w:r w:rsidRPr="005E0EE4">
              <w:rPr>
                <w:rFonts w:eastAsia="Calibri"/>
                <w:b/>
                <w:bCs/>
                <w:sz w:val="22"/>
                <w:szCs w:val="22"/>
              </w:rPr>
              <w:t>Benchmark</w:t>
            </w:r>
          </w:p>
        </w:tc>
        <w:tc>
          <w:tcPr>
            <w:tcW w:w="1915" w:type="dxa"/>
            <w:shd w:val="clear" w:color="auto" w:fill="D9D9D9" w:themeFill="background1" w:themeFillShade="D9"/>
            <w:vAlign w:val="center"/>
          </w:tcPr>
          <w:p w:rsidR="00F62FCD" w:rsidRPr="005E0EE4" w:rsidRDefault="00F62FCD" w:rsidP="00C24E45">
            <w:pPr>
              <w:jc w:val="center"/>
              <w:rPr>
                <w:rFonts w:eastAsia="Calibri"/>
                <w:b/>
                <w:bCs/>
                <w:sz w:val="22"/>
                <w:szCs w:val="22"/>
              </w:rPr>
            </w:pPr>
            <w:r w:rsidRPr="005E0EE4">
              <w:rPr>
                <w:rFonts w:eastAsia="Calibri"/>
                <w:b/>
                <w:bCs/>
                <w:sz w:val="22"/>
                <w:szCs w:val="22"/>
              </w:rPr>
              <w:t>Outcome</w:t>
            </w:r>
          </w:p>
        </w:tc>
        <w:tc>
          <w:tcPr>
            <w:tcW w:w="1916" w:type="dxa"/>
            <w:shd w:val="clear" w:color="auto" w:fill="D9D9D9" w:themeFill="background1" w:themeFillShade="D9"/>
            <w:vAlign w:val="center"/>
          </w:tcPr>
          <w:p w:rsidR="00F62FCD" w:rsidRPr="00FB4487" w:rsidRDefault="00F62FCD" w:rsidP="00C24E45">
            <w:pPr>
              <w:jc w:val="center"/>
              <w:rPr>
                <w:rFonts w:eastAsia="Calibri"/>
                <w:b/>
                <w:bCs/>
                <w:sz w:val="22"/>
                <w:szCs w:val="22"/>
              </w:rPr>
            </w:pPr>
            <w:r w:rsidRPr="00FB4487">
              <w:rPr>
                <w:rFonts w:eastAsia="Calibri"/>
                <w:b/>
                <w:bCs/>
                <w:sz w:val="22"/>
                <w:szCs w:val="22"/>
              </w:rPr>
              <w:t>Benchmark Achieved?</w:t>
            </w:r>
          </w:p>
        </w:tc>
      </w:tr>
      <w:tr w:rsidR="00F62FCD" w:rsidRPr="003F655B" w:rsidTr="00F34AEE">
        <w:trPr>
          <w:trHeight w:val="305"/>
        </w:trPr>
        <w:tc>
          <w:tcPr>
            <w:tcW w:w="1915" w:type="dxa"/>
            <w:shd w:val="clear" w:color="auto" w:fill="auto"/>
          </w:tcPr>
          <w:p w:rsidR="00F62FCD" w:rsidRPr="00FB4487" w:rsidRDefault="00F62FCD" w:rsidP="00334C67">
            <w:pPr>
              <w:rPr>
                <w:rFonts w:eastAsia="Calibri"/>
                <w:b/>
                <w:bCs/>
                <w:i/>
                <w:iCs/>
                <w:sz w:val="22"/>
                <w:szCs w:val="22"/>
              </w:rPr>
            </w:pPr>
            <w:r w:rsidRPr="00FB4487">
              <w:rPr>
                <w:sz w:val="22"/>
                <w:szCs w:val="22"/>
              </w:rPr>
              <w:t>Number of households receiving TANF assistance (decrease).</w:t>
            </w:r>
          </w:p>
        </w:tc>
        <w:tc>
          <w:tcPr>
            <w:tcW w:w="1915" w:type="dxa"/>
            <w:shd w:val="clear" w:color="auto" w:fill="auto"/>
            <w:vAlign w:val="center"/>
          </w:tcPr>
          <w:p w:rsidR="00F62FCD" w:rsidRPr="00F34AEE" w:rsidRDefault="00F34AEE" w:rsidP="00F34AEE">
            <w:pPr>
              <w:jc w:val="center"/>
              <w:rPr>
                <w:rFonts w:eastAsia="Calibri"/>
                <w:bCs/>
                <w:iCs/>
                <w:sz w:val="22"/>
                <w:szCs w:val="22"/>
              </w:rPr>
            </w:pPr>
            <w:r w:rsidRPr="00F34AEE">
              <w:rPr>
                <w:rFonts w:eastAsia="Calibri"/>
                <w:bCs/>
                <w:iCs/>
                <w:sz w:val="22"/>
                <w:szCs w:val="22"/>
              </w:rPr>
              <w:t>0 households</w:t>
            </w:r>
          </w:p>
        </w:tc>
        <w:tc>
          <w:tcPr>
            <w:tcW w:w="1915" w:type="dxa"/>
            <w:shd w:val="clear" w:color="auto" w:fill="auto"/>
            <w:vAlign w:val="center"/>
          </w:tcPr>
          <w:p w:rsidR="00C67169" w:rsidRPr="000E1363" w:rsidRDefault="00730399" w:rsidP="00C67169">
            <w:pPr>
              <w:jc w:val="center"/>
              <w:rPr>
                <w:rFonts w:eastAsia="Calibri"/>
                <w:bCs/>
                <w:iCs/>
                <w:sz w:val="22"/>
                <w:szCs w:val="22"/>
                <w:highlight w:val="yellow"/>
              </w:rPr>
            </w:pPr>
            <w:r>
              <w:rPr>
                <w:rFonts w:eastAsia="Calibri"/>
                <w:bCs/>
                <w:iCs/>
                <w:sz w:val="22"/>
                <w:szCs w:val="22"/>
              </w:rPr>
              <w:t>4</w:t>
            </w:r>
            <w:r w:rsidR="00C67169" w:rsidRPr="00201A2E">
              <w:rPr>
                <w:rFonts w:eastAsia="Calibri"/>
                <w:bCs/>
                <w:iCs/>
                <w:sz w:val="22"/>
                <w:szCs w:val="22"/>
              </w:rPr>
              <w:t xml:space="preserve"> Households</w:t>
            </w:r>
          </w:p>
        </w:tc>
        <w:tc>
          <w:tcPr>
            <w:tcW w:w="1915" w:type="dxa"/>
            <w:shd w:val="clear" w:color="auto" w:fill="auto"/>
          </w:tcPr>
          <w:p w:rsidR="00F62FCD" w:rsidRPr="00FB4487" w:rsidRDefault="00F62FCD" w:rsidP="004172B2">
            <w:pPr>
              <w:jc w:val="center"/>
              <w:rPr>
                <w:rFonts w:eastAsia="Calibri"/>
                <w:b/>
                <w:bCs/>
                <w:i/>
                <w:iCs/>
                <w:sz w:val="22"/>
                <w:szCs w:val="22"/>
              </w:rPr>
            </w:pPr>
          </w:p>
        </w:tc>
        <w:tc>
          <w:tcPr>
            <w:tcW w:w="1916" w:type="dxa"/>
            <w:shd w:val="clear" w:color="auto" w:fill="auto"/>
          </w:tcPr>
          <w:p w:rsidR="00F62FCD" w:rsidRPr="00FB4487" w:rsidRDefault="00F62FCD" w:rsidP="004172B2">
            <w:pPr>
              <w:jc w:val="center"/>
              <w:rPr>
                <w:rFonts w:eastAsia="Calibri"/>
                <w:b/>
                <w:bCs/>
                <w:i/>
                <w:iCs/>
                <w:sz w:val="22"/>
                <w:szCs w:val="22"/>
              </w:rPr>
            </w:pPr>
          </w:p>
        </w:tc>
      </w:tr>
      <w:tr w:rsidR="00F62FCD" w:rsidRPr="003F655B" w:rsidTr="003D20AC">
        <w:trPr>
          <w:trHeight w:val="305"/>
        </w:trPr>
        <w:tc>
          <w:tcPr>
            <w:tcW w:w="9576" w:type="dxa"/>
            <w:gridSpan w:val="5"/>
            <w:shd w:val="clear" w:color="auto" w:fill="C6D9F1" w:themeFill="text2" w:themeFillTint="33"/>
            <w:hideMark/>
          </w:tcPr>
          <w:p w:rsidR="00F62FCD" w:rsidRPr="00394C02" w:rsidRDefault="00F62FCD" w:rsidP="004172B2">
            <w:pPr>
              <w:jc w:val="center"/>
              <w:rPr>
                <w:rFonts w:eastAsia="Calibri"/>
                <w:b/>
                <w:bCs/>
                <w:i/>
                <w:iCs/>
                <w:sz w:val="22"/>
                <w:szCs w:val="22"/>
              </w:rPr>
            </w:pPr>
            <w:r w:rsidRPr="00394C02">
              <w:rPr>
                <w:rFonts w:eastAsia="Calibri"/>
                <w:b/>
                <w:bCs/>
                <w:i/>
                <w:iCs/>
                <w:sz w:val="22"/>
                <w:szCs w:val="22"/>
              </w:rPr>
              <w:t>SS #5: Households Assisted by Services that Increase Self Sufficiency</w:t>
            </w:r>
          </w:p>
        </w:tc>
      </w:tr>
      <w:tr w:rsidR="00F62FCD" w:rsidRPr="003F655B" w:rsidTr="003D20AC">
        <w:trPr>
          <w:trHeight w:val="422"/>
        </w:trPr>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Unit of Measurement</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Baseline</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Benchmark</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Outcome</w:t>
            </w:r>
          </w:p>
        </w:tc>
        <w:tc>
          <w:tcPr>
            <w:tcW w:w="1916"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Benchmark Achieved?</w:t>
            </w:r>
          </w:p>
        </w:tc>
      </w:tr>
      <w:tr w:rsidR="00F62FCD" w:rsidRPr="003F655B" w:rsidTr="008573AB">
        <w:trPr>
          <w:trHeight w:val="1034"/>
        </w:trPr>
        <w:tc>
          <w:tcPr>
            <w:tcW w:w="1915" w:type="dxa"/>
            <w:shd w:val="clear" w:color="auto" w:fill="auto"/>
            <w:hideMark/>
          </w:tcPr>
          <w:p w:rsidR="00F62FCD" w:rsidRPr="00394C02" w:rsidRDefault="00F62FCD" w:rsidP="004172B2">
            <w:pPr>
              <w:rPr>
                <w:rFonts w:eastAsia="Calibri"/>
                <w:sz w:val="22"/>
                <w:szCs w:val="22"/>
              </w:rPr>
            </w:pPr>
            <w:r w:rsidRPr="00394C02">
              <w:rPr>
                <w:rFonts w:eastAsia="Calibri"/>
                <w:sz w:val="22"/>
                <w:szCs w:val="22"/>
              </w:rPr>
              <w:t xml:space="preserve">Number of households receiving services aimed to increase </w:t>
            </w:r>
            <w:r w:rsidR="008679DE" w:rsidRPr="00394C02">
              <w:rPr>
                <w:rFonts w:eastAsia="Calibri"/>
                <w:sz w:val="22"/>
                <w:szCs w:val="22"/>
              </w:rPr>
              <w:t>self-sufficiency</w:t>
            </w:r>
            <w:r w:rsidRPr="00394C02">
              <w:rPr>
                <w:rFonts w:eastAsia="Calibri"/>
                <w:sz w:val="22"/>
                <w:szCs w:val="22"/>
              </w:rPr>
              <w:t xml:space="preserve"> (increase).</w:t>
            </w:r>
          </w:p>
        </w:tc>
        <w:tc>
          <w:tcPr>
            <w:tcW w:w="1915" w:type="dxa"/>
            <w:shd w:val="clear" w:color="auto" w:fill="auto"/>
            <w:vAlign w:val="center"/>
          </w:tcPr>
          <w:p w:rsidR="00F62FCD" w:rsidRPr="00394C02" w:rsidRDefault="00F62FCD" w:rsidP="008573AB">
            <w:pPr>
              <w:jc w:val="center"/>
              <w:rPr>
                <w:rFonts w:eastAsia="Calibri"/>
                <w:sz w:val="22"/>
                <w:szCs w:val="22"/>
              </w:rPr>
            </w:pPr>
            <w:r w:rsidRPr="00394C02">
              <w:rPr>
                <w:rFonts w:eastAsia="Calibri"/>
                <w:sz w:val="22"/>
                <w:szCs w:val="22"/>
              </w:rPr>
              <w:t>0</w:t>
            </w:r>
            <w:r w:rsidR="008573AB">
              <w:rPr>
                <w:rFonts w:eastAsia="Calibri"/>
                <w:sz w:val="22"/>
                <w:szCs w:val="22"/>
              </w:rPr>
              <w:t xml:space="preserve"> households</w:t>
            </w:r>
          </w:p>
        </w:tc>
        <w:tc>
          <w:tcPr>
            <w:tcW w:w="1915" w:type="dxa"/>
            <w:shd w:val="clear" w:color="auto" w:fill="auto"/>
            <w:vAlign w:val="center"/>
          </w:tcPr>
          <w:p w:rsidR="00F62FCD" w:rsidRPr="00394C02" w:rsidRDefault="00730399" w:rsidP="008573AB">
            <w:pPr>
              <w:jc w:val="center"/>
              <w:rPr>
                <w:rFonts w:eastAsia="Calibri"/>
                <w:sz w:val="22"/>
                <w:szCs w:val="22"/>
              </w:rPr>
            </w:pPr>
            <w:r>
              <w:rPr>
                <w:rFonts w:eastAsia="Calibri"/>
                <w:sz w:val="22"/>
                <w:szCs w:val="22"/>
              </w:rPr>
              <w:t>25</w:t>
            </w:r>
            <w:r w:rsidR="008573AB" w:rsidRPr="00201A2E">
              <w:rPr>
                <w:rFonts w:eastAsia="Calibri"/>
                <w:sz w:val="22"/>
                <w:szCs w:val="22"/>
              </w:rPr>
              <w:t xml:space="preserve"> households</w:t>
            </w:r>
          </w:p>
        </w:tc>
        <w:tc>
          <w:tcPr>
            <w:tcW w:w="1915" w:type="dxa"/>
            <w:shd w:val="clear" w:color="auto" w:fill="auto"/>
          </w:tcPr>
          <w:p w:rsidR="00F62FCD" w:rsidRPr="00394C02" w:rsidRDefault="00F62FCD" w:rsidP="009472B1">
            <w:pPr>
              <w:jc w:val="center"/>
              <w:rPr>
                <w:rFonts w:eastAsia="Calibri"/>
                <w:sz w:val="22"/>
                <w:szCs w:val="22"/>
              </w:rPr>
            </w:pPr>
          </w:p>
        </w:tc>
        <w:tc>
          <w:tcPr>
            <w:tcW w:w="1916" w:type="dxa"/>
            <w:shd w:val="clear" w:color="auto" w:fill="auto"/>
          </w:tcPr>
          <w:p w:rsidR="00F62FCD" w:rsidRPr="00394C02" w:rsidRDefault="00F62FCD" w:rsidP="009472B1">
            <w:pPr>
              <w:jc w:val="center"/>
              <w:rPr>
                <w:rFonts w:eastAsia="Calibri"/>
                <w:sz w:val="22"/>
                <w:szCs w:val="22"/>
              </w:rPr>
            </w:pPr>
          </w:p>
        </w:tc>
      </w:tr>
      <w:tr w:rsidR="00F62FCD" w:rsidRPr="003F655B" w:rsidTr="003D20AC">
        <w:trPr>
          <w:trHeight w:val="323"/>
        </w:trPr>
        <w:tc>
          <w:tcPr>
            <w:tcW w:w="9576" w:type="dxa"/>
            <w:gridSpan w:val="5"/>
            <w:shd w:val="clear" w:color="auto" w:fill="C6D9F1" w:themeFill="text2" w:themeFillTint="33"/>
            <w:hideMark/>
          </w:tcPr>
          <w:p w:rsidR="00F62FCD" w:rsidRPr="00394C02" w:rsidRDefault="00F62FCD" w:rsidP="004172B2">
            <w:pPr>
              <w:jc w:val="center"/>
              <w:rPr>
                <w:rFonts w:eastAsia="Calibri"/>
                <w:b/>
                <w:bCs/>
                <w:i/>
                <w:iCs/>
                <w:sz w:val="22"/>
                <w:szCs w:val="22"/>
              </w:rPr>
            </w:pPr>
            <w:r w:rsidRPr="00394C02">
              <w:rPr>
                <w:rFonts w:eastAsia="Calibri"/>
                <w:b/>
                <w:bCs/>
                <w:i/>
                <w:iCs/>
                <w:sz w:val="22"/>
                <w:szCs w:val="22"/>
              </w:rPr>
              <w:t>SS #8: Households Transitioned to Self Sufficiency</w:t>
            </w:r>
          </w:p>
        </w:tc>
      </w:tr>
      <w:tr w:rsidR="00F62FCD" w:rsidRPr="003F655B" w:rsidTr="003D20AC">
        <w:trPr>
          <w:trHeight w:val="422"/>
        </w:trPr>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Unit of Measurement</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Baseline</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Benchmark</w:t>
            </w:r>
          </w:p>
        </w:tc>
        <w:tc>
          <w:tcPr>
            <w:tcW w:w="1915"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Outcome</w:t>
            </w:r>
          </w:p>
        </w:tc>
        <w:tc>
          <w:tcPr>
            <w:tcW w:w="1916" w:type="dxa"/>
            <w:shd w:val="clear" w:color="auto" w:fill="D9D9D9" w:themeFill="background1" w:themeFillShade="D9"/>
            <w:vAlign w:val="center"/>
            <w:hideMark/>
          </w:tcPr>
          <w:p w:rsidR="00F62FCD" w:rsidRPr="00394C02" w:rsidRDefault="00F62FCD" w:rsidP="00B82342">
            <w:pPr>
              <w:jc w:val="center"/>
              <w:rPr>
                <w:rFonts w:eastAsia="Calibri"/>
                <w:b/>
                <w:bCs/>
                <w:sz w:val="22"/>
                <w:szCs w:val="22"/>
              </w:rPr>
            </w:pPr>
            <w:r w:rsidRPr="00394C02">
              <w:rPr>
                <w:rFonts w:eastAsia="Calibri"/>
                <w:b/>
                <w:bCs/>
                <w:sz w:val="22"/>
                <w:szCs w:val="22"/>
              </w:rPr>
              <w:t>Benchmark Achieved?</w:t>
            </w:r>
          </w:p>
        </w:tc>
      </w:tr>
      <w:tr w:rsidR="00F62FCD" w:rsidRPr="003F655B" w:rsidTr="008573AB">
        <w:trPr>
          <w:trHeight w:val="1700"/>
        </w:trPr>
        <w:tc>
          <w:tcPr>
            <w:tcW w:w="1915" w:type="dxa"/>
            <w:shd w:val="clear" w:color="auto" w:fill="auto"/>
            <w:hideMark/>
          </w:tcPr>
          <w:p w:rsidR="00F62FCD" w:rsidRPr="00394C02" w:rsidRDefault="00F62FCD" w:rsidP="004172B2">
            <w:pPr>
              <w:rPr>
                <w:rFonts w:eastAsia="Calibri"/>
                <w:sz w:val="22"/>
                <w:szCs w:val="22"/>
              </w:rPr>
            </w:pPr>
            <w:r w:rsidRPr="00394C02">
              <w:rPr>
                <w:rFonts w:eastAsia="Calibri"/>
                <w:sz w:val="22"/>
                <w:szCs w:val="22"/>
              </w:rPr>
              <w:t xml:space="preserve">Number of households transitioned to </w:t>
            </w:r>
            <w:r w:rsidR="008679DE" w:rsidRPr="00394C02">
              <w:rPr>
                <w:rFonts w:eastAsia="Calibri"/>
                <w:sz w:val="22"/>
                <w:szCs w:val="22"/>
              </w:rPr>
              <w:t>self-sufficiency</w:t>
            </w:r>
            <w:r w:rsidRPr="00394C02">
              <w:rPr>
                <w:rFonts w:eastAsia="Calibri"/>
                <w:sz w:val="22"/>
                <w:szCs w:val="22"/>
              </w:rPr>
              <w:t xml:space="preserve"> (increase). </w:t>
            </w:r>
            <w:r w:rsidR="008679DE" w:rsidRPr="00394C02">
              <w:rPr>
                <w:rFonts w:eastAsia="Calibri"/>
                <w:sz w:val="22"/>
                <w:szCs w:val="22"/>
              </w:rPr>
              <w:t>Self-sufficiency</w:t>
            </w:r>
            <w:r w:rsidRPr="00394C02">
              <w:rPr>
                <w:rFonts w:eastAsia="Calibri"/>
                <w:sz w:val="22"/>
                <w:szCs w:val="22"/>
              </w:rPr>
              <w:t xml:space="preserve"> is defined as graduation from the YTTS program.</w:t>
            </w:r>
          </w:p>
        </w:tc>
        <w:tc>
          <w:tcPr>
            <w:tcW w:w="1915" w:type="dxa"/>
            <w:shd w:val="clear" w:color="auto" w:fill="auto"/>
            <w:vAlign w:val="center"/>
          </w:tcPr>
          <w:p w:rsidR="00F62FCD" w:rsidRPr="00BA0074" w:rsidRDefault="00F62FCD" w:rsidP="008573AB">
            <w:pPr>
              <w:jc w:val="center"/>
              <w:rPr>
                <w:rFonts w:eastAsia="Calibri"/>
                <w:sz w:val="22"/>
                <w:szCs w:val="22"/>
              </w:rPr>
            </w:pPr>
            <w:r w:rsidRPr="00BA0074">
              <w:rPr>
                <w:rFonts w:eastAsia="Calibri"/>
                <w:sz w:val="22"/>
                <w:szCs w:val="22"/>
              </w:rPr>
              <w:t>0</w:t>
            </w:r>
            <w:r w:rsidR="008573AB" w:rsidRPr="00BA0074">
              <w:rPr>
                <w:rFonts w:eastAsia="Calibri"/>
                <w:sz w:val="22"/>
                <w:szCs w:val="22"/>
              </w:rPr>
              <w:t xml:space="preserve"> households</w:t>
            </w:r>
          </w:p>
        </w:tc>
        <w:tc>
          <w:tcPr>
            <w:tcW w:w="1915" w:type="dxa"/>
            <w:shd w:val="clear" w:color="auto" w:fill="auto"/>
            <w:vAlign w:val="center"/>
          </w:tcPr>
          <w:p w:rsidR="00F62FCD" w:rsidRPr="00BA0074" w:rsidRDefault="00BA0074" w:rsidP="008573AB">
            <w:pPr>
              <w:jc w:val="center"/>
              <w:rPr>
                <w:rFonts w:eastAsia="Calibri"/>
                <w:sz w:val="22"/>
                <w:szCs w:val="22"/>
              </w:rPr>
            </w:pPr>
            <w:r w:rsidRPr="00BA0074">
              <w:rPr>
                <w:rFonts w:eastAsia="Calibri"/>
                <w:sz w:val="22"/>
                <w:szCs w:val="22"/>
              </w:rPr>
              <w:t>3</w:t>
            </w:r>
            <w:r w:rsidR="00272A8B" w:rsidRPr="00BA0074">
              <w:rPr>
                <w:rFonts w:eastAsia="Calibri"/>
                <w:sz w:val="22"/>
                <w:szCs w:val="22"/>
              </w:rPr>
              <w:t xml:space="preserve"> </w:t>
            </w:r>
            <w:r w:rsidR="008573AB" w:rsidRPr="00BA0074">
              <w:rPr>
                <w:rFonts w:eastAsia="Calibri"/>
                <w:sz w:val="22"/>
                <w:szCs w:val="22"/>
              </w:rPr>
              <w:t xml:space="preserve"> households</w:t>
            </w:r>
          </w:p>
        </w:tc>
        <w:tc>
          <w:tcPr>
            <w:tcW w:w="1915" w:type="dxa"/>
            <w:shd w:val="clear" w:color="auto" w:fill="auto"/>
          </w:tcPr>
          <w:p w:rsidR="00F62FCD" w:rsidRPr="00394C02" w:rsidRDefault="00F62FCD" w:rsidP="009472B1">
            <w:pPr>
              <w:jc w:val="center"/>
              <w:rPr>
                <w:rFonts w:eastAsia="Calibri"/>
                <w:sz w:val="22"/>
                <w:szCs w:val="22"/>
              </w:rPr>
            </w:pPr>
          </w:p>
        </w:tc>
        <w:tc>
          <w:tcPr>
            <w:tcW w:w="1916" w:type="dxa"/>
            <w:shd w:val="clear" w:color="auto" w:fill="auto"/>
          </w:tcPr>
          <w:p w:rsidR="00F62FCD" w:rsidRPr="00394C02" w:rsidRDefault="00F62FCD" w:rsidP="009472B1">
            <w:pPr>
              <w:jc w:val="center"/>
              <w:rPr>
                <w:rFonts w:eastAsia="Calibri"/>
                <w:sz w:val="22"/>
                <w:szCs w:val="22"/>
              </w:rPr>
            </w:pPr>
          </w:p>
        </w:tc>
      </w:tr>
    </w:tbl>
    <w:p w:rsidR="005E3062" w:rsidRPr="003F655B" w:rsidRDefault="005E3062" w:rsidP="005E3062">
      <w:pPr>
        <w:rPr>
          <w:color w:val="000000"/>
          <w:highlight w:val="yellow"/>
        </w:rPr>
      </w:pPr>
    </w:p>
    <w:p w:rsidR="005E3062" w:rsidRPr="003F655B" w:rsidRDefault="005E3062" w:rsidP="005E3062">
      <w:pPr>
        <w:rPr>
          <w:b/>
          <w:color w:val="000000"/>
          <w:u w:val="single"/>
        </w:rPr>
      </w:pPr>
      <w:r w:rsidRPr="003F655B">
        <w:rPr>
          <w:b/>
          <w:color w:val="000000"/>
          <w:u w:val="single"/>
        </w:rPr>
        <w:br w:type="page"/>
        <w:t>Activity 2012-1:   MTW Utility Allowances</w:t>
      </w:r>
    </w:p>
    <w:p w:rsidR="005E3062" w:rsidRPr="003F655B" w:rsidRDefault="005E3062" w:rsidP="005E3062">
      <w:pPr>
        <w:rPr>
          <w:b/>
          <w:color w:val="000000"/>
          <w:u w:val="single"/>
        </w:rPr>
      </w:pPr>
    </w:p>
    <w:p w:rsidR="00485902" w:rsidRPr="00485902" w:rsidRDefault="005E3062" w:rsidP="00485902">
      <w:pPr>
        <w:rPr>
          <w:highlight w:val="yellow"/>
        </w:rPr>
      </w:pPr>
      <w:r w:rsidRPr="00475180">
        <w:rPr>
          <w:b/>
          <w:color w:val="000000"/>
        </w:rPr>
        <w:t>Description/Update of MTW Activity:</w:t>
      </w:r>
      <w:r w:rsidR="00FB7270">
        <w:rPr>
          <w:b/>
          <w:color w:val="000000"/>
        </w:rPr>
        <w:t xml:space="preserve"> </w:t>
      </w:r>
      <w:r w:rsidRPr="00475180">
        <w:t xml:space="preserve">Under this initiative, </w:t>
      </w:r>
      <w:r w:rsidR="00EF442B">
        <w:t>DHCD</w:t>
      </w:r>
      <w:r w:rsidRPr="00475180">
        <w:t xml:space="preserve"> establish</w:t>
      </w:r>
      <w:r w:rsidR="00CD47BD" w:rsidRPr="00475180">
        <w:t>ed</w:t>
      </w:r>
      <w:r w:rsidRPr="00475180">
        <w:t xml:space="preserve"> a simplified Utility Allowance </w:t>
      </w:r>
      <w:r w:rsidR="00CD47BD" w:rsidRPr="00475180">
        <w:t xml:space="preserve">(UA) </w:t>
      </w:r>
      <w:r w:rsidRPr="00475180">
        <w:t>schedule</w:t>
      </w:r>
      <w:r w:rsidR="00CD47BD" w:rsidRPr="00475180">
        <w:t xml:space="preserve"> and eliminated Utility Allowance Payments under $25</w:t>
      </w:r>
      <w:r w:rsidRPr="00475180">
        <w:t xml:space="preserve">.  </w:t>
      </w:r>
      <w:r w:rsidR="00485902" w:rsidRPr="00475180">
        <w:t>DHCD has found that clients receiving UAPs for very small amounts are less likely to deposit or cash the checks that they receive. This results in bookkeeping issues for the finance staff at the RAA and DHCD level which demand time and resources out of proportion to the relatively small amounts of money.</w:t>
      </w:r>
      <w:r w:rsidR="00485902">
        <w:t xml:space="preserve"> </w:t>
      </w:r>
      <w:r w:rsidR="00485902" w:rsidRPr="00475180">
        <w:t xml:space="preserve"> By terminating the issuance of UAPs of $25 or less, DHCD intends to reduce the incidence of outstanding checks, and alleviate the need for finance staff to spend time and resources reconciling these accounts. This policy was implemented in 2012 and is ongoing.</w:t>
      </w:r>
    </w:p>
    <w:p w:rsidR="005E3062" w:rsidRPr="00475180" w:rsidRDefault="005E3062" w:rsidP="00475180">
      <w:pPr>
        <w:jc w:val="both"/>
      </w:pPr>
    </w:p>
    <w:p w:rsidR="005E3062" w:rsidRPr="00EF442B" w:rsidRDefault="005E3062" w:rsidP="00475180">
      <w:pPr>
        <w:jc w:val="both"/>
        <w:rPr>
          <w:color w:val="000000"/>
        </w:rPr>
      </w:pPr>
      <w:r w:rsidRPr="00475180">
        <w:t>In FY 2014</w:t>
      </w:r>
      <w:r w:rsidR="00F85A23" w:rsidRPr="00475180">
        <w:t>,</w:t>
      </w:r>
      <w:r w:rsidRPr="00475180">
        <w:t xml:space="preserve"> DHCD designed a UA model that eliminated all utility allowances except for heat.  DHCD completed impact analyses, developed hardship criteria, prepared software modifications and provided training to staff on the simplified UA model.  DHCD utilizes a utility allowance schedule, regardless of fuel type, geographical area and building type, for tenant-paid heat only.  The utility allowance schedule includes the utility allowance for heat by the smaller of the </w:t>
      </w:r>
      <w:r w:rsidR="00192656">
        <w:t xml:space="preserve">voucher </w:t>
      </w:r>
      <w:r w:rsidRPr="00475180">
        <w:t>size or bedroom size.  Utility allowances for any other tenant paid utilities, other than heat, will not be provided.</w:t>
      </w:r>
      <w:r w:rsidR="00FB7270">
        <w:t xml:space="preserve">  </w:t>
      </w:r>
      <w:r w:rsidR="00EF442B" w:rsidRPr="00EF442B">
        <w:rPr>
          <w:color w:val="000000"/>
        </w:rPr>
        <w:t xml:space="preserve">During an interim recertification, DHCD will apply the utility allowance used at the last regular recertification. </w:t>
      </w:r>
    </w:p>
    <w:p w:rsidR="005E3062" w:rsidRPr="008573AB" w:rsidRDefault="005E3062" w:rsidP="005E3062">
      <w:pPr>
        <w:ind w:left="720"/>
        <w:rPr>
          <w:highlight w:val="yellow"/>
        </w:rPr>
      </w:pPr>
    </w:p>
    <w:p w:rsidR="005E3062" w:rsidRPr="00475180" w:rsidRDefault="005E3062" w:rsidP="00475180">
      <w:pPr>
        <w:jc w:val="both"/>
      </w:pPr>
      <w:r w:rsidRPr="00475180">
        <w:t>In developing the UA schedule for heat, in addition to basing the heat utility allowance on typical cost and consumption, DHCD used a weighted average of the two highest fuel types by bedroom size.</w:t>
      </w:r>
      <w:r w:rsidR="00FB7270">
        <w:t xml:space="preserve">  </w:t>
      </w:r>
      <w:r w:rsidRPr="00475180">
        <w:t xml:space="preserve">Where applicable, </w:t>
      </w:r>
      <w:r w:rsidR="00E5410F" w:rsidRPr="00475180">
        <w:t>DHCD</w:t>
      </w:r>
      <w:r w:rsidR="00FF2B28" w:rsidRPr="00475180">
        <w:t xml:space="preserve"> will</w:t>
      </w:r>
      <w:r w:rsidRPr="00475180">
        <w:t xml:space="preserve"> use the Department of Energy’s (DOE) residential energy consumption survey data to determine the utility allowance for households with approved reasonable accommodations for electricity. DHCD will determine reasonable accommodations for other utilities on a case by case basis.</w:t>
      </w:r>
    </w:p>
    <w:p w:rsidR="005E3062" w:rsidRPr="00475180" w:rsidRDefault="005E3062" w:rsidP="005E3062"/>
    <w:p w:rsidR="005E3062" w:rsidRPr="00475180" w:rsidRDefault="005E3062" w:rsidP="00475180">
      <w:pPr>
        <w:jc w:val="both"/>
        <w:rPr>
          <w:b/>
          <w:u w:val="single"/>
        </w:rPr>
      </w:pPr>
      <w:r w:rsidRPr="00475180">
        <w:t xml:space="preserve">The goal of these revised schedules is twofold: in addition to simplifying the utility allowance designation and calculation process, the simplified </w:t>
      </w:r>
      <w:r w:rsidR="00CD47BD" w:rsidRPr="00475180">
        <w:t>UA schedule</w:t>
      </w:r>
      <w:r w:rsidRPr="00475180">
        <w:t xml:space="preserve"> will also result in significant cost savings.  These cost savings were</w:t>
      </w:r>
      <w:r w:rsidR="00E5410F" w:rsidRPr="00475180">
        <w:t xml:space="preserve"> needed to respond to the deep funding</w:t>
      </w:r>
      <w:r w:rsidRPr="00475180">
        <w:t xml:space="preserve"> cuts</w:t>
      </w:r>
      <w:r w:rsidR="00EF442B">
        <w:t xml:space="preserve"> experienced by DHCD</w:t>
      </w:r>
      <w:r w:rsidRPr="00475180">
        <w:t>.</w:t>
      </w:r>
      <w:r w:rsidR="00EF442B">
        <w:t xml:space="preserve">  Additionally, the savings</w:t>
      </w:r>
      <w:r w:rsidRPr="00475180">
        <w:t xml:space="preserve"> allow DHCD to assist the same number of families without having to terminate or recall vouchers. Implementation of the simplified utility allowance schedule began in December 2013 and</w:t>
      </w:r>
      <w:r w:rsidR="00E71AD7">
        <w:t xml:space="preserve"> </w:t>
      </w:r>
      <w:r w:rsidR="008679DE">
        <w:t>was</w:t>
      </w:r>
      <w:r w:rsidR="008679DE" w:rsidRPr="00475180">
        <w:t xml:space="preserve"> fully</w:t>
      </w:r>
      <w:r w:rsidR="00FF2B28" w:rsidRPr="00475180">
        <w:t xml:space="preserve"> </w:t>
      </w:r>
      <w:r w:rsidR="008679DE" w:rsidRPr="00475180">
        <w:t>implemented</w:t>
      </w:r>
      <w:r w:rsidR="008679DE">
        <w:t xml:space="preserve"> in</w:t>
      </w:r>
      <w:r w:rsidR="00E71AD7">
        <w:t xml:space="preserve"> May 2014. </w:t>
      </w:r>
    </w:p>
    <w:p w:rsidR="005E3062" w:rsidRPr="00475180" w:rsidRDefault="005E3062" w:rsidP="00475180">
      <w:pPr>
        <w:jc w:val="both"/>
        <w:rPr>
          <w:color w:val="000000"/>
        </w:rPr>
      </w:pPr>
    </w:p>
    <w:p w:rsidR="003155FA" w:rsidRDefault="00E327E5" w:rsidP="003155FA">
      <w:pPr>
        <w:jc w:val="both"/>
      </w:pPr>
      <w:r>
        <w:rPr>
          <w:color w:val="000000"/>
        </w:rPr>
        <w:t xml:space="preserve">In response to concerns about rising electricity costs, </w:t>
      </w:r>
      <w:r w:rsidR="003155FA">
        <w:rPr>
          <w:color w:val="000000"/>
        </w:rPr>
        <w:t>DHCD will revise the UA model to include a utility allowance for other electricity.</w:t>
      </w:r>
      <w:r w:rsidR="003155FA">
        <w:t xml:space="preserve"> The two largest electric utilities in Massachusetts </w:t>
      </w:r>
      <w:r w:rsidR="00377CD3">
        <w:t>implemented</w:t>
      </w:r>
      <w:r w:rsidR="003155FA">
        <w:t xml:space="preserve"> 37% and 29% rate increases in CY 2015.  </w:t>
      </w:r>
      <w:r w:rsidR="00192656">
        <w:t>Additionally, a</w:t>
      </w:r>
      <w:r w:rsidR="003155FA">
        <w:t>ccording to the Institute on Energy Research</w:t>
      </w:r>
      <w:r w:rsidR="003D20AC">
        <w:t>,</w:t>
      </w:r>
      <w:r w:rsidR="003155FA">
        <w:t xml:space="preserve"> the monthly bill for the average household served increase</w:t>
      </w:r>
      <w:r w:rsidR="00192656">
        <w:t>d</w:t>
      </w:r>
      <w:r w:rsidR="003155FA">
        <w:t xml:space="preserve"> by $</w:t>
      </w:r>
      <w:r w:rsidR="00DA0B8E">
        <w:t>28/month</w:t>
      </w:r>
      <w:r w:rsidR="00192656">
        <w:t xml:space="preserve"> over the past two years</w:t>
      </w:r>
      <w:r w:rsidR="00DA0B8E">
        <w:t>.  DHCD may</w:t>
      </w:r>
      <w:r w:rsidR="003155FA">
        <w:t xml:space="preserve"> use the </w:t>
      </w:r>
      <w:r w:rsidR="00443CF8">
        <w:t>DOE’s</w:t>
      </w:r>
      <w:r w:rsidR="003155FA">
        <w:t xml:space="preserve"> residential energy consumption survey data </w:t>
      </w:r>
      <w:r w:rsidR="00377CD3">
        <w:t xml:space="preserve">or other reliable data </w:t>
      </w:r>
      <w:r w:rsidR="003155FA">
        <w:t xml:space="preserve">to determine the utility allowance. The </w:t>
      </w:r>
      <w:r w:rsidR="00F97D4F">
        <w:t>“</w:t>
      </w:r>
      <w:r w:rsidR="003155FA">
        <w:t>other electric</w:t>
      </w:r>
      <w:r w:rsidR="00F97D4F">
        <w:t>”</w:t>
      </w:r>
      <w:r w:rsidR="003155FA">
        <w:t xml:space="preserve"> UA schedule will be the same across DHCD jurisdiction</w:t>
      </w:r>
      <w:r w:rsidR="00F97D4F">
        <w:t>s</w:t>
      </w:r>
      <w:r w:rsidR="003155FA">
        <w:t xml:space="preserve"> and will not vary by geographical area and/or building type.  The utility allowance schedule will include the utility allowance for heat and other electricity by the smaller of the unit size or </w:t>
      </w:r>
      <w:r w:rsidR="00377CD3">
        <w:t>voucher</w:t>
      </w:r>
      <w:r w:rsidR="003155FA">
        <w:t xml:space="preserve"> size.  Utility allowances for any other tenant paid utilities, other than heat and other electricity, will not be provided.  For example, if a household is responsible for paying for electric heat, DHCD will provide a UA for heat only; however, if that same household is responsible for paying for electric heat and other electricity, DHCD will provide a UA for heat and</w:t>
      </w:r>
      <w:r w:rsidR="00F97D4F">
        <w:t xml:space="preserve"> a UA</w:t>
      </w:r>
      <w:r w:rsidR="003155FA">
        <w:t xml:space="preserve"> </w:t>
      </w:r>
      <w:r w:rsidR="00443CF8">
        <w:t>for other electricity.</w:t>
      </w:r>
      <w:r w:rsidR="003155FA">
        <w:t xml:space="preserve">  During the time that DHCD did not provide a UA for other electricity, households may have applied and received a reasonable accommodation utility allowance for other electricity.  For these households, at their next regular reexamination, DHCD will review and adjust the utility allowance for consistency with their approved accommodations and the new electricity UA schedule. DHCD will determine reasonable accommodations for other utilities on a case by case basis.  DHCD will continue to monitor the cost of all utilities and may further modify this initiative for consistency with market and economic conditions. </w:t>
      </w:r>
    </w:p>
    <w:p w:rsidR="005E3062" w:rsidRPr="009E38DF" w:rsidRDefault="005E3062" w:rsidP="005E3062">
      <w:pPr>
        <w:rPr>
          <w:color w:val="000000"/>
          <w:sz w:val="14"/>
        </w:rPr>
      </w:pPr>
    </w:p>
    <w:p w:rsidR="00A9405B" w:rsidRPr="00A9405B" w:rsidRDefault="00A9405B" w:rsidP="00475180">
      <w:pPr>
        <w:jc w:val="both"/>
        <w:rPr>
          <w:color w:val="000000"/>
        </w:rPr>
      </w:pPr>
      <w:r>
        <w:rPr>
          <w:b/>
          <w:color w:val="000000"/>
        </w:rPr>
        <w:t xml:space="preserve">Proposed Changes: </w:t>
      </w:r>
      <w:r>
        <w:rPr>
          <w:color w:val="000000"/>
        </w:rPr>
        <w:t>No changes are proposed.</w:t>
      </w:r>
    </w:p>
    <w:p w:rsidR="00A9405B" w:rsidRPr="009E38DF" w:rsidRDefault="00A9405B" w:rsidP="00475180">
      <w:pPr>
        <w:jc w:val="both"/>
        <w:rPr>
          <w:b/>
          <w:color w:val="000000"/>
          <w:sz w:val="16"/>
        </w:rPr>
      </w:pPr>
    </w:p>
    <w:p w:rsidR="005E3062" w:rsidRPr="003F655B" w:rsidRDefault="005E3062" w:rsidP="00925298">
      <w:pPr>
        <w:jc w:val="both"/>
        <w:rPr>
          <w:color w:val="000000"/>
        </w:rPr>
      </w:pPr>
      <w:r w:rsidRPr="003F655B">
        <w:rPr>
          <w:b/>
          <w:color w:val="000000"/>
        </w:rPr>
        <w:t>Approval and Implementation:</w:t>
      </w:r>
      <w:r w:rsidRPr="003F655B">
        <w:rPr>
          <w:color w:val="000000"/>
        </w:rPr>
        <w:t xml:space="preserve"> 2012 – Implementation of the policy applicable to UAPs o</w:t>
      </w:r>
      <w:r w:rsidR="00443CF8">
        <w:rPr>
          <w:color w:val="000000"/>
        </w:rPr>
        <w:t>f $25 or less began in FY 2012.</w:t>
      </w:r>
      <w:r w:rsidRPr="003F655B">
        <w:rPr>
          <w:color w:val="000000"/>
        </w:rPr>
        <w:t xml:space="preserve">  Implementation of the simplified </w:t>
      </w:r>
      <w:r w:rsidR="00003C3E">
        <w:rPr>
          <w:color w:val="000000"/>
        </w:rPr>
        <w:t>UA</w:t>
      </w:r>
      <w:r w:rsidRPr="003F655B">
        <w:rPr>
          <w:color w:val="000000"/>
        </w:rPr>
        <w:t xml:space="preserve"> schedule began in FY 2014.</w:t>
      </w:r>
      <w:r w:rsidR="00DA0B8E">
        <w:rPr>
          <w:color w:val="000000"/>
        </w:rPr>
        <w:t xml:space="preserve">  Implementation of the additional other electricity U</w:t>
      </w:r>
      <w:r w:rsidR="000E1363">
        <w:rPr>
          <w:color w:val="000000"/>
        </w:rPr>
        <w:t xml:space="preserve">A will take place </w:t>
      </w:r>
      <w:r w:rsidR="00730399">
        <w:rPr>
          <w:color w:val="000000"/>
        </w:rPr>
        <w:t>before the close of FY 2017.</w:t>
      </w:r>
    </w:p>
    <w:p w:rsidR="005E3062" w:rsidRPr="009E38DF" w:rsidRDefault="005E3062" w:rsidP="00925298">
      <w:pPr>
        <w:jc w:val="both"/>
        <w:rPr>
          <w:color w:val="000000"/>
          <w:sz w:val="16"/>
        </w:rPr>
      </w:pPr>
    </w:p>
    <w:bookmarkEnd w:id="18"/>
    <w:bookmarkEnd w:id="19"/>
    <w:p w:rsidR="000E1363" w:rsidRDefault="000E1363" w:rsidP="00925298">
      <w:pPr>
        <w:jc w:val="both"/>
        <w:rPr>
          <w:b/>
          <w:color w:val="000000"/>
        </w:rPr>
      </w:pPr>
      <w:r>
        <w:rPr>
          <w:b/>
        </w:rPr>
        <w:t xml:space="preserve">Changes to Baseline, Benchmarks &amp; Metrics: </w:t>
      </w:r>
      <w:r>
        <w:t>The benchmarks have been updated to reflect FY 2017 projections for this activity. DHCD will report on outcomes in the MTW Annual Report</w:t>
      </w:r>
      <w:r w:rsidR="00443CF8">
        <w:t>.</w:t>
      </w:r>
    </w:p>
    <w:p w:rsidR="000E1363" w:rsidRPr="009E38DF" w:rsidRDefault="000E1363" w:rsidP="005E3062">
      <w:pPr>
        <w:rPr>
          <w:b/>
          <w:color w:val="000000"/>
          <w:sz w:val="18"/>
        </w:rPr>
      </w:pPr>
    </w:p>
    <w:p w:rsidR="005E3062" w:rsidRDefault="00B2501A" w:rsidP="005E3062">
      <w:pPr>
        <w:rPr>
          <w:color w:val="000000"/>
        </w:rPr>
      </w:pPr>
      <w:r>
        <w:rPr>
          <w:b/>
          <w:color w:val="000000"/>
        </w:rPr>
        <w:t>Metrics</w:t>
      </w:r>
      <w:r w:rsidR="005E3062" w:rsidRPr="003F655B">
        <w:rPr>
          <w:color w:val="000000"/>
        </w:rPr>
        <w:t xml:space="preserve">:  </w:t>
      </w:r>
    </w:p>
    <w:p w:rsidR="008573AB" w:rsidRPr="009E38DF" w:rsidRDefault="008573AB" w:rsidP="005E3062">
      <w:pPr>
        <w:rPr>
          <w:b/>
          <w:color w:val="000000"/>
          <w:sz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898"/>
        <w:gridCol w:w="1898"/>
        <w:gridCol w:w="1827"/>
        <w:gridCol w:w="1853"/>
      </w:tblGrid>
      <w:tr w:rsidR="005E3062" w:rsidRPr="003F655B" w:rsidTr="00443CF8">
        <w:trPr>
          <w:trHeight w:val="269"/>
        </w:trPr>
        <w:tc>
          <w:tcPr>
            <w:tcW w:w="9576" w:type="dxa"/>
            <w:gridSpan w:val="5"/>
            <w:shd w:val="clear" w:color="auto" w:fill="C6D9F1" w:themeFill="text2" w:themeFillTint="33"/>
            <w:hideMark/>
          </w:tcPr>
          <w:p w:rsidR="005E3062" w:rsidRPr="00A92A51" w:rsidRDefault="005E3062" w:rsidP="004172B2">
            <w:pPr>
              <w:jc w:val="center"/>
              <w:rPr>
                <w:rFonts w:eastAsia="Calibri"/>
                <w:b/>
                <w:bCs/>
                <w:i/>
                <w:iCs/>
                <w:sz w:val="22"/>
                <w:szCs w:val="22"/>
              </w:rPr>
            </w:pPr>
            <w:r w:rsidRPr="00A92A51">
              <w:rPr>
                <w:rFonts w:eastAsia="Calibri"/>
                <w:b/>
                <w:bCs/>
                <w:i/>
                <w:iCs/>
                <w:sz w:val="22"/>
                <w:szCs w:val="22"/>
              </w:rPr>
              <w:t>CE #1: Agency Cost Savings</w:t>
            </w:r>
          </w:p>
        </w:tc>
      </w:tr>
      <w:tr w:rsidR="005E3062" w:rsidRPr="003F655B" w:rsidTr="00443CF8">
        <w:trPr>
          <w:trHeight w:val="615"/>
        </w:trPr>
        <w:tc>
          <w:tcPr>
            <w:tcW w:w="1915" w:type="dxa"/>
            <w:shd w:val="clear" w:color="auto" w:fill="D9D9D9" w:themeFill="background1" w:themeFillShade="D9"/>
            <w:vAlign w:val="center"/>
            <w:hideMark/>
          </w:tcPr>
          <w:p w:rsidR="005E3062" w:rsidRPr="00A92A51" w:rsidRDefault="005E3062" w:rsidP="009472B1">
            <w:pPr>
              <w:jc w:val="center"/>
              <w:rPr>
                <w:rFonts w:eastAsia="Calibri"/>
                <w:b/>
                <w:bCs/>
                <w:sz w:val="22"/>
                <w:szCs w:val="22"/>
              </w:rPr>
            </w:pPr>
            <w:r w:rsidRPr="00A92A51">
              <w:rPr>
                <w:rFonts w:eastAsia="Calibri"/>
                <w:b/>
                <w:bCs/>
                <w:sz w:val="22"/>
                <w:szCs w:val="22"/>
              </w:rPr>
              <w:t>Unit of Measurement</w:t>
            </w:r>
          </w:p>
        </w:tc>
        <w:tc>
          <w:tcPr>
            <w:tcW w:w="1915" w:type="dxa"/>
            <w:shd w:val="clear" w:color="auto" w:fill="D9D9D9" w:themeFill="background1" w:themeFillShade="D9"/>
            <w:vAlign w:val="center"/>
            <w:hideMark/>
          </w:tcPr>
          <w:p w:rsidR="005E3062" w:rsidRPr="00A92A51" w:rsidRDefault="005E3062" w:rsidP="009472B1">
            <w:pPr>
              <w:jc w:val="center"/>
              <w:rPr>
                <w:rFonts w:eastAsia="Calibri"/>
                <w:b/>
                <w:bCs/>
                <w:sz w:val="22"/>
                <w:szCs w:val="22"/>
              </w:rPr>
            </w:pPr>
            <w:r w:rsidRPr="00A92A51">
              <w:rPr>
                <w:rFonts w:eastAsia="Calibri"/>
                <w:b/>
                <w:bCs/>
                <w:sz w:val="22"/>
                <w:szCs w:val="22"/>
              </w:rPr>
              <w:t>Baseline</w:t>
            </w:r>
          </w:p>
        </w:tc>
        <w:tc>
          <w:tcPr>
            <w:tcW w:w="1915" w:type="dxa"/>
            <w:shd w:val="clear" w:color="auto" w:fill="D9D9D9" w:themeFill="background1" w:themeFillShade="D9"/>
            <w:vAlign w:val="center"/>
            <w:hideMark/>
          </w:tcPr>
          <w:p w:rsidR="005E3062" w:rsidRPr="00A92A51" w:rsidRDefault="005E3062" w:rsidP="009472B1">
            <w:pPr>
              <w:jc w:val="center"/>
              <w:rPr>
                <w:rFonts w:eastAsia="Calibri"/>
                <w:b/>
                <w:bCs/>
                <w:sz w:val="22"/>
                <w:szCs w:val="22"/>
              </w:rPr>
            </w:pPr>
            <w:r w:rsidRPr="00A92A51">
              <w:rPr>
                <w:rFonts w:eastAsia="Calibri"/>
                <w:b/>
                <w:bCs/>
                <w:sz w:val="22"/>
                <w:szCs w:val="22"/>
              </w:rPr>
              <w:t>Benchmark</w:t>
            </w:r>
          </w:p>
        </w:tc>
        <w:tc>
          <w:tcPr>
            <w:tcW w:w="1915" w:type="dxa"/>
            <w:shd w:val="clear" w:color="auto" w:fill="D9D9D9" w:themeFill="background1" w:themeFillShade="D9"/>
            <w:vAlign w:val="center"/>
            <w:hideMark/>
          </w:tcPr>
          <w:p w:rsidR="005E3062" w:rsidRPr="00A92A51" w:rsidRDefault="005E3062" w:rsidP="009472B1">
            <w:pPr>
              <w:jc w:val="center"/>
              <w:rPr>
                <w:rFonts w:eastAsia="Calibri"/>
                <w:b/>
                <w:bCs/>
                <w:sz w:val="22"/>
                <w:szCs w:val="22"/>
              </w:rPr>
            </w:pPr>
            <w:r w:rsidRPr="00A92A51">
              <w:rPr>
                <w:rFonts w:eastAsia="Calibri"/>
                <w:b/>
                <w:bCs/>
                <w:sz w:val="22"/>
                <w:szCs w:val="22"/>
              </w:rPr>
              <w:t>Outcome</w:t>
            </w:r>
          </w:p>
        </w:tc>
        <w:tc>
          <w:tcPr>
            <w:tcW w:w="1916" w:type="dxa"/>
            <w:shd w:val="clear" w:color="auto" w:fill="D9D9D9" w:themeFill="background1" w:themeFillShade="D9"/>
            <w:vAlign w:val="center"/>
            <w:hideMark/>
          </w:tcPr>
          <w:p w:rsidR="005E3062" w:rsidRPr="00A92A51" w:rsidRDefault="005E3062" w:rsidP="009472B1">
            <w:pPr>
              <w:jc w:val="center"/>
              <w:rPr>
                <w:rFonts w:eastAsia="Calibri"/>
                <w:b/>
                <w:bCs/>
                <w:sz w:val="22"/>
                <w:szCs w:val="22"/>
              </w:rPr>
            </w:pPr>
            <w:r w:rsidRPr="00A92A51">
              <w:rPr>
                <w:rFonts w:eastAsia="Calibri"/>
                <w:b/>
                <w:bCs/>
                <w:sz w:val="22"/>
                <w:szCs w:val="22"/>
              </w:rPr>
              <w:t>Benchmark Achieved?</w:t>
            </w:r>
          </w:p>
        </w:tc>
      </w:tr>
      <w:tr w:rsidR="005E3062" w:rsidRPr="003F655B" w:rsidTr="004E49FD">
        <w:trPr>
          <w:trHeight w:val="494"/>
        </w:trPr>
        <w:tc>
          <w:tcPr>
            <w:tcW w:w="1915" w:type="dxa"/>
            <w:shd w:val="clear" w:color="auto" w:fill="auto"/>
            <w:hideMark/>
          </w:tcPr>
          <w:p w:rsidR="005E3062" w:rsidRPr="00A92A51" w:rsidRDefault="005E3062" w:rsidP="009472B1">
            <w:pPr>
              <w:rPr>
                <w:rFonts w:eastAsia="Calibri"/>
                <w:sz w:val="22"/>
                <w:szCs w:val="22"/>
              </w:rPr>
            </w:pPr>
            <w:r w:rsidRPr="00A92A51">
              <w:rPr>
                <w:rFonts w:eastAsia="Calibri"/>
                <w:sz w:val="22"/>
                <w:szCs w:val="22"/>
              </w:rPr>
              <w:t>Total cost of task in dollars (decrease).</w:t>
            </w:r>
          </w:p>
        </w:tc>
        <w:tc>
          <w:tcPr>
            <w:tcW w:w="1915" w:type="dxa"/>
            <w:shd w:val="clear" w:color="auto" w:fill="auto"/>
          </w:tcPr>
          <w:p w:rsidR="005E3062" w:rsidRPr="00A92A51" w:rsidRDefault="005C0FCA" w:rsidP="009472B1">
            <w:pPr>
              <w:jc w:val="center"/>
              <w:rPr>
                <w:rFonts w:eastAsia="Calibri"/>
                <w:sz w:val="22"/>
                <w:szCs w:val="22"/>
              </w:rPr>
            </w:pPr>
            <w:r w:rsidRPr="00A92A51">
              <w:rPr>
                <w:color w:val="000000"/>
                <w:sz w:val="22"/>
                <w:szCs w:val="22"/>
              </w:rPr>
              <w:t>$31,476,912</w:t>
            </w:r>
          </w:p>
        </w:tc>
        <w:tc>
          <w:tcPr>
            <w:tcW w:w="1915" w:type="dxa"/>
            <w:shd w:val="clear" w:color="auto" w:fill="auto"/>
          </w:tcPr>
          <w:p w:rsidR="005E3062" w:rsidRPr="00213201" w:rsidRDefault="00A01925" w:rsidP="008573AB">
            <w:pPr>
              <w:jc w:val="center"/>
              <w:rPr>
                <w:rFonts w:eastAsia="Calibri"/>
                <w:sz w:val="22"/>
                <w:szCs w:val="22"/>
              </w:rPr>
            </w:pPr>
            <w:r w:rsidRPr="00213201">
              <w:rPr>
                <w:color w:val="000000"/>
                <w:sz w:val="22"/>
                <w:szCs w:val="22"/>
              </w:rPr>
              <w:t>$19,</w:t>
            </w:r>
            <w:r w:rsidR="00213201" w:rsidRPr="00213201">
              <w:rPr>
                <w:color w:val="000000"/>
                <w:sz w:val="22"/>
                <w:szCs w:val="22"/>
              </w:rPr>
              <w:t>587,864</w:t>
            </w:r>
          </w:p>
        </w:tc>
        <w:tc>
          <w:tcPr>
            <w:tcW w:w="1915" w:type="dxa"/>
            <w:shd w:val="clear" w:color="auto" w:fill="auto"/>
          </w:tcPr>
          <w:p w:rsidR="005E3062" w:rsidRPr="00213201" w:rsidRDefault="005E3062" w:rsidP="009472B1">
            <w:pPr>
              <w:jc w:val="center"/>
              <w:rPr>
                <w:rFonts w:eastAsia="Calibri"/>
                <w:sz w:val="22"/>
                <w:szCs w:val="22"/>
              </w:rPr>
            </w:pPr>
          </w:p>
        </w:tc>
        <w:tc>
          <w:tcPr>
            <w:tcW w:w="1916" w:type="dxa"/>
            <w:shd w:val="clear" w:color="auto" w:fill="auto"/>
          </w:tcPr>
          <w:p w:rsidR="005E3062" w:rsidRPr="00A92A51" w:rsidRDefault="005E3062" w:rsidP="004172B2">
            <w:pPr>
              <w:jc w:val="center"/>
              <w:rPr>
                <w:rFonts w:eastAsia="Calibri"/>
                <w:sz w:val="22"/>
                <w:szCs w:val="22"/>
              </w:rPr>
            </w:pPr>
          </w:p>
        </w:tc>
      </w:tr>
      <w:tr w:rsidR="006B2C53" w:rsidRPr="00DC5A89" w:rsidTr="00443CF8">
        <w:trPr>
          <w:trHeight w:val="350"/>
        </w:trPr>
        <w:tc>
          <w:tcPr>
            <w:tcW w:w="9576" w:type="dxa"/>
            <w:gridSpan w:val="5"/>
            <w:shd w:val="clear" w:color="auto" w:fill="C6D9F1" w:themeFill="text2" w:themeFillTint="33"/>
            <w:hideMark/>
          </w:tcPr>
          <w:p w:rsidR="006B2C53" w:rsidRPr="00213201" w:rsidRDefault="006B2C53" w:rsidP="006B2C53">
            <w:pPr>
              <w:jc w:val="center"/>
              <w:rPr>
                <w:b/>
                <w:bCs/>
                <w:i/>
                <w:iCs/>
                <w:sz w:val="22"/>
                <w:szCs w:val="22"/>
              </w:rPr>
            </w:pPr>
            <w:r w:rsidRPr="00213201">
              <w:rPr>
                <w:b/>
                <w:bCs/>
                <w:i/>
                <w:iCs/>
                <w:sz w:val="22"/>
                <w:szCs w:val="22"/>
              </w:rPr>
              <w:t>CE #2: Staff Time Savings</w:t>
            </w:r>
          </w:p>
        </w:tc>
      </w:tr>
      <w:tr w:rsidR="006B2C53" w:rsidRPr="00DC5A89" w:rsidTr="00443CF8">
        <w:trPr>
          <w:trHeight w:val="615"/>
        </w:trPr>
        <w:tc>
          <w:tcPr>
            <w:tcW w:w="1915" w:type="dxa"/>
            <w:shd w:val="clear" w:color="auto" w:fill="D9D9D9" w:themeFill="background1" w:themeFillShade="D9"/>
            <w:hideMark/>
          </w:tcPr>
          <w:p w:rsidR="006B2C53" w:rsidRPr="00A92A51" w:rsidRDefault="006B2C53" w:rsidP="00443CF8">
            <w:pPr>
              <w:jc w:val="center"/>
              <w:rPr>
                <w:b/>
                <w:bCs/>
                <w:sz w:val="22"/>
                <w:szCs w:val="22"/>
              </w:rPr>
            </w:pPr>
            <w:r w:rsidRPr="00A92A51">
              <w:rPr>
                <w:b/>
                <w:bCs/>
                <w:sz w:val="22"/>
                <w:szCs w:val="22"/>
              </w:rPr>
              <w:t>Unit of Measurement</w:t>
            </w:r>
          </w:p>
        </w:tc>
        <w:tc>
          <w:tcPr>
            <w:tcW w:w="1915" w:type="dxa"/>
            <w:shd w:val="clear" w:color="auto" w:fill="D9D9D9" w:themeFill="background1" w:themeFillShade="D9"/>
            <w:hideMark/>
          </w:tcPr>
          <w:p w:rsidR="006B2C53" w:rsidRPr="00213201" w:rsidRDefault="006B2C53" w:rsidP="00443CF8">
            <w:pPr>
              <w:jc w:val="center"/>
              <w:rPr>
                <w:b/>
                <w:bCs/>
                <w:sz w:val="22"/>
                <w:szCs w:val="22"/>
              </w:rPr>
            </w:pPr>
            <w:r w:rsidRPr="00213201">
              <w:rPr>
                <w:b/>
                <w:bCs/>
                <w:sz w:val="22"/>
                <w:szCs w:val="22"/>
              </w:rPr>
              <w:t>Baseline</w:t>
            </w:r>
          </w:p>
        </w:tc>
        <w:tc>
          <w:tcPr>
            <w:tcW w:w="1915" w:type="dxa"/>
            <w:shd w:val="clear" w:color="auto" w:fill="D9D9D9" w:themeFill="background1" w:themeFillShade="D9"/>
            <w:hideMark/>
          </w:tcPr>
          <w:p w:rsidR="006B2C53" w:rsidRPr="00213201" w:rsidRDefault="006B2C53" w:rsidP="00443CF8">
            <w:pPr>
              <w:jc w:val="center"/>
              <w:rPr>
                <w:b/>
                <w:bCs/>
                <w:sz w:val="22"/>
                <w:szCs w:val="22"/>
              </w:rPr>
            </w:pPr>
            <w:r w:rsidRPr="00213201">
              <w:rPr>
                <w:b/>
                <w:bCs/>
                <w:sz w:val="22"/>
                <w:szCs w:val="22"/>
              </w:rPr>
              <w:t>Benchmark</w:t>
            </w:r>
          </w:p>
        </w:tc>
        <w:tc>
          <w:tcPr>
            <w:tcW w:w="1915" w:type="dxa"/>
            <w:shd w:val="clear" w:color="auto" w:fill="D9D9D9" w:themeFill="background1" w:themeFillShade="D9"/>
            <w:hideMark/>
          </w:tcPr>
          <w:p w:rsidR="006B2C53" w:rsidRPr="00A92A51" w:rsidRDefault="006B2C53" w:rsidP="00443CF8">
            <w:pPr>
              <w:jc w:val="center"/>
              <w:rPr>
                <w:b/>
                <w:bCs/>
                <w:sz w:val="22"/>
                <w:szCs w:val="22"/>
              </w:rPr>
            </w:pPr>
            <w:r w:rsidRPr="00A92A51">
              <w:rPr>
                <w:b/>
                <w:bCs/>
                <w:sz w:val="22"/>
                <w:szCs w:val="22"/>
              </w:rPr>
              <w:t>Outcome</w:t>
            </w:r>
          </w:p>
        </w:tc>
        <w:tc>
          <w:tcPr>
            <w:tcW w:w="1916" w:type="dxa"/>
            <w:shd w:val="clear" w:color="auto" w:fill="D9D9D9" w:themeFill="background1" w:themeFillShade="D9"/>
            <w:hideMark/>
          </w:tcPr>
          <w:p w:rsidR="006B2C53" w:rsidRPr="00A92A51" w:rsidRDefault="006B2C53" w:rsidP="00443CF8">
            <w:pPr>
              <w:jc w:val="center"/>
              <w:rPr>
                <w:b/>
                <w:bCs/>
                <w:sz w:val="22"/>
                <w:szCs w:val="22"/>
              </w:rPr>
            </w:pPr>
            <w:r w:rsidRPr="00A92A51">
              <w:rPr>
                <w:b/>
                <w:bCs/>
                <w:sz w:val="22"/>
                <w:szCs w:val="22"/>
              </w:rPr>
              <w:t>Benchmark Achieved?</w:t>
            </w:r>
          </w:p>
        </w:tc>
      </w:tr>
      <w:tr w:rsidR="006B2C53" w:rsidRPr="00DC5A89" w:rsidTr="004E49FD">
        <w:trPr>
          <w:trHeight w:val="1515"/>
        </w:trPr>
        <w:tc>
          <w:tcPr>
            <w:tcW w:w="1915" w:type="dxa"/>
            <w:hideMark/>
          </w:tcPr>
          <w:p w:rsidR="006B2C53" w:rsidRPr="00A92A51" w:rsidRDefault="006B2C53" w:rsidP="006B2C53">
            <w:pPr>
              <w:rPr>
                <w:sz w:val="22"/>
                <w:szCs w:val="22"/>
              </w:rPr>
            </w:pPr>
            <w:r w:rsidRPr="00A92A51">
              <w:rPr>
                <w:sz w:val="22"/>
                <w:szCs w:val="22"/>
              </w:rPr>
              <w:t>Total time to complete the task in staff hours (decrease).</w:t>
            </w:r>
          </w:p>
        </w:tc>
        <w:tc>
          <w:tcPr>
            <w:tcW w:w="1915" w:type="dxa"/>
            <w:hideMark/>
          </w:tcPr>
          <w:p w:rsidR="006B2C53" w:rsidRPr="00213201" w:rsidRDefault="00F32603" w:rsidP="006B2C53">
            <w:pPr>
              <w:rPr>
                <w:sz w:val="22"/>
                <w:szCs w:val="22"/>
              </w:rPr>
            </w:pPr>
            <w:r w:rsidRPr="00213201">
              <w:rPr>
                <w:b/>
                <w:sz w:val="22"/>
                <w:szCs w:val="22"/>
              </w:rPr>
              <w:t>Time requi</w:t>
            </w:r>
            <w:r w:rsidR="00F62FCD" w:rsidRPr="00213201">
              <w:rPr>
                <w:b/>
                <w:sz w:val="22"/>
                <w:szCs w:val="22"/>
              </w:rPr>
              <w:t>r</w:t>
            </w:r>
            <w:r w:rsidRPr="00213201">
              <w:rPr>
                <w:b/>
                <w:sz w:val="22"/>
                <w:szCs w:val="22"/>
              </w:rPr>
              <w:t>ed to calculate UA</w:t>
            </w:r>
            <w:r w:rsidRPr="00213201">
              <w:rPr>
                <w:sz w:val="22"/>
                <w:szCs w:val="22"/>
              </w:rPr>
              <w:t>: 8 minutes</w:t>
            </w:r>
          </w:p>
          <w:p w:rsidR="00F32603" w:rsidRPr="00213201" w:rsidRDefault="00F32603" w:rsidP="006B2C53">
            <w:pPr>
              <w:rPr>
                <w:sz w:val="22"/>
                <w:szCs w:val="22"/>
              </w:rPr>
            </w:pPr>
          </w:p>
          <w:p w:rsidR="00F32603" w:rsidRPr="00213201" w:rsidRDefault="00F32603" w:rsidP="006B2C53">
            <w:pPr>
              <w:rPr>
                <w:sz w:val="22"/>
                <w:szCs w:val="22"/>
              </w:rPr>
            </w:pPr>
            <w:r w:rsidRPr="00213201">
              <w:rPr>
                <w:b/>
                <w:sz w:val="22"/>
                <w:szCs w:val="22"/>
              </w:rPr>
              <w:t>Number of UA calculated in FY 13</w:t>
            </w:r>
            <w:r w:rsidRPr="00213201">
              <w:rPr>
                <w:sz w:val="22"/>
                <w:szCs w:val="22"/>
              </w:rPr>
              <w:t>: 16,919</w:t>
            </w:r>
          </w:p>
          <w:p w:rsidR="00F32603" w:rsidRPr="00213201" w:rsidRDefault="00F32603" w:rsidP="006B2C53">
            <w:pPr>
              <w:rPr>
                <w:sz w:val="22"/>
                <w:szCs w:val="22"/>
              </w:rPr>
            </w:pPr>
          </w:p>
          <w:p w:rsidR="00F32603" w:rsidRPr="00213201" w:rsidRDefault="00F32603" w:rsidP="006B2C53">
            <w:pPr>
              <w:rPr>
                <w:sz w:val="22"/>
                <w:szCs w:val="22"/>
              </w:rPr>
            </w:pPr>
            <w:r w:rsidRPr="00213201">
              <w:rPr>
                <w:b/>
                <w:sz w:val="22"/>
                <w:szCs w:val="22"/>
              </w:rPr>
              <w:t>Total staff time prior to implementation</w:t>
            </w:r>
            <w:r w:rsidRPr="00213201">
              <w:rPr>
                <w:sz w:val="22"/>
                <w:szCs w:val="22"/>
              </w:rPr>
              <w:t>: 2,256 hours</w:t>
            </w:r>
          </w:p>
        </w:tc>
        <w:tc>
          <w:tcPr>
            <w:tcW w:w="1915" w:type="dxa"/>
            <w:hideMark/>
          </w:tcPr>
          <w:p w:rsidR="006B2C53" w:rsidRPr="00213201" w:rsidRDefault="00F32603" w:rsidP="006B2C53">
            <w:pPr>
              <w:rPr>
                <w:sz w:val="22"/>
                <w:szCs w:val="22"/>
              </w:rPr>
            </w:pPr>
            <w:r w:rsidRPr="00213201">
              <w:rPr>
                <w:b/>
                <w:sz w:val="22"/>
                <w:szCs w:val="22"/>
              </w:rPr>
              <w:t>Time required to calculate UA</w:t>
            </w:r>
            <w:r w:rsidRPr="00213201">
              <w:rPr>
                <w:sz w:val="22"/>
                <w:szCs w:val="22"/>
              </w:rPr>
              <w:t>: 4 minutes</w:t>
            </w:r>
          </w:p>
          <w:p w:rsidR="00F32603" w:rsidRPr="00213201" w:rsidRDefault="00F32603" w:rsidP="006B2C53">
            <w:pPr>
              <w:rPr>
                <w:sz w:val="22"/>
                <w:szCs w:val="22"/>
              </w:rPr>
            </w:pPr>
          </w:p>
          <w:p w:rsidR="00F32603" w:rsidRPr="00213201" w:rsidRDefault="00F32603" w:rsidP="006B2C53">
            <w:pPr>
              <w:rPr>
                <w:sz w:val="22"/>
                <w:szCs w:val="22"/>
              </w:rPr>
            </w:pPr>
            <w:r w:rsidRPr="00213201">
              <w:rPr>
                <w:b/>
                <w:sz w:val="22"/>
                <w:szCs w:val="22"/>
              </w:rPr>
              <w:t>Anticipated number of UA in FY 1</w:t>
            </w:r>
            <w:r w:rsidR="000E1363" w:rsidRPr="00213201">
              <w:rPr>
                <w:b/>
                <w:sz w:val="22"/>
                <w:szCs w:val="22"/>
              </w:rPr>
              <w:t>7</w:t>
            </w:r>
            <w:r w:rsidRPr="00213201">
              <w:rPr>
                <w:sz w:val="22"/>
                <w:szCs w:val="22"/>
              </w:rPr>
              <w:t xml:space="preserve">: </w:t>
            </w:r>
            <w:r w:rsidR="00DE583F" w:rsidRPr="00213201">
              <w:rPr>
                <w:sz w:val="22"/>
                <w:szCs w:val="22"/>
              </w:rPr>
              <w:t>1</w:t>
            </w:r>
            <w:r w:rsidR="00213201" w:rsidRPr="00213201">
              <w:rPr>
                <w:sz w:val="22"/>
                <w:szCs w:val="22"/>
              </w:rPr>
              <w:t>5,068</w:t>
            </w:r>
          </w:p>
          <w:p w:rsidR="00F32603" w:rsidRPr="00213201" w:rsidRDefault="00F32603" w:rsidP="006B2C53">
            <w:pPr>
              <w:rPr>
                <w:sz w:val="22"/>
                <w:szCs w:val="22"/>
              </w:rPr>
            </w:pPr>
          </w:p>
          <w:p w:rsidR="00F32603" w:rsidRPr="00213201" w:rsidRDefault="00F32603" w:rsidP="008573AB">
            <w:pPr>
              <w:rPr>
                <w:sz w:val="22"/>
                <w:szCs w:val="22"/>
              </w:rPr>
            </w:pPr>
            <w:r w:rsidRPr="00213201">
              <w:rPr>
                <w:b/>
                <w:sz w:val="22"/>
                <w:szCs w:val="22"/>
              </w:rPr>
              <w:t>Anticipated total staff time after implementation</w:t>
            </w:r>
            <w:r w:rsidRPr="00213201">
              <w:rPr>
                <w:sz w:val="22"/>
                <w:szCs w:val="22"/>
              </w:rPr>
              <w:t xml:space="preserve">: </w:t>
            </w:r>
            <w:r w:rsidR="00213201" w:rsidRPr="00213201">
              <w:rPr>
                <w:sz w:val="22"/>
                <w:szCs w:val="22"/>
              </w:rPr>
              <w:t>1,004</w:t>
            </w:r>
            <w:r w:rsidR="00C67169" w:rsidRPr="00213201">
              <w:rPr>
                <w:sz w:val="22"/>
                <w:szCs w:val="22"/>
              </w:rPr>
              <w:t xml:space="preserve"> </w:t>
            </w:r>
            <w:r w:rsidRPr="00213201">
              <w:rPr>
                <w:sz w:val="22"/>
                <w:szCs w:val="22"/>
              </w:rPr>
              <w:t>hours</w:t>
            </w:r>
          </w:p>
        </w:tc>
        <w:tc>
          <w:tcPr>
            <w:tcW w:w="1915" w:type="dxa"/>
            <w:hideMark/>
          </w:tcPr>
          <w:p w:rsidR="006B2C53" w:rsidRPr="00A92A51" w:rsidRDefault="006B2C53" w:rsidP="006B2C53">
            <w:pPr>
              <w:rPr>
                <w:sz w:val="22"/>
                <w:szCs w:val="22"/>
              </w:rPr>
            </w:pPr>
          </w:p>
        </w:tc>
        <w:tc>
          <w:tcPr>
            <w:tcW w:w="1916" w:type="dxa"/>
            <w:hideMark/>
          </w:tcPr>
          <w:p w:rsidR="006B2C53" w:rsidRPr="00A92A51" w:rsidRDefault="006B2C53" w:rsidP="006B2C53">
            <w:pPr>
              <w:rPr>
                <w:sz w:val="22"/>
                <w:szCs w:val="22"/>
              </w:rPr>
            </w:pPr>
          </w:p>
        </w:tc>
      </w:tr>
      <w:tr w:rsidR="00334C67" w:rsidRPr="002644ED" w:rsidTr="00443CF8">
        <w:trPr>
          <w:trHeight w:val="323"/>
        </w:trPr>
        <w:tc>
          <w:tcPr>
            <w:tcW w:w="9576" w:type="dxa"/>
            <w:gridSpan w:val="5"/>
            <w:shd w:val="clear" w:color="auto" w:fill="C6D9F1" w:themeFill="text2" w:themeFillTint="33"/>
          </w:tcPr>
          <w:p w:rsidR="00334C67" w:rsidRPr="00FB4487" w:rsidRDefault="00334C67" w:rsidP="00C24E45">
            <w:pPr>
              <w:jc w:val="center"/>
              <w:rPr>
                <w:sz w:val="22"/>
                <w:szCs w:val="22"/>
              </w:rPr>
            </w:pPr>
            <w:r w:rsidRPr="00FB4487">
              <w:rPr>
                <w:b/>
                <w:bCs/>
                <w:i/>
                <w:iCs/>
                <w:sz w:val="22"/>
                <w:szCs w:val="22"/>
              </w:rPr>
              <w:t>CE #3: Decrease in Error Rate of Task Execution</w:t>
            </w:r>
          </w:p>
        </w:tc>
      </w:tr>
      <w:tr w:rsidR="00334C67" w:rsidRPr="002644ED" w:rsidTr="00443CF8">
        <w:trPr>
          <w:trHeight w:val="539"/>
        </w:trPr>
        <w:tc>
          <w:tcPr>
            <w:tcW w:w="1915" w:type="dxa"/>
            <w:shd w:val="clear" w:color="auto" w:fill="D9D9D9" w:themeFill="background1" w:themeFillShade="D9"/>
            <w:vAlign w:val="center"/>
          </w:tcPr>
          <w:p w:rsidR="00334C67" w:rsidRPr="00FB4487" w:rsidRDefault="00334C67" w:rsidP="00443CF8">
            <w:pPr>
              <w:jc w:val="center"/>
              <w:rPr>
                <w:b/>
                <w:bCs/>
                <w:sz w:val="22"/>
                <w:szCs w:val="22"/>
              </w:rPr>
            </w:pPr>
            <w:r w:rsidRPr="00FB4487">
              <w:rPr>
                <w:b/>
                <w:bCs/>
                <w:sz w:val="22"/>
                <w:szCs w:val="22"/>
              </w:rPr>
              <w:t>Unit of Measurement</w:t>
            </w:r>
          </w:p>
        </w:tc>
        <w:tc>
          <w:tcPr>
            <w:tcW w:w="1915" w:type="dxa"/>
            <w:shd w:val="clear" w:color="auto" w:fill="D9D9D9" w:themeFill="background1" w:themeFillShade="D9"/>
            <w:vAlign w:val="center"/>
          </w:tcPr>
          <w:p w:rsidR="00334C67" w:rsidRPr="00FB4487" w:rsidRDefault="00334C67" w:rsidP="00443CF8">
            <w:pPr>
              <w:jc w:val="center"/>
              <w:rPr>
                <w:b/>
                <w:bCs/>
                <w:sz w:val="22"/>
                <w:szCs w:val="22"/>
              </w:rPr>
            </w:pPr>
            <w:r w:rsidRPr="00FB4487">
              <w:rPr>
                <w:b/>
                <w:bCs/>
                <w:sz w:val="22"/>
                <w:szCs w:val="22"/>
              </w:rPr>
              <w:t>Baseline</w:t>
            </w:r>
          </w:p>
        </w:tc>
        <w:tc>
          <w:tcPr>
            <w:tcW w:w="1915" w:type="dxa"/>
            <w:shd w:val="clear" w:color="auto" w:fill="D9D9D9" w:themeFill="background1" w:themeFillShade="D9"/>
            <w:vAlign w:val="center"/>
          </w:tcPr>
          <w:p w:rsidR="00334C67" w:rsidRPr="00FB4487" w:rsidRDefault="00334C67" w:rsidP="00443CF8">
            <w:pPr>
              <w:jc w:val="center"/>
              <w:rPr>
                <w:b/>
                <w:bCs/>
                <w:sz w:val="22"/>
                <w:szCs w:val="22"/>
              </w:rPr>
            </w:pPr>
            <w:r w:rsidRPr="00FB4487">
              <w:rPr>
                <w:b/>
                <w:bCs/>
                <w:sz w:val="22"/>
                <w:szCs w:val="22"/>
              </w:rPr>
              <w:t>Benchmark</w:t>
            </w:r>
          </w:p>
        </w:tc>
        <w:tc>
          <w:tcPr>
            <w:tcW w:w="1915" w:type="dxa"/>
            <w:shd w:val="clear" w:color="auto" w:fill="D9D9D9" w:themeFill="background1" w:themeFillShade="D9"/>
            <w:vAlign w:val="center"/>
          </w:tcPr>
          <w:p w:rsidR="00334C67" w:rsidRPr="00FB4487" w:rsidRDefault="00334C67" w:rsidP="00443CF8">
            <w:pPr>
              <w:jc w:val="center"/>
              <w:rPr>
                <w:b/>
                <w:bCs/>
                <w:sz w:val="22"/>
                <w:szCs w:val="22"/>
              </w:rPr>
            </w:pPr>
            <w:r w:rsidRPr="00FB4487">
              <w:rPr>
                <w:b/>
                <w:bCs/>
                <w:sz w:val="22"/>
                <w:szCs w:val="22"/>
              </w:rPr>
              <w:t>Outcome</w:t>
            </w:r>
          </w:p>
        </w:tc>
        <w:tc>
          <w:tcPr>
            <w:tcW w:w="1916" w:type="dxa"/>
            <w:shd w:val="clear" w:color="auto" w:fill="D9D9D9" w:themeFill="background1" w:themeFillShade="D9"/>
            <w:vAlign w:val="center"/>
          </w:tcPr>
          <w:p w:rsidR="00334C67" w:rsidRPr="00FB4487" w:rsidRDefault="00334C67" w:rsidP="00443CF8">
            <w:pPr>
              <w:jc w:val="center"/>
              <w:rPr>
                <w:b/>
                <w:bCs/>
                <w:sz w:val="22"/>
                <w:szCs w:val="22"/>
              </w:rPr>
            </w:pPr>
            <w:r w:rsidRPr="00FB4487">
              <w:rPr>
                <w:b/>
                <w:bCs/>
                <w:sz w:val="22"/>
                <w:szCs w:val="22"/>
              </w:rPr>
              <w:t>Benchmark Achieved?</w:t>
            </w:r>
          </w:p>
        </w:tc>
      </w:tr>
      <w:tr w:rsidR="00334C67" w:rsidRPr="002644ED" w:rsidTr="00443CF8">
        <w:trPr>
          <w:trHeight w:val="350"/>
        </w:trPr>
        <w:tc>
          <w:tcPr>
            <w:tcW w:w="1915" w:type="dxa"/>
          </w:tcPr>
          <w:p w:rsidR="00334C67" w:rsidRPr="00FB4487" w:rsidRDefault="00334C67" w:rsidP="00C24E45">
            <w:pPr>
              <w:rPr>
                <w:sz w:val="22"/>
                <w:szCs w:val="22"/>
              </w:rPr>
            </w:pPr>
            <w:r w:rsidRPr="00FB4487">
              <w:rPr>
                <w:sz w:val="22"/>
                <w:szCs w:val="22"/>
              </w:rPr>
              <w:t>Average error rate in completing a task as a percentage (decrease).</w:t>
            </w:r>
          </w:p>
        </w:tc>
        <w:tc>
          <w:tcPr>
            <w:tcW w:w="1915" w:type="dxa"/>
            <w:vAlign w:val="center"/>
          </w:tcPr>
          <w:p w:rsidR="00334C67" w:rsidRPr="00B26685" w:rsidRDefault="00B26685" w:rsidP="00B26685">
            <w:pPr>
              <w:jc w:val="center"/>
              <w:rPr>
                <w:sz w:val="22"/>
                <w:szCs w:val="22"/>
              </w:rPr>
            </w:pPr>
            <w:r w:rsidRPr="00B26685">
              <w:rPr>
                <w:rFonts w:eastAsia="Calibri"/>
                <w:bCs/>
                <w:iCs/>
                <w:sz w:val="22"/>
                <w:szCs w:val="22"/>
              </w:rPr>
              <w:t>10%</w:t>
            </w:r>
          </w:p>
        </w:tc>
        <w:tc>
          <w:tcPr>
            <w:tcW w:w="1915" w:type="dxa"/>
            <w:vAlign w:val="center"/>
          </w:tcPr>
          <w:p w:rsidR="00334C67" w:rsidRPr="00B26685" w:rsidRDefault="00B26685" w:rsidP="00B26685">
            <w:pPr>
              <w:jc w:val="center"/>
              <w:rPr>
                <w:sz w:val="22"/>
                <w:szCs w:val="22"/>
              </w:rPr>
            </w:pPr>
            <w:r w:rsidRPr="00DE583F">
              <w:rPr>
                <w:rFonts w:eastAsia="Calibri"/>
                <w:bCs/>
                <w:iCs/>
                <w:sz w:val="22"/>
                <w:szCs w:val="22"/>
              </w:rPr>
              <w:t>4%</w:t>
            </w:r>
          </w:p>
        </w:tc>
        <w:tc>
          <w:tcPr>
            <w:tcW w:w="1915" w:type="dxa"/>
          </w:tcPr>
          <w:p w:rsidR="00334C67" w:rsidRPr="00FB4487" w:rsidRDefault="00334C67" w:rsidP="00C24E45">
            <w:pPr>
              <w:rPr>
                <w:b/>
                <w:sz w:val="22"/>
                <w:szCs w:val="22"/>
              </w:rPr>
            </w:pPr>
          </w:p>
        </w:tc>
        <w:tc>
          <w:tcPr>
            <w:tcW w:w="1916" w:type="dxa"/>
          </w:tcPr>
          <w:p w:rsidR="00334C67" w:rsidRPr="00FB4487" w:rsidRDefault="00334C67" w:rsidP="00C24E45">
            <w:pPr>
              <w:rPr>
                <w:sz w:val="22"/>
                <w:szCs w:val="22"/>
              </w:rPr>
            </w:pPr>
          </w:p>
        </w:tc>
      </w:tr>
    </w:tbl>
    <w:p w:rsidR="00B26685" w:rsidRDefault="00B26685"/>
    <w:p w:rsidR="00B26685" w:rsidRDefault="00B26685"/>
    <w:p w:rsidR="00B26685" w:rsidRDefault="00B266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860"/>
        <w:gridCol w:w="1873"/>
        <w:gridCol w:w="1856"/>
        <w:gridCol w:w="1874"/>
      </w:tblGrid>
      <w:tr w:rsidR="009C2E6D" w:rsidRPr="002644ED" w:rsidTr="00443CF8">
        <w:trPr>
          <w:trHeight w:val="377"/>
        </w:trPr>
        <w:tc>
          <w:tcPr>
            <w:tcW w:w="9576" w:type="dxa"/>
            <w:gridSpan w:val="5"/>
            <w:shd w:val="clear" w:color="auto" w:fill="C6D9F1" w:themeFill="text2" w:themeFillTint="33"/>
          </w:tcPr>
          <w:p w:rsidR="009C2E6D" w:rsidRPr="00FB4487" w:rsidRDefault="009C2E6D" w:rsidP="009C2E6D">
            <w:pPr>
              <w:jc w:val="center"/>
              <w:rPr>
                <w:sz w:val="22"/>
                <w:szCs w:val="22"/>
              </w:rPr>
            </w:pPr>
            <w:r w:rsidRPr="00FB4487">
              <w:rPr>
                <w:b/>
                <w:bCs/>
                <w:i/>
                <w:iCs/>
                <w:sz w:val="22"/>
                <w:szCs w:val="22"/>
              </w:rPr>
              <w:t>CE #5: Increase in Agency Rental Revenue</w:t>
            </w:r>
          </w:p>
        </w:tc>
      </w:tr>
      <w:tr w:rsidR="009C2E6D" w:rsidRPr="002644ED" w:rsidTr="00443CF8">
        <w:trPr>
          <w:trHeight w:val="881"/>
        </w:trPr>
        <w:tc>
          <w:tcPr>
            <w:tcW w:w="1915" w:type="dxa"/>
            <w:shd w:val="clear" w:color="auto" w:fill="D9D9D9" w:themeFill="background1" w:themeFillShade="D9"/>
            <w:vAlign w:val="center"/>
          </w:tcPr>
          <w:p w:rsidR="009C2E6D" w:rsidRPr="00FB4487" w:rsidRDefault="009C2E6D" w:rsidP="00443CF8">
            <w:pPr>
              <w:jc w:val="center"/>
              <w:rPr>
                <w:sz w:val="22"/>
                <w:szCs w:val="22"/>
              </w:rPr>
            </w:pPr>
            <w:r w:rsidRPr="00FB4487">
              <w:rPr>
                <w:b/>
                <w:bCs/>
                <w:sz w:val="22"/>
                <w:szCs w:val="22"/>
              </w:rPr>
              <w:t>Unit of Measurement</w:t>
            </w:r>
          </w:p>
        </w:tc>
        <w:tc>
          <w:tcPr>
            <w:tcW w:w="1915" w:type="dxa"/>
            <w:shd w:val="clear" w:color="auto" w:fill="D9D9D9" w:themeFill="background1" w:themeFillShade="D9"/>
            <w:vAlign w:val="center"/>
          </w:tcPr>
          <w:p w:rsidR="009C2E6D" w:rsidRPr="00FB4487" w:rsidRDefault="009C2E6D" w:rsidP="00443CF8">
            <w:pPr>
              <w:jc w:val="center"/>
              <w:rPr>
                <w:rFonts w:eastAsia="Calibri"/>
                <w:b/>
                <w:bCs/>
                <w:i/>
                <w:iCs/>
                <w:sz w:val="22"/>
                <w:szCs w:val="22"/>
              </w:rPr>
            </w:pPr>
            <w:r w:rsidRPr="00FB4487">
              <w:rPr>
                <w:b/>
                <w:bCs/>
                <w:sz w:val="22"/>
                <w:szCs w:val="22"/>
              </w:rPr>
              <w:t>Baseline</w:t>
            </w:r>
          </w:p>
        </w:tc>
        <w:tc>
          <w:tcPr>
            <w:tcW w:w="1915" w:type="dxa"/>
            <w:shd w:val="clear" w:color="auto" w:fill="D9D9D9" w:themeFill="background1" w:themeFillShade="D9"/>
            <w:vAlign w:val="center"/>
          </w:tcPr>
          <w:p w:rsidR="009C2E6D" w:rsidRPr="00FB4487" w:rsidRDefault="009C2E6D" w:rsidP="00443CF8">
            <w:pPr>
              <w:jc w:val="center"/>
              <w:rPr>
                <w:rFonts w:eastAsia="Calibri"/>
                <w:b/>
                <w:bCs/>
                <w:i/>
                <w:iCs/>
                <w:sz w:val="22"/>
                <w:szCs w:val="22"/>
              </w:rPr>
            </w:pPr>
            <w:r w:rsidRPr="00FB4487">
              <w:rPr>
                <w:b/>
                <w:bCs/>
                <w:sz w:val="22"/>
                <w:szCs w:val="22"/>
              </w:rPr>
              <w:t>Benchmark</w:t>
            </w:r>
          </w:p>
        </w:tc>
        <w:tc>
          <w:tcPr>
            <w:tcW w:w="1915" w:type="dxa"/>
            <w:shd w:val="clear" w:color="auto" w:fill="D9D9D9" w:themeFill="background1" w:themeFillShade="D9"/>
            <w:vAlign w:val="center"/>
          </w:tcPr>
          <w:p w:rsidR="009C2E6D" w:rsidRPr="00FB4487" w:rsidRDefault="009C2E6D" w:rsidP="00443CF8">
            <w:pPr>
              <w:jc w:val="center"/>
              <w:rPr>
                <w:b/>
                <w:sz w:val="22"/>
                <w:szCs w:val="22"/>
              </w:rPr>
            </w:pPr>
            <w:r w:rsidRPr="00FB4487">
              <w:rPr>
                <w:b/>
                <w:bCs/>
                <w:sz w:val="22"/>
                <w:szCs w:val="22"/>
              </w:rPr>
              <w:t>Outcome</w:t>
            </w:r>
          </w:p>
        </w:tc>
        <w:tc>
          <w:tcPr>
            <w:tcW w:w="1916" w:type="dxa"/>
            <w:shd w:val="clear" w:color="auto" w:fill="D9D9D9" w:themeFill="background1" w:themeFillShade="D9"/>
            <w:vAlign w:val="center"/>
          </w:tcPr>
          <w:p w:rsidR="009C2E6D" w:rsidRPr="00FB4487" w:rsidRDefault="009C2E6D" w:rsidP="00443CF8">
            <w:pPr>
              <w:jc w:val="center"/>
              <w:rPr>
                <w:sz w:val="22"/>
                <w:szCs w:val="22"/>
              </w:rPr>
            </w:pPr>
            <w:r w:rsidRPr="00FB4487">
              <w:rPr>
                <w:b/>
                <w:bCs/>
                <w:sz w:val="22"/>
                <w:szCs w:val="22"/>
              </w:rPr>
              <w:t>Benchmark Achieved?</w:t>
            </w:r>
          </w:p>
        </w:tc>
      </w:tr>
      <w:tr w:rsidR="009C2E6D" w:rsidRPr="002644ED" w:rsidTr="004E49FD">
        <w:trPr>
          <w:trHeight w:val="881"/>
        </w:trPr>
        <w:tc>
          <w:tcPr>
            <w:tcW w:w="1915" w:type="dxa"/>
          </w:tcPr>
          <w:p w:rsidR="009C2E6D" w:rsidRPr="00AE0E14" w:rsidRDefault="009C2E6D" w:rsidP="00C24E45">
            <w:pPr>
              <w:rPr>
                <w:sz w:val="22"/>
                <w:szCs w:val="22"/>
              </w:rPr>
            </w:pPr>
            <w:r w:rsidRPr="00AE0E14">
              <w:rPr>
                <w:sz w:val="22"/>
                <w:szCs w:val="22"/>
              </w:rPr>
              <w:t>Average Tenant Rent Share (increase).</w:t>
            </w:r>
          </w:p>
        </w:tc>
        <w:tc>
          <w:tcPr>
            <w:tcW w:w="1915" w:type="dxa"/>
          </w:tcPr>
          <w:p w:rsidR="009C2E6D" w:rsidRPr="00AE0E14" w:rsidRDefault="009C2E6D" w:rsidP="003C4159">
            <w:pPr>
              <w:jc w:val="center"/>
              <w:rPr>
                <w:rFonts w:eastAsia="Calibri"/>
                <w:b/>
                <w:bCs/>
                <w:i/>
                <w:iCs/>
                <w:sz w:val="22"/>
                <w:szCs w:val="22"/>
              </w:rPr>
            </w:pPr>
            <w:r w:rsidRPr="00AE0E14">
              <w:rPr>
                <w:sz w:val="22"/>
                <w:szCs w:val="22"/>
              </w:rPr>
              <w:t>$382 per household in FY 2014</w:t>
            </w:r>
          </w:p>
        </w:tc>
        <w:tc>
          <w:tcPr>
            <w:tcW w:w="1915" w:type="dxa"/>
          </w:tcPr>
          <w:p w:rsidR="009C2E6D" w:rsidRPr="00AE0E14" w:rsidRDefault="00AE0E14" w:rsidP="003C4159">
            <w:pPr>
              <w:jc w:val="center"/>
              <w:rPr>
                <w:sz w:val="22"/>
                <w:szCs w:val="22"/>
              </w:rPr>
            </w:pPr>
            <w:r w:rsidRPr="00AE0E14">
              <w:rPr>
                <w:sz w:val="22"/>
                <w:szCs w:val="22"/>
              </w:rPr>
              <w:t>$331</w:t>
            </w:r>
            <w:r w:rsidR="009C2E6D" w:rsidRPr="00AE0E14">
              <w:rPr>
                <w:sz w:val="22"/>
                <w:szCs w:val="22"/>
              </w:rPr>
              <w:t xml:space="preserve"> per household</w:t>
            </w:r>
          </w:p>
          <w:p w:rsidR="0019173E" w:rsidRPr="00FB4487" w:rsidRDefault="0019173E" w:rsidP="003C4159">
            <w:pPr>
              <w:jc w:val="center"/>
              <w:rPr>
                <w:rFonts w:eastAsia="Calibri"/>
                <w:b/>
                <w:bCs/>
                <w:i/>
                <w:iCs/>
                <w:sz w:val="22"/>
                <w:szCs w:val="22"/>
              </w:rPr>
            </w:pPr>
            <w:r w:rsidRPr="00AE0E14">
              <w:rPr>
                <w:rFonts w:eastAsia="Calibri"/>
                <w:bCs/>
                <w:i/>
                <w:iCs/>
                <w:sz w:val="22"/>
                <w:szCs w:val="22"/>
              </w:rPr>
              <w:t>*DHCD does not have any rental revenue and has been instructed by HUD to report on Average Tenant Rent to Owner</w:t>
            </w:r>
          </w:p>
        </w:tc>
        <w:tc>
          <w:tcPr>
            <w:tcW w:w="1915" w:type="dxa"/>
          </w:tcPr>
          <w:p w:rsidR="009C2E6D" w:rsidRPr="00FB4487" w:rsidRDefault="009C2E6D" w:rsidP="00C24E45">
            <w:pPr>
              <w:rPr>
                <w:b/>
                <w:sz w:val="22"/>
                <w:szCs w:val="22"/>
              </w:rPr>
            </w:pPr>
          </w:p>
        </w:tc>
        <w:tc>
          <w:tcPr>
            <w:tcW w:w="1916" w:type="dxa"/>
          </w:tcPr>
          <w:p w:rsidR="009C2E6D" w:rsidRPr="00FB4487" w:rsidRDefault="009C2E6D" w:rsidP="00C24E45">
            <w:pPr>
              <w:rPr>
                <w:sz w:val="22"/>
                <w:szCs w:val="22"/>
              </w:rPr>
            </w:pPr>
          </w:p>
        </w:tc>
      </w:tr>
    </w:tbl>
    <w:p w:rsidR="00A92A51" w:rsidRPr="00045AFC" w:rsidRDefault="00A92A51">
      <w:pPr>
        <w:rPr>
          <w:strike/>
          <w:color w:val="FF0000"/>
        </w:rPr>
      </w:pPr>
    </w:p>
    <w:p w:rsidR="005E3062" w:rsidRPr="003F655B" w:rsidRDefault="005E3062" w:rsidP="005E3062">
      <w:pPr>
        <w:rPr>
          <w:b/>
          <w:color w:val="000000"/>
          <w:u w:val="single"/>
        </w:rPr>
      </w:pPr>
      <w:r w:rsidRPr="003F655B">
        <w:rPr>
          <w:b/>
          <w:color w:val="000000"/>
          <w:u w:val="single"/>
        </w:rPr>
        <w:br w:type="page"/>
        <w:t>Activity 2012-3:  Project Based Voucher Discretionary Moves</w:t>
      </w:r>
    </w:p>
    <w:p w:rsidR="005E3062" w:rsidRPr="003F655B" w:rsidRDefault="005E3062" w:rsidP="005E3062">
      <w:pPr>
        <w:rPr>
          <w:b/>
          <w:color w:val="000000"/>
          <w:u w:val="single"/>
        </w:rPr>
      </w:pPr>
    </w:p>
    <w:p w:rsidR="005E3062" w:rsidRPr="008C3F98" w:rsidRDefault="005E3062" w:rsidP="009C2E6D">
      <w:pPr>
        <w:jc w:val="both"/>
      </w:pPr>
      <w:r w:rsidRPr="008C3F98">
        <w:rPr>
          <w:b/>
          <w:color w:val="000000"/>
        </w:rPr>
        <w:t>Description/Update of MTW Activity</w:t>
      </w:r>
      <w:r w:rsidRPr="008C3F98">
        <w:rPr>
          <w:color w:val="000000"/>
        </w:rPr>
        <w:t xml:space="preserve">: </w:t>
      </w:r>
      <w:r w:rsidRPr="008C3F98">
        <w:t xml:space="preserve">Beginning in FY 2012, DHCD modified its Project Based Voucher (PBV) program guidelines to establish reasonable limits on discretionary moves.  DHCD believes that this policy will promote efficiency in the operation of the PBV program, while also ensuring that tenant-based vouchers continue to be available to eligible households on the waiting list.  Except as noted below, PBV participant households in good standing are able to terminate the assisted lease and receive priority for an available tenant-based voucher only after the second year of occupancy.  In addition, for each RAA, DHCD established an annual target number of vouchers available to PBV households who have requested a tenant-based voucher. The annual target number is equal to the total number of turnover vouchers from the prior year for each RAA multiplied by the percentage of PBV units managed by the RAA.  If demand exceeds supply over the course of the year, those additional PBV participants who wish to move will remain at the top of the waiting list until the following year.    </w:t>
      </w:r>
    </w:p>
    <w:p w:rsidR="005E3062" w:rsidRPr="008C3F98" w:rsidRDefault="005E3062" w:rsidP="009C2E6D">
      <w:pPr>
        <w:jc w:val="both"/>
      </w:pPr>
    </w:p>
    <w:p w:rsidR="005E3062" w:rsidRPr="008C3F98" w:rsidRDefault="005E3062" w:rsidP="009C2E6D">
      <w:pPr>
        <w:jc w:val="both"/>
      </w:pPr>
      <w:r w:rsidRPr="008C3F98">
        <w:t xml:space="preserve">The </w:t>
      </w:r>
      <w:r w:rsidR="008C0380" w:rsidRPr="008C3F98">
        <w:t xml:space="preserve">PBV </w:t>
      </w:r>
      <w:r w:rsidRPr="008C3F98">
        <w:t xml:space="preserve">guidelines do </w:t>
      </w:r>
      <w:r w:rsidRPr="008C3F98">
        <w:rPr>
          <w:u w:val="single"/>
        </w:rPr>
        <w:t>not</w:t>
      </w:r>
      <w:r w:rsidRPr="008C3F98">
        <w:t xml:space="preserve"> apply to PBV households who meet one or more of the following criteria:  </w:t>
      </w:r>
    </w:p>
    <w:p w:rsidR="005E3062" w:rsidRPr="008C3F98" w:rsidRDefault="005E3062" w:rsidP="009C2E6D">
      <w:pPr>
        <w:jc w:val="both"/>
      </w:pPr>
    </w:p>
    <w:p w:rsidR="005E3062" w:rsidRPr="008C3F98" w:rsidRDefault="005E3062" w:rsidP="009C2E6D">
      <w:pPr>
        <w:numPr>
          <w:ilvl w:val="0"/>
          <w:numId w:val="7"/>
        </w:numPr>
        <w:jc w:val="both"/>
      </w:pPr>
      <w:r w:rsidRPr="008C3F98">
        <w:t>Households which are over or under-housed;</w:t>
      </w:r>
    </w:p>
    <w:p w:rsidR="005E3062" w:rsidRPr="008C3F98" w:rsidRDefault="005E3062" w:rsidP="009C2E6D">
      <w:pPr>
        <w:numPr>
          <w:ilvl w:val="0"/>
          <w:numId w:val="7"/>
        </w:numPr>
        <w:jc w:val="both"/>
      </w:pPr>
      <w:r w:rsidRPr="008C3F98">
        <w:t>Households which are victims of domestic violence pursuant to the VAWA policy;</w:t>
      </w:r>
    </w:p>
    <w:p w:rsidR="005E3062" w:rsidRPr="008C3F98" w:rsidRDefault="005E3062" w:rsidP="009C2E6D">
      <w:pPr>
        <w:numPr>
          <w:ilvl w:val="0"/>
          <w:numId w:val="7"/>
        </w:numPr>
        <w:jc w:val="both"/>
      </w:pPr>
      <w:r w:rsidRPr="008C3F98">
        <w:t xml:space="preserve">Households which require </w:t>
      </w:r>
      <w:r w:rsidR="00443CF8">
        <w:t xml:space="preserve">a </w:t>
      </w:r>
      <w:r w:rsidRPr="008C3F98">
        <w:t>tenant-based voucher to address an approved reasonable accommodation request;</w:t>
      </w:r>
    </w:p>
    <w:p w:rsidR="005E3062" w:rsidRPr="008C3F98" w:rsidRDefault="005E3062" w:rsidP="009C2E6D">
      <w:pPr>
        <w:numPr>
          <w:ilvl w:val="0"/>
          <w:numId w:val="7"/>
        </w:numPr>
        <w:jc w:val="both"/>
      </w:pPr>
      <w:r w:rsidRPr="008C3F98">
        <w:t xml:space="preserve">Non-disabled households that occupy an accessible unit and that have been requested to move to allow a disabled household to move into the accessible unit; </w:t>
      </w:r>
    </w:p>
    <w:p w:rsidR="005E3062" w:rsidRPr="008C3F98" w:rsidRDefault="005E3062" w:rsidP="009C2E6D">
      <w:pPr>
        <w:numPr>
          <w:ilvl w:val="0"/>
          <w:numId w:val="7"/>
        </w:numPr>
        <w:jc w:val="both"/>
      </w:pPr>
      <w:r w:rsidRPr="008C3F98">
        <w:t>Households that can document the need to move in order to obtain or maintain employment; and</w:t>
      </w:r>
    </w:p>
    <w:p w:rsidR="005E3062" w:rsidRPr="008C3F98" w:rsidRDefault="005E3062" w:rsidP="009C2E6D">
      <w:pPr>
        <w:numPr>
          <w:ilvl w:val="0"/>
          <w:numId w:val="7"/>
        </w:numPr>
        <w:jc w:val="both"/>
      </w:pPr>
      <w:r w:rsidRPr="008C3F98">
        <w:t>Households that can document that a household member has been accepted i</w:t>
      </w:r>
      <w:r w:rsidR="00443CF8">
        <w:t xml:space="preserve">nto an institution of higher education </w:t>
      </w:r>
      <w:r w:rsidRPr="008C3F98">
        <w:t xml:space="preserve">and can document the need to move in order to attend the institution. </w:t>
      </w:r>
    </w:p>
    <w:p w:rsidR="005E3062" w:rsidRPr="008C3F98" w:rsidRDefault="005E3062" w:rsidP="009C2E6D">
      <w:pPr>
        <w:jc w:val="both"/>
      </w:pPr>
    </w:p>
    <w:p w:rsidR="005E3062" w:rsidRPr="008C3F98" w:rsidRDefault="005E3062" w:rsidP="009C2E6D">
      <w:pPr>
        <w:jc w:val="both"/>
      </w:pPr>
      <w:r w:rsidRPr="008C3F98">
        <w:t>PBV households who meet one or more of these criteria will continue to receive a priority for an available tenant-based voucher and these vouchers will not be counted towards the annual target limit.</w:t>
      </w:r>
    </w:p>
    <w:p w:rsidR="005E3062" w:rsidRPr="008C3F98" w:rsidRDefault="005E3062" w:rsidP="009C2E6D">
      <w:pPr>
        <w:jc w:val="both"/>
      </w:pPr>
    </w:p>
    <w:p w:rsidR="008C3F98" w:rsidRPr="008C3F98" w:rsidRDefault="005E3062" w:rsidP="009C2E6D">
      <w:pPr>
        <w:jc w:val="both"/>
      </w:pPr>
      <w:r w:rsidRPr="008C3F98">
        <w:t>In FY 2014</w:t>
      </w:r>
      <w:r w:rsidR="00F85A23" w:rsidRPr="008C3F98">
        <w:t>,</w:t>
      </w:r>
      <w:r w:rsidR="00A9405B" w:rsidRPr="008C3F98">
        <w:t xml:space="preserve"> </w:t>
      </w:r>
      <w:r w:rsidRPr="008C3F98">
        <w:rPr>
          <w:color w:val="000000"/>
        </w:rPr>
        <w:t xml:space="preserve">DHCD clarified </w:t>
      </w:r>
      <w:r w:rsidRPr="008C3F98">
        <w:t xml:space="preserve">that families living in Expiring Use Preservation Initiative projects on the conversion date who select a PBV, as well as families living in units converted </w:t>
      </w:r>
      <w:r w:rsidR="00A9405B" w:rsidRPr="008C3F98">
        <w:t xml:space="preserve">to PBV through the RAD program, </w:t>
      </w:r>
      <w:r w:rsidRPr="008C3F98">
        <w:t>will be permitted to request a discretionary move after the</w:t>
      </w:r>
      <w:r w:rsidRPr="00443CF8">
        <w:t xml:space="preserve"> </w:t>
      </w:r>
      <w:r w:rsidRPr="008C3F98">
        <w:rPr>
          <w:u w:val="single"/>
        </w:rPr>
        <w:t>first</w:t>
      </w:r>
      <w:r w:rsidRPr="008C3F98">
        <w:t xml:space="preserve"> year of assisted tenancy following conversion.</w:t>
      </w:r>
      <w:r w:rsidR="00F95397" w:rsidRPr="008C3F98">
        <w:t xml:space="preserve"> Additionally, families converting TBVs to PBVs through the RAD program may request discretionary moves prior to the end of the first year of assisted tenancy following conversion.</w:t>
      </w:r>
      <w:r w:rsidR="0013193E" w:rsidRPr="008C3F98">
        <w:t xml:space="preserve"> </w:t>
      </w:r>
    </w:p>
    <w:p w:rsidR="008C3F98" w:rsidRDefault="008C3F98" w:rsidP="009C2E6D">
      <w:pPr>
        <w:jc w:val="both"/>
        <w:rPr>
          <w:highlight w:val="yellow"/>
        </w:rPr>
      </w:pPr>
    </w:p>
    <w:p w:rsidR="005E3062" w:rsidRDefault="00394C02" w:rsidP="009C2E6D">
      <w:pPr>
        <w:jc w:val="both"/>
      </w:pPr>
      <w:r w:rsidRPr="00E73F21">
        <w:t>DHCD anticipates</w:t>
      </w:r>
      <w:r w:rsidR="005E3062" w:rsidRPr="00E73F21">
        <w:t xml:space="preserve"> </w:t>
      </w:r>
      <w:r w:rsidR="00E73F21">
        <w:t>that the number of PB Opt-Outs will increase in FY 2017 as the RAAs work to increase lease-up</w:t>
      </w:r>
      <w:r w:rsidR="000774FF">
        <w:t xml:space="preserve">. </w:t>
      </w:r>
    </w:p>
    <w:p w:rsidR="005E3062" w:rsidRPr="003F655B" w:rsidRDefault="005E3062" w:rsidP="005E3062">
      <w:pPr>
        <w:rPr>
          <w:color w:val="000000"/>
        </w:rPr>
      </w:pPr>
    </w:p>
    <w:p w:rsidR="005E3062" w:rsidRPr="003F655B" w:rsidRDefault="005E3062" w:rsidP="005E3062">
      <w:pPr>
        <w:rPr>
          <w:color w:val="000000"/>
        </w:rPr>
      </w:pPr>
      <w:r w:rsidRPr="008C0380">
        <w:rPr>
          <w:b/>
          <w:color w:val="000000"/>
        </w:rPr>
        <w:t xml:space="preserve">Proposed Changes: </w:t>
      </w:r>
      <w:r w:rsidRPr="008C0380">
        <w:rPr>
          <w:color w:val="000000"/>
        </w:rPr>
        <w:t>No changes are proposed</w:t>
      </w:r>
    </w:p>
    <w:p w:rsidR="005E3062" w:rsidRPr="003F655B" w:rsidRDefault="005E3062" w:rsidP="005E3062">
      <w:pPr>
        <w:rPr>
          <w:b/>
          <w:color w:val="000000"/>
        </w:rPr>
      </w:pPr>
    </w:p>
    <w:p w:rsidR="005E3062" w:rsidRPr="003F655B" w:rsidRDefault="005E3062" w:rsidP="00925298">
      <w:pPr>
        <w:jc w:val="both"/>
        <w:rPr>
          <w:color w:val="000000"/>
        </w:rPr>
      </w:pPr>
      <w:r w:rsidRPr="003F655B">
        <w:rPr>
          <w:b/>
          <w:color w:val="000000"/>
        </w:rPr>
        <w:t>Approval and Implementation:</w:t>
      </w:r>
      <w:r w:rsidRPr="003F655B">
        <w:rPr>
          <w:color w:val="000000"/>
        </w:rPr>
        <w:t xml:space="preserve"> 2012 – Implementation activities began in FY 2012.</w:t>
      </w:r>
      <w:r w:rsidR="00CA2CB8">
        <w:rPr>
          <w:color w:val="000000"/>
        </w:rPr>
        <w:br w:type="page"/>
      </w:r>
    </w:p>
    <w:p w:rsidR="000E1363" w:rsidRDefault="000E1363" w:rsidP="00925298">
      <w:pPr>
        <w:jc w:val="both"/>
        <w:rPr>
          <w:b/>
          <w:color w:val="000000"/>
        </w:rPr>
      </w:pPr>
      <w:r>
        <w:rPr>
          <w:b/>
        </w:rPr>
        <w:t xml:space="preserve">Changes to Baseline, Benchmarks &amp; Metrics: </w:t>
      </w:r>
      <w:r>
        <w:t>The benchmarks have been updated to reflect FY 2017 projections for this activity. DHCD will report on outcomes in the MTW Annual Report</w:t>
      </w:r>
      <w:r w:rsidR="00443CF8">
        <w:t>.</w:t>
      </w:r>
    </w:p>
    <w:p w:rsidR="000E1363" w:rsidRDefault="000E1363" w:rsidP="00BA1074">
      <w:pPr>
        <w:rPr>
          <w:b/>
          <w:color w:val="000000"/>
        </w:rPr>
      </w:pPr>
    </w:p>
    <w:p w:rsidR="00BA1074" w:rsidRDefault="00B2501A" w:rsidP="00BA1074">
      <w:pPr>
        <w:rPr>
          <w:color w:val="000000"/>
        </w:rPr>
      </w:pPr>
      <w:r>
        <w:rPr>
          <w:b/>
          <w:color w:val="000000"/>
        </w:rPr>
        <w:t>Metrics</w:t>
      </w:r>
      <w:r w:rsidR="005E3062" w:rsidRPr="00FB4487">
        <w:rPr>
          <w:color w:val="000000"/>
        </w:rPr>
        <w:t xml:space="preserve">:  </w:t>
      </w:r>
    </w:p>
    <w:p w:rsidR="005E3062" w:rsidRPr="003F655B" w:rsidRDefault="005E3062" w:rsidP="005E306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898"/>
        <w:gridCol w:w="1898"/>
        <w:gridCol w:w="1827"/>
        <w:gridCol w:w="1853"/>
      </w:tblGrid>
      <w:tr w:rsidR="005E3062" w:rsidRPr="00FB3E7C" w:rsidTr="00443CF8">
        <w:trPr>
          <w:trHeight w:val="269"/>
        </w:trPr>
        <w:tc>
          <w:tcPr>
            <w:tcW w:w="9576" w:type="dxa"/>
            <w:gridSpan w:val="5"/>
            <w:shd w:val="clear" w:color="auto" w:fill="C6D9F1" w:themeFill="text2" w:themeFillTint="33"/>
            <w:hideMark/>
          </w:tcPr>
          <w:p w:rsidR="005E3062" w:rsidRPr="00FB3E7C" w:rsidRDefault="005E3062" w:rsidP="004172B2">
            <w:pPr>
              <w:jc w:val="center"/>
              <w:rPr>
                <w:rFonts w:eastAsia="Calibri"/>
                <w:b/>
                <w:bCs/>
                <w:i/>
                <w:iCs/>
                <w:sz w:val="22"/>
                <w:szCs w:val="22"/>
              </w:rPr>
            </w:pPr>
            <w:r w:rsidRPr="00FB3E7C">
              <w:rPr>
                <w:rFonts w:eastAsia="Calibri"/>
                <w:b/>
                <w:bCs/>
                <w:i/>
                <w:iCs/>
                <w:sz w:val="22"/>
                <w:szCs w:val="22"/>
              </w:rPr>
              <w:t>CE #1: Agency Cost Savings</w:t>
            </w:r>
            <w:r w:rsidR="00D83311" w:rsidRPr="00FB3E7C">
              <w:rPr>
                <w:rFonts w:eastAsia="Calibri"/>
                <w:b/>
                <w:bCs/>
                <w:i/>
                <w:iCs/>
                <w:sz w:val="22"/>
                <w:szCs w:val="22"/>
              </w:rPr>
              <w:t>*</w:t>
            </w:r>
          </w:p>
        </w:tc>
      </w:tr>
      <w:tr w:rsidR="005E3062" w:rsidRPr="00FB3E7C" w:rsidTr="00443CF8">
        <w:trPr>
          <w:trHeight w:val="615"/>
        </w:trPr>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Unit of Measurement</w:t>
            </w:r>
          </w:p>
        </w:tc>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Baseline</w:t>
            </w:r>
          </w:p>
        </w:tc>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Benchmark</w:t>
            </w:r>
          </w:p>
        </w:tc>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Outcome</w:t>
            </w:r>
          </w:p>
        </w:tc>
        <w:tc>
          <w:tcPr>
            <w:tcW w:w="1916"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Benchmark Achieved?</w:t>
            </w:r>
          </w:p>
        </w:tc>
      </w:tr>
      <w:tr w:rsidR="005E3062" w:rsidRPr="00FB3E7C" w:rsidTr="00D83311">
        <w:trPr>
          <w:trHeight w:val="584"/>
        </w:trPr>
        <w:tc>
          <w:tcPr>
            <w:tcW w:w="1915" w:type="dxa"/>
            <w:shd w:val="clear" w:color="auto" w:fill="auto"/>
            <w:hideMark/>
          </w:tcPr>
          <w:p w:rsidR="005E3062" w:rsidRPr="00FB3E7C" w:rsidRDefault="005E3062" w:rsidP="009472B1">
            <w:pPr>
              <w:rPr>
                <w:rFonts w:eastAsia="Calibri"/>
                <w:sz w:val="22"/>
                <w:szCs w:val="22"/>
              </w:rPr>
            </w:pPr>
            <w:r w:rsidRPr="00FB3E7C">
              <w:rPr>
                <w:rFonts w:eastAsia="Calibri"/>
                <w:sz w:val="22"/>
                <w:szCs w:val="22"/>
              </w:rPr>
              <w:t>Total cost of task in dollars (decrease).</w:t>
            </w:r>
          </w:p>
        </w:tc>
        <w:tc>
          <w:tcPr>
            <w:tcW w:w="1915" w:type="dxa"/>
            <w:shd w:val="clear" w:color="auto" w:fill="auto"/>
          </w:tcPr>
          <w:p w:rsidR="00D83311" w:rsidRPr="00E73F21" w:rsidRDefault="00D83311" w:rsidP="00D83311">
            <w:pPr>
              <w:rPr>
                <w:rFonts w:eastAsia="Calibri"/>
                <w:sz w:val="22"/>
                <w:szCs w:val="22"/>
              </w:rPr>
            </w:pPr>
            <w:r w:rsidRPr="00E73F21">
              <w:rPr>
                <w:rFonts w:eastAsia="Calibri"/>
                <w:b/>
                <w:sz w:val="22"/>
                <w:szCs w:val="22"/>
              </w:rPr>
              <w:t>Number of TBV issued</w:t>
            </w:r>
            <w:r w:rsidRPr="00E73F21">
              <w:rPr>
                <w:rFonts w:eastAsia="Calibri"/>
                <w:sz w:val="22"/>
                <w:szCs w:val="22"/>
              </w:rPr>
              <w:t>: 33</w:t>
            </w: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r w:rsidRPr="00E73F21">
              <w:rPr>
                <w:rFonts w:eastAsia="Calibri"/>
                <w:b/>
                <w:sz w:val="22"/>
                <w:szCs w:val="22"/>
              </w:rPr>
              <w:t>Staff time per transfer</w:t>
            </w:r>
            <w:r w:rsidRPr="00E73F21">
              <w:rPr>
                <w:rFonts w:eastAsia="Calibri"/>
                <w:sz w:val="22"/>
                <w:szCs w:val="22"/>
              </w:rPr>
              <w:t>: 3 hours</w:t>
            </w: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r w:rsidRPr="00E73F21">
              <w:rPr>
                <w:rFonts w:eastAsia="Calibri"/>
                <w:b/>
                <w:sz w:val="22"/>
                <w:szCs w:val="22"/>
              </w:rPr>
              <w:t>Staff cost per hour</w:t>
            </w:r>
            <w:r w:rsidRPr="00E73F21">
              <w:rPr>
                <w:rFonts w:eastAsia="Calibri"/>
                <w:sz w:val="22"/>
                <w:szCs w:val="22"/>
              </w:rPr>
              <w:t>: $18.17</w:t>
            </w: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r w:rsidRPr="00E73F21">
              <w:rPr>
                <w:rFonts w:eastAsia="Calibri"/>
                <w:b/>
                <w:sz w:val="22"/>
                <w:szCs w:val="22"/>
              </w:rPr>
              <w:t>Total cost before implementation</w:t>
            </w:r>
            <w:r w:rsidRPr="00E73F21">
              <w:rPr>
                <w:rFonts w:eastAsia="Calibri"/>
                <w:sz w:val="22"/>
                <w:szCs w:val="22"/>
              </w:rPr>
              <w:t>:</w:t>
            </w:r>
          </w:p>
          <w:p w:rsidR="009342C8" w:rsidRPr="00E73F21" w:rsidRDefault="009342C8" w:rsidP="00D83311">
            <w:pPr>
              <w:rPr>
                <w:rFonts w:eastAsia="Calibri"/>
                <w:sz w:val="22"/>
                <w:szCs w:val="22"/>
              </w:rPr>
            </w:pPr>
            <w:r w:rsidRPr="00E73F21">
              <w:rPr>
                <w:rFonts w:eastAsia="Calibri"/>
                <w:sz w:val="22"/>
                <w:szCs w:val="22"/>
              </w:rPr>
              <w:t>$1,799</w:t>
            </w:r>
          </w:p>
        </w:tc>
        <w:tc>
          <w:tcPr>
            <w:tcW w:w="1915" w:type="dxa"/>
            <w:shd w:val="clear" w:color="auto" w:fill="auto"/>
            <w:vAlign w:val="center"/>
          </w:tcPr>
          <w:p w:rsidR="00D06098" w:rsidRPr="00E73F21" w:rsidRDefault="00C16718" w:rsidP="00C16718">
            <w:pPr>
              <w:rPr>
                <w:rFonts w:eastAsia="Calibri"/>
                <w:sz w:val="22"/>
                <w:szCs w:val="22"/>
              </w:rPr>
            </w:pPr>
            <w:r w:rsidRPr="00E73F21">
              <w:rPr>
                <w:rFonts w:eastAsia="Calibri"/>
                <w:b/>
                <w:sz w:val="22"/>
                <w:szCs w:val="22"/>
              </w:rPr>
              <w:t>Anticipated number of TBV issued in FY 201</w:t>
            </w:r>
            <w:r w:rsidR="00A9405B" w:rsidRPr="00E73F21">
              <w:rPr>
                <w:rFonts w:eastAsia="Calibri"/>
                <w:b/>
                <w:sz w:val="22"/>
                <w:szCs w:val="22"/>
              </w:rPr>
              <w:t>7</w:t>
            </w:r>
            <w:r w:rsidR="00E73F21" w:rsidRPr="00E73F21">
              <w:rPr>
                <w:rFonts w:eastAsia="Calibri"/>
                <w:sz w:val="22"/>
                <w:szCs w:val="22"/>
              </w:rPr>
              <w:t>: 90</w:t>
            </w: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r w:rsidRPr="00E73F21">
              <w:rPr>
                <w:rFonts w:eastAsia="Calibri"/>
                <w:b/>
                <w:sz w:val="22"/>
                <w:szCs w:val="22"/>
              </w:rPr>
              <w:t>Staff time per transfer</w:t>
            </w:r>
            <w:r w:rsidRPr="00E73F21">
              <w:rPr>
                <w:rFonts w:eastAsia="Calibri"/>
                <w:sz w:val="22"/>
                <w:szCs w:val="22"/>
              </w:rPr>
              <w:t>: 3 hours</w:t>
            </w: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r w:rsidRPr="00E73F21">
              <w:rPr>
                <w:rFonts w:eastAsia="Calibri"/>
                <w:b/>
                <w:sz w:val="22"/>
                <w:szCs w:val="22"/>
              </w:rPr>
              <w:t>Staff cost per hour</w:t>
            </w:r>
            <w:r w:rsidRPr="00E73F21">
              <w:rPr>
                <w:rFonts w:eastAsia="Calibri"/>
                <w:sz w:val="22"/>
                <w:szCs w:val="22"/>
              </w:rPr>
              <w:t>: $18.17</w:t>
            </w: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r w:rsidRPr="00E73F21">
              <w:rPr>
                <w:rFonts w:eastAsia="Calibri"/>
                <w:b/>
                <w:sz w:val="22"/>
                <w:szCs w:val="22"/>
              </w:rPr>
              <w:t>Total cost after implementation</w:t>
            </w:r>
            <w:r w:rsidRPr="00E73F21">
              <w:rPr>
                <w:rFonts w:eastAsia="Calibri"/>
                <w:sz w:val="22"/>
                <w:szCs w:val="22"/>
              </w:rPr>
              <w:t xml:space="preserve">: </w:t>
            </w:r>
          </w:p>
          <w:p w:rsidR="009342C8" w:rsidRPr="00E73F21" w:rsidRDefault="009342C8" w:rsidP="00C16718">
            <w:pPr>
              <w:rPr>
                <w:rFonts w:eastAsia="Calibri"/>
                <w:sz w:val="22"/>
                <w:szCs w:val="22"/>
              </w:rPr>
            </w:pPr>
            <w:r w:rsidRPr="00E73F21">
              <w:rPr>
                <w:rFonts w:eastAsia="Calibri"/>
                <w:sz w:val="22"/>
                <w:szCs w:val="22"/>
              </w:rPr>
              <w:t>$</w:t>
            </w:r>
            <w:r w:rsidR="00E73F21" w:rsidRPr="00E73F21">
              <w:rPr>
                <w:rFonts w:eastAsia="Calibri"/>
                <w:sz w:val="22"/>
                <w:szCs w:val="22"/>
              </w:rPr>
              <w:t>4,906</w:t>
            </w:r>
          </w:p>
        </w:tc>
        <w:tc>
          <w:tcPr>
            <w:tcW w:w="1915" w:type="dxa"/>
            <w:shd w:val="clear" w:color="auto" w:fill="auto"/>
          </w:tcPr>
          <w:p w:rsidR="005E3062" w:rsidRPr="00FB3E7C" w:rsidRDefault="005E3062" w:rsidP="009472B1">
            <w:pPr>
              <w:jc w:val="center"/>
              <w:rPr>
                <w:rFonts w:eastAsia="Calibri"/>
                <w:sz w:val="22"/>
                <w:szCs w:val="22"/>
              </w:rPr>
            </w:pPr>
          </w:p>
        </w:tc>
        <w:tc>
          <w:tcPr>
            <w:tcW w:w="1916" w:type="dxa"/>
            <w:shd w:val="clear" w:color="auto" w:fill="auto"/>
          </w:tcPr>
          <w:p w:rsidR="005E3062" w:rsidRPr="00FB3E7C" w:rsidRDefault="005E3062" w:rsidP="009472B1">
            <w:pPr>
              <w:jc w:val="center"/>
              <w:rPr>
                <w:rFonts w:eastAsia="Calibri"/>
                <w:sz w:val="22"/>
                <w:szCs w:val="22"/>
              </w:rPr>
            </w:pPr>
          </w:p>
        </w:tc>
      </w:tr>
      <w:tr w:rsidR="005E3062" w:rsidRPr="00FB3E7C" w:rsidTr="00443CF8">
        <w:trPr>
          <w:trHeight w:val="224"/>
        </w:trPr>
        <w:tc>
          <w:tcPr>
            <w:tcW w:w="9576" w:type="dxa"/>
            <w:gridSpan w:val="5"/>
            <w:shd w:val="clear" w:color="auto" w:fill="C6D9F1" w:themeFill="text2" w:themeFillTint="33"/>
            <w:hideMark/>
          </w:tcPr>
          <w:p w:rsidR="005E3062" w:rsidRPr="00E73F21" w:rsidRDefault="005E3062" w:rsidP="004172B2">
            <w:pPr>
              <w:jc w:val="center"/>
              <w:rPr>
                <w:rFonts w:eastAsia="Calibri"/>
                <w:b/>
                <w:bCs/>
                <w:i/>
                <w:iCs/>
                <w:sz w:val="22"/>
                <w:szCs w:val="22"/>
              </w:rPr>
            </w:pPr>
            <w:r w:rsidRPr="00E73F21">
              <w:rPr>
                <w:rFonts w:eastAsia="Calibri"/>
                <w:b/>
                <w:bCs/>
                <w:i/>
                <w:iCs/>
                <w:sz w:val="22"/>
                <w:szCs w:val="22"/>
              </w:rPr>
              <w:t>CE #2: Staff Time Savings</w:t>
            </w:r>
            <w:r w:rsidR="00D83311" w:rsidRPr="00E73F21">
              <w:rPr>
                <w:rFonts w:eastAsia="Calibri"/>
                <w:b/>
                <w:bCs/>
                <w:i/>
                <w:iCs/>
                <w:sz w:val="22"/>
                <w:szCs w:val="22"/>
              </w:rPr>
              <w:t>*</w:t>
            </w:r>
          </w:p>
        </w:tc>
      </w:tr>
      <w:tr w:rsidR="005E3062" w:rsidRPr="00FB3E7C" w:rsidTr="00443CF8">
        <w:trPr>
          <w:trHeight w:val="615"/>
        </w:trPr>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Unit of Measurement</w:t>
            </w:r>
          </w:p>
        </w:tc>
        <w:tc>
          <w:tcPr>
            <w:tcW w:w="1915" w:type="dxa"/>
            <w:shd w:val="clear" w:color="auto" w:fill="D9D9D9" w:themeFill="background1" w:themeFillShade="D9"/>
            <w:vAlign w:val="center"/>
            <w:hideMark/>
          </w:tcPr>
          <w:p w:rsidR="005E3062" w:rsidRPr="00E73F21" w:rsidRDefault="005E3062" w:rsidP="009472B1">
            <w:pPr>
              <w:jc w:val="center"/>
              <w:rPr>
                <w:rFonts w:eastAsia="Calibri"/>
                <w:b/>
                <w:bCs/>
                <w:sz w:val="22"/>
                <w:szCs w:val="22"/>
              </w:rPr>
            </w:pPr>
            <w:r w:rsidRPr="00E73F21">
              <w:rPr>
                <w:rFonts w:eastAsia="Calibri"/>
                <w:b/>
                <w:bCs/>
                <w:sz w:val="22"/>
                <w:szCs w:val="22"/>
              </w:rPr>
              <w:t>Baseline</w:t>
            </w:r>
          </w:p>
        </w:tc>
        <w:tc>
          <w:tcPr>
            <w:tcW w:w="1915" w:type="dxa"/>
            <w:shd w:val="clear" w:color="auto" w:fill="D9D9D9" w:themeFill="background1" w:themeFillShade="D9"/>
            <w:vAlign w:val="center"/>
            <w:hideMark/>
          </w:tcPr>
          <w:p w:rsidR="005E3062" w:rsidRPr="00E73F21" w:rsidRDefault="005E3062" w:rsidP="009472B1">
            <w:pPr>
              <w:jc w:val="center"/>
              <w:rPr>
                <w:rFonts w:eastAsia="Calibri"/>
                <w:b/>
                <w:bCs/>
                <w:sz w:val="22"/>
                <w:szCs w:val="22"/>
              </w:rPr>
            </w:pPr>
            <w:r w:rsidRPr="00E73F21">
              <w:rPr>
                <w:rFonts w:eastAsia="Calibri"/>
                <w:b/>
                <w:bCs/>
                <w:sz w:val="22"/>
                <w:szCs w:val="22"/>
              </w:rPr>
              <w:t>Benchmark</w:t>
            </w:r>
          </w:p>
        </w:tc>
        <w:tc>
          <w:tcPr>
            <w:tcW w:w="1915"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Outcome</w:t>
            </w:r>
          </w:p>
        </w:tc>
        <w:tc>
          <w:tcPr>
            <w:tcW w:w="1916" w:type="dxa"/>
            <w:shd w:val="clear" w:color="auto" w:fill="D9D9D9" w:themeFill="background1" w:themeFillShade="D9"/>
            <w:vAlign w:val="center"/>
            <w:hideMark/>
          </w:tcPr>
          <w:p w:rsidR="005E3062" w:rsidRPr="00FB3E7C" w:rsidRDefault="005E3062" w:rsidP="009472B1">
            <w:pPr>
              <w:jc w:val="center"/>
              <w:rPr>
                <w:rFonts w:eastAsia="Calibri"/>
                <w:b/>
                <w:bCs/>
                <w:sz w:val="22"/>
                <w:szCs w:val="22"/>
              </w:rPr>
            </w:pPr>
            <w:r w:rsidRPr="00FB3E7C">
              <w:rPr>
                <w:rFonts w:eastAsia="Calibri"/>
                <w:b/>
                <w:bCs/>
                <w:sz w:val="22"/>
                <w:szCs w:val="22"/>
              </w:rPr>
              <w:t>Benchmark Achieved?</w:t>
            </w:r>
          </w:p>
        </w:tc>
      </w:tr>
      <w:tr w:rsidR="005E3062" w:rsidRPr="00FB3E7C" w:rsidTr="00D83311">
        <w:trPr>
          <w:trHeight w:val="809"/>
        </w:trPr>
        <w:tc>
          <w:tcPr>
            <w:tcW w:w="1915" w:type="dxa"/>
            <w:shd w:val="clear" w:color="auto" w:fill="auto"/>
            <w:hideMark/>
          </w:tcPr>
          <w:p w:rsidR="005E3062" w:rsidRPr="00FB3E7C" w:rsidRDefault="005E3062" w:rsidP="009472B1">
            <w:pPr>
              <w:rPr>
                <w:rFonts w:eastAsia="Calibri"/>
                <w:sz w:val="22"/>
                <w:szCs w:val="22"/>
              </w:rPr>
            </w:pPr>
            <w:r w:rsidRPr="00FB3E7C">
              <w:rPr>
                <w:rFonts w:eastAsia="Calibri"/>
                <w:sz w:val="22"/>
                <w:szCs w:val="22"/>
              </w:rPr>
              <w:t>Total time to complete the task in staff hours (decrease).</w:t>
            </w:r>
          </w:p>
        </w:tc>
        <w:tc>
          <w:tcPr>
            <w:tcW w:w="1915" w:type="dxa"/>
            <w:shd w:val="clear" w:color="auto" w:fill="auto"/>
          </w:tcPr>
          <w:p w:rsidR="00D83311" w:rsidRPr="00E73F21" w:rsidRDefault="00D83311" w:rsidP="00D83311">
            <w:pPr>
              <w:rPr>
                <w:rFonts w:eastAsia="Calibri"/>
                <w:sz w:val="22"/>
                <w:szCs w:val="22"/>
              </w:rPr>
            </w:pPr>
            <w:r w:rsidRPr="00E73F21">
              <w:rPr>
                <w:rFonts w:eastAsia="Calibri"/>
                <w:b/>
                <w:sz w:val="22"/>
                <w:szCs w:val="22"/>
              </w:rPr>
              <w:t>Number of TBV issued</w:t>
            </w:r>
            <w:r w:rsidRPr="00E73F21">
              <w:rPr>
                <w:rFonts w:eastAsia="Calibri"/>
                <w:sz w:val="22"/>
                <w:szCs w:val="22"/>
              </w:rPr>
              <w:t>: 33</w:t>
            </w: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r w:rsidRPr="00E73F21">
              <w:rPr>
                <w:rFonts w:eastAsia="Calibri"/>
                <w:b/>
                <w:sz w:val="22"/>
                <w:szCs w:val="22"/>
              </w:rPr>
              <w:t>Staff time per transfer</w:t>
            </w:r>
            <w:r w:rsidRPr="00E73F21">
              <w:rPr>
                <w:rFonts w:eastAsia="Calibri"/>
                <w:sz w:val="22"/>
                <w:szCs w:val="22"/>
              </w:rPr>
              <w:t>: 3 hours</w:t>
            </w: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p>
          <w:p w:rsidR="00D83311" w:rsidRPr="00E73F21" w:rsidRDefault="00D83311" w:rsidP="00D83311">
            <w:pPr>
              <w:rPr>
                <w:rFonts w:eastAsia="Calibri"/>
                <w:sz w:val="22"/>
                <w:szCs w:val="22"/>
              </w:rPr>
            </w:pPr>
            <w:r w:rsidRPr="00E73F21">
              <w:rPr>
                <w:rFonts w:eastAsia="Calibri"/>
                <w:b/>
                <w:sz w:val="22"/>
                <w:szCs w:val="22"/>
              </w:rPr>
              <w:t>Total time spent before implementation</w:t>
            </w:r>
            <w:r w:rsidRPr="00E73F21">
              <w:rPr>
                <w:rFonts w:eastAsia="Calibri"/>
                <w:sz w:val="22"/>
                <w:szCs w:val="22"/>
              </w:rPr>
              <w:t>:</w:t>
            </w:r>
          </w:p>
          <w:p w:rsidR="005E3062" w:rsidRPr="00E73F21" w:rsidRDefault="00D83311" w:rsidP="00D83311">
            <w:pPr>
              <w:rPr>
                <w:rFonts w:eastAsia="Calibri"/>
                <w:sz w:val="22"/>
                <w:szCs w:val="22"/>
              </w:rPr>
            </w:pPr>
            <w:r w:rsidRPr="00E73F21">
              <w:rPr>
                <w:rFonts w:eastAsia="Calibri"/>
                <w:sz w:val="22"/>
                <w:szCs w:val="22"/>
              </w:rPr>
              <w:t>99 hours</w:t>
            </w:r>
          </w:p>
        </w:tc>
        <w:tc>
          <w:tcPr>
            <w:tcW w:w="1915" w:type="dxa"/>
            <w:shd w:val="clear" w:color="auto" w:fill="auto"/>
            <w:vAlign w:val="center"/>
          </w:tcPr>
          <w:p w:rsidR="00C16718" w:rsidRPr="00E73F21" w:rsidRDefault="00C16718" w:rsidP="00C16718">
            <w:pPr>
              <w:rPr>
                <w:rFonts w:eastAsia="Calibri"/>
                <w:sz w:val="22"/>
                <w:szCs w:val="22"/>
              </w:rPr>
            </w:pPr>
            <w:r w:rsidRPr="00E73F21">
              <w:rPr>
                <w:rFonts w:eastAsia="Calibri"/>
                <w:b/>
                <w:sz w:val="22"/>
                <w:szCs w:val="22"/>
              </w:rPr>
              <w:t>Anticipated number of TBV issued in FY 201</w:t>
            </w:r>
            <w:r w:rsidR="00A9405B" w:rsidRPr="00E73F21">
              <w:rPr>
                <w:rFonts w:eastAsia="Calibri"/>
                <w:b/>
                <w:sz w:val="22"/>
                <w:szCs w:val="22"/>
              </w:rPr>
              <w:t>7</w:t>
            </w:r>
            <w:r w:rsidR="00E73F21" w:rsidRPr="00E73F21">
              <w:rPr>
                <w:rFonts w:eastAsia="Calibri"/>
                <w:sz w:val="22"/>
                <w:szCs w:val="22"/>
              </w:rPr>
              <w:t>: 90</w:t>
            </w: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r w:rsidRPr="00E73F21">
              <w:rPr>
                <w:rFonts w:eastAsia="Calibri"/>
                <w:b/>
                <w:sz w:val="22"/>
                <w:szCs w:val="22"/>
              </w:rPr>
              <w:t>Staff time per transfer</w:t>
            </w:r>
            <w:r w:rsidRPr="00E73F21">
              <w:rPr>
                <w:rFonts w:eastAsia="Calibri"/>
                <w:sz w:val="22"/>
                <w:szCs w:val="22"/>
              </w:rPr>
              <w:t>: 3 hours</w:t>
            </w: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p>
          <w:p w:rsidR="00C16718" w:rsidRPr="00E73F21" w:rsidRDefault="00C16718" w:rsidP="00C16718">
            <w:pPr>
              <w:rPr>
                <w:rFonts w:eastAsia="Calibri"/>
                <w:sz w:val="22"/>
                <w:szCs w:val="22"/>
              </w:rPr>
            </w:pPr>
            <w:r w:rsidRPr="00E73F21">
              <w:rPr>
                <w:rFonts w:eastAsia="Calibri"/>
                <w:b/>
                <w:sz w:val="22"/>
                <w:szCs w:val="22"/>
              </w:rPr>
              <w:t>Total time spent after implementation</w:t>
            </w:r>
            <w:r w:rsidR="00E73F21" w:rsidRPr="00E73F21">
              <w:rPr>
                <w:rFonts w:eastAsia="Calibri"/>
                <w:sz w:val="22"/>
                <w:szCs w:val="22"/>
              </w:rPr>
              <w:t>: 270</w:t>
            </w:r>
            <w:r w:rsidRPr="00E73F21">
              <w:rPr>
                <w:rFonts w:eastAsia="Calibri"/>
                <w:sz w:val="22"/>
                <w:szCs w:val="22"/>
              </w:rPr>
              <w:t xml:space="preserve"> hours</w:t>
            </w:r>
          </w:p>
          <w:p w:rsidR="005E3062" w:rsidRPr="00E73F21" w:rsidRDefault="005E3062" w:rsidP="00C16718">
            <w:pPr>
              <w:rPr>
                <w:rFonts w:eastAsia="Calibri"/>
                <w:sz w:val="22"/>
                <w:szCs w:val="22"/>
              </w:rPr>
            </w:pPr>
          </w:p>
        </w:tc>
        <w:tc>
          <w:tcPr>
            <w:tcW w:w="1915" w:type="dxa"/>
            <w:shd w:val="clear" w:color="auto" w:fill="auto"/>
          </w:tcPr>
          <w:p w:rsidR="005E3062" w:rsidRPr="00FB3E7C" w:rsidRDefault="005E3062" w:rsidP="009472B1">
            <w:pPr>
              <w:jc w:val="center"/>
              <w:rPr>
                <w:rFonts w:eastAsia="Calibri"/>
                <w:sz w:val="22"/>
                <w:szCs w:val="22"/>
              </w:rPr>
            </w:pPr>
          </w:p>
        </w:tc>
        <w:tc>
          <w:tcPr>
            <w:tcW w:w="1916" w:type="dxa"/>
            <w:shd w:val="clear" w:color="auto" w:fill="auto"/>
          </w:tcPr>
          <w:p w:rsidR="005E3062" w:rsidRPr="00FB3E7C" w:rsidRDefault="005E3062" w:rsidP="009472B1">
            <w:pPr>
              <w:jc w:val="center"/>
              <w:rPr>
                <w:rFonts w:eastAsia="Calibri"/>
                <w:sz w:val="22"/>
                <w:szCs w:val="22"/>
              </w:rPr>
            </w:pPr>
          </w:p>
        </w:tc>
      </w:tr>
    </w:tbl>
    <w:p w:rsidR="005E3062" w:rsidRPr="00FB3E7C" w:rsidRDefault="005E3062" w:rsidP="005E3062">
      <w:pPr>
        <w:rPr>
          <w:color w:val="000000"/>
        </w:rPr>
      </w:pPr>
    </w:p>
    <w:p w:rsidR="005E3062" w:rsidRPr="00D83311" w:rsidRDefault="00D83311" w:rsidP="005E3062">
      <w:pPr>
        <w:rPr>
          <w:i/>
          <w:color w:val="000000"/>
          <w:sz w:val="20"/>
          <w:szCs w:val="20"/>
        </w:rPr>
      </w:pPr>
      <w:r w:rsidRPr="00FB3E7C">
        <w:rPr>
          <w:i/>
          <w:color w:val="000000"/>
          <w:sz w:val="20"/>
          <w:szCs w:val="20"/>
        </w:rPr>
        <w:t>*The above metrics are required by HUD.  DHCD maintains that the above metrics do not accurately represent the impact of this initiative as the number of TBV issued to PBV tenants fluctuates each year depending on request and number of all HCV’s issued.</w:t>
      </w:r>
      <w:r w:rsidR="005E3062" w:rsidRPr="00D83311">
        <w:rPr>
          <w:i/>
          <w:color w:val="000000"/>
          <w:sz w:val="20"/>
          <w:szCs w:val="20"/>
        </w:rPr>
        <w:br w:type="page"/>
      </w:r>
    </w:p>
    <w:p w:rsidR="005E3062" w:rsidRPr="003F655B" w:rsidRDefault="005E3062" w:rsidP="005E3062">
      <w:pPr>
        <w:rPr>
          <w:b/>
          <w:color w:val="000000"/>
          <w:u w:val="single"/>
        </w:rPr>
      </w:pPr>
      <w:r w:rsidRPr="003F655B">
        <w:rPr>
          <w:b/>
          <w:color w:val="000000"/>
          <w:u w:val="single"/>
        </w:rPr>
        <w:t>Activity 2012-4:   Expiring Use Preservation Initiative</w:t>
      </w:r>
    </w:p>
    <w:p w:rsidR="005E3062" w:rsidRPr="003F655B" w:rsidRDefault="005E3062" w:rsidP="005E3062">
      <w:pPr>
        <w:rPr>
          <w:b/>
          <w:color w:val="000000"/>
          <w:u w:val="single"/>
        </w:rPr>
      </w:pPr>
    </w:p>
    <w:p w:rsidR="005E3062" w:rsidRPr="00C1338A" w:rsidRDefault="005E3062" w:rsidP="008C0380">
      <w:pPr>
        <w:jc w:val="both"/>
        <w:rPr>
          <w:color w:val="000000"/>
        </w:rPr>
      </w:pPr>
      <w:r w:rsidRPr="00C1338A">
        <w:rPr>
          <w:b/>
          <w:color w:val="000000"/>
        </w:rPr>
        <w:t>Description/Update of MTW Activity</w:t>
      </w:r>
      <w:r w:rsidRPr="00C1338A">
        <w:rPr>
          <w:color w:val="000000"/>
        </w:rPr>
        <w:t xml:space="preserve">: This initiative was designed to preserve the long-term affordability of expiring use properties.  This affordable housing preservation tool makes use of the resources provided by HUD in the form of Enhanced and Tenant Protection Vouchers to continue the affordability of the units in these projects by converting eligible units immediately to Project-Based Units with a 15 year affordability period. </w:t>
      </w:r>
    </w:p>
    <w:p w:rsidR="005E3062" w:rsidRPr="00C1338A" w:rsidRDefault="005E3062" w:rsidP="008C0380">
      <w:pPr>
        <w:jc w:val="both"/>
        <w:rPr>
          <w:color w:val="000000"/>
        </w:rPr>
      </w:pPr>
    </w:p>
    <w:p w:rsidR="005E3062" w:rsidRPr="00C1338A" w:rsidRDefault="005E3062" w:rsidP="008C0380">
      <w:pPr>
        <w:jc w:val="both"/>
        <w:rPr>
          <w:color w:val="000000"/>
        </w:rPr>
      </w:pPr>
      <w:r w:rsidRPr="00C1338A">
        <w:rPr>
          <w:color w:val="000000"/>
        </w:rPr>
        <w:t>DHCD may consider the following criteria when determining eligibility of projects for conversion</w:t>
      </w:r>
      <w:r w:rsidR="00683B3E" w:rsidRPr="00C1338A">
        <w:rPr>
          <w:color w:val="000000"/>
        </w:rPr>
        <w:t xml:space="preserve"> (except where </w:t>
      </w:r>
      <w:r w:rsidR="001068EE" w:rsidRPr="00C1338A">
        <w:rPr>
          <w:color w:val="000000"/>
        </w:rPr>
        <w:t>prohibited for certain projects by PIH Notice 2012-32)</w:t>
      </w:r>
      <w:r w:rsidRPr="00C1338A">
        <w:rPr>
          <w:color w:val="000000"/>
        </w:rPr>
        <w:t>:</w:t>
      </w:r>
    </w:p>
    <w:p w:rsidR="005E3062" w:rsidRPr="00C1338A" w:rsidRDefault="005E3062" w:rsidP="008C0380">
      <w:pPr>
        <w:jc w:val="both"/>
        <w:rPr>
          <w:color w:val="000000"/>
        </w:rPr>
      </w:pPr>
    </w:p>
    <w:p w:rsidR="005E3062" w:rsidRPr="00C1338A" w:rsidRDefault="005E3062" w:rsidP="008C0380">
      <w:pPr>
        <w:numPr>
          <w:ilvl w:val="0"/>
          <w:numId w:val="9"/>
        </w:numPr>
        <w:jc w:val="both"/>
        <w:rPr>
          <w:color w:val="000000"/>
        </w:rPr>
      </w:pPr>
      <w:r w:rsidRPr="00C1338A">
        <w:rPr>
          <w:color w:val="000000"/>
        </w:rPr>
        <w:t xml:space="preserve">Located in neighborhoods which offer economic and educational opportunities and relatively low concentrations of poverty; </w:t>
      </w:r>
    </w:p>
    <w:p w:rsidR="005E3062" w:rsidRPr="00C1338A" w:rsidRDefault="005E3062" w:rsidP="008C0380">
      <w:pPr>
        <w:numPr>
          <w:ilvl w:val="0"/>
          <w:numId w:val="9"/>
        </w:numPr>
        <w:jc w:val="both"/>
        <w:rPr>
          <w:color w:val="000000"/>
        </w:rPr>
      </w:pPr>
      <w:r w:rsidRPr="00C1338A">
        <w:rPr>
          <w:color w:val="000000"/>
        </w:rPr>
        <w:t>The cost per unit will ensure long-term v</w:t>
      </w:r>
      <w:r w:rsidR="00443CF8">
        <w:rPr>
          <w:color w:val="000000"/>
        </w:rPr>
        <w:t>iability for both DHCD and the p</w:t>
      </w:r>
      <w:r w:rsidRPr="00C1338A">
        <w:rPr>
          <w:color w:val="000000"/>
        </w:rPr>
        <w:t xml:space="preserve">roject; </w:t>
      </w:r>
    </w:p>
    <w:p w:rsidR="005E3062" w:rsidRPr="00C1338A" w:rsidRDefault="005E3062" w:rsidP="008C0380">
      <w:pPr>
        <w:numPr>
          <w:ilvl w:val="0"/>
          <w:numId w:val="9"/>
        </w:numPr>
        <w:jc w:val="both"/>
        <w:rPr>
          <w:color w:val="000000"/>
        </w:rPr>
      </w:pPr>
      <w:r w:rsidRPr="00C1338A">
        <w:rPr>
          <w:color w:val="000000"/>
        </w:rPr>
        <w:t xml:space="preserve">The cost per unit will generally fall within DHCD’s then current PBV MTW voucher per unit cost; </w:t>
      </w:r>
    </w:p>
    <w:p w:rsidR="005E3062" w:rsidRPr="00C1338A" w:rsidRDefault="005E3062" w:rsidP="008C0380">
      <w:pPr>
        <w:numPr>
          <w:ilvl w:val="0"/>
          <w:numId w:val="9"/>
        </w:numPr>
        <w:jc w:val="both"/>
        <w:rPr>
          <w:color w:val="000000"/>
        </w:rPr>
      </w:pPr>
      <w:r w:rsidRPr="00C1338A">
        <w:rPr>
          <w:color w:val="000000"/>
        </w:rPr>
        <w:t>There is substantial community and tenant support for units to be converted to Project-Based Units as documented by the P</w:t>
      </w:r>
      <w:r w:rsidR="00443CF8">
        <w:rPr>
          <w:color w:val="000000"/>
        </w:rPr>
        <w:t>roject D</w:t>
      </w:r>
      <w:r w:rsidRPr="00C1338A">
        <w:rPr>
          <w:color w:val="000000"/>
        </w:rPr>
        <w:t xml:space="preserve">evelopers; </w:t>
      </w:r>
    </w:p>
    <w:p w:rsidR="005E3062" w:rsidRDefault="005E3062" w:rsidP="008C0380">
      <w:pPr>
        <w:numPr>
          <w:ilvl w:val="0"/>
          <w:numId w:val="9"/>
        </w:numPr>
        <w:jc w:val="both"/>
        <w:rPr>
          <w:color w:val="000000"/>
        </w:rPr>
      </w:pPr>
      <w:r w:rsidRPr="00C1338A">
        <w:rPr>
          <w:color w:val="000000"/>
        </w:rPr>
        <w:t>The Project Developer must request from HUD that DHCD be the Administrator of the Enhanced Vouchers resulting from the conversion action;</w:t>
      </w:r>
    </w:p>
    <w:p w:rsidR="00D06031" w:rsidRPr="00C1338A" w:rsidRDefault="00D06031" w:rsidP="008C0380">
      <w:pPr>
        <w:numPr>
          <w:ilvl w:val="0"/>
          <w:numId w:val="9"/>
        </w:numPr>
        <w:jc w:val="both"/>
        <w:rPr>
          <w:color w:val="000000"/>
        </w:rPr>
      </w:pPr>
      <w:r>
        <w:rPr>
          <w:color w:val="000000"/>
        </w:rPr>
        <w:t>DHCD will make a determination on the level of resident interest prior to pursuing administration of the Enhanced and PB vouchers.</w:t>
      </w:r>
    </w:p>
    <w:p w:rsidR="005E3062" w:rsidRPr="00C1338A" w:rsidRDefault="005E3062" w:rsidP="008C0380">
      <w:pPr>
        <w:numPr>
          <w:ilvl w:val="0"/>
          <w:numId w:val="9"/>
        </w:numPr>
        <w:jc w:val="both"/>
        <w:rPr>
          <w:color w:val="000000"/>
        </w:rPr>
      </w:pPr>
      <w:r w:rsidRPr="00C1338A">
        <w:rPr>
          <w:color w:val="000000"/>
        </w:rPr>
        <w:t xml:space="preserve">The Project Developer agrees to participate in and support MTW-related self-sufficiency activities for the tenants of the project. The type and extent of support provided will be determined by site. For example, a project may provide case management services to its MTW residents. </w:t>
      </w:r>
    </w:p>
    <w:p w:rsidR="005E3062" w:rsidRPr="00C1338A" w:rsidRDefault="005E3062" w:rsidP="008C0380">
      <w:pPr>
        <w:jc w:val="both"/>
        <w:rPr>
          <w:color w:val="000000"/>
        </w:rPr>
      </w:pPr>
    </w:p>
    <w:p w:rsidR="005E3062" w:rsidRPr="00D06031" w:rsidRDefault="005E3062" w:rsidP="00D06031">
      <w:pPr>
        <w:jc w:val="both"/>
        <w:rPr>
          <w:color w:val="000000"/>
        </w:rPr>
      </w:pPr>
      <w:r w:rsidRPr="00C1338A">
        <w:rPr>
          <w:color w:val="000000"/>
        </w:rPr>
        <w:t xml:space="preserve">DHCD may modify the selection criteria listed above at its discretion, and may place limitations on the number, types and/or characteristics of units to be supported under this initiative.  </w:t>
      </w:r>
      <w:r w:rsidR="00D06031">
        <w:rPr>
          <w:color w:val="000000"/>
        </w:rPr>
        <w:t xml:space="preserve">As part of the conversion process, DHCD will provide residents, who are eligible to receive a voucher,  with the option to receive an Enhanced Voucher or to have their unit converted to Project Based assistance.  As part of the determination process, DHCD will provide detailed information to residents so that an informed choice can be made. </w:t>
      </w:r>
      <w:r w:rsidR="00D06031" w:rsidRPr="00C1338A">
        <w:rPr>
          <w:color w:val="000000"/>
        </w:rPr>
        <w:t xml:space="preserve">  </w:t>
      </w:r>
    </w:p>
    <w:p w:rsidR="00D06031" w:rsidRPr="00C1338A" w:rsidRDefault="00D06031" w:rsidP="008C0380">
      <w:pPr>
        <w:jc w:val="both"/>
        <w:rPr>
          <w:color w:val="000000"/>
        </w:rPr>
      </w:pPr>
    </w:p>
    <w:p w:rsidR="005E3062" w:rsidRPr="00C1338A" w:rsidRDefault="005E3062" w:rsidP="008C0380">
      <w:pPr>
        <w:jc w:val="both"/>
        <w:rPr>
          <w:color w:val="000000"/>
        </w:rPr>
      </w:pPr>
      <w:r w:rsidRPr="00C1338A">
        <w:rPr>
          <w:color w:val="000000"/>
        </w:rPr>
        <w:t>Pursuant to HUD’s 2012 updated guidance on the use of special purpose vouchers, DHCD may apply MTW operating flexibilities to Enhanced Vouchers upon issuance</w:t>
      </w:r>
      <w:r w:rsidR="00443CF8">
        <w:rPr>
          <w:color w:val="000000"/>
        </w:rPr>
        <w:t>,</w:t>
      </w:r>
      <w:r w:rsidRPr="00C1338A">
        <w:rPr>
          <w:color w:val="000000"/>
        </w:rPr>
        <w:t xml:space="preserve"> provided that these flexibilities do not infringe on the protections applied to Enhanced Voucher households pursuant </w:t>
      </w:r>
      <w:r w:rsidR="007E1800">
        <w:rPr>
          <w:color w:val="000000"/>
        </w:rPr>
        <w:t>to HUD regulations and notices.</w:t>
      </w:r>
      <w:r w:rsidRPr="00C1338A">
        <w:rPr>
          <w:color w:val="000000"/>
        </w:rPr>
        <w:t xml:space="preserve">  Operating flexibilities that may be applied to Enhanced Vouchers include, but are not limited to, biennial recertifications, biennial inspections, rent simplification (provided that it does not infringe on EV protections), and utility allowances.  Until the Enhanced Voucher household either moves from the unit or is terminated from the program, they will continue to be subject to the Enhanced Voucher minimum rent policies, including the applicable provisions related to income decreases.   Enhanced Voucher income limits and payment standards will also continue to apply to these households.   DHCD does not apply term limits to any of its Housing Choice Voucher participants.</w:t>
      </w:r>
    </w:p>
    <w:p w:rsidR="005E3062" w:rsidRPr="00C1338A" w:rsidRDefault="005E3062" w:rsidP="005E3062">
      <w:pPr>
        <w:rPr>
          <w:color w:val="000000"/>
        </w:rPr>
      </w:pPr>
    </w:p>
    <w:p w:rsidR="005E3062" w:rsidRPr="00C1338A" w:rsidRDefault="005E3062" w:rsidP="008C0380">
      <w:pPr>
        <w:jc w:val="both"/>
        <w:rPr>
          <w:color w:val="000000"/>
        </w:rPr>
      </w:pPr>
      <w:r w:rsidRPr="00C1338A">
        <w:rPr>
          <w:color w:val="000000"/>
        </w:rPr>
        <w:t xml:space="preserve">For existing tenants on the conversion date who elect to receive a Project-Based Voucher and who are considered over-housed, DHCD may waive the subsidy standard policy, provided that there must be at least one household member for each bedroom in the apartment.  In addition, tenants may request a reasonable accommodation if applicable. The only Enhanced Voucher provision which applies to tenants selecting the Project-Based option is the initial income eligibility requirement.  DHCD’s other MTW PBV policies apply upon the conversion action, except for the following: </w:t>
      </w:r>
    </w:p>
    <w:p w:rsidR="005E3062" w:rsidRPr="00C1338A" w:rsidRDefault="005E3062" w:rsidP="008C0380">
      <w:pPr>
        <w:jc w:val="both"/>
        <w:rPr>
          <w:color w:val="000000"/>
        </w:rPr>
      </w:pPr>
    </w:p>
    <w:p w:rsidR="005E3062" w:rsidRPr="00C1338A" w:rsidRDefault="005E3062" w:rsidP="008C0380">
      <w:pPr>
        <w:numPr>
          <w:ilvl w:val="0"/>
          <w:numId w:val="13"/>
        </w:numPr>
        <w:jc w:val="both"/>
      </w:pPr>
      <w:r w:rsidRPr="00C1338A">
        <w:t xml:space="preserve">Tenants who live in the development at the time of the conversion action and who select a PBV will be permitted to move after the </w:t>
      </w:r>
      <w:r w:rsidRPr="00C1338A">
        <w:rPr>
          <w:u w:val="single"/>
        </w:rPr>
        <w:t>first</w:t>
      </w:r>
      <w:r w:rsidRPr="00C1338A">
        <w:t xml:space="preserve"> year of assisted tenancy following the conversion action.  They will be added to the waiting list for a tenant-based voucher </w:t>
      </w:r>
      <w:r w:rsidR="00D94B20" w:rsidRPr="00C1338A">
        <w:t>in accordance with the Administrative Plan</w:t>
      </w:r>
      <w:r w:rsidRPr="00C1338A">
        <w:t xml:space="preserve">; </w:t>
      </w:r>
    </w:p>
    <w:p w:rsidR="005E3062" w:rsidRPr="00C1338A" w:rsidRDefault="005E3062" w:rsidP="008C0380">
      <w:pPr>
        <w:numPr>
          <w:ilvl w:val="0"/>
          <w:numId w:val="13"/>
        </w:numPr>
        <w:jc w:val="both"/>
      </w:pPr>
      <w:r w:rsidRPr="00C1338A">
        <w:t>Tenants who live in the development at the time of the conversion action and who select a PBV will not be subject to the limit on voluntary interim rent decreases; and,</w:t>
      </w:r>
    </w:p>
    <w:p w:rsidR="005E3062" w:rsidRPr="00C1338A" w:rsidRDefault="005E3062" w:rsidP="008C0380">
      <w:pPr>
        <w:numPr>
          <w:ilvl w:val="0"/>
          <w:numId w:val="13"/>
        </w:numPr>
        <w:jc w:val="both"/>
        <w:rPr>
          <w:color w:val="000000"/>
        </w:rPr>
      </w:pPr>
      <w:r w:rsidRPr="00C1338A">
        <w:rPr>
          <w:color w:val="000000"/>
        </w:rPr>
        <w:t xml:space="preserve">DHCD may waive the limitation on the number of units per project generally applied to PBV developments and allow up to 100% of units in all types of developments to be Project-Based.  </w:t>
      </w:r>
    </w:p>
    <w:p w:rsidR="005E3062" w:rsidRPr="00C1338A" w:rsidRDefault="005E3062" w:rsidP="005E3062">
      <w:pPr>
        <w:rPr>
          <w:color w:val="000000"/>
        </w:rPr>
      </w:pPr>
    </w:p>
    <w:p w:rsidR="005E3062" w:rsidRPr="00C1338A" w:rsidRDefault="005E3062" w:rsidP="008C0380">
      <w:pPr>
        <w:jc w:val="both"/>
        <w:rPr>
          <w:color w:val="000000"/>
        </w:rPr>
      </w:pPr>
      <w:r w:rsidRPr="00C1338A">
        <w:rPr>
          <w:color w:val="000000"/>
        </w:rPr>
        <w:t xml:space="preserve">In FY 2014, DHCD </w:t>
      </w:r>
      <w:r w:rsidR="007E1800">
        <w:rPr>
          <w:color w:val="000000"/>
        </w:rPr>
        <w:t>modified the components of its Project-Based Voucher P</w:t>
      </w:r>
      <w:r w:rsidRPr="00C1338A">
        <w:rPr>
          <w:color w:val="000000"/>
        </w:rPr>
        <w:t>rogram in order to streamline administration of the Expiring Use Preservation Initiative and maximize the number of units benefitting from these efficiencies.</w:t>
      </w:r>
      <w:r w:rsidR="00D006AB" w:rsidRPr="00C1338A">
        <w:rPr>
          <w:color w:val="000000"/>
        </w:rPr>
        <w:t xml:space="preserve">  These changes have been implemented and have resulted in streamlined efficiency of the conversion process.</w:t>
      </w:r>
    </w:p>
    <w:p w:rsidR="005E3062" w:rsidRPr="00C1338A" w:rsidRDefault="005E3062" w:rsidP="008C0380">
      <w:pPr>
        <w:jc w:val="both"/>
        <w:rPr>
          <w:color w:val="000000"/>
        </w:rPr>
      </w:pPr>
    </w:p>
    <w:p w:rsidR="005E3062" w:rsidRPr="00C1338A" w:rsidRDefault="005E3062" w:rsidP="008C0380">
      <w:pPr>
        <w:numPr>
          <w:ilvl w:val="0"/>
          <w:numId w:val="15"/>
        </w:numPr>
        <w:jc w:val="both"/>
        <w:rPr>
          <w:color w:val="000000"/>
        </w:rPr>
      </w:pPr>
      <w:r w:rsidRPr="00C1338A">
        <w:rPr>
          <w:color w:val="000000"/>
        </w:rPr>
        <w:t>Consistent with PIH Notice 2012-32, DHCD may apply MTW flexibilities to units converted to PBV under the Rental Assistance Demonstration to the extent that said flexibilities are not in conflict with RAD provisions specified in HUD’s Notice(s).</w:t>
      </w:r>
      <w:r w:rsidRPr="00C1338A">
        <w:rPr>
          <w:color w:val="000000"/>
        </w:rPr>
        <w:br/>
      </w:r>
    </w:p>
    <w:p w:rsidR="005E3062" w:rsidRPr="00C1338A" w:rsidRDefault="005E3062" w:rsidP="008C0380">
      <w:pPr>
        <w:numPr>
          <w:ilvl w:val="0"/>
          <w:numId w:val="15"/>
        </w:numPr>
        <w:jc w:val="both"/>
        <w:rPr>
          <w:color w:val="000000"/>
        </w:rPr>
      </w:pPr>
      <w:r w:rsidRPr="00C1338A">
        <w:rPr>
          <w:color w:val="000000"/>
        </w:rPr>
        <w:t>DHCD may revise standards for acceptable income verification documents for clients at the time of conversion. Specifically, when completing initial certifications at the time of a RAD or Expiring Use conversion, DHCD may waive the HUD requirement regarding the age of documents at the time of effective date. Authorized in Attachment C Section D of DHCD’s MTW Agreement.</w:t>
      </w:r>
    </w:p>
    <w:p w:rsidR="005E3062" w:rsidRPr="00C1338A" w:rsidRDefault="005E3062" w:rsidP="008C0380">
      <w:pPr>
        <w:ind w:left="720"/>
        <w:jc w:val="both"/>
        <w:rPr>
          <w:color w:val="000000"/>
        </w:rPr>
      </w:pPr>
    </w:p>
    <w:p w:rsidR="005E3062" w:rsidRPr="00C1338A" w:rsidRDefault="005E3062" w:rsidP="008C0380">
      <w:pPr>
        <w:numPr>
          <w:ilvl w:val="0"/>
          <w:numId w:val="15"/>
        </w:numPr>
        <w:jc w:val="both"/>
        <w:rPr>
          <w:color w:val="000000"/>
        </w:rPr>
      </w:pPr>
      <w:r w:rsidRPr="00C1338A">
        <w:rPr>
          <w:color w:val="000000"/>
        </w:rPr>
        <w:t>Notwithstanding proposed changes to PBV regulations, DHCD will continue to define “existing housing” as “Housing units that already exist on the proposal selection date and that substantially comply with the HQS on that date.” Authorized in Attachment C Section D of DHCD’s MTW Agreement.</w:t>
      </w:r>
    </w:p>
    <w:p w:rsidR="005E3062" w:rsidRPr="00C1338A" w:rsidRDefault="005E3062" w:rsidP="008C0380">
      <w:pPr>
        <w:jc w:val="both"/>
        <w:rPr>
          <w:color w:val="000000"/>
        </w:rPr>
      </w:pPr>
    </w:p>
    <w:p w:rsidR="005E3062" w:rsidRPr="00C1338A" w:rsidRDefault="005E3062" w:rsidP="008C0380">
      <w:pPr>
        <w:numPr>
          <w:ilvl w:val="0"/>
          <w:numId w:val="15"/>
        </w:numPr>
        <w:jc w:val="both"/>
      </w:pPr>
      <w:r w:rsidRPr="00C1338A">
        <w:t>DHCD may institute other changes, on a case by case basis, as long as such changes are consistent with the MTW authorizations granted herein.</w:t>
      </w:r>
    </w:p>
    <w:p w:rsidR="001D0BB4" w:rsidRPr="00C1338A" w:rsidRDefault="001D0BB4" w:rsidP="009E6224">
      <w:pPr>
        <w:jc w:val="both"/>
        <w:rPr>
          <w:color w:val="000000"/>
        </w:rPr>
      </w:pPr>
    </w:p>
    <w:p w:rsidR="009E6224" w:rsidRDefault="009E6224" w:rsidP="009E6224">
      <w:pPr>
        <w:jc w:val="both"/>
        <w:rPr>
          <w:color w:val="000000"/>
        </w:rPr>
      </w:pPr>
      <w:r w:rsidRPr="00C1338A">
        <w:rPr>
          <w:color w:val="000000"/>
        </w:rPr>
        <w:t xml:space="preserve">In FY 2015, DHCD modified the income eligibility requirements for tenants who occupy units at the time of a </w:t>
      </w:r>
      <w:r w:rsidR="0046581B" w:rsidRPr="00C1338A">
        <w:rPr>
          <w:color w:val="000000"/>
        </w:rPr>
        <w:t>RAD</w:t>
      </w:r>
      <w:r w:rsidRPr="00C1338A">
        <w:rPr>
          <w:color w:val="000000"/>
        </w:rPr>
        <w:t xml:space="preserve"> conversion to the PBV program.  For only those existing tenants, annual income must not exceed the moderate income limit for the area which is 80% of AMI, except for elderly and disabled households whose incomes may not exceed 95% of AMI.</w:t>
      </w:r>
    </w:p>
    <w:p w:rsidR="001D0BB4" w:rsidRDefault="001D0BB4" w:rsidP="009E6224">
      <w:pPr>
        <w:jc w:val="both"/>
        <w:rPr>
          <w:color w:val="000000"/>
        </w:rPr>
      </w:pPr>
    </w:p>
    <w:p w:rsidR="001D0BB4" w:rsidRPr="00C1338A" w:rsidRDefault="001D0BB4" w:rsidP="009E6224">
      <w:pPr>
        <w:jc w:val="both"/>
        <w:rPr>
          <w:color w:val="000000"/>
        </w:rPr>
      </w:pPr>
      <w:r w:rsidRPr="00C1338A">
        <w:rPr>
          <w:color w:val="000000"/>
        </w:rPr>
        <w:t>DHCD currently has 9 expiring use contracts with a total of 546</w:t>
      </w:r>
      <w:r>
        <w:rPr>
          <w:color w:val="000000"/>
        </w:rPr>
        <w:t xml:space="preserve"> </w:t>
      </w:r>
      <w:r w:rsidRPr="00C1338A">
        <w:rPr>
          <w:color w:val="000000"/>
        </w:rPr>
        <w:t>units forecasted to be under HAP contract by the close of FY 201</w:t>
      </w:r>
      <w:r>
        <w:rPr>
          <w:color w:val="000000"/>
        </w:rPr>
        <w:t>6</w:t>
      </w:r>
      <w:r w:rsidRPr="00C1338A">
        <w:rPr>
          <w:color w:val="000000"/>
        </w:rPr>
        <w:t xml:space="preserve">.  Additionally, DHCD has completed 8 Rental Assistance Demonstration (RAD) conversion projects and currently provides a subsidy for 825 units under this program. </w:t>
      </w:r>
      <w:r>
        <w:rPr>
          <w:color w:val="000000"/>
        </w:rPr>
        <w:t xml:space="preserve"> As of 2014, there were approximately 34 developments remaining in the state with use restrictions expiring between 2015 and 2020 (CEDAC Report 8-14).  As the pool of developments decreases it is difficult to forecast whether or not HUD will offer DHCD any additional Expiring Use or RAD contracts in 2017.  </w:t>
      </w:r>
      <w:r w:rsidR="00730399">
        <w:rPr>
          <w:color w:val="000000"/>
        </w:rPr>
        <w:t xml:space="preserve">As such, </w:t>
      </w:r>
      <w:r w:rsidR="000D161A">
        <w:rPr>
          <w:color w:val="000000"/>
        </w:rPr>
        <w:t xml:space="preserve">DHCD has not forecasted any </w:t>
      </w:r>
      <w:r w:rsidR="00730399">
        <w:rPr>
          <w:color w:val="000000"/>
        </w:rPr>
        <w:t>new expiring use or RAD units in FY 2017.</w:t>
      </w:r>
    </w:p>
    <w:p w:rsidR="005E3062" w:rsidRPr="00C1338A" w:rsidRDefault="005E3062" w:rsidP="009E6224">
      <w:pPr>
        <w:jc w:val="both"/>
        <w:rPr>
          <w:color w:val="000000"/>
        </w:rPr>
      </w:pPr>
    </w:p>
    <w:p w:rsidR="00695C57" w:rsidRPr="00C1338A" w:rsidRDefault="005E3062" w:rsidP="009E6224">
      <w:pPr>
        <w:jc w:val="both"/>
        <w:rPr>
          <w:b/>
          <w:color w:val="000000"/>
        </w:rPr>
      </w:pPr>
      <w:r w:rsidRPr="00C1338A">
        <w:rPr>
          <w:b/>
          <w:color w:val="000000"/>
        </w:rPr>
        <w:t xml:space="preserve">Proposed Changes:  </w:t>
      </w:r>
      <w:r w:rsidR="009E6224" w:rsidRPr="00C1338A">
        <w:rPr>
          <w:color w:val="000000"/>
        </w:rPr>
        <w:t>No</w:t>
      </w:r>
      <w:r w:rsidR="00A9405B" w:rsidRPr="00C1338A">
        <w:rPr>
          <w:color w:val="000000"/>
        </w:rPr>
        <w:t xml:space="preserve"> changes are proposed.</w:t>
      </w:r>
    </w:p>
    <w:p w:rsidR="009E6224" w:rsidRPr="00C1338A" w:rsidRDefault="009E6224" w:rsidP="009E6224">
      <w:pPr>
        <w:jc w:val="both"/>
        <w:rPr>
          <w:b/>
          <w:color w:val="000000"/>
        </w:rPr>
      </w:pPr>
    </w:p>
    <w:p w:rsidR="005E3062" w:rsidRPr="00C1338A" w:rsidRDefault="005E3062" w:rsidP="00925298">
      <w:pPr>
        <w:jc w:val="both"/>
        <w:rPr>
          <w:color w:val="000000"/>
        </w:rPr>
      </w:pPr>
      <w:r w:rsidRPr="00C1338A">
        <w:rPr>
          <w:b/>
          <w:color w:val="000000"/>
        </w:rPr>
        <w:t>Approval and Implementation:</w:t>
      </w:r>
      <w:r w:rsidRPr="00C1338A">
        <w:rPr>
          <w:color w:val="000000"/>
        </w:rPr>
        <w:t xml:space="preserve"> 2012 – Implementation activities began in FY 2013.</w:t>
      </w:r>
    </w:p>
    <w:p w:rsidR="005E3062" w:rsidRPr="00C1338A" w:rsidRDefault="005E3062" w:rsidP="00925298">
      <w:pPr>
        <w:jc w:val="both"/>
        <w:rPr>
          <w:color w:val="000000"/>
        </w:rPr>
      </w:pPr>
    </w:p>
    <w:p w:rsidR="00A9405B" w:rsidRDefault="00A9405B" w:rsidP="00925298">
      <w:pPr>
        <w:jc w:val="both"/>
        <w:rPr>
          <w:b/>
          <w:color w:val="000000"/>
        </w:rPr>
      </w:pPr>
      <w:r w:rsidRPr="00C1338A">
        <w:rPr>
          <w:b/>
        </w:rPr>
        <w:t xml:space="preserve">Changes to Baseline, Benchmarks &amp; Metrics: </w:t>
      </w:r>
      <w:r w:rsidRPr="00C1338A">
        <w:t>The benchmarks have been updated to reflect FY 2017 projections for this activity. DHCD will report on outcomes in the MTW Annual</w:t>
      </w:r>
      <w:r>
        <w:t xml:space="preserve"> Report</w:t>
      </w:r>
      <w:r w:rsidR="007E1800">
        <w:t>.</w:t>
      </w:r>
    </w:p>
    <w:p w:rsidR="00A9405B" w:rsidRDefault="00A9405B" w:rsidP="00BA1074">
      <w:pPr>
        <w:rPr>
          <w:b/>
          <w:color w:val="000000"/>
        </w:rPr>
      </w:pPr>
    </w:p>
    <w:p w:rsidR="00BA1074" w:rsidRDefault="00CA2CB8" w:rsidP="00BA1074">
      <w:pPr>
        <w:rPr>
          <w:color w:val="000000"/>
        </w:rPr>
      </w:pPr>
      <w:r>
        <w:rPr>
          <w:b/>
          <w:color w:val="000000"/>
        </w:rPr>
        <w:t>Metrics</w:t>
      </w:r>
      <w:r w:rsidR="005E3062" w:rsidRPr="00FB4487">
        <w:rPr>
          <w:color w:val="000000"/>
        </w:rPr>
        <w:t xml:space="preserve">:  </w:t>
      </w:r>
    </w:p>
    <w:p w:rsidR="005E3062" w:rsidRPr="003F655B" w:rsidRDefault="005E3062" w:rsidP="005E306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3"/>
        <w:gridCol w:w="1875"/>
        <w:gridCol w:w="1858"/>
        <w:gridCol w:w="1876"/>
      </w:tblGrid>
      <w:tr w:rsidR="005E3062" w:rsidRPr="005F27D5" w:rsidTr="007E1800">
        <w:trPr>
          <w:trHeight w:val="260"/>
        </w:trPr>
        <w:tc>
          <w:tcPr>
            <w:tcW w:w="9576" w:type="dxa"/>
            <w:gridSpan w:val="5"/>
            <w:shd w:val="clear" w:color="auto" w:fill="C6D9F1" w:themeFill="text2" w:themeFillTint="33"/>
            <w:hideMark/>
          </w:tcPr>
          <w:p w:rsidR="005E3062" w:rsidRPr="005F27D5" w:rsidRDefault="005E3062" w:rsidP="004172B2">
            <w:pPr>
              <w:jc w:val="center"/>
              <w:rPr>
                <w:rFonts w:eastAsia="Calibri"/>
                <w:b/>
                <w:bCs/>
                <w:i/>
                <w:iCs/>
                <w:sz w:val="22"/>
                <w:szCs w:val="22"/>
              </w:rPr>
            </w:pPr>
            <w:r w:rsidRPr="005F27D5">
              <w:rPr>
                <w:rFonts w:eastAsia="Calibri"/>
                <w:b/>
                <w:bCs/>
                <w:i/>
                <w:iCs/>
                <w:sz w:val="22"/>
                <w:szCs w:val="22"/>
              </w:rPr>
              <w:t>HC #2: Units of Housing Preserved</w:t>
            </w:r>
          </w:p>
        </w:tc>
      </w:tr>
      <w:tr w:rsidR="005E3062" w:rsidRPr="005F27D5" w:rsidTr="007E1800">
        <w:trPr>
          <w:trHeight w:val="615"/>
        </w:trPr>
        <w:tc>
          <w:tcPr>
            <w:tcW w:w="1915" w:type="dxa"/>
            <w:shd w:val="clear" w:color="auto" w:fill="D9D9D9" w:themeFill="background1" w:themeFillShade="D9"/>
            <w:vAlign w:val="center"/>
            <w:hideMark/>
          </w:tcPr>
          <w:p w:rsidR="005E3062" w:rsidRPr="005F27D5" w:rsidRDefault="005E3062" w:rsidP="009472B1">
            <w:pPr>
              <w:jc w:val="center"/>
              <w:rPr>
                <w:rFonts w:eastAsia="Calibri"/>
                <w:b/>
                <w:bCs/>
                <w:sz w:val="22"/>
                <w:szCs w:val="22"/>
              </w:rPr>
            </w:pPr>
            <w:r w:rsidRPr="005F27D5">
              <w:rPr>
                <w:rFonts w:eastAsia="Calibri"/>
                <w:b/>
                <w:bCs/>
                <w:sz w:val="22"/>
                <w:szCs w:val="22"/>
              </w:rPr>
              <w:t>Unit of Measurement</w:t>
            </w:r>
          </w:p>
        </w:tc>
        <w:tc>
          <w:tcPr>
            <w:tcW w:w="1915" w:type="dxa"/>
            <w:shd w:val="clear" w:color="auto" w:fill="D9D9D9" w:themeFill="background1" w:themeFillShade="D9"/>
            <w:vAlign w:val="center"/>
            <w:hideMark/>
          </w:tcPr>
          <w:p w:rsidR="005E3062" w:rsidRPr="005F27D5" w:rsidRDefault="005E3062" w:rsidP="009472B1">
            <w:pPr>
              <w:jc w:val="center"/>
              <w:rPr>
                <w:rFonts w:eastAsia="Calibri"/>
                <w:b/>
                <w:bCs/>
                <w:sz w:val="22"/>
                <w:szCs w:val="22"/>
              </w:rPr>
            </w:pPr>
            <w:r w:rsidRPr="005F27D5">
              <w:rPr>
                <w:rFonts w:eastAsia="Calibri"/>
                <w:b/>
                <w:bCs/>
                <w:sz w:val="22"/>
                <w:szCs w:val="22"/>
              </w:rPr>
              <w:t>Baseline</w:t>
            </w:r>
          </w:p>
        </w:tc>
        <w:tc>
          <w:tcPr>
            <w:tcW w:w="1915" w:type="dxa"/>
            <w:shd w:val="clear" w:color="auto" w:fill="D9D9D9" w:themeFill="background1" w:themeFillShade="D9"/>
            <w:vAlign w:val="center"/>
            <w:hideMark/>
          </w:tcPr>
          <w:p w:rsidR="005E3062" w:rsidRPr="005F27D5" w:rsidRDefault="005E3062" w:rsidP="009472B1">
            <w:pPr>
              <w:jc w:val="center"/>
              <w:rPr>
                <w:rFonts w:eastAsia="Calibri"/>
                <w:b/>
                <w:bCs/>
                <w:sz w:val="22"/>
                <w:szCs w:val="22"/>
              </w:rPr>
            </w:pPr>
            <w:r w:rsidRPr="005F27D5">
              <w:rPr>
                <w:rFonts w:eastAsia="Calibri"/>
                <w:b/>
                <w:bCs/>
                <w:sz w:val="22"/>
                <w:szCs w:val="22"/>
              </w:rPr>
              <w:t>Benchmark</w:t>
            </w:r>
          </w:p>
        </w:tc>
        <w:tc>
          <w:tcPr>
            <w:tcW w:w="1915" w:type="dxa"/>
            <w:shd w:val="clear" w:color="auto" w:fill="D9D9D9" w:themeFill="background1" w:themeFillShade="D9"/>
            <w:vAlign w:val="center"/>
            <w:hideMark/>
          </w:tcPr>
          <w:p w:rsidR="005E3062" w:rsidRPr="005F27D5" w:rsidRDefault="005E3062" w:rsidP="009472B1">
            <w:pPr>
              <w:jc w:val="center"/>
              <w:rPr>
                <w:rFonts w:eastAsia="Calibri"/>
                <w:b/>
                <w:bCs/>
                <w:sz w:val="22"/>
                <w:szCs w:val="22"/>
              </w:rPr>
            </w:pPr>
            <w:r w:rsidRPr="005F27D5">
              <w:rPr>
                <w:rFonts w:eastAsia="Calibri"/>
                <w:b/>
                <w:bCs/>
                <w:sz w:val="22"/>
                <w:szCs w:val="22"/>
              </w:rPr>
              <w:t>Outcome</w:t>
            </w:r>
          </w:p>
        </w:tc>
        <w:tc>
          <w:tcPr>
            <w:tcW w:w="1916" w:type="dxa"/>
            <w:shd w:val="clear" w:color="auto" w:fill="D9D9D9" w:themeFill="background1" w:themeFillShade="D9"/>
            <w:vAlign w:val="center"/>
            <w:hideMark/>
          </w:tcPr>
          <w:p w:rsidR="005E3062" w:rsidRPr="005F27D5" w:rsidRDefault="005E3062" w:rsidP="009472B1">
            <w:pPr>
              <w:jc w:val="center"/>
              <w:rPr>
                <w:rFonts w:eastAsia="Calibri"/>
                <w:b/>
                <w:bCs/>
                <w:sz w:val="22"/>
                <w:szCs w:val="22"/>
              </w:rPr>
            </w:pPr>
            <w:r w:rsidRPr="005F27D5">
              <w:rPr>
                <w:rFonts w:eastAsia="Calibri"/>
                <w:b/>
                <w:bCs/>
                <w:sz w:val="22"/>
                <w:szCs w:val="22"/>
              </w:rPr>
              <w:t>Benchmark Achieved?</w:t>
            </w:r>
          </w:p>
        </w:tc>
      </w:tr>
      <w:tr w:rsidR="005E3062" w:rsidRPr="003F655B" w:rsidTr="001068EE">
        <w:trPr>
          <w:trHeight w:val="315"/>
        </w:trPr>
        <w:tc>
          <w:tcPr>
            <w:tcW w:w="1915" w:type="dxa"/>
            <w:vMerge w:val="restart"/>
            <w:shd w:val="clear" w:color="auto" w:fill="auto"/>
            <w:hideMark/>
          </w:tcPr>
          <w:p w:rsidR="005E3062" w:rsidRPr="005F27D5" w:rsidRDefault="005E3062" w:rsidP="005F27D5">
            <w:pPr>
              <w:rPr>
                <w:rFonts w:eastAsia="Calibri"/>
                <w:sz w:val="22"/>
                <w:szCs w:val="22"/>
              </w:rPr>
            </w:pPr>
            <w:r w:rsidRPr="005F27D5">
              <w:rPr>
                <w:rFonts w:eastAsia="Calibri"/>
                <w:sz w:val="22"/>
                <w:szCs w:val="22"/>
              </w:rPr>
              <w:t xml:space="preserve">Number of housing units preserved for households at or below 80% AMI that would otherwise not be available (increase). </w:t>
            </w:r>
          </w:p>
        </w:tc>
        <w:tc>
          <w:tcPr>
            <w:tcW w:w="1915" w:type="dxa"/>
            <w:vMerge w:val="restart"/>
            <w:shd w:val="clear" w:color="auto" w:fill="auto"/>
            <w:vAlign w:val="center"/>
          </w:tcPr>
          <w:p w:rsidR="005E3062" w:rsidRPr="001D0BB4" w:rsidRDefault="005E3062" w:rsidP="00034D05">
            <w:pPr>
              <w:jc w:val="center"/>
              <w:rPr>
                <w:rFonts w:eastAsia="Calibri"/>
                <w:sz w:val="22"/>
                <w:szCs w:val="22"/>
              </w:rPr>
            </w:pPr>
            <w:r w:rsidRPr="001D0BB4">
              <w:rPr>
                <w:rFonts w:eastAsia="Calibri"/>
                <w:sz w:val="22"/>
                <w:szCs w:val="22"/>
              </w:rPr>
              <w:t>0</w:t>
            </w:r>
            <w:r w:rsidR="00034D05" w:rsidRPr="001D0BB4">
              <w:rPr>
                <w:rFonts w:eastAsia="Calibri"/>
                <w:sz w:val="22"/>
                <w:szCs w:val="22"/>
              </w:rPr>
              <w:t xml:space="preserve"> housing units</w:t>
            </w:r>
          </w:p>
        </w:tc>
        <w:tc>
          <w:tcPr>
            <w:tcW w:w="1915" w:type="dxa"/>
            <w:vMerge w:val="restart"/>
            <w:shd w:val="clear" w:color="auto" w:fill="auto"/>
            <w:vAlign w:val="center"/>
          </w:tcPr>
          <w:p w:rsidR="005E3062" w:rsidRPr="001D0BB4" w:rsidRDefault="001D0BB4" w:rsidP="001068EE">
            <w:pPr>
              <w:jc w:val="center"/>
              <w:rPr>
                <w:rFonts w:eastAsia="Calibri"/>
                <w:sz w:val="22"/>
                <w:szCs w:val="22"/>
              </w:rPr>
            </w:pPr>
            <w:r w:rsidRPr="001D0BB4">
              <w:rPr>
                <w:rFonts w:eastAsia="Calibri"/>
                <w:sz w:val="22"/>
                <w:szCs w:val="22"/>
              </w:rPr>
              <w:t>1,371</w:t>
            </w:r>
            <w:r w:rsidR="00C1338A" w:rsidRPr="001D0BB4">
              <w:rPr>
                <w:rFonts w:eastAsia="Calibri"/>
                <w:sz w:val="22"/>
                <w:szCs w:val="22"/>
              </w:rPr>
              <w:t xml:space="preserve"> </w:t>
            </w:r>
            <w:r w:rsidR="0046581B" w:rsidRPr="001D0BB4">
              <w:rPr>
                <w:rFonts w:eastAsia="Calibri"/>
                <w:sz w:val="22"/>
                <w:szCs w:val="22"/>
              </w:rPr>
              <w:t>h</w:t>
            </w:r>
            <w:r w:rsidR="00034D05" w:rsidRPr="001D0BB4">
              <w:rPr>
                <w:rFonts w:eastAsia="Calibri"/>
                <w:sz w:val="22"/>
                <w:szCs w:val="22"/>
              </w:rPr>
              <w:t>ousing units</w:t>
            </w:r>
            <w:r w:rsidR="00321F58" w:rsidRPr="001D0BB4">
              <w:rPr>
                <w:rFonts w:eastAsia="Calibri"/>
                <w:sz w:val="22"/>
                <w:szCs w:val="22"/>
              </w:rPr>
              <w:t>*</w:t>
            </w:r>
          </w:p>
        </w:tc>
        <w:tc>
          <w:tcPr>
            <w:tcW w:w="1915" w:type="dxa"/>
            <w:vMerge w:val="restart"/>
            <w:shd w:val="clear" w:color="auto" w:fill="auto"/>
          </w:tcPr>
          <w:p w:rsidR="005E3062" w:rsidRPr="005F27D5" w:rsidRDefault="005E3062" w:rsidP="009472B1">
            <w:pPr>
              <w:jc w:val="center"/>
              <w:rPr>
                <w:rFonts w:eastAsia="Calibri"/>
                <w:sz w:val="22"/>
                <w:szCs w:val="22"/>
              </w:rPr>
            </w:pPr>
          </w:p>
        </w:tc>
        <w:tc>
          <w:tcPr>
            <w:tcW w:w="1916" w:type="dxa"/>
            <w:vMerge w:val="restart"/>
            <w:shd w:val="clear" w:color="auto" w:fill="auto"/>
          </w:tcPr>
          <w:p w:rsidR="005E3062" w:rsidRPr="005F27D5" w:rsidRDefault="005E3062" w:rsidP="009472B1">
            <w:pPr>
              <w:jc w:val="center"/>
              <w:rPr>
                <w:rFonts w:eastAsia="Calibri"/>
                <w:sz w:val="22"/>
                <w:szCs w:val="22"/>
              </w:rPr>
            </w:pPr>
          </w:p>
        </w:tc>
      </w:tr>
      <w:tr w:rsidR="005E3062" w:rsidRPr="003F655B" w:rsidTr="004E49FD">
        <w:trPr>
          <w:trHeight w:val="1035"/>
        </w:trPr>
        <w:tc>
          <w:tcPr>
            <w:tcW w:w="1915" w:type="dxa"/>
            <w:vMerge/>
            <w:shd w:val="clear" w:color="auto" w:fill="auto"/>
            <w:hideMark/>
          </w:tcPr>
          <w:p w:rsidR="005E3062" w:rsidRPr="003F655B" w:rsidRDefault="005E3062" w:rsidP="004172B2">
            <w:pPr>
              <w:rPr>
                <w:rFonts w:eastAsia="Calibri"/>
                <w:sz w:val="22"/>
                <w:szCs w:val="22"/>
                <w:highlight w:val="yellow"/>
              </w:rPr>
            </w:pPr>
          </w:p>
        </w:tc>
        <w:tc>
          <w:tcPr>
            <w:tcW w:w="1915" w:type="dxa"/>
            <w:vMerge/>
            <w:shd w:val="clear" w:color="auto" w:fill="auto"/>
          </w:tcPr>
          <w:p w:rsidR="005E3062" w:rsidRPr="003F655B" w:rsidRDefault="005E3062" w:rsidP="004172B2">
            <w:pPr>
              <w:rPr>
                <w:rFonts w:eastAsia="Calibri"/>
                <w:sz w:val="22"/>
                <w:szCs w:val="22"/>
                <w:highlight w:val="yellow"/>
              </w:rPr>
            </w:pPr>
          </w:p>
        </w:tc>
        <w:tc>
          <w:tcPr>
            <w:tcW w:w="1915" w:type="dxa"/>
            <w:vMerge/>
            <w:shd w:val="clear" w:color="auto" w:fill="auto"/>
          </w:tcPr>
          <w:p w:rsidR="005E3062" w:rsidRPr="003F655B" w:rsidRDefault="005E3062" w:rsidP="004172B2">
            <w:pPr>
              <w:rPr>
                <w:rFonts w:eastAsia="Calibri"/>
                <w:sz w:val="22"/>
                <w:szCs w:val="22"/>
                <w:highlight w:val="yellow"/>
              </w:rPr>
            </w:pPr>
          </w:p>
        </w:tc>
        <w:tc>
          <w:tcPr>
            <w:tcW w:w="1915" w:type="dxa"/>
            <w:vMerge/>
            <w:shd w:val="clear" w:color="auto" w:fill="auto"/>
          </w:tcPr>
          <w:p w:rsidR="005E3062" w:rsidRPr="003F655B" w:rsidRDefault="005E3062" w:rsidP="004172B2">
            <w:pPr>
              <w:rPr>
                <w:rFonts w:eastAsia="Calibri"/>
                <w:sz w:val="22"/>
                <w:szCs w:val="22"/>
                <w:highlight w:val="yellow"/>
              </w:rPr>
            </w:pPr>
          </w:p>
        </w:tc>
        <w:tc>
          <w:tcPr>
            <w:tcW w:w="1916" w:type="dxa"/>
            <w:vMerge/>
            <w:shd w:val="clear" w:color="auto" w:fill="auto"/>
          </w:tcPr>
          <w:p w:rsidR="005E3062" w:rsidRPr="003F655B" w:rsidRDefault="005E3062" w:rsidP="004172B2">
            <w:pPr>
              <w:rPr>
                <w:rFonts w:eastAsia="Calibri"/>
                <w:sz w:val="22"/>
                <w:szCs w:val="22"/>
                <w:highlight w:val="yellow"/>
              </w:rPr>
            </w:pPr>
          </w:p>
        </w:tc>
      </w:tr>
    </w:tbl>
    <w:p w:rsidR="005E3062" w:rsidRPr="00CA2CB8" w:rsidRDefault="00125653" w:rsidP="00125653">
      <w:pPr>
        <w:rPr>
          <w:i/>
          <w:color w:val="000000"/>
          <w:sz w:val="22"/>
          <w:szCs w:val="22"/>
        </w:rPr>
      </w:pPr>
      <w:r w:rsidRPr="00CA2CB8">
        <w:rPr>
          <w:i/>
          <w:color w:val="000000"/>
          <w:sz w:val="22"/>
          <w:szCs w:val="22"/>
        </w:rPr>
        <w:t>*</w:t>
      </w:r>
      <w:r w:rsidR="00321F58" w:rsidRPr="00CA2CB8">
        <w:rPr>
          <w:i/>
          <w:color w:val="000000"/>
          <w:sz w:val="22"/>
          <w:szCs w:val="22"/>
        </w:rPr>
        <w:t xml:space="preserve">Previously DHCD has included </w:t>
      </w:r>
      <w:r w:rsidRPr="00CA2CB8">
        <w:rPr>
          <w:i/>
          <w:color w:val="000000"/>
          <w:sz w:val="22"/>
          <w:szCs w:val="22"/>
        </w:rPr>
        <w:t>only Expiring Use units when setting benchmarks and determining outcomes for this metric.  This figure includes all RAD and Expiring Use units and DHCD will continue to use this methodology going forward.</w:t>
      </w:r>
    </w:p>
    <w:p w:rsidR="005E3062" w:rsidRPr="003F655B" w:rsidRDefault="005E3062" w:rsidP="005E3062">
      <w:pPr>
        <w:rPr>
          <w:b/>
          <w:bCs/>
          <w:color w:val="000000"/>
          <w:kern w:val="32"/>
          <w:sz w:val="32"/>
          <w:szCs w:val="32"/>
          <w:highlight w:val="yellow"/>
        </w:rPr>
      </w:pPr>
    </w:p>
    <w:p w:rsidR="005E3062" w:rsidRPr="003F655B" w:rsidRDefault="005E3062" w:rsidP="005E3062">
      <w:pPr>
        <w:rPr>
          <w:b/>
          <w:bCs/>
          <w:color w:val="000000"/>
          <w:kern w:val="32"/>
          <w:sz w:val="32"/>
          <w:szCs w:val="32"/>
        </w:rPr>
      </w:pPr>
    </w:p>
    <w:p w:rsidR="005E3062" w:rsidRDefault="005E3062" w:rsidP="003F655B">
      <w:pPr>
        <w:pStyle w:val="Heading1"/>
        <w:rPr>
          <w:rFonts w:ascii="Times New Roman" w:hAnsi="Times New Roman"/>
        </w:rPr>
      </w:pPr>
    </w:p>
    <w:p w:rsidR="00DA58F6" w:rsidRPr="00DA58F6" w:rsidRDefault="00DA58F6" w:rsidP="0028029A"/>
    <w:p w:rsidR="005E3062" w:rsidRPr="003F655B" w:rsidRDefault="005E3062" w:rsidP="005E3062">
      <w:pPr>
        <w:rPr>
          <w:kern w:val="32"/>
          <w:sz w:val="32"/>
          <w:szCs w:val="32"/>
        </w:rPr>
      </w:pPr>
      <w:r w:rsidRPr="003F655B">
        <w:br w:type="page"/>
      </w:r>
    </w:p>
    <w:p w:rsidR="005E3062" w:rsidRPr="003F655B" w:rsidRDefault="005E3062" w:rsidP="005E3062">
      <w:pPr>
        <w:rPr>
          <w:b/>
          <w:color w:val="000000"/>
          <w:u w:val="single"/>
        </w:rPr>
      </w:pPr>
      <w:r w:rsidRPr="003F655B">
        <w:rPr>
          <w:b/>
          <w:color w:val="000000"/>
          <w:u w:val="single"/>
        </w:rPr>
        <w:t>Activity 2012-5:  Family Self Sufficiency Program Enhancements</w:t>
      </w:r>
    </w:p>
    <w:p w:rsidR="005E3062" w:rsidRDefault="005E3062" w:rsidP="005E3062">
      <w:pPr>
        <w:rPr>
          <w:b/>
          <w:color w:val="000000"/>
          <w:u w:val="single"/>
        </w:rPr>
      </w:pPr>
    </w:p>
    <w:p w:rsidR="004C79DF" w:rsidRPr="009E6224" w:rsidRDefault="004C79DF" w:rsidP="004C79DF">
      <w:pPr>
        <w:jc w:val="both"/>
      </w:pPr>
      <w:r w:rsidRPr="009E6224">
        <w:rPr>
          <w:b/>
          <w:color w:val="000000"/>
        </w:rPr>
        <w:t>Description/Update of MTW Activity</w:t>
      </w:r>
      <w:r w:rsidRPr="009E6224">
        <w:rPr>
          <w:color w:val="000000"/>
        </w:rPr>
        <w:t xml:space="preserve">: </w:t>
      </w:r>
      <w:r w:rsidRPr="009E6224">
        <w:t>DHCD uses MTW funds to enhance the existing Family Self-Sufficiency (FSS) Program. These new features will encourage participation and succes</w:t>
      </w:r>
      <w:r w:rsidR="00255F98">
        <w:t>sful completion of the program.</w:t>
      </w:r>
    </w:p>
    <w:p w:rsidR="004C79DF" w:rsidRPr="009E6224" w:rsidRDefault="004C79DF" w:rsidP="004C79DF">
      <w:pPr>
        <w:jc w:val="both"/>
      </w:pPr>
    </w:p>
    <w:p w:rsidR="004C79DF" w:rsidRPr="009E6224" w:rsidRDefault="004C79DF" w:rsidP="004C79DF">
      <w:pPr>
        <w:numPr>
          <w:ilvl w:val="0"/>
          <w:numId w:val="10"/>
        </w:numPr>
        <w:jc w:val="both"/>
      </w:pPr>
      <w:r w:rsidRPr="009E6224">
        <w:t xml:space="preserve">Provide escrow funds for clients who would otherwise be ineligible for the escrow component of the FSS due to their level of earned income at the time they join the program; </w:t>
      </w:r>
    </w:p>
    <w:p w:rsidR="004C79DF" w:rsidRPr="009E6224" w:rsidRDefault="004C79DF" w:rsidP="004C79DF">
      <w:pPr>
        <w:numPr>
          <w:ilvl w:val="0"/>
          <w:numId w:val="10"/>
        </w:numPr>
        <w:jc w:val="both"/>
      </w:pPr>
      <w:r w:rsidRPr="009E6224">
        <w:t xml:space="preserve">Establish a discretionary fund to assist FSS participants with short term assistance in order to enable household members to participate in employment or educational activities (i.e., funding for car insurance or child care, etc.); </w:t>
      </w:r>
    </w:p>
    <w:p w:rsidR="004C79DF" w:rsidRPr="009E6224" w:rsidRDefault="004C79DF" w:rsidP="004C79DF">
      <w:pPr>
        <w:numPr>
          <w:ilvl w:val="0"/>
          <w:numId w:val="10"/>
        </w:numPr>
        <w:jc w:val="both"/>
      </w:pPr>
      <w:r w:rsidRPr="009E6224">
        <w:t xml:space="preserve">Set aside funding to reward families who choose to delay full-time employment in order to pursue education and/or training which will better prepare them to attain long-term self-sufficiency than immediate entry into the work force; </w:t>
      </w:r>
    </w:p>
    <w:p w:rsidR="004C79DF" w:rsidRPr="009E6224" w:rsidRDefault="004C79DF" w:rsidP="004C79DF">
      <w:pPr>
        <w:numPr>
          <w:ilvl w:val="0"/>
          <w:numId w:val="10"/>
        </w:numPr>
        <w:jc w:val="both"/>
      </w:pPr>
      <w:r w:rsidRPr="009E6224">
        <w:t xml:space="preserve">Establish goal-specific incentive payments to be awarded when a family attains an established goal (i.e., completion of a GED, successful completion of a semester of college courses, etc.). </w:t>
      </w:r>
    </w:p>
    <w:p w:rsidR="004C79DF" w:rsidRPr="009E6224" w:rsidRDefault="004C79DF" w:rsidP="004C79DF">
      <w:pPr>
        <w:jc w:val="both"/>
      </w:pPr>
    </w:p>
    <w:p w:rsidR="004C79DF" w:rsidRPr="009E6224" w:rsidRDefault="004C79DF" w:rsidP="004C79DF">
      <w:pPr>
        <w:jc w:val="both"/>
      </w:pPr>
      <w:r w:rsidRPr="009E6224">
        <w:t>DHCD and RAA senior staff and FSS Coordinators met and discussed potential changes to the FSS program and the most effective strategies for implementing those changes.  In November of 2013, DHCD began utilizing some of the revised strategies to strengthen the FSS program by improving the retention rate, increasing participants ability to access employment and or educational opportunities by providing “gap” funding to address financial barriers to employment, and increasing participants’ long-term economic capacity by providing incentives to encourage participants to complete education and training programs before entering the workforce.</w:t>
      </w:r>
    </w:p>
    <w:p w:rsidR="004C79DF" w:rsidRPr="002B73D3" w:rsidRDefault="004C79DF" w:rsidP="004C79DF">
      <w:pPr>
        <w:tabs>
          <w:tab w:val="left" w:pos="3240"/>
        </w:tabs>
        <w:jc w:val="both"/>
        <w:rPr>
          <w:color w:val="000000"/>
        </w:rPr>
      </w:pPr>
      <w:r w:rsidRPr="002B73D3">
        <w:rPr>
          <w:color w:val="000000"/>
        </w:rPr>
        <w:tab/>
      </w:r>
    </w:p>
    <w:p w:rsidR="004C79DF" w:rsidRDefault="004C79DF" w:rsidP="004C79DF">
      <w:pPr>
        <w:jc w:val="both"/>
        <w:rPr>
          <w:color w:val="000000"/>
        </w:rPr>
      </w:pPr>
      <w:r w:rsidRPr="009E6224">
        <w:rPr>
          <w:color w:val="000000"/>
        </w:rPr>
        <w:t xml:space="preserve">In January 2014, DHCD implemented the revisions to the enhanced FSS program including:  </w:t>
      </w:r>
    </w:p>
    <w:p w:rsidR="0093598B" w:rsidRPr="009E6224" w:rsidRDefault="0093598B" w:rsidP="004C79DF">
      <w:pPr>
        <w:jc w:val="both"/>
        <w:rPr>
          <w:color w:val="000000"/>
        </w:rPr>
      </w:pPr>
    </w:p>
    <w:p w:rsidR="004C79DF" w:rsidRPr="009E6224" w:rsidRDefault="004C79DF" w:rsidP="004C79DF">
      <w:pPr>
        <w:numPr>
          <w:ilvl w:val="0"/>
          <w:numId w:val="18"/>
        </w:numPr>
        <w:jc w:val="both"/>
        <w:rPr>
          <w:color w:val="000000"/>
        </w:rPr>
      </w:pPr>
      <w:r w:rsidRPr="009E6224">
        <w:rPr>
          <w:color w:val="000000"/>
        </w:rPr>
        <w:t>Placement of an absolute cap on the amount of escrow regardless of prior FSS participation at any of DHCD’s RAAs statewide.  The cap, which may be periodically reviewed and updated at DHCD’s discretion, will be set at $25,000 per household;</w:t>
      </w:r>
    </w:p>
    <w:p w:rsidR="004C79DF" w:rsidRPr="009E6224" w:rsidRDefault="004C79DF" w:rsidP="004C79DF">
      <w:pPr>
        <w:numPr>
          <w:ilvl w:val="0"/>
          <w:numId w:val="18"/>
        </w:numPr>
        <w:jc w:val="both"/>
        <w:rPr>
          <w:color w:val="000000"/>
        </w:rPr>
      </w:pPr>
      <w:r w:rsidRPr="009E6224">
        <w:rPr>
          <w:color w:val="000000"/>
        </w:rPr>
        <w:t xml:space="preserve">Modification to the requirement that an FSS applicant must have an interim or annual recertification within 120 days prior to FSS enrollment; </w:t>
      </w:r>
    </w:p>
    <w:p w:rsidR="004C79DF" w:rsidRPr="009E6224" w:rsidRDefault="004C79DF" w:rsidP="004C79DF">
      <w:pPr>
        <w:numPr>
          <w:ilvl w:val="0"/>
          <w:numId w:val="18"/>
        </w:numPr>
        <w:jc w:val="both"/>
        <w:rPr>
          <w:color w:val="000000"/>
        </w:rPr>
      </w:pPr>
      <w:r w:rsidRPr="009E6224">
        <w:rPr>
          <w:color w:val="000000"/>
        </w:rPr>
        <w:t xml:space="preserve">Modification of the extension policy to allow for six month extensions for up to two years with revised extension eligibility requirements; </w:t>
      </w:r>
    </w:p>
    <w:p w:rsidR="004C79DF" w:rsidRPr="009E6224" w:rsidRDefault="004C79DF" w:rsidP="004C79DF">
      <w:pPr>
        <w:numPr>
          <w:ilvl w:val="0"/>
          <w:numId w:val="18"/>
        </w:numPr>
        <w:jc w:val="both"/>
        <w:rPr>
          <w:color w:val="000000"/>
        </w:rPr>
      </w:pPr>
      <w:r w:rsidRPr="009E6224">
        <w:rPr>
          <w:color w:val="000000"/>
        </w:rPr>
        <w:t>Modification of the FSS re-enrollment eligibility criteria to require that re-applicants demonstrate consistent progress since</w:t>
      </w:r>
      <w:r w:rsidR="0093598B">
        <w:rPr>
          <w:color w:val="000000"/>
        </w:rPr>
        <w:t xml:space="preserve"> prior FSS participation ended.</w:t>
      </w:r>
      <w:r w:rsidRPr="009E6224">
        <w:rPr>
          <w:color w:val="000000"/>
        </w:rPr>
        <w:t xml:space="preserve">  DHCD will provide an exception when the participant loses a job due to no fault of their own; </w:t>
      </w:r>
    </w:p>
    <w:p w:rsidR="004C79DF" w:rsidRPr="009E6224" w:rsidRDefault="004C79DF" w:rsidP="004C79DF">
      <w:pPr>
        <w:numPr>
          <w:ilvl w:val="0"/>
          <w:numId w:val="18"/>
        </w:numPr>
        <w:jc w:val="both"/>
        <w:rPr>
          <w:color w:val="000000"/>
        </w:rPr>
      </w:pPr>
      <w:r w:rsidRPr="009E6224">
        <w:rPr>
          <w:color w:val="000000"/>
        </w:rPr>
        <w:t>Modification to the escrow calculation methodology by calculating FSS credits using the same method for all participa</w:t>
      </w:r>
      <w:r w:rsidR="0093598B">
        <w:rPr>
          <w:color w:val="000000"/>
        </w:rPr>
        <w:t>nts regardless of income level.</w:t>
      </w:r>
      <w:r w:rsidRPr="009E6224">
        <w:rPr>
          <w:color w:val="000000"/>
        </w:rPr>
        <w:t xml:space="preserve">  The method used for very low income households will apply to all participants; and,</w:t>
      </w:r>
    </w:p>
    <w:p w:rsidR="004C79DF" w:rsidRDefault="004C79DF" w:rsidP="004C79DF">
      <w:pPr>
        <w:numPr>
          <w:ilvl w:val="0"/>
          <w:numId w:val="18"/>
        </w:numPr>
        <w:jc w:val="both"/>
        <w:rPr>
          <w:color w:val="000000"/>
        </w:rPr>
      </w:pPr>
      <w:r w:rsidRPr="009E6224">
        <w:rPr>
          <w:color w:val="000000"/>
        </w:rPr>
        <w:t xml:space="preserve">Establishment of an incentive payment for FSS graduates that choose to withdraw from the HCV program within 2 years of completion of the FSS program and who apply and are approved for homeownership.  The initial incentive payment amount, which may be periodically reviewed and updated at DHCD’s discretion, will be set at $5,000 per household.  </w:t>
      </w:r>
    </w:p>
    <w:p w:rsidR="002D30F9" w:rsidRDefault="002D30F9" w:rsidP="002D30F9">
      <w:pPr>
        <w:jc w:val="both"/>
        <w:rPr>
          <w:color w:val="000000"/>
        </w:rPr>
      </w:pPr>
    </w:p>
    <w:p w:rsidR="00E327E5" w:rsidRDefault="00E327E5" w:rsidP="002D30F9">
      <w:pPr>
        <w:jc w:val="both"/>
        <w:rPr>
          <w:color w:val="000000"/>
        </w:rPr>
      </w:pPr>
      <w:r>
        <w:rPr>
          <w:color w:val="000000"/>
        </w:rPr>
        <w:t>T</w:t>
      </w:r>
      <w:r w:rsidR="002D30F9">
        <w:rPr>
          <w:color w:val="000000"/>
        </w:rPr>
        <w:t>o encourage the goal of homeownership for applicable households in the FSS program, DHCD obtained approval to modify its current FSS program to allow certain households to define a path to homeownership by utilizing individualized homeownership education, financial coaching and a modified savings/escrow component.  To be eligible for the FSS Homeownership Track, households must be current HCV participants, have a goal of obtain</w:t>
      </w:r>
      <w:r w:rsidR="009E38DF">
        <w:rPr>
          <w:color w:val="000000"/>
        </w:rPr>
        <w:t>ing homeownership and have income</w:t>
      </w:r>
      <w:r w:rsidR="002D30F9">
        <w:rPr>
          <w:color w:val="000000"/>
        </w:rPr>
        <w:t xml:space="preserve"> above an established percentage of the Area Median Income.  Participating FSS households will be required to save at least $1,000 per year in a savings account.  DHCD will match the participating household’s savings in a 4:1 ratio up to $4,000 per year for a maximum of three years.  Escrow earned by these households will only be available for home purchases and/or up to $5,000 may be used for a reserve account for future </w:t>
      </w:r>
      <w:r>
        <w:rPr>
          <w:color w:val="000000"/>
        </w:rPr>
        <w:t>home repairs and maintenance.  DHCD has not yet implemented this change to the FSS program and will look to implement it in FY 2017.</w:t>
      </w:r>
    </w:p>
    <w:p w:rsidR="00E327E5" w:rsidRDefault="00E327E5" w:rsidP="002D30F9">
      <w:pPr>
        <w:jc w:val="both"/>
        <w:rPr>
          <w:color w:val="000000"/>
        </w:rPr>
      </w:pPr>
    </w:p>
    <w:p w:rsidR="002D30F9" w:rsidRDefault="002D30F9" w:rsidP="002D30F9">
      <w:pPr>
        <w:jc w:val="both"/>
        <w:rPr>
          <w:color w:val="000000"/>
        </w:rPr>
      </w:pPr>
      <w:r>
        <w:rPr>
          <w:color w:val="000000"/>
        </w:rPr>
        <w:t xml:space="preserve">In concert with implementation of DHCD’s rent simplification initiative, DHCD will modify the escrow calculation to reflect use of the Tiered Rent Table (no UAs) in place of the TTP.  DHCD will continue to apply the $25,000 cap to family escrow.  In response to program changes, DHCD will review and may modify the escrow calculation methodology. </w:t>
      </w:r>
    </w:p>
    <w:p w:rsidR="004C79DF" w:rsidRPr="009E6224" w:rsidRDefault="004C79DF" w:rsidP="004C79DF">
      <w:pPr>
        <w:jc w:val="both"/>
        <w:rPr>
          <w:color w:val="000000"/>
        </w:rPr>
      </w:pPr>
    </w:p>
    <w:p w:rsidR="004C79DF" w:rsidRPr="009E6224" w:rsidRDefault="00663DFF" w:rsidP="004C79DF">
      <w:pPr>
        <w:jc w:val="both"/>
        <w:rPr>
          <w:color w:val="000000"/>
        </w:rPr>
      </w:pPr>
      <w:r w:rsidRPr="00C51094">
        <w:rPr>
          <w:color w:val="000000"/>
        </w:rPr>
        <w:t>In FY 2017</w:t>
      </w:r>
      <w:r w:rsidR="00C51094" w:rsidRPr="00C51094">
        <w:rPr>
          <w:color w:val="000000"/>
        </w:rPr>
        <w:t>, DHCD anticipates that 200</w:t>
      </w:r>
      <w:r w:rsidR="004C79DF" w:rsidRPr="00C51094">
        <w:rPr>
          <w:color w:val="000000"/>
        </w:rPr>
        <w:t xml:space="preserve"> new participants will join the FSS program.</w:t>
      </w:r>
    </w:p>
    <w:p w:rsidR="004C79DF" w:rsidRPr="003C226D" w:rsidRDefault="004C79DF" w:rsidP="004C79DF">
      <w:pPr>
        <w:ind w:left="360"/>
        <w:jc w:val="both"/>
        <w:rPr>
          <w:color w:val="000000"/>
          <w:sz w:val="18"/>
          <w:highlight w:val="yellow"/>
        </w:rPr>
      </w:pPr>
    </w:p>
    <w:p w:rsidR="005C5B0A" w:rsidRPr="002C3D7A" w:rsidRDefault="004C79DF" w:rsidP="005C5B0A">
      <w:pPr>
        <w:jc w:val="both"/>
        <w:rPr>
          <w:b/>
          <w:color w:val="000000"/>
        </w:rPr>
      </w:pPr>
      <w:r w:rsidRPr="00A37911">
        <w:rPr>
          <w:b/>
          <w:color w:val="000000"/>
        </w:rPr>
        <w:t>Proposed Changes</w:t>
      </w:r>
      <w:r w:rsidR="002D30F9">
        <w:rPr>
          <w:b/>
          <w:color w:val="000000"/>
        </w:rPr>
        <w:t>:</w:t>
      </w:r>
      <w:r w:rsidR="00BC46D9">
        <w:rPr>
          <w:b/>
          <w:color w:val="000000"/>
        </w:rPr>
        <w:t xml:space="preserve"> </w:t>
      </w:r>
      <w:r w:rsidR="002C3D7A">
        <w:rPr>
          <w:color w:val="000000"/>
        </w:rPr>
        <w:t xml:space="preserve">DHCD may also consider piloting a program that provides participants with </w:t>
      </w:r>
      <w:r w:rsidR="00630434">
        <w:rPr>
          <w:color w:val="000000"/>
        </w:rPr>
        <w:t xml:space="preserve">additional </w:t>
      </w:r>
      <w:r w:rsidR="002C3D7A">
        <w:rPr>
          <w:color w:val="000000"/>
        </w:rPr>
        <w:t>cash incentives to accomplish meaningful short term goals</w:t>
      </w:r>
      <w:r w:rsidR="00630434">
        <w:rPr>
          <w:color w:val="000000"/>
        </w:rPr>
        <w:t xml:space="preserve"> that are outside of </w:t>
      </w:r>
      <w:r w:rsidR="00F70AE1">
        <w:rPr>
          <w:color w:val="000000"/>
        </w:rPr>
        <w:t xml:space="preserve">the existing FSS </w:t>
      </w:r>
      <w:r w:rsidR="00630434">
        <w:rPr>
          <w:color w:val="000000"/>
        </w:rPr>
        <w:t>education</w:t>
      </w:r>
      <w:r w:rsidR="00F70AE1">
        <w:rPr>
          <w:color w:val="000000"/>
        </w:rPr>
        <w:t xml:space="preserve"> incentives, such as </w:t>
      </w:r>
      <w:r w:rsidR="00630434">
        <w:rPr>
          <w:color w:val="000000"/>
        </w:rPr>
        <w:t>a stepped incentive for increasing a credit score or incentive for maintaining employment</w:t>
      </w:r>
      <w:r w:rsidR="002C3D7A">
        <w:rPr>
          <w:color w:val="000000"/>
        </w:rPr>
        <w:t xml:space="preserve">.   </w:t>
      </w:r>
      <w:r w:rsidR="00F70AE1">
        <w:rPr>
          <w:color w:val="000000"/>
        </w:rPr>
        <w:t>All s</w:t>
      </w:r>
      <w:r w:rsidR="00630434">
        <w:rPr>
          <w:color w:val="000000"/>
        </w:rPr>
        <w:t xml:space="preserve">hort-term FSS incentive payments will be deducted from the life-time escrow cap. </w:t>
      </w:r>
      <w:r w:rsidR="005442B1">
        <w:rPr>
          <w:color w:val="000000"/>
        </w:rPr>
        <w:t xml:space="preserve">  </w:t>
      </w:r>
    </w:p>
    <w:p w:rsidR="00A83B93" w:rsidRDefault="00A83B93" w:rsidP="004C79DF">
      <w:pPr>
        <w:jc w:val="both"/>
        <w:rPr>
          <w:color w:val="000000"/>
        </w:rPr>
      </w:pPr>
    </w:p>
    <w:p w:rsidR="004C79DF" w:rsidRPr="003F655B" w:rsidRDefault="004C79DF" w:rsidP="00925298">
      <w:pPr>
        <w:jc w:val="both"/>
        <w:rPr>
          <w:b/>
          <w:color w:val="000000"/>
        </w:rPr>
      </w:pPr>
      <w:r w:rsidRPr="003F655B">
        <w:rPr>
          <w:b/>
          <w:color w:val="000000"/>
        </w:rPr>
        <w:t>Approval and Implementation:</w:t>
      </w:r>
      <w:r w:rsidRPr="003F655B">
        <w:rPr>
          <w:color w:val="000000"/>
        </w:rPr>
        <w:t xml:space="preserve"> 2012 – Implementation activities began in FY 2013.</w:t>
      </w:r>
    </w:p>
    <w:p w:rsidR="004C79DF" w:rsidRPr="003F655B" w:rsidRDefault="004C79DF" w:rsidP="00925298">
      <w:pPr>
        <w:jc w:val="both"/>
        <w:rPr>
          <w:b/>
          <w:color w:val="000000"/>
        </w:rPr>
      </w:pPr>
    </w:p>
    <w:p w:rsidR="004C79DF" w:rsidRPr="00FA32AA" w:rsidRDefault="004C79DF" w:rsidP="00925298">
      <w:pPr>
        <w:jc w:val="both"/>
        <w:rPr>
          <w:color w:val="000000"/>
        </w:rPr>
      </w:pPr>
      <w:r>
        <w:rPr>
          <w:b/>
        </w:rPr>
        <w:t xml:space="preserve">Changes to Baseline, Benchmarks &amp; Metrics: </w:t>
      </w:r>
      <w:r>
        <w:rPr>
          <w:color w:val="000000"/>
        </w:rPr>
        <w:t xml:space="preserve">The benchmarks were updated to reflect changes in participant </w:t>
      </w:r>
      <w:r w:rsidR="00630434">
        <w:rPr>
          <w:color w:val="000000"/>
        </w:rPr>
        <w:t>outcomes anticipated for FY 2017</w:t>
      </w:r>
      <w:r>
        <w:rPr>
          <w:color w:val="000000"/>
        </w:rPr>
        <w:t xml:space="preserve">.  </w:t>
      </w:r>
      <w:r w:rsidRPr="003B78B3">
        <w:t>DHCD will report on outcomes in the MTW Annual Report.</w:t>
      </w:r>
    </w:p>
    <w:p w:rsidR="004C79DF" w:rsidRPr="003C226D" w:rsidRDefault="004C79DF" w:rsidP="004C79DF">
      <w:pPr>
        <w:jc w:val="both"/>
        <w:rPr>
          <w:b/>
          <w:color w:val="000000"/>
          <w:sz w:val="18"/>
        </w:rPr>
      </w:pPr>
    </w:p>
    <w:p w:rsidR="004C79DF" w:rsidRDefault="004C79DF" w:rsidP="004C79DF">
      <w:pPr>
        <w:jc w:val="both"/>
        <w:rPr>
          <w:color w:val="000000"/>
        </w:rPr>
      </w:pPr>
      <w:r>
        <w:rPr>
          <w:b/>
          <w:color w:val="000000"/>
        </w:rPr>
        <w:t>Metrics</w:t>
      </w:r>
      <w:r w:rsidRPr="003F655B">
        <w:rPr>
          <w:color w:val="000000"/>
        </w:rPr>
        <w:t xml:space="preserve">:  </w:t>
      </w:r>
    </w:p>
    <w:p w:rsidR="004C79DF" w:rsidRPr="003C226D" w:rsidRDefault="004C79DF" w:rsidP="004C79DF">
      <w:pPr>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66"/>
        <w:gridCol w:w="1872"/>
        <w:gridCol w:w="1854"/>
        <w:gridCol w:w="1872"/>
      </w:tblGrid>
      <w:tr w:rsidR="004C79DF" w:rsidRPr="00F85A23" w:rsidTr="00234F31">
        <w:trPr>
          <w:trHeight w:val="296"/>
        </w:trPr>
        <w:tc>
          <w:tcPr>
            <w:tcW w:w="9576" w:type="dxa"/>
            <w:gridSpan w:val="5"/>
            <w:shd w:val="clear" w:color="auto" w:fill="C6D9F1" w:themeFill="text2" w:themeFillTint="33"/>
          </w:tcPr>
          <w:p w:rsidR="004C79DF" w:rsidRPr="00F85A23" w:rsidRDefault="004C79DF" w:rsidP="004C79DF">
            <w:pPr>
              <w:jc w:val="center"/>
              <w:rPr>
                <w:rFonts w:eastAsia="Calibri"/>
                <w:b/>
                <w:bCs/>
                <w:i/>
                <w:iCs/>
                <w:sz w:val="22"/>
                <w:szCs w:val="22"/>
              </w:rPr>
            </w:pPr>
            <w:r w:rsidRPr="00F85A23">
              <w:rPr>
                <w:rFonts w:eastAsia="Calibri"/>
                <w:b/>
                <w:bCs/>
                <w:i/>
                <w:iCs/>
                <w:sz w:val="22"/>
                <w:szCs w:val="22"/>
              </w:rPr>
              <w:t>SS #1: Increase in Household Income</w:t>
            </w:r>
          </w:p>
        </w:tc>
      </w:tr>
      <w:tr w:rsidR="004C79DF" w:rsidRPr="00F85A23" w:rsidTr="004C79DF">
        <w:trPr>
          <w:trHeight w:val="296"/>
        </w:trPr>
        <w:tc>
          <w:tcPr>
            <w:tcW w:w="1915" w:type="dxa"/>
            <w:shd w:val="clear" w:color="auto" w:fill="D9D9D9" w:themeFill="background1" w:themeFillShade="D9"/>
            <w:vAlign w:val="center"/>
          </w:tcPr>
          <w:p w:rsidR="004C79DF" w:rsidRPr="00F85A23" w:rsidRDefault="004C79DF" w:rsidP="00234F31">
            <w:pPr>
              <w:jc w:val="center"/>
              <w:rPr>
                <w:rFonts w:eastAsia="Calibri"/>
                <w:b/>
                <w:bCs/>
                <w:sz w:val="22"/>
                <w:szCs w:val="22"/>
              </w:rPr>
            </w:pPr>
            <w:r w:rsidRPr="00F85A23">
              <w:rPr>
                <w:rFonts w:eastAsia="Calibri"/>
                <w:b/>
                <w:bCs/>
                <w:sz w:val="22"/>
                <w:szCs w:val="22"/>
              </w:rPr>
              <w:t>Unit of Measurement</w:t>
            </w:r>
          </w:p>
        </w:tc>
        <w:tc>
          <w:tcPr>
            <w:tcW w:w="1915" w:type="dxa"/>
            <w:shd w:val="clear" w:color="auto" w:fill="D9D9D9" w:themeFill="background1" w:themeFillShade="D9"/>
            <w:vAlign w:val="center"/>
          </w:tcPr>
          <w:p w:rsidR="004C79DF" w:rsidRPr="00F85A23" w:rsidRDefault="004C79DF" w:rsidP="00234F31">
            <w:pPr>
              <w:jc w:val="center"/>
              <w:rPr>
                <w:rFonts w:eastAsia="Calibri"/>
                <w:b/>
                <w:bCs/>
                <w:sz w:val="22"/>
                <w:szCs w:val="22"/>
              </w:rPr>
            </w:pPr>
            <w:r w:rsidRPr="00F85A23">
              <w:rPr>
                <w:rFonts w:eastAsia="Calibri"/>
                <w:b/>
                <w:bCs/>
                <w:sz w:val="22"/>
                <w:szCs w:val="22"/>
              </w:rPr>
              <w:t>Baseline</w:t>
            </w:r>
          </w:p>
        </w:tc>
        <w:tc>
          <w:tcPr>
            <w:tcW w:w="1915" w:type="dxa"/>
            <w:shd w:val="clear" w:color="auto" w:fill="D9D9D9" w:themeFill="background1" w:themeFillShade="D9"/>
            <w:vAlign w:val="center"/>
          </w:tcPr>
          <w:p w:rsidR="004C79DF" w:rsidRPr="00F85A23" w:rsidRDefault="004C79DF" w:rsidP="00234F31">
            <w:pPr>
              <w:jc w:val="center"/>
              <w:rPr>
                <w:rFonts w:eastAsia="Calibri"/>
                <w:b/>
                <w:bCs/>
                <w:sz w:val="22"/>
                <w:szCs w:val="22"/>
              </w:rPr>
            </w:pPr>
            <w:r w:rsidRPr="00F85A23">
              <w:rPr>
                <w:rFonts w:eastAsia="Calibri"/>
                <w:b/>
                <w:bCs/>
                <w:sz w:val="22"/>
                <w:szCs w:val="22"/>
              </w:rPr>
              <w:t>Benchmark</w:t>
            </w:r>
          </w:p>
        </w:tc>
        <w:tc>
          <w:tcPr>
            <w:tcW w:w="1915" w:type="dxa"/>
            <w:shd w:val="clear" w:color="auto" w:fill="D9D9D9" w:themeFill="background1" w:themeFillShade="D9"/>
            <w:vAlign w:val="center"/>
          </w:tcPr>
          <w:p w:rsidR="004C79DF" w:rsidRPr="00F85A23" w:rsidRDefault="004C79DF" w:rsidP="00234F31">
            <w:pPr>
              <w:jc w:val="center"/>
              <w:rPr>
                <w:rFonts w:eastAsia="Calibri"/>
                <w:b/>
                <w:bCs/>
                <w:sz w:val="22"/>
                <w:szCs w:val="22"/>
              </w:rPr>
            </w:pPr>
            <w:r w:rsidRPr="00F85A23">
              <w:rPr>
                <w:rFonts w:eastAsia="Calibri"/>
                <w:b/>
                <w:bCs/>
                <w:sz w:val="22"/>
                <w:szCs w:val="22"/>
              </w:rPr>
              <w:t>Outcome</w:t>
            </w:r>
          </w:p>
        </w:tc>
        <w:tc>
          <w:tcPr>
            <w:tcW w:w="1916" w:type="dxa"/>
            <w:shd w:val="clear" w:color="auto" w:fill="D9D9D9" w:themeFill="background1" w:themeFillShade="D9"/>
            <w:vAlign w:val="center"/>
          </w:tcPr>
          <w:p w:rsidR="004C79DF" w:rsidRPr="00F85A23" w:rsidRDefault="004C79DF" w:rsidP="00234F31">
            <w:pPr>
              <w:jc w:val="center"/>
              <w:rPr>
                <w:rFonts w:eastAsia="Calibri"/>
                <w:b/>
                <w:bCs/>
                <w:sz w:val="22"/>
                <w:szCs w:val="22"/>
              </w:rPr>
            </w:pPr>
            <w:r w:rsidRPr="00F85A23">
              <w:rPr>
                <w:rFonts w:eastAsia="Calibri"/>
                <w:b/>
                <w:bCs/>
                <w:sz w:val="22"/>
                <w:szCs w:val="22"/>
              </w:rPr>
              <w:t>Benchmark Achieved?</w:t>
            </w:r>
          </w:p>
        </w:tc>
      </w:tr>
      <w:tr w:rsidR="004C79DF" w:rsidRPr="00F85A23" w:rsidTr="004C79DF">
        <w:trPr>
          <w:trHeight w:val="296"/>
        </w:trPr>
        <w:tc>
          <w:tcPr>
            <w:tcW w:w="1915" w:type="dxa"/>
            <w:shd w:val="clear" w:color="auto" w:fill="auto"/>
          </w:tcPr>
          <w:p w:rsidR="004C79DF" w:rsidRDefault="004C79DF" w:rsidP="004C79DF">
            <w:pPr>
              <w:rPr>
                <w:rFonts w:eastAsia="Calibri"/>
                <w:sz w:val="22"/>
                <w:szCs w:val="22"/>
              </w:rPr>
            </w:pPr>
            <w:r w:rsidRPr="00F85A23">
              <w:rPr>
                <w:rFonts w:eastAsia="Calibri"/>
                <w:sz w:val="22"/>
                <w:szCs w:val="22"/>
              </w:rPr>
              <w:t>Average earned income of households affected by this policy in dollars (increase).</w:t>
            </w:r>
          </w:p>
          <w:p w:rsidR="00234F31" w:rsidRDefault="00234F31" w:rsidP="004C79DF">
            <w:pPr>
              <w:rPr>
                <w:rFonts w:eastAsia="Calibri"/>
                <w:sz w:val="22"/>
                <w:szCs w:val="22"/>
              </w:rPr>
            </w:pPr>
          </w:p>
          <w:p w:rsidR="00234F31" w:rsidRDefault="00234F31" w:rsidP="004C79DF">
            <w:pPr>
              <w:rPr>
                <w:rFonts w:eastAsia="Calibri"/>
                <w:sz w:val="22"/>
                <w:szCs w:val="22"/>
              </w:rPr>
            </w:pPr>
          </w:p>
          <w:p w:rsidR="00234F31" w:rsidRPr="00F85A23" w:rsidRDefault="00234F31" w:rsidP="004C79DF">
            <w:pPr>
              <w:rPr>
                <w:rFonts w:eastAsia="Calibri"/>
                <w:sz w:val="22"/>
                <w:szCs w:val="22"/>
              </w:rPr>
            </w:pPr>
          </w:p>
        </w:tc>
        <w:tc>
          <w:tcPr>
            <w:tcW w:w="1915" w:type="dxa"/>
            <w:shd w:val="clear" w:color="auto" w:fill="auto"/>
          </w:tcPr>
          <w:p w:rsidR="004C79DF" w:rsidRPr="00F85A23" w:rsidRDefault="004C79DF" w:rsidP="004C79DF">
            <w:pPr>
              <w:jc w:val="center"/>
              <w:rPr>
                <w:rFonts w:eastAsia="Calibri"/>
                <w:sz w:val="22"/>
                <w:szCs w:val="22"/>
              </w:rPr>
            </w:pPr>
            <w:r w:rsidRPr="00F85A23">
              <w:rPr>
                <w:rFonts w:eastAsia="Calibri"/>
                <w:sz w:val="22"/>
                <w:szCs w:val="22"/>
              </w:rPr>
              <w:t>$</w:t>
            </w:r>
            <w:r>
              <w:rPr>
                <w:rFonts w:eastAsia="Calibri"/>
                <w:sz w:val="22"/>
                <w:szCs w:val="22"/>
              </w:rPr>
              <w:t>20,554</w:t>
            </w:r>
          </w:p>
        </w:tc>
        <w:tc>
          <w:tcPr>
            <w:tcW w:w="1915" w:type="dxa"/>
            <w:shd w:val="clear" w:color="auto" w:fill="auto"/>
          </w:tcPr>
          <w:p w:rsidR="004C79DF" w:rsidRPr="00F85A23" w:rsidRDefault="004C79DF" w:rsidP="004C79DF">
            <w:pPr>
              <w:jc w:val="center"/>
              <w:rPr>
                <w:rFonts w:eastAsia="Calibri"/>
                <w:bCs/>
                <w:sz w:val="22"/>
                <w:szCs w:val="22"/>
              </w:rPr>
            </w:pPr>
            <w:r w:rsidRPr="003B114B">
              <w:rPr>
                <w:rFonts w:eastAsia="Calibri"/>
                <w:bCs/>
                <w:sz w:val="22"/>
                <w:szCs w:val="22"/>
              </w:rPr>
              <w:t>$2</w:t>
            </w:r>
            <w:r w:rsidR="003B114B" w:rsidRPr="003B114B">
              <w:rPr>
                <w:rFonts w:eastAsia="Calibri"/>
                <w:bCs/>
                <w:sz w:val="22"/>
                <w:szCs w:val="22"/>
              </w:rPr>
              <w:t>3,450</w:t>
            </w:r>
          </w:p>
        </w:tc>
        <w:tc>
          <w:tcPr>
            <w:tcW w:w="1915" w:type="dxa"/>
            <w:shd w:val="clear" w:color="auto" w:fill="auto"/>
          </w:tcPr>
          <w:p w:rsidR="004C79DF" w:rsidRPr="00F85A23" w:rsidRDefault="004C79DF" w:rsidP="004C79DF">
            <w:pPr>
              <w:rPr>
                <w:rFonts w:eastAsia="Calibri"/>
                <w:bCs/>
                <w:sz w:val="22"/>
                <w:szCs w:val="22"/>
              </w:rPr>
            </w:pPr>
          </w:p>
        </w:tc>
        <w:tc>
          <w:tcPr>
            <w:tcW w:w="1916" w:type="dxa"/>
            <w:shd w:val="clear" w:color="auto" w:fill="auto"/>
          </w:tcPr>
          <w:p w:rsidR="004C79DF" w:rsidRPr="00F85A23" w:rsidRDefault="004C79DF" w:rsidP="004C79DF">
            <w:pPr>
              <w:rPr>
                <w:rFonts w:eastAsia="Calibri"/>
                <w:b/>
                <w:bCs/>
                <w:sz w:val="22"/>
                <w:szCs w:val="22"/>
              </w:rPr>
            </w:pPr>
          </w:p>
        </w:tc>
      </w:tr>
      <w:tr w:rsidR="004C79DF" w:rsidRPr="00F85A23" w:rsidTr="00234F31">
        <w:trPr>
          <w:trHeight w:val="296"/>
        </w:trPr>
        <w:tc>
          <w:tcPr>
            <w:tcW w:w="9576" w:type="dxa"/>
            <w:gridSpan w:val="5"/>
            <w:shd w:val="clear" w:color="auto" w:fill="C6D9F1" w:themeFill="text2" w:themeFillTint="33"/>
            <w:hideMark/>
          </w:tcPr>
          <w:p w:rsidR="004C79DF" w:rsidRPr="00F85A23" w:rsidRDefault="004C79DF" w:rsidP="004C79DF">
            <w:pPr>
              <w:jc w:val="center"/>
              <w:rPr>
                <w:rFonts w:eastAsia="Calibri"/>
                <w:b/>
                <w:bCs/>
                <w:i/>
                <w:iCs/>
                <w:sz w:val="22"/>
                <w:szCs w:val="22"/>
              </w:rPr>
            </w:pPr>
            <w:r w:rsidRPr="00F85A23">
              <w:rPr>
                <w:rFonts w:eastAsia="Calibri"/>
                <w:b/>
                <w:bCs/>
                <w:i/>
                <w:iCs/>
                <w:sz w:val="22"/>
                <w:szCs w:val="22"/>
              </w:rPr>
              <w:t>SS #2: Increase in Household Savings</w:t>
            </w:r>
          </w:p>
        </w:tc>
      </w:tr>
      <w:tr w:rsidR="004C79DF" w:rsidRPr="00F85A23" w:rsidTr="004C79DF">
        <w:trPr>
          <w:trHeight w:val="615"/>
        </w:trPr>
        <w:tc>
          <w:tcPr>
            <w:tcW w:w="1915" w:type="dxa"/>
            <w:shd w:val="clear" w:color="auto" w:fill="D9D9D9" w:themeFill="background1" w:themeFillShade="D9"/>
            <w:vAlign w:val="center"/>
            <w:hideMark/>
          </w:tcPr>
          <w:p w:rsidR="004C79DF" w:rsidRPr="00F85A23" w:rsidRDefault="004C79DF" w:rsidP="004C79DF">
            <w:pPr>
              <w:rPr>
                <w:rFonts w:eastAsia="Calibri"/>
                <w:b/>
                <w:bCs/>
                <w:sz w:val="22"/>
                <w:szCs w:val="22"/>
              </w:rPr>
            </w:pPr>
            <w:r w:rsidRPr="00F85A23">
              <w:rPr>
                <w:rFonts w:eastAsia="Calibri"/>
                <w:b/>
                <w:bCs/>
                <w:sz w:val="22"/>
                <w:szCs w:val="22"/>
              </w:rPr>
              <w:t>Unit of Measurement</w:t>
            </w:r>
          </w:p>
        </w:tc>
        <w:tc>
          <w:tcPr>
            <w:tcW w:w="1915" w:type="dxa"/>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Baseline</w:t>
            </w:r>
          </w:p>
        </w:tc>
        <w:tc>
          <w:tcPr>
            <w:tcW w:w="1915" w:type="dxa"/>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Benchmark</w:t>
            </w:r>
          </w:p>
        </w:tc>
        <w:tc>
          <w:tcPr>
            <w:tcW w:w="1915" w:type="dxa"/>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Outcome</w:t>
            </w:r>
          </w:p>
        </w:tc>
        <w:tc>
          <w:tcPr>
            <w:tcW w:w="1916" w:type="dxa"/>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Benchmark Achieved?</w:t>
            </w:r>
          </w:p>
        </w:tc>
      </w:tr>
      <w:tr w:rsidR="004C79DF" w:rsidRPr="00F85A23" w:rsidTr="004C79DF">
        <w:trPr>
          <w:trHeight w:val="260"/>
        </w:trPr>
        <w:tc>
          <w:tcPr>
            <w:tcW w:w="1915" w:type="dxa"/>
            <w:shd w:val="clear" w:color="auto" w:fill="auto"/>
            <w:hideMark/>
          </w:tcPr>
          <w:p w:rsidR="004C79DF" w:rsidRPr="00F85A23" w:rsidRDefault="004C79DF" w:rsidP="004C79DF">
            <w:pPr>
              <w:rPr>
                <w:rFonts w:eastAsia="Calibri"/>
                <w:sz w:val="22"/>
                <w:szCs w:val="22"/>
              </w:rPr>
            </w:pPr>
            <w:r w:rsidRPr="00F85A23">
              <w:rPr>
                <w:rFonts w:eastAsia="Calibri"/>
                <w:sz w:val="22"/>
                <w:szCs w:val="22"/>
              </w:rPr>
              <w:t xml:space="preserve">Average amount of </w:t>
            </w:r>
            <w:r w:rsidRPr="00F85A23">
              <w:rPr>
                <w:rFonts w:eastAsia="Calibri"/>
                <w:b/>
                <w:sz w:val="22"/>
                <w:szCs w:val="22"/>
              </w:rPr>
              <w:t>escrow</w:t>
            </w:r>
            <w:r w:rsidRPr="00F85A23">
              <w:rPr>
                <w:rFonts w:eastAsia="Calibri"/>
                <w:sz w:val="22"/>
                <w:szCs w:val="22"/>
              </w:rPr>
              <w:t xml:space="preserve"> of households affected by this policy in dollars (increase).</w:t>
            </w:r>
          </w:p>
        </w:tc>
        <w:tc>
          <w:tcPr>
            <w:tcW w:w="1915" w:type="dxa"/>
            <w:shd w:val="clear" w:color="auto" w:fill="auto"/>
            <w:hideMark/>
          </w:tcPr>
          <w:p w:rsidR="004C79DF" w:rsidRPr="00F85A23" w:rsidRDefault="004C79DF" w:rsidP="004C79DF">
            <w:pPr>
              <w:jc w:val="center"/>
              <w:rPr>
                <w:rFonts w:eastAsia="Calibri"/>
                <w:sz w:val="22"/>
                <w:szCs w:val="22"/>
              </w:rPr>
            </w:pPr>
            <w:r w:rsidRPr="00F85A23">
              <w:rPr>
                <w:rFonts w:eastAsia="Calibri"/>
                <w:sz w:val="22"/>
                <w:szCs w:val="22"/>
              </w:rPr>
              <w:t>$0.00</w:t>
            </w:r>
          </w:p>
        </w:tc>
        <w:tc>
          <w:tcPr>
            <w:tcW w:w="1915" w:type="dxa"/>
            <w:shd w:val="clear" w:color="auto" w:fill="auto"/>
            <w:hideMark/>
          </w:tcPr>
          <w:p w:rsidR="004C79DF" w:rsidRPr="00F85A23" w:rsidRDefault="004C79DF" w:rsidP="004C79DF">
            <w:pPr>
              <w:jc w:val="center"/>
              <w:rPr>
                <w:rFonts w:eastAsia="Calibri"/>
                <w:sz w:val="22"/>
                <w:szCs w:val="22"/>
              </w:rPr>
            </w:pPr>
            <w:r w:rsidRPr="003B114B">
              <w:rPr>
                <w:rFonts w:eastAsia="Calibri"/>
                <w:sz w:val="22"/>
                <w:szCs w:val="22"/>
              </w:rPr>
              <w:t>$</w:t>
            </w:r>
            <w:r w:rsidR="003B114B" w:rsidRPr="003B114B">
              <w:rPr>
                <w:rFonts w:eastAsia="Calibri"/>
                <w:sz w:val="22"/>
                <w:szCs w:val="22"/>
              </w:rPr>
              <w:t>4.062</w:t>
            </w:r>
          </w:p>
        </w:tc>
        <w:tc>
          <w:tcPr>
            <w:tcW w:w="1915" w:type="dxa"/>
            <w:shd w:val="clear" w:color="auto" w:fill="auto"/>
          </w:tcPr>
          <w:p w:rsidR="004C79DF" w:rsidRPr="00F85A23" w:rsidRDefault="004C79DF" w:rsidP="004C79DF">
            <w:pPr>
              <w:jc w:val="center"/>
              <w:rPr>
                <w:rFonts w:eastAsia="Calibri"/>
                <w:sz w:val="22"/>
                <w:szCs w:val="22"/>
              </w:rPr>
            </w:pPr>
          </w:p>
        </w:tc>
        <w:tc>
          <w:tcPr>
            <w:tcW w:w="1916" w:type="dxa"/>
            <w:shd w:val="clear" w:color="auto" w:fill="auto"/>
          </w:tcPr>
          <w:p w:rsidR="004C79DF" w:rsidRPr="00F85A23" w:rsidRDefault="004C79DF" w:rsidP="004C79DF">
            <w:pPr>
              <w:jc w:val="center"/>
              <w:rPr>
                <w:rFonts w:eastAsia="Calibri"/>
                <w:sz w:val="22"/>
                <w:szCs w:val="22"/>
              </w:rPr>
            </w:pPr>
          </w:p>
        </w:tc>
      </w:tr>
      <w:tr w:rsidR="004C79DF" w:rsidRPr="00F85A23" w:rsidTr="00234F31">
        <w:trPr>
          <w:trHeight w:val="260"/>
        </w:trPr>
        <w:tc>
          <w:tcPr>
            <w:tcW w:w="9576" w:type="dxa"/>
            <w:gridSpan w:val="5"/>
            <w:tcBorders>
              <w:bottom w:val="single" w:sz="4" w:space="0" w:color="auto"/>
            </w:tcBorders>
            <w:shd w:val="clear" w:color="auto" w:fill="C6D9F1" w:themeFill="text2" w:themeFillTint="33"/>
            <w:hideMark/>
          </w:tcPr>
          <w:p w:rsidR="004C79DF" w:rsidRPr="00F85A23" w:rsidRDefault="004C79DF" w:rsidP="004C79DF">
            <w:pPr>
              <w:jc w:val="center"/>
              <w:rPr>
                <w:rFonts w:eastAsia="Calibri"/>
                <w:b/>
                <w:bCs/>
                <w:i/>
                <w:iCs/>
                <w:sz w:val="22"/>
                <w:szCs w:val="22"/>
              </w:rPr>
            </w:pPr>
            <w:r w:rsidRPr="00F85A23">
              <w:rPr>
                <w:rFonts w:eastAsia="Calibri"/>
                <w:b/>
                <w:bCs/>
                <w:i/>
                <w:iCs/>
                <w:sz w:val="22"/>
                <w:szCs w:val="22"/>
              </w:rPr>
              <w:t>SS #3: Increase in Positive Outcomes in Employment Status</w:t>
            </w:r>
          </w:p>
        </w:tc>
      </w:tr>
      <w:tr w:rsidR="004C79DF" w:rsidRPr="00F85A23" w:rsidTr="004C79DF">
        <w:trPr>
          <w:trHeight w:val="615"/>
        </w:trPr>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9DF" w:rsidRPr="00F85A23" w:rsidRDefault="004C79DF" w:rsidP="004C79DF">
            <w:pPr>
              <w:rPr>
                <w:rFonts w:eastAsia="Calibri"/>
                <w:b/>
                <w:bCs/>
                <w:sz w:val="22"/>
                <w:szCs w:val="22"/>
              </w:rPr>
            </w:pPr>
            <w:r w:rsidRPr="00F85A23">
              <w:rPr>
                <w:rFonts w:eastAsia="Calibri"/>
                <w:b/>
                <w:bCs/>
                <w:sz w:val="22"/>
                <w:szCs w:val="22"/>
              </w:rPr>
              <w:t>Unit of Measurement</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Baseline</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Benchmark</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Outcome</w:t>
            </w:r>
          </w:p>
        </w:tc>
        <w:tc>
          <w:tcPr>
            <w:tcW w:w="1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9DF" w:rsidRPr="00F85A23" w:rsidRDefault="004C79DF" w:rsidP="004C79DF">
            <w:pPr>
              <w:jc w:val="center"/>
              <w:rPr>
                <w:rFonts w:eastAsia="Calibri"/>
                <w:b/>
                <w:bCs/>
                <w:sz w:val="22"/>
                <w:szCs w:val="22"/>
              </w:rPr>
            </w:pPr>
            <w:r w:rsidRPr="00F85A23">
              <w:rPr>
                <w:rFonts w:eastAsia="Calibri"/>
                <w:b/>
                <w:bCs/>
                <w:sz w:val="22"/>
                <w:szCs w:val="22"/>
              </w:rPr>
              <w:t>Benchmark Achieved?</w:t>
            </w:r>
          </w:p>
        </w:tc>
      </w:tr>
      <w:tr w:rsidR="004C79DF" w:rsidRPr="00F85A23" w:rsidTr="004C79DF">
        <w:trPr>
          <w:trHeight w:val="315"/>
        </w:trPr>
        <w:tc>
          <w:tcPr>
            <w:tcW w:w="1915" w:type="dxa"/>
            <w:vMerge w:val="restart"/>
            <w:tcBorders>
              <w:top w:val="single" w:sz="4" w:space="0" w:color="auto"/>
              <w:left w:val="single" w:sz="4" w:space="0" w:color="auto"/>
              <w:right w:val="single" w:sz="4" w:space="0" w:color="auto"/>
            </w:tcBorders>
            <w:shd w:val="clear" w:color="auto" w:fill="auto"/>
            <w:hideMark/>
          </w:tcPr>
          <w:p w:rsidR="004C79DF" w:rsidRPr="00F85A23" w:rsidRDefault="004C79DF" w:rsidP="004C79DF">
            <w:pPr>
              <w:rPr>
                <w:rFonts w:eastAsia="Calibri"/>
                <w:sz w:val="22"/>
                <w:szCs w:val="22"/>
              </w:rPr>
            </w:pPr>
            <w:r w:rsidRPr="00F85A23">
              <w:rPr>
                <w:rFonts w:eastAsia="Calibri"/>
                <w:sz w:val="22"/>
                <w:szCs w:val="22"/>
              </w:rPr>
              <w:t>Unemployed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r>
              <w:rPr>
                <w:rFonts w:eastAsia="Calibri"/>
                <w:sz w:val="22"/>
                <w:szCs w:val="22"/>
              </w:rPr>
              <w:t>501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EF47AB" w:rsidRDefault="00EF47AB" w:rsidP="004C79DF">
            <w:pPr>
              <w:jc w:val="center"/>
              <w:rPr>
                <w:rFonts w:eastAsia="Calibri"/>
                <w:sz w:val="22"/>
                <w:szCs w:val="22"/>
              </w:rPr>
            </w:pPr>
            <w:r w:rsidRPr="00EF47AB">
              <w:rPr>
                <w:rFonts w:eastAsia="Calibri"/>
                <w:sz w:val="22"/>
                <w:szCs w:val="22"/>
              </w:rPr>
              <w:t>358</w:t>
            </w:r>
            <w:r w:rsidR="004C79DF" w:rsidRPr="00EF47AB">
              <w:rPr>
                <w:rFonts w:eastAsia="Calibri"/>
                <w:sz w:val="22"/>
                <w:szCs w:val="22"/>
              </w:rPr>
              <w:t xml:space="preserve">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r>
      <w:tr w:rsidR="004C79DF" w:rsidRPr="00F85A23" w:rsidTr="004C79DF">
        <w:trPr>
          <w:trHeight w:val="315"/>
        </w:trPr>
        <w:tc>
          <w:tcPr>
            <w:tcW w:w="1915" w:type="dxa"/>
            <w:vMerge/>
            <w:tcBorders>
              <w:left w:val="single" w:sz="4" w:space="0" w:color="auto"/>
              <w:bottom w:val="single" w:sz="4" w:space="0" w:color="auto"/>
              <w:right w:val="single" w:sz="4" w:space="0" w:color="auto"/>
            </w:tcBorders>
            <w:shd w:val="clear" w:color="auto" w:fill="auto"/>
            <w:hideMark/>
          </w:tcPr>
          <w:p w:rsidR="004C79DF" w:rsidRPr="00F85A23" w:rsidRDefault="004C79DF" w:rsidP="004C79DF">
            <w:pPr>
              <w:rPr>
                <w:rFonts w:eastAsia="Calibri"/>
                <w:sz w:val="22"/>
                <w:szCs w:val="22"/>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Default="004C79DF" w:rsidP="004C79DF">
            <w:pPr>
              <w:jc w:val="center"/>
              <w:rPr>
                <w:rFonts w:eastAsia="Calibri"/>
                <w:sz w:val="22"/>
                <w:szCs w:val="22"/>
              </w:rPr>
            </w:pPr>
            <w:r>
              <w:rPr>
                <w:rFonts w:eastAsia="Calibri"/>
                <w:sz w:val="22"/>
                <w:szCs w:val="22"/>
              </w:rPr>
              <w:t>57% of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EF47AB" w:rsidRDefault="003B114B" w:rsidP="004C79DF">
            <w:pPr>
              <w:jc w:val="center"/>
              <w:rPr>
                <w:rFonts w:eastAsia="Calibri"/>
                <w:sz w:val="22"/>
                <w:szCs w:val="22"/>
              </w:rPr>
            </w:pPr>
            <w:r w:rsidRPr="00EF47AB">
              <w:rPr>
                <w:rFonts w:eastAsia="Calibri"/>
                <w:sz w:val="22"/>
                <w:szCs w:val="22"/>
              </w:rPr>
              <w:t>40</w:t>
            </w:r>
            <w:r w:rsidR="004C79DF" w:rsidRPr="00EF47AB">
              <w:rPr>
                <w:rFonts w:eastAsia="Calibri"/>
                <w:sz w:val="22"/>
                <w:szCs w:val="22"/>
              </w:rPr>
              <w:t>% of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r>
      <w:tr w:rsidR="004C79DF" w:rsidRPr="00F85A23" w:rsidTr="004C79DF">
        <w:trPr>
          <w:trHeight w:val="315"/>
        </w:trPr>
        <w:tc>
          <w:tcPr>
            <w:tcW w:w="1915" w:type="dxa"/>
            <w:vMerge w:val="restart"/>
            <w:tcBorders>
              <w:top w:val="single" w:sz="4" w:space="0" w:color="auto"/>
              <w:left w:val="single" w:sz="4" w:space="0" w:color="auto"/>
              <w:right w:val="single" w:sz="4" w:space="0" w:color="auto"/>
            </w:tcBorders>
            <w:shd w:val="clear" w:color="auto" w:fill="auto"/>
            <w:hideMark/>
          </w:tcPr>
          <w:p w:rsidR="004C79DF" w:rsidRPr="00F85A23" w:rsidRDefault="004C79DF" w:rsidP="004C79DF">
            <w:pPr>
              <w:rPr>
                <w:rFonts w:eastAsia="Calibri"/>
                <w:sz w:val="22"/>
                <w:szCs w:val="22"/>
              </w:rPr>
            </w:pPr>
            <w:r>
              <w:rPr>
                <w:rFonts w:eastAsia="Calibri"/>
                <w:sz w:val="22"/>
                <w:szCs w:val="22"/>
              </w:rPr>
              <w:t xml:space="preserve">Other - </w:t>
            </w:r>
            <w:r w:rsidRPr="00F85A23">
              <w:rPr>
                <w:rFonts w:eastAsia="Calibri"/>
                <w:sz w:val="22"/>
                <w:szCs w:val="22"/>
              </w:rPr>
              <w:t>Employed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r>
              <w:rPr>
                <w:rFonts w:eastAsia="Calibri"/>
                <w:sz w:val="22"/>
                <w:szCs w:val="22"/>
              </w:rPr>
              <w:t>372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EF47AB" w:rsidRDefault="00EF47AB" w:rsidP="004C79DF">
            <w:pPr>
              <w:jc w:val="center"/>
              <w:rPr>
                <w:rFonts w:eastAsia="Calibri"/>
                <w:sz w:val="22"/>
                <w:szCs w:val="22"/>
              </w:rPr>
            </w:pPr>
            <w:r w:rsidRPr="00EF47AB">
              <w:rPr>
                <w:rFonts w:eastAsia="Calibri"/>
                <w:sz w:val="22"/>
                <w:szCs w:val="22"/>
              </w:rPr>
              <w:t>538</w:t>
            </w:r>
            <w:r w:rsidR="004C79DF" w:rsidRPr="00EF47AB">
              <w:rPr>
                <w:rFonts w:eastAsia="Calibri"/>
                <w:sz w:val="22"/>
                <w:szCs w:val="22"/>
              </w:rPr>
              <w:t xml:space="preserve">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4C79DF" w:rsidRPr="00F85A23" w:rsidRDefault="004C79DF" w:rsidP="004C79DF">
            <w:pPr>
              <w:jc w:val="center"/>
              <w:rPr>
                <w:rFonts w:eastAsia="Calibri"/>
                <w:sz w:val="22"/>
                <w:szCs w:val="22"/>
              </w:rPr>
            </w:pPr>
          </w:p>
        </w:tc>
      </w:tr>
      <w:tr w:rsidR="004C79DF" w:rsidTr="004C79DF">
        <w:trPr>
          <w:trHeight w:val="315"/>
        </w:trPr>
        <w:tc>
          <w:tcPr>
            <w:tcW w:w="1915" w:type="dxa"/>
            <w:vMerge/>
            <w:tcBorders>
              <w:left w:val="single" w:sz="4" w:space="0" w:color="auto"/>
              <w:bottom w:val="single" w:sz="4" w:space="0" w:color="auto"/>
              <w:right w:val="single" w:sz="4" w:space="0" w:color="auto"/>
            </w:tcBorders>
            <w:shd w:val="clear" w:color="auto" w:fill="auto"/>
            <w:hideMark/>
          </w:tcPr>
          <w:p w:rsidR="004C79DF" w:rsidRPr="00F85A23" w:rsidRDefault="004C79DF" w:rsidP="004C79DF">
            <w:pPr>
              <w:rPr>
                <w:rFonts w:eastAsia="Calibri"/>
                <w:sz w:val="22"/>
                <w:szCs w:val="22"/>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Default="004C79DF" w:rsidP="004C79DF">
            <w:pPr>
              <w:jc w:val="center"/>
              <w:rPr>
                <w:rFonts w:eastAsia="Calibri"/>
                <w:sz w:val="22"/>
                <w:szCs w:val="22"/>
              </w:rPr>
            </w:pPr>
            <w:r>
              <w:rPr>
                <w:rFonts w:eastAsia="Calibri"/>
                <w:sz w:val="22"/>
                <w:szCs w:val="22"/>
              </w:rPr>
              <w:t>43% of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Pr="00EF47AB" w:rsidRDefault="00EF47AB" w:rsidP="004C79DF">
            <w:pPr>
              <w:jc w:val="center"/>
              <w:rPr>
                <w:rFonts w:eastAsia="Calibri"/>
                <w:sz w:val="22"/>
                <w:szCs w:val="22"/>
              </w:rPr>
            </w:pPr>
            <w:r w:rsidRPr="00EF47AB">
              <w:rPr>
                <w:rFonts w:eastAsia="Calibri"/>
                <w:sz w:val="22"/>
                <w:szCs w:val="22"/>
              </w:rPr>
              <w:t>60</w:t>
            </w:r>
            <w:r w:rsidR="004C79DF" w:rsidRPr="00EF47AB">
              <w:rPr>
                <w:rFonts w:eastAsia="Calibri"/>
                <w:sz w:val="22"/>
                <w:szCs w:val="22"/>
              </w:rPr>
              <w:t>% of participants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4C79DF" w:rsidRDefault="004C79DF" w:rsidP="004C79DF">
            <w:pPr>
              <w:jc w:val="center"/>
              <w:rPr>
                <w:rFonts w:eastAsia="Calibri"/>
                <w:sz w:val="22"/>
                <w:szCs w:val="22"/>
              </w:rPr>
            </w:pP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4C79DF" w:rsidRDefault="004C79DF" w:rsidP="004C79DF">
            <w:pPr>
              <w:jc w:val="center"/>
              <w:rPr>
                <w:rFonts w:eastAsia="Calibri"/>
                <w:sz w:val="22"/>
                <w:szCs w:val="22"/>
              </w:rPr>
            </w:pPr>
          </w:p>
        </w:tc>
      </w:tr>
      <w:tr w:rsidR="004C79DF" w:rsidRPr="00530341" w:rsidTr="00234F31">
        <w:trPr>
          <w:trHeight w:val="341"/>
        </w:trPr>
        <w:tc>
          <w:tcPr>
            <w:tcW w:w="9576" w:type="dxa"/>
            <w:gridSpan w:val="5"/>
            <w:tcBorders>
              <w:top w:val="single" w:sz="4" w:space="0" w:color="auto"/>
            </w:tcBorders>
            <w:shd w:val="clear" w:color="auto" w:fill="C6D9F1" w:themeFill="text2" w:themeFillTint="33"/>
            <w:hideMark/>
          </w:tcPr>
          <w:p w:rsidR="004C79DF" w:rsidRPr="00530341" w:rsidRDefault="004C79DF" w:rsidP="004C79DF">
            <w:pPr>
              <w:jc w:val="center"/>
              <w:rPr>
                <w:rFonts w:eastAsia="Calibri"/>
                <w:b/>
                <w:bCs/>
                <w:i/>
                <w:iCs/>
                <w:sz w:val="22"/>
                <w:szCs w:val="22"/>
              </w:rPr>
            </w:pPr>
            <w:r w:rsidRPr="00530341">
              <w:rPr>
                <w:rFonts w:eastAsia="Calibri"/>
                <w:b/>
                <w:bCs/>
                <w:i/>
                <w:iCs/>
                <w:sz w:val="22"/>
                <w:szCs w:val="22"/>
              </w:rPr>
              <w:t>SS #4: Households Removed from Temporary Assistance for Needy Families (TANF)</w:t>
            </w:r>
          </w:p>
        </w:tc>
      </w:tr>
      <w:tr w:rsidR="004C79DF" w:rsidRPr="00530341" w:rsidTr="004C79DF">
        <w:trPr>
          <w:trHeight w:val="615"/>
        </w:trPr>
        <w:tc>
          <w:tcPr>
            <w:tcW w:w="1915" w:type="dxa"/>
            <w:shd w:val="clear" w:color="auto" w:fill="D9D9D9" w:themeFill="background1" w:themeFillShade="D9"/>
            <w:vAlign w:val="center"/>
            <w:hideMark/>
          </w:tcPr>
          <w:p w:rsidR="004C79DF" w:rsidRPr="00530341" w:rsidRDefault="004C79DF" w:rsidP="004C79DF">
            <w:pPr>
              <w:rPr>
                <w:rFonts w:eastAsia="Calibri"/>
                <w:b/>
                <w:bCs/>
                <w:sz w:val="22"/>
                <w:szCs w:val="22"/>
              </w:rPr>
            </w:pPr>
            <w:r w:rsidRPr="00530341">
              <w:rPr>
                <w:rFonts w:eastAsia="Calibri"/>
                <w:b/>
                <w:bCs/>
                <w:sz w:val="22"/>
                <w:szCs w:val="22"/>
              </w:rPr>
              <w:t>Unit of Measurement</w:t>
            </w:r>
          </w:p>
        </w:tc>
        <w:tc>
          <w:tcPr>
            <w:tcW w:w="1915" w:type="dxa"/>
            <w:shd w:val="clear" w:color="auto" w:fill="D9D9D9" w:themeFill="background1" w:themeFillShade="D9"/>
            <w:vAlign w:val="center"/>
            <w:hideMark/>
          </w:tcPr>
          <w:p w:rsidR="004C79DF" w:rsidRPr="00530341" w:rsidRDefault="004C79DF" w:rsidP="004C79DF">
            <w:pPr>
              <w:jc w:val="center"/>
              <w:rPr>
                <w:rFonts w:eastAsia="Calibri"/>
                <w:b/>
                <w:bCs/>
                <w:sz w:val="22"/>
                <w:szCs w:val="22"/>
              </w:rPr>
            </w:pPr>
            <w:r w:rsidRPr="00530341">
              <w:rPr>
                <w:rFonts w:eastAsia="Calibri"/>
                <w:b/>
                <w:bCs/>
                <w:sz w:val="22"/>
                <w:szCs w:val="22"/>
              </w:rPr>
              <w:t>Baseline</w:t>
            </w:r>
          </w:p>
        </w:tc>
        <w:tc>
          <w:tcPr>
            <w:tcW w:w="1915" w:type="dxa"/>
            <w:shd w:val="clear" w:color="auto" w:fill="D9D9D9" w:themeFill="background1" w:themeFillShade="D9"/>
            <w:vAlign w:val="center"/>
            <w:hideMark/>
          </w:tcPr>
          <w:p w:rsidR="004C79DF" w:rsidRPr="00530341" w:rsidRDefault="004C79DF" w:rsidP="004C79DF">
            <w:pPr>
              <w:jc w:val="center"/>
              <w:rPr>
                <w:rFonts w:eastAsia="Calibri"/>
                <w:b/>
                <w:bCs/>
                <w:sz w:val="22"/>
                <w:szCs w:val="22"/>
              </w:rPr>
            </w:pPr>
            <w:r w:rsidRPr="00530341">
              <w:rPr>
                <w:rFonts w:eastAsia="Calibri"/>
                <w:b/>
                <w:bCs/>
                <w:sz w:val="22"/>
                <w:szCs w:val="22"/>
              </w:rPr>
              <w:t>Benchmark</w:t>
            </w:r>
          </w:p>
        </w:tc>
        <w:tc>
          <w:tcPr>
            <w:tcW w:w="1915" w:type="dxa"/>
            <w:shd w:val="clear" w:color="auto" w:fill="D9D9D9" w:themeFill="background1" w:themeFillShade="D9"/>
            <w:vAlign w:val="center"/>
            <w:hideMark/>
          </w:tcPr>
          <w:p w:rsidR="004C79DF" w:rsidRPr="00530341" w:rsidRDefault="004C79DF" w:rsidP="004C79DF">
            <w:pPr>
              <w:jc w:val="center"/>
              <w:rPr>
                <w:rFonts w:eastAsia="Calibri"/>
                <w:b/>
                <w:bCs/>
                <w:sz w:val="22"/>
                <w:szCs w:val="22"/>
              </w:rPr>
            </w:pPr>
            <w:r w:rsidRPr="00530341">
              <w:rPr>
                <w:rFonts w:eastAsia="Calibri"/>
                <w:b/>
                <w:bCs/>
                <w:sz w:val="22"/>
                <w:szCs w:val="22"/>
              </w:rPr>
              <w:t>Outcome</w:t>
            </w:r>
          </w:p>
        </w:tc>
        <w:tc>
          <w:tcPr>
            <w:tcW w:w="1916" w:type="dxa"/>
            <w:shd w:val="clear" w:color="auto" w:fill="D9D9D9" w:themeFill="background1" w:themeFillShade="D9"/>
            <w:vAlign w:val="center"/>
            <w:hideMark/>
          </w:tcPr>
          <w:p w:rsidR="004C79DF" w:rsidRPr="00530341" w:rsidRDefault="004C79DF" w:rsidP="004C79DF">
            <w:pPr>
              <w:jc w:val="center"/>
              <w:rPr>
                <w:rFonts w:eastAsia="Calibri"/>
                <w:b/>
                <w:bCs/>
                <w:sz w:val="22"/>
                <w:szCs w:val="22"/>
              </w:rPr>
            </w:pPr>
            <w:r w:rsidRPr="00530341">
              <w:rPr>
                <w:rFonts w:eastAsia="Calibri"/>
                <w:b/>
                <w:bCs/>
                <w:sz w:val="22"/>
                <w:szCs w:val="22"/>
              </w:rPr>
              <w:t>Benchmark Achieved?</w:t>
            </w:r>
          </w:p>
        </w:tc>
      </w:tr>
      <w:tr w:rsidR="004C79DF" w:rsidRPr="00530341" w:rsidTr="004C79DF">
        <w:trPr>
          <w:trHeight w:val="809"/>
        </w:trPr>
        <w:tc>
          <w:tcPr>
            <w:tcW w:w="1915" w:type="dxa"/>
            <w:shd w:val="clear" w:color="auto" w:fill="auto"/>
            <w:hideMark/>
          </w:tcPr>
          <w:p w:rsidR="004C79DF" w:rsidRPr="00530341" w:rsidRDefault="004C79DF" w:rsidP="004C79DF">
            <w:pPr>
              <w:rPr>
                <w:rFonts w:eastAsia="Calibri"/>
                <w:sz w:val="22"/>
                <w:szCs w:val="22"/>
              </w:rPr>
            </w:pPr>
            <w:r w:rsidRPr="00530341">
              <w:rPr>
                <w:rFonts w:eastAsia="Calibri"/>
                <w:sz w:val="22"/>
                <w:szCs w:val="22"/>
              </w:rPr>
              <w:t>Number of households receiving TANF assistance (decrease).</w:t>
            </w:r>
          </w:p>
        </w:tc>
        <w:tc>
          <w:tcPr>
            <w:tcW w:w="1915" w:type="dxa"/>
            <w:shd w:val="clear" w:color="auto" w:fill="auto"/>
            <w:hideMark/>
          </w:tcPr>
          <w:p w:rsidR="004C79DF" w:rsidRPr="00530341" w:rsidRDefault="0004666E" w:rsidP="004C79DF">
            <w:pPr>
              <w:jc w:val="center"/>
              <w:rPr>
                <w:rFonts w:eastAsia="Calibri"/>
                <w:sz w:val="22"/>
                <w:szCs w:val="22"/>
              </w:rPr>
            </w:pPr>
            <w:r>
              <w:rPr>
                <w:rFonts w:eastAsia="Calibri"/>
                <w:sz w:val="22"/>
                <w:szCs w:val="22"/>
              </w:rPr>
              <w:t>162 h</w:t>
            </w:r>
            <w:r w:rsidR="004C79DF">
              <w:rPr>
                <w:rFonts w:eastAsia="Calibri"/>
                <w:sz w:val="22"/>
                <w:szCs w:val="22"/>
              </w:rPr>
              <w:t>ouseholds</w:t>
            </w:r>
          </w:p>
        </w:tc>
        <w:tc>
          <w:tcPr>
            <w:tcW w:w="1915" w:type="dxa"/>
            <w:shd w:val="clear" w:color="auto" w:fill="auto"/>
          </w:tcPr>
          <w:p w:rsidR="004C79DF" w:rsidRPr="00A164EF" w:rsidRDefault="00A164EF" w:rsidP="004C79DF">
            <w:pPr>
              <w:jc w:val="center"/>
              <w:rPr>
                <w:rFonts w:eastAsia="Calibri"/>
                <w:sz w:val="22"/>
                <w:szCs w:val="22"/>
              </w:rPr>
            </w:pPr>
            <w:r w:rsidRPr="00A164EF">
              <w:rPr>
                <w:rFonts w:eastAsia="Calibri"/>
                <w:sz w:val="22"/>
                <w:szCs w:val="22"/>
              </w:rPr>
              <w:t>125</w:t>
            </w:r>
            <w:r w:rsidR="004C79DF" w:rsidRPr="00A164EF">
              <w:rPr>
                <w:rFonts w:eastAsia="Calibri"/>
                <w:sz w:val="22"/>
                <w:szCs w:val="22"/>
              </w:rPr>
              <w:t xml:space="preserve"> </w:t>
            </w:r>
            <w:r w:rsidR="0004666E">
              <w:rPr>
                <w:rFonts w:eastAsia="Calibri"/>
                <w:sz w:val="22"/>
                <w:szCs w:val="22"/>
              </w:rPr>
              <w:t>h</w:t>
            </w:r>
            <w:r w:rsidR="004C79DF" w:rsidRPr="00A164EF">
              <w:rPr>
                <w:rFonts w:eastAsia="Calibri"/>
                <w:sz w:val="22"/>
                <w:szCs w:val="22"/>
              </w:rPr>
              <w:t>ouseholds</w:t>
            </w:r>
          </w:p>
        </w:tc>
        <w:tc>
          <w:tcPr>
            <w:tcW w:w="1915" w:type="dxa"/>
            <w:shd w:val="clear" w:color="auto" w:fill="auto"/>
          </w:tcPr>
          <w:p w:rsidR="004C79DF" w:rsidRPr="00A164EF" w:rsidRDefault="004C79DF" w:rsidP="004C79DF">
            <w:pPr>
              <w:rPr>
                <w:rFonts w:eastAsia="Calibri"/>
                <w:sz w:val="22"/>
                <w:szCs w:val="22"/>
              </w:rPr>
            </w:pPr>
          </w:p>
        </w:tc>
        <w:tc>
          <w:tcPr>
            <w:tcW w:w="1916" w:type="dxa"/>
            <w:shd w:val="clear" w:color="auto" w:fill="auto"/>
          </w:tcPr>
          <w:p w:rsidR="004C79DF" w:rsidRPr="00530341" w:rsidRDefault="004C79DF" w:rsidP="004C79DF">
            <w:pPr>
              <w:rPr>
                <w:rFonts w:eastAsia="Calibri"/>
                <w:sz w:val="22"/>
                <w:szCs w:val="22"/>
              </w:rPr>
            </w:pPr>
          </w:p>
        </w:tc>
      </w:tr>
      <w:tr w:rsidR="004C79DF" w:rsidRPr="00FB4487" w:rsidTr="00234F31">
        <w:trPr>
          <w:trHeight w:val="305"/>
        </w:trPr>
        <w:tc>
          <w:tcPr>
            <w:tcW w:w="9576" w:type="dxa"/>
            <w:gridSpan w:val="5"/>
            <w:shd w:val="clear" w:color="auto" w:fill="C6D9F1" w:themeFill="text2" w:themeFillTint="33"/>
          </w:tcPr>
          <w:p w:rsidR="004C79DF" w:rsidRPr="00A164EF" w:rsidRDefault="004C79DF" w:rsidP="004C79DF">
            <w:pPr>
              <w:jc w:val="center"/>
              <w:rPr>
                <w:rFonts w:eastAsia="Calibri"/>
                <w:sz w:val="22"/>
                <w:szCs w:val="22"/>
              </w:rPr>
            </w:pPr>
            <w:r w:rsidRPr="00A164EF">
              <w:rPr>
                <w:b/>
                <w:bCs/>
                <w:i/>
                <w:iCs/>
                <w:sz w:val="22"/>
                <w:szCs w:val="22"/>
              </w:rPr>
              <w:t>SS #6: Reducing Per Unit Subsidy Costs for Participating Households</w:t>
            </w:r>
          </w:p>
        </w:tc>
      </w:tr>
      <w:tr w:rsidR="004C79DF" w:rsidRPr="00FB4487" w:rsidTr="004C79DF">
        <w:trPr>
          <w:trHeight w:val="619"/>
        </w:trPr>
        <w:tc>
          <w:tcPr>
            <w:tcW w:w="1915" w:type="dxa"/>
            <w:shd w:val="clear" w:color="auto" w:fill="D9D9D9" w:themeFill="background1" w:themeFillShade="D9"/>
            <w:vAlign w:val="center"/>
          </w:tcPr>
          <w:p w:rsidR="004C79DF" w:rsidRPr="00A164EF" w:rsidRDefault="004C79DF" w:rsidP="004C79DF">
            <w:pPr>
              <w:rPr>
                <w:rFonts w:eastAsia="Calibri"/>
                <w:b/>
                <w:bCs/>
                <w:sz w:val="22"/>
                <w:szCs w:val="22"/>
              </w:rPr>
            </w:pPr>
            <w:r w:rsidRPr="00A164EF">
              <w:rPr>
                <w:rFonts w:eastAsia="Calibri"/>
                <w:b/>
                <w:bCs/>
                <w:sz w:val="22"/>
                <w:szCs w:val="22"/>
              </w:rPr>
              <w:t>Unit of Measurement</w:t>
            </w:r>
          </w:p>
        </w:tc>
        <w:tc>
          <w:tcPr>
            <w:tcW w:w="1915" w:type="dxa"/>
            <w:shd w:val="clear" w:color="auto" w:fill="D9D9D9" w:themeFill="background1" w:themeFillShade="D9"/>
            <w:vAlign w:val="center"/>
          </w:tcPr>
          <w:p w:rsidR="004C79DF" w:rsidRPr="00A164EF" w:rsidRDefault="004C79DF" w:rsidP="004C79DF">
            <w:pPr>
              <w:jc w:val="center"/>
              <w:rPr>
                <w:rFonts w:eastAsia="Calibri"/>
                <w:b/>
                <w:bCs/>
                <w:sz w:val="22"/>
                <w:szCs w:val="22"/>
              </w:rPr>
            </w:pPr>
            <w:r w:rsidRPr="00A164EF">
              <w:rPr>
                <w:rFonts w:eastAsia="Calibri"/>
                <w:b/>
                <w:bCs/>
                <w:sz w:val="22"/>
                <w:szCs w:val="22"/>
              </w:rPr>
              <w:t>Baseline</w:t>
            </w:r>
          </w:p>
        </w:tc>
        <w:tc>
          <w:tcPr>
            <w:tcW w:w="1915" w:type="dxa"/>
            <w:shd w:val="clear" w:color="auto" w:fill="D9D9D9" w:themeFill="background1" w:themeFillShade="D9"/>
            <w:vAlign w:val="center"/>
          </w:tcPr>
          <w:p w:rsidR="004C79DF" w:rsidRPr="00A164EF" w:rsidRDefault="004C79DF" w:rsidP="004C79DF">
            <w:pPr>
              <w:jc w:val="center"/>
              <w:rPr>
                <w:rFonts w:eastAsia="Calibri"/>
                <w:b/>
                <w:bCs/>
                <w:sz w:val="22"/>
                <w:szCs w:val="22"/>
              </w:rPr>
            </w:pPr>
            <w:r w:rsidRPr="00A164EF">
              <w:rPr>
                <w:rFonts w:eastAsia="Calibri"/>
                <w:b/>
                <w:bCs/>
                <w:sz w:val="22"/>
                <w:szCs w:val="22"/>
              </w:rPr>
              <w:t>Benchmark</w:t>
            </w:r>
          </w:p>
        </w:tc>
        <w:tc>
          <w:tcPr>
            <w:tcW w:w="1915" w:type="dxa"/>
            <w:shd w:val="clear" w:color="auto" w:fill="D9D9D9" w:themeFill="background1" w:themeFillShade="D9"/>
            <w:vAlign w:val="center"/>
          </w:tcPr>
          <w:p w:rsidR="004C79DF" w:rsidRPr="00A164EF" w:rsidRDefault="004C79DF" w:rsidP="004C79DF">
            <w:pPr>
              <w:jc w:val="center"/>
              <w:rPr>
                <w:rFonts w:eastAsia="Calibri"/>
                <w:b/>
                <w:bCs/>
                <w:sz w:val="22"/>
                <w:szCs w:val="22"/>
              </w:rPr>
            </w:pPr>
            <w:r w:rsidRPr="00A164EF">
              <w:rPr>
                <w:rFonts w:eastAsia="Calibri"/>
                <w:b/>
                <w:bCs/>
                <w:sz w:val="22"/>
                <w:szCs w:val="22"/>
              </w:rPr>
              <w:t>Outcome</w:t>
            </w:r>
          </w:p>
        </w:tc>
        <w:tc>
          <w:tcPr>
            <w:tcW w:w="1916" w:type="dxa"/>
            <w:shd w:val="clear" w:color="auto" w:fill="D9D9D9" w:themeFill="background1" w:themeFillShade="D9"/>
            <w:vAlign w:val="center"/>
          </w:tcPr>
          <w:p w:rsidR="004C79DF" w:rsidRPr="00FB4487" w:rsidRDefault="004C79DF" w:rsidP="004C79DF">
            <w:pPr>
              <w:jc w:val="center"/>
              <w:rPr>
                <w:rFonts w:eastAsia="Calibri"/>
                <w:b/>
                <w:bCs/>
                <w:sz w:val="22"/>
                <w:szCs w:val="22"/>
              </w:rPr>
            </w:pPr>
            <w:r w:rsidRPr="00FB4487">
              <w:rPr>
                <w:rFonts w:eastAsia="Calibri"/>
                <w:b/>
                <w:bCs/>
                <w:sz w:val="22"/>
                <w:szCs w:val="22"/>
              </w:rPr>
              <w:t>Benchmark Achieved?</w:t>
            </w:r>
          </w:p>
        </w:tc>
      </w:tr>
      <w:tr w:rsidR="004C79DF" w:rsidRPr="00FB4487" w:rsidTr="004C79DF">
        <w:trPr>
          <w:trHeight w:val="899"/>
        </w:trPr>
        <w:tc>
          <w:tcPr>
            <w:tcW w:w="1915" w:type="dxa"/>
            <w:shd w:val="clear" w:color="auto" w:fill="auto"/>
          </w:tcPr>
          <w:p w:rsidR="004C79DF" w:rsidRPr="00A164EF" w:rsidRDefault="004C79DF" w:rsidP="004C79DF">
            <w:pPr>
              <w:rPr>
                <w:rFonts w:eastAsia="Calibri"/>
                <w:sz w:val="22"/>
                <w:szCs w:val="22"/>
              </w:rPr>
            </w:pPr>
            <w:r w:rsidRPr="00A164EF">
              <w:rPr>
                <w:sz w:val="22"/>
                <w:szCs w:val="22"/>
              </w:rPr>
              <w:t>Average amount of Section 8 subsidy per household affected by this policy in dollars (decrease).</w:t>
            </w:r>
          </w:p>
        </w:tc>
        <w:tc>
          <w:tcPr>
            <w:tcW w:w="1915" w:type="dxa"/>
            <w:shd w:val="clear" w:color="auto" w:fill="auto"/>
          </w:tcPr>
          <w:p w:rsidR="004C79DF" w:rsidRPr="00A164EF" w:rsidRDefault="004C79DF" w:rsidP="004C79DF">
            <w:pPr>
              <w:jc w:val="center"/>
              <w:rPr>
                <w:rFonts w:eastAsia="Calibri"/>
                <w:sz w:val="22"/>
                <w:szCs w:val="22"/>
              </w:rPr>
            </w:pPr>
            <w:r w:rsidRPr="00A164EF">
              <w:rPr>
                <w:rFonts w:eastAsia="Calibri"/>
                <w:bCs/>
                <w:iCs/>
                <w:sz w:val="22"/>
                <w:szCs w:val="22"/>
              </w:rPr>
              <w:t>$931 in FY 2014</w:t>
            </w:r>
          </w:p>
        </w:tc>
        <w:tc>
          <w:tcPr>
            <w:tcW w:w="1915" w:type="dxa"/>
            <w:shd w:val="clear" w:color="auto" w:fill="auto"/>
          </w:tcPr>
          <w:p w:rsidR="004C79DF" w:rsidRPr="00A164EF" w:rsidRDefault="004C79DF" w:rsidP="004C79DF">
            <w:pPr>
              <w:jc w:val="center"/>
              <w:rPr>
                <w:rFonts w:eastAsia="Calibri"/>
                <w:sz w:val="22"/>
                <w:szCs w:val="22"/>
              </w:rPr>
            </w:pPr>
            <w:r w:rsidRPr="00A164EF">
              <w:rPr>
                <w:rFonts w:eastAsia="Calibri"/>
                <w:bCs/>
                <w:iCs/>
                <w:sz w:val="22"/>
                <w:szCs w:val="22"/>
              </w:rPr>
              <w:t>$9</w:t>
            </w:r>
            <w:r w:rsidR="00A164EF" w:rsidRPr="00A164EF">
              <w:rPr>
                <w:rFonts w:eastAsia="Calibri"/>
                <w:bCs/>
                <w:iCs/>
                <w:sz w:val="22"/>
                <w:szCs w:val="22"/>
              </w:rPr>
              <w:t>01</w:t>
            </w:r>
          </w:p>
        </w:tc>
        <w:tc>
          <w:tcPr>
            <w:tcW w:w="1915" w:type="dxa"/>
            <w:shd w:val="clear" w:color="auto" w:fill="auto"/>
          </w:tcPr>
          <w:p w:rsidR="004C79DF" w:rsidRPr="00A164EF" w:rsidRDefault="004C79DF" w:rsidP="004C79DF">
            <w:pPr>
              <w:jc w:val="center"/>
              <w:rPr>
                <w:rFonts w:eastAsia="Calibri"/>
                <w:sz w:val="22"/>
                <w:szCs w:val="22"/>
              </w:rPr>
            </w:pPr>
          </w:p>
        </w:tc>
        <w:tc>
          <w:tcPr>
            <w:tcW w:w="1916" w:type="dxa"/>
            <w:shd w:val="clear" w:color="auto" w:fill="auto"/>
          </w:tcPr>
          <w:p w:rsidR="004C79DF" w:rsidRPr="00FB4487" w:rsidRDefault="004C79DF" w:rsidP="004C79DF">
            <w:pPr>
              <w:jc w:val="center"/>
              <w:rPr>
                <w:rFonts w:eastAsia="Calibri"/>
                <w:sz w:val="22"/>
                <w:szCs w:val="22"/>
              </w:rPr>
            </w:pPr>
          </w:p>
        </w:tc>
      </w:tr>
      <w:tr w:rsidR="004C79DF" w:rsidRPr="00DC5A89" w:rsidTr="00234F31">
        <w:trPr>
          <w:trHeight w:val="278"/>
        </w:trPr>
        <w:tc>
          <w:tcPr>
            <w:tcW w:w="9576" w:type="dxa"/>
            <w:gridSpan w:val="5"/>
            <w:shd w:val="clear" w:color="auto" w:fill="C6D9F1" w:themeFill="text2" w:themeFillTint="33"/>
          </w:tcPr>
          <w:p w:rsidR="004C79DF" w:rsidRPr="00FB4487" w:rsidRDefault="004C79DF" w:rsidP="004C79DF">
            <w:pPr>
              <w:jc w:val="center"/>
              <w:rPr>
                <w:rFonts w:eastAsia="Calibri"/>
                <w:sz w:val="22"/>
                <w:szCs w:val="22"/>
              </w:rPr>
            </w:pPr>
            <w:r w:rsidRPr="00FB4487">
              <w:rPr>
                <w:b/>
                <w:bCs/>
                <w:i/>
                <w:iCs/>
                <w:sz w:val="22"/>
                <w:szCs w:val="22"/>
              </w:rPr>
              <w:t>SS #7: Increase in Agency Rental Revenue</w:t>
            </w:r>
          </w:p>
        </w:tc>
      </w:tr>
      <w:tr w:rsidR="004C79DF" w:rsidRPr="00DC5A89" w:rsidTr="004C79DF">
        <w:trPr>
          <w:trHeight w:val="619"/>
        </w:trPr>
        <w:tc>
          <w:tcPr>
            <w:tcW w:w="1915" w:type="dxa"/>
            <w:shd w:val="clear" w:color="auto" w:fill="D9D9D9" w:themeFill="background1" w:themeFillShade="D9"/>
            <w:vAlign w:val="center"/>
          </w:tcPr>
          <w:p w:rsidR="004C79DF" w:rsidRPr="00FB4487" w:rsidRDefault="004C79DF" w:rsidP="004C79DF">
            <w:pPr>
              <w:rPr>
                <w:rFonts w:eastAsia="Calibri"/>
                <w:b/>
                <w:bCs/>
                <w:sz w:val="22"/>
                <w:szCs w:val="22"/>
              </w:rPr>
            </w:pPr>
            <w:r w:rsidRPr="00FB4487">
              <w:rPr>
                <w:rFonts w:eastAsia="Calibri"/>
                <w:b/>
                <w:bCs/>
                <w:sz w:val="22"/>
                <w:szCs w:val="22"/>
              </w:rPr>
              <w:t>Unit of Measurement</w:t>
            </w:r>
          </w:p>
        </w:tc>
        <w:tc>
          <w:tcPr>
            <w:tcW w:w="1915" w:type="dxa"/>
            <w:shd w:val="clear" w:color="auto" w:fill="D9D9D9" w:themeFill="background1" w:themeFillShade="D9"/>
            <w:vAlign w:val="center"/>
          </w:tcPr>
          <w:p w:rsidR="004C79DF" w:rsidRPr="00FB4487" w:rsidRDefault="004C79DF" w:rsidP="004C79DF">
            <w:pPr>
              <w:jc w:val="center"/>
              <w:rPr>
                <w:rFonts w:eastAsia="Calibri"/>
                <w:b/>
                <w:bCs/>
                <w:sz w:val="22"/>
                <w:szCs w:val="22"/>
              </w:rPr>
            </w:pPr>
            <w:r w:rsidRPr="00FB4487">
              <w:rPr>
                <w:rFonts w:eastAsia="Calibri"/>
                <w:b/>
                <w:bCs/>
                <w:sz w:val="22"/>
                <w:szCs w:val="22"/>
              </w:rPr>
              <w:t>Baseline</w:t>
            </w:r>
          </w:p>
        </w:tc>
        <w:tc>
          <w:tcPr>
            <w:tcW w:w="1915" w:type="dxa"/>
            <w:shd w:val="clear" w:color="auto" w:fill="D9D9D9" w:themeFill="background1" w:themeFillShade="D9"/>
            <w:vAlign w:val="center"/>
          </w:tcPr>
          <w:p w:rsidR="004C79DF" w:rsidRPr="00FB4487" w:rsidRDefault="004C79DF" w:rsidP="004C79DF">
            <w:pPr>
              <w:jc w:val="center"/>
              <w:rPr>
                <w:rFonts w:eastAsia="Calibri"/>
                <w:b/>
                <w:bCs/>
                <w:sz w:val="22"/>
                <w:szCs w:val="22"/>
              </w:rPr>
            </w:pPr>
            <w:r w:rsidRPr="00FB4487">
              <w:rPr>
                <w:rFonts w:eastAsia="Calibri"/>
                <w:b/>
                <w:bCs/>
                <w:sz w:val="22"/>
                <w:szCs w:val="22"/>
              </w:rPr>
              <w:t>Benchmark</w:t>
            </w:r>
          </w:p>
        </w:tc>
        <w:tc>
          <w:tcPr>
            <w:tcW w:w="1915" w:type="dxa"/>
            <w:shd w:val="clear" w:color="auto" w:fill="D9D9D9" w:themeFill="background1" w:themeFillShade="D9"/>
            <w:vAlign w:val="center"/>
          </w:tcPr>
          <w:p w:rsidR="004C79DF" w:rsidRPr="00FB4487" w:rsidRDefault="004C79DF" w:rsidP="004C79DF">
            <w:pPr>
              <w:jc w:val="center"/>
              <w:rPr>
                <w:rFonts w:eastAsia="Calibri"/>
                <w:b/>
                <w:bCs/>
                <w:sz w:val="22"/>
                <w:szCs w:val="22"/>
              </w:rPr>
            </w:pPr>
            <w:r w:rsidRPr="00FB4487">
              <w:rPr>
                <w:rFonts w:eastAsia="Calibri"/>
                <w:b/>
                <w:bCs/>
                <w:sz w:val="22"/>
                <w:szCs w:val="22"/>
              </w:rPr>
              <w:t>Outcome</w:t>
            </w:r>
          </w:p>
        </w:tc>
        <w:tc>
          <w:tcPr>
            <w:tcW w:w="1916" w:type="dxa"/>
            <w:shd w:val="clear" w:color="auto" w:fill="D9D9D9" w:themeFill="background1" w:themeFillShade="D9"/>
            <w:vAlign w:val="center"/>
          </w:tcPr>
          <w:p w:rsidR="004C79DF" w:rsidRPr="00FB4487" w:rsidRDefault="004C79DF" w:rsidP="004C79DF">
            <w:pPr>
              <w:jc w:val="center"/>
              <w:rPr>
                <w:rFonts w:eastAsia="Calibri"/>
                <w:b/>
                <w:bCs/>
                <w:sz w:val="22"/>
                <w:szCs w:val="22"/>
              </w:rPr>
            </w:pPr>
            <w:r w:rsidRPr="00FB4487">
              <w:rPr>
                <w:rFonts w:eastAsia="Calibri"/>
                <w:b/>
                <w:bCs/>
                <w:sz w:val="22"/>
                <w:szCs w:val="22"/>
              </w:rPr>
              <w:t>Benchmark Achieved?</w:t>
            </w:r>
          </w:p>
        </w:tc>
      </w:tr>
      <w:tr w:rsidR="004C79DF" w:rsidRPr="00DC5A89" w:rsidTr="004C79DF">
        <w:trPr>
          <w:trHeight w:val="899"/>
        </w:trPr>
        <w:tc>
          <w:tcPr>
            <w:tcW w:w="1915" w:type="dxa"/>
            <w:shd w:val="clear" w:color="auto" w:fill="auto"/>
          </w:tcPr>
          <w:p w:rsidR="004C79DF" w:rsidRDefault="004C79DF" w:rsidP="004C79DF">
            <w:pPr>
              <w:rPr>
                <w:sz w:val="22"/>
                <w:szCs w:val="22"/>
              </w:rPr>
            </w:pPr>
            <w:r w:rsidRPr="00FB4487">
              <w:rPr>
                <w:sz w:val="22"/>
                <w:szCs w:val="22"/>
              </w:rPr>
              <w:t>Average Tenant Rent Share (increase).</w:t>
            </w:r>
          </w:p>
          <w:p w:rsidR="00234F31" w:rsidRDefault="00234F31" w:rsidP="004C79DF">
            <w:pPr>
              <w:rPr>
                <w:sz w:val="22"/>
                <w:szCs w:val="22"/>
              </w:rPr>
            </w:pPr>
          </w:p>
          <w:p w:rsidR="00234F31" w:rsidRDefault="00234F31" w:rsidP="004C79DF">
            <w:pPr>
              <w:rPr>
                <w:sz w:val="22"/>
                <w:szCs w:val="22"/>
              </w:rPr>
            </w:pPr>
          </w:p>
          <w:p w:rsidR="00234F31" w:rsidRDefault="00234F31" w:rsidP="004C79DF">
            <w:pPr>
              <w:rPr>
                <w:sz w:val="22"/>
                <w:szCs w:val="22"/>
              </w:rPr>
            </w:pPr>
          </w:p>
          <w:p w:rsidR="00234F31" w:rsidRDefault="00234F31" w:rsidP="004C79DF">
            <w:pPr>
              <w:rPr>
                <w:sz w:val="22"/>
                <w:szCs w:val="22"/>
              </w:rPr>
            </w:pPr>
          </w:p>
          <w:p w:rsidR="00234F31" w:rsidRDefault="00234F31" w:rsidP="004C79DF">
            <w:pPr>
              <w:rPr>
                <w:sz w:val="22"/>
                <w:szCs w:val="22"/>
              </w:rPr>
            </w:pPr>
          </w:p>
          <w:p w:rsidR="00234F31" w:rsidRPr="00FB4487" w:rsidRDefault="00234F31" w:rsidP="004C79DF">
            <w:pPr>
              <w:rPr>
                <w:rFonts w:eastAsia="Calibri"/>
                <w:sz w:val="22"/>
                <w:szCs w:val="22"/>
              </w:rPr>
            </w:pPr>
          </w:p>
        </w:tc>
        <w:tc>
          <w:tcPr>
            <w:tcW w:w="1915" w:type="dxa"/>
            <w:shd w:val="clear" w:color="auto" w:fill="auto"/>
          </w:tcPr>
          <w:p w:rsidR="004C79DF" w:rsidRDefault="004C79DF" w:rsidP="004C79DF">
            <w:pPr>
              <w:jc w:val="center"/>
              <w:rPr>
                <w:rFonts w:eastAsia="Calibri"/>
                <w:sz w:val="22"/>
                <w:szCs w:val="22"/>
              </w:rPr>
            </w:pPr>
            <w:r>
              <w:rPr>
                <w:rFonts w:eastAsia="Calibri"/>
                <w:sz w:val="22"/>
                <w:szCs w:val="22"/>
              </w:rPr>
              <w:t xml:space="preserve">$388 </w:t>
            </w:r>
          </w:p>
          <w:p w:rsidR="004C79DF" w:rsidRPr="00FB4487" w:rsidRDefault="004C79DF" w:rsidP="004C79DF">
            <w:pPr>
              <w:jc w:val="center"/>
              <w:rPr>
                <w:rFonts w:eastAsia="Calibri"/>
                <w:sz w:val="22"/>
                <w:szCs w:val="22"/>
              </w:rPr>
            </w:pPr>
            <w:r>
              <w:rPr>
                <w:rFonts w:eastAsia="Calibri"/>
                <w:sz w:val="22"/>
                <w:szCs w:val="22"/>
              </w:rPr>
              <w:t>FY 2014</w:t>
            </w:r>
          </w:p>
        </w:tc>
        <w:tc>
          <w:tcPr>
            <w:tcW w:w="1915" w:type="dxa"/>
            <w:shd w:val="clear" w:color="auto" w:fill="auto"/>
          </w:tcPr>
          <w:p w:rsidR="004C79DF" w:rsidRPr="00971DF2" w:rsidRDefault="004C79DF" w:rsidP="004C79DF">
            <w:pPr>
              <w:jc w:val="center"/>
              <w:rPr>
                <w:rFonts w:eastAsia="Calibri"/>
                <w:sz w:val="22"/>
                <w:szCs w:val="22"/>
              </w:rPr>
            </w:pPr>
            <w:r w:rsidRPr="00A164EF">
              <w:rPr>
                <w:rFonts w:eastAsia="Calibri"/>
                <w:bCs/>
                <w:iCs/>
                <w:sz w:val="22"/>
                <w:szCs w:val="22"/>
              </w:rPr>
              <w:t>$</w:t>
            </w:r>
            <w:r w:rsidR="00AE0E14">
              <w:rPr>
                <w:rFonts w:eastAsia="Calibri"/>
                <w:bCs/>
                <w:iCs/>
                <w:sz w:val="22"/>
                <w:szCs w:val="22"/>
              </w:rPr>
              <w:t>434</w:t>
            </w:r>
          </w:p>
        </w:tc>
        <w:tc>
          <w:tcPr>
            <w:tcW w:w="1915" w:type="dxa"/>
            <w:shd w:val="clear" w:color="auto" w:fill="auto"/>
          </w:tcPr>
          <w:p w:rsidR="004C79DF" w:rsidRPr="00FB4487" w:rsidRDefault="004C79DF" w:rsidP="004C79DF">
            <w:pPr>
              <w:jc w:val="center"/>
              <w:rPr>
                <w:rFonts w:eastAsia="Calibri"/>
                <w:sz w:val="22"/>
                <w:szCs w:val="22"/>
              </w:rPr>
            </w:pPr>
          </w:p>
        </w:tc>
        <w:tc>
          <w:tcPr>
            <w:tcW w:w="1916" w:type="dxa"/>
            <w:shd w:val="clear" w:color="auto" w:fill="auto"/>
          </w:tcPr>
          <w:p w:rsidR="004C79DF" w:rsidRPr="00334C67" w:rsidRDefault="004C79DF" w:rsidP="004C79DF">
            <w:pPr>
              <w:jc w:val="center"/>
              <w:rPr>
                <w:rFonts w:eastAsia="Calibri"/>
                <w:sz w:val="22"/>
                <w:szCs w:val="22"/>
                <w:highlight w:val="yellow"/>
              </w:rPr>
            </w:pPr>
          </w:p>
        </w:tc>
      </w:tr>
      <w:tr w:rsidR="004C79DF" w:rsidRPr="00DC5A89" w:rsidTr="00234F31">
        <w:trPr>
          <w:trHeight w:val="224"/>
        </w:trPr>
        <w:tc>
          <w:tcPr>
            <w:tcW w:w="9576" w:type="dxa"/>
            <w:gridSpan w:val="5"/>
            <w:shd w:val="clear" w:color="auto" w:fill="C6D9F1" w:themeFill="text2" w:themeFillTint="33"/>
            <w:vAlign w:val="center"/>
          </w:tcPr>
          <w:p w:rsidR="004C79DF" w:rsidRPr="00530341" w:rsidRDefault="004C79DF" w:rsidP="004C79DF">
            <w:pPr>
              <w:jc w:val="center"/>
              <w:rPr>
                <w:rFonts w:eastAsia="Calibri"/>
                <w:sz w:val="22"/>
                <w:szCs w:val="22"/>
              </w:rPr>
            </w:pPr>
            <w:r w:rsidRPr="00530341">
              <w:rPr>
                <w:rFonts w:eastAsia="Calibri"/>
                <w:b/>
                <w:bCs/>
                <w:i/>
                <w:iCs/>
                <w:sz w:val="22"/>
                <w:szCs w:val="22"/>
              </w:rPr>
              <w:t>SS #8: Households Transitioned to Self Sufficiency</w:t>
            </w:r>
          </w:p>
        </w:tc>
      </w:tr>
      <w:tr w:rsidR="004C79DF" w:rsidRPr="00DC5A89" w:rsidTr="004C79DF">
        <w:trPr>
          <w:trHeight w:val="619"/>
        </w:trPr>
        <w:tc>
          <w:tcPr>
            <w:tcW w:w="1915" w:type="dxa"/>
            <w:shd w:val="clear" w:color="auto" w:fill="D9D9D9" w:themeFill="background1" w:themeFillShade="D9"/>
            <w:vAlign w:val="center"/>
          </w:tcPr>
          <w:p w:rsidR="004C79DF" w:rsidRPr="00530341" w:rsidRDefault="004C79DF" w:rsidP="004C79DF">
            <w:pPr>
              <w:rPr>
                <w:rFonts w:eastAsia="Calibri"/>
                <w:b/>
                <w:bCs/>
                <w:sz w:val="22"/>
                <w:szCs w:val="22"/>
              </w:rPr>
            </w:pPr>
            <w:r w:rsidRPr="00530341">
              <w:rPr>
                <w:rFonts w:eastAsia="Calibri"/>
                <w:b/>
                <w:bCs/>
                <w:sz w:val="22"/>
                <w:szCs w:val="22"/>
              </w:rPr>
              <w:t>Unit of Measurement</w:t>
            </w:r>
          </w:p>
        </w:tc>
        <w:tc>
          <w:tcPr>
            <w:tcW w:w="1915" w:type="dxa"/>
            <w:shd w:val="clear" w:color="auto" w:fill="D9D9D9" w:themeFill="background1" w:themeFillShade="D9"/>
            <w:vAlign w:val="center"/>
          </w:tcPr>
          <w:p w:rsidR="004C79DF" w:rsidRPr="00530341" w:rsidRDefault="004C79DF" w:rsidP="004C79DF">
            <w:pPr>
              <w:jc w:val="center"/>
              <w:rPr>
                <w:rFonts w:eastAsia="Calibri"/>
                <w:b/>
                <w:bCs/>
                <w:sz w:val="22"/>
                <w:szCs w:val="22"/>
              </w:rPr>
            </w:pPr>
            <w:r w:rsidRPr="00530341">
              <w:rPr>
                <w:rFonts w:eastAsia="Calibri"/>
                <w:b/>
                <w:bCs/>
                <w:sz w:val="22"/>
                <w:szCs w:val="22"/>
              </w:rPr>
              <w:t>Baseline</w:t>
            </w:r>
          </w:p>
        </w:tc>
        <w:tc>
          <w:tcPr>
            <w:tcW w:w="1915" w:type="dxa"/>
            <w:shd w:val="clear" w:color="auto" w:fill="D9D9D9" w:themeFill="background1" w:themeFillShade="D9"/>
            <w:vAlign w:val="center"/>
          </w:tcPr>
          <w:p w:rsidR="004C79DF" w:rsidRPr="00530341" w:rsidRDefault="004C79DF" w:rsidP="004C79DF">
            <w:pPr>
              <w:jc w:val="center"/>
              <w:rPr>
                <w:rFonts w:eastAsia="Calibri"/>
                <w:b/>
                <w:bCs/>
                <w:sz w:val="22"/>
                <w:szCs w:val="22"/>
              </w:rPr>
            </w:pPr>
            <w:r w:rsidRPr="00530341">
              <w:rPr>
                <w:rFonts w:eastAsia="Calibri"/>
                <w:b/>
                <w:bCs/>
                <w:sz w:val="22"/>
                <w:szCs w:val="22"/>
              </w:rPr>
              <w:t>Benchmark</w:t>
            </w:r>
          </w:p>
        </w:tc>
        <w:tc>
          <w:tcPr>
            <w:tcW w:w="1915" w:type="dxa"/>
            <w:shd w:val="clear" w:color="auto" w:fill="D9D9D9" w:themeFill="background1" w:themeFillShade="D9"/>
            <w:vAlign w:val="center"/>
          </w:tcPr>
          <w:p w:rsidR="004C79DF" w:rsidRPr="00530341" w:rsidRDefault="004C79DF" w:rsidP="004C79DF">
            <w:pPr>
              <w:jc w:val="center"/>
              <w:rPr>
                <w:rFonts w:eastAsia="Calibri"/>
                <w:b/>
                <w:bCs/>
                <w:sz w:val="22"/>
                <w:szCs w:val="22"/>
              </w:rPr>
            </w:pPr>
            <w:r w:rsidRPr="00530341">
              <w:rPr>
                <w:rFonts w:eastAsia="Calibri"/>
                <w:b/>
                <w:bCs/>
                <w:sz w:val="22"/>
                <w:szCs w:val="22"/>
              </w:rPr>
              <w:t>Outcome</w:t>
            </w:r>
          </w:p>
        </w:tc>
        <w:tc>
          <w:tcPr>
            <w:tcW w:w="1916" w:type="dxa"/>
            <w:shd w:val="clear" w:color="auto" w:fill="D9D9D9" w:themeFill="background1" w:themeFillShade="D9"/>
            <w:vAlign w:val="center"/>
          </w:tcPr>
          <w:p w:rsidR="004C79DF" w:rsidRPr="00530341" w:rsidRDefault="004C79DF" w:rsidP="004C79DF">
            <w:pPr>
              <w:jc w:val="center"/>
              <w:rPr>
                <w:rFonts w:eastAsia="Calibri"/>
                <w:b/>
                <w:bCs/>
                <w:sz w:val="22"/>
                <w:szCs w:val="22"/>
              </w:rPr>
            </w:pPr>
            <w:r w:rsidRPr="00530341">
              <w:rPr>
                <w:rFonts w:eastAsia="Calibri"/>
                <w:b/>
                <w:bCs/>
                <w:sz w:val="22"/>
                <w:szCs w:val="22"/>
              </w:rPr>
              <w:t>Benchmark Achieved?</w:t>
            </w:r>
          </w:p>
        </w:tc>
      </w:tr>
      <w:tr w:rsidR="004C79DF" w:rsidRPr="00DC5A89" w:rsidTr="004C79DF">
        <w:trPr>
          <w:trHeight w:val="899"/>
        </w:trPr>
        <w:tc>
          <w:tcPr>
            <w:tcW w:w="1915" w:type="dxa"/>
            <w:shd w:val="clear" w:color="auto" w:fill="auto"/>
          </w:tcPr>
          <w:p w:rsidR="004C79DF" w:rsidRPr="00530341" w:rsidRDefault="004C79DF" w:rsidP="004C79DF">
            <w:pPr>
              <w:rPr>
                <w:rFonts w:eastAsia="Calibri"/>
                <w:sz w:val="22"/>
                <w:szCs w:val="22"/>
              </w:rPr>
            </w:pPr>
            <w:r w:rsidRPr="00530341">
              <w:rPr>
                <w:rFonts w:eastAsia="Calibri"/>
                <w:sz w:val="22"/>
                <w:szCs w:val="22"/>
              </w:rPr>
              <w:t>Number of households transitioned to self-sufficiency (increase).</w:t>
            </w:r>
          </w:p>
        </w:tc>
        <w:tc>
          <w:tcPr>
            <w:tcW w:w="1915" w:type="dxa"/>
            <w:shd w:val="clear" w:color="auto" w:fill="auto"/>
          </w:tcPr>
          <w:p w:rsidR="004C79DF" w:rsidRPr="00530341" w:rsidRDefault="004C79DF" w:rsidP="004C79DF">
            <w:pPr>
              <w:jc w:val="center"/>
              <w:rPr>
                <w:rFonts w:eastAsia="Calibri"/>
                <w:sz w:val="22"/>
                <w:szCs w:val="22"/>
              </w:rPr>
            </w:pPr>
            <w:r w:rsidRPr="00530341">
              <w:rPr>
                <w:rFonts w:eastAsia="Calibri"/>
                <w:sz w:val="22"/>
                <w:szCs w:val="22"/>
              </w:rPr>
              <w:t>0</w:t>
            </w:r>
            <w:r>
              <w:rPr>
                <w:rFonts w:eastAsia="Calibri"/>
                <w:sz w:val="22"/>
                <w:szCs w:val="22"/>
              </w:rPr>
              <w:t xml:space="preserve"> households</w:t>
            </w:r>
          </w:p>
        </w:tc>
        <w:tc>
          <w:tcPr>
            <w:tcW w:w="1915" w:type="dxa"/>
            <w:shd w:val="clear" w:color="auto" w:fill="auto"/>
          </w:tcPr>
          <w:p w:rsidR="004C79DF" w:rsidRPr="00E62EFD" w:rsidRDefault="00E62EFD" w:rsidP="004C79DF">
            <w:pPr>
              <w:jc w:val="center"/>
              <w:rPr>
                <w:rFonts w:eastAsia="Calibri"/>
                <w:sz w:val="22"/>
                <w:szCs w:val="22"/>
              </w:rPr>
            </w:pPr>
            <w:r w:rsidRPr="00E62EFD">
              <w:rPr>
                <w:rFonts w:eastAsia="Calibri"/>
                <w:sz w:val="22"/>
                <w:szCs w:val="22"/>
              </w:rPr>
              <w:t xml:space="preserve"> 107</w:t>
            </w:r>
            <w:r w:rsidR="004C79DF" w:rsidRPr="00E62EFD">
              <w:rPr>
                <w:rFonts w:eastAsia="Calibri"/>
                <w:sz w:val="22"/>
                <w:szCs w:val="22"/>
              </w:rPr>
              <w:t xml:space="preserve"> households</w:t>
            </w:r>
          </w:p>
        </w:tc>
        <w:tc>
          <w:tcPr>
            <w:tcW w:w="1915" w:type="dxa"/>
            <w:shd w:val="clear" w:color="auto" w:fill="auto"/>
          </w:tcPr>
          <w:p w:rsidR="004C79DF" w:rsidRPr="00E62EFD" w:rsidRDefault="004C79DF" w:rsidP="004C79DF">
            <w:pPr>
              <w:jc w:val="center"/>
              <w:rPr>
                <w:rFonts w:eastAsia="Calibri"/>
                <w:sz w:val="22"/>
                <w:szCs w:val="22"/>
              </w:rPr>
            </w:pPr>
          </w:p>
        </w:tc>
        <w:tc>
          <w:tcPr>
            <w:tcW w:w="1916" w:type="dxa"/>
            <w:shd w:val="clear" w:color="auto" w:fill="auto"/>
          </w:tcPr>
          <w:p w:rsidR="004C79DF" w:rsidRPr="00530341" w:rsidRDefault="004C79DF" w:rsidP="004C79DF">
            <w:pPr>
              <w:jc w:val="center"/>
              <w:rPr>
                <w:rFonts w:eastAsia="Calibri"/>
                <w:sz w:val="22"/>
                <w:szCs w:val="22"/>
              </w:rPr>
            </w:pPr>
          </w:p>
        </w:tc>
      </w:tr>
    </w:tbl>
    <w:p w:rsidR="004C79DF" w:rsidRDefault="004C79DF" w:rsidP="004C79DF"/>
    <w:p w:rsidR="004C79DF" w:rsidRDefault="004C79DF" w:rsidP="005E3062">
      <w:pPr>
        <w:rPr>
          <w:b/>
          <w:color w:val="000000"/>
          <w:u w:val="single"/>
        </w:rPr>
      </w:pPr>
    </w:p>
    <w:p w:rsidR="00E1509D" w:rsidRPr="00E1509D" w:rsidRDefault="00E1509D" w:rsidP="00E1509D"/>
    <w:p w:rsidR="00E1509D" w:rsidRDefault="00E1509D" w:rsidP="005E3062"/>
    <w:p w:rsidR="00E1509D" w:rsidRDefault="00E1509D" w:rsidP="00E1509D">
      <w:pPr>
        <w:tabs>
          <w:tab w:val="left" w:pos="3383"/>
        </w:tabs>
      </w:pPr>
      <w:r>
        <w:tab/>
      </w:r>
    </w:p>
    <w:p w:rsidR="005E3062" w:rsidRPr="009E6224" w:rsidRDefault="005E3062" w:rsidP="005E3062">
      <w:pPr>
        <w:rPr>
          <w:b/>
          <w:color w:val="000000"/>
          <w:u w:val="single"/>
        </w:rPr>
      </w:pPr>
      <w:r w:rsidRPr="00E1509D">
        <w:br w:type="page"/>
      </w:r>
      <w:r w:rsidRPr="009E6224">
        <w:rPr>
          <w:b/>
          <w:color w:val="000000"/>
          <w:u w:val="single"/>
        </w:rPr>
        <w:t>Activity 2013-1:  Rent Reasonableness</w:t>
      </w:r>
    </w:p>
    <w:p w:rsidR="005E3062" w:rsidRPr="009E6224" w:rsidRDefault="005E3062" w:rsidP="005E3062">
      <w:pPr>
        <w:rPr>
          <w:b/>
          <w:color w:val="000000"/>
          <w:u w:val="single"/>
        </w:rPr>
      </w:pPr>
    </w:p>
    <w:p w:rsidR="005E3062" w:rsidRPr="009E6224" w:rsidRDefault="005E3062" w:rsidP="009E6224">
      <w:pPr>
        <w:tabs>
          <w:tab w:val="left" w:pos="450"/>
        </w:tabs>
        <w:jc w:val="both"/>
        <w:rPr>
          <w:b/>
        </w:rPr>
      </w:pPr>
      <w:r w:rsidRPr="009E6224">
        <w:rPr>
          <w:b/>
          <w:color w:val="000000"/>
        </w:rPr>
        <w:t>Description of MTW Activity:</w:t>
      </w:r>
      <w:r w:rsidR="00FB7270">
        <w:rPr>
          <w:b/>
          <w:color w:val="000000"/>
        </w:rPr>
        <w:t xml:space="preserve">  </w:t>
      </w:r>
      <w:r w:rsidRPr="009E6224">
        <w:t xml:space="preserve">In FY 2013, DHCD eliminated the requirement to re-determine the reasonable rent if there is a 5% decrease in the published Fair Market Rent (FMR) in effect 60 days before the contract anniversary date as compared to the FMR in effect 1 year before the contract anniversary.  </w:t>
      </w:r>
    </w:p>
    <w:p w:rsidR="005E3062" w:rsidRPr="009E6224" w:rsidRDefault="005E3062" w:rsidP="009E6224">
      <w:pPr>
        <w:tabs>
          <w:tab w:val="left" w:pos="0"/>
          <w:tab w:val="left" w:pos="90"/>
        </w:tabs>
        <w:jc w:val="both"/>
      </w:pPr>
    </w:p>
    <w:p w:rsidR="005E3062" w:rsidRPr="009E6224" w:rsidRDefault="005E3062" w:rsidP="009E6224">
      <w:pPr>
        <w:tabs>
          <w:tab w:val="left" w:pos="0"/>
        </w:tabs>
        <w:jc w:val="both"/>
      </w:pPr>
      <w:r w:rsidRPr="009E6224">
        <w:t>Generally, a 5% or greater decrease in the published FMR</w:t>
      </w:r>
      <w:r w:rsidR="00D52A26" w:rsidRPr="009E6224">
        <w:t xml:space="preserve"> compared to the FMR in effect one</w:t>
      </w:r>
      <w:r w:rsidRPr="009E6224">
        <w:t xml:space="preserve"> year before is not typical in Massachusetts. DHCD conducted an analysis of the year to year change in the published FMRs from 2006 to 2012 by FMR Area. Between 2006 and 2012, there was only one year where the majority of FMR areas experienced a 5% or greater decrease in FMR. </w:t>
      </w:r>
      <w:r w:rsidR="00FB7270">
        <w:t xml:space="preserve"> </w:t>
      </w:r>
      <w:r w:rsidRPr="009E6224">
        <w:t xml:space="preserve">Although infrequent, when this does occur, it places a significant administrative burden on RAA staff who must conduct reasonable rent determinations. Staff may also need to renegotiate rents and if negotiations are unsuccessful, tenants will be required to move, which will further increase the administrative burden on staff and place an onerous burden on tenants. </w:t>
      </w:r>
    </w:p>
    <w:p w:rsidR="005E3062" w:rsidRPr="009E6224" w:rsidRDefault="005E3062" w:rsidP="009E6224">
      <w:pPr>
        <w:tabs>
          <w:tab w:val="left" w:pos="0"/>
          <w:tab w:val="left" w:pos="90"/>
        </w:tabs>
        <w:jc w:val="both"/>
      </w:pPr>
    </w:p>
    <w:p w:rsidR="005E3062" w:rsidRPr="009E6224" w:rsidRDefault="005E3062" w:rsidP="009E6224">
      <w:pPr>
        <w:tabs>
          <w:tab w:val="left" w:pos="0"/>
          <w:tab w:val="left" w:pos="90"/>
        </w:tabs>
        <w:jc w:val="both"/>
      </w:pPr>
      <w:r w:rsidRPr="009E6224">
        <w:t xml:space="preserve">DHCD will continue to complete a reasonable rent determination when a unit is placed under HAP contract for the first time, when an owner requests a contract rent adjustment, and at any other time DHCD deems it necessary. As rent increases will continue to be allowed during the lease-prescribed time periods, DHCD assumes that owners will request a rent increase within market fluctuations as warranted. </w:t>
      </w:r>
      <w:r w:rsidR="00FB7270">
        <w:t xml:space="preserve"> </w:t>
      </w:r>
      <w:r w:rsidRPr="009E6224">
        <w:t>Therefore, DHCD believes that reasonable rent determinations will continue to be made with regular frequency.  This initiative is fully implemented and is anticipated to continue through FY 201</w:t>
      </w:r>
      <w:r w:rsidR="00EF630C">
        <w:t>7</w:t>
      </w:r>
      <w:r w:rsidRPr="009E6224">
        <w:t>.</w:t>
      </w:r>
    </w:p>
    <w:p w:rsidR="005E3062" w:rsidRPr="009E6224" w:rsidRDefault="005E3062" w:rsidP="009E6224">
      <w:pPr>
        <w:tabs>
          <w:tab w:val="left" w:pos="0"/>
          <w:tab w:val="left" w:pos="90"/>
        </w:tabs>
        <w:jc w:val="both"/>
        <w:rPr>
          <w:color w:val="000000"/>
        </w:rPr>
      </w:pPr>
    </w:p>
    <w:p w:rsidR="005E3062" w:rsidRPr="003F655B" w:rsidRDefault="005E3062" w:rsidP="00925298">
      <w:pPr>
        <w:tabs>
          <w:tab w:val="left" w:pos="0"/>
          <w:tab w:val="left" w:pos="90"/>
        </w:tabs>
        <w:jc w:val="both"/>
        <w:rPr>
          <w:color w:val="000000"/>
        </w:rPr>
      </w:pPr>
      <w:r w:rsidRPr="009E6224">
        <w:rPr>
          <w:b/>
          <w:color w:val="000000"/>
        </w:rPr>
        <w:t>Proposed Changes:</w:t>
      </w:r>
      <w:r w:rsidRPr="009E6224">
        <w:rPr>
          <w:color w:val="000000"/>
        </w:rPr>
        <w:t xml:space="preserve"> No changes are proposed.</w:t>
      </w:r>
    </w:p>
    <w:p w:rsidR="005E3062" w:rsidRPr="003F655B" w:rsidRDefault="005E3062" w:rsidP="00925298">
      <w:pPr>
        <w:tabs>
          <w:tab w:val="left" w:pos="0"/>
          <w:tab w:val="left" w:pos="90"/>
        </w:tabs>
        <w:jc w:val="both"/>
        <w:rPr>
          <w:b/>
          <w:color w:val="000000"/>
        </w:rPr>
      </w:pPr>
    </w:p>
    <w:p w:rsidR="005E3062" w:rsidRPr="003F655B" w:rsidRDefault="005E3062" w:rsidP="00925298">
      <w:pPr>
        <w:tabs>
          <w:tab w:val="left" w:pos="0"/>
          <w:tab w:val="left" w:pos="90"/>
        </w:tabs>
        <w:jc w:val="both"/>
        <w:rPr>
          <w:color w:val="000000"/>
        </w:rPr>
      </w:pPr>
      <w:r w:rsidRPr="003F655B">
        <w:rPr>
          <w:b/>
          <w:color w:val="000000"/>
        </w:rPr>
        <w:t>Approval and Implementation:</w:t>
      </w:r>
      <w:r w:rsidRPr="003F655B">
        <w:rPr>
          <w:color w:val="000000"/>
        </w:rPr>
        <w:t xml:space="preserve"> 2013 – Implementation activities began in FY 2013.</w:t>
      </w:r>
    </w:p>
    <w:p w:rsidR="005E3062" w:rsidRPr="003F655B" w:rsidRDefault="005E3062" w:rsidP="00925298">
      <w:pPr>
        <w:jc w:val="both"/>
        <w:rPr>
          <w:strike/>
          <w:color w:val="000000"/>
        </w:rPr>
      </w:pPr>
    </w:p>
    <w:p w:rsidR="00FD61F6" w:rsidRDefault="00FD61F6" w:rsidP="00925298">
      <w:pPr>
        <w:jc w:val="both"/>
        <w:rPr>
          <w:b/>
          <w:color w:val="000000"/>
        </w:rPr>
      </w:pPr>
      <w:r>
        <w:rPr>
          <w:b/>
        </w:rPr>
        <w:t xml:space="preserve">Changes to Baseline, Benchmarks &amp; Metrics: </w:t>
      </w:r>
      <w:r>
        <w:t>There are no changes anticipated to the baselines or benchmarks.  DHCD will report on outcomes in the MTW Annual Report</w:t>
      </w:r>
      <w:r w:rsidR="00925298">
        <w:t>.</w:t>
      </w:r>
    </w:p>
    <w:p w:rsidR="00FD61F6" w:rsidRDefault="00FD61F6" w:rsidP="00925298">
      <w:pPr>
        <w:jc w:val="both"/>
        <w:rPr>
          <w:b/>
          <w:color w:val="000000"/>
        </w:rPr>
      </w:pPr>
    </w:p>
    <w:p w:rsidR="0002423B" w:rsidRDefault="00CA2CB8" w:rsidP="0002423B">
      <w:pPr>
        <w:rPr>
          <w:color w:val="000000"/>
        </w:rPr>
      </w:pPr>
      <w:r>
        <w:rPr>
          <w:b/>
          <w:color w:val="000000"/>
        </w:rPr>
        <w:t>Metrics</w:t>
      </w:r>
      <w:r w:rsidR="005E3062" w:rsidRPr="00FB4487">
        <w:rPr>
          <w:color w:val="000000"/>
        </w:rPr>
        <w:t xml:space="preserve">:  </w:t>
      </w:r>
    </w:p>
    <w:p w:rsidR="005E3062" w:rsidRPr="00FD61F6" w:rsidRDefault="005E3062" w:rsidP="005E3062">
      <w:pPr>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5"/>
        <w:gridCol w:w="1874"/>
        <w:gridCol w:w="1858"/>
        <w:gridCol w:w="1875"/>
      </w:tblGrid>
      <w:tr w:rsidR="005E3062" w:rsidRPr="00877AB7" w:rsidTr="00925298">
        <w:trPr>
          <w:trHeight w:val="269"/>
        </w:trPr>
        <w:tc>
          <w:tcPr>
            <w:tcW w:w="9576" w:type="dxa"/>
            <w:gridSpan w:val="5"/>
            <w:shd w:val="clear" w:color="auto" w:fill="C6D9F1" w:themeFill="text2" w:themeFillTint="33"/>
            <w:hideMark/>
          </w:tcPr>
          <w:p w:rsidR="005E3062" w:rsidRPr="00877AB7" w:rsidRDefault="005E3062" w:rsidP="004172B2">
            <w:pPr>
              <w:jc w:val="center"/>
              <w:rPr>
                <w:rFonts w:eastAsia="Calibri"/>
                <w:b/>
                <w:bCs/>
                <w:i/>
                <w:iCs/>
                <w:sz w:val="22"/>
                <w:szCs w:val="22"/>
              </w:rPr>
            </w:pPr>
            <w:r w:rsidRPr="00877AB7">
              <w:rPr>
                <w:rFonts w:eastAsia="Calibri"/>
                <w:b/>
                <w:bCs/>
                <w:i/>
                <w:iCs/>
                <w:sz w:val="22"/>
                <w:szCs w:val="22"/>
              </w:rPr>
              <w:t>CE #1: Agency Cost Savings</w:t>
            </w:r>
          </w:p>
        </w:tc>
      </w:tr>
      <w:tr w:rsidR="005E3062" w:rsidRPr="00877AB7" w:rsidTr="00925298">
        <w:trPr>
          <w:trHeight w:val="615"/>
        </w:trPr>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Unit of Measurement</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Baseline</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Benchmark</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Outcome</w:t>
            </w:r>
          </w:p>
        </w:tc>
        <w:tc>
          <w:tcPr>
            <w:tcW w:w="1916"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Benchmark Achieved?</w:t>
            </w:r>
          </w:p>
        </w:tc>
      </w:tr>
      <w:tr w:rsidR="005E3062" w:rsidRPr="00877AB7" w:rsidTr="004E49FD">
        <w:trPr>
          <w:trHeight w:val="584"/>
        </w:trPr>
        <w:tc>
          <w:tcPr>
            <w:tcW w:w="1915" w:type="dxa"/>
            <w:shd w:val="clear" w:color="auto" w:fill="auto"/>
            <w:hideMark/>
          </w:tcPr>
          <w:p w:rsidR="005E3062" w:rsidRPr="00877AB7" w:rsidRDefault="005E3062" w:rsidP="009472B1">
            <w:pPr>
              <w:rPr>
                <w:rFonts w:eastAsia="Calibri"/>
                <w:sz w:val="22"/>
                <w:szCs w:val="22"/>
              </w:rPr>
            </w:pPr>
            <w:r w:rsidRPr="00877AB7">
              <w:rPr>
                <w:rFonts w:eastAsia="Calibri"/>
                <w:sz w:val="22"/>
                <w:szCs w:val="22"/>
              </w:rPr>
              <w:t>Total cost of task in dollars (decrease).</w:t>
            </w:r>
          </w:p>
        </w:tc>
        <w:tc>
          <w:tcPr>
            <w:tcW w:w="1915" w:type="dxa"/>
            <w:shd w:val="clear" w:color="auto" w:fill="auto"/>
          </w:tcPr>
          <w:p w:rsidR="005E3062" w:rsidRPr="00877AB7" w:rsidRDefault="00877AB7" w:rsidP="009472B1">
            <w:pPr>
              <w:jc w:val="center"/>
              <w:rPr>
                <w:rFonts w:eastAsia="Calibri"/>
                <w:sz w:val="22"/>
                <w:szCs w:val="22"/>
              </w:rPr>
            </w:pPr>
            <w:r w:rsidRPr="00877AB7">
              <w:rPr>
                <w:rFonts w:eastAsia="Calibri"/>
                <w:sz w:val="22"/>
                <w:szCs w:val="22"/>
              </w:rPr>
              <w:t>$364,345</w:t>
            </w:r>
          </w:p>
        </w:tc>
        <w:tc>
          <w:tcPr>
            <w:tcW w:w="1915" w:type="dxa"/>
            <w:shd w:val="clear" w:color="auto" w:fill="auto"/>
          </w:tcPr>
          <w:p w:rsidR="00877AB7" w:rsidRPr="00877AB7" w:rsidRDefault="00877AB7" w:rsidP="00034D05">
            <w:pPr>
              <w:jc w:val="center"/>
              <w:rPr>
                <w:rFonts w:eastAsia="Calibri"/>
                <w:sz w:val="22"/>
                <w:szCs w:val="22"/>
              </w:rPr>
            </w:pPr>
            <w:r w:rsidRPr="00034D05">
              <w:rPr>
                <w:rFonts w:eastAsia="Calibri"/>
                <w:sz w:val="22"/>
                <w:szCs w:val="22"/>
              </w:rPr>
              <w:t>$</w:t>
            </w:r>
            <w:r w:rsidR="00034D05">
              <w:rPr>
                <w:rFonts w:eastAsia="Calibri"/>
                <w:sz w:val="22"/>
                <w:szCs w:val="22"/>
              </w:rPr>
              <w:t>0.00</w:t>
            </w:r>
          </w:p>
        </w:tc>
        <w:tc>
          <w:tcPr>
            <w:tcW w:w="1915" w:type="dxa"/>
            <w:shd w:val="clear" w:color="auto" w:fill="auto"/>
          </w:tcPr>
          <w:p w:rsidR="005E3062" w:rsidRPr="00877AB7" w:rsidRDefault="005E3062" w:rsidP="009472B1">
            <w:pPr>
              <w:jc w:val="center"/>
              <w:rPr>
                <w:rFonts w:eastAsia="Calibri"/>
                <w:sz w:val="22"/>
                <w:szCs w:val="22"/>
              </w:rPr>
            </w:pPr>
          </w:p>
        </w:tc>
        <w:tc>
          <w:tcPr>
            <w:tcW w:w="1916" w:type="dxa"/>
            <w:shd w:val="clear" w:color="auto" w:fill="auto"/>
          </w:tcPr>
          <w:p w:rsidR="005E3062" w:rsidRPr="00877AB7" w:rsidRDefault="005E3062" w:rsidP="009472B1">
            <w:pPr>
              <w:jc w:val="center"/>
              <w:rPr>
                <w:rFonts w:eastAsia="Calibri"/>
                <w:sz w:val="22"/>
                <w:szCs w:val="22"/>
              </w:rPr>
            </w:pPr>
          </w:p>
        </w:tc>
      </w:tr>
      <w:tr w:rsidR="005E3062" w:rsidRPr="00877AB7" w:rsidTr="00925298">
        <w:trPr>
          <w:trHeight w:val="224"/>
        </w:trPr>
        <w:tc>
          <w:tcPr>
            <w:tcW w:w="9576" w:type="dxa"/>
            <w:gridSpan w:val="5"/>
            <w:shd w:val="clear" w:color="auto" w:fill="C6D9F1" w:themeFill="text2" w:themeFillTint="33"/>
            <w:hideMark/>
          </w:tcPr>
          <w:p w:rsidR="005E3062" w:rsidRPr="00877AB7" w:rsidRDefault="005E3062" w:rsidP="004172B2">
            <w:pPr>
              <w:jc w:val="center"/>
              <w:rPr>
                <w:rFonts w:eastAsia="Calibri"/>
                <w:b/>
                <w:bCs/>
                <w:i/>
                <w:iCs/>
                <w:sz w:val="22"/>
                <w:szCs w:val="22"/>
              </w:rPr>
            </w:pPr>
            <w:r w:rsidRPr="00877AB7">
              <w:rPr>
                <w:rFonts w:eastAsia="Calibri"/>
                <w:b/>
                <w:bCs/>
                <w:i/>
                <w:iCs/>
                <w:sz w:val="22"/>
                <w:szCs w:val="22"/>
              </w:rPr>
              <w:t>CE #2: Staff Time Savings</w:t>
            </w:r>
          </w:p>
        </w:tc>
      </w:tr>
      <w:tr w:rsidR="005E3062" w:rsidRPr="00877AB7" w:rsidTr="00925298">
        <w:trPr>
          <w:trHeight w:val="615"/>
        </w:trPr>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Unit of Measurement</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Baseline</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Benchmark</w:t>
            </w:r>
          </w:p>
        </w:tc>
        <w:tc>
          <w:tcPr>
            <w:tcW w:w="1915"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Outcome</w:t>
            </w:r>
          </w:p>
        </w:tc>
        <w:tc>
          <w:tcPr>
            <w:tcW w:w="1916" w:type="dxa"/>
            <w:shd w:val="clear" w:color="auto" w:fill="D9D9D9" w:themeFill="background1" w:themeFillShade="D9"/>
            <w:vAlign w:val="center"/>
            <w:hideMark/>
          </w:tcPr>
          <w:p w:rsidR="005E3062" w:rsidRPr="00877AB7" w:rsidRDefault="005E3062" w:rsidP="009472B1">
            <w:pPr>
              <w:jc w:val="center"/>
              <w:rPr>
                <w:rFonts w:eastAsia="Calibri"/>
                <w:b/>
                <w:bCs/>
                <w:sz w:val="22"/>
                <w:szCs w:val="22"/>
              </w:rPr>
            </w:pPr>
            <w:r w:rsidRPr="00877AB7">
              <w:rPr>
                <w:rFonts w:eastAsia="Calibri"/>
                <w:b/>
                <w:bCs/>
                <w:sz w:val="22"/>
                <w:szCs w:val="22"/>
              </w:rPr>
              <w:t>Benchmark Achieved?</w:t>
            </w:r>
          </w:p>
        </w:tc>
      </w:tr>
      <w:tr w:rsidR="005E3062" w:rsidRPr="003F655B" w:rsidTr="00CE70FD">
        <w:trPr>
          <w:trHeight w:val="818"/>
        </w:trPr>
        <w:tc>
          <w:tcPr>
            <w:tcW w:w="1915" w:type="dxa"/>
            <w:shd w:val="clear" w:color="auto" w:fill="auto"/>
            <w:hideMark/>
          </w:tcPr>
          <w:p w:rsidR="005E3062" w:rsidRPr="00877AB7" w:rsidRDefault="005E3062" w:rsidP="009472B1">
            <w:pPr>
              <w:rPr>
                <w:rFonts w:eastAsia="Calibri"/>
                <w:sz w:val="22"/>
                <w:szCs w:val="22"/>
              </w:rPr>
            </w:pPr>
            <w:r w:rsidRPr="00877AB7">
              <w:rPr>
                <w:rFonts w:eastAsia="Calibri"/>
                <w:sz w:val="22"/>
                <w:szCs w:val="22"/>
              </w:rPr>
              <w:t>Total time to complete the task in staff hours (decrease).</w:t>
            </w:r>
          </w:p>
        </w:tc>
        <w:tc>
          <w:tcPr>
            <w:tcW w:w="1915" w:type="dxa"/>
            <w:shd w:val="clear" w:color="auto" w:fill="auto"/>
            <w:vAlign w:val="center"/>
          </w:tcPr>
          <w:p w:rsidR="005E3062" w:rsidRPr="00877AB7" w:rsidRDefault="00877AB7" w:rsidP="00CE70FD">
            <w:pPr>
              <w:jc w:val="center"/>
              <w:rPr>
                <w:rFonts w:eastAsia="Calibri"/>
                <w:sz w:val="22"/>
                <w:szCs w:val="22"/>
              </w:rPr>
            </w:pPr>
            <w:r w:rsidRPr="00877AB7">
              <w:rPr>
                <w:rFonts w:eastAsia="Calibri"/>
                <w:sz w:val="22"/>
                <w:szCs w:val="22"/>
              </w:rPr>
              <w:t>20,052 hours</w:t>
            </w:r>
          </w:p>
        </w:tc>
        <w:tc>
          <w:tcPr>
            <w:tcW w:w="1915" w:type="dxa"/>
            <w:shd w:val="clear" w:color="auto" w:fill="auto"/>
            <w:vAlign w:val="center"/>
          </w:tcPr>
          <w:p w:rsidR="005E3062" w:rsidRPr="00877AB7" w:rsidRDefault="00877AB7" w:rsidP="00CE70FD">
            <w:pPr>
              <w:jc w:val="center"/>
              <w:rPr>
                <w:rFonts w:eastAsia="Calibri"/>
                <w:sz w:val="22"/>
                <w:szCs w:val="22"/>
              </w:rPr>
            </w:pPr>
            <w:r w:rsidRPr="00034D05">
              <w:rPr>
                <w:rFonts w:eastAsia="Calibri"/>
                <w:sz w:val="22"/>
                <w:szCs w:val="22"/>
              </w:rPr>
              <w:t>0</w:t>
            </w:r>
            <w:r w:rsidR="00034D05">
              <w:rPr>
                <w:rFonts w:eastAsia="Calibri"/>
                <w:sz w:val="22"/>
                <w:szCs w:val="22"/>
              </w:rPr>
              <w:t xml:space="preserve"> hours</w:t>
            </w:r>
          </w:p>
        </w:tc>
        <w:tc>
          <w:tcPr>
            <w:tcW w:w="1915" w:type="dxa"/>
            <w:shd w:val="clear" w:color="auto" w:fill="auto"/>
          </w:tcPr>
          <w:p w:rsidR="005E3062" w:rsidRPr="00877AB7" w:rsidRDefault="005E3062" w:rsidP="009472B1">
            <w:pPr>
              <w:jc w:val="center"/>
              <w:rPr>
                <w:rFonts w:eastAsia="Calibri"/>
                <w:sz w:val="22"/>
                <w:szCs w:val="22"/>
              </w:rPr>
            </w:pPr>
          </w:p>
        </w:tc>
        <w:tc>
          <w:tcPr>
            <w:tcW w:w="1916" w:type="dxa"/>
            <w:shd w:val="clear" w:color="auto" w:fill="auto"/>
          </w:tcPr>
          <w:p w:rsidR="005E3062" w:rsidRPr="00877AB7" w:rsidRDefault="005E3062" w:rsidP="009472B1">
            <w:pPr>
              <w:jc w:val="center"/>
              <w:rPr>
                <w:rFonts w:eastAsia="Calibri"/>
                <w:sz w:val="22"/>
                <w:szCs w:val="22"/>
              </w:rPr>
            </w:pPr>
          </w:p>
        </w:tc>
      </w:tr>
    </w:tbl>
    <w:p w:rsidR="005E3062" w:rsidRPr="003F655B" w:rsidRDefault="005E3062" w:rsidP="005E3062">
      <w:pPr>
        <w:rPr>
          <w:color w:val="000000"/>
          <w:highlight w:val="yellow"/>
        </w:rPr>
      </w:pPr>
    </w:p>
    <w:p w:rsidR="005E3062" w:rsidRPr="003F655B" w:rsidRDefault="0002423B" w:rsidP="005E3062">
      <w:pPr>
        <w:rPr>
          <w:b/>
          <w:color w:val="000000"/>
          <w:u w:val="single"/>
        </w:rPr>
      </w:pPr>
      <w:r>
        <w:rPr>
          <w:color w:val="000000"/>
          <w:highlight w:val="yellow"/>
        </w:rPr>
        <w:br w:type="page"/>
      </w:r>
      <w:r w:rsidR="005E3062" w:rsidRPr="003F655B">
        <w:rPr>
          <w:b/>
          <w:color w:val="000000"/>
          <w:u w:val="single"/>
        </w:rPr>
        <w:t xml:space="preserve">Activity 2013-2:  PBV Rent Reasonableness </w:t>
      </w:r>
    </w:p>
    <w:p w:rsidR="005E3062" w:rsidRPr="003F655B" w:rsidRDefault="005E3062" w:rsidP="005E3062">
      <w:pPr>
        <w:rPr>
          <w:b/>
          <w:color w:val="000000"/>
          <w:u w:val="single"/>
        </w:rPr>
      </w:pPr>
    </w:p>
    <w:p w:rsidR="005E3062" w:rsidRPr="009E6224" w:rsidRDefault="005E3062" w:rsidP="00F958E0">
      <w:pPr>
        <w:tabs>
          <w:tab w:val="left" w:pos="360"/>
        </w:tabs>
        <w:jc w:val="both"/>
      </w:pPr>
      <w:r w:rsidRPr="009E6224">
        <w:rPr>
          <w:b/>
          <w:color w:val="000000"/>
        </w:rPr>
        <w:t>Description of MTW Activity</w:t>
      </w:r>
      <w:r w:rsidRPr="009E6224">
        <w:rPr>
          <w:color w:val="000000"/>
        </w:rPr>
        <w:t xml:space="preserve">:  </w:t>
      </w:r>
      <w:r w:rsidRPr="009E6224">
        <w:t xml:space="preserve">In FY 2013, DHCD modified the requirement for conducting rent reasonableness for re-determined rents under the Project Based Voucher (PBV) program.  Note that no change is proposed to the existing policy for determining initial rents, i.e. initial PBV rents will continue to be determined in conformance with the provisions of 24 CFR 983.301 through 983.305 as applicable.  </w:t>
      </w:r>
    </w:p>
    <w:p w:rsidR="005E3062" w:rsidRPr="009E6224" w:rsidRDefault="005E3062" w:rsidP="00F958E0">
      <w:pPr>
        <w:tabs>
          <w:tab w:val="left" w:pos="0"/>
          <w:tab w:val="left" w:pos="90"/>
        </w:tabs>
        <w:jc w:val="both"/>
      </w:pPr>
    </w:p>
    <w:p w:rsidR="005E3062" w:rsidRPr="009E6224" w:rsidRDefault="005E3062" w:rsidP="00F958E0">
      <w:pPr>
        <w:tabs>
          <w:tab w:val="left" w:pos="0"/>
          <w:tab w:val="left" w:pos="90"/>
        </w:tabs>
        <w:jc w:val="both"/>
      </w:pPr>
      <w:r w:rsidRPr="009E6224">
        <w:t xml:space="preserve">Under the new policy, re-determined rents to owners of PBV units, </w:t>
      </w:r>
      <w:r w:rsidRPr="009E6224">
        <w:rPr>
          <w:i/>
        </w:rPr>
        <w:t>except for certain tax credit units as defined in 983.501(c)</w:t>
      </w:r>
      <w:r w:rsidRPr="009E6224">
        <w:t xml:space="preserve">, shall not exceed the lowest of the reasonable rent or the rent requested by owner.  This policy change eliminates consideration of the then current Fair Market Rent (FMR) limits when re-determining PBV rents.  DHCD also eliminated the requirement at 983.303(b) to re-determine the reasonable rents for PBV units whenever there is a five percent or greater decrease in the published FMR in effect sixty days before the contract anniversary as compared with the FMR in effect one year before the contract anniversary.  </w:t>
      </w:r>
    </w:p>
    <w:p w:rsidR="005E3062" w:rsidRPr="009E6224" w:rsidRDefault="005E3062" w:rsidP="00F958E0">
      <w:pPr>
        <w:tabs>
          <w:tab w:val="left" w:pos="0"/>
          <w:tab w:val="left" w:pos="90"/>
        </w:tabs>
        <w:jc w:val="both"/>
      </w:pPr>
    </w:p>
    <w:p w:rsidR="005E3062" w:rsidRPr="009E6224" w:rsidRDefault="005E3062" w:rsidP="00F958E0">
      <w:pPr>
        <w:tabs>
          <w:tab w:val="left" w:pos="0"/>
          <w:tab w:val="left" w:pos="90"/>
        </w:tabs>
        <w:jc w:val="both"/>
      </w:pPr>
      <w:r w:rsidRPr="009E6224">
        <w:t>Affordable housing developers use the PBV commitment to secure project funding and project lenders assume rent trending when underwriting projects; therefore, this policy change will help to ensure the long-term viability and affordability of PBV developments while also promoting housing choice.  This initiative is fully implemented and is anticipated to continue through FY 201</w:t>
      </w:r>
      <w:r w:rsidR="00EF630C">
        <w:t>7</w:t>
      </w:r>
      <w:r w:rsidRPr="009E6224">
        <w:t>.</w:t>
      </w:r>
    </w:p>
    <w:p w:rsidR="005E3062" w:rsidRPr="009E6224" w:rsidRDefault="005E3062" w:rsidP="00F958E0">
      <w:pPr>
        <w:tabs>
          <w:tab w:val="left" w:pos="0"/>
          <w:tab w:val="left" w:pos="90"/>
        </w:tabs>
        <w:jc w:val="both"/>
        <w:rPr>
          <w:color w:val="000000"/>
        </w:rPr>
      </w:pPr>
    </w:p>
    <w:p w:rsidR="005E3062" w:rsidRPr="003F655B" w:rsidRDefault="005E3062" w:rsidP="00925298">
      <w:pPr>
        <w:tabs>
          <w:tab w:val="left" w:pos="0"/>
          <w:tab w:val="left" w:pos="90"/>
        </w:tabs>
        <w:jc w:val="both"/>
        <w:rPr>
          <w:color w:val="000000"/>
        </w:rPr>
      </w:pPr>
      <w:r w:rsidRPr="009E6224">
        <w:rPr>
          <w:b/>
          <w:color w:val="000000"/>
        </w:rPr>
        <w:t>Proposed Changes:</w:t>
      </w:r>
      <w:r w:rsidRPr="009E6224">
        <w:rPr>
          <w:color w:val="000000"/>
        </w:rPr>
        <w:t xml:space="preserve"> No changes are proposed.</w:t>
      </w:r>
    </w:p>
    <w:p w:rsidR="005E3062" w:rsidRPr="003F655B" w:rsidRDefault="005E3062" w:rsidP="00925298">
      <w:pPr>
        <w:tabs>
          <w:tab w:val="left" w:pos="0"/>
          <w:tab w:val="left" w:pos="90"/>
        </w:tabs>
        <w:jc w:val="both"/>
        <w:rPr>
          <w:b/>
          <w:color w:val="000000"/>
        </w:rPr>
      </w:pPr>
    </w:p>
    <w:p w:rsidR="00FD61F6" w:rsidRDefault="00FD61F6" w:rsidP="00925298">
      <w:pPr>
        <w:jc w:val="both"/>
        <w:rPr>
          <w:b/>
          <w:color w:val="000000"/>
        </w:rPr>
      </w:pPr>
      <w:r>
        <w:rPr>
          <w:b/>
        </w:rPr>
        <w:t xml:space="preserve">Changes to Baseline, Benchmarks &amp; Metrics: </w:t>
      </w:r>
      <w:r>
        <w:t>There are no changes anticipated to the baselines or benchmarks.  DHCD will report on outcomes in the MTW Annual Report</w:t>
      </w:r>
      <w:r w:rsidR="00925298">
        <w:t>.</w:t>
      </w:r>
    </w:p>
    <w:p w:rsidR="00FD61F6" w:rsidRDefault="00FD61F6" w:rsidP="00925298">
      <w:pPr>
        <w:tabs>
          <w:tab w:val="left" w:pos="0"/>
          <w:tab w:val="left" w:pos="90"/>
        </w:tabs>
        <w:jc w:val="both"/>
        <w:rPr>
          <w:b/>
          <w:color w:val="000000"/>
        </w:rPr>
      </w:pPr>
    </w:p>
    <w:p w:rsidR="005E3062" w:rsidRPr="003F655B" w:rsidRDefault="005E3062" w:rsidP="00925298">
      <w:pPr>
        <w:tabs>
          <w:tab w:val="left" w:pos="0"/>
          <w:tab w:val="left" w:pos="90"/>
        </w:tabs>
        <w:jc w:val="both"/>
        <w:rPr>
          <w:color w:val="000000"/>
        </w:rPr>
      </w:pPr>
      <w:r w:rsidRPr="003F655B">
        <w:rPr>
          <w:b/>
          <w:color w:val="000000"/>
        </w:rPr>
        <w:t>Approval and Implementation:</w:t>
      </w:r>
      <w:r w:rsidRPr="003F655B">
        <w:rPr>
          <w:color w:val="000000"/>
        </w:rPr>
        <w:t xml:space="preserve"> 2013 – Implementation activities began in FY 2013.</w:t>
      </w:r>
    </w:p>
    <w:p w:rsidR="005E3062" w:rsidRPr="003F655B" w:rsidRDefault="005E3062" w:rsidP="00925298">
      <w:pPr>
        <w:jc w:val="both"/>
        <w:rPr>
          <w:color w:val="000000"/>
        </w:rPr>
      </w:pPr>
    </w:p>
    <w:p w:rsidR="005E3062" w:rsidRDefault="00CA2CB8" w:rsidP="00F958E0">
      <w:pPr>
        <w:jc w:val="both"/>
        <w:rPr>
          <w:color w:val="000000"/>
        </w:rPr>
      </w:pPr>
      <w:r>
        <w:rPr>
          <w:b/>
          <w:color w:val="000000"/>
        </w:rPr>
        <w:t>Metrics</w:t>
      </w:r>
      <w:r w:rsidR="005E3062" w:rsidRPr="000629B0">
        <w:rPr>
          <w:color w:val="000000"/>
        </w:rPr>
        <w:t xml:space="preserve">:  </w:t>
      </w:r>
    </w:p>
    <w:p w:rsidR="00034D05" w:rsidRPr="000629B0" w:rsidRDefault="00034D05" w:rsidP="00F958E0">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3"/>
        <w:gridCol w:w="1875"/>
        <w:gridCol w:w="1858"/>
        <w:gridCol w:w="1876"/>
      </w:tblGrid>
      <w:tr w:rsidR="005E3062" w:rsidRPr="000629B0" w:rsidTr="00375EE4">
        <w:trPr>
          <w:trHeight w:val="269"/>
        </w:trPr>
        <w:tc>
          <w:tcPr>
            <w:tcW w:w="9576" w:type="dxa"/>
            <w:gridSpan w:val="5"/>
            <w:shd w:val="clear" w:color="auto" w:fill="C6D9F1" w:themeFill="text2" w:themeFillTint="33"/>
            <w:hideMark/>
          </w:tcPr>
          <w:p w:rsidR="005E3062" w:rsidRPr="000629B0" w:rsidRDefault="005E3062" w:rsidP="004172B2">
            <w:pPr>
              <w:jc w:val="center"/>
              <w:rPr>
                <w:rFonts w:eastAsia="Calibri"/>
                <w:b/>
                <w:bCs/>
                <w:i/>
                <w:iCs/>
                <w:sz w:val="22"/>
                <w:szCs w:val="22"/>
              </w:rPr>
            </w:pPr>
            <w:r w:rsidRPr="007A5D05">
              <w:rPr>
                <w:rFonts w:eastAsia="Calibri"/>
                <w:b/>
                <w:bCs/>
                <w:i/>
                <w:iCs/>
                <w:sz w:val="22"/>
                <w:szCs w:val="22"/>
              </w:rPr>
              <w:t>CE #1:</w:t>
            </w:r>
            <w:r w:rsidRPr="000629B0">
              <w:rPr>
                <w:rFonts w:eastAsia="Calibri"/>
                <w:b/>
                <w:bCs/>
                <w:i/>
                <w:iCs/>
                <w:sz w:val="22"/>
                <w:szCs w:val="22"/>
              </w:rPr>
              <w:t xml:space="preserve"> Agency Cost Savings</w:t>
            </w:r>
          </w:p>
        </w:tc>
      </w:tr>
      <w:tr w:rsidR="005E3062" w:rsidRPr="000629B0" w:rsidTr="00375EE4">
        <w:trPr>
          <w:trHeight w:val="615"/>
        </w:trPr>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Unit of Measurement</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Baseline</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Benchmark</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Outcome</w:t>
            </w:r>
          </w:p>
        </w:tc>
        <w:tc>
          <w:tcPr>
            <w:tcW w:w="1916"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Benchmark Achieved?</w:t>
            </w:r>
          </w:p>
        </w:tc>
      </w:tr>
      <w:tr w:rsidR="005E3062" w:rsidRPr="000629B0" w:rsidTr="00CE70FD">
        <w:trPr>
          <w:trHeight w:val="593"/>
        </w:trPr>
        <w:tc>
          <w:tcPr>
            <w:tcW w:w="1915" w:type="dxa"/>
            <w:shd w:val="clear" w:color="auto" w:fill="auto"/>
            <w:hideMark/>
          </w:tcPr>
          <w:p w:rsidR="005E3062" w:rsidRPr="000629B0" w:rsidRDefault="005E3062" w:rsidP="009472B1">
            <w:pPr>
              <w:rPr>
                <w:rFonts w:eastAsia="Calibri"/>
                <w:sz w:val="22"/>
                <w:szCs w:val="22"/>
              </w:rPr>
            </w:pPr>
            <w:r w:rsidRPr="000629B0">
              <w:rPr>
                <w:rFonts w:eastAsia="Calibri"/>
                <w:sz w:val="22"/>
                <w:szCs w:val="22"/>
              </w:rPr>
              <w:t>Total cost of task in dollars (decrease).</w:t>
            </w:r>
          </w:p>
        </w:tc>
        <w:tc>
          <w:tcPr>
            <w:tcW w:w="1915" w:type="dxa"/>
            <w:shd w:val="clear" w:color="auto" w:fill="auto"/>
            <w:vAlign w:val="center"/>
          </w:tcPr>
          <w:p w:rsidR="00877AB7" w:rsidRPr="000629B0" w:rsidRDefault="00877AB7" w:rsidP="00CE70FD">
            <w:pPr>
              <w:jc w:val="center"/>
              <w:rPr>
                <w:rFonts w:eastAsia="Calibri"/>
                <w:sz w:val="22"/>
                <w:szCs w:val="22"/>
              </w:rPr>
            </w:pPr>
            <w:r w:rsidRPr="000629B0">
              <w:rPr>
                <w:rFonts w:eastAsia="Calibri"/>
                <w:sz w:val="22"/>
                <w:szCs w:val="22"/>
              </w:rPr>
              <w:t>$34,014</w:t>
            </w:r>
          </w:p>
        </w:tc>
        <w:tc>
          <w:tcPr>
            <w:tcW w:w="1915" w:type="dxa"/>
            <w:shd w:val="clear" w:color="auto" w:fill="auto"/>
            <w:vAlign w:val="center"/>
          </w:tcPr>
          <w:p w:rsidR="00877AB7" w:rsidRPr="000629B0" w:rsidRDefault="00877AB7" w:rsidP="00CE70FD">
            <w:pPr>
              <w:jc w:val="center"/>
              <w:rPr>
                <w:rFonts w:eastAsia="Calibri"/>
                <w:sz w:val="22"/>
                <w:szCs w:val="22"/>
              </w:rPr>
            </w:pPr>
            <w:r w:rsidRPr="000629B0">
              <w:rPr>
                <w:rFonts w:eastAsia="Calibri"/>
                <w:sz w:val="22"/>
                <w:szCs w:val="22"/>
              </w:rPr>
              <w:t>$0</w:t>
            </w:r>
            <w:r w:rsidR="000629B0" w:rsidRPr="000629B0">
              <w:rPr>
                <w:rFonts w:eastAsia="Calibri"/>
                <w:sz w:val="22"/>
                <w:szCs w:val="22"/>
              </w:rPr>
              <w:t>.00</w:t>
            </w:r>
          </w:p>
        </w:tc>
        <w:tc>
          <w:tcPr>
            <w:tcW w:w="1915" w:type="dxa"/>
            <w:shd w:val="clear" w:color="auto" w:fill="auto"/>
          </w:tcPr>
          <w:p w:rsidR="005E3062" w:rsidRPr="000629B0" w:rsidRDefault="005E3062" w:rsidP="009472B1">
            <w:pPr>
              <w:jc w:val="center"/>
              <w:rPr>
                <w:rFonts w:eastAsia="Calibri"/>
                <w:sz w:val="22"/>
                <w:szCs w:val="22"/>
              </w:rPr>
            </w:pPr>
          </w:p>
        </w:tc>
        <w:tc>
          <w:tcPr>
            <w:tcW w:w="1916" w:type="dxa"/>
            <w:shd w:val="clear" w:color="auto" w:fill="auto"/>
          </w:tcPr>
          <w:p w:rsidR="005E3062" w:rsidRPr="000629B0" w:rsidRDefault="005E3062" w:rsidP="009472B1">
            <w:pPr>
              <w:jc w:val="center"/>
              <w:rPr>
                <w:rFonts w:eastAsia="Calibri"/>
                <w:sz w:val="22"/>
                <w:szCs w:val="22"/>
              </w:rPr>
            </w:pPr>
          </w:p>
        </w:tc>
      </w:tr>
      <w:tr w:rsidR="005E3062" w:rsidRPr="000629B0" w:rsidTr="00375EE4">
        <w:trPr>
          <w:trHeight w:val="224"/>
        </w:trPr>
        <w:tc>
          <w:tcPr>
            <w:tcW w:w="9576" w:type="dxa"/>
            <w:gridSpan w:val="5"/>
            <w:shd w:val="clear" w:color="auto" w:fill="C6D9F1" w:themeFill="text2" w:themeFillTint="33"/>
            <w:hideMark/>
          </w:tcPr>
          <w:p w:rsidR="005E3062" w:rsidRPr="000629B0" w:rsidRDefault="005E3062" w:rsidP="004172B2">
            <w:pPr>
              <w:jc w:val="center"/>
              <w:rPr>
                <w:rFonts w:eastAsia="Calibri"/>
                <w:b/>
                <w:bCs/>
                <w:i/>
                <w:iCs/>
                <w:sz w:val="22"/>
                <w:szCs w:val="22"/>
              </w:rPr>
            </w:pPr>
            <w:r w:rsidRPr="000629B0">
              <w:rPr>
                <w:rFonts w:eastAsia="Calibri"/>
                <w:b/>
                <w:bCs/>
                <w:i/>
                <w:iCs/>
                <w:sz w:val="22"/>
                <w:szCs w:val="22"/>
              </w:rPr>
              <w:t>CE #2: Staff Time Savings</w:t>
            </w:r>
          </w:p>
        </w:tc>
      </w:tr>
      <w:tr w:rsidR="005E3062" w:rsidRPr="000629B0" w:rsidTr="00375EE4">
        <w:trPr>
          <w:trHeight w:val="615"/>
        </w:trPr>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Unit of Measurement</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Baseline</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Benchmark</w:t>
            </w:r>
          </w:p>
        </w:tc>
        <w:tc>
          <w:tcPr>
            <w:tcW w:w="1915"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Outcome</w:t>
            </w:r>
          </w:p>
        </w:tc>
        <w:tc>
          <w:tcPr>
            <w:tcW w:w="1916" w:type="dxa"/>
            <w:shd w:val="clear" w:color="auto" w:fill="D9D9D9" w:themeFill="background1" w:themeFillShade="D9"/>
            <w:vAlign w:val="center"/>
            <w:hideMark/>
          </w:tcPr>
          <w:p w:rsidR="005E3062" w:rsidRPr="000629B0" w:rsidRDefault="005E3062" w:rsidP="009472B1">
            <w:pPr>
              <w:jc w:val="center"/>
              <w:rPr>
                <w:rFonts w:eastAsia="Calibri"/>
                <w:b/>
                <w:bCs/>
                <w:sz w:val="22"/>
                <w:szCs w:val="22"/>
              </w:rPr>
            </w:pPr>
            <w:r w:rsidRPr="000629B0">
              <w:rPr>
                <w:rFonts w:eastAsia="Calibri"/>
                <w:b/>
                <w:bCs/>
                <w:sz w:val="22"/>
                <w:szCs w:val="22"/>
              </w:rPr>
              <w:t>Benchmark Achieved?</w:t>
            </w:r>
          </w:p>
        </w:tc>
      </w:tr>
      <w:tr w:rsidR="005E3062" w:rsidRPr="003F655B" w:rsidTr="00CE70FD">
        <w:trPr>
          <w:trHeight w:val="800"/>
        </w:trPr>
        <w:tc>
          <w:tcPr>
            <w:tcW w:w="1915" w:type="dxa"/>
            <w:shd w:val="clear" w:color="auto" w:fill="auto"/>
            <w:hideMark/>
          </w:tcPr>
          <w:p w:rsidR="005E3062" w:rsidRPr="000629B0" w:rsidRDefault="005E3062" w:rsidP="009472B1">
            <w:pPr>
              <w:rPr>
                <w:rFonts w:eastAsia="Calibri"/>
                <w:sz w:val="22"/>
                <w:szCs w:val="22"/>
              </w:rPr>
            </w:pPr>
            <w:r w:rsidRPr="000629B0">
              <w:rPr>
                <w:rFonts w:eastAsia="Calibri"/>
                <w:sz w:val="22"/>
                <w:szCs w:val="22"/>
              </w:rPr>
              <w:t>Total time to complete the task in staff hours (decrease).</w:t>
            </w:r>
          </w:p>
        </w:tc>
        <w:tc>
          <w:tcPr>
            <w:tcW w:w="1915" w:type="dxa"/>
            <w:shd w:val="clear" w:color="auto" w:fill="auto"/>
            <w:vAlign w:val="center"/>
          </w:tcPr>
          <w:p w:rsidR="00877AB7" w:rsidRPr="000629B0" w:rsidRDefault="00877AB7" w:rsidP="00CE70FD">
            <w:pPr>
              <w:jc w:val="center"/>
              <w:rPr>
                <w:rFonts w:eastAsia="Calibri"/>
                <w:sz w:val="22"/>
                <w:szCs w:val="22"/>
              </w:rPr>
            </w:pPr>
            <w:r w:rsidRPr="000629B0">
              <w:rPr>
                <w:rFonts w:eastAsia="Calibri"/>
                <w:sz w:val="22"/>
                <w:szCs w:val="22"/>
              </w:rPr>
              <w:t>1,872 hours</w:t>
            </w:r>
          </w:p>
        </w:tc>
        <w:tc>
          <w:tcPr>
            <w:tcW w:w="1915" w:type="dxa"/>
            <w:shd w:val="clear" w:color="auto" w:fill="auto"/>
            <w:vAlign w:val="center"/>
          </w:tcPr>
          <w:p w:rsidR="00877AB7" w:rsidRPr="000629B0" w:rsidRDefault="00877AB7" w:rsidP="00CE70FD">
            <w:pPr>
              <w:jc w:val="center"/>
              <w:rPr>
                <w:rFonts w:eastAsia="Calibri"/>
                <w:sz w:val="22"/>
                <w:szCs w:val="22"/>
              </w:rPr>
            </w:pPr>
            <w:r w:rsidRPr="000629B0">
              <w:rPr>
                <w:rFonts w:eastAsia="Calibri"/>
                <w:sz w:val="22"/>
                <w:szCs w:val="22"/>
              </w:rPr>
              <w:t>0</w:t>
            </w:r>
            <w:r w:rsidR="00034D05">
              <w:rPr>
                <w:rFonts w:eastAsia="Calibri"/>
                <w:sz w:val="22"/>
                <w:szCs w:val="22"/>
              </w:rPr>
              <w:t xml:space="preserve"> hours</w:t>
            </w:r>
          </w:p>
        </w:tc>
        <w:tc>
          <w:tcPr>
            <w:tcW w:w="1915" w:type="dxa"/>
            <w:shd w:val="clear" w:color="auto" w:fill="auto"/>
          </w:tcPr>
          <w:p w:rsidR="005E3062" w:rsidRPr="000629B0" w:rsidRDefault="005E3062" w:rsidP="009472B1">
            <w:pPr>
              <w:jc w:val="center"/>
              <w:rPr>
                <w:rFonts w:eastAsia="Calibri"/>
                <w:sz w:val="22"/>
                <w:szCs w:val="22"/>
              </w:rPr>
            </w:pPr>
          </w:p>
        </w:tc>
        <w:tc>
          <w:tcPr>
            <w:tcW w:w="1916" w:type="dxa"/>
            <w:shd w:val="clear" w:color="auto" w:fill="auto"/>
          </w:tcPr>
          <w:p w:rsidR="005E3062" w:rsidRPr="000629B0" w:rsidRDefault="005E3062" w:rsidP="009472B1">
            <w:pPr>
              <w:jc w:val="center"/>
              <w:rPr>
                <w:rFonts w:eastAsia="Calibri"/>
                <w:sz w:val="22"/>
                <w:szCs w:val="22"/>
              </w:rPr>
            </w:pPr>
          </w:p>
        </w:tc>
      </w:tr>
    </w:tbl>
    <w:p w:rsidR="00034D05" w:rsidRDefault="00034D05" w:rsidP="005E3062"/>
    <w:p w:rsidR="002F3C7A" w:rsidRPr="00FD61F6" w:rsidRDefault="002F3C7A">
      <w:r>
        <w:br w:type="page"/>
      </w:r>
    </w:p>
    <w:p w:rsidR="002F3C7A" w:rsidRPr="003F655B" w:rsidRDefault="002F3C7A" w:rsidP="002F3C7A">
      <w:pPr>
        <w:rPr>
          <w:color w:val="000000"/>
        </w:rPr>
      </w:pPr>
      <w:r>
        <w:rPr>
          <w:b/>
          <w:color w:val="000000"/>
          <w:u w:val="single"/>
        </w:rPr>
        <w:t>Activity 2015-1:  Rent Simplification(Changes to Activity 2012-2)</w:t>
      </w:r>
    </w:p>
    <w:p w:rsidR="002F3C7A" w:rsidRPr="003F655B" w:rsidRDefault="002F3C7A" w:rsidP="002F3C7A">
      <w:pPr>
        <w:rPr>
          <w:color w:val="000000"/>
        </w:rPr>
      </w:pPr>
    </w:p>
    <w:p w:rsidR="00806F13" w:rsidRDefault="00806F13" w:rsidP="00806F13">
      <w:pPr>
        <w:jc w:val="both"/>
        <w:rPr>
          <w:color w:val="000000"/>
        </w:rPr>
      </w:pPr>
      <w:r w:rsidRPr="003B0347">
        <w:rPr>
          <w:b/>
          <w:color w:val="000000"/>
        </w:rPr>
        <w:t>Description of MTW Activity</w:t>
      </w:r>
      <w:r w:rsidRPr="003B0347">
        <w:rPr>
          <w:color w:val="000000"/>
        </w:rPr>
        <w:t xml:space="preserve">: </w:t>
      </w:r>
      <w:r w:rsidRPr="003B0347">
        <w:rPr>
          <w:b/>
          <w:color w:val="000000"/>
        </w:rPr>
        <w:t>Description</w:t>
      </w:r>
      <w:r>
        <w:rPr>
          <w:b/>
          <w:color w:val="000000"/>
        </w:rPr>
        <w:t>/Update</w:t>
      </w:r>
      <w:r w:rsidRPr="003B0347">
        <w:rPr>
          <w:b/>
          <w:color w:val="000000"/>
        </w:rPr>
        <w:t xml:space="preserve"> of MTW Activity</w:t>
      </w:r>
      <w:r w:rsidRPr="003B0347">
        <w:rPr>
          <w:color w:val="000000"/>
        </w:rPr>
        <w:t xml:space="preserve">: </w:t>
      </w:r>
      <w:r>
        <w:rPr>
          <w:color w:val="000000"/>
        </w:rPr>
        <w:t>In FY 2012 HUD approved DHCD’s Rent Simplification activity.  In FY 2016, DHCD</w:t>
      </w:r>
      <w:r w:rsidRPr="003B0347">
        <w:rPr>
          <w:color w:val="000000"/>
        </w:rPr>
        <w:t xml:space="preserve"> </w:t>
      </w:r>
      <w:r>
        <w:rPr>
          <w:color w:val="000000"/>
        </w:rPr>
        <w:t>received HUD approval on changes to the Rent Simplification activity. Under the revised Rent Simplification activity DHCD proposed the following:</w:t>
      </w:r>
    </w:p>
    <w:p w:rsidR="00806F13" w:rsidRDefault="00806F13" w:rsidP="00806F13">
      <w:pPr>
        <w:jc w:val="both"/>
        <w:rPr>
          <w:color w:val="000000"/>
        </w:rPr>
      </w:pPr>
    </w:p>
    <w:p w:rsidR="00806F13" w:rsidRDefault="00806F13" w:rsidP="00806F13">
      <w:pPr>
        <w:numPr>
          <w:ilvl w:val="0"/>
          <w:numId w:val="32"/>
        </w:numPr>
        <w:jc w:val="both"/>
        <w:rPr>
          <w:color w:val="000000"/>
        </w:rPr>
      </w:pPr>
      <w:r w:rsidRPr="002531CF">
        <w:rPr>
          <w:b/>
          <w:color w:val="000000"/>
        </w:rPr>
        <w:t xml:space="preserve">Tiered Rent: </w:t>
      </w:r>
      <w:r w:rsidRPr="002531CF">
        <w:rPr>
          <w:color w:val="000000"/>
        </w:rPr>
        <w:t xml:space="preserve">DHCD will replace the standard rent calculation method with a model in </w:t>
      </w:r>
      <w:r>
        <w:rPr>
          <w:color w:val="000000"/>
        </w:rPr>
        <w:t xml:space="preserve">which families </w:t>
      </w:r>
      <w:r w:rsidRPr="003B6655">
        <w:rPr>
          <w:color w:val="000000"/>
        </w:rPr>
        <w:t>TTP</w:t>
      </w:r>
      <w:r>
        <w:rPr>
          <w:color w:val="000000"/>
        </w:rPr>
        <w:t xml:space="preserve"> will be </w:t>
      </w:r>
      <w:r w:rsidRPr="003B6655">
        <w:rPr>
          <w:color w:val="000000"/>
        </w:rPr>
        <w:t>equal to 30% of the low-end of $3000 income band</w:t>
      </w:r>
      <w:r w:rsidR="009E38DF">
        <w:rPr>
          <w:color w:val="000000"/>
        </w:rPr>
        <w:t xml:space="preserve">s. </w:t>
      </w:r>
      <w:r w:rsidRPr="003B6655">
        <w:rPr>
          <w:color w:val="000000"/>
        </w:rPr>
        <w:t xml:space="preserve">  </w:t>
      </w:r>
    </w:p>
    <w:p w:rsidR="00806F13" w:rsidRPr="00921CB3" w:rsidRDefault="00806F13" w:rsidP="00806F13">
      <w:pPr>
        <w:ind w:left="788"/>
        <w:jc w:val="both"/>
      </w:pPr>
    </w:p>
    <w:p w:rsidR="00F70AE1" w:rsidRPr="008C7DA8" w:rsidRDefault="00806F13" w:rsidP="00F70AE1">
      <w:pPr>
        <w:numPr>
          <w:ilvl w:val="0"/>
          <w:numId w:val="32"/>
        </w:numPr>
        <w:jc w:val="both"/>
      </w:pPr>
      <w:r w:rsidRPr="008C7DA8">
        <w:rPr>
          <w:b/>
          <w:color w:val="000000"/>
        </w:rPr>
        <w:t xml:space="preserve">Application of Payment Standards: </w:t>
      </w:r>
      <w:r w:rsidRPr="008C7DA8">
        <w:rPr>
          <w:color w:val="000000"/>
        </w:rPr>
        <w:t>DHCD will apply Payment Standards based on</w:t>
      </w:r>
      <w:r>
        <w:rPr>
          <w:color w:val="000000"/>
        </w:rPr>
        <w:t xml:space="preserve"> the PD&amp;R’s Hypothetical</w:t>
      </w:r>
      <w:r w:rsidRPr="008C7DA8">
        <w:rPr>
          <w:color w:val="000000"/>
        </w:rPr>
        <w:t xml:space="preserve"> </w:t>
      </w:r>
      <w:r>
        <w:rPr>
          <w:color w:val="000000"/>
        </w:rPr>
        <w:t>S</w:t>
      </w:r>
      <w:r w:rsidRPr="008C7DA8">
        <w:rPr>
          <w:color w:val="000000"/>
        </w:rPr>
        <w:t xml:space="preserve">mall </w:t>
      </w:r>
      <w:r>
        <w:rPr>
          <w:color w:val="000000"/>
        </w:rPr>
        <w:t>A</w:t>
      </w:r>
      <w:r w:rsidRPr="008C7DA8">
        <w:rPr>
          <w:color w:val="000000"/>
        </w:rPr>
        <w:t xml:space="preserve">rea FMRs (SAFMR). </w:t>
      </w:r>
      <w:r w:rsidR="00F70AE1">
        <w:rPr>
          <w:color w:val="000000"/>
        </w:rPr>
        <w:t xml:space="preserve">SAFMRs are neighborhood specific and are designed to be in line with localized rents in the area.  </w:t>
      </w:r>
      <w:r w:rsidRPr="00F97D4F">
        <w:t xml:space="preserve">Where the SAFMR exceeds the </w:t>
      </w:r>
      <w:r>
        <w:t>large area FMR (</w:t>
      </w:r>
      <w:r w:rsidRPr="00F97D4F">
        <w:t>LAFMR</w:t>
      </w:r>
      <w:r>
        <w:t>)</w:t>
      </w:r>
      <w:r w:rsidRPr="00F97D4F">
        <w:t>, the paym</w:t>
      </w:r>
      <w:r>
        <w:t>ent standard will be</w:t>
      </w:r>
      <w:r w:rsidRPr="00F97D4F">
        <w:t xml:space="preserve"> equal to 100% of the SAFMR. Where the SAFMR is less than the LAFMR, </w:t>
      </w:r>
      <w:r w:rsidR="00711CE4">
        <w:t>DHCD wi</w:t>
      </w:r>
      <w:r w:rsidR="00AA658C">
        <w:t>ll apply the payment standard</w:t>
      </w:r>
      <w:r w:rsidRPr="00F97D4F">
        <w:t xml:space="preserve"> equal to 110% of the SAFMR.</w:t>
      </w:r>
      <w:r>
        <w:t xml:space="preserve"> If a </w:t>
      </w:r>
      <w:r w:rsidR="007033A8">
        <w:t xml:space="preserve">local </w:t>
      </w:r>
      <w:r>
        <w:t>housing authority has been authorized to</w:t>
      </w:r>
      <w:r w:rsidR="007033A8">
        <w:t xml:space="preserve"> an</w:t>
      </w:r>
      <w:r>
        <w:t xml:space="preserve"> a</w:t>
      </w:r>
      <w:r w:rsidR="007033A8">
        <w:t>pply Exception Payment Standard</w:t>
      </w:r>
      <w:r>
        <w:t xml:space="preserve"> (EPS) by HUD</w:t>
      </w:r>
      <w:r w:rsidR="007033A8">
        <w:t xml:space="preserve"> within a particular geographic area</w:t>
      </w:r>
      <w:r>
        <w:t xml:space="preserve">, DHCD will apply the </w:t>
      </w:r>
      <w:r w:rsidR="007033A8">
        <w:t xml:space="preserve">HUD approved </w:t>
      </w:r>
      <w:r>
        <w:t>EPS if a DHCD voucher</w:t>
      </w:r>
      <w:r w:rsidR="007033A8">
        <w:t xml:space="preserve"> holder leases a unit within that same geographic area</w:t>
      </w:r>
      <w:r>
        <w:t xml:space="preserve">.  </w:t>
      </w:r>
      <w:r>
        <w:rPr>
          <w:color w:val="000000"/>
        </w:rPr>
        <w:t>DHCD may adjust these percentages to support leasing in non-impacted areas and/or in response to market conditions.</w:t>
      </w:r>
      <w:r w:rsidR="00AA658C">
        <w:rPr>
          <w:color w:val="000000"/>
        </w:rPr>
        <w:t xml:space="preserve"> </w:t>
      </w:r>
      <w:r>
        <w:rPr>
          <w:color w:val="000000"/>
        </w:rPr>
        <w:t>DHCD will not impose a limit</w:t>
      </w:r>
      <w:r w:rsidR="007033A8">
        <w:rPr>
          <w:color w:val="000000"/>
        </w:rPr>
        <w:t>,</w:t>
      </w:r>
      <w:r>
        <w:rPr>
          <w:color w:val="000000"/>
        </w:rPr>
        <w:t xml:space="preserve"> </w:t>
      </w:r>
      <w:r w:rsidR="007033A8">
        <w:rPr>
          <w:color w:val="000000"/>
        </w:rPr>
        <w:t xml:space="preserve">at the outset, </w:t>
      </w:r>
      <w:r>
        <w:rPr>
          <w:color w:val="000000"/>
        </w:rPr>
        <w:t>on the number of exception payment standards; however, DHCD may impose a limit when and if budgetary issues arise.</w:t>
      </w:r>
      <w:r w:rsidRPr="002945E6">
        <w:t xml:space="preserve"> </w:t>
      </w:r>
      <w:r w:rsidRPr="00FA32AA">
        <w:t>Generally, DHCD will cap payment standard exceptions at 125%</w:t>
      </w:r>
      <w:r>
        <w:t xml:space="preserve"> of the applicable SAFMR</w:t>
      </w:r>
      <w:r w:rsidRPr="00FA32AA">
        <w:t>; however, DHCD may review and revise this cap for consistency with budgetary limitations and</w:t>
      </w:r>
      <w:r>
        <w:t>/or</w:t>
      </w:r>
      <w:r w:rsidRPr="00FA32AA">
        <w:t xml:space="preserve"> housing choice</w:t>
      </w:r>
      <w:r>
        <w:t>.</w:t>
      </w:r>
      <w:r w:rsidRPr="002945E6">
        <w:rPr>
          <w:color w:val="000000"/>
        </w:rPr>
        <w:t xml:space="preserve"> </w:t>
      </w:r>
      <w:r w:rsidRPr="00DA0B8E">
        <w:rPr>
          <w:color w:val="000000"/>
        </w:rPr>
        <w:t xml:space="preserve">DHCD will apply the Payment Standard in effect on the effective date of the recertification, regardless of any change in the Payment Standard from year to year.  During an interim recertification, DHCD will apply the Payment Standard used at the last regular recertification. </w:t>
      </w:r>
    </w:p>
    <w:p w:rsidR="00806F13" w:rsidRPr="008C7DA8" w:rsidRDefault="00806F13" w:rsidP="00806F13">
      <w:pPr>
        <w:ind w:left="788"/>
        <w:jc w:val="both"/>
      </w:pPr>
    </w:p>
    <w:p w:rsidR="00806F13" w:rsidRPr="002531CF" w:rsidRDefault="00806F13" w:rsidP="00806F13">
      <w:pPr>
        <w:numPr>
          <w:ilvl w:val="0"/>
          <w:numId w:val="32"/>
        </w:numPr>
        <w:jc w:val="both"/>
        <w:rPr>
          <w:color w:val="000000"/>
        </w:rPr>
      </w:pPr>
      <w:r w:rsidRPr="002531CF">
        <w:rPr>
          <w:b/>
          <w:color w:val="000000"/>
        </w:rPr>
        <w:t>Minimum Rent:</w:t>
      </w:r>
      <w:r w:rsidRPr="002531CF">
        <w:rPr>
          <w:color w:val="000000"/>
        </w:rPr>
        <w:t xml:space="preserve"> DHCD will retain the minimum rent at $50.  This rent will b</w:t>
      </w:r>
      <w:r>
        <w:rPr>
          <w:color w:val="000000"/>
        </w:rPr>
        <w:t>e factored into the rent</w:t>
      </w:r>
      <w:r w:rsidRPr="002531CF">
        <w:rPr>
          <w:color w:val="000000"/>
        </w:rPr>
        <w:t xml:space="preserve"> tables.</w:t>
      </w:r>
    </w:p>
    <w:p w:rsidR="00806F13" w:rsidRPr="00921CB3" w:rsidRDefault="00806F13" w:rsidP="00806F13">
      <w:pPr>
        <w:ind w:left="788"/>
        <w:jc w:val="both"/>
        <w:rPr>
          <w:color w:val="000000"/>
        </w:rPr>
      </w:pPr>
    </w:p>
    <w:p w:rsidR="00806F13" w:rsidRPr="00CE3CAA" w:rsidRDefault="00806F13" w:rsidP="00806F13">
      <w:pPr>
        <w:numPr>
          <w:ilvl w:val="0"/>
          <w:numId w:val="32"/>
        </w:numPr>
        <w:jc w:val="both"/>
        <w:rPr>
          <w:color w:val="000000"/>
        </w:rPr>
      </w:pPr>
      <w:r w:rsidRPr="002531CF">
        <w:rPr>
          <w:b/>
          <w:color w:val="000000"/>
        </w:rPr>
        <w:t xml:space="preserve">Streamlined Deductions and Exclusions: </w:t>
      </w:r>
      <w:r w:rsidRPr="002531CF">
        <w:rPr>
          <w:color w:val="000000"/>
        </w:rPr>
        <w:t>As part of DHCD’s revisions to the standard rent calculation method,</w:t>
      </w:r>
      <w:r>
        <w:rPr>
          <w:color w:val="000000"/>
        </w:rPr>
        <w:t xml:space="preserve"> </w:t>
      </w:r>
      <w:r w:rsidRPr="002531CF">
        <w:rPr>
          <w:color w:val="000000"/>
        </w:rPr>
        <w:t xml:space="preserve">DHCD will streamline deductions and exclusions as outlined below. </w:t>
      </w:r>
      <w:r>
        <w:rPr>
          <w:color w:val="000000"/>
        </w:rPr>
        <w:t xml:space="preserve"> </w:t>
      </w:r>
      <w:r w:rsidRPr="00CE3CAA">
        <w:rPr>
          <w:color w:val="000000"/>
        </w:rPr>
        <w:t xml:space="preserve">DHCD may review and modify deductions and exclusions from time to time based on the results of impact analyses and economic conditions. </w:t>
      </w:r>
    </w:p>
    <w:p w:rsidR="00806F13" w:rsidRPr="002531CF" w:rsidRDefault="00806F13" w:rsidP="00806F13">
      <w:pPr>
        <w:ind w:left="788"/>
        <w:jc w:val="both"/>
        <w:rPr>
          <w:color w:val="000000"/>
        </w:rPr>
      </w:pPr>
    </w:p>
    <w:p w:rsidR="00806F13" w:rsidRPr="002531CF" w:rsidRDefault="00806F13" w:rsidP="00806F13">
      <w:pPr>
        <w:numPr>
          <w:ilvl w:val="1"/>
          <w:numId w:val="32"/>
        </w:numPr>
        <w:jc w:val="both"/>
        <w:rPr>
          <w:color w:val="000000"/>
        </w:rPr>
      </w:pPr>
      <w:r w:rsidRPr="002531CF">
        <w:rPr>
          <w:b/>
          <w:color w:val="000000"/>
        </w:rPr>
        <w:t xml:space="preserve">Working Family Deduction: </w:t>
      </w:r>
      <w:r>
        <w:rPr>
          <w:color w:val="000000"/>
        </w:rPr>
        <w:t>DHCD will apply a $750</w:t>
      </w:r>
      <w:r w:rsidRPr="002531CF">
        <w:rPr>
          <w:color w:val="000000"/>
        </w:rPr>
        <w:t xml:space="preserve"> working family deduction to families where at least one adult is working. Only one deduction will be applied per household.  The deduction does not apply to families where the</w:t>
      </w:r>
      <w:r w:rsidR="00AA658C">
        <w:rPr>
          <w:color w:val="000000"/>
        </w:rPr>
        <w:t xml:space="preserve"> only working individual is a full-time</w:t>
      </w:r>
      <w:r w:rsidRPr="002531CF">
        <w:rPr>
          <w:color w:val="000000"/>
        </w:rPr>
        <w:t xml:space="preserve"> student other than the head of household, co-head or spouse.</w:t>
      </w:r>
    </w:p>
    <w:p w:rsidR="00806F13" w:rsidRPr="002531CF" w:rsidRDefault="00806F13" w:rsidP="00806F13">
      <w:pPr>
        <w:numPr>
          <w:ilvl w:val="1"/>
          <w:numId w:val="32"/>
        </w:numPr>
        <w:jc w:val="both"/>
        <w:rPr>
          <w:color w:val="000000"/>
        </w:rPr>
      </w:pPr>
      <w:r w:rsidRPr="002531CF">
        <w:rPr>
          <w:b/>
          <w:color w:val="000000"/>
        </w:rPr>
        <w:t xml:space="preserve">Elimination of Earned Income Disregard (EID): </w:t>
      </w:r>
      <w:r w:rsidRPr="002531CF">
        <w:rPr>
          <w:color w:val="000000"/>
        </w:rPr>
        <w:t xml:space="preserve">DHCD will phase out the MTW EID activity. Participants who currently receive the EID will be exempt from this policy for the duration of their EID term; however, no additional EIDs will be granted. </w:t>
      </w:r>
    </w:p>
    <w:p w:rsidR="00806F13" w:rsidRPr="002531CF" w:rsidRDefault="00806F13" w:rsidP="00806F13">
      <w:pPr>
        <w:numPr>
          <w:ilvl w:val="1"/>
          <w:numId w:val="32"/>
        </w:numPr>
        <w:jc w:val="both"/>
        <w:rPr>
          <w:color w:val="000000"/>
        </w:rPr>
      </w:pPr>
      <w:r w:rsidRPr="002531CF">
        <w:rPr>
          <w:b/>
          <w:color w:val="000000"/>
        </w:rPr>
        <w:t>Exclusion of F</w:t>
      </w:r>
      <w:r>
        <w:rPr>
          <w:b/>
          <w:color w:val="000000"/>
        </w:rPr>
        <w:t>ull-</w:t>
      </w:r>
      <w:r w:rsidRPr="002531CF">
        <w:rPr>
          <w:b/>
          <w:color w:val="000000"/>
        </w:rPr>
        <w:t>T</w:t>
      </w:r>
      <w:r>
        <w:rPr>
          <w:b/>
          <w:color w:val="000000"/>
        </w:rPr>
        <w:t>ime</w:t>
      </w:r>
      <w:r w:rsidRPr="002531CF">
        <w:rPr>
          <w:b/>
          <w:color w:val="000000"/>
        </w:rPr>
        <w:t xml:space="preserve"> Student Income:</w:t>
      </w:r>
      <w:r>
        <w:rPr>
          <w:color w:val="000000"/>
        </w:rPr>
        <w:t xml:space="preserve"> DHCD will exclude all full-time </w:t>
      </w:r>
      <w:r w:rsidRPr="002531CF">
        <w:rPr>
          <w:color w:val="000000"/>
        </w:rPr>
        <w:t>student income</w:t>
      </w:r>
      <w:r>
        <w:rPr>
          <w:color w:val="000000"/>
        </w:rPr>
        <w:t>.</w:t>
      </w:r>
    </w:p>
    <w:p w:rsidR="00806F13" w:rsidRPr="005A007D" w:rsidRDefault="00806F13" w:rsidP="00806F13">
      <w:pPr>
        <w:numPr>
          <w:ilvl w:val="1"/>
          <w:numId w:val="32"/>
        </w:numPr>
        <w:jc w:val="both"/>
        <w:rPr>
          <w:color w:val="000000"/>
        </w:rPr>
      </w:pPr>
      <w:r>
        <w:rPr>
          <w:b/>
          <w:color w:val="000000"/>
        </w:rPr>
        <w:t>Streamlined Childcare Expense Deduction</w:t>
      </w:r>
      <w:r w:rsidRPr="002531CF">
        <w:rPr>
          <w:b/>
          <w:color w:val="000000"/>
        </w:rPr>
        <w:t>:</w:t>
      </w:r>
      <w:r>
        <w:rPr>
          <w:color w:val="000000"/>
        </w:rPr>
        <w:t xml:space="preserve"> DHCD will apply unreimbursed childcare expense deductions based on the tiered deduction table below.  </w:t>
      </w:r>
      <w:r w:rsidRPr="005A007D">
        <w:rPr>
          <w:color w:val="000000"/>
        </w:rPr>
        <w:t>Eligibility for the childcare expense deduction is limited to households where unreimbursed childcare expenses allow a household member to work or</w:t>
      </w:r>
      <w:r>
        <w:rPr>
          <w:color w:val="000000"/>
        </w:rPr>
        <w:t xml:space="preserve"> to further his/her education</w:t>
      </w:r>
      <w:r w:rsidRPr="005A007D">
        <w:rPr>
          <w:color w:val="000000"/>
        </w:rPr>
        <w:t>.  The childcare expense deduction may not exceed the amount e</w:t>
      </w:r>
      <w:r>
        <w:rPr>
          <w:color w:val="000000"/>
        </w:rPr>
        <w:t>arned by the household member or the amount which is determined to be reasonable to get to and from school and attend classes.</w:t>
      </w:r>
    </w:p>
    <w:p w:rsidR="00806F13" w:rsidRDefault="00806F13" w:rsidP="00806F13">
      <w:pPr>
        <w:jc w:val="both"/>
        <w:rPr>
          <w:color w:val="00000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7"/>
        <w:gridCol w:w="1714"/>
      </w:tblGrid>
      <w:tr w:rsidR="00806F13" w:rsidTr="00AA658C">
        <w:trPr>
          <w:cantSplit/>
          <w:trHeight w:val="20"/>
          <w:tblCellSpacing w:w="0" w:type="dxa"/>
          <w:jc w:val="center"/>
        </w:trPr>
        <w:tc>
          <w:tcPr>
            <w:tcW w:w="0" w:type="auto"/>
            <w:shd w:val="clear" w:color="auto" w:fill="D9D9D9"/>
            <w:tcMar>
              <w:top w:w="60" w:type="dxa"/>
              <w:left w:w="60" w:type="dxa"/>
              <w:bottom w:w="60" w:type="dxa"/>
              <w:right w:w="60" w:type="dxa"/>
            </w:tcMar>
            <w:hideMark/>
          </w:tcPr>
          <w:p w:rsidR="00806F13" w:rsidRDefault="00806F13" w:rsidP="00D220CE">
            <w:pPr>
              <w:jc w:val="center"/>
              <w:rPr>
                <w:rFonts w:ascii="Tahoma" w:eastAsiaTheme="minorHAnsi" w:hAnsi="Tahoma" w:cs="Tahoma"/>
                <w:b/>
                <w:bCs/>
                <w:sz w:val="22"/>
                <w:szCs w:val="22"/>
              </w:rPr>
            </w:pPr>
            <w:r>
              <w:rPr>
                <w:b/>
                <w:bCs/>
              </w:rPr>
              <w:t>Childcare Expense</w:t>
            </w:r>
          </w:p>
        </w:tc>
        <w:tc>
          <w:tcPr>
            <w:tcW w:w="0" w:type="auto"/>
            <w:shd w:val="clear" w:color="auto" w:fill="D9D9D9"/>
            <w:tcMar>
              <w:top w:w="60" w:type="dxa"/>
              <w:left w:w="60" w:type="dxa"/>
              <w:bottom w:w="60" w:type="dxa"/>
              <w:right w:w="60" w:type="dxa"/>
            </w:tcMar>
            <w:hideMark/>
          </w:tcPr>
          <w:p w:rsidR="00806F13" w:rsidRDefault="00806F13" w:rsidP="00D220CE">
            <w:pPr>
              <w:jc w:val="center"/>
              <w:rPr>
                <w:rFonts w:ascii="Tahoma" w:eastAsiaTheme="minorHAnsi" w:hAnsi="Tahoma" w:cs="Tahoma"/>
                <w:b/>
                <w:bCs/>
                <w:sz w:val="22"/>
                <w:szCs w:val="22"/>
              </w:rPr>
            </w:pPr>
            <w:r>
              <w:rPr>
                <w:b/>
                <w:bCs/>
              </w:rPr>
              <w:t>Deduction</w:t>
            </w:r>
          </w:p>
        </w:tc>
      </w:tr>
      <w:tr w:rsidR="00806F13" w:rsidTr="00AA658C">
        <w:trPr>
          <w:cantSplit/>
          <w:trHeight w:val="20"/>
          <w:tblCellSpacing w:w="0" w:type="dxa"/>
          <w:jc w:val="center"/>
        </w:trPr>
        <w:tc>
          <w:tcPr>
            <w:tcW w:w="0" w:type="auto"/>
            <w:tcMar>
              <w:top w:w="60" w:type="dxa"/>
              <w:left w:w="60" w:type="dxa"/>
              <w:bottom w:w="60" w:type="dxa"/>
              <w:right w:w="60" w:type="dxa"/>
            </w:tcMar>
            <w:hideMark/>
          </w:tcPr>
          <w:p w:rsidR="00806F13" w:rsidRDefault="00806F13" w:rsidP="00D220CE">
            <w:pPr>
              <w:jc w:val="center"/>
              <w:rPr>
                <w:rFonts w:ascii="Tahoma" w:eastAsiaTheme="minorHAnsi" w:hAnsi="Tahoma" w:cs="Tahoma"/>
                <w:sz w:val="22"/>
                <w:szCs w:val="22"/>
              </w:rPr>
            </w:pPr>
            <w:r>
              <w:t>Up to $2,499</w:t>
            </w:r>
          </w:p>
        </w:tc>
        <w:tc>
          <w:tcPr>
            <w:tcW w:w="0" w:type="auto"/>
            <w:tcMar>
              <w:top w:w="60" w:type="dxa"/>
              <w:left w:w="60" w:type="dxa"/>
              <w:bottom w:w="60" w:type="dxa"/>
              <w:right w:w="60" w:type="dxa"/>
            </w:tcMar>
            <w:hideMark/>
          </w:tcPr>
          <w:p w:rsidR="00806F13" w:rsidRDefault="00806F13" w:rsidP="00D220CE">
            <w:pPr>
              <w:jc w:val="center"/>
              <w:rPr>
                <w:rFonts w:ascii="Tahoma" w:eastAsiaTheme="minorHAnsi" w:hAnsi="Tahoma" w:cs="Tahoma"/>
                <w:sz w:val="22"/>
                <w:szCs w:val="22"/>
              </w:rPr>
            </w:pPr>
            <w:r>
              <w:t>No Deduction</w:t>
            </w:r>
          </w:p>
        </w:tc>
      </w:tr>
      <w:tr w:rsidR="00806F13" w:rsidTr="00AA658C">
        <w:trPr>
          <w:cantSplit/>
          <w:trHeight w:val="20"/>
          <w:tblCellSpacing w:w="0" w:type="dxa"/>
          <w:jc w:val="center"/>
        </w:trPr>
        <w:tc>
          <w:tcPr>
            <w:tcW w:w="0" w:type="auto"/>
            <w:tcMar>
              <w:top w:w="60" w:type="dxa"/>
              <w:left w:w="60" w:type="dxa"/>
              <w:bottom w:w="60" w:type="dxa"/>
              <w:right w:w="60" w:type="dxa"/>
            </w:tcMar>
            <w:hideMark/>
          </w:tcPr>
          <w:p w:rsidR="00806F13" w:rsidRDefault="00806F13" w:rsidP="00D220CE">
            <w:pPr>
              <w:jc w:val="center"/>
              <w:rPr>
                <w:rFonts w:ascii="Tahoma" w:eastAsiaTheme="minorHAnsi" w:hAnsi="Tahoma" w:cs="Tahoma"/>
                <w:sz w:val="22"/>
                <w:szCs w:val="22"/>
              </w:rPr>
            </w:pPr>
            <w:r>
              <w:t>$2,500 &amp; Over</w:t>
            </w:r>
          </w:p>
        </w:tc>
        <w:tc>
          <w:tcPr>
            <w:tcW w:w="0" w:type="auto"/>
            <w:tcMar>
              <w:top w:w="60" w:type="dxa"/>
              <w:left w:w="60" w:type="dxa"/>
              <w:bottom w:w="60" w:type="dxa"/>
              <w:right w:w="60" w:type="dxa"/>
            </w:tcMar>
            <w:hideMark/>
          </w:tcPr>
          <w:p w:rsidR="00806F13" w:rsidRPr="00CE3CAA" w:rsidRDefault="00806F13" w:rsidP="00D220CE">
            <w:pPr>
              <w:jc w:val="center"/>
              <w:rPr>
                <w:rFonts w:eastAsiaTheme="minorHAnsi"/>
                <w:szCs w:val="22"/>
              </w:rPr>
            </w:pPr>
            <w:r>
              <w:rPr>
                <w:rFonts w:eastAsiaTheme="minorHAnsi"/>
                <w:szCs w:val="22"/>
              </w:rPr>
              <w:t>Full deduction *</w:t>
            </w:r>
          </w:p>
        </w:tc>
      </w:tr>
    </w:tbl>
    <w:p w:rsidR="00806F13" w:rsidRPr="00F02859" w:rsidRDefault="00806F13" w:rsidP="00806F13">
      <w:pPr>
        <w:ind w:left="1440" w:firstLine="720"/>
        <w:jc w:val="both"/>
        <w:rPr>
          <w:color w:val="000000"/>
          <w:sz w:val="20"/>
        </w:rPr>
      </w:pPr>
      <w:r>
        <w:rPr>
          <w:color w:val="000000"/>
          <w:sz w:val="20"/>
        </w:rPr>
        <w:t>*Subject to</w:t>
      </w:r>
      <w:r w:rsidRPr="00F02859">
        <w:rPr>
          <w:color w:val="000000"/>
          <w:sz w:val="20"/>
        </w:rPr>
        <w:t xml:space="preserve"> eligibility for the deducti</w:t>
      </w:r>
      <w:r>
        <w:rPr>
          <w:color w:val="000000"/>
          <w:sz w:val="20"/>
        </w:rPr>
        <w:t>on,</w:t>
      </w:r>
      <w:r w:rsidRPr="00F02859">
        <w:rPr>
          <w:color w:val="000000"/>
          <w:sz w:val="20"/>
        </w:rPr>
        <w:t xml:space="preserve"> deduction limitations</w:t>
      </w:r>
      <w:r>
        <w:rPr>
          <w:color w:val="000000"/>
          <w:sz w:val="20"/>
        </w:rPr>
        <w:t xml:space="preserve"> &amp; verification</w:t>
      </w:r>
    </w:p>
    <w:p w:rsidR="00806F13" w:rsidRDefault="00806F13" w:rsidP="00806F13">
      <w:pPr>
        <w:jc w:val="both"/>
        <w:rPr>
          <w:color w:val="000000"/>
        </w:rPr>
      </w:pPr>
    </w:p>
    <w:p w:rsidR="00806F13" w:rsidRPr="005A007D" w:rsidRDefault="00806F13" w:rsidP="00806F13">
      <w:pPr>
        <w:numPr>
          <w:ilvl w:val="1"/>
          <w:numId w:val="32"/>
        </w:numPr>
        <w:jc w:val="both"/>
        <w:rPr>
          <w:color w:val="000000"/>
        </w:rPr>
      </w:pPr>
      <w:r>
        <w:rPr>
          <w:b/>
          <w:color w:val="000000"/>
        </w:rPr>
        <w:t>Streamlined</w:t>
      </w:r>
      <w:r w:rsidRPr="002531CF">
        <w:rPr>
          <w:b/>
          <w:color w:val="000000"/>
        </w:rPr>
        <w:t xml:space="preserve"> </w:t>
      </w:r>
      <w:r>
        <w:rPr>
          <w:b/>
          <w:color w:val="000000"/>
        </w:rPr>
        <w:t>Medical Expense Deduction</w:t>
      </w:r>
      <w:r w:rsidRPr="002531CF">
        <w:rPr>
          <w:b/>
          <w:color w:val="000000"/>
        </w:rPr>
        <w:t>:</w:t>
      </w:r>
      <w:r>
        <w:rPr>
          <w:color w:val="000000"/>
        </w:rPr>
        <w:t xml:space="preserve"> DHCD will apply unreimbursed medical expense deductions based on the tiered deduction table below. DHCD will allow the full medical expense deduction when unreimbursed medical expenses total $2,000 or more (3% of gross income will NOT be deducted). </w:t>
      </w:r>
      <w:r w:rsidRPr="005A007D">
        <w:rPr>
          <w:color w:val="000000"/>
        </w:rPr>
        <w:t>Elderly/dis</w:t>
      </w:r>
      <w:r>
        <w:rPr>
          <w:color w:val="000000"/>
        </w:rPr>
        <w:t>abled households are eligible</w:t>
      </w:r>
      <w:r w:rsidRPr="005A007D">
        <w:rPr>
          <w:color w:val="000000"/>
        </w:rPr>
        <w:t xml:space="preserve"> for deduction of unreimbursed medical expenses.</w:t>
      </w:r>
    </w:p>
    <w:p w:rsidR="00806F13" w:rsidRDefault="00806F13" w:rsidP="00806F13">
      <w:pPr>
        <w:jc w:val="both"/>
        <w:rPr>
          <w:color w:val="00000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7"/>
        <w:gridCol w:w="1714"/>
      </w:tblGrid>
      <w:tr w:rsidR="00806F13" w:rsidTr="00AA658C">
        <w:trPr>
          <w:cantSplit/>
          <w:trHeight w:val="20"/>
          <w:tblCellSpacing w:w="0" w:type="dxa"/>
          <w:jc w:val="center"/>
        </w:trPr>
        <w:tc>
          <w:tcPr>
            <w:tcW w:w="0" w:type="auto"/>
            <w:shd w:val="clear" w:color="auto" w:fill="D9D9D9"/>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b/>
                <w:bCs/>
                <w:sz w:val="22"/>
                <w:szCs w:val="22"/>
              </w:rPr>
            </w:pPr>
            <w:r>
              <w:rPr>
                <w:b/>
                <w:bCs/>
              </w:rPr>
              <w:t>Medical &amp; Disability Expense</w:t>
            </w:r>
          </w:p>
        </w:tc>
        <w:tc>
          <w:tcPr>
            <w:tcW w:w="0" w:type="auto"/>
            <w:shd w:val="clear" w:color="auto" w:fill="D9D9D9"/>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b/>
                <w:bCs/>
                <w:sz w:val="22"/>
                <w:szCs w:val="22"/>
              </w:rPr>
            </w:pPr>
            <w:r>
              <w:rPr>
                <w:b/>
                <w:bCs/>
              </w:rPr>
              <w:t>Deduction</w:t>
            </w:r>
          </w:p>
        </w:tc>
      </w:tr>
      <w:tr w:rsidR="00806F13" w:rsidTr="00AA658C">
        <w:trPr>
          <w:cantSplit/>
          <w:trHeight w:val="20"/>
          <w:tblCellSpacing w:w="0" w:type="dxa"/>
          <w:jc w:val="center"/>
        </w:trPr>
        <w:tc>
          <w:tcPr>
            <w:tcW w:w="0" w:type="auto"/>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sz w:val="22"/>
                <w:szCs w:val="22"/>
              </w:rPr>
            </w:pPr>
            <w:r>
              <w:t>Up to $1,999</w:t>
            </w:r>
          </w:p>
        </w:tc>
        <w:tc>
          <w:tcPr>
            <w:tcW w:w="0" w:type="auto"/>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sz w:val="22"/>
                <w:szCs w:val="22"/>
              </w:rPr>
            </w:pPr>
            <w:r>
              <w:t>No Deduction</w:t>
            </w:r>
          </w:p>
        </w:tc>
      </w:tr>
      <w:tr w:rsidR="00806F13" w:rsidTr="00AA658C">
        <w:trPr>
          <w:cantSplit/>
          <w:trHeight w:val="20"/>
          <w:tblCellSpacing w:w="0" w:type="dxa"/>
          <w:jc w:val="center"/>
        </w:trPr>
        <w:tc>
          <w:tcPr>
            <w:tcW w:w="0" w:type="auto"/>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sz w:val="22"/>
                <w:szCs w:val="22"/>
              </w:rPr>
            </w:pPr>
            <w:r>
              <w:t>$2,000 &amp; Over</w:t>
            </w:r>
          </w:p>
        </w:tc>
        <w:tc>
          <w:tcPr>
            <w:tcW w:w="0" w:type="auto"/>
            <w:tcMar>
              <w:top w:w="60" w:type="dxa"/>
              <w:left w:w="60" w:type="dxa"/>
              <w:bottom w:w="60" w:type="dxa"/>
              <w:right w:w="60" w:type="dxa"/>
            </w:tcMar>
            <w:vAlign w:val="center"/>
            <w:hideMark/>
          </w:tcPr>
          <w:p w:rsidR="00806F13" w:rsidRDefault="00806F13" w:rsidP="00D220CE">
            <w:pPr>
              <w:jc w:val="center"/>
              <w:rPr>
                <w:rFonts w:ascii="Tahoma" w:eastAsiaTheme="minorHAnsi" w:hAnsi="Tahoma" w:cs="Tahoma"/>
                <w:sz w:val="22"/>
                <w:szCs w:val="22"/>
              </w:rPr>
            </w:pPr>
            <w:r>
              <w:t>Full deduction *</w:t>
            </w:r>
          </w:p>
        </w:tc>
      </w:tr>
    </w:tbl>
    <w:p w:rsidR="00806F13" w:rsidRPr="00F02859" w:rsidRDefault="00806F13" w:rsidP="00806F13">
      <w:pPr>
        <w:ind w:left="1508"/>
        <w:jc w:val="both"/>
        <w:rPr>
          <w:color w:val="000000"/>
          <w:sz w:val="20"/>
        </w:rPr>
      </w:pPr>
      <w:r w:rsidRPr="00F02859">
        <w:rPr>
          <w:color w:val="000000"/>
          <w:sz w:val="20"/>
        </w:rPr>
        <w:t>*Subject to eligibility for the deduction</w:t>
      </w:r>
      <w:r>
        <w:rPr>
          <w:color w:val="000000"/>
          <w:sz w:val="20"/>
        </w:rPr>
        <w:t xml:space="preserve">, deduction limitations and </w:t>
      </w:r>
      <w:r w:rsidRPr="00F02859">
        <w:rPr>
          <w:color w:val="000000"/>
          <w:sz w:val="20"/>
        </w:rPr>
        <w:t>verification</w:t>
      </w:r>
    </w:p>
    <w:p w:rsidR="00806F13" w:rsidRPr="004D07FD" w:rsidRDefault="00806F13" w:rsidP="00806F13">
      <w:pPr>
        <w:ind w:left="1508"/>
        <w:jc w:val="both"/>
        <w:rPr>
          <w:color w:val="000000"/>
        </w:rPr>
      </w:pPr>
    </w:p>
    <w:p w:rsidR="00806F13" w:rsidRPr="004D07FD" w:rsidRDefault="00806F13" w:rsidP="00806F13">
      <w:pPr>
        <w:numPr>
          <w:ilvl w:val="1"/>
          <w:numId w:val="32"/>
        </w:numPr>
        <w:jc w:val="both"/>
        <w:rPr>
          <w:color w:val="000000"/>
        </w:rPr>
      </w:pPr>
      <w:r w:rsidRPr="004D07FD">
        <w:rPr>
          <w:b/>
          <w:color w:val="000000"/>
        </w:rPr>
        <w:t>Dependent/Elderly/Disabled Deductions:</w:t>
      </w:r>
      <w:r w:rsidRPr="004D07FD">
        <w:rPr>
          <w:color w:val="000000"/>
        </w:rPr>
        <w:t xml:space="preserve"> DHCD will retain the $480 dependent </w:t>
      </w:r>
      <w:r w:rsidR="00AA658C">
        <w:rPr>
          <w:color w:val="000000"/>
        </w:rPr>
        <w:t xml:space="preserve">deduction </w:t>
      </w:r>
      <w:r w:rsidRPr="004D07FD">
        <w:rPr>
          <w:color w:val="000000"/>
        </w:rPr>
        <w:t>and</w:t>
      </w:r>
      <w:r>
        <w:rPr>
          <w:color w:val="000000"/>
        </w:rPr>
        <w:t xml:space="preserve"> will increase the</w:t>
      </w:r>
      <w:r w:rsidRPr="004D07FD">
        <w:rPr>
          <w:color w:val="000000"/>
        </w:rPr>
        <w:t xml:space="preserve"> elder</w:t>
      </w:r>
      <w:r>
        <w:rPr>
          <w:color w:val="000000"/>
        </w:rPr>
        <w:t>ly/disabled household deduction to $800 per family</w:t>
      </w:r>
      <w:r w:rsidRPr="004D07FD">
        <w:rPr>
          <w:color w:val="000000"/>
        </w:rPr>
        <w:t>.</w:t>
      </w:r>
    </w:p>
    <w:p w:rsidR="00806F13" w:rsidRPr="004D07FD" w:rsidRDefault="00806F13" w:rsidP="00806F13">
      <w:pPr>
        <w:ind w:left="1508"/>
        <w:jc w:val="both"/>
        <w:rPr>
          <w:color w:val="000000"/>
        </w:rPr>
      </w:pPr>
    </w:p>
    <w:p w:rsidR="00806F13" w:rsidRPr="002945E6" w:rsidRDefault="00806F13" w:rsidP="00806F13">
      <w:pPr>
        <w:numPr>
          <w:ilvl w:val="0"/>
          <w:numId w:val="41"/>
        </w:numPr>
        <w:jc w:val="both"/>
        <w:rPr>
          <w:color w:val="000000"/>
        </w:rPr>
      </w:pPr>
      <w:r w:rsidRPr="004D07FD">
        <w:rPr>
          <w:b/>
          <w:color w:val="000000"/>
        </w:rPr>
        <w:t>Mixed Families:</w:t>
      </w:r>
      <w:r w:rsidRPr="004D07FD">
        <w:rPr>
          <w:color w:val="000000"/>
        </w:rPr>
        <w:t xml:space="preserve"> </w:t>
      </w:r>
      <w:r w:rsidRPr="00FA32AA">
        <w:t>Under rent simplification, mixed families will pay an additional 10% of the table rent regardless of the number of family members without citizenship or eligible immigration status.  For example, if the table rent for a family of 4 is $250 dollars and the family has three members without citizenship or eligible immigration status, instead of paying $250, the family will pay $275.</w:t>
      </w:r>
    </w:p>
    <w:p w:rsidR="00806F13" w:rsidRPr="00921CB3" w:rsidRDefault="00806F13" w:rsidP="00806F13">
      <w:pPr>
        <w:ind w:left="788"/>
        <w:jc w:val="both"/>
        <w:rPr>
          <w:color w:val="000000"/>
        </w:rPr>
      </w:pPr>
    </w:p>
    <w:p w:rsidR="00806F13" w:rsidRPr="00AA658C" w:rsidRDefault="00806F13" w:rsidP="00806F13">
      <w:pPr>
        <w:numPr>
          <w:ilvl w:val="0"/>
          <w:numId w:val="32"/>
        </w:numPr>
        <w:jc w:val="both"/>
        <w:rPr>
          <w:color w:val="000000"/>
        </w:rPr>
      </w:pPr>
      <w:r>
        <w:rPr>
          <w:b/>
        </w:rPr>
        <w:t xml:space="preserve">Streamlined Asset Verification and Calculation: </w:t>
      </w:r>
      <w:r w:rsidR="00862079">
        <w:t>As part of</w:t>
      </w:r>
      <w:r>
        <w:t xml:space="preserve"> DHCD’s revisions to asset income calculation</w:t>
      </w:r>
      <w:r w:rsidR="00862079">
        <w:t>s</w:t>
      </w:r>
      <w:r>
        <w:t>, DHCD will streamline the verification and calculation of assets as outlined below:</w:t>
      </w:r>
    </w:p>
    <w:p w:rsidR="00AA658C" w:rsidRPr="0045242A" w:rsidRDefault="00AA658C" w:rsidP="00AA658C">
      <w:pPr>
        <w:ind w:left="788"/>
        <w:jc w:val="both"/>
        <w:rPr>
          <w:color w:val="000000"/>
        </w:rPr>
      </w:pPr>
    </w:p>
    <w:p w:rsidR="00806F13" w:rsidRPr="0045242A" w:rsidRDefault="00806F13" w:rsidP="00806F13">
      <w:pPr>
        <w:numPr>
          <w:ilvl w:val="1"/>
          <w:numId w:val="32"/>
        </w:numPr>
        <w:jc w:val="both"/>
        <w:rPr>
          <w:color w:val="000000"/>
        </w:rPr>
      </w:pPr>
      <w:r>
        <w:t>S</w:t>
      </w:r>
      <w:r w:rsidRPr="0017724D">
        <w:t xml:space="preserve">elf-certification of asset value </w:t>
      </w:r>
      <w:r>
        <w:t xml:space="preserve">up to </w:t>
      </w:r>
      <w:r w:rsidRPr="0017724D">
        <w:t>$50,000</w:t>
      </w:r>
      <w:r>
        <w:t xml:space="preserve">.  When the market/face </w:t>
      </w:r>
      <w:r w:rsidRPr="0017724D">
        <w:t>val</w:t>
      </w:r>
      <w:r>
        <w:t>ue of assets is over</w:t>
      </w:r>
      <w:r w:rsidRPr="0017724D">
        <w:t xml:space="preserve"> $50,000, </w:t>
      </w:r>
      <w:r>
        <w:t xml:space="preserve">regulatory HUD </w:t>
      </w:r>
      <w:r w:rsidRPr="0017724D">
        <w:t>verification</w:t>
      </w:r>
      <w:r>
        <w:t xml:space="preserve"> requirements</w:t>
      </w:r>
      <w:r w:rsidRPr="0017724D">
        <w:t xml:space="preserve"> will be required.</w:t>
      </w:r>
    </w:p>
    <w:p w:rsidR="00806F13" w:rsidRPr="0045242A" w:rsidRDefault="00806F13" w:rsidP="00806F13">
      <w:pPr>
        <w:numPr>
          <w:ilvl w:val="1"/>
          <w:numId w:val="32"/>
        </w:numPr>
        <w:jc w:val="both"/>
        <w:rPr>
          <w:color w:val="000000"/>
        </w:rPr>
      </w:pPr>
      <w:r>
        <w:t xml:space="preserve">Exclusion of income from assets where the asset value is up to $50,000.  </w:t>
      </w:r>
    </w:p>
    <w:p w:rsidR="00806F13" w:rsidRPr="00806F13" w:rsidRDefault="00806F13" w:rsidP="002F3C7A">
      <w:pPr>
        <w:numPr>
          <w:ilvl w:val="1"/>
          <w:numId w:val="32"/>
        </w:numPr>
        <w:jc w:val="both"/>
        <w:rPr>
          <w:color w:val="000000"/>
        </w:rPr>
      </w:pPr>
      <w:r w:rsidRPr="0017724D">
        <w:t>For assets with market/face value</w:t>
      </w:r>
      <w:r>
        <w:t xml:space="preserve"> in excess of $50,000,</w:t>
      </w:r>
      <w:r w:rsidRPr="0017724D">
        <w:t xml:space="preserve"> calculate asset income by taking the market/face value and multiplying that value by the established passb</w:t>
      </w:r>
      <w:r>
        <w:t xml:space="preserve">ook savings rate. </w:t>
      </w:r>
    </w:p>
    <w:p w:rsidR="00E67171" w:rsidRDefault="00E67171" w:rsidP="00E67171">
      <w:pPr>
        <w:rPr>
          <w:bCs/>
          <w:color w:val="000000"/>
        </w:rPr>
      </w:pPr>
    </w:p>
    <w:p w:rsidR="00E67171" w:rsidRDefault="00E67171" w:rsidP="00E67171">
      <w:pPr>
        <w:rPr>
          <w:bCs/>
          <w:color w:val="000000"/>
        </w:rPr>
      </w:pPr>
      <w:r>
        <w:rPr>
          <w:bCs/>
          <w:color w:val="000000"/>
        </w:rPr>
        <w:t>The following activities which wer</w:t>
      </w:r>
      <w:r w:rsidR="009C0867">
        <w:rPr>
          <w:bCs/>
          <w:color w:val="000000"/>
        </w:rPr>
        <w:t>e in effect prior to the revisions to Rent Simplification</w:t>
      </w:r>
      <w:r>
        <w:rPr>
          <w:bCs/>
          <w:color w:val="000000"/>
        </w:rPr>
        <w:t xml:space="preserve"> will remain in effect and include:</w:t>
      </w:r>
    </w:p>
    <w:p w:rsidR="00E67171" w:rsidRPr="00E67171" w:rsidRDefault="00E67171" w:rsidP="00E67171">
      <w:pPr>
        <w:rPr>
          <w:bCs/>
          <w:color w:val="000000"/>
        </w:rPr>
      </w:pPr>
    </w:p>
    <w:p w:rsidR="00E67171" w:rsidRPr="00266E57" w:rsidRDefault="00266E57" w:rsidP="00E67171">
      <w:pPr>
        <w:pStyle w:val="ListParagraph"/>
        <w:numPr>
          <w:ilvl w:val="0"/>
          <w:numId w:val="43"/>
        </w:numPr>
        <w:jc w:val="both"/>
        <w:rPr>
          <w:bCs/>
          <w:color w:val="000000"/>
        </w:rPr>
      </w:pPr>
      <w:r>
        <w:rPr>
          <w:color w:val="000000"/>
        </w:rPr>
        <w:t>Minimum Rent</w:t>
      </w:r>
      <w:r w:rsidR="00711CE4">
        <w:rPr>
          <w:color w:val="000000"/>
        </w:rPr>
        <w:t xml:space="preserve"> of $50</w:t>
      </w:r>
    </w:p>
    <w:p w:rsidR="00266E57" w:rsidRPr="00266E57" w:rsidRDefault="00E67171" w:rsidP="00266E57">
      <w:pPr>
        <w:pStyle w:val="ListParagraph"/>
        <w:numPr>
          <w:ilvl w:val="0"/>
          <w:numId w:val="43"/>
        </w:numPr>
        <w:jc w:val="both"/>
        <w:rPr>
          <w:bCs/>
          <w:color w:val="000000"/>
        </w:rPr>
      </w:pPr>
      <w:r w:rsidRPr="00266E57">
        <w:rPr>
          <w:color w:val="000000"/>
        </w:rPr>
        <w:t>Exclusion of</w:t>
      </w:r>
      <w:r w:rsidR="00711CE4">
        <w:rPr>
          <w:color w:val="000000"/>
        </w:rPr>
        <w:t xml:space="preserve"> all Full-Time Student Income</w:t>
      </w:r>
    </w:p>
    <w:p w:rsidR="00E67171" w:rsidRPr="00266E57" w:rsidRDefault="00711CE4" w:rsidP="00E67171">
      <w:pPr>
        <w:pStyle w:val="ListParagraph"/>
        <w:numPr>
          <w:ilvl w:val="0"/>
          <w:numId w:val="43"/>
        </w:numPr>
        <w:jc w:val="both"/>
        <w:rPr>
          <w:bCs/>
          <w:color w:val="000000"/>
        </w:rPr>
      </w:pPr>
      <w:r>
        <w:rPr>
          <w:bCs/>
          <w:color w:val="000000"/>
        </w:rPr>
        <w:t>Streamlined Earned Income Disregard</w:t>
      </w:r>
    </w:p>
    <w:p w:rsidR="00266E57" w:rsidRPr="00266E57" w:rsidRDefault="00266E57" w:rsidP="00266E57">
      <w:pPr>
        <w:numPr>
          <w:ilvl w:val="0"/>
          <w:numId w:val="43"/>
        </w:numPr>
        <w:jc w:val="both"/>
        <w:rPr>
          <w:bCs/>
          <w:color w:val="000000"/>
        </w:rPr>
      </w:pPr>
      <w:r w:rsidRPr="00266E57">
        <w:t>Streamlined Asset Verification and Calculation</w:t>
      </w:r>
    </w:p>
    <w:p w:rsidR="002F3C7A" w:rsidRDefault="002F3C7A" w:rsidP="002F3C7A">
      <w:pPr>
        <w:jc w:val="both"/>
        <w:rPr>
          <w:color w:val="000000"/>
          <w:highlight w:val="yellow"/>
        </w:rPr>
      </w:pPr>
    </w:p>
    <w:p w:rsidR="00F70AE1" w:rsidRDefault="003D6AB7" w:rsidP="00C51094">
      <w:pPr>
        <w:jc w:val="both"/>
        <w:rPr>
          <w:bCs/>
          <w:color w:val="000000"/>
        </w:rPr>
      </w:pPr>
      <w:r w:rsidRPr="007236E7">
        <w:rPr>
          <w:b/>
          <w:color w:val="000000"/>
        </w:rPr>
        <w:t>Proposed Changes to Activity</w:t>
      </w:r>
      <w:r w:rsidRPr="007236E7">
        <w:rPr>
          <w:color w:val="000000"/>
        </w:rPr>
        <w:t xml:space="preserve">: </w:t>
      </w:r>
      <w:r w:rsidR="00C51094">
        <w:rPr>
          <w:bCs/>
          <w:color w:val="000000"/>
        </w:rPr>
        <w:t>In FY 2017 DHCD will begin a phased-in impl</w:t>
      </w:r>
      <w:r w:rsidR="00A83B93">
        <w:rPr>
          <w:bCs/>
          <w:color w:val="000000"/>
        </w:rPr>
        <w:t>ementation of</w:t>
      </w:r>
      <w:r w:rsidR="00C51094">
        <w:rPr>
          <w:bCs/>
          <w:color w:val="000000"/>
        </w:rPr>
        <w:t xml:space="preserve"> </w:t>
      </w:r>
      <w:r w:rsidR="0086782D">
        <w:rPr>
          <w:bCs/>
          <w:color w:val="000000"/>
        </w:rPr>
        <w:t xml:space="preserve">the new components of </w:t>
      </w:r>
      <w:r w:rsidR="00C51094">
        <w:rPr>
          <w:bCs/>
          <w:color w:val="000000"/>
        </w:rPr>
        <w:t>rent simplification, the first of which will be the applic</w:t>
      </w:r>
      <w:r w:rsidR="0086782D">
        <w:rPr>
          <w:bCs/>
          <w:color w:val="000000"/>
        </w:rPr>
        <w:t>ation of the SAFMR/payment s</w:t>
      </w:r>
      <w:r w:rsidR="00F70AE1">
        <w:rPr>
          <w:bCs/>
          <w:color w:val="000000"/>
        </w:rPr>
        <w:t>tandards</w:t>
      </w:r>
      <w:r w:rsidR="0086782D">
        <w:rPr>
          <w:bCs/>
          <w:color w:val="000000"/>
        </w:rPr>
        <w:t xml:space="preserve"> policy</w:t>
      </w:r>
      <w:r w:rsidR="00C51094">
        <w:rPr>
          <w:bCs/>
          <w:color w:val="000000"/>
        </w:rPr>
        <w:t xml:space="preserve">.  </w:t>
      </w:r>
      <w:r w:rsidR="00F70AE1">
        <w:rPr>
          <w:bCs/>
          <w:color w:val="000000"/>
        </w:rPr>
        <w:t>DHCD completed an impact analysis to determine the financial impact to tenants using the existing rent simp</w:t>
      </w:r>
      <w:r w:rsidR="008D6045">
        <w:rPr>
          <w:bCs/>
          <w:color w:val="000000"/>
        </w:rPr>
        <w:t>lification activities and adding only the</w:t>
      </w:r>
      <w:r w:rsidR="0086782D">
        <w:rPr>
          <w:bCs/>
          <w:color w:val="000000"/>
        </w:rPr>
        <w:t xml:space="preserve"> SAFMR/payment st</w:t>
      </w:r>
      <w:r w:rsidR="00F70AE1">
        <w:rPr>
          <w:bCs/>
          <w:color w:val="000000"/>
        </w:rPr>
        <w:t>andard portion of rent simplification</w:t>
      </w:r>
      <w:r w:rsidR="0086782D">
        <w:rPr>
          <w:bCs/>
          <w:color w:val="000000"/>
        </w:rPr>
        <w:t xml:space="preserve"> outlined below</w:t>
      </w:r>
      <w:r w:rsidR="00F70AE1">
        <w:rPr>
          <w:bCs/>
          <w:color w:val="000000"/>
        </w:rPr>
        <w:t xml:space="preserve">. </w:t>
      </w:r>
      <w:r w:rsidR="00910D81">
        <w:rPr>
          <w:bCs/>
          <w:color w:val="000000"/>
        </w:rPr>
        <w:t xml:space="preserve"> With the application of </w:t>
      </w:r>
      <w:r w:rsidR="008D6045">
        <w:rPr>
          <w:bCs/>
          <w:color w:val="000000"/>
        </w:rPr>
        <w:t>SAF</w:t>
      </w:r>
      <w:r w:rsidR="0086782D">
        <w:rPr>
          <w:bCs/>
          <w:color w:val="000000"/>
        </w:rPr>
        <w:t>MR/payment s</w:t>
      </w:r>
      <w:r w:rsidR="00910D81">
        <w:rPr>
          <w:bCs/>
          <w:color w:val="000000"/>
        </w:rPr>
        <w:t xml:space="preserve">tandard policy below and existing rent simplification policies, current households will not experience an increase in rent.  One percent (1%) of households will experience a decrease in rent.  </w:t>
      </w:r>
    </w:p>
    <w:p w:rsidR="0073170A" w:rsidRDefault="0073170A" w:rsidP="00C51094">
      <w:pPr>
        <w:jc w:val="both"/>
        <w:rPr>
          <w:bCs/>
          <w:color w:val="000000"/>
        </w:rPr>
      </w:pPr>
    </w:p>
    <w:p w:rsidR="0073170A" w:rsidRDefault="0073170A" w:rsidP="00C51094">
      <w:pPr>
        <w:jc w:val="both"/>
        <w:rPr>
          <w:bCs/>
          <w:color w:val="000000"/>
        </w:rPr>
      </w:pPr>
      <w:r>
        <w:rPr>
          <w:bCs/>
          <w:color w:val="000000"/>
        </w:rPr>
        <w:t>DHCD con</w:t>
      </w:r>
      <w:r w:rsidR="00301502">
        <w:rPr>
          <w:bCs/>
          <w:color w:val="000000"/>
        </w:rPr>
        <w:t xml:space="preserve">tinues to model the impact of this </w:t>
      </w:r>
      <w:r>
        <w:rPr>
          <w:bCs/>
          <w:color w:val="000000"/>
        </w:rPr>
        <w:t xml:space="preserve">rent simplification </w:t>
      </w:r>
      <w:r w:rsidR="00301502">
        <w:rPr>
          <w:bCs/>
          <w:color w:val="000000"/>
        </w:rPr>
        <w:t>activity for effects of disp</w:t>
      </w:r>
      <w:r>
        <w:rPr>
          <w:bCs/>
          <w:color w:val="000000"/>
        </w:rPr>
        <w:t>arate impact regarding race, ethnicity and/or disability.</w:t>
      </w:r>
    </w:p>
    <w:p w:rsidR="00F70AE1" w:rsidRDefault="00F70AE1" w:rsidP="00C51094">
      <w:pPr>
        <w:jc w:val="both"/>
        <w:rPr>
          <w:bCs/>
          <w:color w:val="000000"/>
        </w:rPr>
      </w:pPr>
    </w:p>
    <w:p w:rsidR="00C51094" w:rsidRDefault="00C51094" w:rsidP="00C51094">
      <w:pPr>
        <w:jc w:val="both"/>
        <w:rPr>
          <w:bCs/>
          <w:color w:val="000000"/>
        </w:rPr>
      </w:pPr>
      <w:r>
        <w:rPr>
          <w:bCs/>
          <w:color w:val="000000"/>
        </w:rPr>
        <w:t xml:space="preserve"> DHCD will apply the SAFMR to all households with the following exceptions:</w:t>
      </w:r>
    </w:p>
    <w:p w:rsidR="00C51094" w:rsidRDefault="00C51094" w:rsidP="00C51094">
      <w:pPr>
        <w:jc w:val="both"/>
        <w:rPr>
          <w:bCs/>
          <w:color w:val="000000"/>
        </w:rPr>
      </w:pPr>
    </w:p>
    <w:p w:rsidR="00C51094" w:rsidRDefault="00C51094" w:rsidP="00C51094">
      <w:pPr>
        <w:pStyle w:val="ListParagraph"/>
        <w:numPr>
          <w:ilvl w:val="0"/>
          <w:numId w:val="42"/>
        </w:numPr>
        <w:jc w:val="both"/>
        <w:rPr>
          <w:bCs/>
          <w:color w:val="000000"/>
        </w:rPr>
      </w:pPr>
      <w:r>
        <w:rPr>
          <w:bCs/>
          <w:color w:val="000000"/>
        </w:rPr>
        <w:t>Where a PHA has an approved exception payment standard (EPS) DHCD will apply the EPS;</w:t>
      </w:r>
    </w:p>
    <w:p w:rsidR="00C51094" w:rsidRDefault="00C51094" w:rsidP="00C51094">
      <w:pPr>
        <w:pStyle w:val="ListParagraph"/>
        <w:jc w:val="both"/>
        <w:rPr>
          <w:bCs/>
          <w:color w:val="000000"/>
        </w:rPr>
      </w:pPr>
    </w:p>
    <w:p w:rsidR="0086782D" w:rsidRDefault="0086782D" w:rsidP="0086782D">
      <w:pPr>
        <w:pStyle w:val="ListParagraph"/>
        <w:numPr>
          <w:ilvl w:val="0"/>
          <w:numId w:val="49"/>
        </w:numPr>
        <w:jc w:val="both"/>
        <w:rPr>
          <w:bCs/>
          <w:color w:val="000000"/>
        </w:rPr>
      </w:pPr>
      <w:r>
        <w:rPr>
          <w:bCs/>
          <w:color w:val="000000"/>
        </w:rPr>
        <w:t xml:space="preserve">Where a family is currently assisted on the effective date of the change in payment standard policy and where the SAFMR is less than the current payment standard, DHCD will apply the current approved payment standard.  New admissions and currently assisted families who move on or after the effective date of this policy will have the applicable SAFMR applied.  In year two and in subsequent years, DHCD will review the SAFMR and approved payment standards to determine the impact of the policy for households who were current participants on the date of the policy change.  DHCD will make determinations whether to apply the SAFMR or continue to apply the current approved payment standard consistent with funding levels and tenant impact. </w:t>
      </w:r>
    </w:p>
    <w:p w:rsidR="003D6AB7" w:rsidRPr="003D6AB7" w:rsidRDefault="003D6AB7" w:rsidP="003D6AB7">
      <w:pPr>
        <w:jc w:val="both"/>
        <w:rPr>
          <w:color w:val="000000"/>
        </w:rPr>
      </w:pPr>
    </w:p>
    <w:p w:rsidR="003D6AB7" w:rsidRPr="003F655B" w:rsidRDefault="003D6AB7" w:rsidP="003D6AB7">
      <w:pPr>
        <w:jc w:val="both"/>
        <w:rPr>
          <w:color w:val="000000"/>
        </w:rPr>
      </w:pPr>
      <w:r w:rsidRPr="003F655B">
        <w:rPr>
          <w:b/>
          <w:color w:val="000000"/>
        </w:rPr>
        <w:t>Approval and Implementation</w:t>
      </w:r>
      <w:r w:rsidR="00711CE4">
        <w:rPr>
          <w:color w:val="000000"/>
        </w:rPr>
        <w:t xml:space="preserve">: </w:t>
      </w:r>
      <w:r w:rsidR="00485902">
        <w:rPr>
          <w:color w:val="000000"/>
        </w:rPr>
        <w:t>Implement</w:t>
      </w:r>
      <w:r w:rsidR="009C0867">
        <w:rPr>
          <w:color w:val="000000"/>
        </w:rPr>
        <w:t xml:space="preserve">ation of the first phase of </w:t>
      </w:r>
      <w:r w:rsidR="00485902">
        <w:rPr>
          <w:color w:val="000000"/>
        </w:rPr>
        <w:t xml:space="preserve">Rent Simplification began in FY 2012. </w:t>
      </w:r>
      <w:r w:rsidR="00711CE4">
        <w:rPr>
          <w:color w:val="000000"/>
        </w:rPr>
        <w:t>I</w:t>
      </w:r>
      <w:r w:rsidRPr="003F655B">
        <w:rPr>
          <w:color w:val="000000"/>
        </w:rPr>
        <w:t>mp</w:t>
      </w:r>
      <w:r>
        <w:rPr>
          <w:color w:val="000000"/>
        </w:rPr>
        <w:t>lementation</w:t>
      </w:r>
      <w:r w:rsidR="00711CE4">
        <w:rPr>
          <w:color w:val="000000"/>
        </w:rPr>
        <w:t xml:space="preserve"> of the </w:t>
      </w:r>
      <w:r w:rsidR="00F43E09">
        <w:rPr>
          <w:color w:val="000000"/>
        </w:rPr>
        <w:t>SAFMR</w:t>
      </w:r>
      <w:r w:rsidR="00910D81">
        <w:rPr>
          <w:color w:val="000000"/>
        </w:rPr>
        <w:t>/</w:t>
      </w:r>
      <w:r w:rsidR="00711CE4">
        <w:rPr>
          <w:color w:val="000000"/>
        </w:rPr>
        <w:t>Payment Standard portion of rent simplification</w:t>
      </w:r>
      <w:r>
        <w:rPr>
          <w:color w:val="000000"/>
        </w:rPr>
        <w:t xml:space="preserve"> is anticipated in the third quarter of FY 2017</w:t>
      </w:r>
      <w:r w:rsidR="009C0867">
        <w:rPr>
          <w:color w:val="000000"/>
        </w:rPr>
        <w:t xml:space="preserve">. </w:t>
      </w:r>
      <w:r w:rsidR="00910D81">
        <w:rPr>
          <w:color w:val="000000"/>
        </w:rPr>
        <w:t>DHCD may pilot this change in two of its jurisdictions before rolling it out to all regions.</w:t>
      </w:r>
      <w:r w:rsidR="009E38DF">
        <w:rPr>
          <w:color w:val="000000"/>
        </w:rPr>
        <w:t xml:space="preserve">  DHCD will review the remaining components of rent simplification and determine whether or not to implement or revise these components.  Proposed revisions will be included in a subsequent MTW Plan. </w:t>
      </w:r>
      <w:r w:rsidR="009C0867">
        <w:rPr>
          <w:color w:val="000000"/>
        </w:rPr>
        <w:t xml:space="preserve"> </w:t>
      </w:r>
    </w:p>
    <w:p w:rsidR="003D6AB7" w:rsidRPr="003F655B" w:rsidRDefault="003D6AB7" w:rsidP="003D6AB7">
      <w:pPr>
        <w:jc w:val="both"/>
        <w:rPr>
          <w:b/>
          <w:color w:val="000000"/>
        </w:rPr>
      </w:pPr>
    </w:p>
    <w:p w:rsidR="00711CE4" w:rsidRDefault="003D6AB7" w:rsidP="001D0BB4">
      <w:pPr>
        <w:jc w:val="both"/>
      </w:pPr>
      <w:r>
        <w:rPr>
          <w:b/>
        </w:rPr>
        <w:t xml:space="preserve">Changes to Baseline, Benchmarks &amp; Metrics: </w:t>
      </w:r>
      <w:r>
        <w:t xml:space="preserve"> </w:t>
      </w:r>
      <w:r w:rsidR="00AE0E14">
        <w:t xml:space="preserve">The baselines and benchmarks for SS #3 updated to reflect numbers and percentages of work-able households. </w:t>
      </w:r>
      <w:r w:rsidR="00E62EFD">
        <w:t xml:space="preserve"> The baseline for SS #8 was added and represents the FY 2015 to date figures. </w:t>
      </w:r>
      <w:r w:rsidR="00AE0E14">
        <w:t xml:space="preserve"> </w:t>
      </w:r>
      <w:r w:rsidR="00711CE4">
        <w:t>The benchmarks have been updated to reflect FY 2017 projections for this activity. DHCD will report on outcomes in the MTW Annual Report</w:t>
      </w:r>
      <w:r w:rsidR="00925298">
        <w:t>.</w:t>
      </w:r>
      <w:r w:rsidR="00AE0E14">
        <w:t xml:space="preserve">  </w:t>
      </w:r>
    </w:p>
    <w:p w:rsidR="00AE0E14" w:rsidRPr="00D80B62" w:rsidRDefault="00AE0E14" w:rsidP="001D0BB4">
      <w:pPr>
        <w:jc w:val="both"/>
        <w:rPr>
          <w:b/>
          <w:color w:val="000000"/>
          <w:sz w:val="10"/>
        </w:rPr>
      </w:pPr>
    </w:p>
    <w:p w:rsidR="00711CE4" w:rsidRDefault="00711CE4" w:rsidP="002F3C7A">
      <w:pPr>
        <w:rPr>
          <w:b/>
          <w:color w:val="000000"/>
        </w:rPr>
      </w:pPr>
      <w:r>
        <w:rPr>
          <w:b/>
          <w:color w:val="000000"/>
        </w:rPr>
        <w:t>Metrics:</w:t>
      </w:r>
    </w:p>
    <w:p w:rsidR="00711CE4" w:rsidRPr="00D80B62" w:rsidRDefault="00711CE4" w:rsidP="002F3C7A">
      <w:pPr>
        <w:rPr>
          <w:b/>
          <w:color w:val="000000"/>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01"/>
        <w:gridCol w:w="1897"/>
        <w:gridCol w:w="1822"/>
        <w:gridCol w:w="1850"/>
      </w:tblGrid>
      <w:tr w:rsidR="00711CE4" w:rsidRPr="000522E3" w:rsidTr="00192656">
        <w:trPr>
          <w:trHeight w:val="332"/>
        </w:trPr>
        <w:tc>
          <w:tcPr>
            <w:tcW w:w="9576" w:type="dxa"/>
            <w:gridSpan w:val="5"/>
            <w:shd w:val="clear" w:color="auto" w:fill="C6D9F1" w:themeFill="text2" w:themeFillTint="33"/>
            <w:hideMark/>
          </w:tcPr>
          <w:p w:rsidR="00711CE4" w:rsidRPr="00F46015" w:rsidRDefault="00711CE4" w:rsidP="00711CE4">
            <w:pPr>
              <w:jc w:val="center"/>
              <w:rPr>
                <w:b/>
                <w:bCs/>
                <w:i/>
                <w:iCs/>
                <w:color w:val="000000"/>
                <w:sz w:val="22"/>
                <w:szCs w:val="22"/>
              </w:rPr>
            </w:pPr>
            <w:r w:rsidRPr="00F46015">
              <w:rPr>
                <w:b/>
                <w:bCs/>
                <w:i/>
                <w:iCs/>
                <w:color w:val="000000"/>
                <w:sz w:val="22"/>
                <w:szCs w:val="22"/>
              </w:rPr>
              <w:t>CE #1: Agency Cost Savings</w:t>
            </w:r>
          </w:p>
        </w:tc>
      </w:tr>
      <w:tr w:rsidR="00711CE4" w:rsidRPr="000522E3" w:rsidTr="00192656">
        <w:trPr>
          <w:trHeight w:val="512"/>
        </w:trPr>
        <w:tc>
          <w:tcPr>
            <w:tcW w:w="1915" w:type="dxa"/>
            <w:shd w:val="clear" w:color="auto" w:fill="DDDDDD"/>
            <w:hideMark/>
          </w:tcPr>
          <w:p w:rsidR="00711CE4" w:rsidRDefault="00711CE4" w:rsidP="009E38DF">
            <w:pPr>
              <w:jc w:val="center"/>
              <w:rPr>
                <w:b/>
                <w:bCs/>
                <w:color w:val="000000"/>
                <w:sz w:val="22"/>
                <w:szCs w:val="22"/>
              </w:rPr>
            </w:pPr>
            <w:r w:rsidRPr="00F46015">
              <w:rPr>
                <w:b/>
                <w:bCs/>
                <w:color w:val="000000"/>
                <w:sz w:val="22"/>
                <w:szCs w:val="22"/>
              </w:rPr>
              <w:t>Unit of Measurement</w:t>
            </w:r>
          </w:p>
        </w:tc>
        <w:tc>
          <w:tcPr>
            <w:tcW w:w="1915" w:type="dxa"/>
            <w:shd w:val="clear" w:color="auto" w:fill="D9D9D9" w:themeFill="background1" w:themeFillShade="D9"/>
            <w:hideMark/>
          </w:tcPr>
          <w:p w:rsidR="00711CE4" w:rsidRDefault="00711CE4" w:rsidP="00711CE4">
            <w:pPr>
              <w:jc w:val="center"/>
              <w:rPr>
                <w:b/>
                <w:bCs/>
                <w:color w:val="000000"/>
                <w:sz w:val="22"/>
                <w:szCs w:val="22"/>
              </w:rPr>
            </w:pPr>
            <w:r w:rsidRPr="00F46015">
              <w:rPr>
                <w:b/>
                <w:bCs/>
                <w:color w:val="000000"/>
                <w:sz w:val="22"/>
                <w:szCs w:val="22"/>
              </w:rPr>
              <w:t>Baseline</w:t>
            </w:r>
          </w:p>
        </w:tc>
        <w:tc>
          <w:tcPr>
            <w:tcW w:w="1915" w:type="dxa"/>
            <w:shd w:val="clear" w:color="auto" w:fill="DDDDDD"/>
            <w:hideMark/>
          </w:tcPr>
          <w:p w:rsidR="00711CE4" w:rsidRDefault="00711CE4" w:rsidP="00711CE4">
            <w:pPr>
              <w:jc w:val="center"/>
              <w:rPr>
                <w:b/>
                <w:bCs/>
                <w:color w:val="000000"/>
                <w:sz w:val="22"/>
                <w:szCs w:val="22"/>
              </w:rPr>
            </w:pPr>
            <w:r w:rsidRPr="00F46015">
              <w:rPr>
                <w:b/>
                <w:bCs/>
                <w:color w:val="000000"/>
                <w:sz w:val="22"/>
                <w:szCs w:val="22"/>
              </w:rPr>
              <w:t>Benchmark</w:t>
            </w:r>
          </w:p>
        </w:tc>
        <w:tc>
          <w:tcPr>
            <w:tcW w:w="1915" w:type="dxa"/>
            <w:shd w:val="clear" w:color="auto" w:fill="DDDDDD"/>
            <w:hideMark/>
          </w:tcPr>
          <w:p w:rsidR="00711CE4" w:rsidRDefault="00711CE4" w:rsidP="00711CE4">
            <w:pPr>
              <w:jc w:val="center"/>
              <w:rPr>
                <w:b/>
                <w:bCs/>
                <w:color w:val="000000"/>
                <w:sz w:val="22"/>
                <w:szCs w:val="22"/>
              </w:rPr>
            </w:pPr>
            <w:r w:rsidRPr="00E2658D">
              <w:rPr>
                <w:b/>
                <w:bCs/>
                <w:color w:val="000000"/>
                <w:sz w:val="22"/>
                <w:szCs w:val="22"/>
              </w:rPr>
              <w:t>Outcome</w:t>
            </w:r>
          </w:p>
        </w:tc>
        <w:tc>
          <w:tcPr>
            <w:tcW w:w="1916" w:type="dxa"/>
            <w:shd w:val="clear" w:color="auto" w:fill="DDDDDD"/>
            <w:hideMark/>
          </w:tcPr>
          <w:p w:rsidR="00711CE4" w:rsidRDefault="00711CE4" w:rsidP="00711CE4">
            <w:pPr>
              <w:jc w:val="center"/>
              <w:rPr>
                <w:b/>
                <w:bCs/>
                <w:color w:val="000000"/>
                <w:sz w:val="22"/>
                <w:szCs w:val="22"/>
              </w:rPr>
            </w:pPr>
            <w:r w:rsidRPr="00E2658D">
              <w:rPr>
                <w:b/>
                <w:bCs/>
                <w:color w:val="000000"/>
                <w:sz w:val="22"/>
                <w:szCs w:val="22"/>
              </w:rPr>
              <w:t>Benchmark Achieved?</w:t>
            </w:r>
          </w:p>
        </w:tc>
      </w:tr>
      <w:tr w:rsidR="00711CE4" w:rsidRPr="000522E3" w:rsidTr="00D80B62">
        <w:trPr>
          <w:trHeight w:val="5408"/>
        </w:trPr>
        <w:tc>
          <w:tcPr>
            <w:tcW w:w="1915" w:type="dxa"/>
            <w:hideMark/>
          </w:tcPr>
          <w:p w:rsidR="00711CE4" w:rsidRPr="00E51A1F" w:rsidRDefault="00711CE4" w:rsidP="00711CE4">
            <w:pPr>
              <w:rPr>
                <w:color w:val="000000"/>
                <w:sz w:val="22"/>
                <w:szCs w:val="22"/>
              </w:rPr>
            </w:pPr>
            <w:r w:rsidRPr="00E51A1F">
              <w:rPr>
                <w:color w:val="000000"/>
                <w:sz w:val="22"/>
                <w:szCs w:val="22"/>
              </w:rPr>
              <w:t>Total cost of task in dollars (decrease).</w:t>
            </w:r>
          </w:p>
        </w:tc>
        <w:tc>
          <w:tcPr>
            <w:tcW w:w="1915" w:type="dxa"/>
            <w:hideMark/>
          </w:tcPr>
          <w:p w:rsidR="00711CE4" w:rsidRPr="00E51A1F" w:rsidRDefault="00711CE4" w:rsidP="00711CE4">
            <w:pPr>
              <w:jc w:val="center"/>
              <w:rPr>
                <w:rFonts w:eastAsia="Calibri"/>
                <w:sz w:val="22"/>
                <w:szCs w:val="22"/>
              </w:rPr>
            </w:pPr>
            <w:r w:rsidRPr="00192656">
              <w:rPr>
                <w:rFonts w:eastAsia="Calibri"/>
                <w:b/>
                <w:sz w:val="22"/>
                <w:szCs w:val="22"/>
              </w:rPr>
              <w:t xml:space="preserve">Number of vouchers: </w:t>
            </w:r>
            <w:r w:rsidRPr="00E51A1F">
              <w:rPr>
                <w:rFonts w:eastAsia="Calibri"/>
                <w:sz w:val="22"/>
                <w:szCs w:val="22"/>
              </w:rPr>
              <w:t xml:space="preserve"> 20,298</w:t>
            </w:r>
          </w:p>
          <w:p w:rsidR="00711CE4" w:rsidRPr="00D80B62" w:rsidRDefault="00711CE4" w:rsidP="00711CE4">
            <w:pPr>
              <w:jc w:val="center"/>
              <w:rPr>
                <w:rFonts w:eastAsia="Calibri"/>
                <w:sz w:val="10"/>
                <w:szCs w:val="22"/>
              </w:rPr>
            </w:pPr>
          </w:p>
          <w:p w:rsidR="00711CE4" w:rsidRPr="00E51A1F" w:rsidRDefault="00711CE4" w:rsidP="00711CE4">
            <w:pPr>
              <w:jc w:val="center"/>
              <w:rPr>
                <w:rFonts w:eastAsia="Calibri"/>
                <w:sz w:val="22"/>
                <w:szCs w:val="22"/>
              </w:rPr>
            </w:pPr>
            <w:r w:rsidRPr="00192656">
              <w:rPr>
                <w:rFonts w:eastAsia="Calibri"/>
                <w:b/>
                <w:sz w:val="22"/>
                <w:szCs w:val="22"/>
              </w:rPr>
              <w:t>Time per Recertification:</w:t>
            </w:r>
            <w:r w:rsidRPr="00E51A1F">
              <w:rPr>
                <w:rFonts w:eastAsia="Calibri"/>
                <w:sz w:val="22"/>
                <w:szCs w:val="22"/>
              </w:rPr>
              <w:t xml:space="preserve"> 2.5 hours</w:t>
            </w:r>
          </w:p>
          <w:p w:rsidR="00711CE4" w:rsidRPr="00D80B62" w:rsidRDefault="00711CE4" w:rsidP="00711CE4">
            <w:pPr>
              <w:jc w:val="center"/>
              <w:rPr>
                <w:rFonts w:eastAsia="Calibri"/>
                <w:sz w:val="10"/>
                <w:szCs w:val="10"/>
              </w:rPr>
            </w:pPr>
          </w:p>
          <w:p w:rsidR="00711CE4" w:rsidRPr="00E51A1F" w:rsidRDefault="00711CE4" w:rsidP="00711CE4">
            <w:pPr>
              <w:jc w:val="center"/>
              <w:rPr>
                <w:rFonts w:eastAsia="Calibri"/>
                <w:sz w:val="22"/>
                <w:szCs w:val="22"/>
              </w:rPr>
            </w:pPr>
            <w:r w:rsidRPr="009E38DF">
              <w:rPr>
                <w:rFonts w:eastAsia="Calibri"/>
                <w:b/>
                <w:sz w:val="22"/>
                <w:szCs w:val="22"/>
              </w:rPr>
              <w:t>Average Hourly Staff Rate:</w:t>
            </w:r>
            <w:r w:rsidRPr="00E51A1F">
              <w:rPr>
                <w:rFonts w:eastAsia="Calibri"/>
                <w:sz w:val="22"/>
                <w:szCs w:val="22"/>
              </w:rPr>
              <w:t xml:space="preserve"> $18.17</w:t>
            </w:r>
          </w:p>
          <w:p w:rsidR="00711CE4" w:rsidRPr="00E51A1F" w:rsidRDefault="00711CE4" w:rsidP="00711CE4">
            <w:pPr>
              <w:jc w:val="center"/>
              <w:rPr>
                <w:rFonts w:eastAsia="Calibri"/>
                <w:sz w:val="22"/>
                <w:szCs w:val="22"/>
              </w:rPr>
            </w:pPr>
          </w:p>
          <w:p w:rsidR="00711CE4" w:rsidRPr="00E51A1F" w:rsidRDefault="00711CE4" w:rsidP="00711CE4">
            <w:pPr>
              <w:jc w:val="center"/>
              <w:rPr>
                <w:rFonts w:eastAsia="Calibri"/>
                <w:sz w:val="22"/>
                <w:szCs w:val="22"/>
              </w:rPr>
            </w:pPr>
            <w:r w:rsidRPr="009E38DF">
              <w:rPr>
                <w:rFonts w:eastAsia="Calibri"/>
                <w:b/>
                <w:sz w:val="22"/>
                <w:szCs w:val="22"/>
              </w:rPr>
              <w:t xml:space="preserve">Total Cost of Activity Prior to Implementation: </w:t>
            </w:r>
            <w:r w:rsidRPr="00E51A1F">
              <w:rPr>
                <w:rFonts w:eastAsia="Calibri"/>
                <w:sz w:val="22"/>
                <w:szCs w:val="22"/>
              </w:rPr>
              <w:t>$922,037</w:t>
            </w:r>
          </w:p>
          <w:p w:rsidR="00711CE4" w:rsidRPr="00973948" w:rsidRDefault="00711CE4" w:rsidP="00711CE4">
            <w:pPr>
              <w:jc w:val="center"/>
              <w:rPr>
                <w:rFonts w:eastAsia="Calibri"/>
                <w:sz w:val="22"/>
                <w:szCs w:val="22"/>
              </w:rPr>
            </w:pPr>
          </w:p>
          <w:p w:rsidR="00711CE4" w:rsidRPr="00E51A1F" w:rsidRDefault="00711CE4" w:rsidP="00711CE4">
            <w:pPr>
              <w:jc w:val="center"/>
              <w:rPr>
                <w:rFonts w:eastAsia="Calibri"/>
                <w:sz w:val="22"/>
                <w:szCs w:val="22"/>
              </w:rPr>
            </w:pPr>
            <w:r w:rsidRPr="00973948">
              <w:rPr>
                <w:rFonts w:eastAsia="Calibri"/>
                <w:sz w:val="22"/>
                <w:szCs w:val="22"/>
              </w:rPr>
              <w:t>Baseline represents the metrics used when this activity was initially proposed</w:t>
            </w:r>
            <w:r>
              <w:rPr>
                <w:rFonts w:eastAsia="Calibri"/>
                <w:sz w:val="22"/>
                <w:szCs w:val="22"/>
              </w:rPr>
              <w:t>.</w:t>
            </w:r>
          </w:p>
          <w:p w:rsidR="00711CE4" w:rsidRPr="00E51A1F" w:rsidRDefault="00711CE4" w:rsidP="00711CE4">
            <w:pPr>
              <w:jc w:val="center"/>
              <w:rPr>
                <w:rFonts w:eastAsia="Calibri"/>
                <w:sz w:val="22"/>
                <w:szCs w:val="22"/>
              </w:rPr>
            </w:pPr>
          </w:p>
          <w:p w:rsidR="00711CE4" w:rsidRPr="00E51A1F" w:rsidRDefault="00711CE4" w:rsidP="00711CE4">
            <w:pPr>
              <w:jc w:val="center"/>
              <w:rPr>
                <w:color w:val="000000"/>
                <w:sz w:val="22"/>
                <w:szCs w:val="22"/>
              </w:rPr>
            </w:pPr>
          </w:p>
        </w:tc>
        <w:tc>
          <w:tcPr>
            <w:tcW w:w="1915" w:type="dxa"/>
            <w:hideMark/>
          </w:tcPr>
          <w:p w:rsidR="00663DFF" w:rsidRPr="006A2360" w:rsidRDefault="00663DFF" w:rsidP="00663DFF">
            <w:pPr>
              <w:jc w:val="center"/>
              <w:rPr>
                <w:rFonts w:eastAsia="Calibri"/>
                <w:sz w:val="22"/>
                <w:szCs w:val="22"/>
              </w:rPr>
            </w:pPr>
            <w:r w:rsidRPr="006A2360">
              <w:rPr>
                <w:rFonts w:eastAsia="Calibri"/>
                <w:b/>
                <w:sz w:val="22"/>
                <w:szCs w:val="22"/>
              </w:rPr>
              <w:t>Anticipated Number of Recertifications</w:t>
            </w:r>
            <w:r>
              <w:rPr>
                <w:rFonts w:eastAsia="Calibri"/>
                <w:sz w:val="22"/>
                <w:szCs w:val="22"/>
              </w:rPr>
              <w:t>: 10,230</w:t>
            </w:r>
          </w:p>
          <w:p w:rsidR="00663DFF" w:rsidRPr="00D80B62" w:rsidRDefault="00663DFF" w:rsidP="00663DFF">
            <w:pPr>
              <w:jc w:val="center"/>
              <w:rPr>
                <w:rFonts w:eastAsia="Calibri"/>
                <w:sz w:val="12"/>
                <w:szCs w:val="22"/>
              </w:rPr>
            </w:pPr>
          </w:p>
          <w:p w:rsidR="00663DFF" w:rsidRPr="006A2360" w:rsidRDefault="00663DFF" w:rsidP="00663DFF">
            <w:pPr>
              <w:jc w:val="center"/>
              <w:rPr>
                <w:rFonts w:eastAsia="Calibri"/>
                <w:sz w:val="22"/>
                <w:szCs w:val="22"/>
              </w:rPr>
            </w:pPr>
            <w:r w:rsidRPr="006A2360">
              <w:rPr>
                <w:rFonts w:eastAsia="Calibri"/>
                <w:b/>
                <w:sz w:val="22"/>
                <w:szCs w:val="22"/>
              </w:rPr>
              <w:t>Time per Recertification</w:t>
            </w:r>
            <w:r w:rsidRPr="006A2360">
              <w:rPr>
                <w:rFonts w:eastAsia="Calibri"/>
                <w:sz w:val="22"/>
                <w:szCs w:val="22"/>
              </w:rPr>
              <w:t>: 2.25 hours</w:t>
            </w:r>
          </w:p>
          <w:p w:rsidR="00663DFF" w:rsidRPr="00D80B62" w:rsidRDefault="00663DFF" w:rsidP="00663DFF">
            <w:pPr>
              <w:jc w:val="center"/>
              <w:rPr>
                <w:rFonts w:eastAsia="Calibri"/>
                <w:sz w:val="10"/>
                <w:szCs w:val="10"/>
              </w:rPr>
            </w:pPr>
          </w:p>
          <w:p w:rsidR="00663DFF" w:rsidRPr="006A2360" w:rsidRDefault="00663DFF" w:rsidP="00663DFF">
            <w:pPr>
              <w:jc w:val="center"/>
              <w:rPr>
                <w:rFonts w:eastAsia="Calibri"/>
                <w:sz w:val="22"/>
                <w:szCs w:val="22"/>
              </w:rPr>
            </w:pPr>
            <w:r w:rsidRPr="006A2360">
              <w:rPr>
                <w:rFonts w:eastAsia="Calibri"/>
                <w:b/>
                <w:sz w:val="22"/>
                <w:szCs w:val="22"/>
              </w:rPr>
              <w:t>Average Hourly Staff Rate</w:t>
            </w:r>
            <w:r w:rsidRPr="006A2360">
              <w:rPr>
                <w:rFonts w:eastAsia="Calibri"/>
                <w:sz w:val="22"/>
                <w:szCs w:val="22"/>
              </w:rPr>
              <w:t>: $18.17</w:t>
            </w:r>
          </w:p>
          <w:p w:rsidR="00663DFF" w:rsidRPr="00D80B62" w:rsidRDefault="00663DFF" w:rsidP="00663DFF">
            <w:pPr>
              <w:jc w:val="center"/>
              <w:rPr>
                <w:rFonts w:eastAsia="Calibri"/>
                <w:sz w:val="10"/>
                <w:szCs w:val="10"/>
              </w:rPr>
            </w:pPr>
          </w:p>
          <w:p w:rsidR="00663DFF" w:rsidRPr="006A2360" w:rsidRDefault="00663DFF" w:rsidP="00663DFF">
            <w:pPr>
              <w:jc w:val="center"/>
              <w:rPr>
                <w:rFonts w:eastAsia="Calibri"/>
                <w:sz w:val="22"/>
                <w:szCs w:val="22"/>
              </w:rPr>
            </w:pPr>
            <w:r w:rsidRPr="006A2360">
              <w:rPr>
                <w:rFonts w:eastAsia="Calibri"/>
                <w:b/>
                <w:sz w:val="22"/>
                <w:szCs w:val="22"/>
              </w:rPr>
              <w:t>Anticipated Total Cost of Activity in FY 2016</w:t>
            </w:r>
            <w:r w:rsidRPr="006A2360">
              <w:rPr>
                <w:rFonts w:eastAsia="Calibri"/>
                <w:sz w:val="22"/>
                <w:szCs w:val="22"/>
              </w:rPr>
              <w:t>: $</w:t>
            </w:r>
            <w:r>
              <w:rPr>
                <w:rFonts w:eastAsia="Calibri"/>
                <w:sz w:val="22"/>
                <w:szCs w:val="22"/>
              </w:rPr>
              <w:t>418,237</w:t>
            </w:r>
            <w:r w:rsidRPr="006A2360">
              <w:rPr>
                <w:rFonts w:eastAsia="Calibri"/>
                <w:sz w:val="22"/>
                <w:szCs w:val="22"/>
              </w:rPr>
              <w:t>*</w:t>
            </w:r>
          </w:p>
          <w:p w:rsidR="00663DFF" w:rsidRPr="00D80B62" w:rsidRDefault="00663DFF" w:rsidP="00663DFF">
            <w:pPr>
              <w:jc w:val="center"/>
              <w:rPr>
                <w:rFonts w:eastAsia="Calibri"/>
                <w:sz w:val="10"/>
                <w:szCs w:val="10"/>
              </w:rPr>
            </w:pPr>
          </w:p>
          <w:p w:rsidR="00711CE4" w:rsidRPr="00663DFF" w:rsidRDefault="00663DFF" w:rsidP="00663DFF">
            <w:pPr>
              <w:jc w:val="center"/>
              <w:rPr>
                <w:rFonts w:eastAsia="Calibri"/>
                <w:sz w:val="22"/>
                <w:szCs w:val="22"/>
              </w:rPr>
            </w:pPr>
            <w:r w:rsidRPr="006A2360">
              <w:rPr>
                <w:rFonts w:eastAsia="Calibri"/>
                <w:sz w:val="22"/>
                <w:szCs w:val="22"/>
              </w:rPr>
              <w:t>*Accounts for cost savings from Biennial Recertifications and Rent Simplification.</w:t>
            </w:r>
          </w:p>
        </w:tc>
        <w:tc>
          <w:tcPr>
            <w:tcW w:w="1915" w:type="dxa"/>
            <w:vAlign w:val="center"/>
            <w:hideMark/>
          </w:tcPr>
          <w:p w:rsidR="00711CE4" w:rsidRPr="00973948" w:rsidRDefault="00711CE4" w:rsidP="00711CE4">
            <w:pPr>
              <w:rPr>
                <w:color w:val="000000"/>
                <w:sz w:val="22"/>
                <w:szCs w:val="22"/>
              </w:rPr>
            </w:pPr>
          </w:p>
        </w:tc>
        <w:tc>
          <w:tcPr>
            <w:tcW w:w="1916" w:type="dxa"/>
            <w:vAlign w:val="center"/>
            <w:hideMark/>
          </w:tcPr>
          <w:p w:rsidR="00711CE4" w:rsidRPr="00973948" w:rsidRDefault="00711CE4" w:rsidP="00711CE4">
            <w:pPr>
              <w:rPr>
                <w:color w:val="000000"/>
                <w:sz w:val="22"/>
                <w:szCs w:val="22"/>
              </w:rPr>
            </w:pPr>
          </w:p>
        </w:tc>
      </w:tr>
      <w:tr w:rsidR="00711CE4" w:rsidRPr="000522E3" w:rsidTr="00192656">
        <w:trPr>
          <w:trHeight w:val="332"/>
        </w:trPr>
        <w:tc>
          <w:tcPr>
            <w:tcW w:w="9576" w:type="dxa"/>
            <w:gridSpan w:val="5"/>
            <w:shd w:val="clear" w:color="auto" w:fill="C6D9F1" w:themeFill="text2" w:themeFillTint="33"/>
          </w:tcPr>
          <w:p w:rsidR="00711CE4" w:rsidRPr="00C51094" w:rsidRDefault="00711CE4" w:rsidP="00711CE4">
            <w:pPr>
              <w:jc w:val="center"/>
              <w:rPr>
                <w:color w:val="000000"/>
                <w:sz w:val="22"/>
                <w:szCs w:val="22"/>
              </w:rPr>
            </w:pPr>
            <w:r w:rsidRPr="00C51094">
              <w:rPr>
                <w:b/>
                <w:bCs/>
                <w:i/>
                <w:iCs/>
                <w:color w:val="000000"/>
                <w:sz w:val="22"/>
                <w:szCs w:val="22"/>
              </w:rPr>
              <w:t>CE #2: Staff Time Savings</w:t>
            </w:r>
          </w:p>
        </w:tc>
      </w:tr>
      <w:tr w:rsidR="00711CE4" w:rsidRPr="000522E3" w:rsidTr="00711CE4">
        <w:trPr>
          <w:trHeight w:val="449"/>
        </w:trPr>
        <w:tc>
          <w:tcPr>
            <w:tcW w:w="1915" w:type="dxa"/>
            <w:shd w:val="clear" w:color="auto" w:fill="DDDDDD"/>
          </w:tcPr>
          <w:p w:rsidR="00711CE4" w:rsidRDefault="00711CE4" w:rsidP="00711CE4">
            <w:pPr>
              <w:rPr>
                <w:b/>
                <w:bCs/>
                <w:color w:val="000000"/>
                <w:sz w:val="22"/>
                <w:szCs w:val="22"/>
              </w:rPr>
            </w:pPr>
            <w:r w:rsidRPr="00F46015">
              <w:rPr>
                <w:b/>
                <w:bCs/>
                <w:color w:val="000000"/>
                <w:sz w:val="22"/>
                <w:szCs w:val="22"/>
              </w:rPr>
              <w:t>Unit of Measurement</w:t>
            </w:r>
          </w:p>
        </w:tc>
        <w:tc>
          <w:tcPr>
            <w:tcW w:w="1915" w:type="dxa"/>
            <w:shd w:val="clear" w:color="auto" w:fill="DDDDDD"/>
          </w:tcPr>
          <w:p w:rsidR="00711CE4" w:rsidRDefault="00711CE4" w:rsidP="00711CE4">
            <w:pPr>
              <w:jc w:val="center"/>
              <w:rPr>
                <w:b/>
                <w:bCs/>
                <w:color w:val="000000"/>
                <w:sz w:val="22"/>
                <w:szCs w:val="22"/>
              </w:rPr>
            </w:pPr>
            <w:r w:rsidRPr="00F46015">
              <w:rPr>
                <w:b/>
                <w:bCs/>
                <w:color w:val="000000"/>
                <w:sz w:val="22"/>
                <w:szCs w:val="22"/>
              </w:rPr>
              <w:t>Baseline</w:t>
            </w:r>
          </w:p>
        </w:tc>
        <w:tc>
          <w:tcPr>
            <w:tcW w:w="1915" w:type="dxa"/>
            <w:shd w:val="clear" w:color="auto" w:fill="DDDDDD"/>
          </w:tcPr>
          <w:p w:rsidR="00711CE4" w:rsidRPr="00C51094" w:rsidRDefault="00711CE4" w:rsidP="00711CE4">
            <w:pPr>
              <w:jc w:val="center"/>
              <w:rPr>
                <w:b/>
                <w:bCs/>
                <w:color w:val="000000"/>
                <w:sz w:val="22"/>
                <w:szCs w:val="22"/>
              </w:rPr>
            </w:pPr>
            <w:r w:rsidRPr="00C51094">
              <w:rPr>
                <w:b/>
                <w:bCs/>
                <w:color w:val="000000"/>
                <w:sz w:val="22"/>
                <w:szCs w:val="22"/>
              </w:rPr>
              <w:t>Benchmark</w:t>
            </w:r>
          </w:p>
        </w:tc>
        <w:tc>
          <w:tcPr>
            <w:tcW w:w="1915" w:type="dxa"/>
            <w:shd w:val="clear" w:color="auto" w:fill="DDDDDD"/>
          </w:tcPr>
          <w:p w:rsidR="00711CE4" w:rsidRPr="00C51094" w:rsidRDefault="00711CE4" w:rsidP="00711CE4">
            <w:pPr>
              <w:jc w:val="center"/>
              <w:rPr>
                <w:b/>
                <w:bCs/>
                <w:color w:val="000000"/>
                <w:sz w:val="22"/>
                <w:szCs w:val="22"/>
              </w:rPr>
            </w:pPr>
            <w:r w:rsidRPr="00C51094">
              <w:rPr>
                <w:b/>
                <w:bCs/>
                <w:color w:val="000000"/>
                <w:sz w:val="22"/>
                <w:szCs w:val="22"/>
              </w:rPr>
              <w:t>Outcome</w:t>
            </w:r>
          </w:p>
        </w:tc>
        <w:tc>
          <w:tcPr>
            <w:tcW w:w="1916" w:type="dxa"/>
            <w:shd w:val="clear" w:color="auto" w:fill="DDDDDD"/>
          </w:tcPr>
          <w:p w:rsidR="00711CE4" w:rsidRDefault="00711CE4" w:rsidP="00711CE4">
            <w:pPr>
              <w:jc w:val="center"/>
              <w:rPr>
                <w:b/>
                <w:bCs/>
                <w:color w:val="000000"/>
                <w:sz w:val="22"/>
                <w:szCs w:val="22"/>
              </w:rPr>
            </w:pPr>
            <w:r w:rsidRPr="00E2658D">
              <w:rPr>
                <w:b/>
                <w:bCs/>
                <w:color w:val="000000"/>
                <w:sz w:val="22"/>
                <w:szCs w:val="22"/>
              </w:rPr>
              <w:t>Benchmark Achieved?</w:t>
            </w:r>
          </w:p>
        </w:tc>
      </w:tr>
      <w:tr w:rsidR="00711CE4" w:rsidRPr="000522E3" w:rsidTr="00711CE4">
        <w:trPr>
          <w:trHeight w:val="530"/>
        </w:trPr>
        <w:tc>
          <w:tcPr>
            <w:tcW w:w="1915" w:type="dxa"/>
          </w:tcPr>
          <w:p w:rsidR="00711CE4" w:rsidRPr="00F46015" w:rsidRDefault="00711CE4" w:rsidP="00711CE4">
            <w:pPr>
              <w:rPr>
                <w:color w:val="000000"/>
                <w:sz w:val="22"/>
                <w:szCs w:val="22"/>
              </w:rPr>
            </w:pPr>
            <w:r w:rsidRPr="00F46015">
              <w:rPr>
                <w:color w:val="000000"/>
                <w:sz w:val="22"/>
                <w:szCs w:val="22"/>
              </w:rPr>
              <w:t>Total amount of staff time dedicated to the task prior to implementation of the activity (in hours).</w:t>
            </w:r>
          </w:p>
        </w:tc>
        <w:tc>
          <w:tcPr>
            <w:tcW w:w="1915" w:type="dxa"/>
          </w:tcPr>
          <w:p w:rsidR="00711CE4" w:rsidRPr="00E51A1F" w:rsidRDefault="00711CE4" w:rsidP="00711CE4">
            <w:pPr>
              <w:jc w:val="center"/>
              <w:rPr>
                <w:rFonts w:eastAsia="Calibri"/>
                <w:sz w:val="22"/>
                <w:szCs w:val="22"/>
              </w:rPr>
            </w:pPr>
            <w:r w:rsidRPr="009E38DF">
              <w:rPr>
                <w:rFonts w:eastAsia="Calibri"/>
                <w:b/>
                <w:sz w:val="22"/>
                <w:szCs w:val="22"/>
              </w:rPr>
              <w:t>Number of vouchers:</w:t>
            </w:r>
            <w:r w:rsidRPr="00E51A1F">
              <w:rPr>
                <w:rFonts w:eastAsia="Calibri"/>
                <w:sz w:val="22"/>
                <w:szCs w:val="22"/>
              </w:rPr>
              <w:t xml:space="preserve"> 20,298</w:t>
            </w:r>
          </w:p>
          <w:p w:rsidR="00711CE4" w:rsidRPr="00E51A1F" w:rsidRDefault="00711CE4" w:rsidP="00711CE4">
            <w:pPr>
              <w:jc w:val="center"/>
              <w:rPr>
                <w:rFonts w:eastAsia="Calibri"/>
                <w:sz w:val="22"/>
                <w:szCs w:val="22"/>
              </w:rPr>
            </w:pPr>
          </w:p>
          <w:p w:rsidR="00711CE4" w:rsidRPr="00E51A1F" w:rsidRDefault="00711CE4" w:rsidP="00711CE4">
            <w:pPr>
              <w:jc w:val="center"/>
              <w:rPr>
                <w:rFonts w:eastAsia="Calibri"/>
                <w:sz w:val="22"/>
                <w:szCs w:val="22"/>
              </w:rPr>
            </w:pPr>
            <w:r w:rsidRPr="009E38DF">
              <w:rPr>
                <w:rFonts w:eastAsia="Calibri"/>
                <w:b/>
                <w:sz w:val="22"/>
                <w:szCs w:val="22"/>
              </w:rPr>
              <w:t>Time per Recertification:</w:t>
            </w:r>
            <w:r w:rsidRPr="00E51A1F">
              <w:rPr>
                <w:rFonts w:eastAsia="Calibri"/>
                <w:sz w:val="22"/>
                <w:szCs w:val="22"/>
              </w:rPr>
              <w:t xml:space="preserve"> 2.5 hours</w:t>
            </w:r>
          </w:p>
          <w:p w:rsidR="00711CE4" w:rsidRPr="00E51A1F" w:rsidRDefault="00711CE4" w:rsidP="00711CE4">
            <w:pPr>
              <w:jc w:val="center"/>
              <w:rPr>
                <w:rFonts w:eastAsia="Calibri"/>
                <w:sz w:val="22"/>
                <w:szCs w:val="22"/>
              </w:rPr>
            </w:pPr>
          </w:p>
          <w:p w:rsidR="00711CE4" w:rsidRPr="00E51A1F" w:rsidRDefault="00711CE4" w:rsidP="00711CE4">
            <w:pPr>
              <w:jc w:val="center"/>
              <w:rPr>
                <w:rFonts w:eastAsia="Calibri"/>
                <w:sz w:val="22"/>
                <w:szCs w:val="22"/>
              </w:rPr>
            </w:pPr>
            <w:r w:rsidRPr="009E38DF">
              <w:rPr>
                <w:rFonts w:eastAsia="Calibri"/>
                <w:b/>
                <w:sz w:val="22"/>
                <w:szCs w:val="22"/>
              </w:rPr>
              <w:t>Total Time Spent on Activity Prior to Implementation:</w:t>
            </w:r>
            <w:r w:rsidRPr="00E51A1F">
              <w:rPr>
                <w:rFonts w:eastAsia="Calibri"/>
                <w:sz w:val="22"/>
                <w:szCs w:val="22"/>
              </w:rPr>
              <w:t xml:space="preserve"> 50,745 hours</w:t>
            </w:r>
          </w:p>
          <w:p w:rsidR="00711CE4" w:rsidRPr="00E51A1F" w:rsidRDefault="00711CE4" w:rsidP="00711CE4">
            <w:pPr>
              <w:jc w:val="center"/>
              <w:rPr>
                <w:rFonts w:eastAsia="Calibri"/>
                <w:sz w:val="22"/>
                <w:szCs w:val="22"/>
              </w:rPr>
            </w:pPr>
          </w:p>
          <w:p w:rsidR="00711CE4" w:rsidRPr="00FA32AA" w:rsidRDefault="00711CE4" w:rsidP="00711CE4">
            <w:pPr>
              <w:jc w:val="center"/>
              <w:rPr>
                <w:rFonts w:eastAsia="Calibri"/>
                <w:sz w:val="22"/>
                <w:szCs w:val="22"/>
              </w:rPr>
            </w:pPr>
            <w:r w:rsidRPr="00973948">
              <w:rPr>
                <w:rFonts w:eastAsia="Calibri"/>
                <w:sz w:val="22"/>
                <w:szCs w:val="22"/>
              </w:rPr>
              <w:t>Baseline represents the metrics used when this activity was initially proposed</w:t>
            </w:r>
          </w:p>
        </w:tc>
        <w:tc>
          <w:tcPr>
            <w:tcW w:w="1915" w:type="dxa"/>
          </w:tcPr>
          <w:p w:rsidR="00663DFF" w:rsidRPr="00C51094" w:rsidRDefault="00663DFF" w:rsidP="00663DFF">
            <w:pPr>
              <w:jc w:val="center"/>
              <w:rPr>
                <w:rFonts w:eastAsia="Calibri"/>
                <w:sz w:val="22"/>
                <w:szCs w:val="22"/>
              </w:rPr>
            </w:pPr>
            <w:r w:rsidRPr="00C51094">
              <w:rPr>
                <w:rFonts w:eastAsia="Calibri"/>
                <w:b/>
                <w:sz w:val="22"/>
                <w:szCs w:val="22"/>
              </w:rPr>
              <w:t>Anticipated Number of Recertifications</w:t>
            </w:r>
            <w:r w:rsidRPr="00C51094">
              <w:rPr>
                <w:rFonts w:eastAsia="Calibri"/>
                <w:sz w:val="22"/>
                <w:szCs w:val="22"/>
              </w:rPr>
              <w:t>: 10,230</w:t>
            </w:r>
          </w:p>
          <w:p w:rsidR="00663DFF" w:rsidRPr="00D80B62" w:rsidRDefault="00663DFF" w:rsidP="00663DFF">
            <w:pPr>
              <w:jc w:val="center"/>
              <w:rPr>
                <w:rFonts w:eastAsia="Calibri"/>
                <w:sz w:val="10"/>
                <w:szCs w:val="10"/>
              </w:rPr>
            </w:pPr>
          </w:p>
          <w:p w:rsidR="00663DFF" w:rsidRPr="00C51094" w:rsidRDefault="00663DFF" w:rsidP="00663DFF">
            <w:pPr>
              <w:jc w:val="center"/>
              <w:rPr>
                <w:rFonts w:eastAsia="Calibri"/>
                <w:sz w:val="22"/>
                <w:szCs w:val="22"/>
              </w:rPr>
            </w:pPr>
            <w:r w:rsidRPr="00C51094">
              <w:rPr>
                <w:rFonts w:eastAsia="Calibri"/>
                <w:b/>
                <w:sz w:val="22"/>
                <w:szCs w:val="22"/>
              </w:rPr>
              <w:t>Time per Recertification</w:t>
            </w:r>
            <w:r w:rsidRPr="00C51094">
              <w:rPr>
                <w:rFonts w:eastAsia="Calibri"/>
                <w:sz w:val="22"/>
                <w:szCs w:val="22"/>
              </w:rPr>
              <w:t>: 2.25 hours</w:t>
            </w:r>
          </w:p>
          <w:p w:rsidR="00663DFF" w:rsidRPr="00D80B62" w:rsidRDefault="00663DFF" w:rsidP="00663DFF">
            <w:pPr>
              <w:jc w:val="center"/>
              <w:rPr>
                <w:rFonts w:eastAsia="Calibri"/>
                <w:sz w:val="10"/>
                <w:szCs w:val="10"/>
              </w:rPr>
            </w:pPr>
          </w:p>
          <w:p w:rsidR="00663DFF" w:rsidRPr="00C51094" w:rsidRDefault="00663DFF" w:rsidP="00663DFF">
            <w:pPr>
              <w:jc w:val="center"/>
              <w:rPr>
                <w:rFonts w:eastAsia="Calibri"/>
                <w:sz w:val="22"/>
                <w:szCs w:val="22"/>
              </w:rPr>
            </w:pPr>
            <w:r w:rsidRPr="00C51094">
              <w:rPr>
                <w:rFonts w:eastAsia="Calibri"/>
                <w:b/>
                <w:sz w:val="22"/>
                <w:szCs w:val="22"/>
              </w:rPr>
              <w:t>Anticipated Total Time Spent on Activity in FY 2016</w:t>
            </w:r>
            <w:r w:rsidRPr="00C51094">
              <w:rPr>
                <w:rFonts w:eastAsia="Calibri"/>
                <w:sz w:val="22"/>
                <w:szCs w:val="22"/>
              </w:rPr>
              <w:t>: 23,018 hours</w:t>
            </w:r>
          </w:p>
          <w:p w:rsidR="00663DFF" w:rsidRPr="00D80B62" w:rsidRDefault="00663DFF" w:rsidP="00663DFF">
            <w:pPr>
              <w:jc w:val="center"/>
              <w:rPr>
                <w:rFonts w:eastAsia="Calibri"/>
                <w:sz w:val="10"/>
                <w:szCs w:val="10"/>
              </w:rPr>
            </w:pPr>
          </w:p>
          <w:p w:rsidR="00711CE4" w:rsidRPr="00C51094" w:rsidRDefault="00663DFF" w:rsidP="00663DFF">
            <w:pPr>
              <w:jc w:val="center"/>
              <w:rPr>
                <w:rFonts w:eastAsia="Calibri"/>
                <w:sz w:val="22"/>
                <w:szCs w:val="22"/>
              </w:rPr>
            </w:pPr>
            <w:r w:rsidRPr="00C51094">
              <w:rPr>
                <w:rFonts w:eastAsia="Calibri"/>
                <w:sz w:val="22"/>
                <w:szCs w:val="22"/>
              </w:rPr>
              <w:t>*Accounts for time savings from Biennial Recertifications and Rent Simplification.</w:t>
            </w:r>
          </w:p>
        </w:tc>
        <w:tc>
          <w:tcPr>
            <w:tcW w:w="1915" w:type="dxa"/>
          </w:tcPr>
          <w:p w:rsidR="00711CE4" w:rsidRPr="00C51094" w:rsidRDefault="00711CE4" w:rsidP="00711CE4">
            <w:pPr>
              <w:rPr>
                <w:color w:val="000000"/>
                <w:sz w:val="22"/>
                <w:szCs w:val="22"/>
              </w:rPr>
            </w:pPr>
          </w:p>
        </w:tc>
        <w:tc>
          <w:tcPr>
            <w:tcW w:w="1916" w:type="dxa"/>
          </w:tcPr>
          <w:p w:rsidR="00711CE4" w:rsidRPr="00E2658D" w:rsidRDefault="00711CE4" w:rsidP="00711CE4">
            <w:pPr>
              <w:rPr>
                <w:color w:val="000000"/>
                <w:sz w:val="22"/>
                <w:szCs w:val="22"/>
              </w:rPr>
            </w:pPr>
          </w:p>
        </w:tc>
      </w:tr>
      <w:tr w:rsidR="00711CE4" w:rsidRPr="000522E3" w:rsidTr="009E38DF">
        <w:trPr>
          <w:trHeight w:val="350"/>
        </w:trPr>
        <w:tc>
          <w:tcPr>
            <w:tcW w:w="9576" w:type="dxa"/>
            <w:gridSpan w:val="5"/>
            <w:shd w:val="clear" w:color="auto" w:fill="C6D9F1" w:themeFill="text2" w:themeFillTint="33"/>
          </w:tcPr>
          <w:p w:rsidR="00711CE4" w:rsidRPr="00C51094" w:rsidRDefault="00711CE4" w:rsidP="00711CE4">
            <w:pPr>
              <w:jc w:val="center"/>
              <w:rPr>
                <w:color w:val="000000"/>
                <w:sz w:val="22"/>
                <w:szCs w:val="22"/>
              </w:rPr>
            </w:pPr>
            <w:r w:rsidRPr="00C51094">
              <w:rPr>
                <w:b/>
                <w:bCs/>
                <w:i/>
                <w:iCs/>
                <w:color w:val="000000"/>
                <w:sz w:val="22"/>
                <w:szCs w:val="22"/>
              </w:rPr>
              <w:t>CE #3: Decrease in Error Rate of Task Execution</w:t>
            </w:r>
          </w:p>
        </w:tc>
      </w:tr>
      <w:tr w:rsidR="00711CE4" w:rsidRPr="000522E3" w:rsidTr="00711CE4">
        <w:trPr>
          <w:trHeight w:val="530"/>
        </w:trPr>
        <w:tc>
          <w:tcPr>
            <w:tcW w:w="1915" w:type="dxa"/>
            <w:shd w:val="clear" w:color="auto" w:fill="DDDDDD"/>
          </w:tcPr>
          <w:p w:rsidR="00711CE4" w:rsidRDefault="00711CE4" w:rsidP="009E38DF">
            <w:pPr>
              <w:jc w:val="center"/>
              <w:rPr>
                <w:color w:val="000000"/>
                <w:sz w:val="22"/>
                <w:szCs w:val="22"/>
              </w:rPr>
            </w:pPr>
            <w:r w:rsidRPr="00F46015">
              <w:rPr>
                <w:b/>
                <w:bCs/>
                <w:color w:val="000000"/>
                <w:sz w:val="22"/>
                <w:szCs w:val="22"/>
              </w:rPr>
              <w:t>Unit of Measurement</w:t>
            </w:r>
          </w:p>
        </w:tc>
        <w:tc>
          <w:tcPr>
            <w:tcW w:w="1915" w:type="dxa"/>
            <w:shd w:val="clear" w:color="auto" w:fill="DDDDDD"/>
          </w:tcPr>
          <w:p w:rsidR="00711CE4" w:rsidRPr="00C51094" w:rsidRDefault="00711CE4" w:rsidP="00711CE4">
            <w:pPr>
              <w:jc w:val="center"/>
              <w:rPr>
                <w:rFonts w:eastAsia="Calibri"/>
                <w:b/>
                <w:sz w:val="22"/>
                <w:szCs w:val="22"/>
              </w:rPr>
            </w:pPr>
            <w:r w:rsidRPr="00C51094">
              <w:rPr>
                <w:b/>
                <w:bCs/>
                <w:color w:val="000000"/>
                <w:sz w:val="22"/>
                <w:szCs w:val="22"/>
              </w:rPr>
              <w:t>Baseline</w:t>
            </w:r>
          </w:p>
        </w:tc>
        <w:tc>
          <w:tcPr>
            <w:tcW w:w="1915" w:type="dxa"/>
            <w:shd w:val="clear" w:color="auto" w:fill="DDDDDD"/>
          </w:tcPr>
          <w:p w:rsidR="00711CE4" w:rsidRPr="00C51094" w:rsidRDefault="00711CE4" w:rsidP="00711CE4">
            <w:pPr>
              <w:jc w:val="center"/>
              <w:rPr>
                <w:rFonts w:eastAsia="Calibri"/>
                <w:b/>
                <w:sz w:val="22"/>
                <w:szCs w:val="22"/>
              </w:rPr>
            </w:pPr>
            <w:r w:rsidRPr="00C51094">
              <w:rPr>
                <w:b/>
                <w:bCs/>
                <w:color w:val="000000"/>
                <w:sz w:val="22"/>
                <w:szCs w:val="22"/>
              </w:rPr>
              <w:t>Benchmark</w:t>
            </w:r>
          </w:p>
        </w:tc>
        <w:tc>
          <w:tcPr>
            <w:tcW w:w="1915" w:type="dxa"/>
            <w:shd w:val="clear" w:color="auto" w:fill="DDDDDD"/>
          </w:tcPr>
          <w:p w:rsidR="00711CE4" w:rsidRDefault="00711CE4" w:rsidP="00711CE4">
            <w:pPr>
              <w:jc w:val="center"/>
              <w:rPr>
                <w:color w:val="000000"/>
                <w:sz w:val="22"/>
                <w:szCs w:val="22"/>
              </w:rPr>
            </w:pPr>
            <w:r w:rsidRPr="00E2658D">
              <w:rPr>
                <w:b/>
                <w:bCs/>
                <w:color w:val="000000"/>
                <w:sz w:val="22"/>
                <w:szCs w:val="22"/>
              </w:rPr>
              <w:t>Outcome</w:t>
            </w:r>
          </w:p>
        </w:tc>
        <w:tc>
          <w:tcPr>
            <w:tcW w:w="1916" w:type="dxa"/>
            <w:shd w:val="clear" w:color="auto" w:fill="DDDDDD"/>
          </w:tcPr>
          <w:p w:rsidR="00711CE4" w:rsidRDefault="00711CE4" w:rsidP="00711CE4">
            <w:pPr>
              <w:jc w:val="center"/>
              <w:rPr>
                <w:color w:val="000000"/>
                <w:sz w:val="22"/>
                <w:szCs w:val="22"/>
              </w:rPr>
            </w:pPr>
            <w:r w:rsidRPr="00E2658D">
              <w:rPr>
                <w:b/>
                <w:bCs/>
                <w:color w:val="000000"/>
                <w:sz w:val="22"/>
                <w:szCs w:val="22"/>
              </w:rPr>
              <w:t>Benchmark Achieved?</w:t>
            </w:r>
          </w:p>
        </w:tc>
      </w:tr>
      <w:tr w:rsidR="00711CE4" w:rsidRPr="000522E3" w:rsidTr="00711CE4">
        <w:trPr>
          <w:trHeight w:val="530"/>
        </w:trPr>
        <w:tc>
          <w:tcPr>
            <w:tcW w:w="1915" w:type="dxa"/>
          </w:tcPr>
          <w:p w:rsidR="00711CE4" w:rsidRPr="00973948" w:rsidRDefault="00711CE4" w:rsidP="00711CE4">
            <w:pPr>
              <w:rPr>
                <w:color w:val="000000"/>
                <w:sz w:val="22"/>
                <w:szCs w:val="22"/>
              </w:rPr>
            </w:pPr>
            <w:r w:rsidRPr="00E51A1F">
              <w:rPr>
                <w:color w:val="000000"/>
                <w:sz w:val="22"/>
                <w:szCs w:val="22"/>
              </w:rPr>
              <w:t>Average error rate in completing a task as a percentage (decrease)</w:t>
            </w:r>
          </w:p>
        </w:tc>
        <w:tc>
          <w:tcPr>
            <w:tcW w:w="1915" w:type="dxa"/>
          </w:tcPr>
          <w:p w:rsidR="00711CE4" w:rsidRPr="00C51094" w:rsidRDefault="00711CE4" w:rsidP="00711CE4">
            <w:pPr>
              <w:jc w:val="center"/>
              <w:rPr>
                <w:rFonts w:eastAsia="Calibri"/>
                <w:sz w:val="22"/>
                <w:szCs w:val="22"/>
              </w:rPr>
            </w:pPr>
            <w:r w:rsidRPr="00C51094">
              <w:rPr>
                <w:rFonts w:eastAsia="Calibri"/>
                <w:sz w:val="22"/>
                <w:szCs w:val="22"/>
              </w:rPr>
              <w:t>21%</w:t>
            </w:r>
          </w:p>
          <w:p w:rsidR="00711CE4" w:rsidRPr="00C51094" w:rsidRDefault="00711CE4" w:rsidP="00711CE4">
            <w:pPr>
              <w:jc w:val="center"/>
              <w:rPr>
                <w:rFonts w:eastAsia="Calibri"/>
                <w:sz w:val="22"/>
                <w:szCs w:val="22"/>
              </w:rPr>
            </w:pPr>
            <w:r w:rsidRPr="00C51094">
              <w:rPr>
                <w:rFonts w:eastAsia="Calibri"/>
                <w:sz w:val="22"/>
                <w:szCs w:val="22"/>
              </w:rPr>
              <w:t>Average error rate for income and rent errors</w:t>
            </w:r>
          </w:p>
          <w:p w:rsidR="00711CE4" w:rsidRPr="00C51094" w:rsidRDefault="00711CE4" w:rsidP="00711CE4">
            <w:pPr>
              <w:jc w:val="center"/>
              <w:rPr>
                <w:rFonts w:eastAsia="Calibri"/>
                <w:sz w:val="22"/>
                <w:szCs w:val="22"/>
              </w:rPr>
            </w:pPr>
          </w:p>
        </w:tc>
        <w:tc>
          <w:tcPr>
            <w:tcW w:w="1915" w:type="dxa"/>
          </w:tcPr>
          <w:p w:rsidR="00711CE4" w:rsidRPr="00C51094" w:rsidRDefault="00663DFF" w:rsidP="00711CE4">
            <w:pPr>
              <w:jc w:val="center"/>
              <w:rPr>
                <w:rFonts w:eastAsia="Calibri"/>
                <w:sz w:val="22"/>
                <w:szCs w:val="22"/>
              </w:rPr>
            </w:pPr>
            <w:r w:rsidRPr="00C51094">
              <w:rPr>
                <w:rFonts w:eastAsia="Calibri"/>
                <w:sz w:val="22"/>
                <w:szCs w:val="22"/>
              </w:rPr>
              <w:t>19</w:t>
            </w:r>
            <w:r w:rsidR="00711CE4" w:rsidRPr="00C51094">
              <w:rPr>
                <w:rFonts w:eastAsia="Calibri"/>
                <w:sz w:val="22"/>
                <w:szCs w:val="22"/>
              </w:rPr>
              <w:t>%</w:t>
            </w:r>
          </w:p>
        </w:tc>
        <w:tc>
          <w:tcPr>
            <w:tcW w:w="1915" w:type="dxa"/>
          </w:tcPr>
          <w:p w:rsidR="00711CE4" w:rsidRPr="00E51A1F" w:rsidRDefault="00711CE4" w:rsidP="00711CE4">
            <w:pPr>
              <w:rPr>
                <w:color w:val="000000"/>
                <w:sz w:val="22"/>
                <w:szCs w:val="22"/>
              </w:rPr>
            </w:pPr>
          </w:p>
        </w:tc>
        <w:tc>
          <w:tcPr>
            <w:tcW w:w="1916" w:type="dxa"/>
          </w:tcPr>
          <w:p w:rsidR="00711CE4" w:rsidRDefault="00711CE4" w:rsidP="00711CE4">
            <w:pPr>
              <w:jc w:val="center"/>
              <w:rPr>
                <w:color w:val="000000"/>
                <w:sz w:val="22"/>
                <w:szCs w:val="22"/>
              </w:rPr>
            </w:pPr>
          </w:p>
        </w:tc>
      </w:tr>
      <w:tr w:rsidR="00711CE4" w:rsidRPr="000522E3" w:rsidTr="009E38DF">
        <w:trPr>
          <w:trHeight w:val="332"/>
        </w:trPr>
        <w:tc>
          <w:tcPr>
            <w:tcW w:w="9576" w:type="dxa"/>
            <w:gridSpan w:val="5"/>
            <w:shd w:val="clear" w:color="auto" w:fill="C6D9F1" w:themeFill="text2" w:themeFillTint="33"/>
          </w:tcPr>
          <w:p w:rsidR="00711CE4" w:rsidRPr="00AE0E14" w:rsidRDefault="00711CE4" w:rsidP="00711CE4">
            <w:pPr>
              <w:jc w:val="center"/>
              <w:rPr>
                <w:color w:val="000000"/>
                <w:sz w:val="22"/>
                <w:szCs w:val="22"/>
              </w:rPr>
            </w:pPr>
            <w:r w:rsidRPr="00AE0E14">
              <w:rPr>
                <w:b/>
                <w:bCs/>
                <w:i/>
                <w:iCs/>
                <w:color w:val="000000"/>
                <w:sz w:val="22"/>
                <w:szCs w:val="22"/>
              </w:rPr>
              <w:t>CE #5: Increase  in Agency Rental Revenue</w:t>
            </w:r>
            <w:r w:rsidR="009E2147" w:rsidRPr="00AE0E14">
              <w:rPr>
                <w:b/>
                <w:bCs/>
                <w:i/>
                <w:iCs/>
                <w:color w:val="000000"/>
                <w:sz w:val="22"/>
                <w:szCs w:val="22"/>
              </w:rPr>
              <w:t>*</w:t>
            </w:r>
          </w:p>
        </w:tc>
      </w:tr>
      <w:tr w:rsidR="00711CE4" w:rsidRPr="000522E3" w:rsidTr="00711CE4">
        <w:trPr>
          <w:trHeight w:val="530"/>
        </w:trPr>
        <w:tc>
          <w:tcPr>
            <w:tcW w:w="1915" w:type="dxa"/>
            <w:shd w:val="clear" w:color="auto" w:fill="DDDDDD"/>
          </w:tcPr>
          <w:p w:rsidR="00711CE4" w:rsidRDefault="00711CE4" w:rsidP="00711CE4">
            <w:pPr>
              <w:rPr>
                <w:color w:val="000000"/>
                <w:sz w:val="22"/>
                <w:szCs w:val="22"/>
              </w:rPr>
            </w:pPr>
            <w:r w:rsidRPr="00F46015">
              <w:rPr>
                <w:b/>
                <w:bCs/>
                <w:color w:val="000000"/>
                <w:sz w:val="22"/>
                <w:szCs w:val="22"/>
              </w:rPr>
              <w:t>Unit of Measurement</w:t>
            </w:r>
          </w:p>
        </w:tc>
        <w:tc>
          <w:tcPr>
            <w:tcW w:w="1915" w:type="dxa"/>
            <w:shd w:val="clear" w:color="auto" w:fill="DDDDDD"/>
          </w:tcPr>
          <w:p w:rsidR="00711CE4" w:rsidRPr="00AE0E14" w:rsidRDefault="00711CE4" w:rsidP="00711CE4">
            <w:pPr>
              <w:jc w:val="center"/>
              <w:rPr>
                <w:rFonts w:eastAsia="Calibri"/>
                <w:sz w:val="22"/>
                <w:szCs w:val="22"/>
              </w:rPr>
            </w:pPr>
            <w:r w:rsidRPr="00AE0E14">
              <w:rPr>
                <w:b/>
                <w:bCs/>
                <w:color w:val="000000"/>
                <w:sz w:val="22"/>
                <w:szCs w:val="22"/>
              </w:rPr>
              <w:t>Baseline</w:t>
            </w:r>
          </w:p>
        </w:tc>
        <w:tc>
          <w:tcPr>
            <w:tcW w:w="1915" w:type="dxa"/>
            <w:shd w:val="clear" w:color="auto" w:fill="DDDDDD"/>
          </w:tcPr>
          <w:p w:rsidR="00711CE4" w:rsidRPr="00AE0E14" w:rsidRDefault="00711CE4" w:rsidP="00711CE4">
            <w:pPr>
              <w:jc w:val="center"/>
              <w:rPr>
                <w:rFonts w:eastAsia="Calibri"/>
                <w:sz w:val="22"/>
                <w:szCs w:val="22"/>
              </w:rPr>
            </w:pPr>
            <w:r w:rsidRPr="00AE0E14">
              <w:rPr>
                <w:b/>
                <w:bCs/>
                <w:color w:val="000000"/>
                <w:sz w:val="22"/>
                <w:szCs w:val="22"/>
              </w:rPr>
              <w:t>Benchmark</w:t>
            </w:r>
          </w:p>
        </w:tc>
        <w:tc>
          <w:tcPr>
            <w:tcW w:w="1915" w:type="dxa"/>
            <w:shd w:val="clear" w:color="auto" w:fill="DDDDDD"/>
          </w:tcPr>
          <w:p w:rsidR="00711CE4" w:rsidRPr="00E2658D" w:rsidRDefault="00711CE4" w:rsidP="00711CE4">
            <w:pPr>
              <w:jc w:val="center"/>
              <w:rPr>
                <w:color w:val="000000"/>
                <w:sz w:val="22"/>
                <w:szCs w:val="22"/>
              </w:rPr>
            </w:pPr>
            <w:r w:rsidRPr="00E2658D">
              <w:rPr>
                <w:b/>
                <w:bCs/>
                <w:color w:val="000000"/>
                <w:sz w:val="22"/>
                <w:szCs w:val="22"/>
              </w:rPr>
              <w:t>Outcome</w:t>
            </w:r>
          </w:p>
        </w:tc>
        <w:tc>
          <w:tcPr>
            <w:tcW w:w="1916" w:type="dxa"/>
            <w:shd w:val="clear" w:color="auto" w:fill="DDDDDD"/>
          </w:tcPr>
          <w:p w:rsidR="00711CE4" w:rsidRPr="00E2658D" w:rsidRDefault="00711CE4" w:rsidP="00711CE4">
            <w:pPr>
              <w:jc w:val="center"/>
              <w:rPr>
                <w:color w:val="000000"/>
                <w:sz w:val="22"/>
                <w:szCs w:val="22"/>
              </w:rPr>
            </w:pPr>
            <w:r w:rsidRPr="00E2658D">
              <w:rPr>
                <w:b/>
                <w:bCs/>
                <w:color w:val="000000"/>
                <w:sz w:val="22"/>
                <w:szCs w:val="22"/>
              </w:rPr>
              <w:t>Benchmark Achieved?</w:t>
            </w:r>
          </w:p>
        </w:tc>
      </w:tr>
      <w:tr w:rsidR="00711CE4" w:rsidRPr="000522E3" w:rsidTr="00711CE4">
        <w:trPr>
          <w:trHeight w:val="530"/>
        </w:trPr>
        <w:tc>
          <w:tcPr>
            <w:tcW w:w="1915" w:type="dxa"/>
          </w:tcPr>
          <w:p w:rsidR="00711CE4" w:rsidRPr="00F46015" w:rsidRDefault="00711CE4" w:rsidP="00711CE4">
            <w:pPr>
              <w:rPr>
                <w:color w:val="000000"/>
                <w:sz w:val="22"/>
                <w:szCs w:val="22"/>
              </w:rPr>
            </w:pPr>
            <w:r>
              <w:rPr>
                <w:color w:val="000000"/>
                <w:sz w:val="22"/>
                <w:szCs w:val="22"/>
              </w:rPr>
              <w:t>Increase in agency rental revenue in dollars (increase)</w:t>
            </w:r>
          </w:p>
        </w:tc>
        <w:tc>
          <w:tcPr>
            <w:tcW w:w="1915" w:type="dxa"/>
          </w:tcPr>
          <w:p w:rsidR="00711CE4" w:rsidRPr="00AE0E14" w:rsidRDefault="00711CE4" w:rsidP="00711CE4">
            <w:pPr>
              <w:jc w:val="center"/>
              <w:rPr>
                <w:rFonts w:eastAsia="Calibri"/>
                <w:sz w:val="22"/>
                <w:szCs w:val="22"/>
              </w:rPr>
            </w:pPr>
            <w:r w:rsidRPr="00AE0E14">
              <w:rPr>
                <w:rFonts w:eastAsia="Calibri"/>
                <w:sz w:val="22"/>
                <w:szCs w:val="22"/>
              </w:rPr>
              <w:t>$382</w:t>
            </w:r>
          </w:p>
          <w:p w:rsidR="00711CE4" w:rsidRPr="00AE0E14" w:rsidRDefault="00711CE4" w:rsidP="00711CE4">
            <w:pPr>
              <w:jc w:val="center"/>
              <w:rPr>
                <w:rFonts w:eastAsia="Calibri"/>
                <w:sz w:val="22"/>
                <w:szCs w:val="22"/>
              </w:rPr>
            </w:pPr>
          </w:p>
          <w:p w:rsidR="00711CE4" w:rsidRPr="00AE0E14" w:rsidRDefault="00711CE4" w:rsidP="00711CE4">
            <w:pPr>
              <w:jc w:val="center"/>
              <w:rPr>
                <w:rFonts w:eastAsia="Calibri"/>
                <w:sz w:val="22"/>
                <w:szCs w:val="22"/>
              </w:rPr>
            </w:pPr>
          </w:p>
        </w:tc>
        <w:tc>
          <w:tcPr>
            <w:tcW w:w="1915" w:type="dxa"/>
          </w:tcPr>
          <w:p w:rsidR="00711CE4" w:rsidRPr="00AE0E14" w:rsidRDefault="00AE0E14" w:rsidP="00711CE4">
            <w:pPr>
              <w:jc w:val="center"/>
              <w:rPr>
                <w:rFonts w:eastAsia="Calibri"/>
                <w:sz w:val="22"/>
                <w:szCs w:val="22"/>
              </w:rPr>
            </w:pPr>
            <w:r w:rsidRPr="00AE0E14">
              <w:rPr>
                <w:rFonts w:eastAsia="Calibri"/>
                <w:sz w:val="22"/>
                <w:szCs w:val="22"/>
              </w:rPr>
              <w:t>$331</w:t>
            </w:r>
          </w:p>
          <w:p w:rsidR="00711CE4" w:rsidRPr="00AE0E14" w:rsidRDefault="00711CE4" w:rsidP="00711CE4">
            <w:pPr>
              <w:jc w:val="center"/>
              <w:rPr>
                <w:rFonts w:eastAsia="Calibri"/>
                <w:sz w:val="22"/>
                <w:szCs w:val="22"/>
              </w:rPr>
            </w:pPr>
          </w:p>
          <w:p w:rsidR="00711CE4" w:rsidRPr="00AE0E14" w:rsidRDefault="00711CE4" w:rsidP="00711CE4">
            <w:pPr>
              <w:jc w:val="center"/>
              <w:rPr>
                <w:rFonts w:eastAsia="Calibri"/>
                <w:b/>
                <w:sz w:val="22"/>
                <w:szCs w:val="22"/>
              </w:rPr>
            </w:pPr>
            <w:r w:rsidRPr="00AE0E14">
              <w:rPr>
                <w:rFonts w:eastAsia="Calibri"/>
                <w:bCs/>
                <w:iCs/>
                <w:sz w:val="22"/>
                <w:szCs w:val="22"/>
              </w:rPr>
              <w:t>DHCD does not have any rental revenue and has been instructed by HUD to report on average tenant rent to owner.</w:t>
            </w:r>
          </w:p>
        </w:tc>
        <w:tc>
          <w:tcPr>
            <w:tcW w:w="1915" w:type="dxa"/>
          </w:tcPr>
          <w:p w:rsidR="00711CE4" w:rsidRPr="00E2658D" w:rsidRDefault="00711CE4" w:rsidP="00711CE4">
            <w:pPr>
              <w:rPr>
                <w:color w:val="000000"/>
                <w:sz w:val="22"/>
                <w:szCs w:val="22"/>
              </w:rPr>
            </w:pPr>
          </w:p>
        </w:tc>
        <w:tc>
          <w:tcPr>
            <w:tcW w:w="1916" w:type="dxa"/>
          </w:tcPr>
          <w:p w:rsidR="00711CE4" w:rsidRPr="00E2658D" w:rsidRDefault="00711CE4" w:rsidP="00711CE4">
            <w:pPr>
              <w:rPr>
                <w:color w:val="000000"/>
                <w:sz w:val="22"/>
                <w:szCs w:val="22"/>
              </w:rPr>
            </w:pPr>
          </w:p>
        </w:tc>
      </w:tr>
      <w:tr w:rsidR="00711CE4" w:rsidRPr="000522E3" w:rsidTr="00711CE4">
        <w:trPr>
          <w:trHeight w:val="530"/>
        </w:trPr>
        <w:tc>
          <w:tcPr>
            <w:tcW w:w="9576" w:type="dxa"/>
            <w:gridSpan w:val="5"/>
          </w:tcPr>
          <w:p w:rsidR="00711CE4" w:rsidRPr="00AE0E14" w:rsidRDefault="004053E2" w:rsidP="00711CE4">
            <w:pPr>
              <w:rPr>
                <w:color w:val="000000"/>
                <w:sz w:val="22"/>
                <w:szCs w:val="22"/>
              </w:rPr>
            </w:pPr>
            <w:r>
              <w:rPr>
                <w:rFonts w:eastAsia="Calibri"/>
                <w:bCs/>
                <w:i/>
                <w:iCs/>
                <w:sz w:val="18"/>
                <w:szCs w:val="22"/>
              </w:rPr>
              <w:t>*</w:t>
            </w:r>
            <w:r w:rsidR="00711CE4" w:rsidRPr="00AE0E14">
              <w:rPr>
                <w:rFonts w:eastAsia="Calibri"/>
                <w:bCs/>
                <w:i/>
                <w:iCs/>
                <w:sz w:val="18"/>
                <w:szCs w:val="22"/>
              </w:rPr>
              <w:t>This benchmark reflects the average tenant rent to owner upon implementation of rent simplification. This benchmark does not reflect the addition of the other electricity utility allowance.</w:t>
            </w:r>
          </w:p>
        </w:tc>
      </w:tr>
      <w:tr w:rsidR="00711CE4" w:rsidRPr="000522E3" w:rsidTr="009E38DF">
        <w:trPr>
          <w:trHeight w:val="350"/>
        </w:trPr>
        <w:tc>
          <w:tcPr>
            <w:tcW w:w="9576" w:type="dxa"/>
            <w:gridSpan w:val="5"/>
            <w:shd w:val="clear" w:color="auto" w:fill="C6D9F1" w:themeFill="text2" w:themeFillTint="33"/>
          </w:tcPr>
          <w:p w:rsidR="00711CE4" w:rsidRPr="00C51094" w:rsidRDefault="00711CE4" w:rsidP="00711CE4">
            <w:pPr>
              <w:jc w:val="center"/>
              <w:rPr>
                <w:color w:val="000000"/>
                <w:sz w:val="22"/>
                <w:szCs w:val="22"/>
              </w:rPr>
            </w:pPr>
            <w:r w:rsidRPr="00C51094">
              <w:rPr>
                <w:b/>
                <w:bCs/>
                <w:i/>
                <w:iCs/>
                <w:sz w:val="22"/>
                <w:szCs w:val="22"/>
              </w:rPr>
              <w:t>HC #5: Increase in Resident Mobility</w:t>
            </w:r>
          </w:p>
        </w:tc>
      </w:tr>
      <w:tr w:rsidR="00711CE4" w:rsidRPr="000522E3" w:rsidTr="00711CE4">
        <w:trPr>
          <w:trHeight w:val="539"/>
        </w:trPr>
        <w:tc>
          <w:tcPr>
            <w:tcW w:w="1915" w:type="dxa"/>
            <w:shd w:val="clear" w:color="auto" w:fill="DDDDDD"/>
            <w:vAlign w:val="center"/>
          </w:tcPr>
          <w:p w:rsidR="00711CE4" w:rsidRPr="00B13BCD" w:rsidRDefault="00711CE4" w:rsidP="00711CE4">
            <w:pPr>
              <w:rPr>
                <w:b/>
                <w:bCs/>
                <w:i/>
                <w:iCs/>
                <w:sz w:val="22"/>
                <w:szCs w:val="22"/>
              </w:rPr>
            </w:pPr>
            <w:r w:rsidRPr="00B13BCD">
              <w:rPr>
                <w:rFonts w:eastAsia="Calibri"/>
                <w:b/>
                <w:bCs/>
                <w:sz w:val="22"/>
                <w:szCs w:val="22"/>
              </w:rPr>
              <w:t>Unit of Measurement</w:t>
            </w:r>
          </w:p>
        </w:tc>
        <w:tc>
          <w:tcPr>
            <w:tcW w:w="1915" w:type="dxa"/>
            <w:shd w:val="clear" w:color="auto" w:fill="DDDDDD"/>
            <w:vAlign w:val="center"/>
          </w:tcPr>
          <w:p w:rsidR="00711CE4" w:rsidRPr="00C51094" w:rsidRDefault="00711CE4" w:rsidP="00711CE4">
            <w:pPr>
              <w:jc w:val="center"/>
              <w:rPr>
                <w:rFonts w:eastAsia="Calibri"/>
                <w:sz w:val="22"/>
                <w:szCs w:val="22"/>
              </w:rPr>
            </w:pPr>
            <w:r w:rsidRPr="00C51094">
              <w:rPr>
                <w:rFonts w:eastAsia="Calibri"/>
                <w:b/>
                <w:bCs/>
                <w:sz w:val="22"/>
                <w:szCs w:val="22"/>
              </w:rPr>
              <w:t>Baseline</w:t>
            </w:r>
          </w:p>
        </w:tc>
        <w:tc>
          <w:tcPr>
            <w:tcW w:w="1915" w:type="dxa"/>
            <w:shd w:val="clear" w:color="auto" w:fill="DDDDDD"/>
            <w:vAlign w:val="center"/>
          </w:tcPr>
          <w:p w:rsidR="00711CE4" w:rsidRPr="00C51094" w:rsidRDefault="00711CE4" w:rsidP="00711CE4">
            <w:pPr>
              <w:jc w:val="center"/>
              <w:rPr>
                <w:rFonts w:eastAsia="Calibri"/>
                <w:sz w:val="22"/>
                <w:szCs w:val="22"/>
              </w:rPr>
            </w:pPr>
            <w:r w:rsidRPr="00C51094">
              <w:rPr>
                <w:rFonts w:eastAsia="Calibri"/>
                <w:b/>
                <w:bCs/>
                <w:sz w:val="22"/>
                <w:szCs w:val="22"/>
              </w:rPr>
              <w:t>Benchmark</w:t>
            </w:r>
          </w:p>
        </w:tc>
        <w:tc>
          <w:tcPr>
            <w:tcW w:w="1915" w:type="dxa"/>
            <w:shd w:val="clear" w:color="auto" w:fill="DDDDDD"/>
            <w:vAlign w:val="center"/>
          </w:tcPr>
          <w:p w:rsidR="00711CE4" w:rsidRPr="00B13BCD" w:rsidRDefault="00711CE4" w:rsidP="00711CE4">
            <w:pPr>
              <w:jc w:val="center"/>
              <w:rPr>
                <w:color w:val="000000"/>
                <w:sz w:val="22"/>
                <w:szCs w:val="22"/>
              </w:rPr>
            </w:pPr>
            <w:r w:rsidRPr="00B13BCD">
              <w:rPr>
                <w:rFonts w:eastAsia="Calibri"/>
                <w:b/>
                <w:bCs/>
                <w:sz w:val="22"/>
                <w:szCs w:val="22"/>
              </w:rPr>
              <w:t>Outcome</w:t>
            </w:r>
          </w:p>
        </w:tc>
        <w:tc>
          <w:tcPr>
            <w:tcW w:w="1916" w:type="dxa"/>
            <w:shd w:val="clear" w:color="auto" w:fill="DDDDDD"/>
            <w:vAlign w:val="center"/>
          </w:tcPr>
          <w:p w:rsidR="00711CE4" w:rsidRPr="00B13BCD" w:rsidRDefault="00711CE4" w:rsidP="00711CE4">
            <w:pPr>
              <w:jc w:val="center"/>
              <w:rPr>
                <w:color w:val="000000"/>
                <w:sz w:val="22"/>
                <w:szCs w:val="22"/>
              </w:rPr>
            </w:pPr>
            <w:r w:rsidRPr="00B13BCD">
              <w:rPr>
                <w:rFonts w:eastAsia="Calibri"/>
                <w:b/>
                <w:bCs/>
                <w:sz w:val="22"/>
                <w:szCs w:val="22"/>
              </w:rPr>
              <w:t>Benchmark Achieved?</w:t>
            </w:r>
          </w:p>
        </w:tc>
      </w:tr>
      <w:tr w:rsidR="00711CE4" w:rsidRPr="000522E3" w:rsidTr="00711CE4">
        <w:trPr>
          <w:trHeight w:val="530"/>
        </w:trPr>
        <w:tc>
          <w:tcPr>
            <w:tcW w:w="1915" w:type="dxa"/>
          </w:tcPr>
          <w:p w:rsidR="00711CE4" w:rsidRPr="00B13BCD" w:rsidRDefault="00711CE4" w:rsidP="00711CE4">
            <w:pPr>
              <w:rPr>
                <w:rFonts w:eastAsia="Calibri"/>
                <w:b/>
                <w:bCs/>
                <w:sz w:val="22"/>
                <w:szCs w:val="22"/>
              </w:rPr>
            </w:pPr>
            <w:r w:rsidRPr="00B13BCD">
              <w:rPr>
                <w:sz w:val="22"/>
                <w:szCs w:val="22"/>
              </w:rPr>
              <w:t>Number of households able to move to a better unit and/or neighborhood of opportunity as a result of the activity (increase).</w:t>
            </w:r>
          </w:p>
        </w:tc>
        <w:tc>
          <w:tcPr>
            <w:tcW w:w="1915" w:type="dxa"/>
          </w:tcPr>
          <w:p w:rsidR="00711CE4" w:rsidRPr="00C51094" w:rsidRDefault="00711CE4" w:rsidP="00711CE4">
            <w:pPr>
              <w:jc w:val="center"/>
              <w:rPr>
                <w:rFonts w:eastAsia="Calibri"/>
                <w:bCs/>
                <w:sz w:val="22"/>
                <w:szCs w:val="22"/>
              </w:rPr>
            </w:pPr>
            <w:r w:rsidRPr="00C51094">
              <w:rPr>
                <w:rFonts w:eastAsia="Calibri"/>
                <w:bCs/>
                <w:sz w:val="22"/>
                <w:szCs w:val="22"/>
              </w:rPr>
              <w:t>0</w:t>
            </w:r>
          </w:p>
        </w:tc>
        <w:tc>
          <w:tcPr>
            <w:tcW w:w="1915" w:type="dxa"/>
          </w:tcPr>
          <w:p w:rsidR="00711CE4" w:rsidRPr="00C51094" w:rsidRDefault="00711CE4" w:rsidP="00711CE4">
            <w:pPr>
              <w:jc w:val="center"/>
              <w:rPr>
                <w:rFonts w:eastAsia="Calibri"/>
                <w:bCs/>
                <w:iCs/>
                <w:sz w:val="22"/>
                <w:szCs w:val="22"/>
              </w:rPr>
            </w:pPr>
            <w:r w:rsidRPr="00C51094">
              <w:rPr>
                <w:rFonts w:eastAsia="Calibri"/>
                <w:bCs/>
                <w:iCs/>
                <w:sz w:val="22"/>
                <w:szCs w:val="22"/>
              </w:rPr>
              <w:t>50</w:t>
            </w:r>
          </w:p>
          <w:p w:rsidR="00711CE4" w:rsidRPr="00C51094" w:rsidRDefault="00711CE4" w:rsidP="00711CE4">
            <w:pPr>
              <w:jc w:val="center"/>
              <w:rPr>
                <w:rFonts w:eastAsia="Calibri"/>
                <w:bCs/>
                <w:iCs/>
                <w:sz w:val="22"/>
                <w:szCs w:val="22"/>
              </w:rPr>
            </w:pPr>
          </w:p>
          <w:p w:rsidR="00711CE4" w:rsidRPr="00C51094" w:rsidRDefault="00711CE4" w:rsidP="00711CE4">
            <w:pPr>
              <w:jc w:val="center"/>
              <w:rPr>
                <w:rFonts w:eastAsia="Calibri"/>
                <w:bCs/>
                <w:iCs/>
                <w:sz w:val="22"/>
                <w:szCs w:val="22"/>
              </w:rPr>
            </w:pPr>
            <w:r w:rsidRPr="00C51094" w:rsidDel="000C59CD">
              <w:rPr>
                <w:rFonts w:eastAsia="Calibri"/>
                <w:bCs/>
                <w:iCs/>
                <w:sz w:val="22"/>
                <w:szCs w:val="22"/>
              </w:rPr>
              <w:t xml:space="preserve"> </w:t>
            </w:r>
          </w:p>
          <w:p w:rsidR="00711CE4" w:rsidRPr="00C51094" w:rsidRDefault="00711CE4" w:rsidP="00711CE4">
            <w:pPr>
              <w:jc w:val="center"/>
              <w:rPr>
                <w:rFonts w:eastAsia="Calibri"/>
                <w:bCs/>
                <w:iCs/>
                <w:sz w:val="22"/>
                <w:szCs w:val="22"/>
              </w:rPr>
            </w:pPr>
          </w:p>
          <w:p w:rsidR="00711CE4" w:rsidRPr="00C51094" w:rsidRDefault="00711CE4" w:rsidP="00711CE4">
            <w:pPr>
              <w:jc w:val="center"/>
              <w:rPr>
                <w:rFonts w:eastAsia="Calibri"/>
                <w:bCs/>
                <w:iCs/>
                <w:sz w:val="22"/>
                <w:szCs w:val="22"/>
              </w:rPr>
            </w:pPr>
          </w:p>
          <w:p w:rsidR="00711CE4" w:rsidRPr="00C51094" w:rsidRDefault="00711CE4" w:rsidP="00711CE4">
            <w:pPr>
              <w:rPr>
                <w:rFonts w:eastAsia="Calibri"/>
                <w:b/>
                <w:bCs/>
                <w:sz w:val="22"/>
                <w:szCs w:val="22"/>
              </w:rPr>
            </w:pPr>
          </w:p>
        </w:tc>
        <w:tc>
          <w:tcPr>
            <w:tcW w:w="1915" w:type="dxa"/>
          </w:tcPr>
          <w:p w:rsidR="00711CE4" w:rsidRPr="00AC4E84" w:rsidRDefault="00711CE4" w:rsidP="00711CE4">
            <w:pPr>
              <w:rPr>
                <w:rFonts w:eastAsia="Calibri"/>
                <w:b/>
                <w:bCs/>
                <w:sz w:val="22"/>
                <w:szCs w:val="22"/>
                <w:highlight w:val="yellow"/>
              </w:rPr>
            </w:pPr>
          </w:p>
        </w:tc>
        <w:tc>
          <w:tcPr>
            <w:tcW w:w="1916" w:type="dxa"/>
          </w:tcPr>
          <w:p w:rsidR="00711CE4" w:rsidRPr="00AC4E84" w:rsidRDefault="00711CE4" w:rsidP="00711CE4">
            <w:pPr>
              <w:rPr>
                <w:rFonts w:eastAsia="Calibri"/>
                <w:b/>
                <w:bCs/>
                <w:sz w:val="22"/>
                <w:szCs w:val="22"/>
                <w:highlight w:val="yellow"/>
              </w:rPr>
            </w:pPr>
          </w:p>
        </w:tc>
      </w:tr>
      <w:tr w:rsidR="00711CE4" w:rsidRPr="003F655B" w:rsidTr="009E38DF">
        <w:trPr>
          <w:trHeight w:val="314"/>
        </w:trPr>
        <w:tc>
          <w:tcPr>
            <w:tcW w:w="9576" w:type="dxa"/>
            <w:gridSpan w:val="5"/>
            <w:shd w:val="clear" w:color="auto" w:fill="C6D9F1" w:themeFill="text2" w:themeFillTint="33"/>
            <w:hideMark/>
          </w:tcPr>
          <w:p w:rsidR="00711CE4" w:rsidRPr="00AE0E14" w:rsidRDefault="00711CE4" w:rsidP="00711CE4">
            <w:pPr>
              <w:jc w:val="center"/>
              <w:rPr>
                <w:rFonts w:eastAsia="Calibri"/>
                <w:b/>
                <w:bCs/>
                <w:i/>
                <w:iCs/>
                <w:sz w:val="22"/>
                <w:szCs w:val="22"/>
              </w:rPr>
            </w:pPr>
            <w:r w:rsidRPr="00AE0E14">
              <w:rPr>
                <w:rFonts w:eastAsia="Calibri"/>
                <w:b/>
                <w:bCs/>
                <w:i/>
                <w:iCs/>
                <w:sz w:val="22"/>
                <w:szCs w:val="22"/>
              </w:rPr>
              <w:t>SS #1: Increase in Household Income *</w:t>
            </w:r>
          </w:p>
        </w:tc>
      </w:tr>
      <w:tr w:rsidR="00711CE4" w:rsidRPr="003F655B" w:rsidTr="00711CE4">
        <w:trPr>
          <w:trHeight w:val="615"/>
        </w:trPr>
        <w:tc>
          <w:tcPr>
            <w:tcW w:w="1915" w:type="dxa"/>
            <w:tcBorders>
              <w:bottom w:val="single" w:sz="2" w:space="0" w:color="auto"/>
            </w:tcBorders>
            <w:shd w:val="clear" w:color="auto" w:fill="DDDDDD"/>
            <w:vAlign w:val="center"/>
            <w:hideMark/>
          </w:tcPr>
          <w:p w:rsidR="00711CE4" w:rsidRPr="002C51B4" w:rsidRDefault="00711CE4" w:rsidP="00711CE4">
            <w:pPr>
              <w:rPr>
                <w:rFonts w:eastAsia="Calibri"/>
                <w:b/>
                <w:bCs/>
                <w:sz w:val="22"/>
                <w:szCs w:val="22"/>
              </w:rPr>
            </w:pPr>
            <w:r w:rsidRPr="002C51B4">
              <w:rPr>
                <w:rFonts w:eastAsia="Calibri"/>
                <w:b/>
                <w:bCs/>
                <w:sz w:val="22"/>
                <w:szCs w:val="22"/>
              </w:rPr>
              <w:t>Unit of Measurement</w:t>
            </w:r>
          </w:p>
        </w:tc>
        <w:tc>
          <w:tcPr>
            <w:tcW w:w="1915" w:type="dxa"/>
            <w:tcBorders>
              <w:bottom w:val="single" w:sz="2" w:space="0" w:color="auto"/>
            </w:tcBorders>
            <w:shd w:val="clear" w:color="auto" w:fill="DDDDDD"/>
            <w:vAlign w:val="center"/>
            <w:hideMark/>
          </w:tcPr>
          <w:p w:rsidR="00711CE4" w:rsidRPr="00AE0E14" w:rsidRDefault="00711CE4" w:rsidP="00711CE4">
            <w:pPr>
              <w:jc w:val="center"/>
              <w:rPr>
                <w:rFonts w:eastAsia="Calibri"/>
                <w:b/>
                <w:bCs/>
                <w:sz w:val="22"/>
                <w:szCs w:val="22"/>
              </w:rPr>
            </w:pPr>
            <w:r w:rsidRPr="00AE0E14">
              <w:rPr>
                <w:rFonts w:eastAsia="Calibri"/>
                <w:b/>
                <w:bCs/>
                <w:sz w:val="22"/>
                <w:szCs w:val="22"/>
              </w:rPr>
              <w:t>Baseline</w:t>
            </w:r>
          </w:p>
        </w:tc>
        <w:tc>
          <w:tcPr>
            <w:tcW w:w="1915" w:type="dxa"/>
            <w:tcBorders>
              <w:bottom w:val="single" w:sz="2" w:space="0" w:color="auto"/>
            </w:tcBorders>
            <w:shd w:val="clear" w:color="auto" w:fill="DDDDDD"/>
            <w:vAlign w:val="center"/>
            <w:hideMark/>
          </w:tcPr>
          <w:p w:rsidR="00711CE4" w:rsidRPr="00AE0E14" w:rsidRDefault="00711CE4" w:rsidP="00711CE4">
            <w:pPr>
              <w:jc w:val="center"/>
              <w:rPr>
                <w:rFonts w:eastAsia="Calibri"/>
                <w:b/>
                <w:bCs/>
                <w:sz w:val="22"/>
                <w:szCs w:val="22"/>
              </w:rPr>
            </w:pPr>
            <w:r w:rsidRPr="00AE0E14">
              <w:rPr>
                <w:rFonts w:eastAsia="Calibri"/>
                <w:b/>
                <w:bCs/>
                <w:sz w:val="22"/>
                <w:szCs w:val="22"/>
              </w:rPr>
              <w:t>Benchmark</w:t>
            </w:r>
          </w:p>
        </w:tc>
        <w:tc>
          <w:tcPr>
            <w:tcW w:w="1915" w:type="dxa"/>
            <w:tcBorders>
              <w:bottom w:val="single" w:sz="2" w:space="0" w:color="auto"/>
            </w:tcBorders>
            <w:shd w:val="clear" w:color="auto" w:fill="DDDDDD"/>
            <w:vAlign w:val="center"/>
            <w:hideMark/>
          </w:tcPr>
          <w:p w:rsidR="00711CE4" w:rsidRPr="00227FA8" w:rsidRDefault="00711CE4" w:rsidP="00711CE4">
            <w:pPr>
              <w:jc w:val="center"/>
              <w:rPr>
                <w:rFonts w:eastAsia="Calibri"/>
                <w:b/>
                <w:bCs/>
                <w:sz w:val="22"/>
                <w:szCs w:val="22"/>
              </w:rPr>
            </w:pPr>
            <w:r w:rsidRPr="00227FA8">
              <w:rPr>
                <w:rFonts w:eastAsia="Calibri"/>
                <w:b/>
                <w:bCs/>
                <w:sz w:val="22"/>
                <w:szCs w:val="22"/>
              </w:rPr>
              <w:t>Outcome</w:t>
            </w:r>
          </w:p>
        </w:tc>
        <w:tc>
          <w:tcPr>
            <w:tcW w:w="1916" w:type="dxa"/>
            <w:tcBorders>
              <w:bottom w:val="single" w:sz="2" w:space="0" w:color="auto"/>
            </w:tcBorders>
            <w:shd w:val="clear" w:color="auto" w:fill="DDDDDD"/>
            <w:vAlign w:val="center"/>
            <w:hideMark/>
          </w:tcPr>
          <w:p w:rsidR="00711CE4" w:rsidRPr="00227FA8" w:rsidRDefault="00711CE4" w:rsidP="00711CE4">
            <w:pPr>
              <w:jc w:val="center"/>
              <w:rPr>
                <w:rFonts w:eastAsia="Calibri"/>
                <w:b/>
                <w:bCs/>
                <w:sz w:val="22"/>
                <w:szCs w:val="22"/>
              </w:rPr>
            </w:pPr>
            <w:r w:rsidRPr="00227FA8">
              <w:rPr>
                <w:rFonts w:eastAsia="Calibri"/>
                <w:b/>
                <w:bCs/>
                <w:sz w:val="22"/>
                <w:szCs w:val="22"/>
              </w:rPr>
              <w:t>Benchmark Achieved?</w:t>
            </w:r>
          </w:p>
        </w:tc>
      </w:tr>
      <w:tr w:rsidR="00711CE4" w:rsidRPr="003F655B" w:rsidTr="00711CE4">
        <w:trPr>
          <w:trHeight w:val="1061"/>
        </w:trPr>
        <w:tc>
          <w:tcPr>
            <w:tcW w:w="1915" w:type="dxa"/>
            <w:tcBorders>
              <w:top w:val="single" w:sz="2" w:space="0" w:color="auto"/>
              <w:left w:val="single" w:sz="2" w:space="0" w:color="auto"/>
              <w:bottom w:val="single" w:sz="2" w:space="0" w:color="auto"/>
              <w:right w:val="single" w:sz="2" w:space="0" w:color="auto"/>
            </w:tcBorders>
            <w:shd w:val="clear" w:color="auto" w:fill="auto"/>
            <w:hideMark/>
          </w:tcPr>
          <w:p w:rsidR="00711CE4" w:rsidRPr="002C51B4" w:rsidRDefault="00711CE4" w:rsidP="00711CE4">
            <w:pPr>
              <w:rPr>
                <w:rFonts w:eastAsia="Calibri"/>
                <w:sz w:val="22"/>
                <w:szCs w:val="22"/>
              </w:rPr>
            </w:pPr>
            <w:r w:rsidRPr="002C51B4">
              <w:rPr>
                <w:rFonts w:eastAsia="Calibri"/>
                <w:sz w:val="22"/>
                <w:szCs w:val="22"/>
              </w:rPr>
              <w:t>Average earned income of households affected by this policy in dollars (increase).</w:t>
            </w:r>
          </w:p>
        </w:tc>
        <w:tc>
          <w:tcPr>
            <w:tcW w:w="1915" w:type="dxa"/>
            <w:tcBorders>
              <w:top w:val="single" w:sz="2" w:space="0" w:color="auto"/>
              <w:left w:val="single" w:sz="2" w:space="0" w:color="auto"/>
              <w:bottom w:val="single" w:sz="2" w:space="0" w:color="auto"/>
              <w:right w:val="single" w:sz="2" w:space="0" w:color="auto"/>
            </w:tcBorders>
            <w:shd w:val="clear" w:color="auto" w:fill="auto"/>
            <w:hideMark/>
          </w:tcPr>
          <w:p w:rsidR="00711CE4" w:rsidRPr="00AE0E14" w:rsidRDefault="00711CE4" w:rsidP="00711CE4">
            <w:pPr>
              <w:jc w:val="center"/>
              <w:rPr>
                <w:rFonts w:eastAsia="Calibri"/>
                <w:sz w:val="22"/>
                <w:szCs w:val="22"/>
              </w:rPr>
            </w:pPr>
            <w:r w:rsidRPr="00AE0E14">
              <w:rPr>
                <w:rFonts w:eastAsia="Calibri"/>
                <w:sz w:val="22"/>
                <w:szCs w:val="22"/>
              </w:rPr>
              <w:t>$19,058</w:t>
            </w:r>
          </w:p>
        </w:tc>
        <w:tc>
          <w:tcPr>
            <w:tcW w:w="1915" w:type="dxa"/>
            <w:tcBorders>
              <w:top w:val="single" w:sz="2" w:space="0" w:color="auto"/>
              <w:left w:val="single" w:sz="2" w:space="0" w:color="auto"/>
              <w:bottom w:val="single" w:sz="2" w:space="0" w:color="auto"/>
              <w:right w:val="single" w:sz="2" w:space="0" w:color="auto"/>
            </w:tcBorders>
            <w:shd w:val="clear" w:color="auto" w:fill="auto"/>
            <w:hideMark/>
          </w:tcPr>
          <w:p w:rsidR="00711CE4" w:rsidRPr="00AE0E14" w:rsidRDefault="00711CE4" w:rsidP="00711CE4">
            <w:pPr>
              <w:jc w:val="center"/>
              <w:rPr>
                <w:rFonts w:eastAsia="Calibri"/>
                <w:sz w:val="22"/>
                <w:szCs w:val="22"/>
              </w:rPr>
            </w:pPr>
            <w:r w:rsidRPr="00AE0E14">
              <w:rPr>
                <w:rFonts w:eastAsia="Calibri"/>
                <w:sz w:val="22"/>
                <w:szCs w:val="22"/>
              </w:rPr>
              <w:t>$2</w:t>
            </w:r>
            <w:r w:rsidR="00AE0E14" w:rsidRPr="00AE0E14">
              <w:rPr>
                <w:rFonts w:eastAsia="Calibri"/>
                <w:sz w:val="22"/>
                <w:szCs w:val="22"/>
              </w:rPr>
              <w:t>2,428*</w:t>
            </w:r>
          </w:p>
          <w:p w:rsidR="00AE0E14" w:rsidRPr="00AE0E14" w:rsidRDefault="00AE0E14" w:rsidP="00711CE4">
            <w:pPr>
              <w:jc w:val="center"/>
              <w:rPr>
                <w:rFonts w:eastAsia="Calibri"/>
                <w:sz w:val="22"/>
                <w:szCs w:val="22"/>
              </w:rPr>
            </w:pPr>
          </w:p>
          <w:p w:rsidR="00AE0E14" w:rsidRPr="00AE0E14" w:rsidRDefault="00AE0E14" w:rsidP="00711CE4">
            <w:pPr>
              <w:jc w:val="center"/>
              <w:rPr>
                <w:rFonts w:eastAsia="Calibri"/>
                <w:sz w:val="22"/>
                <w:szCs w:val="22"/>
              </w:rPr>
            </w:pPr>
            <w:r w:rsidRPr="00AE0E14">
              <w:rPr>
                <w:rFonts w:eastAsia="Calibri"/>
                <w:sz w:val="22"/>
                <w:szCs w:val="22"/>
              </w:rPr>
              <w:t>*Represents workable households</w:t>
            </w:r>
          </w:p>
        </w:tc>
        <w:tc>
          <w:tcPr>
            <w:tcW w:w="1915" w:type="dxa"/>
            <w:tcBorders>
              <w:top w:val="single" w:sz="2" w:space="0" w:color="auto"/>
              <w:left w:val="single" w:sz="2" w:space="0" w:color="auto"/>
              <w:bottom w:val="single" w:sz="2" w:space="0" w:color="auto"/>
              <w:right w:val="single" w:sz="2" w:space="0" w:color="auto"/>
            </w:tcBorders>
            <w:shd w:val="clear" w:color="auto" w:fill="auto"/>
            <w:vAlign w:val="center"/>
          </w:tcPr>
          <w:p w:rsidR="00711CE4" w:rsidRPr="00227FA8" w:rsidRDefault="00711CE4" w:rsidP="00711CE4">
            <w:pPr>
              <w:jc w:val="center"/>
              <w:rPr>
                <w:rFonts w:eastAsia="Calibri"/>
                <w:sz w:val="22"/>
                <w:szCs w:val="22"/>
              </w:rPr>
            </w:pPr>
          </w:p>
        </w:tc>
        <w:tc>
          <w:tcPr>
            <w:tcW w:w="1916" w:type="dxa"/>
            <w:tcBorders>
              <w:top w:val="single" w:sz="2" w:space="0" w:color="auto"/>
              <w:left w:val="single" w:sz="2" w:space="0" w:color="auto"/>
              <w:bottom w:val="single" w:sz="2" w:space="0" w:color="auto"/>
              <w:right w:val="single" w:sz="2" w:space="0" w:color="auto"/>
            </w:tcBorders>
            <w:shd w:val="clear" w:color="auto" w:fill="auto"/>
          </w:tcPr>
          <w:p w:rsidR="00711CE4" w:rsidRPr="00227FA8" w:rsidRDefault="00711CE4" w:rsidP="00711CE4">
            <w:pPr>
              <w:rPr>
                <w:rFonts w:eastAsia="Calibri"/>
                <w:sz w:val="22"/>
                <w:szCs w:val="22"/>
              </w:rPr>
            </w:pPr>
          </w:p>
        </w:tc>
      </w:tr>
    </w:tbl>
    <w:p w:rsidR="00711CE4" w:rsidRDefault="00711CE4" w:rsidP="00711CE4">
      <w:pPr>
        <w:jc w:val="center"/>
        <w:rPr>
          <w:rFonts w:eastAsia="Calibri"/>
          <w:b/>
          <w:bCs/>
          <w:i/>
          <w:iCs/>
          <w:sz w:val="22"/>
          <w:szCs w:val="22"/>
        </w:rPr>
        <w:sectPr w:rsidR="00711CE4" w:rsidSect="0027440A">
          <w:pgSz w:w="12240" w:h="15840"/>
          <w:pgMar w:top="1440"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74"/>
        <w:gridCol w:w="1874"/>
        <w:gridCol w:w="1851"/>
        <w:gridCol w:w="1871"/>
      </w:tblGrid>
      <w:tr w:rsidR="00711CE4" w:rsidRPr="003F655B" w:rsidTr="009E38DF">
        <w:trPr>
          <w:trHeight w:val="260"/>
        </w:trPr>
        <w:tc>
          <w:tcPr>
            <w:tcW w:w="9576" w:type="dxa"/>
            <w:gridSpan w:val="5"/>
            <w:tcBorders>
              <w:top w:val="single" w:sz="2" w:space="0" w:color="auto"/>
              <w:left w:val="single" w:sz="2" w:space="0" w:color="auto"/>
              <w:bottom w:val="single" w:sz="2" w:space="0" w:color="auto"/>
              <w:right w:val="single" w:sz="2" w:space="0" w:color="auto"/>
            </w:tcBorders>
            <w:shd w:val="clear" w:color="auto" w:fill="C6D9F1" w:themeFill="text2" w:themeFillTint="33"/>
            <w:hideMark/>
          </w:tcPr>
          <w:p w:rsidR="00711CE4" w:rsidRPr="00FA32AA" w:rsidRDefault="00711CE4" w:rsidP="00711CE4">
            <w:pPr>
              <w:jc w:val="center"/>
              <w:rPr>
                <w:rFonts w:eastAsia="Calibri"/>
                <w:b/>
                <w:bCs/>
                <w:i/>
                <w:iCs/>
                <w:sz w:val="22"/>
                <w:szCs w:val="22"/>
              </w:rPr>
            </w:pPr>
            <w:r w:rsidRPr="00FA32AA">
              <w:rPr>
                <w:rFonts w:eastAsia="Calibri"/>
                <w:b/>
                <w:bCs/>
                <w:i/>
                <w:iCs/>
                <w:sz w:val="22"/>
                <w:szCs w:val="22"/>
              </w:rPr>
              <w:t>SS #3: Increase in Positive Outcomes in Employment Status *</w:t>
            </w:r>
          </w:p>
        </w:tc>
      </w:tr>
      <w:tr w:rsidR="00711CE4" w:rsidRPr="003F655B" w:rsidTr="00711CE4">
        <w:trPr>
          <w:trHeight w:val="615"/>
        </w:trPr>
        <w:tc>
          <w:tcPr>
            <w:tcW w:w="1915" w:type="dxa"/>
            <w:tcBorders>
              <w:top w:val="single" w:sz="2" w:space="0" w:color="auto"/>
            </w:tcBorders>
            <w:shd w:val="clear" w:color="auto" w:fill="DDDDDD"/>
            <w:vAlign w:val="center"/>
            <w:hideMark/>
          </w:tcPr>
          <w:p w:rsidR="00711CE4" w:rsidRPr="00FA32AA" w:rsidRDefault="00711CE4" w:rsidP="00711CE4">
            <w:pPr>
              <w:rPr>
                <w:rFonts w:eastAsia="Calibri"/>
                <w:b/>
                <w:bCs/>
                <w:sz w:val="22"/>
                <w:szCs w:val="22"/>
              </w:rPr>
            </w:pPr>
            <w:r w:rsidRPr="00FA32AA">
              <w:rPr>
                <w:rFonts w:eastAsia="Calibri"/>
                <w:b/>
                <w:bCs/>
                <w:sz w:val="22"/>
                <w:szCs w:val="22"/>
              </w:rPr>
              <w:t>Unit of Measurement</w:t>
            </w:r>
          </w:p>
        </w:tc>
        <w:tc>
          <w:tcPr>
            <w:tcW w:w="1915" w:type="dxa"/>
            <w:tcBorders>
              <w:top w:val="single" w:sz="2" w:space="0" w:color="auto"/>
            </w:tcBorders>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Baseline</w:t>
            </w:r>
          </w:p>
        </w:tc>
        <w:tc>
          <w:tcPr>
            <w:tcW w:w="1915" w:type="dxa"/>
            <w:tcBorders>
              <w:top w:val="single" w:sz="2" w:space="0" w:color="auto"/>
            </w:tcBorders>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Benchmark</w:t>
            </w:r>
          </w:p>
        </w:tc>
        <w:tc>
          <w:tcPr>
            <w:tcW w:w="1915" w:type="dxa"/>
            <w:tcBorders>
              <w:top w:val="single" w:sz="2" w:space="0" w:color="auto"/>
            </w:tcBorders>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Outcome</w:t>
            </w:r>
          </w:p>
        </w:tc>
        <w:tc>
          <w:tcPr>
            <w:tcW w:w="1916" w:type="dxa"/>
            <w:tcBorders>
              <w:top w:val="single" w:sz="2" w:space="0" w:color="auto"/>
            </w:tcBorders>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Benchmark Achieved?</w:t>
            </w:r>
          </w:p>
        </w:tc>
      </w:tr>
      <w:tr w:rsidR="00711CE4" w:rsidRPr="003F655B" w:rsidTr="00711CE4">
        <w:trPr>
          <w:trHeight w:val="315"/>
        </w:trPr>
        <w:tc>
          <w:tcPr>
            <w:tcW w:w="1915" w:type="dxa"/>
            <w:vMerge w:val="restart"/>
            <w:shd w:val="clear" w:color="auto" w:fill="auto"/>
          </w:tcPr>
          <w:p w:rsidR="00711CE4" w:rsidRPr="00FA32AA" w:rsidRDefault="00711CE4" w:rsidP="00711CE4">
            <w:pPr>
              <w:rPr>
                <w:rFonts w:eastAsia="Calibri"/>
                <w:sz w:val="22"/>
                <w:szCs w:val="22"/>
              </w:rPr>
            </w:pPr>
            <w:r w:rsidRPr="00FA32AA">
              <w:rPr>
                <w:rFonts w:eastAsia="Calibri"/>
                <w:sz w:val="22"/>
                <w:szCs w:val="22"/>
              </w:rPr>
              <w:t>(5) Unemployed</w:t>
            </w:r>
          </w:p>
        </w:tc>
        <w:tc>
          <w:tcPr>
            <w:tcW w:w="1915" w:type="dxa"/>
            <w:shd w:val="clear" w:color="auto" w:fill="auto"/>
          </w:tcPr>
          <w:p w:rsidR="00711CE4" w:rsidRDefault="00711CE4" w:rsidP="00711CE4">
            <w:pPr>
              <w:jc w:val="center"/>
              <w:rPr>
                <w:rFonts w:eastAsia="Calibri"/>
                <w:sz w:val="22"/>
                <w:szCs w:val="22"/>
              </w:rPr>
            </w:pPr>
            <w:r w:rsidRPr="00FA32AA">
              <w:rPr>
                <w:rFonts w:eastAsia="Calibri"/>
                <w:sz w:val="22"/>
                <w:szCs w:val="22"/>
              </w:rPr>
              <w:t>3</w:t>
            </w:r>
            <w:r w:rsidR="00AE0E14">
              <w:rPr>
                <w:rFonts w:eastAsia="Calibri"/>
                <w:sz w:val="22"/>
                <w:szCs w:val="22"/>
              </w:rPr>
              <w:t>,</w:t>
            </w:r>
            <w:r w:rsidRPr="00FA32AA">
              <w:rPr>
                <w:rFonts w:eastAsia="Calibri"/>
                <w:sz w:val="22"/>
                <w:szCs w:val="22"/>
              </w:rPr>
              <w:t>85</w:t>
            </w:r>
            <w:r w:rsidR="00AE0E14">
              <w:rPr>
                <w:rFonts w:eastAsia="Calibri"/>
                <w:sz w:val="22"/>
                <w:szCs w:val="22"/>
              </w:rPr>
              <w:t>0</w:t>
            </w:r>
            <w:r w:rsidRPr="00FA32AA">
              <w:rPr>
                <w:rFonts w:eastAsia="Calibri"/>
                <w:sz w:val="22"/>
                <w:szCs w:val="22"/>
              </w:rPr>
              <w:t xml:space="preserve"> Households</w:t>
            </w:r>
            <w:r w:rsidR="00AE0E14">
              <w:rPr>
                <w:rFonts w:eastAsia="Calibri"/>
                <w:sz w:val="22"/>
                <w:szCs w:val="22"/>
              </w:rPr>
              <w:t>*</w:t>
            </w:r>
          </w:p>
          <w:p w:rsidR="00AE0E14" w:rsidRDefault="00AE0E14" w:rsidP="00711CE4">
            <w:pPr>
              <w:jc w:val="center"/>
              <w:rPr>
                <w:rFonts w:eastAsia="Calibri"/>
                <w:sz w:val="22"/>
                <w:szCs w:val="22"/>
              </w:rPr>
            </w:pPr>
          </w:p>
          <w:p w:rsidR="00AE0E14" w:rsidRDefault="00AE0E14" w:rsidP="00711CE4">
            <w:pPr>
              <w:jc w:val="center"/>
              <w:rPr>
                <w:rFonts w:eastAsia="Calibri"/>
                <w:sz w:val="22"/>
                <w:szCs w:val="22"/>
              </w:rPr>
            </w:pPr>
            <w:r w:rsidRPr="00AE0E14">
              <w:rPr>
                <w:rFonts w:eastAsia="Calibri"/>
                <w:sz w:val="22"/>
                <w:szCs w:val="22"/>
              </w:rPr>
              <w:t>*Represents work-able households</w:t>
            </w:r>
          </w:p>
          <w:p w:rsidR="00AE0E14" w:rsidRPr="00FA32AA" w:rsidRDefault="00AE0E14" w:rsidP="00AE0E14">
            <w:pPr>
              <w:rPr>
                <w:rFonts w:eastAsia="Calibri"/>
                <w:sz w:val="22"/>
                <w:szCs w:val="22"/>
              </w:rPr>
            </w:pPr>
          </w:p>
        </w:tc>
        <w:tc>
          <w:tcPr>
            <w:tcW w:w="1915" w:type="dxa"/>
            <w:shd w:val="clear" w:color="auto" w:fill="auto"/>
          </w:tcPr>
          <w:p w:rsidR="00711CE4" w:rsidRDefault="00AE0E14" w:rsidP="00711CE4">
            <w:pPr>
              <w:jc w:val="center"/>
              <w:rPr>
                <w:rFonts w:eastAsia="Calibri"/>
                <w:sz w:val="22"/>
                <w:szCs w:val="22"/>
              </w:rPr>
            </w:pPr>
            <w:r w:rsidRPr="00AE0E14">
              <w:rPr>
                <w:rFonts w:eastAsia="Calibri"/>
                <w:sz w:val="22"/>
                <w:szCs w:val="22"/>
              </w:rPr>
              <w:t>3,562</w:t>
            </w:r>
            <w:r>
              <w:rPr>
                <w:rFonts w:eastAsia="Calibri"/>
                <w:sz w:val="22"/>
                <w:szCs w:val="22"/>
              </w:rPr>
              <w:t xml:space="preserve"> Households*</w:t>
            </w:r>
          </w:p>
          <w:p w:rsidR="00AE0E14" w:rsidRDefault="00AE0E14" w:rsidP="00711CE4">
            <w:pPr>
              <w:jc w:val="center"/>
              <w:rPr>
                <w:rFonts w:eastAsia="Calibri"/>
                <w:sz w:val="22"/>
                <w:szCs w:val="22"/>
              </w:rPr>
            </w:pPr>
          </w:p>
          <w:p w:rsidR="00AE0E14" w:rsidRPr="00AE0E14" w:rsidRDefault="00AE0E14" w:rsidP="00711CE4">
            <w:pPr>
              <w:jc w:val="center"/>
              <w:rPr>
                <w:rFonts w:eastAsia="Calibri"/>
                <w:sz w:val="22"/>
                <w:szCs w:val="22"/>
              </w:rPr>
            </w:pPr>
            <w:r w:rsidRPr="00AE0E14">
              <w:rPr>
                <w:rFonts w:eastAsia="Calibri"/>
                <w:sz w:val="22"/>
                <w:szCs w:val="22"/>
              </w:rPr>
              <w:t>*Represents work-able households</w:t>
            </w:r>
          </w:p>
        </w:tc>
        <w:tc>
          <w:tcPr>
            <w:tcW w:w="1915" w:type="dxa"/>
            <w:shd w:val="clear" w:color="auto" w:fill="auto"/>
          </w:tcPr>
          <w:p w:rsidR="00711CE4" w:rsidRPr="00FA32AA" w:rsidRDefault="00711CE4" w:rsidP="00711CE4">
            <w:pPr>
              <w:jc w:val="center"/>
              <w:rPr>
                <w:rFonts w:eastAsia="Calibri"/>
                <w:sz w:val="22"/>
                <w:szCs w:val="22"/>
              </w:rPr>
            </w:pPr>
          </w:p>
        </w:tc>
        <w:tc>
          <w:tcPr>
            <w:tcW w:w="1916" w:type="dxa"/>
            <w:shd w:val="clear" w:color="auto" w:fill="auto"/>
          </w:tcPr>
          <w:p w:rsidR="00711CE4" w:rsidRPr="00FA32AA" w:rsidRDefault="00711CE4" w:rsidP="00711CE4">
            <w:pPr>
              <w:jc w:val="center"/>
              <w:rPr>
                <w:rFonts w:eastAsia="Calibri"/>
                <w:sz w:val="22"/>
                <w:szCs w:val="22"/>
              </w:rPr>
            </w:pPr>
          </w:p>
        </w:tc>
      </w:tr>
      <w:tr w:rsidR="00711CE4" w:rsidRPr="003F655B" w:rsidTr="00711CE4">
        <w:trPr>
          <w:trHeight w:val="315"/>
        </w:trPr>
        <w:tc>
          <w:tcPr>
            <w:tcW w:w="1915" w:type="dxa"/>
            <w:vMerge/>
            <w:shd w:val="clear" w:color="auto" w:fill="auto"/>
          </w:tcPr>
          <w:p w:rsidR="00711CE4" w:rsidRPr="00FA32AA" w:rsidRDefault="00711CE4" w:rsidP="00711CE4">
            <w:pPr>
              <w:rPr>
                <w:rFonts w:eastAsia="Calibri"/>
                <w:sz w:val="22"/>
                <w:szCs w:val="22"/>
              </w:rPr>
            </w:pPr>
          </w:p>
        </w:tc>
        <w:tc>
          <w:tcPr>
            <w:tcW w:w="1915" w:type="dxa"/>
            <w:shd w:val="clear" w:color="auto" w:fill="auto"/>
          </w:tcPr>
          <w:p w:rsidR="00711CE4" w:rsidRPr="00FA32AA" w:rsidRDefault="00AE0E14" w:rsidP="00711CE4">
            <w:pPr>
              <w:jc w:val="center"/>
              <w:rPr>
                <w:rFonts w:eastAsia="Calibri"/>
                <w:sz w:val="22"/>
                <w:szCs w:val="22"/>
              </w:rPr>
            </w:pPr>
            <w:r>
              <w:rPr>
                <w:rFonts w:eastAsia="Calibri"/>
                <w:sz w:val="22"/>
                <w:szCs w:val="22"/>
              </w:rPr>
              <w:t xml:space="preserve"> 43</w:t>
            </w:r>
            <w:r w:rsidR="0004666E">
              <w:rPr>
                <w:rFonts w:eastAsia="Calibri"/>
                <w:sz w:val="22"/>
                <w:szCs w:val="22"/>
              </w:rPr>
              <w:t>% of H</w:t>
            </w:r>
            <w:r w:rsidR="00711CE4" w:rsidRPr="00FA32AA">
              <w:rPr>
                <w:rFonts w:eastAsia="Calibri"/>
                <w:sz w:val="22"/>
                <w:szCs w:val="22"/>
              </w:rPr>
              <w:t>ouseholds</w:t>
            </w:r>
          </w:p>
        </w:tc>
        <w:tc>
          <w:tcPr>
            <w:tcW w:w="1915" w:type="dxa"/>
            <w:shd w:val="clear" w:color="auto" w:fill="auto"/>
          </w:tcPr>
          <w:p w:rsidR="00711CE4" w:rsidRPr="00AE0E14" w:rsidRDefault="00AE0E14" w:rsidP="00711CE4">
            <w:pPr>
              <w:jc w:val="center"/>
              <w:rPr>
                <w:rFonts w:eastAsia="Calibri"/>
                <w:sz w:val="22"/>
                <w:szCs w:val="22"/>
              </w:rPr>
            </w:pPr>
            <w:r w:rsidRPr="00AE0E14">
              <w:rPr>
                <w:rFonts w:eastAsia="Calibri"/>
                <w:sz w:val="22"/>
                <w:szCs w:val="22"/>
              </w:rPr>
              <w:t>39%</w:t>
            </w:r>
            <w:r w:rsidR="0004666E">
              <w:rPr>
                <w:rFonts w:eastAsia="Calibri"/>
                <w:sz w:val="22"/>
                <w:szCs w:val="22"/>
              </w:rPr>
              <w:t xml:space="preserve"> of Households</w:t>
            </w:r>
          </w:p>
        </w:tc>
        <w:tc>
          <w:tcPr>
            <w:tcW w:w="1915" w:type="dxa"/>
            <w:shd w:val="clear" w:color="auto" w:fill="auto"/>
          </w:tcPr>
          <w:p w:rsidR="00711CE4" w:rsidRPr="00FA32AA" w:rsidRDefault="00711CE4" w:rsidP="00711CE4">
            <w:pPr>
              <w:jc w:val="center"/>
              <w:rPr>
                <w:rFonts w:eastAsia="Calibri"/>
                <w:sz w:val="22"/>
                <w:szCs w:val="22"/>
              </w:rPr>
            </w:pPr>
          </w:p>
        </w:tc>
        <w:tc>
          <w:tcPr>
            <w:tcW w:w="1916" w:type="dxa"/>
            <w:shd w:val="clear" w:color="auto" w:fill="auto"/>
          </w:tcPr>
          <w:p w:rsidR="00711CE4" w:rsidRPr="00FA32AA" w:rsidRDefault="00711CE4" w:rsidP="00711CE4">
            <w:pPr>
              <w:jc w:val="center"/>
              <w:rPr>
                <w:rFonts w:eastAsia="Calibri"/>
                <w:sz w:val="22"/>
                <w:szCs w:val="22"/>
              </w:rPr>
            </w:pPr>
          </w:p>
        </w:tc>
      </w:tr>
      <w:tr w:rsidR="00711CE4" w:rsidRPr="003F655B" w:rsidTr="00711CE4">
        <w:trPr>
          <w:trHeight w:val="315"/>
        </w:trPr>
        <w:tc>
          <w:tcPr>
            <w:tcW w:w="1915" w:type="dxa"/>
            <w:vMerge w:val="restart"/>
            <w:shd w:val="clear" w:color="auto" w:fill="auto"/>
            <w:hideMark/>
          </w:tcPr>
          <w:p w:rsidR="00711CE4" w:rsidRPr="00FA32AA" w:rsidRDefault="00711CE4" w:rsidP="00711CE4">
            <w:pPr>
              <w:rPr>
                <w:rFonts w:eastAsia="Calibri"/>
                <w:sz w:val="22"/>
                <w:szCs w:val="22"/>
              </w:rPr>
            </w:pPr>
            <w:r w:rsidRPr="00FA32AA">
              <w:rPr>
                <w:rFonts w:eastAsia="Calibri"/>
                <w:sz w:val="22"/>
                <w:szCs w:val="22"/>
              </w:rPr>
              <w:t xml:space="preserve">(6) Other - Employed </w:t>
            </w:r>
          </w:p>
        </w:tc>
        <w:tc>
          <w:tcPr>
            <w:tcW w:w="1915" w:type="dxa"/>
            <w:shd w:val="clear" w:color="auto" w:fill="auto"/>
            <w:hideMark/>
          </w:tcPr>
          <w:p w:rsidR="00711CE4" w:rsidRDefault="00711CE4" w:rsidP="00711CE4">
            <w:pPr>
              <w:jc w:val="center"/>
              <w:rPr>
                <w:rFonts w:eastAsia="Calibri"/>
                <w:sz w:val="22"/>
                <w:szCs w:val="22"/>
              </w:rPr>
            </w:pPr>
            <w:r w:rsidRPr="00FA32AA">
              <w:rPr>
                <w:rFonts w:eastAsia="Calibri"/>
                <w:sz w:val="22"/>
                <w:szCs w:val="22"/>
              </w:rPr>
              <w:t>5,164 Households</w:t>
            </w:r>
            <w:r w:rsidR="00AE0E14">
              <w:rPr>
                <w:rFonts w:eastAsia="Calibri"/>
                <w:sz w:val="22"/>
                <w:szCs w:val="22"/>
              </w:rPr>
              <w:t>*</w:t>
            </w:r>
          </w:p>
          <w:p w:rsidR="00AE0E14" w:rsidRDefault="00AE0E14" w:rsidP="00711CE4">
            <w:pPr>
              <w:jc w:val="center"/>
              <w:rPr>
                <w:rFonts w:eastAsia="Calibri"/>
                <w:sz w:val="22"/>
                <w:szCs w:val="22"/>
              </w:rPr>
            </w:pPr>
          </w:p>
          <w:p w:rsidR="00AE0E14" w:rsidRPr="00FA32AA" w:rsidRDefault="00AE0E14" w:rsidP="00711CE4">
            <w:pPr>
              <w:jc w:val="center"/>
              <w:rPr>
                <w:rFonts w:eastAsia="Calibri"/>
                <w:sz w:val="22"/>
                <w:szCs w:val="22"/>
              </w:rPr>
            </w:pPr>
            <w:r w:rsidRPr="00AE0E14">
              <w:rPr>
                <w:rFonts w:eastAsia="Calibri"/>
                <w:sz w:val="22"/>
                <w:szCs w:val="22"/>
              </w:rPr>
              <w:t>*Represents work-able households</w:t>
            </w:r>
          </w:p>
        </w:tc>
        <w:tc>
          <w:tcPr>
            <w:tcW w:w="1915" w:type="dxa"/>
            <w:shd w:val="clear" w:color="auto" w:fill="auto"/>
            <w:hideMark/>
          </w:tcPr>
          <w:p w:rsidR="00711CE4" w:rsidRPr="00AE0E14" w:rsidRDefault="00AE0E14" w:rsidP="00711CE4">
            <w:pPr>
              <w:jc w:val="center"/>
              <w:rPr>
                <w:rFonts w:eastAsia="Calibri"/>
                <w:sz w:val="22"/>
                <w:szCs w:val="22"/>
              </w:rPr>
            </w:pPr>
            <w:r w:rsidRPr="00AE0E14">
              <w:rPr>
                <w:rFonts w:eastAsia="Calibri"/>
                <w:sz w:val="22"/>
                <w:szCs w:val="22"/>
              </w:rPr>
              <w:t>5,489 Households*</w:t>
            </w:r>
          </w:p>
          <w:p w:rsidR="00AE0E14" w:rsidRPr="00AE0E14" w:rsidRDefault="00AE0E14" w:rsidP="00711CE4">
            <w:pPr>
              <w:jc w:val="center"/>
              <w:rPr>
                <w:rFonts w:eastAsia="Calibri"/>
                <w:sz w:val="22"/>
                <w:szCs w:val="22"/>
              </w:rPr>
            </w:pPr>
          </w:p>
          <w:p w:rsidR="00AE0E14" w:rsidRPr="00AE0E14" w:rsidRDefault="00AE0E14" w:rsidP="00711CE4">
            <w:pPr>
              <w:jc w:val="center"/>
              <w:rPr>
                <w:rFonts w:eastAsia="Calibri"/>
                <w:sz w:val="22"/>
                <w:szCs w:val="22"/>
              </w:rPr>
            </w:pPr>
            <w:r w:rsidRPr="00AE0E14">
              <w:rPr>
                <w:rFonts w:eastAsia="Calibri"/>
                <w:sz w:val="22"/>
                <w:szCs w:val="22"/>
              </w:rPr>
              <w:t>*Represents work-able households</w:t>
            </w:r>
          </w:p>
        </w:tc>
        <w:tc>
          <w:tcPr>
            <w:tcW w:w="1915" w:type="dxa"/>
            <w:shd w:val="clear" w:color="auto" w:fill="auto"/>
          </w:tcPr>
          <w:p w:rsidR="00711CE4" w:rsidRPr="00FA32AA" w:rsidRDefault="00711CE4" w:rsidP="00711CE4">
            <w:pPr>
              <w:jc w:val="center"/>
              <w:rPr>
                <w:rFonts w:eastAsia="Calibri"/>
                <w:sz w:val="22"/>
                <w:szCs w:val="22"/>
              </w:rPr>
            </w:pPr>
          </w:p>
        </w:tc>
        <w:tc>
          <w:tcPr>
            <w:tcW w:w="1916" w:type="dxa"/>
            <w:shd w:val="clear" w:color="auto" w:fill="auto"/>
          </w:tcPr>
          <w:p w:rsidR="00711CE4" w:rsidRPr="00FA32AA" w:rsidRDefault="00711CE4" w:rsidP="00711CE4">
            <w:pPr>
              <w:jc w:val="center"/>
              <w:rPr>
                <w:rFonts w:eastAsia="Calibri"/>
                <w:sz w:val="22"/>
                <w:szCs w:val="22"/>
              </w:rPr>
            </w:pPr>
          </w:p>
        </w:tc>
      </w:tr>
      <w:tr w:rsidR="00711CE4" w:rsidRPr="003F655B" w:rsidTr="00711CE4">
        <w:trPr>
          <w:trHeight w:val="315"/>
        </w:trPr>
        <w:tc>
          <w:tcPr>
            <w:tcW w:w="1915" w:type="dxa"/>
            <w:vMerge/>
            <w:shd w:val="clear" w:color="auto" w:fill="auto"/>
            <w:hideMark/>
          </w:tcPr>
          <w:p w:rsidR="00711CE4" w:rsidRPr="00FA32AA" w:rsidRDefault="00711CE4" w:rsidP="00711CE4">
            <w:pPr>
              <w:rPr>
                <w:rFonts w:eastAsia="Calibri"/>
                <w:sz w:val="22"/>
                <w:szCs w:val="22"/>
              </w:rPr>
            </w:pPr>
          </w:p>
        </w:tc>
        <w:tc>
          <w:tcPr>
            <w:tcW w:w="1915" w:type="dxa"/>
            <w:shd w:val="clear" w:color="auto" w:fill="auto"/>
            <w:hideMark/>
          </w:tcPr>
          <w:p w:rsidR="00711CE4" w:rsidRPr="00FA32AA" w:rsidRDefault="00AE0E14" w:rsidP="00711CE4">
            <w:pPr>
              <w:jc w:val="center"/>
              <w:rPr>
                <w:rFonts w:eastAsia="Calibri"/>
                <w:sz w:val="22"/>
                <w:szCs w:val="22"/>
              </w:rPr>
            </w:pPr>
            <w:r>
              <w:rPr>
                <w:rFonts w:eastAsia="Calibri"/>
                <w:sz w:val="22"/>
                <w:szCs w:val="22"/>
              </w:rPr>
              <w:t xml:space="preserve"> 5</w:t>
            </w:r>
            <w:r w:rsidR="00711CE4" w:rsidRPr="00FA32AA">
              <w:rPr>
                <w:rFonts w:eastAsia="Calibri"/>
                <w:sz w:val="22"/>
                <w:szCs w:val="22"/>
              </w:rPr>
              <w:t>7% of Households</w:t>
            </w:r>
          </w:p>
        </w:tc>
        <w:tc>
          <w:tcPr>
            <w:tcW w:w="1915" w:type="dxa"/>
            <w:shd w:val="clear" w:color="auto" w:fill="auto"/>
            <w:hideMark/>
          </w:tcPr>
          <w:p w:rsidR="00711CE4" w:rsidRPr="00AE0E14" w:rsidRDefault="00AE0E14" w:rsidP="00711CE4">
            <w:pPr>
              <w:jc w:val="center"/>
              <w:rPr>
                <w:rFonts w:eastAsia="Calibri"/>
                <w:sz w:val="22"/>
                <w:szCs w:val="22"/>
              </w:rPr>
            </w:pPr>
            <w:r w:rsidRPr="00AE0E14">
              <w:rPr>
                <w:rFonts w:eastAsia="Calibri"/>
                <w:sz w:val="22"/>
                <w:szCs w:val="22"/>
              </w:rPr>
              <w:t>61%</w:t>
            </w:r>
            <w:r w:rsidR="0004666E">
              <w:rPr>
                <w:rFonts w:eastAsia="Calibri"/>
                <w:sz w:val="22"/>
                <w:szCs w:val="22"/>
              </w:rPr>
              <w:t xml:space="preserve"> of Households</w:t>
            </w:r>
          </w:p>
        </w:tc>
        <w:tc>
          <w:tcPr>
            <w:tcW w:w="1915" w:type="dxa"/>
            <w:shd w:val="clear" w:color="auto" w:fill="auto"/>
          </w:tcPr>
          <w:p w:rsidR="00711CE4" w:rsidRPr="00FA32AA" w:rsidRDefault="00711CE4" w:rsidP="00711CE4">
            <w:pPr>
              <w:jc w:val="center"/>
              <w:rPr>
                <w:rFonts w:eastAsia="Calibri"/>
                <w:sz w:val="22"/>
                <w:szCs w:val="22"/>
              </w:rPr>
            </w:pPr>
          </w:p>
        </w:tc>
        <w:tc>
          <w:tcPr>
            <w:tcW w:w="1916" w:type="dxa"/>
            <w:shd w:val="clear" w:color="auto" w:fill="auto"/>
          </w:tcPr>
          <w:p w:rsidR="00711CE4" w:rsidRPr="00FA32AA" w:rsidRDefault="00711CE4" w:rsidP="00711CE4">
            <w:pPr>
              <w:jc w:val="center"/>
              <w:rPr>
                <w:rFonts w:eastAsia="Calibri"/>
                <w:sz w:val="22"/>
                <w:szCs w:val="22"/>
              </w:rPr>
            </w:pPr>
          </w:p>
        </w:tc>
      </w:tr>
      <w:tr w:rsidR="00711CE4" w:rsidRPr="003F655B" w:rsidTr="00711CE4">
        <w:trPr>
          <w:trHeight w:val="315"/>
        </w:trPr>
        <w:tc>
          <w:tcPr>
            <w:tcW w:w="9576" w:type="dxa"/>
            <w:gridSpan w:val="5"/>
            <w:shd w:val="clear" w:color="auto" w:fill="auto"/>
          </w:tcPr>
          <w:p w:rsidR="00711CE4" w:rsidRPr="00FA32AA" w:rsidRDefault="00711CE4" w:rsidP="00711CE4">
            <w:pPr>
              <w:rPr>
                <w:rFonts w:eastAsia="Calibri"/>
                <w:sz w:val="22"/>
                <w:szCs w:val="22"/>
              </w:rPr>
            </w:pPr>
            <w:r>
              <w:rPr>
                <w:i/>
                <w:sz w:val="18"/>
                <w:szCs w:val="20"/>
              </w:rPr>
              <w:t>*</w:t>
            </w:r>
            <w:r w:rsidRPr="00FA32AA">
              <w:rPr>
                <w:i/>
                <w:sz w:val="18"/>
                <w:szCs w:val="20"/>
              </w:rPr>
              <w:t xml:space="preserve">HUD is requiring the use of this metric; however, DHCD does not believe it is applicable in this context of this MTW activity.  DHCD will establish a benchmark of maintaining this level going forward, </w:t>
            </w:r>
          </w:p>
        </w:tc>
      </w:tr>
      <w:tr w:rsidR="00711CE4" w:rsidRPr="007D098F" w:rsidTr="009E38DF">
        <w:trPr>
          <w:trHeight w:val="305"/>
        </w:trPr>
        <w:tc>
          <w:tcPr>
            <w:tcW w:w="9576" w:type="dxa"/>
            <w:gridSpan w:val="5"/>
            <w:shd w:val="clear" w:color="auto" w:fill="C6D9F1" w:themeFill="text2" w:themeFillTint="33"/>
          </w:tcPr>
          <w:p w:rsidR="00711CE4" w:rsidRPr="00FA32AA" w:rsidRDefault="00711CE4" w:rsidP="00711CE4">
            <w:pPr>
              <w:jc w:val="center"/>
              <w:rPr>
                <w:rFonts w:eastAsia="Calibri"/>
                <w:b/>
                <w:bCs/>
                <w:i/>
                <w:iCs/>
                <w:sz w:val="22"/>
                <w:szCs w:val="22"/>
              </w:rPr>
            </w:pPr>
            <w:r w:rsidRPr="00FA32AA">
              <w:rPr>
                <w:b/>
                <w:bCs/>
                <w:i/>
                <w:iCs/>
                <w:sz w:val="22"/>
                <w:szCs w:val="22"/>
              </w:rPr>
              <w:t>SS #4: Households Removed from Temporary Assistance for Needy Families (TANF)*</w:t>
            </w:r>
          </w:p>
        </w:tc>
      </w:tr>
      <w:tr w:rsidR="00711CE4" w:rsidRPr="003F655B" w:rsidTr="00711CE4">
        <w:trPr>
          <w:trHeight w:val="305"/>
        </w:trPr>
        <w:tc>
          <w:tcPr>
            <w:tcW w:w="1915" w:type="dxa"/>
            <w:shd w:val="clear" w:color="auto" w:fill="DDDDDD"/>
            <w:vAlign w:val="center"/>
          </w:tcPr>
          <w:p w:rsidR="00711CE4" w:rsidRPr="00FA32AA" w:rsidRDefault="00711CE4" w:rsidP="00711CE4">
            <w:pPr>
              <w:rPr>
                <w:rFonts w:eastAsia="Calibri"/>
                <w:b/>
                <w:bCs/>
                <w:sz w:val="22"/>
                <w:szCs w:val="22"/>
              </w:rPr>
            </w:pPr>
            <w:r w:rsidRPr="00FA32AA">
              <w:rPr>
                <w:rFonts w:eastAsia="Calibri"/>
                <w:b/>
                <w:bCs/>
                <w:sz w:val="22"/>
                <w:szCs w:val="22"/>
              </w:rPr>
              <w:t>Unit of Measurement</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Baseline</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Benchmark</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Outcome</w:t>
            </w:r>
          </w:p>
        </w:tc>
        <w:tc>
          <w:tcPr>
            <w:tcW w:w="1916"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Benchmark Achieved?</w:t>
            </w:r>
          </w:p>
        </w:tc>
      </w:tr>
      <w:tr w:rsidR="00711CE4" w:rsidRPr="003F655B" w:rsidTr="00711CE4">
        <w:trPr>
          <w:trHeight w:val="305"/>
        </w:trPr>
        <w:tc>
          <w:tcPr>
            <w:tcW w:w="1915" w:type="dxa"/>
            <w:shd w:val="clear" w:color="auto" w:fill="auto"/>
          </w:tcPr>
          <w:p w:rsidR="00711CE4" w:rsidRPr="00FA32AA" w:rsidRDefault="00711CE4" w:rsidP="00711CE4">
            <w:pPr>
              <w:rPr>
                <w:rFonts w:eastAsia="Calibri"/>
                <w:b/>
                <w:bCs/>
                <w:i/>
                <w:iCs/>
                <w:sz w:val="22"/>
                <w:szCs w:val="22"/>
              </w:rPr>
            </w:pPr>
            <w:r w:rsidRPr="00FA32AA">
              <w:rPr>
                <w:sz w:val="22"/>
                <w:szCs w:val="22"/>
              </w:rPr>
              <w:t>Number of households receiving TANF assistance (decrease).</w:t>
            </w:r>
          </w:p>
        </w:tc>
        <w:tc>
          <w:tcPr>
            <w:tcW w:w="1915" w:type="dxa"/>
            <w:shd w:val="clear" w:color="auto" w:fill="auto"/>
          </w:tcPr>
          <w:p w:rsidR="00711CE4" w:rsidRPr="00FA32AA" w:rsidRDefault="00711CE4" w:rsidP="00711CE4">
            <w:pPr>
              <w:jc w:val="center"/>
              <w:rPr>
                <w:rFonts w:eastAsia="Calibri"/>
                <w:bCs/>
                <w:iCs/>
                <w:sz w:val="22"/>
                <w:szCs w:val="22"/>
              </w:rPr>
            </w:pPr>
            <w:r w:rsidRPr="00FA32AA">
              <w:rPr>
                <w:rFonts w:eastAsia="Calibri"/>
                <w:bCs/>
                <w:iCs/>
                <w:sz w:val="22"/>
                <w:szCs w:val="22"/>
              </w:rPr>
              <w:t>2,316 Households on TANF in FY 2015</w:t>
            </w:r>
          </w:p>
        </w:tc>
        <w:tc>
          <w:tcPr>
            <w:tcW w:w="1915" w:type="dxa"/>
            <w:shd w:val="clear" w:color="auto" w:fill="auto"/>
          </w:tcPr>
          <w:p w:rsidR="00711CE4" w:rsidRPr="00FA32AA" w:rsidRDefault="00AE0E14" w:rsidP="00711CE4">
            <w:pPr>
              <w:jc w:val="center"/>
              <w:rPr>
                <w:rFonts w:eastAsia="Calibri"/>
                <w:bCs/>
                <w:iCs/>
                <w:sz w:val="22"/>
                <w:szCs w:val="22"/>
              </w:rPr>
            </w:pPr>
            <w:r>
              <w:rPr>
                <w:rFonts w:eastAsia="Calibri"/>
                <w:bCs/>
                <w:iCs/>
                <w:sz w:val="22"/>
                <w:szCs w:val="22"/>
              </w:rPr>
              <w:t>2,218 Households</w:t>
            </w:r>
          </w:p>
        </w:tc>
        <w:tc>
          <w:tcPr>
            <w:tcW w:w="1915" w:type="dxa"/>
            <w:shd w:val="clear" w:color="auto" w:fill="auto"/>
          </w:tcPr>
          <w:p w:rsidR="00711CE4" w:rsidRPr="00FA32AA" w:rsidRDefault="00711CE4" w:rsidP="00711CE4">
            <w:pPr>
              <w:jc w:val="center"/>
              <w:rPr>
                <w:rFonts w:eastAsia="Calibri"/>
                <w:bCs/>
                <w:iCs/>
                <w:sz w:val="22"/>
                <w:szCs w:val="22"/>
              </w:rPr>
            </w:pPr>
          </w:p>
        </w:tc>
        <w:tc>
          <w:tcPr>
            <w:tcW w:w="1916" w:type="dxa"/>
            <w:shd w:val="clear" w:color="auto" w:fill="auto"/>
          </w:tcPr>
          <w:p w:rsidR="00711CE4" w:rsidRPr="00FA32AA" w:rsidRDefault="00711CE4" w:rsidP="00711CE4">
            <w:pPr>
              <w:jc w:val="center"/>
              <w:rPr>
                <w:rFonts w:eastAsia="Calibri"/>
                <w:b/>
                <w:bCs/>
                <w:i/>
                <w:iCs/>
                <w:sz w:val="22"/>
                <w:szCs w:val="22"/>
              </w:rPr>
            </w:pPr>
          </w:p>
        </w:tc>
      </w:tr>
      <w:tr w:rsidR="00711CE4" w:rsidRPr="003F655B" w:rsidTr="00711CE4">
        <w:trPr>
          <w:trHeight w:val="305"/>
        </w:trPr>
        <w:tc>
          <w:tcPr>
            <w:tcW w:w="9576" w:type="dxa"/>
            <w:gridSpan w:val="5"/>
            <w:shd w:val="clear" w:color="auto" w:fill="auto"/>
          </w:tcPr>
          <w:p w:rsidR="00711CE4" w:rsidRPr="00FA32AA" w:rsidRDefault="00711CE4" w:rsidP="00711CE4">
            <w:pPr>
              <w:rPr>
                <w:rFonts w:eastAsia="Calibri"/>
                <w:b/>
                <w:bCs/>
                <w:i/>
                <w:iCs/>
                <w:sz w:val="22"/>
                <w:szCs w:val="22"/>
              </w:rPr>
            </w:pPr>
            <w:r>
              <w:rPr>
                <w:i/>
                <w:sz w:val="18"/>
                <w:szCs w:val="20"/>
              </w:rPr>
              <w:t>*</w:t>
            </w:r>
            <w:r w:rsidRPr="00FA32AA">
              <w:rPr>
                <w:i/>
                <w:sz w:val="18"/>
                <w:szCs w:val="20"/>
              </w:rPr>
              <w:t>HUD is requiring the use of this metric; however, DHCD does not believe it is applicable in this context of this MTW activity.  DHCD will establish a benchmark of maintaining this level going forward,</w:t>
            </w:r>
          </w:p>
        </w:tc>
      </w:tr>
      <w:tr w:rsidR="00711CE4" w:rsidRPr="003F655B" w:rsidTr="009E38DF">
        <w:trPr>
          <w:trHeight w:val="305"/>
        </w:trPr>
        <w:tc>
          <w:tcPr>
            <w:tcW w:w="9576" w:type="dxa"/>
            <w:gridSpan w:val="5"/>
            <w:shd w:val="clear" w:color="auto" w:fill="C6D9F1" w:themeFill="text2" w:themeFillTint="33"/>
            <w:hideMark/>
          </w:tcPr>
          <w:p w:rsidR="00711CE4" w:rsidRPr="00FA32AA" w:rsidRDefault="00711CE4" w:rsidP="00711CE4">
            <w:pPr>
              <w:jc w:val="center"/>
              <w:rPr>
                <w:rFonts w:eastAsia="Calibri"/>
                <w:b/>
                <w:bCs/>
                <w:i/>
                <w:iCs/>
                <w:sz w:val="22"/>
                <w:szCs w:val="22"/>
              </w:rPr>
            </w:pPr>
            <w:r w:rsidRPr="00FA32AA">
              <w:rPr>
                <w:rFonts w:eastAsia="Calibri"/>
                <w:b/>
                <w:bCs/>
                <w:i/>
                <w:iCs/>
                <w:sz w:val="22"/>
                <w:szCs w:val="22"/>
              </w:rPr>
              <w:t>SS #5: Households Assisted by Services that Increase Self Sufficiency*</w:t>
            </w:r>
          </w:p>
        </w:tc>
      </w:tr>
      <w:tr w:rsidR="00711CE4" w:rsidRPr="003F655B" w:rsidTr="00711CE4">
        <w:trPr>
          <w:trHeight w:val="615"/>
        </w:trPr>
        <w:tc>
          <w:tcPr>
            <w:tcW w:w="1915" w:type="dxa"/>
            <w:shd w:val="clear" w:color="auto" w:fill="DDDDDD"/>
            <w:vAlign w:val="center"/>
            <w:hideMark/>
          </w:tcPr>
          <w:p w:rsidR="00711CE4" w:rsidRPr="00FA32AA" w:rsidRDefault="00711CE4" w:rsidP="00711CE4">
            <w:pPr>
              <w:rPr>
                <w:rFonts w:eastAsia="Calibri"/>
                <w:b/>
                <w:bCs/>
                <w:sz w:val="22"/>
                <w:szCs w:val="22"/>
              </w:rPr>
            </w:pPr>
            <w:r w:rsidRPr="00FA32AA">
              <w:rPr>
                <w:rFonts w:eastAsia="Calibri"/>
                <w:b/>
                <w:bCs/>
                <w:sz w:val="22"/>
                <w:szCs w:val="22"/>
              </w:rPr>
              <w:t>Unit of Measurement</w:t>
            </w:r>
          </w:p>
        </w:tc>
        <w:tc>
          <w:tcPr>
            <w:tcW w:w="1915" w:type="dxa"/>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Baseline</w:t>
            </w:r>
          </w:p>
        </w:tc>
        <w:tc>
          <w:tcPr>
            <w:tcW w:w="1915" w:type="dxa"/>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Benchmark</w:t>
            </w:r>
          </w:p>
        </w:tc>
        <w:tc>
          <w:tcPr>
            <w:tcW w:w="1915" w:type="dxa"/>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Outcome</w:t>
            </w:r>
          </w:p>
        </w:tc>
        <w:tc>
          <w:tcPr>
            <w:tcW w:w="1916" w:type="dxa"/>
            <w:shd w:val="clear" w:color="auto" w:fill="DDDDDD"/>
            <w:vAlign w:val="center"/>
            <w:hideMark/>
          </w:tcPr>
          <w:p w:rsidR="00711CE4" w:rsidRPr="00FA32AA" w:rsidRDefault="00711CE4" w:rsidP="00711CE4">
            <w:pPr>
              <w:jc w:val="center"/>
              <w:rPr>
                <w:rFonts w:eastAsia="Calibri"/>
                <w:b/>
                <w:bCs/>
                <w:sz w:val="22"/>
                <w:szCs w:val="22"/>
              </w:rPr>
            </w:pPr>
            <w:r w:rsidRPr="00FA32AA">
              <w:rPr>
                <w:rFonts w:eastAsia="Calibri"/>
                <w:b/>
                <w:bCs/>
                <w:sz w:val="22"/>
                <w:szCs w:val="22"/>
              </w:rPr>
              <w:t>Benchmark Achieved?</w:t>
            </w:r>
          </w:p>
        </w:tc>
      </w:tr>
      <w:tr w:rsidR="00711CE4" w:rsidRPr="003F655B" w:rsidTr="00711CE4">
        <w:trPr>
          <w:trHeight w:val="1124"/>
        </w:trPr>
        <w:tc>
          <w:tcPr>
            <w:tcW w:w="1915" w:type="dxa"/>
            <w:shd w:val="clear" w:color="auto" w:fill="auto"/>
            <w:hideMark/>
          </w:tcPr>
          <w:p w:rsidR="00711CE4" w:rsidRPr="00FA32AA" w:rsidRDefault="00711CE4" w:rsidP="00711CE4">
            <w:pPr>
              <w:rPr>
                <w:rFonts w:eastAsia="Calibri"/>
                <w:sz w:val="22"/>
                <w:szCs w:val="22"/>
              </w:rPr>
            </w:pPr>
            <w:r w:rsidRPr="00FA32AA">
              <w:rPr>
                <w:rFonts w:eastAsia="Calibri"/>
                <w:sz w:val="22"/>
                <w:szCs w:val="22"/>
              </w:rPr>
              <w:t>Number of households receiving services aimed to increase self-sufficiency (increase).</w:t>
            </w:r>
          </w:p>
        </w:tc>
        <w:tc>
          <w:tcPr>
            <w:tcW w:w="1915" w:type="dxa"/>
            <w:shd w:val="clear" w:color="auto" w:fill="auto"/>
            <w:hideMark/>
          </w:tcPr>
          <w:p w:rsidR="00711CE4" w:rsidRPr="00FA32AA" w:rsidRDefault="00711CE4" w:rsidP="00711CE4">
            <w:pPr>
              <w:jc w:val="center"/>
              <w:rPr>
                <w:rFonts w:eastAsia="Calibri"/>
                <w:sz w:val="22"/>
                <w:szCs w:val="22"/>
              </w:rPr>
            </w:pPr>
            <w:r w:rsidRPr="00FA32AA">
              <w:rPr>
                <w:rFonts w:eastAsia="Calibri"/>
                <w:sz w:val="22"/>
                <w:szCs w:val="22"/>
              </w:rPr>
              <w:t>913 Households</w:t>
            </w:r>
          </w:p>
          <w:p w:rsidR="00711CE4" w:rsidRPr="00FA32AA" w:rsidRDefault="00711CE4" w:rsidP="00711CE4">
            <w:pPr>
              <w:jc w:val="center"/>
              <w:rPr>
                <w:rFonts w:eastAsia="Calibri"/>
                <w:sz w:val="22"/>
                <w:szCs w:val="22"/>
              </w:rPr>
            </w:pPr>
          </w:p>
          <w:p w:rsidR="00711CE4" w:rsidRPr="00FA32AA" w:rsidRDefault="00711CE4" w:rsidP="00711CE4">
            <w:pPr>
              <w:jc w:val="center"/>
              <w:rPr>
                <w:rFonts w:eastAsia="Calibri"/>
                <w:sz w:val="22"/>
                <w:szCs w:val="22"/>
              </w:rPr>
            </w:pPr>
            <w:r w:rsidRPr="00FA32AA">
              <w:rPr>
                <w:rFonts w:eastAsia="Calibri"/>
                <w:sz w:val="22"/>
                <w:szCs w:val="22"/>
              </w:rPr>
              <w:t>Total Number of FSS participants</w:t>
            </w:r>
          </w:p>
        </w:tc>
        <w:tc>
          <w:tcPr>
            <w:tcW w:w="1915" w:type="dxa"/>
            <w:shd w:val="clear" w:color="auto" w:fill="auto"/>
            <w:hideMark/>
          </w:tcPr>
          <w:p w:rsidR="00711CE4" w:rsidRPr="004702DE" w:rsidRDefault="00E62EFD" w:rsidP="00711CE4">
            <w:pPr>
              <w:jc w:val="center"/>
              <w:rPr>
                <w:rFonts w:eastAsia="Calibri"/>
                <w:sz w:val="22"/>
                <w:szCs w:val="22"/>
              </w:rPr>
            </w:pPr>
            <w:r w:rsidRPr="004702DE">
              <w:rPr>
                <w:rFonts w:eastAsia="Calibri"/>
                <w:sz w:val="22"/>
                <w:szCs w:val="22"/>
              </w:rPr>
              <w:t>915 Households</w:t>
            </w:r>
          </w:p>
          <w:p w:rsidR="00711CE4" w:rsidRPr="004702DE" w:rsidRDefault="00711CE4" w:rsidP="00711CE4">
            <w:pPr>
              <w:jc w:val="center"/>
              <w:rPr>
                <w:rFonts w:eastAsia="Calibri"/>
                <w:sz w:val="22"/>
                <w:szCs w:val="22"/>
              </w:rPr>
            </w:pPr>
          </w:p>
        </w:tc>
        <w:tc>
          <w:tcPr>
            <w:tcW w:w="1915" w:type="dxa"/>
            <w:shd w:val="clear" w:color="auto" w:fill="auto"/>
          </w:tcPr>
          <w:p w:rsidR="00711CE4" w:rsidRPr="004702DE" w:rsidRDefault="00711CE4" w:rsidP="00711CE4">
            <w:pPr>
              <w:rPr>
                <w:rFonts w:eastAsia="Calibri"/>
                <w:sz w:val="22"/>
                <w:szCs w:val="22"/>
              </w:rPr>
            </w:pPr>
          </w:p>
        </w:tc>
        <w:tc>
          <w:tcPr>
            <w:tcW w:w="1916" w:type="dxa"/>
            <w:shd w:val="clear" w:color="auto" w:fill="auto"/>
          </w:tcPr>
          <w:p w:rsidR="00711CE4" w:rsidRPr="00FA32AA" w:rsidRDefault="00711CE4" w:rsidP="00711CE4">
            <w:pPr>
              <w:rPr>
                <w:rFonts w:eastAsia="Calibri"/>
                <w:sz w:val="22"/>
                <w:szCs w:val="22"/>
              </w:rPr>
            </w:pPr>
          </w:p>
        </w:tc>
      </w:tr>
      <w:tr w:rsidR="00711CE4" w:rsidRPr="003F655B" w:rsidTr="00711CE4">
        <w:trPr>
          <w:trHeight w:val="413"/>
        </w:trPr>
        <w:tc>
          <w:tcPr>
            <w:tcW w:w="9576" w:type="dxa"/>
            <w:gridSpan w:val="5"/>
            <w:shd w:val="clear" w:color="auto" w:fill="auto"/>
          </w:tcPr>
          <w:p w:rsidR="00711CE4" w:rsidRPr="00FA32AA" w:rsidRDefault="00711CE4" w:rsidP="00711CE4">
            <w:pPr>
              <w:rPr>
                <w:rFonts w:eastAsia="Calibri"/>
                <w:sz w:val="22"/>
                <w:szCs w:val="22"/>
              </w:rPr>
            </w:pPr>
            <w:r>
              <w:rPr>
                <w:i/>
                <w:sz w:val="18"/>
                <w:szCs w:val="20"/>
              </w:rPr>
              <w:t>*</w:t>
            </w:r>
            <w:r w:rsidRPr="00FA32AA">
              <w:rPr>
                <w:i/>
                <w:sz w:val="18"/>
                <w:szCs w:val="20"/>
              </w:rPr>
              <w:t>HUD is requiring the use of this metric; however, DHCD does not believe it is applicable in this context of this MTW activity.  DHCD will establish a benchmark of maintaining this level going forward,</w:t>
            </w:r>
          </w:p>
        </w:tc>
      </w:tr>
      <w:tr w:rsidR="00711CE4" w:rsidRPr="00FB4487" w:rsidTr="009E38DF">
        <w:trPr>
          <w:trHeight w:val="296"/>
        </w:trPr>
        <w:tc>
          <w:tcPr>
            <w:tcW w:w="9576" w:type="dxa"/>
            <w:gridSpan w:val="5"/>
            <w:shd w:val="clear" w:color="auto" w:fill="C6D9F1" w:themeFill="text2" w:themeFillTint="33"/>
          </w:tcPr>
          <w:p w:rsidR="00711CE4" w:rsidRPr="00FA32AA" w:rsidRDefault="00711CE4" w:rsidP="00711CE4">
            <w:pPr>
              <w:jc w:val="center"/>
              <w:rPr>
                <w:rFonts w:eastAsia="Calibri"/>
                <w:b/>
                <w:bCs/>
                <w:i/>
                <w:iCs/>
                <w:sz w:val="22"/>
                <w:szCs w:val="22"/>
              </w:rPr>
            </w:pPr>
            <w:r w:rsidRPr="00FA32AA">
              <w:rPr>
                <w:b/>
                <w:bCs/>
                <w:i/>
                <w:iCs/>
                <w:sz w:val="22"/>
                <w:szCs w:val="22"/>
              </w:rPr>
              <w:t>SS #6: Reducing Per Unit Subsidy Costs for Participating Households *</w:t>
            </w:r>
          </w:p>
        </w:tc>
      </w:tr>
      <w:tr w:rsidR="00711CE4" w:rsidRPr="00FB4487" w:rsidTr="00711CE4">
        <w:trPr>
          <w:trHeight w:val="296"/>
        </w:trPr>
        <w:tc>
          <w:tcPr>
            <w:tcW w:w="1915" w:type="dxa"/>
            <w:shd w:val="clear" w:color="auto" w:fill="DDDDDD"/>
            <w:vAlign w:val="center"/>
          </w:tcPr>
          <w:p w:rsidR="00711CE4" w:rsidRPr="00FA32AA" w:rsidRDefault="00711CE4" w:rsidP="00711CE4">
            <w:pPr>
              <w:rPr>
                <w:rFonts w:eastAsia="Calibri"/>
                <w:b/>
                <w:bCs/>
                <w:sz w:val="22"/>
                <w:szCs w:val="22"/>
              </w:rPr>
            </w:pPr>
            <w:r w:rsidRPr="00FA32AA">
              <w:rPr>
                <w:rFonts w:eastAsia="Calibri"/>
                <w:b/>
                <w:bCs/>
                <w:sz w:val="22"/>
                <w:szCs w:val="22"/>
              </w:rPr>
              <w:t>Unit of Measurement</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Baseline</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Benchmark</w:t>
            </w:r>
          </w:p>
        </w:tc>
        <w:tc>
          <w:tcPr>
            <w:tcW w:w="1915"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Outcome</w:t>
            </w:r>
          </w:p>
        </w:tc>
        <w:tc>
          <w:tcPr>
            <w:tcW w:w="1916" w:type="dxa"/>
            <w:shd w:val="clear" w:color="auto" w:fill="DDDDDD"/>
            <w:vAlign w:val="center"/>
          </w:tcPr>
          <w:p w:rsidR="00711CE4" w:rsidRPr="00FA32AA" w:rsidRDefault="00711CE4" w:rsidP="00711CE4">
            <w:pPr>
              <w:jc w:val="center"/>
              <w:rPr>
                <w:rFonts w:eastAsia="Calibri"/>
                <w:b/>
                <w:bCs/>
                <w:sz w:val="22"/>
                <w:szCs w:val="22"/>
              </w:rPr>
            </w:pPr>
            <w:r w:rsidRPr="00FA32AA">
              <w:rPr>
                <w:rFonts w:eastAsia="Calibri"/>
                <w:b/>
                <w:bCs/>
                <w:sz w:val="22"/>
                <w:szCs w:val="22"/>
              </w:rPr>
              <w:t>Benchmark Achieved?</w:t>
            </w:r>
          </w:p>
        </w:tc>
      </w:tr>
      <w:tr w:rsidR="00711CE4" w:rsidRPr="00FB4487" w:rsidTr="00711CE4">
        <w:trPr>
          <w:trHeight w:val="296"/>
        </w:trPr>
        <w:tc>
          <w:tcPr>
            <w:tcW w:w="1915" w:type="dxa"/>
            <w:shd w:val="clear" w:color="auto" w:fill="auto"/>
          </w:tcPr>
          <w:p w:rsidR="00711CE4" w:rsidRPr="00FA32AA" w:rsidRDefault="00711CE4" w:rsidP="00711CE4">
            <w:pPr>
              <w:rPr>
                <w:rFonts w:eastAsia="Calibri"/>
                <w:b/>
                <w:bCs/>
                <w:i/>
                <w:iCs/>
                <w:sz w:val="22"/>
                <w:szCs w:val="22"/>
              </w:rPr>
            </w:pPr>
            <w:r w:rsidRPr="00FA32AA">
              <w:rPr>
                <w:sz w:val="22"/>
                <w:szCs w:val="22"/>
              </w:rPr>
              <w:t>Average amount of Section 8 subsidy per household affected by this policy in dollars (decrease).</w:t>
            </w:r>
          </w:p>
        </w:tc>
        <w:tc>
          <w:tcPr>
            <w:tcW w:w="1915" w:type="dxa"/>
            <w:shd w:val="clear" w:color="auto" w:fill="auto"/>
          </w:tcPr>
          <w:p w:rsidR="00711CE4" w:rsidRPr="00FA32AA" w:rsidRDefault="00711CE4" w:rsidP="00711CE4">
            <w:pPr>
              <w:jc w:val="center"/>
              <w:rPr>
                <w:rFonts w:eastAsia="Calibri"/>
                <w:bCs/>
                <w:iCs/>
                <w:sz w:val="22"/>
                <w:szCs w:val="22"/>
              </w:rPr>
            </w:pPr>
            <w:r w:rsidRPr="00FA32AA">
              <w:rPr>
                <w:rFonts w:eastAsia="Calibri"/>
                <w:bCs/>
                <w:iCs/>
                <w:sz w:val="22"/>
                <w:szCs w:val="22"/>
              </w:rPr>
              <w:t>$870</w:t>
            </w:r>
          </w:p>
          <w:p w:rsidR="00711CE4" w:rsidRPr="00FA32AA" w:rsidRDefault="00711CE4" w:rsidP="00711CE4">
            <w:pPr>
              <w:jc w:val="center"/>
              <w:rPr>
                <w:rFonts w:eastAsia="Calibri"/>
                <w:bCs/>
                <w:iCs/>
                <w:sz w:val="22"/>
                <w:szCs w:val="22"/>
              </w:rPr>
            </w:pPr>
            <w:r w:rsidRPr="00FA32AA">
              <w:rPr>
                <w:rFonts w:eastAsia="Calibri"/>
                <w:bCs/>
                <w:iCs/>
                <w:sz w:val="22"/>
                <w:szCs w:val="22"/>
              </w:rPr>
              <w:t>FY 2015</w:t>
            </w:r>
          </w:p>
        </w:tc>
        <w:tc>
          <w:tcPr>
            <w:tcW w:w="1915" w:type="dxa"/>
            <w:shd w:val="clear" w:color="auto" w:fill="auto"/>
          </w:tcPr>
          <w:p w:rsidR="00711CE4" w:rsidRDefault="009423B1" w:rsidP="00711CE4">
            <w:pPr>
              <w:jc w:val="center"/>
              <w:rPr>
                <w:rFonts w:eastAsia="Calibri"/>
                <w:bCs/>
                <w:iCs/>
                <w:sz w:val="22"/>
                <w:szCs w:val="22"/>
              </w:rPr>
            </w:pPr>
            <w:r>
              <w:rPr>
                <w:rFonts w:eastAsia="Calibri"/>
                <w:bCs/>
                <w:iCs/>
                <w:sz w:val="22"/>
                <w:szCs w:val="22"/>
              </w:rPr>
              <w:t>$900*</w:t>
            </w:r>
          </w:p>
          <w:p w:rsidR="0004666E" w:rsidRPr="00E62EFD" w:rsidRDefault="0004666E" w:rsidP="00711CE4">
            <w:pPr>
              <w:jc w:val="center"/>
              <w:rPr>
                <w:rFonts w:eastAsia="Calibri"/>
                <w:bCs/>
                <w:iCs/>
                <w:sz w:val="14"/>
                <w:szCs w:val="22"/>
              </w:rPr>
            </w:pPr>
          </w:p>
          <w:p w:rsidR="009423B1" w:rsidRPr="009423B1" w:rsidRDefault="009423B1" w:rsidP="009423B1">
            <w:pPr>
              <w:jc w:val="center"/>
              <w:rPr>
                <w:rFonts w:eastAsia="Calibri"/>
                <w:bCs/>
                <w:iCs/>
                <w:sz w:val="22"/>
                <w:szCs w:val="22"/>
              </w:rPr>
            </w:pPr>
            <w:r>
              <w:rPr>
                <w:rFonts w:eastAsia="Calibri"/>
                <w:bCs/>
                <w:iCs/>
                <w:sz w:val="22"/>
                <w:szCs w:val="22"/>
              </w:rPr>
              <w:t>*Includes application of the UA for electricity</w:t>
            </w:r>
          </w:p>
          <w:p w:rsidR="009423B1" w:rsidRPr="00FA32AA" w:rsidRDefault="009423B1" w:rsidP="00711CE4">
            <w:pPr>
              <w:jc w:val="center"/>
              <w:rPr>
                <w:rFonts w:eastAsia="Calibri"/>
                <w:bCs/>
                <w:iCs/>
                <w:sz w:val="12"/>
                <w:szCs w:val="22"/>
              </w:rPr>
            </w:pPr>
          </w:p>
          <w:p w:rsidR="00711CE4" w:rsidRPr="00FA32AA" w:rsidRDefault="00711CE4" w:rsidP="00711CE4">
            <w:pPr>
              <w:jc w:val="center"/>
              <w:rPr>
                <w:rFonts w:eastAsia="Calibri"/>
                <w:bCs/>
                <w:iCs/>
                <w:sz w:val="22"/>
                <w:szCs w:val="22"/>
              </w:rPr>
            </w:pPr>
          </w:p>
        </w:tc>
        <w:tc>
          <w:tcPr>
            <w:tcW w:w="1915" w:type="dxa"/>
            <w:shd w:val="clear" w:color="auto" w:fill="auto"/>
          </w:tcPr>
          <w:p w:rsidR="00711CE4" w:rsidRPr="00FA32AA" w:rsidRDefault="00711CE4" w:rsidP="00711CE4">
            <w:pPr>
              <w:jc w:val="center"/>
              <w:rPr>
                <w:rFonts w:eastAsia="Calibri"/>
                <w:b/>
                <w:bCs/>
                <w:i/>
                <w:iCs/>
                <w:sz w:val="22"/>
                <w:szCs w:val="22"/>
              </w:rPr>
            </w:pPr>
          </w:p>
        </w:tc>
        <w:tc>
          <w:tcPr>
            <w:tcW w:w="1916" w:type="dxa"/>
            <w:shd w:val="clear" w:color="auto" w:fill="auto"/>
          </w:tcPr>
          <w:p w:rsidR="00711CE4" w:rsidRPr="00FA32AA" w:rsidRDefault="00711CE4" w:rsidP="00711CE4">
            <w:pPr>
              <w:jc w:val="center"/>
              <w:rPr>
                <w:rFonts w:eastAsia="Calibri"/>
                <w:b/>
                <w:bCs/>
                <w:i/>
                <w:iCs/>
                <w:sz w:val="22"/>
                <w:szCs w:val="22"/>
              </w:rPr>
            </w:pPr>
          </w:p>
        </w:tc>
      </w:tr>
      <w:tr w:rsidR="00711CE4" w:rsidRPr="00FB4487" w:rsidTr="00711CE4">
        <w:trPr>
          <w:trHeight w:val="296"/>
        </w:trPr>
        <w:tc>
          <w:tcPr>
            <w:tcW w:w="9576" w:type="dxa"/>
            <w:gridSpan w:val="5"/>
            <w:shd w:val="clear" w:color="auto" w:fill="auto"/>
          </w:tcPr>
          <w:p w:rsidR="00711CE4" w:rsidRPr="00FA32AA" w:rsidRDefault="00711CE4" w:rsidP="00711CE4">
            <w:pPr>
              <w:rPr>
                <w:rFonts w:eastAsia="Calibri"/>
                <w:b/>
                <w:bCs/>
                <w:i/>
                <w:iCs/>
                <w:sz w:val="22"/>
                <w:szCs w:val="22"/>
              </w:rPr>
            </w:pPr>
            <w:r>
              <w:rPr>
                <w:i/>
                <w:sz w:val="18"/>
                <w:szCs w:val="20"/>
              </w:rPr>
              <w:t>*</w:t>
            </w:r>
            <w:r w:rsidRPr="00FA32AA">
              <w:rPr>
                <w:i/>
                <w:sz w:val="18"/>
                <w:szCs w:val="20"/>
              </w:rPr>
              <w:t>HUD is requiring the use of this metric; however, DHCD does not believe it is applicable in this context of this MTW activity.  DHCD will establish a benchmark of maintaining this level going forward,</w:t>
            </w:r>
          </w:p>
        </w:tc>
      </w:tr>
    </w:tbl>
    <w:p w:rsidR="00711CE4" w:rsidRDefault="00711CE4" w:rsidP="00711CE4">
      <w:pPr>
        <w:jc w:val="center"/>
        <w:rPr>
          <w:b/>
          <w:bCs/>
          <w:i/>
          <w:iCs/>
          <w:sz w:val="22"/>
          <w:szCs w:val="22"/>
        </w:rPr>
        <w:sectPr w:rsidR="00711CE4" w:rsidSect="006D4DF1">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73"/>
        <w:gridCol w:w="1873"/>
        <w:gridCol w:w="1850"/>
        <w:gridCol w:w="1870"/>
      </w:tblGrid>
      <w:tr w:rsidR="00711CE4" w:rsidRPr="00FB4487" w:rsidTr="009E38DF">
        <w:trPr>
          <w:trHeight w:val="242"/>
        </w:trPr>
        <w:tc>
          <w:tcPr>
            <w:tcW w:w="9576" w:type="dxa"/>
            <w:gridSpan w:val="5"/>
            <w:shd w:val="clear" w:color="auto" w:fill="C6D9F1" w:themeFill="text2" w:themeFillTint="33"/>
          </w:tcPr>
          <w:p w:rsidR="00711CE4" w:rsidRPr="00FB4487" w:rsidRDefault="00711CE4" w:rsidP="00711CE4">
            <w:pPr>
              <w:jc w:val="center"/>
              <w:rPr>
                <w:rFonts w:eastAsia="Calibri"/>
                <w:b/>
                <w:bCs/>
                <w:i/>
                <w:iCs/>
                <w:sz w:val="22"/>
                <w:szCs w:val="22"/>
              </w:rPr>
            </w:pPr>
            <w:r w:rsidRPr="00FB4487">
              <w:rPr>
                <w:b/>
                <w:bCs/>
                <w:i/>
                <w:iCs/>
                <w:sz w:val="22"/>
                <w:szCs w:val="22"/>
              </w:rPr>
              <w:t>SS #7: Increase in Agency Rental Revenue</w:t>
            </w:r>
            <w:r>
              <w:rPr>
                <w:b/>
                <w:bCs/>
                <w:i/>
                <w:iCs/>
                <w:sz w:val="22"/>
                <w:szCs w:val="22"/>
              </w:rPr>
              <w:t xml:space="preserve"> *</w:t>
            </w:r>
          </w:p>
        </w:tc>
      </w:tr>
      <w:tr w:rsidR="00711CE4" w:rsidRPr="00FB4487" w:rsidTr="00711CE4">
        <w:trPr>
          <w:trHeight w:val="296"/>
        </w:trPr>
        <w:tc>
          <w:tcPr>
            <w:tcW w:w="1915" w:type="dxa"/>
            <w:shd w:val="clear" w:color="auto" w:fill="DDDDDD"/>
            <w:vAlign w:val="center"/>
          </w:tcPr>
          <w:p w:rsidR="00711CE4" w:rsidRPr="00FB4487" w:rsidRDefault="00711CE4" w:rsidP="00711CE4">
            <w:pPr>
              <w:rPr>
                <w:rFonts w:eastAsia="Calibri"/>
                <w:b/>
                <w:bCs/>
                <w:sz w:val="22"/>
                <w:szCs w:val="22"/>
              </w:rPr>
            </w:pPr>
            <w:r w:rsidRPr="00FB4487">
              <w:rPr>
                <w:rFonts w:eastAsia="Calibri"/>
                <w:b/>
                <w:bCs/>
                <w:sz w:val="22"/>
                <w:szCs w:val="22"/>
              </w:rPr>
              <w:t>Unit of Measurement</w:t>
            </w:r>
          </w:p>
        </w:tc>
        <w:tc>
          <w:tcPr>
            <w:tcW w:w="1915" w:type="dxa"/>
            <w:shd w:val="clear" w:color="auto" w:fill="DDDDDD"/>
            <w:vAlign w:val="center"/>
          </w:tcPr>
          <w:p w:rsidR="00711CE4" w:rsidRPr="00FB4487" w:rsidRDefault="00711CE4" w:rsidP="00711CE4">
            <w:pPr>
              <w:jc w:val="center"/>
              <w:rPr>
                <w:rFonts w:eastAsia="Calibri"/>
                <w:b/>
                <w:bCs/>
                <w:sz w:val="22"/>
                <w:szCs w:val="22"/>
              </w:rPr>
            </w:pPr>
            <w:r w:rsidRPr="00FB4487">
              <w:rPr>
                <w:rFonts w:eastAsia="Calibri"/>
                <w:b/>
                <w:bCs/>
                <w:sz w:val="22"/>
                <w:szCs w:val="22"/>
              </w:rPr>
              <w:t>Baseline</w:t>
            </w:r>
          </w:p>
        </w:tc>
        <w:tc>
          <w:tcPr>
            <w:tcW w:w="1915" w:type="dxa"/>
            <w:shd w:val="clear" w:color="auto" w:fill="DDDDDD"/>
            <w:vAlign w:val="center"/>
          </w:tcPr>
          <w:p w:rsidR="00711CE4" w:rsidRPr="00FB4487" w:rsidRDefault="00711CE4" w:rsidP="00711CE4">
            <w:pPr>
              <w:jc w:val="center"/>
              <w:rPr>
                <w:rFonts w:eastAsia="Calibri"/>
                <w:b/>
                <w:bCs/>
                <w:sz w:val="22"/>
                <w:szCs w:val="22"/>
              </w:rPr>
            </w:pPr>
            <w:r w:rsidRPr="00FB4487">
              <w:rPr>
                <w:rFonts w:eastAsia="Calibri"/>
                <w:b/>
                <w:bCs/>
                <w:sz w:val="22"/>
                <w:szCs w:val="22"/>
              </w:rPr>
              <w:t>Benchmark</w:t>
            </w:r>
          </w:p>
        </w:tc>
        <w:tc>
          <w:tcPr>
            <w:tcW w:w="1915" w:type="dxa"/>
            <w:shd w:val="clear" w:color="auto" w:fill="DDDDDD"/>
            <w:vAlign w:val="center"/>
          </w:tcPr>
          <w:p w:rsidR="00711CE4" w:rsidRPr="00FB4487" w:rsidRDefault="00711CE4" w:rsidP="00711CE4">
            <w:pPr>
              <w:jc w:val="center"/>
              <w:rPr>
                <w:rFonts w:eastAsia="Calibri"/>
                <w:b/>
                <w:bCs/>
                <w:sz w:val="22"/>
                <w:szCs w:val="22"/>
              </w:rPr>
            </w:pPr>
            <w:r w:rsidRPr="00FB4487">
              <w:rPr>
                <w:rFonts w:eastAsia="Calibri"/>
                <w:b/>
                <w:bCs/>
                <w:sz w:val="22"/>
                <w:szCs w:val="22"/>
              </w:rPr>
              <w:t>Outcome</w:t>
            </w:r>
          </w:p>
        </w:tc>
        <w:tc>
          <w:tcPr>
            <w:tcW w:w="1916" w:type="dxa"/>
            <w:shd w:val="clear" w:color="auto" w:fill="DDDDDD"/>
            <w:vAlign w:val="center"/>
          </w:tcPr>
          <w:p w:rsidR="00711CE4" w:rsidRPr="00FB4487" w:rsidRDefault="00711CE4" w:rsidP="00711CE4">
            <w:pPr>
              <w:jc w:val="center"/>
              <w:rPr>
                <w:rFonts w:eastAsia="Calibri"/>
                <w:b/>
                <w:bCs/>
                <w:sz w:val="22"/>
                <w:szCs w:val="22"/>
              </w:rPr>
            </w:pPr>
            <w:r w:rsidRPr="00FB4487">
              <w:rPr>
                <w:rFonts w:eastAsia="Calibri"/>
                <w:b/>
                <w:bCs/>
                <w:sz w:val="22"/>
                <w:szCs w:val="22"/>
              </w:rPr>
              <w:t>Benchmark Achieved?</w:t>
            </w:r>
          </w:p>
        </w:tc>
      </w:tr>
      <w:tr w:rsidR="00711CE4" w:rsidRPr="00FB4487" w:rsidTr="00711CE4">
        <w:trPr>
          <w:trHeight w:val="2195"/>
        </w:trPr>
        <w:tc>
          <w:tcPr>
            <w:tcW w:w="1915" w:type="dxa"/>
            <w:shd w:val="clear" w:color="auto" w:fill="auto"/>
          </w:tcPr>
          <w:p w:rsidR="00711CE4" w:rsidRPr="00FB4487" w:rsidRDefault="00711CE4" w:rsidP="00711CE4">
            <w:pPr>
              <w:rPr>
                <w:rFonts w:eastAsia="Calibri"/>
                <w:b/>
                <w:bCs/>
                <w:i/>
                <w:iCs/>
                <w:sz w:val="22"/>
                <w:szCs w:val="22"/>
              </w:rPr>
            </w:pPr>
            <w:r w:rsidRPr="00FB4487">
              <w:rPr>
                <w:sz w:val="22"/>
                <w:szCs w:val="22"/>
              </w:rPr>
              <w:t>PHA rental revenue in dollars (increase).</w:t>
            </w:r>
          </w:p>
        </w:tc>
        <w:tc>
          <w:tcPr>
            <w:tcW w:w="1915" w:type="dxa"/>
            <w:shd w:val="clear" w:color="auto" w:fill="auto"/>
          </w:tcPr>
          <w:p w:rsidR="00711CE4" w:rsidRDefault="00711CE4" w:rsidP="00711CE4">
            <w:pPr>
              <w:jc w:val="center"/>
              <w:rPr>
                <w:rFonts w:eastAsia="Calibri"/>
                <w:sz w:val="22"/>
                <w:szCs w:val="22"/>
              </w:rPr>
            </w:pPr>
            <w:r w:rsidRPr="00DA4ED8">
              <w:rPr>
                <w:rFonts w:eastAsia="Calibri"/>
                <w:sz w:val="22"/>
                <w:szCs w:val="22"/>
              </w:rPr>
              <w:t>$3</w:t>
            </w:r>
            <w:r>
              <w:rPr>
                <w:rFonts w:eastAsia="Calibri"/>
                <w:sz w:val="22"/>
                <w:szCs w:val="22"/>
              </w:rPr>
              <w:t>82</w:t>
            </w:r>
            <w:r w:rsidR="00E62EFD">
              <w:rPr>
                <w:rFonts w:eastAsia="Calibri"/>
                <w:sz w:val="22"/>
                <w:szCs w:val="22"/>
              </w:rPr>
              <w:t>*</w:t>
            </w:r>
          </w:p>
          <w:p w:rsidR="00E62EFD" w:rsidRDefault="00E62EFD" w:rsidP="00711CE4">
            <w:pPr>
              <w:jc w:val="center"/>
              <w:rPr>
                <w:rFonts w:eastAsia="Calibri"/>
                <w:sz w:val="22"/>
                <w:szCs w:val="22"/>
              </w:rPr>
            </w:pPr>
          </w:p>
          <w:p w:rsidR="00711CE4" w:rsidRPr="00DC78E4" w:rsidRDefault="00E62EFD" w:rsidP="00711CE4">
            <w:pPr>
              <w:jc w:val="center"/>
              <w:rPr>
                <w:rFonts w:eastAsia="Calibri"/>
                <w:bCs/>
                <w:iCs/>
                <w:sz w:val="22"/>
                <w:szCs w:val="22"/>
              </w:rPr>
            </w:pPr>
            <w:r>
              <w:rPr>
                <w:rFonts w:eastAsia="Calibri"/>
                <w:sz w:val="22"/>
                <w:szCs w:val="22"/>
              </w:rPr>
              <w:t>*</w:t>
            </w:r>
            <w:r w:rsidR="00711CE4">
              <w:rPr>
                <w:rFonts w:eastAsia="Calibri"/>
                <w:sz w:val="22"/>
                <w:szCs w:val="22"/>
              </w:rPr>
              <w:t xml:space="preserve">Baseline represents average tenant rent to owner at the time this metric was initially required.  </w:t>
            </w:r>
          </w:p>
        </w:tc>
        <w:tc>
          <w:tcPr>
            <w:tcW w:w="1915" w:type="dxa"/>
            <w:shd w:val="clear" w:color="auto" w:fill="auto"/>
          </w:tcPr>
          <w:p w:rsidR="00E62EFD" w:rsidRDefault="00711CE4" w:rsidP="00E62EFD">
            <w:pPr>
              <w:jc w:val="center"/>
              <w:rPr>
                <w:rFonts w:eastAsia="Calibri"/>
                <w:sz w:val="22"/>
                <w:szCs w:val="22"/>
              </w:rPr>
            </w:pPr>
            <w:r w:rsidRPr="00E62EFD">
              <w:rPr>
                <w:rFonts w:eastAsia="Calibri"/>
                <w:sz w:val="22"/>
                <w:szCs w:val="22"/>
              </w:rPr>
              <w:t>$</w:t>
            </w:r>
            <w:r w:rsidR="00E62EFD" w:rsidRPr="00E62EFD">
              <w:rPr>
                <w:rFonts w:eastAsia="Calibri"/>
                <w:sz w:val="22"/>
                <w:szCs w:val="22"/>
              </w:rPr>
              <w:t>331</w:t>
            </w:r>
            <w:r w:rsidR="00E62EFD">
              <w:rPr>
                <w:rFonts w:eastAsia="Calibri"/>
                <w:sz w:val="22"/>
                <w:szCs w:val="22"/>
              </w:rPr>
              <w:t>*</w:t>
            </w:r>
          </w:p>
          <w:p w:rsidR="00E62EFD" w:rsidRDefault="00E62EFD" w:rsidP="00E62EFD">
            <w:pPr>
              <w:jc w:val="center"/>
              <w:rPr>
                <w:rFonts w:eastAsia="Calibri"/>
                <w:sz w:val="22"/>
                <w:szCs w:val="22"/>
              </w:rPr>
            </w:pPr>
          </w:p>
          <w:p w:rsidR="00711CE4" w:rsidRPr="003D11C4" w:rsidRDefault="00E62EFD" w:rsidP="00E62EFD">
            <w:pPr>
              <w:jc w:val="center"/>
              <w:rPr>
                <w:rFonts w:eastAsia="Calibri"/>
                <w:bCs/>
                <w:i/>
                <w:iCs/>
                <w:sz w:val="22"/>
                <w:szCs w:val="22"/>
              </w:rPr>
            </w:pPr>
            <w:r>
              <w:rPr>
                <w:rFonts w:eastAsia="Calibri"/>
                <w:bCs/>
                <w:iCs/>
                <w:sz w:val="22"/>
                <w:szCs w:val="22"/>
              </w:rPr>
              <w:t>*</w:t>
            </w:r>
            <w:r w:rsidR="00711CE4" w:rsidRPr="005D4259">
              <w:rPr>
                <w:rFonts w:eastAsia="Calibri"/>
                <w:bCs/>
                <w:iCs/>
                <w:sz w:val="22"/>
                <w:szCs w:val="22"/>
              </w:rPr>
              <w:t xml:space="preserve">DHCD does not have any rental revenue and has been </w:t>
            </w:r>
            <w:r w:rsidR="00711CE4" w:rsidRPr="00DA4ED8">
              <w:rPr>
                <w:rFonts w:eastAsia="Calibri"/>
                <w:bCs/>
                <w:iCs/>
                <w:sz w:val="22"/>
                <w:szCs w:val="22"/>
              </w:rPr>
              <w:t xml:space="preserve">instructed by HUD to report on </w:t>
            </w:r>
            <w:r w:rsidR="00711CE4">
              <w:rPr>
                <w:rFonts w:eastAsia="Calibri"/>
                <w:bCs/>
                <w:iCs/>
                <w:sz w:val="22"/>
                <w:szCs w:val="22"/>
              </w:rPr>
              <w:t>a</w:t>
            </w:r>
            <w:r w:rsidR="00711CE4" w:rsidRPr="00DA4ED8">
              <w:rPr>
                <w:rFonts w:eastAsia="Calibri"/>
                <w:bCs/>
                <w:iCs/>
                <w:sz w:val="22"/>
                <w:szCs w:val="22"/>
              </w:rPr>
              <w:t xml:space="preserve">verage </w:t>
            </w:r>
            <w:r w:rsidR="00711CE4">
              <w:rPr>
                <w:rFonts w:eastAsia="Calibri"/>
                <w:bCs/>
                <w:iCs/>
                <w:sz w:val="22"/>
                <w:szCs w:val="22"/>
              </w:rPr>
              <w:t>t</w:t>
            </w:r>
            <w:r w:rsidR="00711CE4" w:rsidRPr="00DA4ED8">
              <w:rPr>
                <w:rFonts w:eastAsia="Calibri"/>
                <w:bCs/>
                <w:iCs/>
                <w:sz w:val="22"/>
                <w:szCs w:val="22"/>
              </w:rPr>
              <w:t xml:space="preserve">enant </w:t>
            </w:r>
            <w:r w:rsidR="00711CE4">
              <w:rPr>
                <w:rFonts w:eastAsia="Calibri"/>
                <w:bCs/>
                <w:iCs/>
                <w:sz w:val="22"/>
                <w:szCs w:val="22"/>
              </w:rPr>
              <w:t>r</w:t>
            </w:r>
            <w:r w:rsidR="00711CE4" w:rsidRPr="00DA4ED8">
              <w:rPr>
                <w:rFonts w:eastAsia="Calibri"/>
                <w:bCs/>
                <w:iCs/>
                <w:sz w:val="22"/>
                <w:szCs w:val="22"/>
              </w:rPr>
              <w:t xml:space="preserve">ent to </w:t>
            </w:r>
            <w:r w:rsidR="00711CE4">
              <w:rPr>
                <w:rFonts w:eastAsia="Calibri"/>
                <w:bCs/>
                <w:iCs/>
                <w:sz w:val="22"/>
                <w:szCs w:val="22"/>
              </w:rPr>
              <w:t>o</w:t>
            </w:r>
            <w:r w:rsidR="00711CE4" w:rsidRPr="005D4259">
              <w:rPr>
                <w:rFonts w:eastAsia="Calibri"/>
                <w:bCs/>
                <w:iCs/>
                <w:sz w:val="22"/>
                <w:szCs w:val="22"/>
              </w:rPr>
              <w:t>wner</w:t>
            </w:r>
            <w:r w:rsidR="00711CE4">
              <w:rPr>
                <w:rFonts w:eastAsia="Calibri"/>
                <w:bCs/>
                <w:iCs/>
                <w:sz w:val="22"/>
                <w:szCs w:val="22"/>
              </w:rPr>
              <w:t>.</w:t>
            </w:r>
          </w:p>
        </w:tc>
        <w:tc>
          <w:tcPr>
            <w:tcW w:w="1915" w:type="dxa"/>
            <w:shd w:val="clear" w:color="auto" w:fill="auto"/>
          </w:tcPr>
          <w:p w:rsidR="00711CE4" w:rsidRPr="003D11C4" w:rsidRDefault="00711CE4" w:rsidP="00711CE4">
            <w:pPr>
              <w:jc w:val="center"/>
              <w:rPr>
                <w:rFonts w:eastAsia="Calibri"/>
                <w:b/>
                <w:bCs/>
                <w:iCs/>
                <w:sz w:val="22"/>
                <w:szCs w:val="22"/>
              </w:rPr>
            </w:pPr>
          </w:p>
        </w:tc>
        <w:tc>
          <w:tcPr>
            <w:tcW w:w="1916" w:type="dxa"/>
            <w:shd w:val="clear" w:color="auto" w:fill="auto"/>
          </w:tcPr>
          <w:p w:rsidR="00711CE4" w:rsidRPr="00FB4487" w:rsidRDefault="00711CE4" w:rsidP="00711CE4">
            <w:pPr>
              <w:jc w:val="center"/>
              <w:rPr>
                <w:rFonts w:eastAsia="Calibri"/>
                <w:b/>
                <w:bCs/>
                <w:i/>
                <w:iCs/>
                <w:sz w:val="22"/>
                <w:szCs w:val="22"/>
              </w:rPr>
            </w:pPr>
          </w:p>
        </w:tc>
      </w:tr>
      <w:tr w:rsidR="00711CE4" w:rsidRPr="00FB4487" w:rsidTr="00711CE4">
        <w:trPr>
          <w:trHeight w:val="530"/>
        </w:trPr>
        <w:tc>
          <w:tcPr>
            <w:tcW w:w="9576" w:type="dxa"/>
            <w:gridSpan w:val="5"/>
            <w:shd w:val="clear" w:color="auto" w:fill="auto"/>
          </w:tcPr>
          <w:p w:rsidR="00711CE4" w:rsidRPr="00FA32AA" w:rsidRDefault="009E2147" w:rsidP="00711CE4">
            <w:pPr>
              <w:rPr>
                <w:rFonts w:eastAsia="Calibri"/>
                <w:bCs/>
                <w:i/>
                <w:iCs/>
                <w:sz w:val="22"/>
                <w:szCs w:val="22"/>
              </w:rPr>
            </w:pPr>
            <w:r w:rsidRPr="009E2147">
              <w:rPr>
                <w:rFonts w:eastAsia="Calibri"/>
                <w:bCs/>
                <w:i/>
                <w:iCs/>
                <w:sz w:val="18"/>
                <w:szCs w:val="22"/>
              </w:rPr>
              <w:t>*</w:t>
            </w:r>
            <w:r w:rsidR="00711CE4" w:rsidRPr="009E2147">
              <w:rPr>
                <w:rFonts w:eastAsia="Calibri"/>
                <w:bCs/>
                <w:i/>
                <w:iCs/>
                <w:sz w:val="18"/>
                <w:szCs w:val="22"/>
              </w:rPr>
              <w:t>This benchmark reflects the average tenant rent to owner upon implementation of rent simplification. This benchmark does not reflect the addition of the other electricity utility allowance</w:t>
            </w:r>
            <w:r w:rsidR="00711CE4">
              <w:rPr>
                <w:rFonts w:eastAsia="Calibri"/>
                <w:bCs/>
                <w:i/>
                <w:iCs/>
                <w:sz w:val="22"/>
                <w:szCs w:val="22"/>
              </w:rPr>
              <w:t>.</w:t>
            </w:r>
          </w:p>
        </w:tc>
      </w:tr>
      <w:tr w:rsidR="00711CE4" w:rsidRPr="00FB4487" w:rsidTr="009E38DF">
        <w:trPr>
          <w:trHeight w:val="296"/>
        </w:trPr>
        <w:tc>
          <w:tcPr>
            <w:tcW w:w="9576" w:type="dxa"/>
            <w:gridSpan w:val="5"/>
            <w:shd w:val="clear" w:color="auto" w:fill="C6D9F1" w:themeFill="text2" w:themeFillTint="33"/>
            <w:hideMark/>
          </w:tcPr>
          <w:p w:rsidR="00711CE4" w:rsidRPr="00FB4487" w:rsidRDefault="00711CE4" w:rsidP="00711CE4">
            <w:pPr>
              <w:jc w:val="center"/>
              <w:rPr>
                <w:rFonts w:eastAsia="Calibri"/>
                <w:b/>
                <w:bCs/>
                <w:i/>
                <w:iCs/>
                <w:sz w:val="22"/>
                <w:szCs w:val="22"/>
              </w:rPr>
            </w:pPr>
            <w:r w:rsidRPr="00FB4487">
              <w:rPr>
                <w:rFonts w:eastAsia="Calibri"/>
                <w:b/>
                <w:bCs/>
                <w:i/>
                <w:iCs/>
                <w:sz w:val="22"/>
                <w:szCs w:val="22"/>
              </w:rPr>
              <w:t>SS #8: Households Transitioned to Self Sufficiency</w:t>
            </w:r>
            <w:r>
              <w:rPr>
                <w:rFonts w:eastAsia="Calibri"/>
                <w:b/>
                <w:bCs/>
                <w:i/>
                <w:iCs/>
                <w:sz w:val="22"/>
                <w:szCs w:val="22"/>
              </w:rPr>
              <w:t xml:space="preserve"> *  **</w:t>
            </w:r>
          </w:p>
        </w:tc>
      </w:tr>
      <w:tr w:rsidR="00711CE4" w:rsidRPr="00FB4487" w:rsidTr="00711CE4">
        <w:trPr>
          <w:trHeight w:val="615"/>
        </w:trPr>
        <w:tc>
          <w:tcPr>
            <w:tcW w:w="1915" w:type="dxa"/>
            <w:shd w:val="clear" w:color="auto" w:fill="DDDDDD"/>
            <w:vAlign w:val="center"/>
            <w:hideMark/>
          </w:tcPr>
          <w:p w:rsidR="00711CE4" w:rsidRPr="00FB4487" w:rsidRDefault="00711CE4" w:rsidP="00711CE4">
            <w:pPr>
              <w:rPr>
                <w:rFonts w:eastAsia="Calibri"/>
                <w:b/>
                <w:bCs/>
                <w:sz w:val="22"/>
                <w:szCs w:val="22"/>
              </w:rPr>
            </w:pPr>
            <w:r w:rsidRPr="00FB4487">
              <w:rPr>
                <w:rFonts w:eastAsia="Calibri"/>
                <w:b/>
                <w:bCs/>
                <w:sz w:val="22"/>
                <w:szCs w:val="22"/>
              </w:rPr>
              <w:t>Unit of Measurement</w:t>
            </w:r>
          </w:p>
        </w:tc>
        <w:tc>
          <w:tcPr>
            <w:tcW w:w="1915" w:type="dxa"/>
            <w:shd w:val="clear" w:color="auto" w:fill="DDDDDD"/>
            <w:vAlign w:val="center"/>
            <w:hideMark/>
          </w:tcPr>
          <w:p w:rsidR="00711CE4" w:rsidRPr="00FB4487" w:rsidRDefault="00711CE4" w:rsidP="00711CE4">
            <w:pPr>
              <w:jc w:val="center"/>
              <w:rPr>
                <w:rFonts w:eastAsia="Calibri"/>
                <w:b/>
                <w:bCs/>
                <w:sz w:val="22"/>
                <w:szCs w:val="22"/>
              </w:rPr>
            </w:pPr>
            <w:r w:rsidRPr="00FB4487">
              <w:rPr>
                <w:rFonts w:eastAsia="Calibri"/>
                <w:b/>
                <w:bCs/>
                <w:sz w:val="22"/>
                <w:szCs w:val="22"/>
              </w:rPr>
              <w:t>Baseline</w:t>
            </w:r>
          </w:p>
        </w:tc>
        <w:tc>
          <w:tcPr>
            <w:tcW w:w="1915" w:type="dxa"/>
            <w:shd w:val="clear" w:color="auto" w:fill="DDDDDD"/>
            <w:vAlign w:val="center"/>
            <w:hideMark/>
          </w:tcPr>
          <w:p w:rsidR="00711CE4" w:rsidRPr="00FB4487" w:rsidRDefault="00711CE4" w:rsidP="00711CE4">
            <w:pPr>
              <w:jc w:val="center"/>
              <w:rPr>
                <w:rFonts w:eastAsia="Calibri"/>
                <w:b/>
                <w:bCs/>
                <w:sz w:val="22"/>
                <w:szCs w:val="22"/>
              </w:rPr>
            </w:pPr>
            <w:r w:rsidRPr="00FB4487">
              <w:rPr>
                <w:rFonts w:eastAsia="Calibri"/>
                <w:b/>
                <w:bCs/>
                <w:sz w:val="22"/>
                <w:szCs w:val="22"/>
              </w:rPr>
              <w:t>Benchmark</w:t>
            </w:r>
          </w:p>
        </w:tc>
        <w:tc>
          <w:tcPr>
            <w:tcW w:w="1915" w:type="dxa"/>
            <w:shd w:val="clear" w:color="auto" w:fill="DDDDDD"/>
            <w:vAlign w:val="center"/>
            <w:hideMark/>
          </w:tcPr>
          <w:p w:rsidR="00711CE4" w:rsidRPr="00FB4487" w:rsidRDefault="00711CE4" w:rsidP="00711CE4">
            <w:pPr>
              <w:jc w:val="center"/>
              <w:rPr>
                <w:rFonts w:eastAsia="Calibri"/>
                <w:b/>
                <w:bCs/>
                <w:sz w:val="22"/>
                <w:szCs w:val="22"/>
              </w:rPr>
            </w:pPr>
            <w:r w:rsidRPr="00FB4487">
              <w:rPr>
                <w:rFonts w:eastAsia="Calibri"/>
                <w:b/>
                <w:bCs/>
                <w:sz w:val="22"/>
                <w:szCs w:val="22"/>
              </w:rPr>
              <w:t>Outcome</w:t>
            </w:r>
          </w:p>
        </w:tc>
        <w:tc>
          <w:tcPr>
            <w:tcW w:w="1916" w:type="dxa"/>
            <w:shd w:val="clear" w:color="auto" w:fill="DDDDDD"/>
            <w:vAlign w:val="center"/>
            <w:hideMark/>
          </w:tcPr>
          <w:p w:rsidR="00711CE4" w:rsidRPr="00FB4487" w:rsidRDefault="00711CE4" w:rsidP="00711CE4">
            <w:pPr>
              <w:jc w:val="center"/>
              <w:rPr>
                <w:rFonts w:eastAsia="Calibri"/>
                <w:b/>
                <w:bCs/>
                <w:sz w:val="22"/>
                <w:szCs w:val="22"/>
              </w:rPr>
            </w:pPr>
            <w:r w:rsidRPr="00FB4487">
              <w:rPr>
                <w:rFonts w:eastAsia="Calibri"/>
                <w:b/>
                <w:bCs/>
                <w:sz w:val="22"/>
                <w:szCs w:val="22"/>
              </w:rPr>
              <w:t>Benchmark Achieved?</w:t>
            </w:r>
          </w:p>
        </w:tc>
      </w:tr>
      <w:tr w:rsidR="00711CE4" w:rsidRPr="00FB4487" w:rsidTr="00711CE4">
        <w:trPr>
          <w:trHeight w:val="350"/>
        </w:trPr>
        <w:tc>
          <w:tcPr>
            <w:tcW w:w="1915" w:type="dxa"/>
            <w:shd w:val="clear" w:color="auto" w:fill="auto"/>
            <w:hideMark/>
          </w:tcPr>
          <w:p w:rsidR="00711CE4" w:rsidRPr="00FB4487" w:rsidRDefault="00711CE4" w:rsidP="00711CE4">
            <w:pPr>
              <w:rPr>
                <w:rFonts w:eastAsia="Calibri"/>
                <w:sz w:val="22"/>
                <w:szCs w:val="22"/>
              </w:rPr>
            </w:pPr>
            <w:r w:rsidRPr="00FB4487">
              <w:rPr>
                <w:rFonts w:eastAsia="Calibri"/>
                <w:sz w:val="22"/>
                <w:szCs w:val="22"/>
              </w:rPr>
              <w:t xml:space="preserve">Number of </w:t>
            </w:r>
            <w:r>
              <w:rPr>
                <w:rFonts w:eastAsia="Calibri"/>
                <w:sz w:val="22"/>
                <w:szCs w:val="22"/>
              </w:rPr>
              <w:t>households transitioned to self-</w:t>
            </w:r>
            <w:r w:rsidRPr="00FB4487">
              <w:rPr>
                <w:rFonts w:eastAsia="Calibri"/>
                <w:sz w:val="22"/>
                <w:szCs w:val="22"/>
              </w:rPr>
              <w:t xml:space="preserve">sufficiency (increase). </w:t>
            </w:r>
          </w:p>
        </w:tc>
        <w:tc>
          <w:tcPr>
            <w:tcW w:w="1915" w:type="dxa"/>
            <w:shd w:val="clear" w:color="auto" w:fill="auto"/>
          </w:tcPr>
          <w:p w:rsidR="00711CE4" w:rsidRDefault="00E62EFD" w:rsidP="00711CE4">
            <w:pPr>
              <w:jc w:val="center"/>
              <w:rPr>
                <w:rFonts w:eastAsia="Calibri"/>
                <w:sz w:val="22"/>
                <w:szCs w:val="22"/>
              </w:rPr>
            </w:pPr>
            <w:r>
              <w:rPr>
                <w:rFonts w:eastAsia="Calibri"/>
                <w:sz w:val="22"/>
                <w:szCs w:val="22"/>
              </w:rPr>
              <w:t>57*</w:t>
            </w:r>
          </w:p>
          <w:p w:rsidR="00E62EFD" w:rsidRDefault="00E62EFD" w:rsidP="00711CE4">
            <w:pPr>
              <w:jc w:val="center"/>
              <w:rPr>
                <w:rFonts w:eastAsia="Calibri"/>
                <w:sz w:val="22"/>
                <w:szCs w:val="22"/>
              </w:rPr>
            </w:pPr>
          </w:p>
          <w:p w:rsidR="00E62EFD" w:rsidRPr="00FB4487" w:rsidRDefault="00E62EFD" w:rsidP="00711CE4">
            <w:pPr>
              <w:jc w:val="center"/>
              <w:rPr>
                <w:rFonts w:eastAsia="Calibri"/>
                <w:sz w:val="22"/>
                <w:szCs w:val="22"/>
              </w:rPr>
            </w:pPr>
            <w:r>
              <w:rPr>
                <w:rFonts w:eastAsia="Calibri"/>
                <w:sz w:val="22"/>
                <w:szCs w:val="22"/>
              </w:rPr>
              <w:t>*Households who were EOPd at zero HAP</w:t>
            </w:r>
          </w:p>
        </w:tc>
        <w:tc>
          <w:tcPr>
            <w:tcW w:w="1915" w:type="dxa"/>
            <w:shd w:val="clear" w:color="auto" w:fill="auto"/>
          </w:tcPr>
          <w:p w:rsidR="00711CE4" w:rsidRDefault="00E62EFD" w:rsidP="00711CE4">
            <w:pPr>
              <w:jc w:val="center"/>
              <w:rPr>
                <w:rFonts w:eastAsia="Calibri"/>
                <w:sz w:val="22"/>
                <w:szCs w:val="22"/>
              </w:rPr>
            </w:pPr>
            <w:r w:rsidRPr="00E62EFD">
              <w:rPr>
                <w:rFonts w:eastAsia="Calibri"/>
                <w:sz w:val="22"/>
                <w:szCs w:val="22"/>
              </w:rPr>
              <w:t>57</w:t>
            </w:r>
            <w:r>
              <w:rPr>
                <w:rFonts w:eastAsia="Calibri"/>
                <w:sz w:val="22"/>
                <w:szCs w:val="22"/>
              </w:rPr>
              <w:t>*</w:t>
            </w:r>
          </w:p>
          <w:p w:rsidR="00E62EFD" w:rsidRDefault="00E62EFD" w:rsidP="00711CE4">
            <w:pPr>
              <w:jc w:val="center"/>
              <w:rPr>
                <w:rFonts w:eastAsia="Calibri"/>
                <w:sz w:val="22"/>
                <w:szCs w:val="22"/>
              </w:rPr>
            </w:pPr>
          </w:p>
          <w:p w:rsidR="00E62EFD" w:rsidRPr="00FB4487" w:rsidRDefault="00E62EFD" w:rsidP="00711CE4">
            <w:pPr>
              <w:jc w:val="center"/>
              <w:rPr>
                <w:rFonts w:eastAsia="Calibri"/>
                <w:sz w:val="22"/>
                <w:szCs w:val="22"/>
              </w:rPr>
            </w:pPr>
            <w:r>
              <w:rPr>
                <w:rFonts w:eastAsia="Calibri"/>
                <w:sz w:val="22"/>
                <w:szCs w:val="22"/>
              </w:rPr>
              <w:t>*Households who were EOPd at zero HAP</w:t>
            </w:r>
          </w:p>
        </w:tc>
        <w:tc>
          <w:tcPr>
            <w:tcW w:w="1915" w:type="dxa"/>
            <w:shd w:val="clear" w:color="auto" w:fill="auto"/>
          </w:tcPr>
          <w:p w:rsidR="00711CE4" w:rsidRPr="00FB4487" w:rsidRDefault="00711CE4" w:rsidP="00711CE4">
            <w:pPr>
              <w:jc w:val="center"/>
              <w:rPr>
                <w:rFonts w:eastAsia="Calibri"/>
                <w:sz w:val="22"/>
                <w:szCs w:val="22"/>
              </w:rPr>
            </w:pPr>
          </w:p>
        </w:tc>
        <w:tc>
          <w:tcPr>
            <w:tcW w:w="1916" w:type="dxa"/>
            <w:shd w:val="clear" w:color="auto" w:fill="auto"/>
          </w:tcPr>
          <w:p w:rsidR="00711CE4" w:rsidRPr="00FB4487" w:rsidRDefault="00711CE4" w:rsidP="00711CE4">
            <w:pPr>
              <w:jc w:val="center"/>
              <w:rPr>
                <w:rFonts w:eastAsia="Calibri"/>
                <w:sz w:val="22"/>
                <w:szCs w:val="22"/>
              </w:rPr>
            </w:pPr>
          </w:p>
        </w:tc>
      </w:tr>
    </w:tbl>
    <w:p w:rsidR="00711CE4" w:rsidRDefault="00711CE4" w:rsidP="00711CE4">
      <w:pPr>
        <w:rPr>
          <w:i/>
          <w:color w:val="000000"/>
          <w:sz w:val="18"/>
          <w:szCs w:val="22"/>
        </w:rPr>
      </w:pPr>
      <w:r w:rsidRPr="00CE39B0">
        <w:rPr>
          <w:color w:val="000000"/>
          <w:sz w:val="18"/>
          <w:szCs w:val="22"/>
        </w:rPr>
        <w:t>*</w:t>
      </w:r>
      <w:r>
        <w:rPr>
          <w:i/>
          <w:color w:val="000000"/>
          <w:sz w:val="18"/>
          <w:szCs w:val="22"/>
        </w:rPr>
        <w:t xml:space="preserve">DHCD has indicated that DHCD does not believe the Self-Sufficiency metrics are applicable to this activity. However, HUD has required their use. </w:t>
      </w:r>
    </w:p>
    <w:p w:rsidR="00711CE4" w:rsidRPr="00AF52C0" w:rsidRDefault="00711CE4" w:rsidP="00711CE4">
      <w:pPr>
        <w:rPr>
          <w:i/>
          <w:sz w:val="18"/>
          <w:szCs w:val="20"/>
        </w:rPr>
      </w:pPr>
      <w:r>
        <w:rPr>
          <w:i/>
          <w:color w:val="000000"/>
          <w:sz w:val="18"/>
          <w:szCs w:val="22"/>
        </w:rPr>
        <w:t xml:space="preserve">** </w:t>
      </w:r>
      <w:r w:rsidRPr="00AF52C0">
        <w:rPr>
          <w:i/>
          <w:sz w:val="18"/>
          <w:szCs w:val="20"/>
        </w:rPr>
        <w:t>HUD is requiring the use of this metric; however</w:t>
      </w:r>
      <w:r>
        <w:rPr>
          <w:i/>
          <w:sz w:val="18"/>
          <w:szCs w:val="20"/>
        </w:rPr>
        <w:t>, DHCD</w:t>
      </w:r>
      <w:r w:rsidRPr="00AF52C0">
        <w:rPr>
          <w:i/>
          <w:sz w:val="18"/>
          <w:szCs w:val="20"/>
        </w:rPr>
        <w:t xml:space="preserve"> does not believe it is applicable in this co</w:t>
      </w:r>
      <w:r>
        <w:rPr>
          <w:i/>
          <w:sz w:val="18"/>
          <w:szCs w:val="20"/>
        </w:rPr>
        <w:t>ntext of this MTW activity.  DHCD</w:t>
      </w:r>
      <w:r w:rsidRPr="00AF52C0">
        <w:rPr>
          <w:i/>
          <w:sz w:val="18"/>
          <w:szCs w:val="20"/>
        </w:rPr>
        <w:t xml:space="preserve"> will</w:t>
      </w:r>
      <w:r>
        <w:rPr>
          <w:i/>
          <w:sz w:val="18"/>
          <w:szCs w:val="20"/>
        </w:rPr>
        <w:t xml:space="preserve"> attempt to</w:t>
      </w:r>
      <w:r w:rsidRPr="00AF52C0">
        <w:rPr>
          <w:i/>
          <w:sz w:val="18"/>
          <w:szCs w:val="20"/>
        </w:rPr>
        <w:t xml:space="preserve"> identify the current baseline as part of the FY 1</w:t>
      </w:r>
      <w:r>
        <w:rPr>
          <w:i/>
          <w:sz w:val="18"/>
          <w:szCs w:val="20"/>
        </w:rPr>
        <w:t>5</w:t>
      </w:r>
      <w:r w:rsidRPr="00AF52C0">
        <w:rPr>
          <w:i/>
          <w:sz w:val="18"/>
          <w:szCs w:val="20"/>
        </w:rPr>
        <w:t xml:space="preserve"> Annual Report and then establish a benchmark of mainta</w:t>
      </w:r>
      <w:r>
        <w:rPr>
          <w:i/>
          <w:sz w:val="18"/>
          <w:szCs w:val="20"/>
        </w:rPr>
        <w:t>ining this level going forward.</w:t>
      </w:r>
    </w:p>
    <w:p w:rsidR="00711CE4" w:rsidRPr="00CE39B0" w:rsidRDefault="00711CE4" w:rsidP="00711CE4">
      <w:pPr>
        <w:rPr>
          <w:i/>
          <w:color w:val="000000"/>
          <w:sz w:val="18"/>
          <w:szCs w:val="22"/>
        </w:rPr>
      </w:pPr>
    </w:p>
    <w:p w:rsidR="00B71DB2" w:rsidRDefault="00B71DB2" w:rsidP="002F3C7A">
      <w:pPr>
        <w:rPr>
          <w:color w:val="000000"/>
        </w:rPr>
        <w:sectPr w:rsidR="00B71DB2" w:rsidSect="006D4DF1">
          <w:pgSz w:w="12240" w:h="15840"/>
          <w:pgMar w:top="1440" w:right="1440" w:bottom="1440" w:left="1440" w:header="720" w:footer="720" w:gutter="0"/>
          <w:cols w:space="720"/>
          <w:docGrid w:linePitch="360"/>
        </w:sectPr>
      </w:pPr>
    </w:p>
    <w:p w:rsidR="005E3062" w:rsidRPr="003F655B" w:rsidRDefault="005E3062" w:rsidP="007E68D3">
      <w:pPr>
        <w:pStyle w:val="Heading3"/>
        <w:numPr>
          <w:ilvl w:val="0"/>
          <w:numId w:val="45"/>
        </w:numPr>
      </w:pPr>
      <w:bookmarkStart w:id="20" w:name="_Toc415115903"/>
      <w:bookmarkStart w:id="21" w:name="_Toc444496092"/>
      <w:r w:rsidRPr="003F655B">
        <w:t>Not Yet Implemented Activities</w:t>
      </w:r>
      <w:bookmarkEnd w:id="20"/>
      <w:bookmarkEnd w:id="21"/>
    </w:p>
    <w:p w:rsidR="005E3062" w:rsidRPr="003F655B" w:rsidRDefault="005E3062" w:rsidP="005E3062">
      <w:pPr>
        <w:rPr>
          <w:b/>
          <w:color w:val="000000"/>
          <w:sz w:val="18"/>
          <w:u w:val="single"/>
        </w:rPr>
      </w:pPr>
    </w:p>
    <w:p w:rsidR="005E3062" w:rsidRPr="003F655B" w:rsidRDefault="005E3062" w:rsidP="005E3062">
      <w:pPr>
        <w:rPr>
          <w:b/>
          <w:color w:val="000000"/>
          <w:u w:val="single"/>
        </w:rPr>
      </w:pPr>
      <w:r w:rsidRPr="003F655B">
        <w:rPr>
          <w:b/>
          <w:color w:val="000000"/>
          <w:u w:val="single"/>
        </w:rPr>
        <w:t xml:space="preserve">Activity 2011-1:  Value Vouchers </w:t>
      </w:r>
    </w:p>
    <w:p w:rsidR="005E3062" w:rsidRPr="003F655B" w:rsidRDefault="005E3062" w:rsidP="009E6224">
      <w:pPr>
        <w:jc w:val="both"/>
        <w:rPr>
          <w:b/>
        </w:rPr>
      </w:pPr>
    </w:p>
    <w:p w:rsidR="005E3062" w:rsidRPr="009E6224" w:rsidRDefault="005E3062" w:rsidP="009E6224">
      <w:pPr>
        <w:jc w:val="both"/>
        <w:rPr>
          <w:color w:val="000000"/>
        </w:rPr>
      </w:pPr>
      <w:r w:rsidRPr="00F43E09">
        <w:rPr>
          <w:b/>
        </w:rPr>
        <w:t>Description/Update of MTW Activity:</w:t>
      </w:r>
      <w:r w:rsidR="00FB7270" w:rsidRPr="00F43E09">
        <w:rPr>
          <w:b/>
        </w:rPr>
        <w:t xml:space="preserve"> </w:t>
      </w:r>
      <w:r w:rsidRPr="00F43E09">
        <w:t>DHCD plans to implement a new “MTW value voucher” targeted to the homeless and those with disabilities.</w:t>
      </w:r>
      <w:r w:rsidRPr="009E6224">
        <w:rPr>
          <w:i/>
        </w:rPr>
        <w:t xml:space="preserve">  </w:t>
      </w:r>
      <w:r w:rsidRPr="008679DE">
        <w:t>This</w:t>
      </w:r>
      <w:r w:rsidR="008679DE">
        <w:rPr>
          <w:i/>
        </w:rPr>
        <w:t xml:space="preserve"> </w:t>
      </w:r>
      <w:r w:rsidRPr="009E6224">
        <w:rPr>
          <w:color w:val="000000"/>
        </w:rPr>
        <w:t xml:space="preserve">initiative will provide a lower cost subsidy than a conventional voucher.  Participants will be offered units in privately assisted housing developments where the rental costs are lower (generally by 25% or more) than current HUD published FMRs but still not affordable to very-low and extremely low-income households.  These would generally be units in LIHTC, 236, and certain state funded developments, for example, where rents are generally set at or below 60% of AMI.  </w:t>
      </w:r>
    </w:p>
    <w:p w:rsidR="005E3062" w:rsidRPr="009E6224" w:rsidRDefault="005E3062" w:rsidP="009E6224">
      <w:pPr>
        <w:jc w:val="both"/>
        <w:rPr>
          <w:color w:val="000000"/>
        </w:rPr>
      </w:pPr>
    </w:p>
    <w:p w:rsidR="005E3062" w:rsidRPr="009E6224" w:rsidRDefault="005E3062" w:rsidP="009E6224">
      <w:pPr>
        <w:jc w:val="both"/>
        <w:rPr>
          <w:color w:val="000000"/>
        </w:rPr>
      </w:pPr>
      <w:r w:rsidRPr="009E6224">
        <w:rPr>
          <w:color w:val="000000"/>
        </w:rPr>
        <w:t xml:space="preserve">For value voucher units, the rent reasonableness determination process will consist of verification of the regulated rent amount, which will always be at or below the Payment Standard.  The value voucher will make up the difference between the rent and 30% of the tenant’s adjusted income.  </w:t>
      </w:r>
    </w:p>
    <w:p w:rsidR="005E3062" w:rsidRPr="009E6224" w:rsidRDefault="005E3062" w:rsidP="009E6224">
      <w:pPr>
        <w:jc w:val="both"/>
        <w:rPr>
          <w:color w:val="000000"/>
        </w:rPr>
      </w:pPr>
    </w:p>
    <w:p w:rsidR="005E3062" w:rsidRPr="009E6224" w:rsidRDefault="005E3062" w:rsidP="009E6224">
      <w:pPr>
        <w:jc w:val="both"/>
      </w:pPr>
      <w:r w:rsidRPr="009E6224">
        <w:rPr>
          <w:color w:val="000000"/>
        </w:rPr>
        <w:t>Partner agencies wil</w:t>
      </w:r>
      <w:r w:rsidR="00EF630C">
        <w:rPr>
          <w:color w:val="000000"/>
        </w:rPr>
        <w:t>l include MassHousing, a quasi-</w:t>
      </w:r>
      <w:r w:rsidRPr="009E6224">
        <w:rPr>
          <w:color w:val="000000"/>
        </w:rPr>
        <w:t xml:space="preserve">public agency that promotes housing opportunities for low and moderate income households, and various management companies that have a solid track record of providing assisted units to vulnerable populations.  MassHousing will make units available to clients of the Massachusetts Departments of Mental Health (DMH) and Developmental Disabilities (DDS) under their 3% set-aside program for this target population in effect since 1978.  </w:t>
      </w:r>
      <w:r w:rsidRPr="009E6224">
        <w:t xml:space="preserve">DHCD may also identify and establish partnerships with agencies that provide services to homeless individuals, regardless of disability status, and may also make units available to clients of the identified agencies. </w:t>
      </w:r>
    </w:p>
    <w:p w:rsidR="005E3062" w:rsidRPr="009E6224" w:rsidRDefault="005E3062" w:rsidP="009E6224">
      <w:pPr>
        <w:jc w:val="both"/>
        <w:rPr>
          <w:strike/>
          <w:color w:val="000000"/>
        </w:rPr>
      </w:pPr>
    </w:p>
    <w:p w:rsidR="005E3062" w:rsidRPr="009E6224" w:rsidRDefault="005E3062" w:rsidP="009E6224">
      <w:pPr>
        <w:jc w:val="both"/>
        <w:rPr>
          <w:color w:val="000000"/>
        </w:rPr>
      </w:pPr>
      <w:r w:rsidRPr="009E6224">
        <w:rPr>
          <w:color w:val="000000"/>
        </w:rPr>
        <w:t>Clients of the Massachusetts Departments of Mental Health (DMH) and Developmental Disabilities Services (DDS) will be provided with continuing services and support from these two respective agencies.  DHCD’s partnership with MassHousing and certain private management companies will make it possible for the participants to live in good quality housing.  DHCD will work with its partner agencies to establish realistic time limits for these vouchers within the time permitted by its MTW Agreement with HUD, currently in effect until June 2018.</w:t>
      </w:r>
    </w:p>
    <w:p w:rsidR="005E3062" w:rsidRPr="00034D05" w:rsidRDefault="005E3062" w:rsidP="005E3062">
      <w:pPr>
        <w:rPr>
          <w:color w:val="000000"/>
          <w:highlight w:val="yellow"/>
        </w:rPr>
      </w:pPr>
    </w:p>
    <w:p w:rsidR="005E3062" w:rsidRPr="00CE70FD" w:rsidRDefault="005E3062" w:rsidP="009E6224">
      <w:pPr>
        <w:jc w:val="both"/>
        <w:rPr>
          <w:b/>
          <w:color w:val="000000"/>
        </w:rPr>
      </w:pPr>
      <w:r w:rsidRPr="00CE70FD">
        <w:rPr>
          <w:b/>
          <w:color w:val="000000"/>
        </w:rPr>
        <w:t>Update on Implementation:</w:t>
      </w:r>
      <w:r w:rsidR="00F61F87" w:rsidRPr="00CE70FD">
        <w:rPr>
          <w:color w:val="000000"/>
        </w:rPr>
        <w:t xml:space="preserve"> Due to the substantial level of activity associated with development and implementation of the MTW utility allowance initiative and ongoing implementation of the </w:t>
      </w:r>
      <w:r w:rsidR="00801EAC">
        <w:rPr>
          <w:color w:val="000000"/>
        </w:rPr>
        <w:t>rent simplification activity</w:t>
      </w:r>
      <w:r w:rsidR="00F61F87" w:rsidRPr="00CE70FD">
        <w:rPr>
          <w:color w:val="000000"/>
        </w:rPr>
        <w:t xml:space="preserve"> described herein, implementation of this initiative has not begun.  DHCD is also considering working with a broader range of potential partners than those state agencies noted above.</w:t>
      </w:r>
    </w:p>
    <w:p w:rsidR="005E3062" w:rsidRPr="00CE70FD" w:rsidRDefault="005E3062" w:rsidP="009E6224">
      <w:pPr>
        <w:jc w:val="both"/>
        <w:rPr>
          <w:b/>
          <w:color w:val="000000"/>
        </w:rPr>
      </w:pPr>
    </w:p>
    <w:p w:rsidR="005E3062" w:rsidRPr="00CE70FD" w:rsidRDefault="005E3062" w:rsidP="009E6224">
      <w:pPr>
        <w:jc w:val="both"/>
        <w:rPr>
          <w:color w:val="000000"/>
        </w:rPr>
      </w:pPr>
      <w:r w:rsidRPr="00CE70FD">
        <w:rPr>
          <w:b/>
          <w:color w:val="000000"/>
        </w:rPr>
        <w:t>Timeline for Implementation:</w:t>
      </w:r>
      <w:r w:rsidR="00E466A0">
        <w:rPr>
          <w:b/>
          <w:color w:val="000000"/>
        </w:rPr>
        <w:t xml:space="preserve"> </w:t>
      </w:r>
      <w:r w:rsidR="00F61F87" w:rsidRPr="00CE70FD">
        <w:rPr>
          <w:color w:val="000000"/>
        </w:rPr>
        <w:t xml:space="preserve">See the </w:t>
      </w:r>
      <w:r w:rsidR="00F61F87" w:rsidRPr="00CE70FD">
        <w:rPr>
          <w:i/>
          <w:color w:val="000000"/>
        </w:rPr>
        <w:t>Update on Implementation</w:t>
      </w:r>
      <w:r w:rsidR="00F61F87" w:rsidRPr="00CE70FD">
        <w:rPr>
          <w:color w:val="000000"/>
        </w:rPr>
        <w:t xml:space="preserve"> above.  In FY 201</w:t>
      </w:r>
      <w:r w:rsidR="00801EAC">
        <w:rPr>
          <w:color w:val="000000"/>
        </w:rPr>
        <w:t>7</w:t>
      </w:r>
      <w:r w:rsidR="00F61F87" w:rsidRPr="00CE70FD">
        <w:rPr>
          <w:color w:val="000000"/>
        </w:rPr>
        <w:t>, DHCD may begin implementation of this activity pending the outcome of discussions among affordable housing advocates and other state agencies.</w:t>
      </w:r>
    </w:p>
    <w:p w:rsidR="00F13B32" w:rsidRPr="00CE70FD" w:rsidRDefault="00F13B32" w:rsidP="009E6224">
      <w:pPr>
        <w:jc w:val="both"/>
        <w:rPr>
          <w:b/>
          <w:color w:val="000000"/>
        </w:rPr>
      </w:pPr>
    </w:p>
    <w:p w:rsidR="004421C7" w:rsidRDefault="005E3062" w:rsidP="009E6224">
      <w:pPr>
        <w:jc w:val="both"/>
        <w:rPr>
          <w:color w:val="000000"/>
        </w:rPr>
      </w:pPr>
      <w:r w:rsidRPr="00CE70FD">
        <w:rPr>
          <w:b/>
          <w:color w:val="000000"/>
        </w:rPr>
        <w:t xml:space="preserve">Proposed Changes to Activity:   </w:t>
      </w:r>
      <w:r w:rsidRPr="00CE70FD">
        <w:rPr>
          <w:color w:val="000000"/>
        </w:rPr>
        <w:t>As a clarification, DHCD may work with a broader range of potential partners than t</w:t>
      </w:r>
      <w:r w:rsidR="00BC244A">
        <w:rPr>
          <w:color w:val="000000"/>
        </w:rPr>
        <w:t xml:space="preserve">hose state agencies noted above.  </w:t>
      </w:r>
    </w:p>
    <w:p w:rsidR="004421C7" w:rsidRDefault="004421C7" w:rsidP="009E6224">
      <w:pPr>
        <w:jc w:val="both"/>
        <w:rPr>
          <w:color w:val="000000"/>
        </w:rPr>
        <w:sectPr w:rsidR="004421C7" w:rsidSect="006D4DF1">
          <w:pgSz w:w="12240" w:h="15840"/>
          <w:pgMar w:top="1440" w:right="1440" w:bottom="1440" w:left="1440" w:header="720" w:footer="720" w:gutter="0"/>
          <w:cols w:space="720"/>
          <w:docGrid w:linePitch="360"/>
        </w:sectPr>
      </w:pPr>
    </w:p>
    <w:p w:rsidR="004421C7" w:rsidRPr="00153390" w:rsidRDefault="004421C7" w:rsidP="004421C7">
      <w:pPr>
        <w:jc w:val="both"/>
        <w:rPr>
          <w:color w:val="000000"/>
        </w:rPr>
      </w:pPr>
      <w:r w:rsidRPr="00153390">
        <w:rPr>
          <w:b/>
          <w:color w:val="000000"/>
          <w:u w:val="single"/>
        </w:rPr>
        <w:t>Activity 2011-2:  Opportunity Neighborhoods</w:t>
      </w:r>
    </w:p>
    <w:p w:rsidR="004421C7" w:rsidRPr="00153390" w:rsidRDefault="004421C7" w:rsidP="004421C7">
      <w:pPr>
        <w:jc w:val="both"/>
        <w:rPr>
          <w:color w:val="000000"/>
        </w:rPr>
      </w:pPr>
    </w:p>
    <w:p w:rsidR="004421C7" w:rsidRPr="00153390" w:rsidRDefault="004421C7" w:rsidP="004421C7">
      <w:pPr>
        <w:autoSpaceDE w:val="0"/>
        <w:autoSpaceDN w:val="0"/>
        <w:adjustRightInd w:val="0"/>
        <w:jc w:val="both"/>
        <w:rPr>
          <w:strike/>
          <w:color w:val="000000"/>
        </w:rPr>
      </w:pPr>
      <w:r w:rsidRPr="00153390">
        <w:rPr>
          <w:b/>
          <w:color w:val="000000"/>
        </w:rPr>
        <w:t>Description/Update of MTW Activity</w:t>
      </w:r>
      <w:r>
        <w:rPr>
          <w:color w:val="000000"/>
        </w:rPr>
        <w:t xml:space="preserve">: </w:t>
      </w:r>
      <w:r w:rsidRPr="00153390">
        <w:rPr>
          <w:color w:val="000000"/>
        </w:rPr>
        <w:t xml:space="preserve">DHCD plans to establish </w:t>
      </w:r>
      <w:r>
        <w:rPr>
          <w:color w:val="000000"/>
        </w:rPr>
        <w:t>an “Opportunity Neighborhoods” P</w:t>
      </w:r>
      <w:r w:rsidRPr="00153390">
        <w:rPr>
          <w:color w:val="000000"/>
        </w:rPr>
        <w:t xml:space="preserve">rogram in one or more selected neighborhoods in different regions throughout the Commonwealth.  The majority of academic research and literature indicates that where a person lives determines (to various degrees), the opportunities afforded to them.  </w:t>
      </w:r>
    </w:p>
    <w:p w:rsidR="004421C7" w:rsidRPr="00153390" w:rsidRDefault="004421C7" w:rsidP="004421C7">
      <w:pPr>
        <w:autoSpaceDE w:val="0"/>
        <w:autoSpaceDN w:val="0"/>
        <w:adjustRightInd w:val="0"/>
        <w:jc w:val="both"/>
        <w:rPr>
          <w:color w:val="000000"/>
        </w:rPr>
      </w:pPr>
    </w:p>
    <w:p w:rsidR="00B13531" w:rsidRPr="00B13531" w:rsidRDefault="004421C7" w:rsidP="004421C7">
      <w:pPr>
        <w:autoSpaceDE w:val="0"/>
        <w:autoSpaceDN w:val="0"/>
        <w:adjustRightInd w:val="0"/>
        <w:jc w:val="both"/>
        <w:rPr>
          <w:color w:val="000000"/>
        </w:rPr>
      </w:pPr>
      <w:r w:rsidRPr="00153390">
        <w:rPr>
          <w:color w:val="000000"/>
        </w:rPr>
        <w:t>The purpose of DHCD’s “Opportunity Neighborhood</w:t>
      </w:r>
      <w:r>
        <w:rPr>
          <w:color w:val="000000"/>
        </w:rPr>
        <w:t>s</w:t>
      </w:r>
      <w:r w:rsidRPr="00153390">
        <w:rPr>
          <w:color w:val="000000"/>
        </w:rPr>
        <w:t xml:space="preserve">” MTW initiative is to provide significant supports and encouragement to existing voucher participants and/or new voucher holders who wish to move to areas with empirically-documented improved educational systems, job opportunities, social services and other opportunities in the expectation that over time their need for housing and other subsidies will abate or diminish.  Existing participants and/or voucher holders moving into these areas will be provided with case management support both before and after the move through the participating regional administering agencies.  Other incentives may be provided based on family needs and budget availability such as transportation assistance, child care referrals, training stipends, etc.  Families will be encouraged or required to develop a family plan to access opportunities in their new neighborhoods with a special focus on positive outcome educational programs for children and available jobs for adults.  </w:t>
      </w:r>
      <w:r w:rsidR="00B13531">
        <w:rPr>
          <w:color w:val="000000"/>
        </w:rPr>
        <w:t xml:space="preserve">DHCD may consider targeting groups of individuals to move to a single opportunity neighborhood to provide peer support for one another.  Studies indicate that the peer support can improve the success of the mobility program. </w:t>
      </w:r>
    </w:p>
    <w:p w:rsidR="004421C7" w:rsidRPr="00153390" w:rsidRDefault="004421C7" w:rsidP="004421C7">
      <w:pPr>
        <w:autoSpaceDE w:val="0"/>
        <w:autoSpaceDN w:val="0"/>
        <w:adjustRightInd w:val="0"/>
        <w:jc w:val="both"/>
        <w:rPr>
          <w:color w:val="000000"/>
        </w:rPr>
      </w:pPr>
    </w:p>
    <w:p w:rsidR="00B13531" w:rsidRDefault="004421C7" w:rsidP="004421C7">
      <w:pPr>
        <w:autoSpaceDE w:val="0"/>
        <w:autoSpaceDN w:val="0"/>
        <w:adjustRightInd w:val="0"/>
        <w:jc w:val="both"/>
        <w:rPr>
          <w:color w:val="000000"/>
        </w:rPr>
      </w:pPr>
      <w:r w:rsidRPr="00153390">
        <w:rPr>
          <w:color w:val="000000"/>
        </w:rPr>
        <w:t>In prior fiscal years, DHCD worked with local graduate students to review data and develop the design of the “Opportunity Neighborhood</w:t>
      </w:r>
      <w:r>
        <w:rPr>
          <w:color w:val="000000"/>
        </w:rPr>
        <w:t>s</w:t>
      </w:r>
      <w:r w:rsidRPr="00153390">
        <w:rPr>
          <w:color w:val="000000"/>
        </w:rPr>
        <w:t>” Program.  In it</w:t>
      </w:r>
      <w:r>
        <w:rPr>
          <w:color w:val="000000"/>
        </w:rPr>
        <w:t>s current form, the program may</w:t>
      </w:r>
      <w:r w:rsidRPr="00153390">
        <w:rPr>
          <w:color w:val="000000"/>
        </w:rPr>
        <w:t xml:space="preserve"> offer revised payment standards, longer housing search periods, secu</w:t>
      </w:r>
      <w:r>
        <w:rPr>
          <w:color w:val="000000"/>
        </w:rPr>
        <w:t>rity deposit assistance, and mor</w:t>
      </w:r>
      <w:r w:rsidRPr="00153390">
        <w:rPr>
          <w:color w:val="000000"/>
        </w:rPr>
        <w:t>e assistance to support moves to communi</w:t>
      </w:r>
      <w:r>
        <w:rPr>
          <w:color w:val="000000"/>
        </w:rPr>
        <w:t>ties with high quality schools, low poverty rates and low violent crime rates.</w:t>
      </w:r>
    </w:p>
    <w:p w:rsidR="004421C7" w:rsidRDefault="004421C7" w:rsidP="004421C7">
      <w:pPr>
        <w:autoSpaceDE w:val="0"/>
        <w:autoSpaceDN w:val="0"/>
        <w:adjustRightInd w:val="0"/>
        <w:jc w:val="both"/>
        <w:rPr>
          <w:color w:val="000000"/>
        </w:rPr>
      </w:pPr>
    </w:p>
    <w:p w:rsidR="004421C7" w:rsidRPr="00153390" w:rsidRDefault="004421C7" w:rsidP="004421C7">
      <w:pPr>
        <w:autoSpaceDE w:val="0"/>
        <w:autoSpaceDN w:val="0"/>
        <w:adjustRightInd w:val="0"/>
        <w:jc w:val="both"/>
        <w:rPr>
          <w:color w:val="000000"/>
        </w:rPr>
      </w:pPr>
      <w:r>
        <w:rPr>
          <w:color w:val="000000"/>
        </w:rPr>
        <w:t xml:space="preserve">In FY 2017 DHCD will review the feasibility of using a third party provider to manage the Opportunity Neighborhoods activity.  DHCD will develop a scope of work and targeted outcomes to guide the provider on the goals and objectives for the program.  </w:t>
      </w:r>
    </w:p>
    <w:p w:rsidR="004421C7" w:rsidRPr="00153390" w:rsidRDefault="004421C7" w:rsidP="004421C7">
      <w:pPr>
        <w:jc w:val="both"/>
        <w:rPr>
          <w:b/>
          <w:color w:val="000000"/>
        </w:rPr>
      </w:pPr>
    </w:p>
    <w:p w:rsidR="004421C7" w:rsidRPr="00A52E89" w:rsidRDefault="004421C7" w:rsidP="004421C7">
      <w:pPr>
        <w:jc w:val="both"/>
        <w:rPr>
          <w:color w:val="000000"/>
        </w:rPr>
      </w:pPr>
      <w:r w:rsidRPr="00153390">
        <w:rPr>
          <w:b/>
          <w:color w:val="000000"/>
        </w:rPr>
        <w:t xml:space="preserve">Proposed Changes to Activity: </w:t>
      </w:r>
      <w:r>
        <w:rPr>
          <w:color w:val="000000"/>
        </w:rPr>
        <w:t>No changes are proposed.</w:t>
      </w:r>
    </w:p>
    <w:p w:rsidR="004421C7" w:rsidRDefault="004421C7" w:rsidP="004421C7">
      <w:pPr>
        <w:rPr>
          <w:b/>
          <w:color w:val="000000"/>
          <w:u w:val="single"/>
        </w:rPr>
      </w:pPr>
    </w:p>
    <w:p w:rsidR="004421C7" w:rsidRPr="003F655B" w:rsidRDefault="004421C7" w:rsidP="004421C7">
      <w:pPr>
        <w:jc w:val="both"/>
        <w:rPr>
          <w:color w:val="000000"/>
        </w:rPr>
      </w:pPr>
      <w:r w:rsidRPr="004F3163">
        <w:rPr>
          <w:b/>
          <w:color w:val="000000"/>
        </w:rPr>
        <w:t>Approval and Implementation</w:t>
      </w:r>
      <w:r>
        <w:rPr>
          <w:color w:val="000000"/>
        </w:rPr>
        <w:t xml:space="preserve">: This activity was approved in 2011 and has not been implemented.  In FY 2017 DHCD may identify a third party provider to assist in the development and implementation of the finalized program design. </w:t>
      </w:r>
    </w:p>
    <w:p w:rsidR="004421C7" w:rsidRDefault="004421C7" w:rsidP="004421C7">
      <w:pPr>
        <w:rPr>
          <w:b/>
          <w:color w:val="000000"/>
        </w:rPr>
      </w:pPr>
    </w:p>
    <w:p w:rsidR="004421C7" w:rsidRPr="009D6E84" w:rsidRDefault="004421C7" w:rsidP="004421C7">
      <w:pPr>
        <w:jc w:val="both"/>
        <w:rPr>
          <w:bCs/>
        </w:rPr>
      </w:pPr>
      <w:r>
        <w:rPr>
          <w:b/>
        </w:rPr>
        <w:t xml:space="preserve">Changes to Baseline, Benchmarks &amp; Metrics: </w:t>
      </w:r>
      <w:r>
        <w:t>The baseline, benchmarks and metrics have not changed. DHCD will report on outcomes in the MTW Annual Report.</w:t>
      </w:r>
    </w:p>
    <w:p w:rsidR="004421C7" w:rsidRDefault="004421C7" w:rsidP="004421C7">
      <w:pPr>
        <w:rPr>
          <w:b/>
          <w:color w:val="000000"/>
        </w:rPr>
      </w:pPr>
    </w:p>
    <w:p w:rsidR="005E3062" w:rsidRPr="003F655B" w:rsidRDefault="005E3062" w:rsidP="009E6224">
      <w:pPr>
        <w:jc w:val="both"/>
        <w:rPr>
          <w:color w:val="000000"/>
        </w:rPr>
      </w:pPr>
      <w:r w:rsidRPr="003F655B">
        <w:rPr>
          <w:color w:val="000000"/>
        </w:rPr>
        <w:br w:type="page"/>
      </w:r>
    </w:p>
    <w:p w:rsidR="0013595A" w:rsidRDefault="0013595A" w:rsidP="0013595A">
      <w:pPr>
        <w:rPr>
          <w:color w:val="000000"/>
          <w:highlight w:val="yellow"/>
        </w:rPr>
      </w:pPr>
    </w:p>
    <w:p w:rsidR="0013595A" w:rsidRDefault="0013595A" w:rsidP="007E68D3">
      <w:pPr>
        <w:pStyle w:val="Heading3"/>
        <w:numPr>
          <w:ilvl w:val="0"/>
          <w:numId w:val="46"/>
        </w:numPr>
      </w:pPr>
      <w:bookmarkStart w:id="22" w:name="_Toc415115904"/>
      <w:bookmarkStart w:id="23" w:name="_Toc444496093"/>
      <w:r w:rsidRPr="0013595A">
        <w:t>Closed out</w:t>
      </w:r>
      <w:bookmarkEnd w:id="22"/>
      <w:bookmarkEnd w:id="23"/>
    </w:p>
    <w:p w:rsidR="00F06BB5" w:rsidRPr="00F06BB5" w:rsidRDefault="00F06BB5" w:rsidP="00F06BB5"/>
    <w:p w:rsidR="0013595A" w:rsidRPr="0013595A" w:rsidRDefault="0013595A" w:rsidP="0013595A">
      <w:pPr>
        <w:rPr>
          <w:b/>
          <w:color w:val="000000"/>
          <w:u w:val="single"/>
        </w:rPr>
      </w:pPr>
      <w:r w:rsidRPr="0013595A">
        <w:rPr>
          <w:b/>
          <w:color w:val="000000"/>
          <w:u w:val="single"/>
        </w:rPr>
        <w:t xml:space="preserve"> Activity 2011-3:  Biennial Inspections</w:t>
      </w:r>
    </w:p>
    <w:p w:rsidR="0013595A" w:rsidRPr="0013595A" w:rsidRDefault="0013595A" w:rsidP="0013595A">
      <w:pPr>
        <w:rPr>
          <w:color w:val="000000"/>
        </w:rPr>
      </w:pPr>
    </w:p>
    <w:p w:rsidR="0013595A" w:rsidRPr="0013595A" w:rsidRDefault="0013595A" w:rsidP="00FB7270">
      <w:pPr>
        <w:jc w:val="both"/>
        <w:rPr>
          <w:color w:val="000000"/>
        </w:rPr>
      </w:pPr>
      <w:r w:rsidRPr="0013595A">
        <w:rPr>
          <w:b/>
          <w:color w:val="000000"/>
        </w:rPr>
        <w:t>Description of MTW Activity</w:t>
      </w:r>
      <w:r w:rsidRPr="0013595A">
        <w:rPr>
          <w:color w:val="000000"/>
        </w:rPr>
        <w:t>: DHCD had begun implementation of biennial inspections in FY 13.</w:t>
      </w:r>
    </w:p>
    <w:p w:rsidR="0013595A" w:rsidRDefault="0013595A" w:rsidP="0013595A">
      <w:pPr>
        <w:rPr>
          <w:color w:val="000000"/>
          <w:highlight w:val="yellow"/>
        </w:rPr>
      </w:pPr>
    </w:p>
    <w:p w:rsidR="0013595A" w:rsidRPr="00EB68A0" w:rsidRDefault="0013595A" w:rsidP="0013595A">
      <w:pPr>
        <w:contextualSpacing/>
        <w:jc w:val="both"/>
        <w:rPr>
          <w:color w:val="000000"/>
        </w:rPr>
      </w:pPr>
      <w:r>
        <w:rPr>
          <w:rFonts w:cs="Arial"/>
          <w:b/>
          <w:sz w:val="22"/>
        </w:rPr>
        <w:t xml:space="preserve">Reason for Closing Out Activity:  </w:t>
      </w:r>
      <w:r w:rsidRPr="00EB68A0">
        <w:rPr>
          <w:color w:val="000000"/>
        </w:rPr>
        <w:t>Biennial Inspections were approved by HUD as a DHCD MTW activity in FY 2011.  In FY 15</w:t>
      </w:r>
      <w:r w:rsidR="00EB68A0">
        <w:rPr>
          <w:color w:val="000000"/>
        </w:rPr>
        <w:t>,</w:t>
      </w:r>
      <w:r w:rsidRPr="00EB68A0">
        <w:rPr>
          <w:color w:val="000000"/>
        </w:rPr>
        <w:t xml:space="preserve"> DHCD closed out this activity as an MTW initiative due to the 2014 App</w:t>
      </w:r>
      <w:r w:rsidR="00E944B0">
        <w:rPr>
          <w:color w:val="000000"/>
        </w:rPr>
        <w:t>ropriations Act which allows DHCD</w:t>
      </w:r>
      <w:r w:rsidRPr="00EB68A0">
        <w:rPr>
          <w:color w:val="000000"/>
        </w:rPr>
        <w:t xml:space="preserve"> to transition to a biennial inspection schedule without MTW authority. </w:t>
      </w:r>
    </w:p>
    <w:p w:rsidR="0016151B" w:rsidRPr="00034D05" w:rsidRDefault="00F13B32" w:rsidP="0013595A">
      <w:pPr>
        <w:rPr>
          <w:color w:val="000000"/>
          <w:highlight w:val="yellow"/>
        </w:rPr>
      </w:pPr>
      <w:r w:rsidRPr="00034D05">
        <w:rPr>
          <w:color w:val="000000"/>
          <w:highlight w:val="yellow"/>
        </w:rPr>
        <w:br w:type="page"/>
      </w:r>
    </w:p>
    <w:p w:rsidR="0016151B" w:rsidRPr="003F655B" w:rsidRDefault="00A91BB8" w:rsidP="003F655B">
      <w:pPr>
        <w:pStyle w:val="Heading1"/>
        <w:rPr>
          <w:rFonts w:ascii="Times New Roman" w:hAnsi="Times New Roman"/>
          <w:highlight w:val="yellow"/>
        </w:rPr>
      </w:pPr>
      <w:bookmarkStart w:id="24" w:name="_Toc415115905"/>
      <w:bookmarkStart w:id="25" w:name="_Toc444496094"/>
      <w:r w:rsidRPr="0060771D">
        <w:rPr>
          <w:rFonts w:ascii="Times New Roman" w:hAnsi="Times New Roman"/>
        </w:rPr>
        <w:t xml:space="preserve">V. </w:t>
      </w:r>
      <w:r w:rsidR="0016151B" w:rsidRPr="0060771D">
        <w:rPr>
          <w:rFonts w:ascii="Times New Roman" w:hAnsi="Times New Roman"/>
        </w:rPr>
        <w:t>Sources and Uses of Funding</w:t>
      </w:r>
      <w:bookmarkEnd w:id="24"/>
      <w:bookmarkEnd w:id="25"/>
    </w:p>
    <w:p w:rsidR="0016151B" w:rsidRPr="003F655B" w:rsidRDefault="0016151B" w:rsidP="000020A5">
      <w:pPr>
        <w:rPr>
          <w:color w:val="000000"/>
          <w:highlight w:val="yellow"/>
        </w:rPr>
      </w:pPr>
    </w:p>
    <w:p w:rsidR="00C31132" w:rsidRDefault="00C31132" w:rsidP="00FB7270">
      <w:pPr>
        <w:jc w:val="both"/>
        <w:rPr>
          <w:color w:val="000000"/>
        </w:rPr>
      </w:pPr>
      <w:r>
        <w:rPr>
          <w:color w:val="000000"/>
        </w:rPr>
        <w:t>DHCD’s operates an MTW program that involves only Housing Choice Vouchers.  The table below provides a projection of sources and uses for the MTW program for Fiscal Year 2016.  Note that no sta</w:t>
      </w:r>
      <w:r w:rsidR="001A5522">
        <w:rPr>
          <w:color w:val="000000"/>
        </w:rPr>
        <w:t>te or local funds are utilized.</w:t>
      </w:r>
      <w:r>
        <w:rPr>
          <w:color w:val="000000"/>
        </w:rPr>
        <w:t xml:space="preserve">  Note also that HCV funding is allocated on a calendar year (CY) basis.  As of the posting of this Plan, DHCD has not been notified of total renewal funding for CY 2016; thus, the amounts listed below may change based on actual funding levels.  DHCD will provide information on actual source and use amounts as part of the MTW Annual Report. </w:t>
      </w:r>
    </w:p>
    <w:p w:rsidR="00C31132" w:rsidRDefault="00C31132" w:rsidP="00FB7270">
      <w:pPr>
        <w:jc w:val="both"/>
        <w:rPr>
          <w:color w:val="000000"/>
        </w:rPr>
      </w:pPr>
    </w:p>
    <w:p w:rsidR="00C31132" w:rsidRDefault="00C31132" w:rsidP="00FB7270">
      <w:pPr>
        <w:jc w:val="both"/>
        <w:rPr>
          <w:color w:val="000000"/>
        </w:rPr>
      </w:pPr>
      <w:r>
        <w:rPr>
          <w:color w:val="000000"/>
        </w:rPr>
        <w:t xml:space="preserve">In December 2011, HUD issued PIH Notice 2011-67, which describes new cash management requirements and procedures </w:t>
      </w:r>
      <w:r w:rsidR="001A5522">
        <w:rPr>
          <w:color w:val="000000"/>
        </w:rPr>
        <w:t>for the HCV program nationwide.</w:t>
      </w:r>
      <w:r>
        <w:rPr>
          <w:color w:val="000000"/>
        </w:rPr>
        <w:t xml:space="preserve">  HUD will now disburse HCV funding on a monthly basis, using adjusted Housing Assistance Payments and leasing data from the mo</w:t>
      </w:r>
      <w:r w:rsidR="001A5522">
        <w:rPr>
          <w:color w:val="000000"/>
        </w:rPr>
        <w:t>st recently completed quarter.</w:t>
      </w:r>
      <w:r>
        <w:rPr>
          <w:color w:val="000000"/>
        </w:rPr>
        <w:t xml:space="preserve">  DHCD continues to be concerned that this Notice is inconsistent with its MTW Agreement, which defines a funding formula that is not directly linked to actual costs or leasing levels.  DHCD intends to work with HUD to ensure that its funding needs are fully met consistent with the MTW Agreement.</w:t>
      </w:r>
    </w:p>
    <w:p w:rsidR="00C31132" w:rsidRDefault="00C31132" w:rsidP="00C31132">
      <w:pPr>
        <w:pStyle w:val="Heading3"/>
        <w:numPr>
          <w:ilvl w:val="0"/>
          <w:numId w:val="0"/>
        </w:numPr>
        <w:ind w:left="360"/>
        <w:rPr>
          <w:highlight w:val="yellow"/>
        </w:rPr>
      </w:pPr>
    </w:p>
    <w:p w:rsidR="00C31132" w:rsidRDefault="00C31132" w:rsidP="00C31132">
      <w:pPr>
        <w:pStyle w:val="Heading3"/>
        <w:numPr>
          <w:ilvl w:val="0"/>
          <w:numId w:val="34"/>
        </w:numPr>
      </w:pPr>
      <w:bookmarkStart w:id="26" w:name="_Toc415115906"/>
      <w:bookmarkStart w:id="27" w:name="_Toc444496095"/>
      <w:r>
        <w:t>Estimates Sources of MTW Funding for the Fiscal Year</w:t>
      </w:r>
      <w:bookmarkEnd w:id="26"/>
      <w:bookmarkEnd w:id="27"/>
    </w:p>
    <w:p w:rsidR="00C31132" w:rsidRDefault="00C31132" w:rsidP="00C31132">
      <w:pPr>
        <w:rPr>
          <w:color w:val="000000"/>
          <w:highlight w:val="yellow"/>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150"/>
        <w:gridCol w:w="1980"/>
      </w:tblGrid>
      <w:tr w:rsidR="00C31132" w:rsidTr="00C15E65">
        <w:trPr>
          <w:trHeight w:val="437"/>
        </w:trPr>
        <w:tc>
          <w:tcPr>
            <w:tcW w:w="9288" w:type="dxa"/>
            <w:gridSpan w:val="3"/>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Sources</w:t>
            </w:r>
          </w:p>
        </w:tc>
      </w:tr>
      <w:tr w:rsidR="00C31132" w:rsidTr="00C15E65">
        <w:trPr>
          <w:trHeight w:val="287"/>
        </w:trPr>
        <w:tc>
          <w:tcPr>
            <w:tcW w:w="4158" w:type="dxa"/>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FDS Line Item</w:t>
            </w:r>
          </w:p>
        </w:tc>
        <w:tc>
          <w:tcPr>
            <w:tcW w:w="3150" w:type="dxa"/>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FDS Line Item Name</w:t>
            </w:r>
          </w:p>
        </w:tc>
        <w:tc>
          <w:tcPr>
            <w:tcW w:w="1980" w:type="dxa"/>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Dollar Amount</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70500 (70300+70400)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Tenant Revenue</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70600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HUD PHA Operating Grants</w:t>
            </w:r>
          </w:p>
        </w:tc>
        <w:tc>
          <w:tcPr>
            <w:tcW w:w="1980" w:type="dxa"/>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C31132">
            <w:pPr>
              <w:spacing w:line="256" w:lineRule="auto"/>
              <w:jc w:val="center"/>
              <w:rPr>
                <w:rFonts w:eastAsia="Calibri"/>
                <w:sz w:val="22"/>
                <w:szCs w:val="22"/>
              </w:rPr>
            </w:pPr>
            <w:r w:rsidRPr="00BF3ECD">
              <w:rPr>
                <w:rFonts w:eastAsia="Calibri"/>
                <w:sz w:val="22"/>
                <w:szCs w:val="22"/>
              </w:rPr>
              <w:t>$25</w:t>
            </w:r>
            <w:r w:rsidR="00BF3ECD" w:rsidRPr="00BF3ECD">
              <w:rPr>
                <w:rFonts w:eastAsia="Calibri"/>
                <w:sz w:val="22"/>
                <w:szCs w:val="22"/>
              </w:rPr>
              <w:t>8,786,206</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70610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Capital Grants</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70700 (70710+70720+70730+70740+70750)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Fee Revenue</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71100+72000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Interest Income</w:t>
            </w:r>
          </w:p>
        </w:tc>
        <w:tc>
          <w:tcPr>
            <w:tcW w:w="1980" w:type="dxa"/>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BF3ECD">
            <w:pPr>
              <w:spacing w:line="256" w:lineRule="auto"/>
              <w:jc w:val="center"/>
              <w:rPr>
                <w:rFonts w:eastAsia="Calibri"/>
                <w:sz w:val="22"/>
                <w:szCs w:val="22"/>
              </w:rPr>
            </w:pPr>
            <w:r w:rsidRPr="00BF3ECD">
              <w:rPr>
                <w:rFonts w:eastAsia="Calibri"/>
                <w:sz w:val="22"/>
                <w:szCs w:val="22"/>
              </w:rPr>
              <w:t>5,000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71600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Gain or Loss on Sale of Capital Assets</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71200+71300+71310+71400+71500</w:t>
            </w:r>
          </w:p>
        </w:tc>
        <w:tc>
          <w:tcPr>
            <w:tcW w:w="3150" w:type="dxa"/>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Other Income</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C15E65">
        <w:trPr>
          <w:trHeight w:val="437"/>
        </w:trPr>
        <w:tc>
          <w:tcPr>
            <w:tcW w:w="4158" w:type="dxa"/>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rPr>
                <w:rFonts w:eastAsia="Calibri"/>
                <w:b/>
                <w:sz w:val="22"/>
                <w:szCs w:val="22"/>
              </w:rPr>
            </w:pPr>
            <w:r>
              <w:rPr>
                <w:rFonts w:eastAsia="Calibri"/>
                <w:b/>
                <w:sz w:val="22"/>
                <w:szCs w:val="22"/>
              </w:rPr>
              <w:t>70000</w:t>
            </w:r>
          </w:p>
        </w:tc>
        <w:tc>
          <w:tcPr>
            <w:tcW w:w="3150" w:type="dxa"/>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rPr>
                <w:rFonts w:eastAsia="Calibri"/>
                <w:b/>
                <w:sz w:val="22"/>
                <w:szCs w:val="22"/>
              </w:rPr>
            </w:pPr>
            <w:r>
              <w:rPr>
                <w:rFonts w:eastAsia="Calibri"/>
                <w:b/>
                <w:sz w:val="22"/>
                <w:szCs w:val="22"/>
              </w:rPr>
              <w:t>Total Revenue</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C31132" w:rsidRPr="00BF3ECD" w:rsidRDefault="00C31132">
            <w:pPr>
              <w:spacing w:line="256" w:lineRule="auto"/>
              <w:jc w:val="center"/>
              <w:rPr>
                <w:rFonts w:eastAsia="Calibri"/>
                <w:b/>
                <w:sz w:val="22"/>
                <w:szCs w:val="22"/>
              </w:rPr>
            </w:pPr>
            <w:r w:rsidRPr="00BF3ECD">
              <w:rPr>
                <w:rFonts w:eastAsia="Calibri"/>
                <w:b/>
                <w:sz w:val="22"/>
                <w:szCs w:val="22"/>
              </w:rPr>
              <w:t>$25</w:t>
            </w:r>
            <w:r w:rsidR="00BF3ECD" w:rsidRPr="00BF3ECD">
              <w:rPr>
                <w:rFonts w:eastAsia="Calibri"/>
                <w:b/>
                <w:sz w:val="22"/>
                <w:szCs w:val="22"/>
              </w:rPr>
              <w:t>8,791,206</w:t>
            </w:r>
          </w:p>
        </w:tc>
      </w:tr>
    </w:tbl>
    <w:p w:rsidR="00C31132" w:rsidRDefault="00C31132" w:rsidP="00C31132">
      <w:pPr>
        <w:pStyle w:val="Heading3"/>
        <w:numPr>
          <w:ilvl w:val="0"/>
          <w:numId w:val="34"/>
        </w:numPr>
      </w:pPr>
      <w:r>
        <w:rPr>
          <w:b w:val="0"/>
          <w:bCs w:val="0"/>
          <w:highlight w:val="yellow"/>
        </w:rPr>
        <w:br w:type="page"/>
      </w:r>
      <w:bookmarkStart w:id="28" w:name="_Toc415115907"/>
      <w:bookmarkStart w:id="29" w:name="_Toc444496096"/>
      <w:r>
        <w:t>Estimated Uses of MTW Funding for the Fiscal Year</w:t>
      </w:r>
      <w:bookmarkEnd w:id="28"/>
      <w:bookmarkEnd w:id="29"/>
    </w:p>
    <w:p w:rsidR="00C31132" w:rsidRDefault="00C31132" w:rsidP="00C31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779"/>
        <w:gridCol w:w="1614"/>
      </w:tblGrid>
      <w:tr w:rsidR="00C31132" w:rsidTr="003D3179">
        <w:trPr>
          <w:trHeight w:val="226"/>
        </w:trPr>
        <w:tc>
          <w:tcPr>
            <w:tcW w:w="5000" w:type="pct"/>
            <w:gridSpan w:val="3"/>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Uses</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FDS Line Item</w:t>
            </w:r>
          </w:p>
        </w:tc>
        <w:tc>
          <w:tcPr>
            <w:tcW w:w="1714" w:type="pct"/>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FDS Line Item Name</w:t>
            </w:r>
          </w:p>
        </w:tc>
        <w:tc>
          <w:tcPr>
            <w:tcW w:w="1091" w:type="pct"/>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jc w:val="center"/>
              <w:rPr>
                <w:rFonts w:eastAsia="Calibri"/>
                <w:b/>
                <w:sz w:val="22"/>
                <w:szCs w:val="22"/>
              </w:rPr>
            </w:pPr>
            <w:r>
              <w:rPr>
                <w:rFonts w:eastAsia="Calibri"/>
                <w:b/>
                <w:sz w:val="22"/>
                <w:szCs w:val="22"/>
              </w:rPr>
              <w:t>Dollar Amount</w:t>
            </w:r>
          </w:p>
        </w:tc>
      </w:tr>
      <w:tr w:rsidR="00C31132" w:rsidTr="003D3179">
        <w:trPr>
          <w:trHeight w:val="647"/>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91000</w:t>
            </w:r>
          </w:p>
          <w:p w:rsidR="00C31132" w:rsidRDefault="00C31132">
            <w:pPr>
              <w:spacing w:line="256" w:lineRule="auto"/>
              <w:rPr>
                <w:rFonts w:eastAsia="Calibri"/>
                <w:sz w:val="22"/>
                <w:szCs w:val="22"/>
              </w:rPr>
            </w:pPr>
            <w:r>
              <w:rPr>
                <w:rFonts w:eastAsia="Calibri"/>
                <w:sz w:val="22"/>
                <w:szCs w:val="22"/>
              </w:rPr>
              <w:t>(91100+91200+91400+91500+91600+91700+</w:t>
            </w:r>
          </w:p>
          <w:p w:rsidR="00C31132" w:rsidRDefault="00C31132">
            <w:pPr>
              <w:spacing w:line="256" w:lineRule="auto"/>
              <w:rPr>
                <w:rFonts w:eastAsia="Calibri"/>
                <w:sz w:val="22"/>
                <w:szCs w:val="22"/>
              </w:rPr>
            </w:pPr>
            <w:r>
              <w:rPr>
                <w:rFonts w:eastAsia="Calibri"/>
                <w:sz w:val="22"/>
                <w:szCs w:val="22"/>
              </w:rPr>
              <w:t>91800+91900)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Operating – Administrative</w:t>
            </w:r>
          </w:p>
        </w:tc>
        <w:tc>
          <w:tcPr>
            <w:tcW w:w="1091" w:type="pct"/>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C31132">
            <w:pPr>
              <w:spacing w:line="256" w:lineRule="auto"/>
              <w:jc w:val="center"/>
              <w:rPr>
                <w:rFonts w:eastAsia="Calibri"/>
                <w:sz w:val="22"/>
                <w:szCs w:val="22"/>
              </w:rPr>
            </w:pPr>
            <w:r w:rsidRPr="00BF3ECD">
              <w:rPr>
                <w:rFonts w:eastAsia="Calibri"/>
                <w:sz w:val="22"/>
                <w:szCs w:val="22"/>
              </w:rPr>
              <w:t>$3,</w:t>
            </w:r>
            <w:r w:rsidR="00BF3ECD" w:rsidRPr="00BF3ECD">
              <w:rPr>
                <w:rFonts w:eastAsia="Calibri"/>
                <w:sz w:val="22"/>
                <w:szCs w:val="22"/>
              </w:rPr>
              <w:t>641,515</w:t>
            </w:r>
          </w:p>
        </w:tc>
      </w:tr>
      <w:tr w:rsidR="00C31132" w:rsidTr="003D3179">
        <w:trPr>
          <w:trHeight w:val="226"/>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91300+91310+92000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Management Fee Expense</w:t>
            </w:r>
          </w:p>
        </w:tc>
        <w:tc>
          <w:tcPr>
            <w:tcW w:w="1091" w:type="pct"/>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C31132">
            <w:pPr>
              <w:spacing w:line="256" w:lineRule="auto"/>
              <w:jc w:val="center"/>
              <w:rPr>
                <w:rFonts w:eastAsia="Calibri"/>
                <w:sz w:val="22"/>
                <w:szCs w:val="22"/>
              </w:rPr>
            </w:pPr>
            <w:r w:rsidRPr="00BF3ECD">
              <w:rPr>
                <w:rFonts w:eastAsia="Calibri"/>
                <w:sz w:val="22"/>
                <w:szCs w:val="22"/>
              </w:rPr>
              <w:t>1</w:t>
            </w:r>
            <w:r w:rsidR="00BF3ECD" w:rsidRPr="00BF3ECD">
              <w:rPr>
                <w:rFonts w:eastAsia="Calibri"/>
                <w:sz w:val="22"/>
                <w:szCs w:val="22"/>
              </w:rPr>
              <w:t>7,510,103</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91810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Allocated Overhead</w:t>
            </w:r>
          </w:p>
        </w:tc>
        <w:tc>
          <w:tcPr>
            <w:tcW w:w="1091" w:type="pct"/>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C31132">
            <w:pPr>
              <w:spacing w:line="256" w:lineRule="auto"/>
              <w:jc w:val="center"/>
              <w:rPr>
                <w:rFonts w:eastAsia="Calibri"/>
                <w:sz w:val="22"/>
                <w:szCs w:val="22"/>
              </w:rPr>
            </w:pPr>
            <w:r w:rsidRPr="00BF3ECD">
              <w:rPr>
                <w:rFonts w:eastAsia="Calibri"/>
                <w:sz w:val="22"/>
                <w:szCs w:val="22"/>
              </w:rPr>
              <w:t>275,000</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92500(92100+92200+92300+92400)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Tenant Services</w:t>
            </w:r>
          </w:p>
        </w:tc>
        <w:tc>
          <w:tcPr>
            <w:tcW w:w="1091" w:type="pct"/>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BF3ECD">
            <w:pPr>
              <w:spacing w:line="256" w:lineRule="auto"/>
              <w:jc w:val="center"/>
              <w:rPr>
                <w:rFonts w:eastAsia="Calibri"/>
                <w:sz w:val="22"/>
                <w:szCs w:val="22"/>
              </w:rPr>
            </w:pPr>
            <w:r w:rsidRPr="00BF3ECD">
              <w:rPr>
                <w:rFonts w:eastAsia="Calibri"/>
                <w:sz w:val="22"/>
                <w:szCs w:val="22"/>
              </w:rPr>
              <w:t>725,000</w:t>
            </w:r>
          </w:p>
        </w:tc>
      </w:tr>
      <w:tr w:rsidR="00C31132" w:rsidTr="003D3179">
        <w:trPr>
          <w:trHeight w:val="436"/>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 xml:space="preserve">93000 </w:t>
            </w:r>
          </w:p>
          <w:p w:rsidR="00C31132" w:rsidRDefault="00C31132">
            <w:pPr>
              <w:spacing w:line="256" w:lineRule="auto"/>
              <w:rPr>
                <w:rFonts w:eastAsia="Calibri"/>
                <w:sz w:val="22"/>
                <w:szCs w:val="22"/>
              </w:rPr>
            </w:pPr>
            <w:r>
              <w:rPr>
                <w:rFonts w:eastAsia="Calibri"/>
                <w:sz w:val="22"/>
                <w:szCs w:val="22"/>
              </w:rPr>
              <w:t>(93100+93600+93200+93300+93400+93800)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Utilities</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26"/>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93500+93700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Labor</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94000 (94100+94200+94300+94500)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Ordinary Maintenance</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95000 (95100+95200+95300+95500)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Protective Services</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26"/>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96100 (96110+96120+96130+96140)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Insurance Premiums</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96000 (96200+96210+96300+96400+96500+96600+96800)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Other General Expenses</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436"/>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96700 (96710+96720+96730)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Interest Expense and Amortization Cost</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436"/>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97100+97200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Total Extraordinary Maintenance</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436"/>
        </w:trPr>
        <w:tc>
          <w:tcPr>
            <w:tcW w:w="2195"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97300+97350</w:t>
            </w: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Housing Assistance Payments + HAP Portability-In</w:t>
            </w:r>
          </w:p>
        </w:tc>
        <w:tc>
          <w:tcPr>
            <w:tcW w:w="1091" w:type="pct"/>
            <w:tcBorders>
              <w:top w:val="single" w:sz="4" w:space="0" w:color="auto"/>
              <w:left w:val="single" w:sz="4" w:space="0" w:color="auto"/>
              <w:bottom w:val="single" w:sz="4" w:space="0" w:color="auto"/>
              <w:right w:val="single" w:sz="4" w:space="0" w:color="auto"/>
            </w:tcBorders>
            <w:shd w:val="clear" w:color="auto" w:fill="F2F2F2"/>
            <w:hideMark/>
          </w:tcPr>
          <w:p w:rsidR="00C31132" w:rsidRPr="00BF3ECD" w:rsidRDefault="00C31132">
            <w:pPr>
              <w:spacing w:line="256" w:lineRule="auto"/>
              <w:jc w:val="center"/>
              <w:rPr>
                <w:rFonts w:eastAsia="Calibri"/>
                <w:sz w:val="22"/>
                <w:szCs w:val="22"/>
              </w:rPr>
            </w:pPr>
            <w:r w:rsidRPr="00BF3ECD">
              <w:rPr>
                <w:rFonts w:eastAsia="Calibri"/>
                <w:sz w:val="22"/>
                <w:szCs w:val="22"/>
              </w:rPr>
              <w:t>23</w:t>
            </w:r>
            <w:r w:rsidR="00BF3ECD" w:rsidRPr="00BF3ECD">
              <w:rPr>
                <w:rFonts w:eastAsia="Calibri"/>
                <w:sz w:val="22"/>
                <w:szCs w:val="22"/>
              </w:rPr>
              <w:t>6,639,588</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97400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Depreciation Expense</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11"/>
        </w:trPr>
        <w:tc>
          <w:tcPr>
            <w:tcW w:w="2195" w:type="pct"/>
            <w:tcBorders>
              <w:top w:val="single" w:sz="4" w:space="0" w:color="auto"/>
              <w:left w:val="single" w:sz="4" w:space="0" w:color="auto"/>
              <w:bottom w:val="single" w:sz="4" w:space="0" w:color="auto"/>
              <w:right w:val="single" w:sz="4" w:space="0" w:color="auto"/>
            </w:tcBorders>
            <w:shd w:val="clear" w:color="auto" w:fill="F2F2F2"/>
          </w:tcPr>
          <w:p w:rsidR="00C31132" w:rsidRDefault="00C31132">
            <w:pPr>
              <w:spacing w:line="256" w:lineRule="auto"/>
              <w:rPr>
                <w:rFonts w:eastAsia="Calibri"/>
                <w:sz w:val="22"/>
                <w:szCs w:val="22"/>
              </w:rPr>
            </w:pPr>
            <w:r>
              <w:rPr>
                <w:rFonts w:eastAsia="Calibri"/>
                <w:sz w:val="22"/>
                <w:szCs w:val="22"/>
              </w:rPr>
              <w:t>97500+97600+97700+97800</w:t>
            </w:r>
          </w:p>
          <w:p w:rsidR="00C31132" w:rsidRDefault="00C31132">
            <w:pPr>
              <w:spacing w:line="256" w:lineRule="auto"/>
              <w:rPr>
                <w:rFonts w:eastAsia="Calibri"/>
                <w:sz w:val="22"/>
                <w:szCs w:val="22"/>
              </w:rPr>
            </w:pPr>
          </w:p>
        </w:tc>
        <w:tc>
          <w:tcPr>
            <w:tcW w:w="1714" w:type="pct"/>
            <w:tcBorders>
              <w:top w:val="single" w:sz="4" w:space="0" w:color="auto"/>
              <w:left w:val="single" w:sz="4" w:space="0" w:color="auto"/>
              <w:bottom w:val="single" w:sz="4" w:space="0" w:color="auto"/>
              <w:right w:val="single" w:sz="4" w:space="0" w:color="auto"/>
            </w:tcBorders>
            <w:shd w:val="clear" w:color="auto" w:fill="F2F2F2"/>
            <w:hideMark/>
          </w:tcPr>
          <w:p w:rsidR="00C31132" w:rsidRDefault="00C31132">
            <w:pPr>
              <w:spacing w:line="256" w:lineRule="auto"/>
              <w:rPr>
                <w:rFonts w:eastAsia="Calibri"/>
                <w:sz w:val="22"/>
                <w:szCs w:val="22"/>
              </w:rPr>
            </w:pPr>
            <w:r>
              <w:rPr>
                <w:rFonts w:eastAsia="Calibri"/>
                <w:sz w:val="22"/>
                <w:szCs w:val="22"/>
              </w:rPr>
              <w:t>All Other Expenses</w:t>
            </w:r>
          </w:p>
        </w:tc>
        <w:tc>
          <w:tcPr>
            <w:tcW w:w="1091" w:type="pct"/>
            <w:tcBorders>
              <w:top w:val="single" w:sz="4" w:space="0" w:color="auto"/>
              <w:left w:val="single" w:sz="4" w:space="0" w:color="auto"/>
              <w:bottom w:val="single" w:sz="4" w:space="0" w:color="auto"/>
              <w:right w:val="single" w:sz="4" w:space="0" w:color="auto"/>
            </w:tcBorders>
            <w:shd w:val="clear" w:color="auto" w:fill="F2F2F2"/>
          </w:tcPr>
          <w:p w:rsidR="00C31132" w:rsidRPr="00BF3ECD" w:rsidRDefault="00E466A0">
            <w:pPr>
              <w:spacing w:line="256" w:lineRule="auto"/>
              <w:jc w:val="center"/>
              <w:rPr>
                <w:rFonts w:eastAsia="Calibri"/>
                <w:sz w:val="22"/>
                <w:szCs w:val="22"/>
              </w:rPr>
            </w:pPr>
            <w:r w:rsidRPr="00BF3ECD">
              <w:rPr>
                <w:rFonts w:eastAsia="Calibri"/>
                <w:sz w:val="22"/>
                <w:szCs w:val="22"/>
              </w:rPr>
              <w:t>0</w:t>
            </w:r>
          </w:p>
        </w:tc>
      </w:tr>
      <w:tr w:rsidR="00C31132" w:rsidTr="003D3179">
        <w:trPr>
          <w:trHeight w:val="226"/>
        </w:trPr>
        <w:tc>
          <w:tcPr>
            <w:tcW w:w="2195" w:type="pct"/>
            <w:tcBorders>
              <w:top w:val="single" w:sz="4" w:space="0" w:color="auto"/>
              <w:left w:val="single" w:sz="4" w:space="0" w:color="auto"/>
              <w:bottom w:val="single" w:sz="4" w:space="0" w:color="auto"/>
              <w:right w:val="single" w:sz="4" w:space="0" w:color="auto"/>
            </w:tcBorders>
          </w:tcPr>
          <w:p w:rsidR="00C31132" w:rsidRDefault="00C31132">
            <w:pPr>
              <w:spacing w:line="256" w:lineRule="auto"/>
              <w:rPr>
                <w:rFonts w:eastAsia="Calibri"/>
                <w:b/>
                <w:sz w:val="22"/>
                <w:szCs w:val="22"/>
              </w:rPr>
            </w:pPr>
            <w:r>
              <w:rPr>
                <w:rFonts w:eastAsia="Calibri"/>
                <w:b/>
                <w:sz w:val="22"/>
                <w:szCs w:val="22"/>
              </w:rPr>
              <w:t>90000</w:t>
            </w:r>
          </w:p>
          <w:p w:rsidR="00C31132" w:rsidRDefault="00C31132">
            <w:pPr>
              <w:spacing w:line="256" w:lineRule="auto"/>
              <w:rPr>
                <w:rFonts w:eastAsia="Calibri"/>
                <w:b/>
                <w:sz w:val="22"/>
                <w:szCs w:val="22"/>
              </w:rPr>
            </w:pPr>
          </w:p>
        </w:tc>
        <w:tc>
          <w:tcPr>
            <w:tcW w:w="1714" w:type="pct"/>
            <w:tcBorders>
              <w:top w:val="single" w:sz="4" w:space="0" w:color="auto"/>
              <w:left w:val="single" w:sz="4" w:space="0" w:color="auto"/>
              <w:bottom w:val="single" w:sz="4" w:space="0" w:color="auto"/>
              <w:right w:val="single" w:sz="4" w:space="0" w:color="auto"/>
            </w:tcBorders>
            <w:hideMark/>
          </w:tcPr>
          <w:p w:rsidR="00C31132" w:rsidRDefault="00C31132">
            <w:pPr>
              <w:spacing w:line="256" w:lineRule="auto"/>
              <w:rPr>
                <w:rFonts w:eastAsia="Calibri"/>
                <w:b/>
                <w:sz w:val="22"/>
                <w:szCs w:val="22"/>
              </w:rPr>
            </w:pPr>
            <w:r>
              <w:rPr>
                <w:rFonts w:eastAsia="Calibri"/>
                <w:b/>
                <w:sz w:val="22"/>
                <w:szCs w:val="22"/>
              </w:rPr>
              <w:t>Total Expenses</w:t>
            </w:r>
          </w:p>
        </w:tc>
        <w:tc>
          <w:tcPr>
            <w:tcW w:w="1091" w:type="pct"/>
            <w:tcBorders>
              <w:top w:val="single" w:sz="4" w:space="0" w:color="auto"/>
              <w:left w:val="single" w:sz="4" w:space="0" w:color="auto"/>
              <w:bottom w:val="single" w:sz="4" w:space="0" w:color="auto"/>
              <w:right w:val="single" w:sz="4" w:space="0" w:color="auto"/>
            </w:tcBorders>
            <w:shd w:val="clear" w:color="auto" w:fill="BFBFBF"/>
            <w:hideMark/>
          </w:tcPr>
          <w:p w:rsidR="00C31132" w:rsidRPr="00BF3ECD" w:rsidRDefault="00C31132">
            <w:pPr>
              <w:spacing w:line="256" w:lineRule="auto"/>
              <w:jc w:val="center"/>
              <w:rPr>
                <w:rFonts w:eastAsia="Calibri"/>
                <w:b/>
                <w:sz w:val="22"/>
                <w:szCs w:val="22"/>
              </w:rPr>
            </w:pPr>
            <w:r w:rsidRPr="00BF3ECD">
              <w:rPr>
                <w:rFonts w:eastAsia="Calibri"/>
                <w:b/>
                <w:sz w:val="22"/>
                <w:szCs w:val="22"/>
              </w:rPr>
              <w:t>$25</w:t>
            </w:r>
            <w:r w:rsidR="00BF3ECD" w:rsidRPr="00BF3ECD">
              <w:rPr>
                <w:rFonts w:eastAsia="Calibri"/>
                <w:b/>
                <w:sz w:val="22"/>
                <w:szCs w:val="22"/>
              </w:rPr>
              <w:t>8,791,206</w:t>
            </w:r>
          </w:p>
        </w:tc>
      </w:tr>
    </w:tbl>
    <w:p w:rsidR="005C0749" w:rsidRDefault="005C0749" w:rsidP="00C31132">
      <w:pPr>
        <w:pStyle w:val="Heading1"/>
        <w:rPr>
          <w:rFonts w:ascii="Times New Roman" w:hAnsi="Times New Roman"/>
          <w:highlight w:val="yellow"/>
        </w:rPr>
      </w:pPr>
    </w:p>
    <w:p w:rsidR="005C0749" w:rsidRDefault="005C0749">
      <w:pPr>
        <w:rPr>
          <w:b/>
          <w:bCs/>
          <w:color w:val="000000"/>
          <w:kern w:val="32"/>
          <w:sz w:val="28"/>
          <w:szCs w:val="32"/>
          <w:highlight w:val="yellow"/>
        </w:rPr>
      </w:pPr>
      <w:r>
        <w:rPr>
          <w:highlight w:val="yellow"/>
        </w:rPr>
        <w:br w:type="page"/>
      </w:r>
    </w:p>
    <w:p w:rsidR="00EF0334" w:rsidRPr="00003C3E" w:rsidRDefault="00EF0334" w:rsidP="00180053">
      <w:pPr>
        <w:pStyle w:val="Heading3"/>
        <w:numPr>
          <w:ilvl w:val="0"/>
          <w:numId w:val="20"/>
        </w:numPr>
      </w:pPr>
      <w:bookmarkStart w:id="30" w:name="_Toc415115908"/>
      <w:bookmarkStart w:id="31" w:name="_Toc444496097"/>
      <w:r w:rsidRPr="00003C3E">
        <w:t>MTW Single Fund Flexibility</w:t>
      </w:r>
      <w:bookmarkEnd w:id="30"/>
      <w:bookmarkEnd w:id="31"/>
    </w:p>
    <w:p w:rsidR="00EE5B7B" w:rsidRDefault="00EE5B7B" w:rsidP="00EE5B7B"/>
    <w:p w:rsidR="005C0749" w:rsidRPr="00CE70FD" w:rsidRDefault="005C0749" w:rsidP="00FB7270">
      <w:pPr>
        <w:autoSpaceDE w:val="0"/>
        <w:autoSpaceDN w:val="0"/>
        <w:adjustRightInd w:val="0"/>
        <w:jc w:val="both"/>
      </w:pPr>
      <w:r w:rsidRPr="00CE70FD">
        <w:t>Under the MTW Program, DHCD is authorized to establish an MTW Block Grant budget.</w:t>
      </w:r>
    </w:p>
    <w:p w:rsidR="005C0749" w:rsidRPr="00CE70FD" w:rsidRDefault="005C0749" w:rsidP="00FB7270">
      <w:pPr>
        <w:jc w:val="both"/>
      </w:pPr>
      <w:r w:rsidRPr="00CE70FD">
        <w:t>Activities that utilize Block Grant single</w:t>
      </w:r>
      <w:r w:rsidR="00613D4D" w:rsidRPr="00CE70FD">
        <w:t xml:space="preserve"> fund flexibility are described</w:t>
      </w:r>
      <w:r w:rsidRPr="00CE70FD">
        <w:t xml:space="preserve"> below:</w:t>
      </w:r>
    </w:p>
    <w:p w:rsidR="005C0749" w:rsidRPr="00CE70FD" w:rsidRDefault="005C0749" w:rsidP="00FB7270">
      <w:pPr>
        <w:jc w:val="both"/>
      </w:pPr>
    </w:p>
    <w:p w:rsidR="005C0749" w:rsidRPr="00B71F60" w:rsidRDefault="005C0749" w:rsidP="00FB7270">
      <w:pPr>
        <w:numPr>
          <w:ilvl w:val="0"/>
          <w:numId w:val="36"/>
        </w:numPr>
        <w:autoSpaceDE w:val="0"/>
        <w:autoSpaceDN w:val="0"/>
        <w:adjustRightInd w:val="0"/>
        <w:jc w:val="both"/>
      </w:pPr>
      <w:r w:rsidRPr="00CE70FD">
        <w:t>Education Partnership:</w:t>
      </w:r>
      <w:r w:rsidR="009E2147">
        <w:t xml:space="preserve"> DHCD will u</w:t>
      </w:r>
      <w:r w:rsidR="00DE7442">
        <w:t>se single fund flexibility on education activities which target</w:t>
      </w:r>
      <w:r w:rsidRPr="00CE70FD">
        <w:t xml:space="preserve"> elementary through high school members of DHCD voucher ho</w:t>
      </w:r>
      <w:r w:rsidR="00DE7442">
        <w:t>useholds. The education activities</w:t>
      </w:r>
      <w:r w:rsidRPr="00CE70FD">
        <w:t xml:space="preserve"> will offer afterschool programing for students that exposes participants, through hands on learning activities, to science, technology</w:t>
      </w:r>
      <w:r w:rsidR="00DE7442">
        <w:t>, engineering, and mathematics, music, arts and improved academic performance</w:t>
      </w:r>
      <w:r w:rsidRPr="00CE70FD">
        <w:t xml:space="preserve">.  </w:t>
      </w:r>
      <w:r w:rsidRPr="00CE70FD">
        <w:rPr>
          <w:color w:val="000000"/>
        </w:rPr>
        <w:t>The purpose of this education initiative is to provide participating students with the support needed to ensure positive education outcomes and an expanded opportunity to gain exposure to career and post-graduation education options.  DHCD’s R</w:t>
      </w:r>
      <w:r w:rsidR="001A5522">
        <w:rPr>
          <w:color w:val="000000"/>
        </w:rPr>
        <w:t>AAs</w:t>
      </w:r>
      <w:r w:rsidR="00DE7442">
        <w:rPr>
          <w:color w:val="000000"/>
        </w:rPr>
        <w:t xml:space="preserve"> will identify high quality education</w:t>
      </w:r>
      <w:r w:rsidRPr="00CE70FD">
        <w:rPr>
          <w:color w:val="000000"/>
        </w:rPr>
        <w:t xml:space="preserve"> programs</w:t>
      </w:r>
      <w:r w:rsidR="00DE7442">
        <w:rPr>
          <w:color w:val="000000"/>
        </w:rPr>
        <w:t>/activities</w:t>
      </w:r>
      <w:r w:rsidRPr="00CE70FD">
        <w:rPr>
          <w:color w:val="000000"/>
        </w:rPr>
        <w:t xml:space="preserve"> in place in their regions and then look to establish partnerships with these agencies.  DHCD will address the barriers to access and may pro</w:t>
      </w:r>
      <w:r w:rsidR="00DE7442">
        <w:rPr>
          <w:color w:val="000000"/>
        </w:rPr>
        <w:t xml:space="preserve">vide funding for an education </w:t>
      </w:r>
      <w:r w:rsidRPr="00CE70FD">
        <w:rPr>
          <w:color w:val="000000"/>
        </w:rPr>
        <w:t xml:space="preserve">program initiative for HCV youth in the </w:t>
      </w:r>
      <w:r w:rsidR="00DE7442">
        <w:rPr>
          <w:color w:val="000000"/>
        </w:rPr>
        <w:t xml:space="preserve">impacted </w:t>
      </w:r>
      <w:r w:rsidRPr="00CE70FD">
        <w:rPr>
          <w:color w:val="000000"/>
        </w:rPr>
        <w:t xml:space="preserve">area.  </w:t>
      </w:r>
      <w:r w:rsidR="009E5B20">
        <w:rPr>
          <w:color w:val="000000"/>
        </w:rPr>
        <w:t>The education partnership activity</w:t>
      </w:r>
      <w:r w:rsidR="009E5B20">
        <w:t xml:space="preserve"> includes a financial incentive for a college saving account contribution upon program completion.</w:t>
      </w:r>
    </w:p>
    <w:p w:rsidR="00B71F60" w:rsidRDefault="00B71F60" w:rsidP="00FB7270">
      <w:pPr>
        <w:jc w:val="both"/>
      </w:pPr>
    </w:p>
    <w:p w:rsidR="00B71F60" w:rsidRPr="00FB7270" w:rsidRDefault="00B71F60" w:rsidP="00FB7270">
      <w:pPr>
        <w:pStyle w:val="PlainText"/>
        <w:numPr>
          <w:ilvl w:val="0"/>
          <w:numId w:val="40"/>
        </w:numPr>
        <w:jc w:val="both"/>
        <w:rPr>
          <w:rFonts w:ascii="Times New Roman" w:hAnsi="Times New Roman"/>
          <w:sz w:val="24"/>
          <w:szCs w:val="24"/>
        </w:rPr>
      </w:pPr>
      <w:r w:rsidRPr="00B71F60">
        <w:rPr>
          <w:rFonts w:ascii="Times New Roman" w:hAnsi="Times New Roman"/>
          <w:sz w:val="24"/>
          <w:szCs w:val="24"/>
        </w:rPr>
        <w:t>Supportive Housing Init</w:t>
      </w:r>
      <w:r w:rsidR="00810918">
        <w:rPr>
          <w:rFonts w:ascii="Times New Roman" w:hAnsi="Times New Roman"/>
          <w:sz w:val="24"/>
          <w:szCs w:val="24"/>
        </w:rPr>
        <w:t>iative: DHCD intends to use approximately $300</w:t>
      </w:r>
      <w:r w:rsidR="005A007D">
        <w:rPr>
          <w:rFonts w:ascii="Times New Roman" w:hAnsi="Times New Roman"/>
          <w:sz w:val="24"/>
          <w:szCs w:val="24"/>
        </w:rPr>
        <w:t>,000 per year</w:t>
      </w:r>
      <w:r w:rsidRPr="00B71F60">
        <w:rPr>
          <w:rFonts w:ascii="Times New Roman" w:hAnsi="Times New Roman"/>
          <w:sz w:val="24"/>
          <w:szCs w:val="24"/>
        </w:rPr>
        <w:t xml:space="preserve"> in MTW Block Grant fund</w:t>
      </w:r>
      <w:r w:rsidR="00292E70">
        <w:rPr>
          <w:rFonts w:ascii="Times New Roman" w:hAnsi="Times New Roman"/>
          <w:sz w:val="24"/>
          <w:szCs w:val="24"/>
        </w:rPr>
        <w:t>s</w:t>
      </w:r>
      <w:r w:rsidRPr="00B71F60">
        <w:rPr>
          <w:rFonts w:ascii="Times New Roman" w:hAnsi="Times New Roman"/>
          <w:sz w:val="24"/>
          <w:szCs w:val="24"/>
        </w:rPr>
        <w:t xml:space="preserve"> to partially fund intensive supportive services for eligible for</w:t>
      </w:r>
      <w:r w:rsidR="005A007D">
        <w:rPr>
          <w:rFonts w:ascii="Times New Roman" w:hAnsi="Times New Roman"/>
          <w:sz w:val="24"/>
          <w:szCs w:val="24"/>
        </w:rPr>
        <w:t>merly homeless</w:t>
      </w:r>
      <w:r w:rsidR="00FB7270">
        <w:rPr>
          <w:rFonts w:ascii="Times New Roman" w:hAnsi="Times New Roman"/>
          <w:sz w:val="24"/>
          <w:szCs w:val="24"/>
        </w:rPr>
        <w:t xml:space="preserve"> </w:t>
      </w:r>
      <w:r w:rsidR="005A007D">
        <w:rPr>
          <w:rFonts w:ascii="Times New Roman" w:hAnsi="Times New Roman"/>
          <w:sz w:val="24"/>
          <w:szCs w:val="24"/>
        </w:rPr>
        <w:t>households at DHC</w:t>
      </w:r>
      <w:r w:rsidRPr="00B71F60">
        <w:rPr>
          <w:rFonts w:ascii="Times New Roman" w:hAnsi="Times New Roman"/>
          <w:sz w:val="24"/>
          <w:szCs w:val="24"/>
        </w:rPr>
        <w:t>D-funded Project Based Voucher</w:t>
      </w:r>
      <w:r w:rsidRPr="00FB7270">
        <w:rPr>
          <w:rFonts w:ascii="Times New Roman" w:hAnsi="Times New Roman"/>
          <w:sz w:val="24"/>
          <w:szCs w:val="24"/>
        </w:rPr>
        <w:t xml:space="preserve"> developments.  Supportive service funding will be provided to eligible non-profit PBV owners, an</w:t>
      </w:r>
      <w:r w:rsidR="00BC244A">
        <w:rPr>
          <w:rFonts w:ascii="Times New Roman" w:hAnsi="Times New Roman"/>
          <w:sz w:val="24"/>
          <w:szCs w:val="24"/>
        </w:rPr>
        <w:t>d generally shall not exceed $2,0</w:t>
      </w:r>
      <w:r w:rsidRPr="00FB7270">
        <w:rPr>
          <w:rFonts w:ascii="Times New Roman" w:hAnsi="Times New Roman"/>
          <w:sz w:val="24"/>
          <w:szCs w:val="24"/>
        </w:rPr>
        <w:t>00 per household per year.  DHCD will establish a competitive process to award these funds.  Eligible supportive services may include case management and other services designed to help participants increase household income and improve economic self-sufficiency. No additional MTW waivers are required to implement this activity.</w:t>
      </w:r>
    </w:p>
    <w:p w:rsidR="00B71F60" w:rsidRPr="00B71F60" w:rsidRDefault="00B71F60" w:rsidP="00FB7270">
      <w:pPr>
        <w:pStyle w:val="PlainText"/>
        <w:ind w:left="720"/>
        <w:jc w:val="both"/>
        <w:rPr>
          <w:rFonts w:ascii="Times New Roman" w:hAnsi="Times New Roman"/>
          <w:sz w:val="24"/>
          <w:szCs w:val="24"/>
        </w:rPr>
      </w:pPr>
    </w:p>
    <w:p w:rsidR="00C42D40" w:rsidRDefault="00B71F60" w:rsidP="00C42D40">
      <w:pPr>
        <w:pStyle w:val="PlainText"/>
        <w:numPr>
          <w:ilvl w:val="0"/>
          <w:numId w:val="40"/>
        </w:numPr>
        <w:jc w:val="both"/>
        <w:rPr>
          <w:rFonts w:ascii="Times New Roman" w:hAnsi="Times New Roman"/>
          <w:sz w:val="24"/>
          <w:szCs w:val="24"/>
        </w:rPr>
      </w:pPr>
      <w:r w:rsidRPr="00B71F60">
        <w:rPr>
          <w:rFonts w:ascii="Times New Roman" w:hAnsi="Times New Roman"/>
          <w:sz w:val="24"/>
          <w:szCs w:val="24"/>
        </w:rPr>
        <w:t xml:space="preserve">VASH Leasing: On average, DHCD intends to operate the VASH program within the approved VASH budget and authorized unit count.  However, recognizing the overriding importance of providing affordable housing to VASH-eligible veterans, DHCD may, on a limited basis, utilize MTW Block Grant funds to temporarily support higher leasing and/or HAP expenditure levels. DHCD projects that approximately </w:t>
      </w:r>
      <w:r w:rsidR="005A007D">
        <w:rPr>
          <w:rFonts w:ascii="Times New Roman" w:hAnsi="Times New Roman"/>
          <w:sz w:val="24"/>
          <w:szCs w:val="24"/>
        </w:rPr>
        <w:t xml:space="preserve">$225,000 </w:t>
      </w:r>
      <w:r w:rsidRPr="00B71F60">
        <w:rPr>
          <w:rFonts w:ascii="Times New Roman" w:hAnsi="Times New Roman"/>
          <w:sz w:val="24"/>
          <w:szCs w:val="24"/>
        </w:rPr>
        <w:t>in MTW f</w:t>
      </w:r>
      <w:r w:rsidR="00C42D40">
        <w:rPr>
          <w:rFonts w:ascii="Times New Roman" w:hAnsi="Times New Roman"/>
          <w:sz w:val="24"/>
          <w:szCs w:val="24"/>
        </w:rPr>
        <w:t>unds will be utilized in FY 2017</w:t>
      </w:r>
      <w:r w:rsidRPr="00B71F60">
        <w:rPr>
          <w:rFonts w:ascii="Times New Roman" w:hAnsi="Times New Roman"/>
          <w:sz w:val="24"/>
          <w:szCs w:val="24"/>
        </w:rPr>
        <w:t xml:space="preserve"> for this purpose.  No additional MTW waivers are required.</w:t>
      </w:r>
    </w:p>
    <w:p w:rsidR="00C42D40" w:rsidRDefault="00C42D40" w:rsidP="00C42D40">
      <w:pPr>
        <w:pStyle w:val="ListParagraph"/>
      </w:pPr>
    </w:p>
    <w:p w:rsidR="001751F1" w:rsidRPr="00C0753A" w:rsidRDefault="009E5B20" w:rsidP="00C0753A">
      <w:pPr>
        <w:pStyle w:val="PlainText"/>
        <w:numPr>
          <w:ilvl w:val="0"/>
          <w:numId w:val="40"/>
        </w:numPr>
        <w:jc w:val="both"/>
        <w:rPr>
          <w:rFonts w:ascii="Times New Roman" w:hAnsi="Times New Roman"/>
          <w:sz w:val="24"/>
          <w:szCs w:val="24"/>
        </w:rPr>
      </w:pPr>
      <w:r w:rsidRPr="00C42D40">
        <w:rPr>
          <w:rFonts w:ascii="Times New Roman" w:hAnsi="Times New Roman"/>
          <w:sz w:val="24"/>
          <w:szCs w:val="24"/>
        </w:rPr>
        <w:t xml:space="preserve">Expanding FSS Partnerships: </w:t>
      </w:r>
      <w:r w:rsidR="00C42D40" w:rsidRPr="00C42D40">
        <w:rPr>
          <w:rFonts w:ascii="Times New Roman" w:hAnsi="Times New Roman"/>
          <w:sz w:val="24"/>
          <w:szCs w:val="24"/>
        </w:rPr>
        <w:t xml:space="preserve"> </w:t>
      </w:r>
      <w:r w:rsidRPr="00C42D40">
        <w:rPr>
          <w:rFonts w:ascii="Times New Roman" w:hAnsi="Times New Roman"/>
          <w:sz w:val="24"/>
          <w:szCs w:val="24"/>
        </w:rPr>
        <w:t>DHCD intends to use single fund flexibility to expand FSS programming including</w:t>
      </w:r>
      <w:r w:rsidR="00292E70">
        <w:rPr>
          <w:rFonts w:ascii="Times New Roman" w:hAnsi="Times New Roman"/>
          <w:sz w:val="24"/>
          <w:szCs w:val="24"/>
        </w:rPr>
        <w:t>,</w:t>
      </w:r>
      <w:r w:rsidRPr="00C42D40">
        <w:rPr>
          <w:rFonts w:ascii="Times New Roman" w:hAnsi="Times New Roman"/>
          <w:sz w:val="24"/>
          <w:szCs w:val="24"/>
        </w:rPr>
        <w:t xml:space="preserve"> but not limited to</w:t>
      </w:r>
      <w:r w:rsidR="00292E70">
        <w:rPr>
          <w:rFonts w:ascii="Times New Roman" w:hAnsi="Times New Roman"/>
          <w:sz w:val="24"/>
          <w:szCs w:val="24"/>
        </w:rPr>
        <w:t>,</w:t>
      </w:r>
      <w:r w:rsidRPr="00C42D40">
        <w:rPr>
          <w:rFonts w:ascii="Times New Roman" w:hAnsi="Times New Roman"/>
          <w:sz w:val="24"/>
          <w:szCs w:val="24"/>
        </w:rPr>
        <w:t xml:space="preserve"> programs to enhance occupational skills training in career areas w</w:t>
      </w:r>
      <w:r w:rsidR="00C42D40" w:rsidRPr="00C42D40">
        <w:rPr>
          <w:rFonts w:ascii="Times New Roman" w:hAnsi="Times New Roman"/>
          <w:sz w:val="24"/>
          <w:szCs w:val="24"/>
        </w:rPr>
        <w:t xml:space="preserve">ith reasonable growth potential, </w:t>
      </w:r>
      <w:r w:rsidR="00C42D40" w:rsidRPr="00C42D40">
        <w:rPr>
          <w:rFonts w:ascii="Times New Roman" w:hAnsi="Times New Roman"/>
          <w:sz w:val="24"/>
          <w:szCs w:val="18"/>
        </w:rPr>
        <w:t>access to computer technology for academic enrichment</w:t>
      </w:r>
      <w:r w:rsidR="00292E70">
        <w:rPr>
          <w:rFonts w:ascii="Times New Roman" w:hAnsi="Times New Roman"/>
          <w:sz w:val="24"/>
          <w:szCs w:val="18"/>
        </w:rPr>
        <w:t>,</w:t>
      </w:r>
      <w:r w:rsidR="00C42D40" w:rsidRPr="00C42D40">
        <w:rPr>
          <w:rFonts w:ascii="Times New Roman" w:hAnsi="Times New Roman"/>
          <w:sz w:val="24"/>
          <w:szCs w:val="18"/>
        </w:rPr>
        <w:t xml:space="preserve"> and courses on credit and money management to enable residents to </w:t>
      </w:r>
      <w:r w:rsidR="00C42D40">
        <w:rPr>
          <w:rFonts w:ascii="Times New Roman" w:hAnsi="Times New Roman"/>
          <w:sz w:val="24"/>
          <w:szCs w:val="18"/>
        </w:rPr>
        <w:t>improve and maintain financial health</w:t>
      </w:r>
      <w:r w:rsidR="00C42D40" w:rsidRPr="00C42D40">
        <w:rPr>
          <w:rFonts w:ascii="Times New Roman" w:hAnsi="Times New Roman"/>
          <w:sz w:val="24"/>
          <w:szCs w:val="18"/>
        </w:rPr>
        <w:t>.</w:t>
      </w:r>
      <w:r w:rsidR="00C0753A">
        <w:rPr>
          <w:rFonts w:ascii="Times New Roman" w:hAnsi="Times New Roman"/>
          <w:sz w:val="24"/>
          <w:szCs w:val="18"/>
        </w:rPr>
        <w:t xml:space="preserve">  Additionally</w:t>
      </w:r>
      <w:r w:rsidR="00292E70">
        <w:rPr>
          <w:rFonts w:ascii="Times New Roman" w:hAnsi="Times New Roman"/>
          <w:sz w:val="24"/>
          <w:szCs w:val="18"/>
        </w:rPr>
        <w:t>,</w:t>
      </w:r>
      <w:r w:rsidR="00C0753A">
        <w:rPr>
          <w:rFonts w:ascii="Times New Roman" w:hAnsi="Times New Roman"/>
          <w:sz w:val="24"/>
          <w:szCs w:val="18"/>
        </w:rPr>
        <w:t xml:space="preserve"> DHCD may use single fund flexibility to develop and implement health and wellness programming for FSS participants. </w:t>
      </w:r>
      <w:r w:rsidR="001751F1" w:rsidRPr="00C0753A">
        <w:rPr>
          <w:sz w:val="44"/>
        </w:rPr>
        <w:br w:type="page"/>
      </w:r>
    </w:p>
    <w:p w:rsidR="00613D4D" w:rsidRPr="00B71F60" w:rsidRDefault="00613D4D" w:rsidP="00FB7270">
      <w:pPr>
        <w:jc w:val="both"/>
      </w:pPr>
    </w:p>
    <w:p w:rsidR="00613D4D" w:rsidRDefault="00613D4D" w:rsidP="00FB7270">
      <w:pPr>
        <w:jc w:val="both"/>
      </w:pPr>
      <w:r w:rsidRPr="00CE70FD">
        <w:t>The table below summarizes the activities that utilize Block Grant single fund flexibility</w:t>
      </w:r>
    </w:p>
    <w:p w:rsidR="005C0749" w:rsidRDefault="005C0749" w:rsidP="005C0749"/>
    <w:tbl>
      <w:tblPr>
        <w:tblStyle w:val="LightShading"/>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263"/>
        <w:gridCol w:w="1337"/>
        <w:gridCol w:w="1858"/>
        <w:gridCol w:w="1236"/>
      </w:tblGrid>
      <w:tr w:rsidR="00613D4D" w:rsidRPr="005C0749" w:rsidTr="00292E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5" w:type="pct"/>
            <w:tcBorders>
              <w:top w:val="none" w:sz="0" w:space="0" w:color="auto"/>
              <w:left w:val="none" w:sz="0" w:space="0" w:color="auto"/>
              <w:bottom w:val="none" w:sz="0" w:space="0" w:color="auto"/>
              <w:right w:val="none" w:sz="0" w:space="0" w:color="auto"/>
            </w:tcBorders>
            <w:shd w:val="clear" w:color="auto" w:fill="C6D9F1" w:themeFill="text2" w:themeFillTint="33"/>
          </w:tcPr>
          <w:p w:rsidR="00613D4D" w:rsidRPr="005C0749" w:rsidRDefault="00613D4D" w:rsidP="003D3179">
            <w:pPr>
              <w:jc w:val="center"/>
            </w:pPr>
            <w:r w:rsidRPr="005C0749">
              <w:t>Program</w:t>
            </w:r>
          </w:p>
        </w:tc>
        <w:tc>
          <w:tcPr>
            <w:tcW w:w="1749" w:type="pct"/>
            <w:tcBorders>
              <w:top w:val="none" w:sz="0" w:space="0" w:color="auto"/>
              <w:left w:val="none" w:sz="0" w:space="0" w:color="auto"/>
              <w:bottom w:val="none" w:sz="0" w:space="0" w:color="auto"/>
              <w:right w:val="none" w:sz="0" w:space="0" w:color="auto"/>
            </w:tcBorders>
            <w:shd w:val="clear" w:color="auto" w:fill="C6D9F1" w:themeFill="text2" w:themeFillTint="33"/>
          </w:tcPr>
          <w:p w:rsidR="00613D4D" w:rsidRPr="005C0749"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Program Description</w:t>
            </w:r>
          </w:p>
        </w:tc>
        <w:tc>
          <w:tcPr>
            <w:tcW w:w="713" w:type="pct"/>
            <w:tcBorders>
              <w:top w:val="none" w:sz="0" w:space="0" w:color="auto"/>
              <w:left w:val="none" w:sz="0" w:space="0" w:color="auto"/>
              <w:bottom w:val="none" w:sz="0" w:space="0" w:color="auto"/>
              <w:right w:val="none" w:sz="0" w:space="0" w:color="auto"/>
            </w:tcBorders>
            <w:shd w:val="clear" w:color="auto" w:fill="C6D9F1" w:themeFill="text2" w:themeFillTint="33"/>
          </w:tcPr>
          <w:p w:rsidR="00613D4D" w:rsidRPr="005C0749"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Target Population</w:t>
            </w:r>
          </w:p>
        </w:tc>
        <w:tc>
          <w:tcPr>
            <w:tcW w:w="998" w:type="pct"/>
            <w:tcBorders>
              <w:top w:val="none" w:sz="0" w:space="0" w:color="auto"/>
              <w:left w:val="none" w:sz="0" w:space="0" w:color="auto"/>
              <w:bottom w:val="none" w:sz="0" w:space="0" w:color="auto"/>
              <w:right w:val="none" w:sz="0" w:space="0" w:color="auto"/>
            </w:tcBorders>
            <w:shd w:val="clear" w:color="auto" w:fill="C6D9F1" w:themeFill="text2" w:themeFillTint="33"/>
          </w:tcPr>
          <w:p w:rsidR="003D3179"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Funding</w:t>
            </w:r>
          </w:p>
          <w:p w:rsidR="00613D4D" w:rsidRPr="005C0749"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Source</w:t>
            </w:r>
          </w:p>
        </w:tc>
        <w:tc>
          <w:tcPr>
            <w:tcW w:w="665" w:type="pct"/>
            <w:tcBorders>
              <w:top w:val="none" w:sz="0" w:space="0" w:color="auto"/>
              <w:left w:val="none" w:sz="0" w:space="0" w:color="auto"/>
              <w:bottom w:val="none" w:sz="0" w:space="0" w:color="auto"/>
              <w:right w:val="none" w:sz="0" w:space="0" w:color="auto"/>
            </w:tcBorders>
            <w:shd w:val="clear" w:color="auto" w:fill="C6D9F1" w:themeFill="text2" w:themeFillTint="33"/>
          </w:tcPr>
          <w:p w:rsidR="00C0753A"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Number</w:t>
            </w:r>
          </w:p>
          <w:p w:rsidR="00C0753A"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of</w:t>
            </w:r>
          </w:p>
          <w:p w:rsidR="00613D4D" w:rsidRPr="005C0749" w:rsidRDefault="00613D4D" w:rsidP="003D3179">
            <w:pPr>
              <w:jc w:val="center"/>
              <w:cnfStyle w:val="100000000000" w:firstRow="1" w:lastRow="0" w:firstColumn="0" w:lastColumn="0" w:oddVBand="0" w:evenVBand="0" w:oddHBand="0" w:evenHBand="0" w:firstRowFirstColumn="0" w:firstRowLastColumn="0" w:lastRowFirstColumn="0" w:lastRowLastColumn="0"/>
            </w:pPr>
            <w:r w:rsidRPr="005C0749">
              <w:t>Residents</w:t>
            </w:r>
          </w:p>
        </w:tc>
      </w:tr>
      <w:tr w:rsidR="00613D4D" w:rsidRPr="005C0749" w:rsidTr="003D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left w:val="none" w:sz="0" w:space="0" w:color="auto"/>
              <w:right w:val="none" w:sz="0" w:space="0" w:color="auto"/>
            </w:tcBorders>
          </w:tcPr>
          <w:p w:rsidR="00613D4D" w:rsidRPr="005C0749" w:rsidRDefault="00613D4D" w:rsidP="003D3179">
            <w:r>
              <w:t>Education Partnership</w:t>
            </w:r>
          </w:p>
        </w:tc>
        <w:tc>
          <w:tcPr>
            <w:tcW w:w="1749" w:type="pct"/>
            <w:tcBorders>
              <w:left w:val="none" w:sz="0" w:space="0" w:color="auto"/>
              <w:right w:val="none" w:sz="0" w:space="0" w:color="auto"/>
            </w:tcBorders>
          </w:tcPr>
          <w:p w:rsidR="00CE1A56" w:rsidRPr="005C0749" w:rsidRDefault="00613D4D" w:rsidP="003D3179">
            <w:pPr>
              <w:cnfStyle w:val="000000100000" w:firstRow="0" w:lastRow="0" w:firstColumn="0" w:lastColumn="0" w:oddVBand="0" w:evenVBand="0" w:oddHBand="1" w:evenHBand="0" w:firstRowFirstColumn="0" w:firstRowLastColumn="0" w:lastRowFirstColumn="0" w:lastRowLastColumn="0"/>
            </w:pPr>
            <w:r>
              <w:t>On-site after-school enrichment program to enhance knowledge and understanding of scie</w:t>
            </w:r>
            <w:r w:rsidR="009E5B20">
              <w:t>nce, technology, engineering,</w:t>
            </w:r>
            <w:r>
              <w:t xml:space="preserve"> math</w:t>
            </w:r>
            <w:r w:rsidR="009E5B20">
              <w:t>, music, arts programming and improved academic performance.</w:t>
            </w:r>
            <w:r w:rsidR="00CE1A56">
              <w:t xml:space="preserve"> Also includes a financial incentive for a college saving account contribution upon program completion</w:t>
            </w:r>
            <w:r w:rsidR="009E5B20">
              <w:t>.</w:t>
            </w:r>
          </w:p>
        </w:tc>
        <w:tc>
          <w:tcPr>
            <w:tcW w:w="713" w:type="pct"/>
            <w:tcBorders>
              <w:left w:val="none" w:sz="0" w:space="0" w:color="auto"/>
              <w:right w:val="none" w:sz="0" w:space="0" w:color="auto"/>
            </w:tcBorders>
          </w:tcPr>
          <w:p w:rsidR="00613D4D" w:rsidRPr="005C0749" w:rsidRDefault="00613D4D" w:rsidP="003D3179">
            <w:pPr>
              <w:cnfStyle w:val="000000100000" w:firstRow="0" w:lastRow="0" w:firstColumn="0" w:lastColumn="0" w:oddVBand="0" w:evenVBand="0" w:oddHBand="1" w:evenHBand="0" w:firstRowFirstColumn="0" w:firstRowLastColumn="0" w:lastRowFirstColumn="0" w:lastRowLastColumn="0"/>
            </w:pPr>
            <w:r>
              <w:t>Youth 6-18</w:t>
            </w:r>
          </w:p>
        </w:tc>
        <w:tc>
          <w:tcPr>
            <w:tcW w:w="998" w:type="pct"/>
            <w:tcBorders>
              <w:left w:val="none" w:sz="0" w:space="0" w:color="auto"/>
              <w:right w:val="none" w:sz="0" w:space="0" w:color="auto"/>
            </w:tcBorders>
          </w:tcPr>
          <w:p w:rsidR="00613D4D" w:rsidRPr="005C0749" w:rsidRDefault="00613D4D" w:rsidP="003D3179">
            <w:pPr>
              <w:jc w:val="center"/>
              <w:cnfStyle w:val="000000100000" w:firstRow="0" w:lastRow="0" w:firstColumn="0" w:lastColumn="0" w:oddVBand="0" w:evenVBand="0" w:oddHBand="1" w:evenHBand="0" w:firstRowFirstColumn="0" w:firstRowLastColumn="0" w:lastRowFirstColumn="0" w:lastRowLastColumn="0"/>
            </w:pPr>
            <w:r>
              <w:t>MTW</w:t>
            </w:r>
          </w:p>
        </w:tc>
        <w:tc>
          <w:tcPr>
            <w:tcW w:w="665" w:type="pct"/>
            <w:tcBorders>
              <w:left w:val="none" w:sz="0" w:space="0" w:color="auto"/>
              <w:right w:val="none" w:sz="0" w:space="0" w:color="auto"/>
            </w:tcBorders>
          </w:tcPr>
          <w:p w:rsidR="00613D4D" w:rsidRPr="005C0749" w:rsidRDefault="00613D4D" w:rsidP="003D3179">
            <w:pPr>
              <w:jc w:val="center"/>
              <w:cnfStyle w:val="000000100000" w:firstRow="0" w:lastRow="0" w:firstColumn="0" w:lastColumn="0" w:oddVBand="0" w:evenVBand="0" w:oddHBand="1" w:evenHBand="0" w:firstRowFirstColumn="0" w:firstRowLastColumn="0" w:lastRowFirstColumn="0" w:lastRowLastColumn="0"/>
            </w:pPr>
            <w:r>
              <w:t>300</w:t>
            </w:r>
          </w:p>
        </w:tc>
      </w:tr>
      <w:tr w:rsidR="00B71F60" w:rsidRPr="005C0749" w:rsidTr="003D3179">
        <w:tc>
          <w:tcPr>
            <w:cnfStyle w:val="001000000000" w:firstRow="0" w:lastRow="0" w:firstColumn="1" w:lastColumn="0" w:oddVBand="0" w:evenVBand="0" w:oddHBand="0" w:evenHBand="0" w:firstRowFirstColumn="0" w:firstRowLastColumn="0" w:lastRowFirstColumn="0" w:lastRowLastColumn="0"/>
            <w:tcW w:w="875" w:type="pct"/>
          </w:tcPr>
          <w:p w:rsidR="00B71F60" w:rsidRDefault="00B71F60" w:rsidP="003D3179">
            <w:r>
              <w:t>Supportive Housing Initiative</w:t>
            </w:r>
          </w:p>
        </w:tc>
        <w:tc>
          <w:tcPr>
            <w:tcW w:w="1749" w:type="pct"/>
          </w:tcPr>
          <w:p w:rsidR="00B71F60" w:rsidRDefault="00B71F60" w:rsidP="003D3179">
            <w:pPr>
              <w:cnfStyle w:val="000000000000" w:firstRow="0" w:lastRow="0" w:firstColumn="0" w:lastColumn="0" w:oddVBand="0" w:evenVBand="0" w:oddHBand="0" w:evenHBand="0" w:firstRowFirstColumn="0" w:firstRowLastColumn="0" w:lastRowFirstColumn="0" w:lastRowLastColumn="0"/>
            </w:pPr>
            <w:r>
              <w:t>P</w:t>
            </w:r>
            <w:r w:rsidRPr="00B71F60">
              <w:t>artial fund</w:t>
            </w:r>
            <w:r>
              <w:t>ing</w:t>
            </w:r>
            <w:r w:rsidRPr="00B71F60">
              <w:t xml:space="preserve"> intensive supportive services for eligible formerly homeless households at </w:t>
            </w:r>
            <w:r w:rsidR="00AD3004">
              <w:t>DHCD</w:t>
            </w:r>
            <w:r w:rsidRPr="00B71F60">
              <w:t>-funded Project Based Voucher developments.</w:t>
            </w:r>
          </w:p>
        </w:tc>
        <w:tc>
          <w:tcPr>
            <w:tcW w:w="713" w:type="pct"/>
          </w:tcPr>
          <w:p w:rsidR="00B71F60" w:rsidRDefault="00B71F60" w:rsidP="003D3179">
            <w:pPr>
              <w:cnfStyle w:val="000000000000" w:firstRow="0" w:lastRow="0" w:firstColumn="0" w:lastColumn="0" w:oddVBand="0" w:evenVBand="0" w:oddHBand="0" w:evenHBand="0" w:firstRowFirstColumn="0" w:firstRowLastColumn="0" w:lastRowFirstColumn="0" w:lastRowLastColumn="0"/>
            </w:pPr>
            <w:r>
              <w:t>Formerly Homeless Individuals</w:t>
            </w:r>
          </w:p>
        </w:tc>
        <w:tc>
          <w:tcPr>
            <w:tcW w:w="998" w:type="pct"/>
          </w:tcPr>
          <w:p w:rsidR="00B71F60" w:rsidRDefault="00B71F60" w:rsidP="003D3179">
            <w:pPr>
              <w:jc w:val="center"/>
              <w:cnfStyle w:val="000000000000" w:firstRow="0" w:lastRow="0" w:firstColumn="0" w:lastColumn="0" w:oddVBand="0" w:evenVBand="0" w:oddHBand="0" w:evenHBand="0" w:firstRowFirstColumn="0" w:firstRowLastColumn="0" w:lastRowFirstColumn="0" w:lastRowLastColumn="0"/>
            </w:pPr>
            <w:r>
              <w:t>MTW</w:t>
            </w:r>
          </w:p>
        </w:tc>
        <w:tc>
          <w:tcPr>
            <w:tcW w:w="665" w:type="pct"/>
          </w:tcPr>
          <w:p w:rsidR="00B71F60" w:rsidRDefault="005A007D" w:rsidP="003D3179">
            <w:pPr>
              <w:jc w:val="center"/>
              <w:cnfStyle w:val="000000000000" w:firstRow="0" w:lastRow="0" w:firstColumn="0" w:lastColumn="0" w:oddVBand="0" w:evenVBand="0" w:oddHBand="0" w:evenHBand="0" w:firstRowFirstColumn="0" w:firstRowLastColumn="0" w:lastRowFirstColumn="0" w:lastRowLastColumn="0"/>
            </w:pPr>
            <w:r>
              <w:t>150</w:t>
            </w:r>
          </w:p>
        </w:tc>
      </w:tr>
      <w:tr w:rsidR="00B71F60" w:rsidRPr="005C0749" w:rsidTr="003D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left w:val="none" w:sz="0" w:space="0" w:color="auto"/>
              <w:right w:val="none" w:sz="0" w:space="0" w:color="auto"/>
            </w:tcBorders>
          </w:tcPr>
          <w:p w:rsidR="00B71F60" w:rsidRDefault="00B71F60" w:rsidP="003D3179">
            <w:r>
              <w:t>VASH Leasing</w:t>
            </w:r>
          </w:p>
        </w:tc>
        <w:tc>
          <w:tcPr>
            <w:tcW w:w="1749" w:type="pct"/>
            <w:tcBorders>
              <w:left w:val="none" w:sz="0" w:space="0" w:color="auto"/>
              <w:right w:val="none" w:sz="0" w:space="0" w:color="auto"/>
            </w:tcBorders>
          </w:tcPr>
          <w:p w:rsidR="00B71F60" w:rsidRDefault="00B71F60" w:rsidP="003D3179">
            <w:pPr>
              <w:cnfStyle w:val="000000100000" w:firstRow="0" w:lastRow="0" w:firstColumn="0" w:lastColumn="0" w:oddVBand="0" w:evenVBand="0" w:oddHBand="1" w:evenHBand="0" w:firstRowFirstColumn="0" w:firstRowLastColumn="0" w:lastRowFirstColumn="0" w:lastRowLastColumn="0"/>
            </w:pPr>
            <w:r>
              <w:t>On a</w:t>
            </w:r>
            <w:r w:rsidRPr="00B71F60">
              <w:t xml:space="preserve"> limited basis, util</w:t>
            </w:r>
            <w:r>
              <w:t>ization of</w:t>
            </w:r>
            <w:r w:rsidRPr="00B71F60">
              <w:t xml:space="preserve"> MTW Block Grant funds to temporarily support higher leasing and/or HAP expenditure levels</w:t>
            </w:r>
            <w:r w:rsidR="00292E70">
              <w:t>.</w:t>
            </w:r>
          </w:p>
        </w:tc>
        <w:tc>
          <w:tcPr>
            <w:tcW w:w="713" w:type="pct"/>
            <w:tcBorders>
              <w:left w:val="none" w:sz="0" w:space="0" w:color="auto"/>
              <w:right w:val="none" w:sz="0" w:space="0" w:color="auto"/>
            </w:tcBorders>
          </w:tcPr>
          <w:p w:rsidR="00B71F60" w:rsidRDefault="00B71F60" w:rsidP="003D3179">
            <w:pPr>
              <w:cnfStyle w:val="000000100000" w:firstRow="0" w:lastRow="0" w:firstColumn="0" w:lastColumn="0" w:oddVBand="0" w:evenVBand="0" w:oddHBand="1" w:evenHBand="0" w:firstRowFirstColumn="0" w:firstRowLastColumn="0" w:lastRowFirstColumn="0" w:lastRowLastColumn="0"/>
            </w:pPr>
            <w:r>
              <w:t>VASH Voucher Holders</w:t>
            </w:r>
          </w:p>
        </w:tc>
        <w:tc>
          <w:tcPr>
            <w:tcW w:w="998" w:type="pct"/>
            <w:tcBorders>
              <w:left w:val="none" w:sz="0" w:space="0" w:color="auto"/>
              <w:right w:val="none" w:sz="0" w:space="0" w:color="auto"/>
            </w:tcBorders>
          </w:tcPr>
          <w:p w:rsidR="00B71F60" w:rsidRDefault="00B71F60" w:rsidP="003D3179">
            <w:pPr>
              <w:jc w:val="center"/>
              <w:cnfStyle w:val="000000100000" w:firstRow="0" w:lastRow="0" w:firstColumn="0" w:lastColumn="0" w:oddVBand="0" w:evenVBand="0" w:oddHBand="1" w:evenHBand="0" w:firstRowFirstColumn="0" w:firstRowLastColumn="0" w:lastRowFirstColumn="0" w:lastRowLastColumn="0"/>
            </w:pPr>
            <w:r>
              <w:t>MTW</w:t>
            </w:r>
          </w:p>
        </w:tc>
        <w:tc>
          <w:tcPr>
            <w:tcW w:w="665" w:type="pct"/>
            <w:tcBorders>
              <w:left w:val="none" w:sz="0" w:space="0" w:color="auto"/>
              <w:right w:val="none" w:sz="0" w:space="0" w:color="auto"/>
            </w:tcBorders>
          </w:tcPr>
          <w:p w:rsidR="00B71F60" w:rsidRDefault="005A007D" w:rsidP="003D3179">
            <w:pPr>
              <w:jc w:val="center"/>
              <w:cnfStyle w:val="000000100000" w:firstRow="0" w:lastRow="0" w:firstColumn="0" w:lastColumn="0" w:oddVBand="0" w:evenVBand="0" w:oddHBand="1" w:evenHBand="0" w:firstRowFirstColumn="0" w:firstRowLastColumn="0" w:lastRowFirstColumn="0" w:lastRowLastColumn="0"/>
            </w:pPr>
            <w:r>
              <w:t>TBD</w:t>
            </w:r>
          </w:p>
        </w:tc>
      </w:tr>
      <w:tr w:rsidR="00C42D40" w:rsidRPr="005C0749" w:rsidTr="003D3179">
        <w:tc>
          <w:tcPr>
            <w:cnfStyle w:val="001000000000" w:firstRow="0" w:lastRow="0" w:firstColumn="1" w:lastColumn="0" w:oddVBand="0" w:evenVBand="0" w:oddHBand="0" w:evenHBand="0" w:firstRowFirstColumn="0" w:firstRowLastColumn="0" w:lastRowFirstColumn="0" w:lastRowLastColumn="0"/>
            <w:tcW w:w="875" w:type="pct"/>
          </w:tcPr>
          <w:p w:rsidR="00C42D40" w:rsidRDefault="00C42D40" w:rsidP="003D3179">
            <w:r>
              <w:t>Expanded FSS Programming</w:t>
            </w:r>
          </w:p>
        </w:tc>
        <w:tc>
          <w:tcPr>
            <w:tcW w:w="1749" w:type="pct"/>
          </w:tcPr>
          <w:p w:rsidR="00C42D40" w:rsidRDefault="00C42D40" w:rsidP="003D3179">
            <w:pPr>
              <w:cnfStyle w:val="000000000000" w:firstRow="0" w:lastRow="0" w:firstColumn="0" w:lastColumn="0" w:oddVBand="0" w:evenVBand="0" w:oddHBand="0" w:evenHBand="0" w:firstRowFirstColumn="0" w:firstRowLastColumn="0" w:lastRowFirstColumn="0" w:lastRowLastColumn="0"/>
            </w:pPr>
            <w:r>
              <w:t>Expand FSS programming to include programming for career enhancement, technology and financial health.</w:t>
            </w:r>
          </w:p>
        </w:tc>
        <w:tc>
          <w:tcPr>
            <w:tcW w:w="713" w:type="pct"/>
          </w:tcPr>
          <w:p w:rsidR="00C42D40" w:rsidRDefault="00C42D40" w:rsidP="003D3179">
            <w:pPr>
              <w:cnfStyle w:val="000000000000" w:firstRow="0" w:lastRow="0" w:firstColumn="0" w:lastColumn="0" w:oddVBand="0" w:evenVBand="0" w:oddHBand="0" w:evenHBand="0" w:firstRowFirstColumn="0" w:firstRowLastColumn="0" w:lastRowFirstColumn="0" w:lastRowLastColumn="0"/>
            </w:pPr>
            <w:r>
              <w:t>FSS participants</w:t>
            </w:r>
          </w:p>
        </w:tc>
        <w:tc>
          <w:tcPr>
            <w:tcW w:w="998" w:type="pct"/>
          </w:tcPr>
          <w:p w:rsidR="00C42D40" w:rsidRDefault="00C42D40" w:rsidP="003D3179">
            <w:pPr>
              <w:jc w:val="center"/>
              <w:cnfStyle w:val="000000000000" w:firstRow="0" w:lastRow="0" w:firstColumn="0" w:lastColumn="0" w:oddVBand="0" w:evenVBand="0" w:oddHBand="0" w:evenHBand="0" w:firstRowFirstColumn="0" w:firstRowLastColumn="0" w:lastRowFirstColumn="0" w:lastRowLastColumn="0"/>
            </w:pPr>
            <w:r>
              <w:t>MTW</w:t>
            </w:r>
          </w:p>
        </w:tc>
        <w:tc>
          <w:tcPr>
            <w:tcW w:w="665" w:type="pct"/>
          </w:tcPr>
          <w:p w:rsidR="00C42D40" w:rsidRDefault="004702DE" w:rsidP="003D3179">
            <w:pPr>
              <w:jc w:val="center"/>
              <w:cnfStyle w:val="000000000000" w:firstRow="0" w:lastRow="0" w:firstColumn="0" w:lastColumn="0" w:oddVBand="0" w:evenVBand="0" w:oddHBand="0" w:evenHBand="0" w:firstRowFirstColumn="0" w:firstRowLastColumn="0" w:lastRowFirstColumn="0" w:lastRowLastColumn="0"/>
            </w:pPr>
            <w:r>
              <w:t>915</w:t>
            </w:r>
          </w:p>
        </w:tc>
      </w:tr>
    </w:tbl>
    <w:p w:rsidR="000C4FAA" w:rsidRDefault="000C4FAA" w:rsidP="005C0749"/>
    <w:p w:rsidR="000C4FAA" w:rsidRDefault="000C4FAA">
      <w:r>
        <w:br w:type="page"/>
      </w:r>
    </w:p>
    <w:p w:rsidR="00085EF9" w:rsidRPr="00961873" w:rsidRDefault="00085EF9" w:rsidP="00180053">
      <w:pPr>
        <w:pStyle w:val="Heading3"/>
        <w:numPr>
          <w:ilvl w:val="0"/>
          <w:numId w:val="20"/>
        </w:numPr>
      </w:pPr>
      <w:bookmarkStart w:id="32" w:name="_Toc415115909"/>
      <w:bookmarkStart w:id="33" w:name="_Toc444496098"/>
      <w:r w:rsidRPr="00961873">
        <w:t>Local Asset Management Plan</w:t>
      </w:r>
      <w:bookmarkEnd w:id="32"/>
      <w:bookmarkEnd w:id="33"/>
    </w:p>
    <w:p w:rsidR="00961873" w:rsidRPr="00961873" w:rsidRDefault="00961873" w:rsidP="00961873"/>
    <w:p w:rsidR="00961873" w:rsidRDefault="00961873" w:rsidP="00961873">
      <w:r w:rsidRPr="00961873">
        <w:t xml:space="preserve">DHCD does not operate a </w:t>
      </w:r>
      <w:r w:rsidR="00003C3E">
        <w:t xml:space="preserve">Federal Public Housing Program; </w:t>
      </w:r>
      <w:r w:rsidRPr="00961873">
        <w:t xml:space="preserve">therefore, the asset management regulations do not apply. </w:t>
      </w:r>
      <w:r w:rsidR="007D5E6F">
        <w:t xml:space="preserve"> HUD requires DHCD include the following table in the Plan:</w:t>
      </w:r>
    </w:p>
    <w:p w:rsidR="00F32603" w:rsidRDefault="00F32603" w:rsidP="00961873"/>
    <w:tbl>
      <w:tblPr>
        <w:tblW w:w="6813" w:type="dxa"/>
        <w:tblInd w:w="93" w:type="dxa"/>
        <w:tblLook w:val="04A0" w:firstRow="1" w:lastRow="0" w:firstColumn="1" w:lastColumn="0" w:noHBand="0" w:noVBand="1"/>
      </w:tblPr>
      <w:tblGrid>
        <w:gridCol w:w="6073"/>
        <w:gridCol w:w="740"/>
      </w:tblGrid>
      <w:tr w:rsidR="007D5E6F" w:rsidRPr="00542AF4" w:rsidTr="00B71F60">
        <w:trPr>
          <w:trHeight w:val="660"/>
        </w:trPr>
        <w:tc>
          <w:tcPr>
            <w:tcW w:w="6073" w:type="dxa"/>
            <w:tcBorders>
              <w:top w:val="nil"/>
              <w:left w:val="nil"/>
              <w:bottom w:val="nil"/>
              <w:right w:val="nil"/>
            </w:tcBorders>
            <w:shd w:val="clear" w:color="auto" w:fill="auto"/>
            <w:vAlign w:val="center"/>
            <w:hideMark/>
          </w:tcPr>
          <w:p w:rsidR="007D5E6F" w:rsidRPr="00C0753A" w:rsidRDefault="007D5E6F" w:rsidP="00D001C0">
            <w:r w:rsidRPr="00C0753A">
              <w:t>Is the PHA allocating costs within statute?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E6F" w:rsidRPr="00C0753A" w:rsidRDefault="007D5E6F" w:rsidP="00D001C0">
            <w:pPr>
              <w:rPr>
                <w:b/>
                <w:bCs/>
              </w:rPr>
            </w:pPr>
            <w:r w:rsidRPr="00C0753A">
              <w:rPr>
                <w:b/>
                <w:bCs/>
              </w:rPr>
              <w:t>Yes</w:t>
            </w:r>
          </w:p>
        </w:tc>
      </w:tr>
      <w:tr w:rsidR="007D5E6F" w:rsidRPr="00542AF4" w:rsidTr="00B71F60">
        <w:trPr>
          <w:trHeight w:val="885"/>
        </w:trPr>
        <w:tc>
          <w:tcPr>
            <w:tcW w:w="6073" w:type="dxa"/>
            <w:tcBorders>
              <w:top w:val="nil"/>
              <w:left w:val="nil"/>
              <w:bottom w:val="nil"/>
              <w:right w:val="single" w:sz="4" w:space="0" w:color="auto"/>
            </w:tcBorders>
            <w:shd w:val="clear" w:color="auto" w:fill="auto"/>
            <w:vAlign w:val="center"/>
            <w:hideMark/>
          </w:tcPr>
          <w:p w:rsidR="007D5E6F" w:rsidRPr="00C0753A" w:rsidRDefault="007D5E6F" w:rsidP="00D001C0">
            <w:r w:rsidRPr="00C0753A">
              <w:t>Is the PHA implementing a local asset management plan (LAMP)?</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E6F" w:rsidRPr="00C0753A" w:rsidRDefault="007D5E6F" w:rsidP="00D001C0">
            <w:pPr>
              <w:rPr>
                <w:b/>
                <w:bCs/>
              </w:rPr>
            </w:pPr>
            <w:r w:rsidRPr="00C0753A">
              <w:rPr>
                <w:b/>
                <w:bCs/>
              </w:rPr>
              <w:t>No</w:t>
            </w:r>
          </w:p>
        </w:tc>
      </w:tr>
      <w:tr w:rsidR="007D5E6F" w:rsidRPr="00542AF4" w:rsidTr="00B71F60">
        <w:trPr>
          <w:trHeight w:val="885"/>
        </w:trPr>
        <w:tc>
          <w:tcPr>
            <w:tcW w:w="6073" w:type="dxa"/>
            <w:tcBorders>
              <w:top w:val="nil"/>
              <w:left w:val="nil"/>
              <w:bottom w:val="nil"/>
              <w:right w:val="single" w:sz="4" w:space="0" w:color="auto"/>
            </w:tcBorders>
            <w:shd w:val="clear" w:color="auto" w:fill="auto"/>
            <w:vAlign w:val="center"/>
            <w:hideMark/>
          </w:tcPr>
          <w:p w:rsidR="007D5E6F" w:rsidRPr="00C0753A" w:rsidRDefault="007D5E6F" w:rsidP="00D001C0">
            <w:r w:rsidRPr="00C0753A">
              <w:t>Has the PHA provided a LAMP in the appendix?</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E6F" w:rsidRPr="00C0753A" w:rsidRDefault="007D5E6F" w:rsidP="00D001C0">
            <w:pPr>
              <w:rPr>
                <w:b/>
                <w:bCs/>
              </w:rPr>
            </w:pPr>
            <w:r w:rsidRPr="00C0753A">
              <w:rPr>
                <w:b/>
                <w:bCs/>
              </w:rPr>
              <w:t>No</w:t>
            </w:r>
          </w:p>
        </w:tc>
      </w:tr>
    </w:tbl>
    <w:p w:rsidR="007D5E6F" w:rsidRPr="00961873" w:rsidRDefault="007D5E6F" w:rsidP="00961873"/>
    <w:p w:rsidR="00961873" w:rsidRPr="00961873" w:rsidRDefault="00961873" w:rsidP="00961873"/>
    <w:p w:rsidR="00A91BB8" w:rsidRPr="00B41110" w:rsidRDefault="00A91BB8" w:rsidP="003F655B">
      <w:pPr>
        <w:pStyle w:val="Heading1"/>
        <w:rPr>
          <w:rFonts w:ascii="Times New Roman" w:hAnsi="Times New Roman"/>
        </w:rPr>
      </w:pPr>
      <w:r w:rsidRPr="003F655B">
        <w:rPr>
          <w:rFonts w:ascii="Times New Roman" w:hAnsi="Times New Roman"/>
          <w:highlight w:val="yellow"/>
        </w:rPr>
        <w:br w:type="page"/>
      </w:r>
      <w:bookmarkStart w:id="34" w:name="_Toc415115910"/>
      <w:bookmarkStart w:id="35" w:name="_Toc444496099"/>
      <w:r w:rsidRPr="00B41110">
        <w:rPr>
          <w:rFonts w:ascii="Times New Roman" w:hAnsi="Times New Roman"/>
        </w:rPr>
        <w:t xml:space="preserve">VI. </w:t>
      </w:r>
      <w:r w:rsidR="00085EF9" w:rsidRPr="00B41110">
        <w:rPr>
          <w:rFonts w:ascii="Times New Roman" w:hAnsi="Times New Roman"/>
        </w:rPr>
        <w:t>Administrative</w:t>
      </w:r>
      <w:bookmarkEnd w:id="34"/>
      <w:bookmarkEnd w:id="35"/>
    </w:p>
    <w:p w:rsidR="003F655B" w:rsidRPr="00B41110" w:rsidRDefault="003F655B" w:rsidP="003F655B"/>
    <w:p w:rsidR="00085EF9" w:rsidRPr="00B41110" w:rsidRDefault="00085EF9" w:rsidP="00180053">
      <w:pPr>
        <w:pStyle w:val="Heading3"/>
        <w:numPr>
          <w:ilvl w:val="0"/>
          <w:numId w:val="24"/>
        </w:numPr>
        <w:rPr>
          <w:u w:val="single"/>
        </w:rPr>
      </w:pPr>
      <w:bookmarkStart w:id="36" w:name="_Toc372017835"/>
      <w:bookmarkStart w:id="37" w:name="_Toc415115911"/>
      <w:bookmarkStart w:id="38" w:name="_Toc444496100"/>
      <w:r w:rsidRPr="00B41110">
        <w:t>Resolution</w:t>
      </w:r>
      <w:bookmarkEnd w:id="36"/>
      <w:bookmarkEnd w:id="37"/>
      <w:bookmarkEnd w:id="38"/>
    </w:p>
    <w:p w:rsidR="00321C60" w:rsidRPr="00E35444" w:rsidRDefault="00321C60" w:rsidP="00085EF9">
      <w:pPr>
        <w:jc w:val="both"/>
        <w:rPr>
          <w:color w:val="000000"/>
        </w:rPr>
      </w:pPr>
      <w:r w:rsidRPr="00E35444">
        <w:rPr>
          <w:color w:val="000000"/>
        </w:rPr>
        <w:t>The required signed MTW Annual Plan Certifications of Compliance with Regul</w:t>
      </w:r>
      <w:r w:rsidR="00CC75AE">
        <w:rPr>
          <w:color w:val="000000"/>
        </w:rPr>
        <w:t>ations is attached in Appendix B</w:t>
      </w:r>
      <w:r w:rsidRPr="00E35444">
        <w:rPr>
          <w:color w:val="000000"/>
        </w:rPr>
        <w:t>.</w:t>
      </w:r>
    </w:p>
    <w:p w:rsidR="003F655B" w:rsidRPr="00E35444" w:rsidRDefault="003F655B" w:rsidP="00085EF9">
      <w:pPr>
        <w:jc w:val="both"/>
      </w:pPr>
    </w:p>
    <w:p w:rsidR="00085EF9" w:rsidRPr="00E35444" w:rsidRDefault="00085EF9" w:rsidP="00180053">
      <w:pPr>
        <w:pStyle w:val="Heading3"/>
        <w:rPr>
          <w:u w:val="single"/>
        </w:rPr>
      </w:pPr>
      <w:bookmarkStart w:id="39" w:name="_Toc372017836"/>
      <w:bookmarkStart w:id="40" w:name="_Toc415115912"/>
      <w:bookmarkStart w:id="41" w:name="_Toc444496101"/>
      <w:r w:rsidRPr="00E35444">
        <w:t>Public Review Process</w:t>
      </w:r>
      <w:bookmarkEnd w:id="39"/>
      <w:bookmarkEnd w:id="40"/>
      <w:bookmarkEnd w:id="41"/>
    </w:p>
    <w:p w:rsidR="006458D2" w:rsidRPr="00C73778" w:rsidRDefault="00321C60" w:rsidP="006458D2">
      <w:pPr>
        <w:jc w:val="both"/>
      </w:pPr>
      <w:r w:rsidRPr="00E35444">
        <w:t>DHCD</w:t>
      </w:r>
      <w:r w:rsidR="00085EF9" w:rsidRPr="00E35444">
        <w:t xml:space="preserve"> provided public notice of the draft Annual Plan.  The public comment period extended </w:t>
      </w:r>
      <w:r w:rsidR="00085EF9" w:rsidRPr="00CA1A58">
        <w:t xml:space="preserve">from </w:t>
      </w:r>
      <w:r w:rsidR="00E46DAF">
        <w:t>March 11</w:t>
      </w:r>
      <w:r w:rsidR="00342B6D" w:rsidRPr="00CA1A58">
        <w:t>,</w:t>
      </w:r>
      <w:r w:rsidR="00CE1A56" w:rsidRPr="00CA1A58">
        <w:t xml:space="preserve"> 201</w:t>
      </w:r>
      <w:r w:rsidR="00C73778" w:rsidRPr="00CA1A58">
        <w:t>6</w:t>
      </w:r>
      <w:r w:rsidR="00085EF9" w:rsidRPr="00CA1A58">
        <w:t xml:space="preserve"> through </w:t>
      </w:r>
      <w:r w:rsidR="00342B6D" w:rsidRPr="00CA1A58">
        <w:t xml:space="preserve">April </w:t>
      </w:r>
      <w:r w:rsidR="00E46DAF">
        <w:t>11</w:t>
      </w:r>
      <w:r w:rsidR="00C73778" w:rsidRPr="00CA1A58">
        <w:t>, 2016</w:t>
      </w:r>
      <w:r w:rsidR="00085EF9" w:rsidRPr="00CA1A58">
        <w:t>.</w:t>
      </w:r>
      <w:r w:rsidR="00085EF9" w:rsidRPr="00E35444">
        <w:t xml:space="preserve">  </w:t>
      </w:r>
      <w:r w:rsidR="0060771D" w:rsidRPr="00E35444">
        <w:t>O</w:t>
      </w:r>
      <w:r w:rsidR="00085EF9" w:rsidRPr="00E35444">
        <w:t>pen public hearing</w:t>
      </w:r>
      <w:r w:rsidR="0060771D" w:rsidRPr="00E35444">
        <w:t>s were</w:t>
      </w:r>
      <w:r w:rsidR="00B41110" w:rsidRPr="00E35444">
        <w:t xml:space="preserve"> conducted </w:t>
      </w:r>
      <w:r w:rsidR="00B41110" w:rsidRPr="00CA1A58">
        <w:t xml:space="preserve">on </w:t>
      </w:r>
      <w:r w:rsidR="00342B6D" w:rsidRPr="00CA1A58">
        <w:t>March 22</w:t>
      </w:r>
      <w:r w:rsidR="00CE1A56" w:rsidRPr="00CA1A58">
        <w:t>, 201</w:t>
      </w:r>
      <w:r w:rsidR="00C73778" w:rsidRPr="00CA1A58">
        <w:t xml:space="preserve">6 </w:t>
      </w:r>
      <w:r w:rsidR="00342B6D" w:rsidRPr="00CA1A58">
        <w:t>in Boston</w:t>
      </w:r>
      <w:r w:rsidR="006D1870" w:rsidRPr="00CA1A58">
        <w:t>, MA</w:t>
      </w:r>
      <w:r w:rsidR="00CE1A56" w:rsidRPr="00CA1A58">
        <w:t xml:space="preserve"> </w:t>
      </w:r>
      <w:r w:rsidR="00342B6D" w:rsidRPr="00CA1A58">
        <w:t>(X</w:t>
      </w:r>
      <w:r w:rsidR="00F91E88" w:rsidRPr="00CA1A58">
        <w:t xml:space="preserve"> in attendance) </w:t>
      </w:r>
      <w:r w:rsidR="00342B6D" w:rsidRPr="00CA1A58">
        <w:t>and March 24</w:t>
      </w:r>
      <w:r w:rsidR="00C73778" w:rsidRPr="00CA1A58">
        <w:t>, 2016</w:t>
      </w:r>
      <w:r w:rsidR="00342B6D" w:rsidRPr="00CA1A58">
        <w:t xml:space="preserve"> in Springfield</w:t>
      </w:r>
      <w:r w:rsidR="006D1870" w:rsidRPr="00CA1A58">
        <w:t>, MA</w:t>
      </w:r>
      <w:r w:rsidRPr="00CA1A58">
        <w:t xml:space="preserve"> (</w:t>
      </w:r>
      <w:r w:rsidR="000D161A" w:rsidRPr="00CA1A58">
        <w:t>X</w:t>
      </w:r>
      <w:r w:rsidR="00085EF9" w:rsidRPr="00CA1A58">
        <w:t xml:space="preserve"> in attendance).</w:t>
      </w:r>
      <w:r w:rsidR="006458D2" w:rsidRPr="00CA1A58">
        <w:t xml:space="preserve">  </w:t>
      </w:r>
      <w:r w:rsidR="006458D2" w:rsidRPr="00CA1A58">
        <w:rPr>
          <w:color w:val="000000"/>
        </w:rPr>
        <w:t>Copies of public notices, written comments</w:t>
      </w:r>
      <w:r w:rsidR="00F91E88" w:rsidRPr="00CA1A58">
        <w:rPr>
          <w:color w:val="000000"/>
        </w:rPr>
        <w:t>, and sign-in sheets</w:t>
      </w:r>
      <w:r w:rsidR="006458D2" w:rsidRPr="00CA1A58">
        <w:rPr>
          <w:color w:val="000000"/>
        </w:rPr>
        <w:t xml:space="preserve"> are </w:t>
      </w:r>
      <w:r w:rsidR="00342B6D" w:rsidRPr="00CA1A58">
        <w:rPr>
          <w:color w:val="000000"/>
        </w:rPr>
        <w:t xml:space="preserve">attached in </w:t>
      </w:r>
      <w:r w:rsidR="00CC75AE" w:rsidRPr="00CA1A58">
        <w:rPr>
          <w:color w:val="000000"/>
        </w:rPr>
        <w:t>Appendix C</w:t>
      </w:r>
      <w:r w:rsidR="009C4B78" w:rsidRPr="00CA1A58">
        <w:rPr>
          <w:color w:val="000000"/>
        </w:rPr>
        <w:t>.</w:t>
      </w:r>
    </w:p>
    <w:p w:rsidR="00085EF9" w:rsidRPr="00F91E88" w:rsidRDefault="00085EF9" w:rsidP="00085EF9"/>
    <w:p w:rsidR="0087189E" w:rsidRPr="00003C3E" w:rsidRDefault="00085EF9" w:rsidP="00180053">
      <w:pPr>
        <w:pStyle w:val="Heading3"/>
        <w:numPr>
          <w:ilvl w:val="0"/>
          <w:numId w:val="19"/>
        </w:numPr>
      </w:pPr>
      <w:bookmarkStart w:id="42" w:name="_Toc372017837"/>
      <w:bookmarkStart w:id="43" w:name="_Toc415115913"/>
      <w:bookmarkStart w:id="44" w:name="_Toc444496102"/>
      <w:r w:rsidRPr="00003C3E">
        <w:t>Evaluations</w:t>
      </w:r>
      <w:bookmarkEnd w:id="42"/>
      <w:bookmarkEnd w:id="43"/>
      <w:bookmarkEnd w:id="44"/>
    </w:p>
    <w:p w:rsidR="0087189E" w:rsidRPr="00003C3E" w:rsidRDefault="0087189E" w:rsidP="00292E70">
      <w:pPr>
        <w:jc w:val="both"/>
        <w:rPr>
          <w:color w:val="000000"/>
        </w:rPr>
      </w:pPr>
      <w:r w:rsidRPr="00003C3E">
        <w:rPr>
          <w:color w:val="000000"/>
        </w:rPr>
        <w:t xml:space="preserve">DHCD, in collaboration with its network of Regional Administering Agencies, utilizes internal resources to track and monitor performance of proposed and ongoing MTW activities. At the present time, no third party evaluation is planned. DHCD has previously submitted information on an evaluation of the small-scale 183 unit pilot program completed by a graduate student as a thesis project. This information was also presented at HUD’s April 2009 MTW conference.   </w:t>
      </w:r>
      <w:r w:rsidR="005813E3">
        <w:rPr>
          <w:color w:val="000000"/>
        </w:rPr>
        <w:t>In 2012 graduate students from Harvard’s Kennedy School completed research and program design on “Promoting Housing Choice in H</w:t>
      </w:r>
      <w:r w:rsidR="00292E70">
        <w:rPr>
          <w:color w:val="000000"/>
        </w:rPr>
        <w:t>igh Opportunity Neighborhoods.”</w:t>
      </w:r>
      <w:r w:rsidR="005813E3">
        <w:rPr>
          <w:color w:val="000000"/>
        </w:rPr>
        <w:t xml:space="preserve">  DHCD reviewed the outcomes of the research and will utilize many elements of the program design to launch its Opportunity Neighborhoods initiative.  </w:t>
      </w:r>
    </w:p>
    <w:p w:rsidR="00085EF9" w:rsidRPr="003F655B" w:rsidRDefault="00085EF9" w:rsidP="00085EF9">
      <w:pPr>
        <w:jc w:val="both"/>
        <w:rPr>
          <w:highlight w:val="yellow"/>
        </w:rPr>
      </w:pPr>
    </w:p>
    <w:p w:rsidR="00085EF9" w:rsidRPr="00961873" w:rsidRDefault="00085EF9" w:rsidP="00180053">
      <w:pPr>
        <w:pStyle w:val="Heading3"/>
        <w:numPr>
          <w:ilvl w:val="0"/>
          <w:numId w:val="19"/>
        </w:numPr>
        <w:rPr>
          <w:u w:val="single"/>
        </w:rPr>
      </w:pPr>
      <w:bookmarkStart w:id="45" w:name="_Toc372017838"/>
      <w:bookmarkStart w:id="46" w:name="_Toc415115914"/>
      <w:bookmarkStart w:id="47" w:name="_Toc444496103"/>
      <w:r w:rsidRPr="00961873">
        <w:t>Annual Statement/Performance and Evaluation Report</w:t>
      </w:r>
      <w:bookmarkEnd w:id="45"/>
      <w:bookmarkEnd w:id="46"/>
      <w:bookmarkEnd w:id="47"/>
    </w:p>
    <w:p w:rsidR="009C4B78" w:rsidRDefault="00961873" w:rsidP="00292E70">
      <w:pPr>
        <w:jc w:val="both"/>
      </w:pPr>
      <w:r w:rsidRPr="00961873">
        <w:t>DHCD does not operate a</w:t>
      </w:r>
      <w:r w:rsidR="00003C3E">
        <w:t xml:space="preserve"> Federal Public Housing Program;</w:t>
      </w:r>
      <w:r w:rsidRPr="00961873">
        <w:t xml:space="preserve"> therefore, the Pe</w:t>
      </w:r>
      <w:r w:rsidR="00B41110">
        <w:t>rformance and Evaluation Report</w:t>
      </w:r>
      <w:r w:rsidRPr="00961873">
        <w:t xml:space="preserve"> are n</w:t>
      </w:r>
      <w:r w:rsidR="0087189E" w:rsidRPr="00961873">
        <w:t>ot applicable</w:t>
      </w:r>
      <w:r w:rsidRPr="00961873">
        <w:t>.</w:t>
      </w:r>
    </w:p>
    <w:p w:rsidR="009C4B78" w:rsidRDefault="009C4B78" w:rsidP="00292E70">
      <w:pPr>
        <w:jc w:val="both"/>
      </w:pPr>
      <w:r>
        <w:br w:type="page"/>
      </w:r>
    </w:p>
    <w:p w:rsidR="009C4B78" w:rsidRPr="007A6182" w:rsidRDefault="009C4B78" w:rsidP="00E466A0">
      <w:pPr>
        <w:pStyle w:val="Heading1"/>
        <w:jc w:val="center"/>
        <w:rPr>
          <w:rFonts w:ascii="Times New Roman" w:hAnsi="Times New Roman"/>
        </w:rPr>
      </w:pPr>
      <w:bookmarkStart w:id="48" w:name="_Toc415115916"/>
      <w:bookmarkStart w:id="49" w:name="_Toc444496104"/>
      <w:r w:rsidRPr="007A6182">
        <w:rPr>
          <w:rFonts w:ascii="Times New Roman" w:hAnsi="Times New Roman"/>
        </w:rPr>
        <w:t xml:space="preserve">Appendix </w:t>
      </w:r>
      <w:r>
        <w:rPr>
          <w:rFonts w:ascii="Times New Roman" w:hAnsi="Times New Roman"/>
        </w:rPr>
        <w:t>A</w:t>
      </w:r>
      <w:r w:rsidRPr="007A6182">
        <w:rPr>
          <w:rFonts w:ascii="Times New Roman" w:hAnsi="Times New Roman"/>
        </w:rPr>
        <w:t>:  Listing of Regional Administering Agencies</w:t>
      </w:r>
      <w:bookmarkEnd w:id="48"/>
      <w:bookmarkEnd w:id="49"/>
    </w:p>
    <w:p w:rsidR="009C4B78" w:rsidRPr="007A6182" w:rsidRDefault="009C4B78" w:rsidP="009C4B78"/>
    <w:p w:rsidR="009C4B78" w:rsidRDefault="009C4B78" w:rsidP="009C4B78">
      <w:pPr>
        <w:rPr>
          <w:i/>
        </w:rPr>
      </w:pPr>
      <w:r w:rsidRPr="007A6182">
        <w:rPr>
          <w:i/>
        </w:rPr>
        <w:t>Berkshire</w:t>
      </w:r>
      <w:r>
        <w:rPr>
          <w:i/>
        </w:rPr>
        <w:t xml:space="preserve"> Housing Development Corp.</w:t>
      </w:r>
    </w:p>
    <w:p w:rsidR="009C4B78" w:rsidRDefault="009C4B78" w:rsidP="009C4B78">
      <w:r>
        <w:t>One Fenn Street</w:t>
      </w:r>
    </w:p>
    <w:p w:rsidR="009C4B78" w:rsidRDefault="009C4B78" w:rsidP="009C4B78">
      <w:r>
        <w:t>Pittsfield, MA  01201</w:t>
      </w:r>
    </w:p>
    <w:p w:rsidR="009C4B78" w:rsidRDefault="009C4B78" w:rsidP="009C4B78">
      <w:r>
        <w:t>413.499.4887</w:t>
      </w:r>
    </w:p>
    <w:p w:rsidR="009C4B78" w:rsidRPr="007A6182" w:rsidRDefault="009C4B78" w:rsidP="009C4B78">
      <w:pPr>
        <w:rPr>
          <w:sz w:val="20"/>
        </w:rPr>
      </w:pPr>
    </w:p>
    <w:p w:rsidR="009C4B78" w:rsidRPr="007A6182" w:rsidRDefault="009C4B78" w:rsidP="009C4B78">
      <w:pPr>
        <w:rPr>
          <w:i/>
        </w:rPr>
      </w:pPr>
      <w:r w:rsidRPr="007A6182">
        <w:rPr>
          <w:i/>
        </w:rPr>
        <w:t xml:space="preserve">Community Teamwork, </w:t>
      </w:r>
      <w:r w:rsidR="008679DE" w:rsidRPr="007A6182">
        <w:rPr>
          <w:i/>
        </w:rPr>
        <w:t>Inc.</w:t>
      </w:r>
    </w:p>
    <w:p w:rsidR="009C4B78" w:rsidRDefault="009C4B78" w:rsidP="009C4B78">
      <w:r>
        <w:t>155 Merrimack Street</w:t>
      </w:r>
    </w:p>
    <w:p w:rsidR="009C4B78" w:rsidRDefault="009C4B78" w:rsidP="009C4B78">
      <w:r>
        <w:t>Lowell, MA  01852</w:t>
      </w:r>
    </w:p>
    <w:p w:rsidR="009C4B78" w:rsidRDefault="009C4B78" w:rsidP="009C4B78">
      <w:r>
        <w:t>978.459.0551</w:t>
      </w:r>
    </w:p>
    <w:p w:rsidR="009C4B78" w:rsidRPr="007A6182" w:rsidRDefault="009C4B78" w:rsidP="009C4B78">
      <w:pPr>
        <w:rPr>
          <w:sz w:val="20"/>
        </w:rPr>
      </w:pPr>
    </w:p>
    <w:p w:rsidR="009C4B78" w:rsidRDefault="009C4B78" w:rsidP="009C4B78">
      <w:pPr>
        <w:rPr>
          <w:i/>
        </w:rPr>
      </w:pPr>
      <w:r>
        <w:rPr>
          <w:i/>
        </w:rPr>
        <w:t>Housing Assistance Corp</w:t>
      </w:r>
    </w:p>
    <w:p w:rsidR="009C4B78" w:rsidRDefault="009C4B78" w:rsidP="009C4B78">
      <w:r>
        <w:t>460 West Main Street</w:t>
      </w:r>
    </w:p>
    <w:p w:rsidR="009C4B78" w:rsidRDefault="009C4B78" w:rsidP="009C4B78">
      <w:r>
        <w:t>Hyannis, MA 02601</w:t>
      </w:r>
    </w:p>
    <w:p w:rsidR="009C4B78" w:rsidRDefault="009C4B78" w:rsidP="009C4B78">
      <w:r>
        <w:t>508.771.5400</w:t>
      </w:r>
    </w:p>
    <w:p w:rsidR="009C4B78" w:rsidRPr="007A6182" w:rsidRDefault="009C4B78" w:rsidP="009C4B78">
      <w:pPr>
        <w:rPr>
          <w:sz w:val="20"/>
        </w:rPr>
      </w:pPr>
    </w:p>
    <w:p w:rsidR="009C4B78" w:rsidRDefault="009C4B78" w:rsidP="009C4B78">
      <w:pPr>
        <w:rPr>
          <w:i/>
        </w:rPr>
      </w:pPr>
      <w:r>
        <w:rPr>
          <w:i/>
        </w:rPr>
        <w:t>HAP Inc.</w:t>
      </w:r>
    </w:p>
    <w:p w:rsidR="009C4B78" w:rsidRDefault="009C4B78" w:rsidP="009C4B78">
      <w:r>
        <w:t>322 Main Street</w:t>
      </w:r>
    </w:p>
    <w:p w:rsidR="009C4B78" w:rsidRDefault="009C4B78" w:rsidP="009C4B78">
      <w:r>
        <w:t>Springfield, MA  01105</w:t>
      </w:r>
    </w:p>
    <w:p w:rsidR="009C4B78" w:rsidRDefault="009C4B78" w:rsidP="009C4B78">
      <w:r>
        <w:t>413.233.1500</w:t>
      </w:r>
    </w:p>
    <w:p w:rsidR="009C4B78" w:rsidRPr="007A6182" w:rsidRDefault="009C4B78" w:rsidP="009C4B78">
      <w:pPr>
        <w:rPr>
          <w:sz w:val="20"/>
        </w:rPr>
      </w:pPr>
    </w:p>
    <w:p w:rsidR="009C4B78" w:rsidRDefault="009C4B78" w:rsidP="009C4B78">
      <w:pPr>
        <w:rPr>
          <w:i/>
        </w:rPr>
      </w:pPr>
      <w:r>
        <w:rPr>
          <w:i/>
        </w:rPr>
        <w:t>Lynn Housing Authority &amp; Neighborhood Development</w:t>
      </w:r>
    </w:p>
    <w:p w:rsidR="009C4B78" w:rsidRDefault="009C4B78" w:rsidP="009C4B78">
      <w:r>
        <w:t>10 Church Street</w:t>
      </w:r>
    </w:p>
    <w:p w:rsidR="009C4B78" w:rsidRDefault="009C4B78" w:rsidP="009C4B78">
      <w:r>
        <w:t>Lynn, MA  01902</w:t>
      </w:r>
    </w:p>
    <w:p w:rsidR="009C4B78" w:rsidRDefault="009C4B78" w:rsidP="009C4B78">
      <w:r>
        <w:t>781.592.1966</w:t>
      </w:r>
    </w:p>
    <w:p w:rsidR="009C4B78" w:rsidRPr="007A6182" w:rsidRDefault="009C4B78" w:rsidP="009C4B78">
      <w:pPr>
        <w:rPr>
          <w:sz w:val="20"/>
        </w:rPr>
      </w:pPr>
    </w:p>
    <w:p w:rsidR="009C4B78" w:rsidRDefault="009C4B78" w:rsidP="009C4B78">
      <w:pPr>
        <w:rPr>
          <w:i/>
        </w:rPr>
      </w:pPr>
      <w:r w:rsidRPr="007A6182">
        <w:rPr>
          <w:i/>
        </w:rPr>
        <w:t>Metropolitan Boston Housing Partnership</w:t>
      </w:r>
    </w:p>
    <w:p w:rsidR="009C4B78" w:rsidRDefault="009C4B78" w:rsidP="009C4B78">
      <w:r>
        <w:t>125 Lincoln Street</w:t>
      </w:r>
    </w:p>
    <w:p w:rsidR="009C4B78" w:rsidRDefault="009C4B78" w:rsidP="009C4B78">
      <w:r>
        <w:t>Boston, MA  02111</w:t>
      </w:r>
    </w:p>
    <w:p w:rsidR="009C4B78" w:rsidRDefault="009C4B78" w:rsidP="009C4B78">
      <w:r>
        <w:t>617.859.0400</w:t>
      </w:r>
    </w:p>
    <w:p w:rsidR="009C4B78" w:rsidRPr="007A6182" w:rsidRDefault="009C4B78" w:rsidP="009C4B78">
      <w:pPr>
        <w:rPr>
          <w:sz w:val="20"/>
        </w:rPr>
      </w:pPr>
    </w:p>
    <w:p w:rsidR="009C4B78" w:rsidRPr="00D94B20" w:rsidRDefault="009C4B78" w:rsidP="009C4B78">
      <w:pPr>
        <w:rPr>
          <w:i/>
        </w:rPr>
      </w:pPr>
      <w:r w:rsidRPr="00D94B20">
        <w:rPr>
          <w:i/>
        </w:rPr>
        <w:t>RCAP Solutions</w:t>
      </w:r>
    </w:p>
    <w:p w:rsidR="009C4B78" w:rsidRPr="00AE71E1" w:rsidRDefault="009C4B78" w:rsidP="009C4B78">
      <w:r w:rsidRPr="00AE71E1">
        <w:t>12 E. Worcester Street</w:t>
      </w:r>
    </w:p>
    <w:p w:rsidR="009C4B78" w:rsidRPr="00AE71E1" w:rsidRDefault="009C4B78" w:rsidP="009C4B78">
      <w:r w:rsidRPr="00AE71E1">
        <w:t>Worcester, MA 01604</w:t>
      </w:r>
    </w:p>
    <w:p w:rsidR="009C4B78" w:rsidRPr="00AE71E1" w:rsidRDefault="009C4B78" w:rsidP="009C4B78">
      <w:r w:rsidRPr="00AE71E1">
        <w:t>978.630.6600</w:t>
      </w:r>
    </w:p>
    <w:p w:rsidR="009C4B78" w:rsidRPr="007A6182" w:rsidRDefault="009C4B78" w:rsidP="009C4B78">
      <w:pPr>
        <w:rPr>
          <w:sz w:val="20"/>
        </w:rPr>
      </w:pPr>
    </w:p>
    <w:p w:rsidR="009C4B78" w:rsidRDefault="009C4B78" w:rsidP="009C4B78">
      <w:pPr>
        <w:rPr>
          <w:i/>
        </w:rPr>
      </w:pPr>
      <w:r>
        <w:rPr>
          <w:i/>
        </w:rPr>
        <w:t>South Middlesex Opportunity Council</w:t>
      </w:r>
    </w:p>
    <w:p w:rsidR="009C4B78" w:rsidRDefault="009C4B78" w:rsidP="009C4B78">
      <w:r>
        <w:t>7 Bishop Street</w:t>
      </w:r>
    </w:p>
    <w:p w:rsidR="009C4B78" w:rsidRDefault="009C4B78" w:rsidP="009C4B78">
      <w:r>
        <w:t>Framingham, MA  01702</w:t>
      </w:r>
    </w:p>
    <w:p w:rsidR="009C4B78" w:rsidRDefault="009C4B78" w:rsidP="009C4B78">
      <w:r>
        <w:t>508.620.2336</w:t>
      </w:r>
    </w:p>
    <w:p w:rsidR="009C4B78" w:rsidRPr="007A6182" w:rsidRDefault="009C4B78" w:rsidP="009C4B78">
      <w:pPr>
        <w:rPr>
          <w:sz w:val="20"/>
        </w:rPr>
      </w:pPr>
    </w:p>
    <w:p w:rsidR="00944FD9" w:rsidRDefault="00944FD9" w:rsidP="00944FD9">
      <w:pPr>
        <w:rPr>
          <w:i/>
        </w:rPr>
      </w:pPr>
      <w:r>
        <w:rPr>
          <w:i/>
        </w:rPr>
        <w:t>Housing Solutions for Southeastern Mass.(formerly South Shore Housing Development Corp.)</w:t>
      </w:r>
    </w:p>
    <w:p w:rsidR="00944FD9" w:rsidRDefault="00944FD9" w:rsidP="00944FD9">
      <w:r>
        <w:t>169 Summer Street</w:t>
      </w:r>
    </w:p>
    <w:p w:rsidR="00944FD9" w:rsidRDefault="00944FD9" w:rsidP="00944FD9">
      <w:r>
        <w:t>Kingston, MA  02364</w:t>
      </w:r>
    </w:p>
    <w:p w:rsidR="00944FD9" w:rsidRPr="00961873" w:rsidRDefault="00944FD9" w:rsidP="00944FD9">
      <w:r>
        <w:t>781.422.4200</w:t>
      </w:r>
    </w:p>
    <w:p w:rsidR="00085EF9" w:rsidRPr="003F655B" w:rsidRDefault="00085EF9" w:rsidP="00085EF9">
      <w:pPr>
        <w:jc w:val="both"/>
        <w:rPr>
          <w:highlight w:val="yellow"/>
        </w:rPr>
      </w:pPr>
    </w:p>
    <w:p w:rsidR="006D1870" w:rsidRDefault="006D1870" w:rsidP="003F655B">
      <w:pPr>
        <w:pStyle w:val="Heading1"/>
        <w:rPr>
          <w:rFonts w:ascii="Times New Roman" w:hAnsi="Times New Roman"/>
          <w:highlight w:val="yellow"/>
        </w:rPr>
        <w:sectPr w:rsidR="006D1870" w:rsidSect="006D4DF1">
          <w:pgSz w:w="12240" w:h="15840"/>
          <w:pgMar w:top="1440" w:right="1440" w:bottom="1440" w:left="1440" w:header="720" w:footer="720" w:gutter="0"/>
          <w:cols w:space="720"/>
          <w:docGrid w:linePitch="360"/>
        </w:sectPr>
      </w:pPr>
      <w:bookmarkStart w:id="50" w:name="_Toc415115915"/>
    </w:p>
    <w:p w:rsidR="00BB690A" w:rsidRDefault="00C42D40" w:rsidP="00E466A0">
      <w:pPr>
        <w:pStyle w:val="Heading1"/>
        <w:jc w:val="center"/>
        <w:rPr>
          <w:rFonts w:ascii="Times New Roman" w:hAnsi="Times New Roman"/>
        </w:rPr>
      </w:pPr>
      <w:bookmarkStart w:id="51" w:name="_Toc444496105"/>
      <w:r>
        <w:rPr>
          <w:rFonts w:ascii="Times New Roman" w:hAnsi="Times New Roman"/>
        </w:rPr>
        <w:t>Appendix B</w:t>
      </w:r>
      <w:r w:rsidR="00A65E8D" w:rsidRPr="00181466">
        <w:rPr>
          <w:rFonts w:ascii="Times New Roman" w:hAnsi="Times New Roman"/>
        </w:rPr>
        <w:t>:  Certification</w:t>
      </w:r>
      <w:r w:rsidR="006D1870">
        <w:rPr>
          <w:rFonts w:ascii="Times New Roman" w:hAnsi="Times New Roman"/>
        </w:rPr>
        <w:t>s</w:t>
      </w:r>
      <w:r w:rsidR="00A65E8D" w:rsidRPr="00181466">
        <w:rPr>
          <w:rFonts w:ascii="Times New Roman" w:hAnsi="Times New Roman"/>
        </w:rPr>
        <w:t xml:space="preserve"> of Compliance</w:t>
      </w:r>
      <w:bookmarkEnd w:id="50"/>
      <w:bookmarkEnd w:id="51"/>
    </w:p>
    <w:p w:rsidR="00EE7F83" w:rsidRPr="00EE7F83" w:rsidRDefault="00EE7F83" w:rsidP="00EE7F83">
      <w:pPr>
        <w:sectPr w:rsidR="00EE7F83" w:rsidRPr="00EE7F83" w:rsidSect="006D4DF1">
          <w:pgSz w:w="12240" w:h="15840"/>
          <w:pgMar w:top="1440" w:right="1440" w:bottom="1440" w:left="1440" w:header="720" w:footer="720" w:gutter="0"/>
          <w:cols w:space="720"/>
          <w:docGrid w:linePitch="360"/>
        </w:sectPr>
      </w:pPr>
    </w:p>
    <w:p w:rsidR="002939E0" w:rsidRDefault="002939E0">
      <w:pPr>
        <w:rPr>
          <w:b/>
          <w:bCs/>
          <w:color w:val="000000"/>
          <w:kern w:val="32"/>
          <w:sz w:val="28"/>
          <w:szCs w:val="32"/>
        </w:rPr>
      </w:pPr>
    </w:p>
    <w:p w:rsidR="009C4B78" w:rsidRPr="00C0753A" w:rsidRDefault="00C42D40" w:rsidP="00C0753A">
      <w:pPr>
        <w:pStyle w:val="Heading1"/>
        <w:jc w:val="center"/>
        <w:rPr>
          <w:rFonts w:ascii="Times New Roman" w:hAnsi="Times New Roman"/>
        </w:rPr>
      </w:pPr>
      <w:bookmarkStart w:id="52" w:name="_Toc444496106"/>
      <w:r w:rsidRPr="00C0753A">
        <w:rPr>
          <w:rFonts w:ascii="Times New Roman" w:hAnsi="Times New Roman"/>
        </w:rPr>
        <w:t>Appendix C</w:t>
      </w:r>
      <w:r w:rsidR="009C4B78" w:rsidRPr="00C0753A">
        <w:rPr>
          <w:rFonts w:ascii="Times New Roman" w:hAnsi="Times New Roman"/>
        </w:rPr>
        <w:t>:  Public Notice, Written Comments</w:t>
      </w:r>
      <w:r w:rsidR="00F91E88" w:rsidRPr="00C0753A">
        <w:rPr>
          <w:rFonts w:ascii="Times New Roman" w:hAnsi="Times New Roman"/>
        </w:rPr>
        <w:t xml:space="preserve"> &amp; Public Hearing Sign-in Sheets</w:t>
      </w:r>
      <w:bookmarkEnd w:id="52"/>
    </w:p>
    <w:p w:rsidR="009C4B78" w:rsidRDefault="009C4B78" w:rsidP="009C4B78"/>
    <w:p w:rsidR="00F91E88" w:rsidRPr="00AE7052" w:rsidRDefault="00F91E88" w:rsidP="00AE7052">
      <w:pPr>
        <w:tabs>
          <w:tab w:val="left" w:pos="2835"/>
        </w:tabs>
      </w:pPr>
    </w:p>
    <w:sectPr w:rsidR="00F91E88" w:rsidRPr="00AE7052" w:rsidSect="006D187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AC5" w:rsidRDefault="00C77AC5">
      <w:r>
        <w:separator/>
      </w:r>
    </w:p>
  </w:endnote>
  <w:endnote w:type="continuationSeparator" w:id="0">
    <w:p w:rsidR="00C77AC5" w:rsidRDefault="00C77AC5">
      <w:r>
        <w:continuationSeparator/>
      </w:r>
    </w:p>
  </w:endnote>
  <w:endnote w:type="continuationNotice" w:id="1">
    <w:p w:rsidR="00C77AC5" w:rsidRDefault="00C77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58" w:rsidRDefault="00CA1A58" w:rsidP="00BB4877">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58" w:rsidRDefault="00CA1A58" w:rsidP="007E68D3">
    <w:pPr>
      <w:pStyle w:val="Footer"/>
      <w:pBdr>
        <w:top w:val="single" w:sz="4" w:space="1" w:color="auto"/>
      </w:pBdr>
      <w:rPr>
        <w:sz w:val="20"/>
      </w:rPr>
    </w:pPr>
    <w:r>
      <w:rPr>
        <w:sz w:val="20"/>
      </w:rPr>
      <w:t>Mass. DHCD MTW Annual Plan FY 2017</w:t>
    </w:r>
  </w:p>
  <w:p w:rsidR="00CA1A58" w:rsidRPr="00E327E5" w:rsidRDefault="00CA1A58">
    <w:pPr>
      <w:pStyle w:val="Footer"/>
      <w:rPr>
        <w:sz w:val="20"/>
      </w:rPr>
    </w:pPr>
    <w:r w:rsidRPr="00E327E5">
      <w:rPr>
        <w:sz w:val="20"/>
      </w:rPr>
      <w:t xml:space="preserve">Page </w:t>
    </w:r>
    <w:r w:rsidRPr="00E327E5">
      <w:rPr>
        <w:sz w:val="20"/>
      </w:rPr>
      <w:fldChar w:fldCharType="begin"/>
    </w:r>
    <w:r w:rsidRPr="00E327E5">
      <w:rPr>
        <w:sz w:val="20"/>
      </w:rPr>
      <w:instrText xml:space="preserve"> PAGE  \* Arabic  \* MERGEFORMAT </w:instrText>
    </w:r>
    <w:r w:rsidRPr="00E327E5">
      <w:rPr>
        <w:sz w:val="20"/>
      </w:rPr>
      <w:fldChar w:fldCharType="separate"/>
    </w:r>
    <w:r w:rsidR="00131EC8">
      <w:rPr>
        <w:noProof/>
        <w:sz w:val="20"/>
      </w:rPr>
      <w:t>47</w:t>
    </w:r>
    <w:r w:rsidRPr="00E327E5">
      <w:rPr>
        <w:sz w:val="20"/>
      </w:rPr>
      <w:fldChar w:fldCharType="end"/>
    </w:r>
    <w:r w:rsidRPr="00E327E5">
      <w:rPr>
        <w:sz w:val="20"/>
      </w:rPr>
      <w:t xml:space="preserve"> of </w:t>
    </w:r>
    <w:r>
      <w:rPr>
        <w:sz w:val="20"/>
      </w:rPr>
      <w:t>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AC5" w:rsidRDefault="00C77AC5">
      <w:r>
        <w:separator/>
      </w:r>
    </w:p>
  </w:footnote>
  <w:footnote w:type="continuationSeparator" w:id="0">
    <w:p w:rsidR="00C77AC5" w:rsidRDefault="00C77AC5">
      <w:r>
        <w:continuationSeparator/>
      </w:r>
    </w:p>
  </w:footnote>
  <w:footnote w:type="continuationNotice" w:id="1">
    <w:p w:rsidR="00C77AC5" w:rsidRDefault="00C77A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86"/>
    <w:multiLevelType w:val="hybridMultilevel"/>
    <w:tmpl w:val="8416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0C4C"/>
    <w:multiLevelType w:val="hybridMultilevel"/>
    <w:tmpl w:val="4D8AF616"/>
    <w:lvl w:ilvl="0" w:tplc="5EF2E29C">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115FE"/>
    <w:multiLevelType w:val="hybridMultilevel"/>
    <w:tmpl w:val="CB5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0B7C"/>
    <w:multiLevelType w:val="hybridMultilevel"/>
    <w:tmpl w:val="3C6456CE"/>
    <w:lvl w:ilvl="0" w:tplc="2FAC42CC">
      <w:start w:val="1"/>
      <w:numFmt w:val="bullet"/>
      <w:lvlText w:val="o"/>
      <w:lvlJc w:val="left"/>
      <w:pPr>
        <w:tabs>
          <w:tab w:val="num" w:pos="720"/>
        </w:tabs>
        <w:ind w:left="720" w:hanging="360"/>
      </w:pPr>
      <w:rPr>
        <w:rFonts w:ascii="Courier New" w:hAnsi="Courier New" w:hint="default"/>
      </w:rPr>
    </w:lvl>
    <w:lvl w:ilvl="1" w:tplc="85E638C2">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A67FF8"/>
    <w:multiLevelType w:val="hybridMultilevel"/>
    <w:tmpl w:val="51F20842"/>
    <w:lvl w:ilvl="0" w:tplc="2FAC42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F0F82"/>
    <w:multiLevelType w:val="hybridMultilevel"/>
    <w:tmpl w:val="63A4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3BCE"/>
    <w:multiLevelType w:val="hybridMultilevel"/>
    <w:tmpl w:val="2FB0E25E"/>
    <w:lvl w:ilvl="0" w:tplc="38EAC9FA">
      <w:start w:val="2"/>
      <w:numFmt w:val="upperLetter"/>
      <w:pStyle w:val="Heading3"/>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2DB4"/>
    <w:multiLevelType w:val="hybridMultilevel"/>
    <w:tmpl w:val="4796D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2342A"/>
    <w:multiLevelType w:val="hybridMultilevel"/>
    <w:tmpl w:val="E086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F7080"/>
    <w:multiLevelType w:val="multilevel"/>
    <w:tmpl w:val="405A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91A68"/>
    <w:multiLevelType w:val="hybridMultilevel"/>
    <w:tmpl w:val="053408AA"/>
    <w:lvl w:ilvl="0" w:tplc="65A0043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49C3410"/>
    <w:multiLevelType w:val="hybridMultilevel"/>
    <w:tmpl w:val="E8D6F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1552B"/>
    <w:multiLevelType w:val="hybridMultilevel"/>
    <w:tmpl w:val="5AA85AA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0E3D4E"/>
    <w:multiLevelType w:val="hybridMultilevel"/>
    <w:tmpl w:val="3B942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4151D"/>
    <w:multiLevelType w:val="hybridMultilevel"/>
    <w:tmpl w:val="04A4485A"/>
    <w:lvl w:ilvl="0" w:tplc="5D7E217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41C34"/>
    <w:multiLevelType w:val="hybridMultilevel"/>
    <w:tmpl w:val="36828980"/>
    <w:lvl w:ilvl="0" w:tplc="83E8CAE8">
      <w:start w:val="1"/>
      <w:numFmt w:val="decimal"/>
      <w:lvlText w:val="%1."/>
      <w:lvlJc w:val="left"/>
      <w:pPr>
        <w:ind w:left="720" w:hanging="360"/>
      </w:pPr>
      <w:rPr>
        <w:b/>
      </w:rPr>
    </w:lvl>
    <w:lvl w:ilvl="1" w:tplc="86025A1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70EA"/>
    <w:multiLevelType w:val="hybridMultilevel"/>
    <w:tmpl w:val="04D6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71476"/>
    <w:multiLevelType w:val="hybridMultilevel"/>
    <w:tmpl w:val="433E1654"/>
    <w:lvl w:ilvl="0" w:tplc="04090003">
      <w:start w:val="1"/>
      <w:numFmt w:val="bullet"/>
      <w:lvlText w:val="o"/>
      <w:lvlJc w:val="left"/>
      <w:pPr>
        <w:tabs>
          <w:tab w:val="num" w:pos="720"/>
        </w:tabs>
        <w:ind w:left="720" w:hanging="360"/>
      </w:pPr>
      <w:rPr>
        <w:rFonts w:ascii="Courier New" w:hAnsi="Courier New" w:cs="Courier New"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55306"/>
    <w:multiLevelType w:val="hybridMultilevel"/>
    <w:tmpl w:val="D3DA03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DA529F"/>
    <w:multiLevelType w:val="hybridMultilevel"/>
    <w:tmpl w:val="C568C5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B03499"/>
    <w:multiLevelType w:val="hybridMultilevel"/>
    <w:tmpl w:val="0E8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144F6"/>
    <w:multiLevelType w:val="hybridMultilevel"/>
    <w:tmpl w:val="9912AD84"/>
    <w:lvl w:ilvl="0" w:tplc="2FAC42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B1B2D"/>
    <w:multiLevelType w:val="hybridMultilevel"/>
    <w:tmpl w:val="D38C30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91C77"/>
    <w:multiLevelType w:val="hybridMultilevel"/>
    <w:tmpl w:val="895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97E85"/>
    <w:multiLevelType w:val="hybridMultilevel"/>
    <w:tmpl w:val="F78C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C45DA"/>
    <w:multiLevelType w:val="hybridMultilevel"/>
    <w:tmpl w:val="1F6EF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A3A48"/>
    <w:multiLevelType w:val="hybridMultilevel"/>
    <w:tmpl w:val="5854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83AAD"/>
    <w:multiLevelType w:val="hybridMultilevel"/>
    <w:tmpl w:val="7A06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7EEA"/>
    <w:multiLevelType w:val="hybridMultilevel"/>
    <w:tmpl w:val="475609F0"/>
    <w:lvl w:ilvl="0" w:tplc="6092552A">
      <w:start w:val="1"/>
      <w:numFmt w:val="bullet"/>
      <w:lvlText w:val="o"/>
      <w:lvlJc w:val="left"/>
      <w:pPr>
        <w:tabs>
          <w:tab w:val="num" w:pos="792"/>
        </w:tabs>
        <w:ind w:left="792"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B71D4"/>
    <w:multiLevelType w:val="hybridMultilevel"/>
    <w:tmpl w:val="B0E8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86C18"/>
    <w:multiLevelType w:val="hybridMultilevel"/>
    <w:tmpl w:val="44D62E72"/>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1" w15:restartNumberingAfterBreak="0">
    <w:nsid w:val="6B29453B"/>
    <w:multiLevelType w:val="hybridMultilevel"/>
    <w:tmpl w:val="6ACC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15A6E"/>
    <w:multiLevelType w:val="hybridMultilevel"/>
    <w:tmpl w:val="CA6C4F02"/>
    <w:lvl w:ilvl="0" w:tplc="2D7C528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E13F9B"/>
    <w:multiLevelType w:val="hybridMultilevel"/>
    <w:tmpl w:val="A92EF186"/>
    <w:lvl w:ilvl="0" w:tplc="BBB6E7B6">
      <w:start w:val="2"/>
      <w:numFmt w:val="upperLetter"/>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4CE50E1"/>
    <w:multiLevelType w:val="hybridMultilevel"/>
    <w:tmpl w:val="963ABBBC"/>
    <w:lvl w:ilvl="0" w:tplc="8DFEC764">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34CA4"/>
    <w:multiLevelType w:val="hybridMultilevel"/>
    <w:tmpl w:val="E0EC38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FC05C7"/>
    <w:multiLevelType w:val="hybridMultilevel"/>
    <w:tmpl w:val="D6448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7F0510"/>
    <w:multiLevelType w:val="hybridMultilevel"/>
    <w:tmpl w:val="EADC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D6143"/>
    <w:multiLevelType w:val="hybridMultilevel"/>
    <w:tmpl w:val="1A6CF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4606B"/>
    <w:multiLevelType w:val="hybridMultilevel"/>
    <w:tmpl w:val="43F0C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0D01FF"/>
    <w:multiLevelType w:val="hybridMultilevel"/>
    <w:tmpl w:val="A2A4F83E"/>
    <w:lvl w:ilvl="0" w:tplc="715A11AA">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9"/>
  </w:num>
  <w:num w:numId="3">
    <w:abstractNumId w:val="4"/>
  </w:num>
  <w:num w:numId="4">
    <w:abstractNumId w:val="10"/>
  </w:num>
  <w:num w:numId="5">
    <w:abstractNumId w:val="3"/>
  </w:num>
  <w:num w:numId="6">
    <w:abstractNumId w:val="22"/>
  </w:num>
  <w:num w:numId="7">
    <w:abstractNumId w:val="8"/>
  </w:num>
  <w:num w:numId="8">
    <w:abstractNumId w:val="28"/>
  </w:num>
  <w:num w:numId="9">
    <w:abstractNumId w:val="13"/>
  </w:num>
  <w:num w:numId="10">
    <w:abstractNumId w:val="17"/>
  </w:num>
  <w:num w:numId="11">
    <w:abstractNumId w:val="20"/>
  </w:num>
  <w:num w:numId="12">
    <w:abstractNumId w:val="35"/>
  </w:num>
  <w:num w:numId="13">
    <w:abstractNumId w:val="16"/>
  </w:num>
  <w:num w:numId="14">
    <w:abstractNumId w:val="2"/>
  </w:num>
  <w:num w:numId="15">
    <w:abstractNumId w:val="37"/>
  </w:num>
  <w:num w:numId="16">
    <w:abstractNumId w:val="15"/>
  </w:num>
  <w:num w:numId="17">
    <w:abstractNumId w:val="32"/>
  </w:num>
  <w:num w:numId="18">
    <w:abstractNumId w:val="1"/>
  </w:num>
  <w:num w:numId="19">
    <w:abstractNumId w:val="40"/>
  </w:num>
  <w:num w:numId="20">
    <w:abstractNumId w:val="34"/>
  </w:num>
  <w:num w:numId="21">
    <w:abstractNumId w:val="36"/>
  </w:num>
  <w:num w:numId="22">
    <w:abstractNumId w:val="6"/>
    <w:lvlOverride w:ilvl="0">
      <w:startOverride w:val="1"/>
    </w:lvlOverride>
  </w:num>
  <w:num w:numId="23">
    <w:abstractNumId w:val="6"/>
  </w:num>
  <w:num w:numId="24">
    <w:abstractNumId w:val="6"/>
    <w:lvlOverride w:ilvl="0">
      <w:startOverride w:val="1"/>
    </w:lvlOverride>
  </w:num>
  <w:num w:numId="25">
    <w:abstractNumId w:val="5"/>
  </w:num>
  <w:num w:numId="26">
    <w:abstractNumId w:val="38"/>
  </w:num>
  <w:num w:numId="27">
    <w:abstractNumId w:val="6"/>
  </w:num>
  <w:num w:numId="28">
    <w:abstractNumId w:val="7"/>
  </w:num>
  <w:num w:numId="29">
    <w:abstractNumId w:val="29"/>
  </w:num>
  <w:num w:numId="30">
    <w:abstractNumId w:val="25"/>
  </w:num>
  <w:num w:numId="31">
    <w:abstractNumId w:val="21"/>
  </w:num>
  <w:num w:numId="32">
    <w:abstractNumId w:val="3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1"/>
  </w:num>
  <w:num w:numId="40">
    <w:abstractNumId w:val="11"/>
  </w:num>
  <w:num w:numId="41">
    <w:abstractNumId w:val="27"/>
  </w:num>
  <w:num w:numId="42">
    <w:abstractNumId w:val="23"/>
  </w:num>
  <w:num w:numId="43">
    <w:abstractNumId w:val="24"/>
  </w:num>
  <w:num w:numId="44">
    <w:abstractNumId w:val="0"/>
  </w:num>
  <w:num w:numId="45">
    <w:abstractNumId w:val="33"/>
  </w:num>
  <w:num w:numId="46">
    <w:abstractNumId w:val="6"/>
    <w:lvlOverride w:ilvl="0">
      <w:startOverride w:val="3"/>
    </w:lvlOverride>
  </w:num>
  <w:num w:numId="47">
    <w:abstractNumId w:val="6"/>
    <w:lvlOverride w:ilvl="0">
      <w:startOverride w:val="2"/>
    </w:lvlOverride>
  </w:num>
  <w:num w:numId="48">
    <w:abstractNumId w:val="19"/>
  </w:num>
  <w:num w:numId="4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82"/>
    <w:rsid w:val="000005F1"/>
    <w:rsid w:val="00000C10"/>
    <w:rsid w:val="0000130C"/>
    <w:rsid w:val="000020A5"/>
    <w:rsid w:val="00003C3E"/>
    <w:rsid w:val="0000480F"/>
    <w:rsid w:val="0000534B"/>
    <w:rsid w:val="00006120"/>
    <w:rsid w:val="0000737A"/>
    <w:rsid w:val="000115D3"/>
    <w:rsid w:val="0001163E"/>
    <w:rsid w:val="0001196B"/>
    <w:rsid w:val="0001234B"/>
    <w:rsid w:val="0001256D"/>
    <w:rsid w:val="00012EC2"/>
    <w:rsid w:val="0001329C"/>
    <w:rsid w:val="000133AB"/>
    <w:rsid w:val="00015BA2"/>
    <w:rsid w:val="000168AE"/>
    <w:rsid w:val="00017969"/>
    <w:rsid w:val="00017A57"/>
    <w:rsid w:val="000219DA"/>
    <w:rsid w:val="00021ED7"/>
    <w:rsid w:val="0002208E"/>
    <w:rsid w:val="000220DD"/>
    <w:rsid w:val="00022672"/>
    <w:rsid w:val="00022FC4"/>
    <w:rsid w:val="00023A1D"/>
    <w:rsid w:val="00023B6E"/>
    <w:rsid w:val="0002423B"/>
    <w:rsid w:val="00025E27"/>
    <w:rsid w:val="000262B7"/>
    <w:rsid w:val="000263FE"/>
    <w:rsid w:val="0003356F"/>
    <w:rsid w:val="0003394E"/>
    <w:rsid w:val="0003468D"/>
    <w:rsid w:val="00034D05"/>
    <w:rsid w:val="000355E2"/>
    <w:rsid w:val="000378C2"/>
    <w:rsid w:val="0004031B"/>
    <w:rsid w:val="00041D1A"/>
    <w:rsid w:val="000433A8"/>
    <w:rsid w:val="000436A7"/>
    <w:rsid w:val="00043EB6"/>
    <w:rsid w:val="0004483F"/>
    <w:rsid w:val="000456B7"/>
    <w:rsid w:val="00045AFC"/>
    <w:rsid w:val="0004666E"/>
    <w:rsid w:val="000469DA"/>
    <w:rsid w:val="00050B5F"/>
    <w:rsid w:val="0005190F"/>
    <w:rsid w:val="000522E3"/>
    <w:rsid w:val="0005230E"/>
    <w:rsid w:val="00054057"/>
    <w:rsid w:val="0005436F"/>
    <w:rsid w:val="00054BE7"/>
    <w:rsid w:val="000561CF"/>
    <w:rsid w:val="000566CA"/>
    <w:rsid w:val="000605B8"/>
    <w:rsid w:val="00060A91"/>
    <w:rsid w:val="000612C6"/>
    <w:rsid w:val="000612FD"/>
    <w:rsid w:val="00061FAD"/>
    <w:rsid w:val="000629B0"/>
    <w:rsid w:val="00062A3A"/>
    <w:rsid w:val="00062A69"/>
    <w:rsid w:val="00066274"/>
    <w:rsid w:val="00066B21"/>
    <w:rsid w:val="00070972"/>
    <w:rsid w:val="00070BEC"/>
    <w:rsid w:val="000715F0"/>
    <w:rsid w:val="00072027"/>
    <w:rsid w:val="00072950"/>
    <w:rsid w:val="00072A1D"/>
    <w:rsid w:val="0007426D"/>
    <w:rsid w:val="00075347"/>
    <w:rsid w:val="00075750"/>
    <w:rsid w:val="000774FF"/>
    <w:rsid w:val="00080275"/>
    <w:rsid w:val="00081F7F"/>
    <w:rsid w:val="0008214D"/>
    <w:rsid w:val="00082158"/>
    <w:rsid w:val="0008265C"/>
    <w:rsid w:val="00085B1D"/>
    <w:rsid w:val="00085EF9"/>
    <w:rsid w:val="0008664B"/>
    <w:rsid w:val="00086684"/>
    <w:rsid w:val="00086C61"/>
    <w:rsid w:val="00087F06"/>
    <w:rsid w:val="00090219"/>
    <w:rsid w:val="0009170F"/>
    <w:rsid w:val="00092652"/>
    <w:rsid w:val="00093259"/>
    <w:rsid w:val="000947C9"/>
    <w:rsid w:val="0009553D"/>
    <w:rsid w:val="00096A0D"/>
    <w:rsid w:val="000972DD"/>
    <w:rsid w:val="000A1AB8"/>
    <w:rsid w:val="000A20BB"/>
    <w:rsid w:val="000A22DE"/>
    <w:rsid w:val="000A47BE"/>
    <w:rsid w:val="000A7DBF"/>
    <w:rsid w:val="000B1494"/>
    <w:rsid w:val="000B16E0"/>
    <w:rsid w:val="000B1F4E"/>
    <w:rsid w:val="000B24B2"/>
    <w:rsid w:val="000B265F"/>
    <w:rsid w:val="000B58A3"/>
    <w:rsid w:val="000B5B77"/>
    <w:rsid w:val="000B72F7"/>
    <w:rsid w:val="000C0C59"/>
    <w:rsid w:val="000C0E22"/>
    <w:rsid w:val="000C12D9"/>
    <w:rsid w:val="000C3532"/>
    <w:rsid w:val="000C4FAA"/>
    <w:rsid w:val="000C5149"/>
    <w:rsid w:val="000C6B6D"/>
    <w:rsid w:val="000C7D11"/>
    <w:rsid w:val="000C7FE5"/>
    <w:rsid w:val="000D161A"/>
    <w:rsid w:val="000D1BFE"/>
    <w:rsid w:val="000D21A8"/>
    <w:rsid w:val="000D31D5"/>
    <w:rsid w:val="000D3A14"/>
    <w:rsid w:val="000D3C21"/>
    <w:rsid w:val="000D48C8"/>
    <w:rsid w:val="000D6139"/>
    <w:rsid w:val="000E0AB4"/>
    <w:rsid w:val="000E1363"/>
    <w:rsid w:val="000E19B5"/>
    <w:rsid w:val="000E234E"/>
    <w:rsid w:val="000E3299"/>
    <w:rsid w:val="000E3F7B"/>
    <w:rsid w:val="000E594E"/>
    <w:rsid w:val="000E6D54"/>
    <w:rsid w:val="000F1911"/>
    <w:rsid w:val="000F1BF5"/>
    <w:rsid w:val="000F350E"/>
    <w:rsid w:val="000F47DC"/>
    <w:rsid w:val="000F4C5C"/>
    <w:rsid w:val="000F7994"/>
    <w:rsid w:val="001005E9"/>
    <w:rsid w:val="0010183E"/>
    <w:rsid w:val="00103619"/>
    <w:rsid w:val="001045A5"/>
    <w:rsid w:val="00104837"/>
    <w:rsid w:val="00105AD4"/>
    <w:rsid w:val="001067ED"/>
    <w:rsid w:val="001068EE"/>
    <w:rsid w:val="00106DD9"/>
    <w:rsid w:val="00110181"/>
    <w:rsid w:val="00111F4B"/>
    <w:rsid w:val="001124DA"/>
    <w:rsid w:val="00112503"/>
    <w:rsid w:val="001127A8"/>
    <w:rsid w:val="00112D36"/>
    <w:rsid w:val="00113DFA"/>
    <w:rsid w:val="00115D3F"/>
    <w:rsid w:val="00116020"/>
    <w:rsid w:val="00117F51"/>
    <w:rsid w:val="001204DA"/>
    <w:rsid w:val="001208AD"/>
    <w:rsid w:val="00120F31"/>
    <w:rsid w:val="00122410"/>
    <w:rsid w:val="00122480"/>
    <w:rsid w:val="0012310E"/>
    <w:rsid w:val="001238AC"/>
    <w:rsid w:val="00124B8E"/>
    <w:rsid w:val="00125653"/>
    <w:rsid w:val="00130B35"/>
    <w:rsid w:val="001316AE"/>
    <w:rsid w:val="0013193E"/>
    <w:rsid w:val="00131EC8"/>
    <w:rsid w:val="00132024"/>
    <w:rsid w:val="00133624"/>
    <w:rsid w:val="00134405"/>
    <w:rsid w:val="00134E24"/>
    <w:rsid w:val="0013595A"/>
    <w:rsid w:val="00135A30"/>
    <w:rsid w:val="00135A48"/>
    <w:rsid w:val="00136739"/>
    <w:rsid w:val="00140526"/>
    <w:rsid w:val="001407DC"/>
    <w:rsid w:val="001429AC"/>
    <w:rsid w:val="00142B36"/>
    <w:rsid w:val="00142B83"/>
    <w:rsid w:val="00143595"/>
    <w:rsid w:val="00145589"/>
    <w:rsid w:val="0014604B"/>
    <w:rsid w:val="0014614C"/>
    <w:rsid w:val="001476C9"/>
    <w:rsid w:val="00150109"/>
    <w:rsid w:val="0015013E"/>
    <w:rsid w:val="001504F7"/>
    <w:rsid w:val="001521A1"/>
    <w:rsid w:val="001530EF"/>
    <w:rsid w:val="00153390"/>
    <w:rsid w:val="00153B23"/>
    <w:rsid w:val="001541D2"/>
    <w:rsid w:val="00154DEB"/>
    <w:rsid w:val="001558C0"/>
    <w:rsid w:val="00157B6E"/>
    <w:rsid w:val="0016029C"/>
    <w:rsid w:val="00160A74"/>
    <w:rsid w:val="001613E3"/>
    <w:rsid w:val="0016151B"/>
    <w:rsid w:val="00162543"/>
    <w:rsid w:val="00163A06"/>
    <w:rsid w:val="001649A7"/>
    <w:rsid w:val="00165436"/>
    <w:rsid w:val="00165559"/>
    <w:rsid w:val="00167FCC"/>
    <w:rsid w:val="00170039"/>
    <w:rsid w:val="00171ACE"/>
    <w:rsid w:val="00175142"/>
    <w:rsid w:val="001751F1"/>
    <w:rsid w:val="00175D74"/>
    <w:rsid w:val="00176111"/>
    <w:rsid w:val="00177194"/>
    <w:rsid w:val="0017724D"/>
    <w:rsid w:val="0017731F"/>
    <w:rsid w:val="00177B6F"/>
    <w:rsid w:val="00180053"/>
    <w:rsid w:val="00180C11"/>
    <w:rsid w:val="0018130B"/>
    <w:rsid w:val="00181466"/>
    <w:rsid w:val="00181746"/>
    <w:rsid w:val="001819EB"/>
    <w:rsid w:val="001828E4"/>
    <w:rsid w:val="001828FE"/>
    <w:rsid w:val="001829F2"/>
    <w:rsid w:val="001838B7"/>
    <w:rsid w:val="001838D0"/>
    <w:rsid w:val="00183C93"/>
    <w:rsid w:val="0018461A"/>
    <w:rsid w:val="00184E22"/>
    <w:rsid w:val="00184FFF"/>
    <w:rsid w:val="00185807"/>
    <w:rsid w:val="001867E8"/>
    <w:rsid w:val="00187573"/>
    <w:rsid w:val="0019030E"/>
    <w:rsid w:val="001912DF"/>
    <w:rsid w:val="0019173E"/>
    <w:rsid w:val="0019241C"/>
    <w:rsid w:val="00192656"/>
    <w:rsid w:val="00192E9E"/>
    <w:rsid w:val="0019501A"/>
    <w:rsid w:val="00196110"/>
    <w:rsid w:val="001961E5"/>
    <w:rsid w:val="00196402"/>
    <w:rsid w:val="001A02E9"/>
    <w:rsid w:val="001A0329"/>
    <w:rsid w:val="001A090E"/>
    <w:rsid w:val="001A0983"/>
    <w:rsid w:val="001A3B52"/>
    <w:rsid w:val="001A4D5D"/>
    <w:rsid w:val="001A5522"/>
    <w:rsid w:val="001A5709"/>
    <w:rsid w:val="001A57EC"/>
    <w:rsid w:val="001A660C"/>
    <w:rsid w:val="001B1367"/>
    <w:rsid w:val="001B1AF0"/>
    <w:rsid w:val="001B4583"/>
    <w:rsid w:val="001B4B60"/>
    <w:rsid w:val="001B4BC9"/>
    <w:rsid w:val="001B5AE8"/>
    <w:rsid w:val="001B5C36"/>
    <w:rsid w:val="001B6924"/>
    <w:rsid w:val="001B7D88"/>
    <w:rsid w:val="001C041F"/>
    <w:rsid w:val="001C1858"/>
    <w:rsid w:val="001C18E8"/>
    <w:rsid w:val="001C19CD"/>
    <w:rsid w:val="001C3059"/>
    <w:rsid w:val="001C495E"/>
    <w:rsid w:val="001C56E8"/>
    <w:rsid w:val="001C58DE"/>
    <w:rsid w:val="001C63CB"/>
    <w:rsid w:val="001C696C"/>
    <w:rsid w:val="001C6FC0"/>
    <w:rsid w:val="001D0BB4"/>
    <w:rsid w:val="001D1469"/>
    <w:rsid w:val="001D2B08"/>
    <w:rsid w:val="001D2D42"/>
    <w:rsid w:val="001D353E"/>
    <w:rsid w:val="001D5E93"/>
    <w:rsid w:val="001D6096"/>
    <w:rsid w:val="001D7042"/>
    <w:rsid w:val="001E0216"/>
    <w:rsid w:val="001E0738"/>
    <w:rsid w:val="001E2BDC"/>
    <w:rsid w:val="001E36AD"/>
    <w:rsid w:val="001E44E0"/>
    <w:rsid w:val="001E53BF"/>
    <w:rsid w:val="001E5D5C"/>
    <w:rsid w:val="001E682C"/>
    <w:rsid w:val="001E6DF8"/>
    <w:rsid w:val="001E71AE"/>
    <w:rsid w:val="001F08D4"/>
    <w:rsid w:val="001F108A"/>
    <w:rsid w:val="001F139E"/>
    <w:rsid w:val="001F18C8"/>
    <w:rsid w:val="001F1ED9"/>
    <w:rsid w:val="001F3444"/>
    <w:rsid w:val="001F3517"/>
    <w:rsid w:val="001F36E2"/>
    <w:rsid w:val="001F3728"/>
    <w:rsid w:val="001F3B4B"/>
    <w:rsid w:val="001F4591"/>
    <w:rsid w:val="001F4A5D"/>
    <w:rsid w:val="001F4A71"/>
    <w:rsid w:val="001F6145"/>
    <w:rsid w:val="001F6372"/>
    <w:rsid w:val="00201119"/>
    <w:rsid w:val="00201A2E"/>
    <w:rsid w:val="00202C4E"/>
    <w:rsid w:val="00204E04"/>
    <w:rsid w:val="00205D5B"/>
    <w:rsid w:val="00207BDC"/>
    <w:rsid w:val="00207BFE"/>
    <w:rsid w:val="0021021D"/>
    <w:rsid w:val="002118AC"/>
    <w:rsid w:val="00211F09"/>
    <w:rsid w:val="0021277F"/>
    <w:rsid w:val="002128FD"/>
    <w:rsid w:val="0021295B"/>
    <w:rsid w:val="00213201"/>
    <w:rsid w:val="00213C7B"/>
    <w:rsid w:val="0021457B"/>
    <w:rsid w:val="00215172"/>
    <w:rsid w:val="0021660E"/>
    <w:rsid w:val="00216BA8"/>
    <w:rsid w:val="00216D54"/>
    <w:rsid w:val="002177A4"/>
    <w:rsid w:val="00220B38"/>
    <w:rsid w:val="00221A1D"/>
    <w:rsid w:val="00222E5D"/>
    <w:rsid w:val="002255F3"/>
    <w:rsid w:val="00226A34"/>
    <w:rsid w:val="00227654"/>
    <w:rsid w:val="00227FA8"/>
    <w:rsid w:val="00231186"/>
    <w:rsid w:val="00231783"/>
    <w:rsid w:val="00231793"/>
    <w:rsid w:val="00231C83"/>
    <w:rsid w:val="00231E52"/>
    <w:rsid w:val="002337F2"/>
    <w:rsid w:val="00233C8E"/>
    <w:rsid w:val="0023443B"/>
    <w:rsid w:val="00234555"/>
    <w:rsid w:val="00234F31"/>
    <w:rsid w:val="00237368"/>
    <w:rsid w:val="002406B2"/>
    <w:rsid w:val="00241A97"/>
    <w:rsid w:val="0024211E"/>
    <w:rsid w:val="00242CBC"/>
    <w:rsid w:val="00243D6D"/>
    <w:rsid w:val="002450BB"/>
    <w:rsid w:val="00245812"/>
    <w:rsid w:val="00246D99"/>
    <w:rsid w:val="002500FC"/>
    <w:rsid w:val="002531CF"/>
    <w:rsid w:val="00254A2A"/>
    <w:rsid w:val="00254C16"/>
    <w:rsid w:val="0025591D"/>
    <w:rsid w:val="00255A44"/>
    <w:rsid w:val="00255F98"/>
    <w:rsid w:val="0025615B"/>
    <w:rsid w:val="00256268"/>
    <w:rsid w:val="00256824"/>
    <w:rsid w:val="002602BB"/>
    <w:rsid w:val="0026064D"/>
    <w:rsid w:val="002607C9"/>
    <w:rsid w:val="002611E1"/>
    <w:rsid w:val="00261787"/>
    <w:rsid w:val="0026197A"/>
    <w:rsid w:val="00264A29"/>
    <w:rsid w:val="00264C87"/>
    <w:rsid w:val="00266E57"/>
    <w:rsid w:val="00267642"/>
    <w:rsid w:val="002711DA"/>
    <w:rsid w:val="002716FA"/>
    <w:rsid w:val="00271B16"/>
    <w:rsid w:val="00271F2C"/>
    <w:rsid w:val="00272A8B"/>
    <w:rsid w:val="00272C40"/>
    <w:rsid w:val="0027397A"/>
    <w:rsid w:val="00273A2E"/>
    <w:rsid w:val="0027440A"/>
    <w:rsid w:val="00275247"/>
    <w:rsid w:val="002768FC"/>
    <w:rsid w:val="0028029A"/>
    <w:rsid w:val="00281BCE"/>
    <w:rsid w:val="00285022"/>
    <w:rsid w:val="002851FF"/>
    <w:rsid w:val="00285953"/>
    <w:rsid w:val="0028596A"/>
    <w:rsid w:val="00285F5B"/>
    <w:rsid w:val="002865DF"/>
    <w:rsid w:val="00286EE9"/>
    <w:rsid w:val="00287340"/>
    <w:rsid w:val="00287B62"/>
    <w:rsid w:val="00287E6B"/>
    <w:rsid w:val="0029150F"/>
    <w:rsid w:val="002917D2"/>
    <w:rsid w:val="00291C5A"/>
    <w:rsid w:val="00292E70"/>
    <w:rsid w:val="002935E9"/>
    <w:rsid w:val="00293744"/>
    <w:rsid w:val="0029383D"/>
    <w:rsid w:val="00293854"/>
    <w:rsid w:val="002939E0"/>
    <w:rsid w:val="00294D7B"/>
    <w:rsid w:val="00296686"/>
    <w:rsid w:val="002979D4"/>
    <w:rsid w:val="002A0AD7"/>
    <w:rsid w:val="002A2580"/>
    <w:rsid w:val="002A2C95"/>
    <w:rsid w:val="002A3AE4"/>
    <w:rsid w:val="002A3D95"/>
    <w:rsid w:val="002A466B"/>
    <w:rsid w:val="002A70F1"/>
    <w:rsid w:val="002A7DEE"/>
    <w:rsid w:val="002B0E72"/>
    <w:rsid w:val="002B108E"/>
    <w:rsid w:val="002B6C32"/>
    <w:rsid w:val="002B73D3"/>
    <w:rsid w:val="002C1BFE"/>
    <w:rsid w:val="002C290A"/>
    <w:rsid w:val="002C2BFD"/>
    <w:rsid w:val="002C3D7A"/>
    <w:rsid w:val="002C4D31"/>
    <w:rsid w:val="002C51B4"/>
    <w:rsid w:val="002C738D"/>
    <w:rsid w:val="002C7440"/>
    <w:rsid w:val="002C7F41"/>
    <w:rsid w:val="002D1B0C"/>
    <w:rsid w:val="002D2CED"/>
    <w:rsid w:val="002D30F9"/>
    <w:rsid w:val="002D37C8"/>
    <w:rsid w:val="002D591E"/>
    <w:rsid w:val="002D6823"/>
    <w:rsid w:val="002D6842"/>
    <w:rsid w:val="002D71E7"/>
    <w:rsid w:val="002D7282"/>
    <w:rsid w:val="002E1092"/>
    <w:rsid w:val="002E1C7C"/>
    <w:rsid w:val="002E29E8"/>
    <w:rsid w:val="002E2B97"/>
    <w:rsid w:val="002E3B00"/>
    <w:rsid w:val="002E4334"/>
    <w:rsid w:val="002E68F1"/>
    <w:rsid w:val="002E6E35"/>
    <w:rsid w:val="002E7FBB"/>
    <w:rsid w:val="002F18E9"/>
    <w:rsid w:val="002F2C81"/>
    <w:rsid w:val="002F2F27"/>
    <w:rsid w:val="002F3C7A"/>
    <w:rsid w:val="002F6038"/>
    <w:rsid w:val="002F7A72"/>
    <w:rsid w:val="00300DFA"/>
    <w:rsid w:val="00301502"/>
    <w:rsid w:val="0030191F"/>
    <w:rsid w:val="00303FB9"/>
    <w:rsid w:val="00305C29"/>
    <w:rsid w:val="00305F70"/>
    <w:rsid w:val="003063B1"/>
    <w:rsid w:val="00306A83"/>
    <w:rsid w:val="00306F6A"/>
    <w:rsid w:val="00312570"/>
    <w:rsid w:val="003151C3"/>
    <w:rsid w:val="003155FA"/>
    <w:rsid w:val="00315C9D"/>
    <w:rsid w:val="00316D42"/>
    <w:rsid w:val="00321C60"/>
    <w:rsid w:val="00321F58"/>
    <w:rsid w:val="0032256F"/>
    <w:rsid w:val="003234D3"/>
    <w:rsid w:val="00323872"/>
    <w:rsid w:val="00323B97"/>
    <w:rsid w:val="00324600"/>
    <w:rsid w:val="003257C5"/>
    <w:rsid w:val="00325DB9"/>
    <w:rsid w:val="003261E9"/>
    <w:rsid w:val="003272E6"/>
    <w:rsid w:val="00327902"/>
    <w:rsid w:val="0033011A"/>
    <w:rsid w:val="00330EC9"/>
    <w:rsid w:val="00334C67"/>
    <w:rsid w:val="00334E54"/>
    <w:rsid w:val="0033597C"/>
    <w:rsid w:val="00335C54"/>
    <w:rsid w:val="0033601D"/>
    <w:rsid w:val="0033649C"/>
    <w:rsid w:val="003369DC"/>
    <w:rsid w:val="00336A8A"/>
    <w:rsid w:val="003407C1"/>
    <w:rsid w:val="0034086D"/>
    <w:rsid w:val="00340DEA"/>
    <w:rsid w:val="00341B53"/>
    <w:rsid w:val="00341D86"/>
    <w:rsid w:val="003425C0"/>
    <w:rsid w:val="00342A6E"/>
    <w:rsid w:val="00342B6D"/>
    <w:rsid w:val="00342F20"/>
    <w:rsid w:val="00343C4E"/>
    <w:rsid w:val="0034427D"/>
    <w:rsid w:val="00344B8B"/>
    <w:rsid w:val="00346E07"/>
    <w:rsid w:val="003473A2"/>
    <w:rsid w:val="00352887"/>
    <w:rsid w:val="003536EE"/>
    <w:rsid w:val="0035669C"/>
    <w:rsid w:val="00357A61"/>
    <w:rsid w:val="00357B21"/>
    <w:rsid w:val="0036036D"/>
    <w:rsid w:val="003606D5"/>
    <w:rsid w:val="00361157"/>
    <w:rsid w:val="00361C0C"/>
    <w:rsid w:val="00361C5F"/>
    <w:rsid w:val="00361C96"/>
    <w:rsid w:val="003637BD"/>
    <w:rsid w:val="0036525C"/>
    <w:rsid w:val="00365AFB"/>
    <w:rsid w:val="00365B5B"/>
    <w:rsid w:val="00366774"/>
    <w:rsid w:val="00367CEC"/>
    <w:rsid w:val="00371E92"/>
    <w:rsid w:val="00372154"/>
    <w:rsid w:val="003726C6"/>
    <w:rsid w:val="00372D6A"/>
    <w:rsid w:val="00372F0C"/>
    <w:rsid w:val="00373DB5"/>
    <w:rsid w:val="003747DE"/>
    <w:rsid w:val="00374AEA"/>
    <w:rsid w:val="00375EE4"/>
    <w:rsid w:val="003779CF"/>
    <w:rsid w:val="00377CD3"/>
    <w:rsid w:val="0038047B"/>
    <w:rsid w:val="00382A26"/>
    <w:rsid w:val="00383F54"/>
    <w:rsid w:val="0038697B"/>
    <w:rsid w:val="00386B7B"/>
    <w:rsid w:val="00386D08"/>
    <w:rsid w:val="00387EFF"/>
    <w:rsid w:val="00390223"/>
    <w:rsid w:val="0039305F"/>
    <w:rsid w:val="00394C02"/>
    <w:rsid w:val="00395BE8"/>
    <w:rsid w:val="00396696"/>
    <w:rsid w:val="00396F8F"/>
    <w:rsid w:val="003A0393"/>
    <w:rsid w:val="003A0993"/>
    <w:rsid w:val="003A0C3A"/>
    <w:rsid w:val="003A14FC"/>
    <w:rsid w:val="003A2169"/>
    <w:rsid w:val="003A22D0"/>
    <w:rsid w:val="003A3B51"/>
    <w:rsid w:val="003A557A"/>
    <w:rsid w:val="003A5878"/>
    <w:rsid w:val="003A7D15"/>
    <w:rsid w:val="003B0347"/>
    <w:rsid w:val="003B0FF9"/>
    <w:rsid w:val="003B114B"/>
    <w:rsid w:val="003B17B9"/>
    <w:rsid w:val="003B2AB0"/>
    <w:rsid w:val="003B2ADD"/>
    <w:rsid w:val="003B4924"/>
    <w:rsid w:val="003B5160"/>
    <w:rsid w:val="003B541D"/>
    <w:rsid w:val="003B6655"/>
    <w:rsid w:val="003B7418"/>
    <w:rsid w:val="003B74D1"/>
    <w:rsid w:val="003B7BA5"/>
    <w:rsid w:val="003B7DCA"/>
    <w:rsid w:val="003C0172"/>
    <w:rsid w:val="003C023F"/>
    <w:rsid w:val="003C0B6B"/>
    <w:rsid w:val="003C0EFE"/>
    <w:rsid w:val="003C1D51"/>
    <w:rsid w:val="003C4159"/>
    <w:rsid w:val="003C41C7"/>
    <w:rsid w:val="003C6647"/>
    <w:rsid w:val="003C73D3"/>
    <w:rsid w:val="003C7403"/>
    <w:rsid w:val="003D0CD9"/>
    <w:rsid w:val="003D0E45"/>
    <w:rsid w:val="003D11C4"/>
    <w:rsid w:val="003D20AC"/>
    <w:rsid w:val="003D3179"/>
    <w:rsid w:val="003D46EC"/>
    <w:rsid w:val="003D496C"/>
    <w:rsid w:val="003D4B57"/>
    <w:rsid w:val="003D68A6"/>
    <w:rsid w:val="003D6AB7"/>
    <w:rsid w:val="003E1229"/>
    <w:rsid w:val="003E1C21"/>
    <w:rsid w:val="003E2A5C"/>
    <w:rsid w:val="003E2D0D"/>
    <w:rsid w:val="003E5BDD"/>
    <w:rsid w:val="003E5FEB"/>
    <w:rsid w:val="003E6C95"/>
    <w:rsid w:val="003F002D"/>
    <w:rsid w:val="003F1479"/>
    <w:rsid w:val="003F17AE"/>
    <w:rsid w:val="003F20BC"/>
    <w:rsid w:val="003F26A0"/>
    <w:rsid w:val="003F2BE8"/>
    <w:rsid w:val="003F4327"/>
    <w:rsid w:val="003F4587"/>
    <w:rsid w:val="003F605C"/>
    <w:rsid w:val="003F655B"/>
    <w:rsid w:val="003F660F"/>
    <w:rsid w:val="003F736E"/>
    <w:rsid w:val="00403ED2"/>
    <w:rsid w:val="004045A2"/>
    <w:rsid w:val="004049C8"/>
    <w:rsid w:val="004053E2"/>
    <w:rsid w:val="00405CC4"/>
    <w:rsid w:val="00405EDE"/>
    <w:rsid w:val="00406805"/>
    <w:rsid w:val="00407F93"/>
    <w:rsid w:val="004112B4"/>
    <w:rsid w:val="00412608"/>
    <w:rsid w:val="0041361E"/>
    <w:rsid w:val="00414BFC"/>
    <w:rsid w:val="00416861"/>
    <w:rsid w:val="004172B2"/>
    <w:rsid w:val="00417B0A"/>
    <w:rsid w:val="00420CC5"/>
    <w:rsid w:val="004211F6"/>
    <w:rsid w:val="00423E06"/>
    <w:rsid w:val="00423FF2"/>
    <w:rsid w:val="00425BC2"/>
    <w:rsid w:val="0042611E"/>
    <w:rsid w:val="004262C6"/>
    <w:rsid w:val="00426573"/>
    <w:rsid w:val="00426A7C"/>
    <w:rsid w:val="0042718C"/>
    <w:rsid w:val="00430265"/>
    <w:rsid w:val="00430C5B"/>
    <w:rsid w:val="00432C23"/>
    <w:rsid w:val="004362D3"/>
    <w:rsid w:val="00437069"/>
    <w:rsid w:val="00437843"/>
    <w:rsid w:val="00437B74"/>
    <w:rsid w:val="004407B8"/>
    <w:rsid w:val="00440CF3"/>
    <w:rsid w:val="004412C5"/>
    <w:rsid w:val="004421C7"/>
    <w:rsid w:val="00443CF8"/>
    <w:rsid w:val="004442BA"/>
    <w:rsid w:val="00444E3E"/>
    <w:rsid w:val="00444F19"/>
    <w:rsid w:val="004453A6"/>
    <w:rsid w:val="00447DAC"/>
    <w:rsid w:val="00450312"/>
    <w:rsid w:val="00451214"/>
    <w:rsid w:val="0045173E"/>
    <w:rsid w:val="0045242A"/>
    <w:rsid w:val="00452435"/>
    <w:rsid w:val="00453481"/>
    <w:rsid w:val="004535B5"/>
    <w:rsid w:val="00453855"/>
    <w:rsid w:val="0045476D"/>
    <w:rsid w:val="00454785"/>
    <w:rsid w:val="00455ACE"/>
    <w:rsid w:val="00456938"/>
    <w:rsid w:val="00456D1C"/>
    <w:rsid w:val="00456D71"/>
    <w:rsid w:val="0046035E"/>
    <w:rsid w:val="004604A6"/>
    <w:rsid w:val="00462FE2"/>
    <w:rsid w:val="0046450D"/>
    <w:rsid w:val="004646E5"/>
    <w:rsid w:val="00464AAE"/>
    <w:rsid w:val="0046525E"/>
    <w:rsid w:val="0046581B"/>
    <w:rsid w:val="004667D1"/>
    <w:rsid w:val="004702DE"/>
    <w:rsid w:val="00470B8C"/>
    <w:rsid w:val="00470BE5"/>
    <w:rsid w:val="00471122"/>
    <w:rsid w:val="0047133E"/>
    <w:rsid w:val="00471CA4"/>
    <w:rsid w:val="00473246"/>
    <w:rsid w:val="00473418"/>
    <w:rsid w:val="00473BC7"/>
    <w:rsid w:val="004747D5"/>
    <w:rsid w:val="00474E0E"/>
    <w:rsid w:val="00475180"/>
    <w:rsid w:val="004773EA"/>
    <w:rsid w:val="00477C78"/>
    <w:rsid w:val="00480927"/>
    <w:rsid w:val="00480D63"/>
    <w:rsid w:val="00481EE7"/>
    <w:rsid w:val="00484571"/>
    <w:rsid w:val="00484B0D"/>
    <w:rsid w:val="00484F29"/>
    <w:rsid w:val="00485902"/>
    <w:rsid w:val="00486049"/>
    <w:rsid w:val="00486170"/>
    <w:rsid w:val="00486AD2"/>
    <w:rsid w:val="0049061E"/>
    <w:rsid w:val="00490691"/>
    <w:rsid w:val="0049107A"/>
    <w:rsid w:val="004926F9"/>
    <w:rsid w:val="00492DB6"/>
    <w:rsid w:val="00494BDB"/>
    <w:rsid w:val="004A2223"/>
    <w:rsid w:val="004A2A98"/>
    <w:rsid w:val="004A2CEA"/>
    <w:rsid w:val="004A3087"/>
    <w:rsid w:val="004A32D7"/>
    <w:rsid w:val="004A47C3"/>
    <w:rsid w:val="004A4A54"/>
    <w:rsid w:val="004A54CB"/>
    <w:rsid w:val="004A5A62"/>
    <w:rsid w:val="004A5A78"/>
    <w:rsid w:val="004A627F"/>
    <w:rsid w:val="004B025A"/>
    <w:rsid w:val="004B0CDF"/>
    <w:rsid w:val="004B1EB5"/>
    <w:rsid w:val="004B1FAA"/>
    <w:rsid w:val="004B21BB"/>
    <w:rsid w:val="004B25BA"/>
    <w:rsid w:val="004B2703"/>
    <w:rsid w:val="004B36CA"/>
    <w:rsid w:val="004B472A"/>
    <w:rsid w:val="004B50A8"/>
    <w:rsid w:val="004B5133"/>
    <w:rsid w:val="004C021E"/>
    <w:rsid w:val="004C0393"/>
    <w:rsid w:val="004C04BD"/>
    <w:rsid w:val="004C05F3"/>
    <w:rsid w:val="004C0940"/>
    <w:rsid w:val="004C1F48"/>
    <w:rsid w:val="004C2E35"/>
    <w:rsid w:val="004C46FF"/>
    <w:rsid w:val="004C4B44"/>
    <w:rsid w:val="004C5924"/>
    <w:rsid w:val="004C79DF"/>
    <w:rsid w:val="004D00A1"/>
    <w:rsid w:val="004D07FD"/>
    <w:rsid w:val="004D2E11"/>
    <w:rsid w:val="004D3FB7"/>
    <w:rsid w:val="004D435C"/>
    <w:rsid w:val="004D530D"/>
    <w:rsid w:val="004D5933"/>
    <w:rsid w:val="004D6E4C"/>
    <w:rsid w:val="004D7008"/>
    <w:rsid w:val="004E0AB9"/>
    <w:rsid w:val="004E0E41"/>
    <w:rsid w:val="004E15C6"/>
    <w:rsid w:val="004E2238"/>
    <w:rsid w:val="004E4417"/>
    <w:rsid w:val="004E49FD"/>
    <w:rsid w:val="004E5521"/>
    <w:rsid w:val="004E5FA0"/>
    <w:rsid w:val="004E7D2E"/>
    <w:rsid w:val="004F0769"/>
    <w:rsid w:val="004F0A1F"/>
    <w:rsid w:val="004F113E"/>
    <w:rsid w:val="004F1768"/>
    <w:rsid w:val="004F1DAF"/>
    <w:rsid w:val="004F3163"/>
    <w:rsid w:val="004F3CFA"/>
    <w:rsid w:val="004F40CD"/>
    <w:rsid w:val="004F65C3"/>
    <w:rsid w:val="005005D0"/>
    <w:rsid w:val="005017AC"/>
    <w:rsid w:val="00501B81"/>
    <w:rsid w:val="00501DB2"/>
    <w:rsid w:val="00502529"/>
    <w:rsid w:val="005031FF"/>
    <w:rsid w:val="0050473E"/>
    <w:rsid w:val="005115B1"/>
    <w:rsid w:val="00511D62"/>
    <w:rsid w:val="00512102"/>
    <w:rsid w:val="005123A0"/>
    <w:rsid w:val="00512AC1"/>
    <w:rsid w:val="00513393"/>
    <w:rsid w:val="0051484A"/>
    <w:rsid w:val="00515B35"/>
    <w:rsid w:val="00516443"/>
    <w:rsid w:val="00517319"/>
    <w:rsid w:val="005204D0"/>
    <w:rsid w:val="005218F1"/>
    <w:rsid w:val="0052304B"/>
    <w:rsid w:val="0052377C"/>
    <w:rsid w:val="00523993"/>
    <w:rsid w:val="00524834"/>
    <w:rsid w:val="00524D0C"/>
    <w:rsid w:val="005252C1"/>
    <w:rsid w:val="0052537A"/>
    <w:rsid w:val="00526E77"/>
    <w:rsid w:val="005274A9"/>
    <w:rsid w:val="00527C52"/>
    <w:rsid w:val="00530127"/>
    <w:rsid w:val="00530341"/>
    <w:rsid w:val="005305F3"/>
    <w:rsid w:val="005312B2"/>
    <w:rsid w:val="00532C5F"/>
    <w:rsid w:val="00533B5A"/>
    <w:rsid w:val="00533CC9"/>
    <w:rsid w:val="00533D8A"/>
    <w:rsid w:val="00535F75"/>
    <w:rsid w:val="005365E3"/>
    <w:rsid w:val="00536EDB"/>
    <w:rsid w:val="00540E50"/>
    <w:rsid w:val="00540E6E"/>
    <w:rsid w:val="00542E33"/>
    <w:rsid w:val="00542F9B"/>
    <w:rsid w:val="005442B1"/>
    <w:rsid w:val="005463E2"/>
    <w:rsid w:val="00546904"/>
    <w:rsid w:val="00547115"/>
    <w:rsid w:val="00547410"/>
    <w:rsid w:val="005501C2"/>
    <w:rsid w:val="005505AB"/>
    <w:rsid w:val="00550DB5"/>
    <w:rsid w:val="005518B0"/>
    <w:rsid w:val="00552D01"/>
    <w:rsid w:val="00553251"/>
    <w:rsid w:val="005536C4"/>
    <w:rsid w:val="0055407E"/>
    <w:rsid w:val="0055446D"/>
    <w:rsid w:val="00554505"/>
    <w:rsid w:val="00555A8C"/>
    <w:rsid w:val="00556299"/>
    <w:rsid w:val="00557331"/>
    <w:rsid w:val="005615CF"/>
    <w:rsid w:val="00562DF2"/>
    <w:rsid w:val="005630F6"/>
    <w:rsid w:val="005638C1"/>
    <w:rsid w:val="00564035"/>
    <w:rsid w:val="0056668D"/>
    <w:rsid w:val="00566C2D"/>
    <w:rsid w:val="00567227"/>
    <w:rsid w:val="00567391"/>
    <w:rsid w:val="00571711"/>
    <w:rsid w:val="005750D2"/>
    <w:rsid w:val="00576A65"/>
    <w:rsid w:val="00580AD1"/>
    <w:rsid w:val="00580DFB"/>
    <w:rsid w:val="005813E3"/>
    <w:rsid w:val="005819A4"/>
    <w:rsid w:val="00581A1B"/>
    <w:rsid w:val="005820D3"/>
    <w:rsid w:val="005823FC"/>
    <w:rsid w:val="00582FE3"/>
    <w:rsid w:val="0058375D"/>
    <w:rsid w:val="005854B9"/>
    <w:rsid w:val="005866D8"/>
    <w:rsid w:val="00587A1D"/>
    <w:rsid w:val="00587B8B"/>
    <w:rsid w:val="00587BA6"/>
    <w:rsid w:val="00593948"/>
    <w:rsid w:val="00593AE6"/>
    <w:rsid w:val="00594244"/>
    <w:rsid w:val="0059473A"/>
    <w:rsid w:val="00596650"/>
    <w:rsid w:val="005966C5"/>
    <w:rsid w:val="005973BF"/>
    <w:rsid w:val="005A007D"/>
    <w:rsid w:val="005A0D7C"/>
    <w:rsid w:val="005A362E"/>
    <w:rsid w:val="005A3F9E"/>
    <w:rsid w:val="005A731D"/>
    <w:rsid w:val="005B02BC"/>
    <w:rsid w:val="005B1088"/>
    <w:rsid w:val="005B127B"/>
    <w:rsid w:val="005B670B"/>
    <w:rsid w:val="005B7E63"/>
    <w:rsid w:val="005C0749"/>
    <w:rsid w:val="005C0FCA"/>
    <w:rsid w:val="005C2843"/>
    <w:rsid w:val="005C365E"/>
    <w:rsid w:val="005C5B0A"/>
    <w:rsid w:val="005C7CA5"/>
    <w:rsid w:val="005C7CD5"/>
    <w:rsid w:val="005D09B0"/>
    <w:rsid w:val="005D0F5C"/>
    <w:rsid w:val="005D1120"/>
    <w:rsid w:val="005D23A2"/>
    <w:rsid w:val="005D2CD1"/>
    <w:rsid w:val="005D2FCC"/>
    <w:rsid w:val="005D4743"/>
    <w:rsid w:val="005E0EE4"/>
    <w:rsid w:val="005E25DA"/>
    <w:rsid w:val="005E3062"/>
    <w:rsid w:val="005E52DD"/>
    <w:rsid w:val="005E5B18"/>
    <w:rsid w:val="005E6809"/>
    <w:rsid w:val="005E7248"/>
    <w:rsid w:val="005F2079"/>
    <w:rsid w:val="005F2149"/>
    <w:rsid w:val="005F27D5"/>
    <w:rsid w:val="005F3459"/>
    <w:rsid w:val="005F4373"/>
    <w:rsid w:val="005F5656"/>
    <w:rsid w:val="00600C49"/>
    <w:rsid w:val="00601B27"/>
    <w:rsid w:val="00603972"/>
    <w:rsid w:val="006061CA"/>
    <w:rsid w:val="006069DC"/>
    <w:rsid w:val="0060771D"/>
    <w:rsid w:val="0060793A"/>
    <w:rsid w:val="00607B34"/>
    <w:rsid w:val="006101AC"/>
    <w:rsid w:val="00611277"/>
    <w:rsid w:val="00611810"/>
    <w:rsid w:val="006121B6"/>
    <w:rsid w:val="0061251E"/>
    <w:rsid w:val="00612C33"/>
    <w:rsid w:val="00613D4D"/>
    <w:rsid w:val="00614336"/>
    <w:rsid w:val="006149F4"/>
    <w:rsid w:val="00615BED"/>
    <w:rsid w:val="00615CD8"/>
    <w:rsid w:val="00617123"/>
    <w:rsid w:val="006171C5"/>
    <w:rsid w:val="00617A45"/>
    <w:rsid w:val="0062140F"/>
    <w:rsid w:val="00621D5A"/>
    <w:rsid w:val="006226CD"/>
    <w:rsid w:val="006231D1"/>
    <w:rsid w:val="00624133"/>
    <w:rsid w:val="0062448F"/>
    <w:rsid w:val="00624DC0"/>
    <w:rsid w:val="00624E56"/>
    <w:rsid w:val="0062710B"/>
    <w:rsid w:val="00630396"/>
    <w:rsid w:val="00630434"/>
    <w:rsid w:val="0063188D"/>
    <w:rsid w:val="00631D70"/>
    <w:rsid w:val="006325BC"/>
    <w:rsid w:val="006327BF"/>
    <w:rsid w:val="00632865"/>
    <w:rsid w:val="00633018"/>
    <w:rsid w:val="0063333E"/>
    <w:rsid w:val="00633E03"/>
    <w:rsid w:val="00635506"/>
    <w:rsid w:val="0063592F"/>
    <w:rsid w:val="00635B7A"/>
    <w:rsid w:val="00636342"/>
    <w:rsid w:val="00636877"/>
    <w:rsid w:val="00636FC9"/>
    <w:rsid w:val="00637237"/>
    <w:rsid w:val="0063739C"/>
    <w:rsid w:val="00637AEB"/>
    <w:rsid w:val="006432FE"/>
    <w:rsid w:val="006438FD"/>
    <w:rsid w:val="00643CE1"/>
    <w:rsid w:val="00644C82"/>
    <w:rsid w:val="006454AD"/>
    <w:rsid w:val="006458D2"/>
    <w:rsid w:val="00645FFD"/>
    <w:rsid w:val="00646CE5"/>
    <w:rsid w:val="006525A9"/>
    <w:rsid w:val="00653B27"/>
    <w:rsid w:val="006556CA"/>
    <w:rsid w:val="00656B78"/>
    <w:rsid w:val="00657EE7"/>
    <w:rsid w:val="006609A3"/>
    <w:rsid w:val="00660D3B"/>
    <w:rsid w:val="00662F20"/>
    <w:rsid w:val="0066322D"/>
    <w:rsid w:val="00663DFF"/>
    <w:rsid w:val="0066400B"/>
    <w:rsid w:val="00665510"/>
    <w:rsid w:val="00670346"/>
    <w:rsid w:val="0067258E"/>
    <w:rsid w:val="00672817"/>
    <w:rsid w:val="0067361D"/>
    <w:rsid w:val="00674460"/>
    <w:rsid w:val="006746B8"/>
    <w:rsid w:val="00674C9E"/>
    <w:rsid w:val="00677150"/>
    <w:rsid w:val="00677677"/>
    <w:rsid w:val="00680EA7"/>
    <w:rsid w:val="00681533"/>
    <w:rsid w:val="006815E7"/>
    <w:rsid w:val="0068250C"/>
    <w:rsid w:val="006827F7"/>
    <w:rsid w:val="0068343F"/>
    <w:rsid w:val="00683B3E"/>
    <w:rsid w:val="00683FEB"/>
    <w:rsid w:val="0068474A"/>
    <w:rsid w:val="006849C0"/>
    <w:rsid w:val="006877F3"/>
    <w:rsid w:val="0069237F"/>
    <w:rsid w:val="0069254F"/>
    <w:rsid w:val="00692A0A"/>
    <w:rsid w:val="00692AB8"/>
    <w:rsid w:val="00694309"/>
    <w:rsid w:val="006959E8"/>
    <w:rsid w:val="00695C57"/>
    <w:rsid w:val="00696003"/>
    <w:rsid w:val="006960CE"/>
    <w:rsid w:val="0069794D"/>
    <w:rsid w:val="00697F7E"/>
    <w:rsid w:val="006A2020"/>
    <w:rsid w:val="006A2360"/>
    <w:rsid w:val="006A26F5"/>
    <w:rsid w:val="006A2706"/>
    <w:rsid w:val="006A5667"/>
    <w:rsid w:val="006A597B"/>
    <w:rsid w:val="006B2517"/>
    <w:rsid w:val="006B2C53"/>
    <w:rsid w:val="006B4262"/>
    <w:rsid w:val="006B4D12"/>
    <w:rsid w:val="006B54E4"/>
    <w:rsid w:val="006B58F8"/>
    <w:rsid w:val="006B7F6E"/>
    <w:rsid w:val="006C0A5C"/>
    <w:rsid w:val="006C139B"/>
    <w:rsid w:val="006C2017"/>
    <w:rsid w:val="006C3F7F"/>
    <w:rsid w:val="006C436C"/>
    <w:rsid w:val="006C5120"/>
    <w:rsid w:val="006D0A52"/>
    <w:rsid w:val="006D1870"/>
    <w:rsid w:val="006D3554"/>
    <w:rsid w:val="006D411F"/>
    <w:rsid w:val="006D4C49"/>
    <w:rsid w:val="006D4DF1"/>
    <w:rsid w:val="006D4E8E"/>
    <w:rsid w:val="006D5598"/>
    <w:rsid w:val="006D5E96"/>
    <w:rsid w:val="006D6519"/>
    <w:rsid w:val="006E3795"/>
    <w:rsid w:val="006E3899"/>
    <w:rsid w:val="006E3B70"/>
    <w:rsid w:val="006E7240"/>
    <w:rsid w:val="006E7875"/>
    <w:rsid w:val="006F0913"/>
    <w:rsid w:val="006F09AA"/>
    <w:rsid w:val="006F187D"/>
    <w:rsid w:val="006F1907"/>
    <w:rsid w:val="006F2350"/>
    <w:rsid w:val="006F3C4A"/>
    <w:rsid w:val="006F41FB"/>
    <w:rsid w:val="006F498A"/>
    <w:rsid w:val="006F4E97"/>
    <w:rsid w:val="006F5244"/>
    <w:rsid w:val="006F773A"/>
    <w:rsid w:val="00700ABD"/>
    <w:rsid w:val="00700FD8"/>
    <w:rsid w:val="00701FE3"/>
    <w:rsid w:val="007033A8"/>
    <w:rsid w:val="007044AB"/>
    <w:rsid w:val="007051FF"/>
    <w:rsid w:val="00707C10"/>
    <w:rsid w:val="00707FBF"/>
    <w:rsid w:val="00710425"/>
    <w:rsid w:val="00711718"/>
    <w:rsid w:val="00711CE4"/>
    <w:rsid w:val="0071432B"/>
    <w:rsid w:val="00714A49"/>
    <w:rsid w:val="007155B2"/>
    <w:rsid w:val="00717038"/>
    <w:rsid w:val="00717615"/>
    <w:rsid w:val="00717F70"/>
    <w:rsid w:val="00720A82"/>
    <w:rsid w:val="00721864"/>
    <w:rsid w:val="0072239D"/>
    <w:rsid w:val="007225B0"/>
    <w:rsid w:val="00723389"/>
    <w:rsid w:val="007245ED"/>
    <w:rsid w:val="00725057"/>
    <w:rsid w:val="0072659C"/>
    <w:rsid w:val="00730399"/>
    <w:rsid w:val="0073170A"/>
    <w:rsid w:val="00733415"/>
    <w:rsid w:val="007341F7"/>
    <w:rsid w:val="007355BD"/>
    <w:rsid w:val="00735915"/>
    <w:rsid w:val="00735A64"/>
    <w:rsid w:val="00735DFC"/>
    <w:rsid w:val="00735F68"/>
    <w:rsid w:val="00736A46"/>
    <w:rsid w:val="00737AE3"/>
    <w:rsid w:val="00740CAA"/>
    <w:rsid w:val="00741BF3"/>
    <w:rsid w:val="00742870"/>
    <w:rsid w:val="00742D6F"/>
    <w:rsid w:val="00743B75"/>
    <w:rsid w:val="007461BD"/>
    <w:rsid w:val="00746A0D"/>
    <w:rsid w:val="007477D6"/>
    <w:rsid w:val="00747838"/>
    <w:rsid w:val="007519F2"/>
    <w:rsid w:val="00751C32"/>
    <w:rsid w:val="0075322B"/>
    <w:rsid w:val="00753DE6"/>
    <w:rsid w:val="00754584"/>
    <w:rsid w:val="007546D3"/>
    <w:rsid w:val="00754FC2"/>
    <w:rsid w:val="007556BD"/>
    <w:rsid w:val="00757098"/>
    <w:rsid w:val="00757BB5"/>
    <w:rsid w:val="00757DB7"/>
    <w:rsid w:val="0076027C"/>
    <w:rsid w:val="007613DA"/>
    <w:rsid w:val="00761409"/>
    <w:rsid w:val="00761E01"/>
    <w:rsid w:val="00761FCD"/>
    <w:rsid w:val="0076228E"/>
    <w:rsid w:val="00763AEB"/>
    <w:rsid w:val="00764C79"/>
    <w:rsid w:val="00765C20"/>
    <w:rsid w:val="00766015"/>
    <w:rsid w:val="00767BE1"/>
    <w:rsid w:val="0077015A"/>
    <w:rsid w:val="00770317"/>
    <w:rsid w:val="0077133C"/>
    <w:rsid w:val="007713F2"/>
    <w:rsid w:val="00771ECF"/>
    <w:rsid w:val="00774A29"/>
    <w:rsid w:val="0077503E"/>
    <w:rsid w:val="00776D99"/>
    <w:rsid w:val="00776E65"/>
    <w:rsid w:val="00777BA0"/>
    <w:rsid w:val="00780132"/>
    <w:rsid w:val="00780707"/>
    <w:rsid w:val="00780CA7"/>
    <w:rsid w:val="00781440"/>
    <w:rsid w:val="00781515"/>
    <w:rsid w:val="007855E3"/>
    <w:rsid w:val="00787247"/>
    <w:rsid w:val="0079056A"/>
    <w:rsid w:val="0079137A"/>
    <w:rsid w:val="007914A8"/>
    <w:rsid w:val="007919D8"/>
    <w:rsid w:val="0079216A"/>
    <w:rsid w:val="007933D4"/>
    <w:rsid w:val="0079388D"/>
    <w:rsid w:val="00793D73"/>
    <w:rsid w:val="0079432E"/>
    <w:rsid w:val="0079576D"/>
    <w:rsid w:val="007960B6"/>
    <w:rsid w:val="007A02F1"/>
    <w:rsid w:val="007A1007"/>
    <w:rsid w:val="007A5D05"/>
    <w:rsid w:val="007A6182"/>
    <w:rsid w:val="007A65C5"/>
    <w:rsid w:val="007B0F00"/>
    <w:rsid w:val="007B12CF"/>
    <w:rsid w:val="007B354B"/>
    <w:rsid w:val="007B3D3D"/>
    <w:rsid w:val="007B70BA"/>
    <w:rsid w:val="007B7424"/>
    <w:rsid w:val="007B76EF"/>
    <w:rsid w:val="007B7E46"/>
    <w:rsid w:val="007C076C"/>
    <w:rsid w:val="007C0A27"/>
    <w:rsid w:val="007C0D97"/>
    <w:rsid w:val="007C3F17"/>
    <w:rsid w:val="007C45C4"/>
    <w:rsid w:val="007C4F7C"/>
    <w:rsid w:val="007C55E6"/>
    <w:rsid w:val="007C566F"/>
    <w:rsid w:val="007C677D"/>
    <w:rsid w:val="007C6C2E"/>
    <w:rsid w:val="007C6D63"/>
    <w:rsid w:val="007C7471"/>
    <w:rsid w:val="007C74E0"/>
    <w:rsid w:val="007C74E5"/>
    <w:rsid w:val="007C7AF0"/>
    <w:rsid w:val="007D05D6"/>
    <w:rsid w:val="007D098F"/>
    <w:rsid w:val="007D0E9E"/>
    <w:rsid w:val="007D28C9"/>
    <w:rsid w:val="007D35D6"/>
    <w:rsid w:val="007D3B49"/>
    <w:rsid w:val="007D496A"/>
    <w:rsid w:val="007D49FB"/>
    <w:rsid w:val="007D5E6F"/>
    <w:rsid w:val="007D6BB8"/>
    <w:rsid w:val="007D723A"/>
    <w:rsid w:val="007E0084"/>
    <w:rsid w:val="007E1800"/>
    <w:rsid w:val="007E2843"/>
    <w:rsid w:val="007E2F00"/>
    <w:rsid w:val="007E37C0"/>
    <w:rsid w:val="007E3F2F"/>
    <w:rsid w:val="007E4C3F"/>
    <w:rsid w:val="007E50CD"/>
    <w:rsid w:val="007E61E1"/>
    <w:rsid w:val="007E68D3"/>
    <w:rsid w:val="007E7276"/>
    <w:rsid w:val="007E72F5"/>
    <w:rsid w:val="007E7C0E"/>
    <w:rsid w:val="007F0AF0"/>
    <w:rsid w:val="007F0B38"/>
    <w:rsid w:val="007F0DDA"/>
    <w:rsid w:val="007F16BC"/>
    <w:rsid w:val="007F1A37"/>
    <w:rsid w:val="007F1AEC"/>
    <w:rsid w:val="007F1CF9"/>
    <w:rsid w:val="007F1D51"/>
    <w:rsid w:val="007F2608"/>
    <w:rsid w:val="007F2D80"/>
    <w:rsid w:val="007F49D7"/>
    <w:rsid w:val="007F687A"/>
    <w:rsid w:val="007F69AC"/>
    <w:rsid w:val="0080069F"/>
    <w:rsid w:val="008006C6"/>
    <w:rsid w:val="008006CD"/>
    <w:rsid w:val="008009C2"/>
    <w:rsid w:val="008014FB"/>
    <w:rsid w:val="00801CFA"/>
    <w:rsid w:val="00801EAC"/>
    <w:rsid w:val="00802483"/>
    <w:rsid w:val="00803214"/>
    <w:rsid w:val="00803B19"/>
    <w:rsid w:val="00804034"/>
    <w:rsid w:val="008043D4"/>
    <w:rsid w:val="00806F13"/>
    <w:rsid w:val="00806F35"/>
    <w:rsid w:val="008101FC"/>
    <w:rsid w:val="00810918"/>
    <w:rsid w:val="00812ADA"/>
    <w:rsid w:val="00813BE9"/>
    <w:rsid w:val="00816DDB"/>
    <w:rsid w:val="008174B9"/>
    <w:rsid w:val="00820F49"/>
    <w:rsid w:val="00823AE4"/>
    <w:rsid w:val="0082491B"/>
    <w:rsid w:val="00825875"/>
    <w:rsid w:val="008259BD"/>
    <w:rsid w:val="00826948"/>
    <w:rsid w:val="00826C80"/>
    <w:rsid w:val="00826DAE"/>
    <w:rsid w:val="008270DC"/>
    <w:rsid w:val="008315D0"/>
    <w:rsid w:val="0083265F"/>
    <w:rsid w:val="00832E8A"/>
    <w:rsid w:val="00833C6F"/>
    <w:rsid w:val="00833CEF"/>
    <w:rsid w:val="00833F4F"/>
    <w:rsid w:val="00834047"/>
    <w:rsid w:val="00834140"/>
    <w:rsid w:val="00834757"/>
    <w:rsid w:val="008361DD"/>
    <w:rsid w:val="00837FFD"/>
    <w:rsid w:val="00841825"/>
    <w:rsid w:val="00842423"/>
    <w:rsid w:val="00842D59"/>
    <w:rsid w:val="008449F7"/>
    <w:rsid w:val="0084509F"/>
    <w:rsid w:val="00845A48"/>
    <w:rsid w:val="00846B00"/>
    <w:rsid w:val="00846B89"/>
    <w:rsid w:val="008475A1"/>
    <w:rsid w:val="00847EC1"/>
    <w:rsid w:val="00850679"/>
    <w:rsid w:val="00851A6B"/>
    <w:rsid w:val="008533E9"/>
    <w:rsid w:val="008537CE"/>
    <w:rsid w:val="00854A90"/>
    <w:rsid w:val="008564EC"/>
    <w:rsid w:val="00856818"/>
    <w:rsid w:val="008568D4"/>
    <w:rsid w:val="00856A92"/>
    <w:rsid w:val="008573AB"/>
    <w:rsid w:val="008574CF"/>
    <w:rsid w:val="008576CF"/>
    <w:rsid w:val="0086102E"/>
    <w:rsid w:val="00862079"/>
    <w:rsid w:val="00865554"/>
    <w:rsid w:val="00866723"/>
    <w:rsid w:val="008669FD"/>
    <w:rsid w:val="00867248"/>
    <w:rsid w:val="00867716"/>
    <w:rsid w:val="0086782D"/>
    <w:rsid w:val="008679DE"/>
    <w:rsid w:val="00867ACD"/>
    <w:rsid w:val="00870AA7"/>
    <w:rsid w:val="0087189E"/>
    <w:rsid w:val="00872A62"/>
    <w:rsid w:val="00872FCC"/>
    <w:rsid w:val="00875560"/>
    <w:rsid w:val="00877179"/>
    <w:rsid w:val="00877766"/>
    <w:rsid w:val="00877AB7"/>
    <w:rsid w:val="008815B5"/>
    <w:rsid w:val="00883A77"/>
    <w:rsid w:val="00884FEC"/>
    <w:rsid w:val="00885E60"/>
    <w:rsid w:val="0088707E"/>
    <w:rsid w:val="0088769D"/>
    <w:rsid w:val="008908EA"/>
    <w:rsid w:val="00892AAD"/>
    <w:rsid w:val="00892E88"/>
    <w:rsid w:val="00893E16"/>
    <w:rsid w:val="008972F5"/>
    <w:rsid w:val="0089746B"/>
    <w:rsid w:val="008974C7"/>
    <w:rsid w:val="008A0625"/>
    <w:rsid w:val="008A1988"/>
    <w:rsid w:val="008A1BF9"/>
    <w:rsid w:val="008A2671"/>
    <w:rsid w:val="008A377C"/>
    <w:rsid w:val="008A40ED"/>
    <w:rsid w:val="008A5053"/>
    <w:rsid w:val="008A556C"/>
    <w:rsid w:val="008A5656"/>
    <w:rsid w:val="008B1352"/>
    <w:rsid w:val="008B28F6"/>
    <w:rsid w:val="008B3AE2"/>
    <w:rsid w:val="008B4D35"/>
    <w:rsid w:val="008B5634"/>
    <w:rsid w:val="008B65C8"/>
    <w:rsid w:val="008B7F1C"/>
    <w:rsid w:val="008C0380"/>
    <w:rsid w:val="008C0807"/>
    <w:rsid w:val="008C1169"/>
    <w:rsid w:val="008C13A0"/>
    <w:rsid w:val="008C1A1E"/>
    <w:rsid w:val="008C3B5A"/>
    <w:rsid w:val="008C3D20"/>
    <w:rsid w:val="008C3F98"/>
    <w:rsid w:val="008C48E5"/>
    <w:rsid w:val="008C4E5B"/>
    <w:rsid w:val="008C7061"/>
    <w:rsid w:val="008C7DA8"/>
    <w:rsid w:val="008D012D"/>
    <w:rsid w:val="008D04DC"/>
    <w:rsid w:val="008D37BA"/>
    <w:rsid w:val="008D4033"/>
    <w:rsid w:val="008D6045"/>
    <w:rsid w:val="008D716F"/>
    <w:rsid w:val="008E1530"/>
    <w:rsid w:val="008E223F"/>
    <w:rsid w:val="008E49F1"/>
    <w:rsid w:val="008E5629"/>
    <w:rsid w:val="008E65F6"/>
    <w:rsid w:val="008E681A"/>
    <w:rsid w:val="008F21F8"/>
    <w:rsid w:val="008F296F"/>
    <w:rsid w:val="008F5888"/>
    <w:rsid w:val="008F61C0"/>
    <w:rsid w:val="008F638F"/>
    <w:rsid w:val="008F6F1F"/>
    <w:rsid w:val="008F7AB2"/>
    <w:rsid w:val="00900956"/>
    <w:rsid w:val="00900A46"/>
    <w:rsid w:val="00902685"/>
    <w:rsid w:val="009027A8"/>
    <w:rsid w:val="009028F5"/>
    <w:rsid w:val="00902D8F"/>
    <w:rsid w:val="00905608"/>
    <w:rsid w:val="00906CF6"/>
    <w:rsid w:val="0090724C"/>
    <w:rsid w:val="0090760C"/>
    <w:rsid w:val="00910D81"/>
    <w:rsid w:val="009118B3"/>
    <w:rsid w:val="009139E5"/>
    <w:rsid w:val="00914213"/>
    <w:rsid w:val="00914520"/>
    <w:rsid w:val="00914A4D"/>
    <w:rsid w:val="00916350"/>
    <w:rsid w:val="00916954"/>
    <w:rsid w:val="00917444"/>
    <w:rsid w:val="009207AE"/>
    <w:rsid w:val="0092151A"/>
    <w:rsid w:val="00921CAD"/>
    <w:rsid w:val="00921CB3"/>
    <w:rsid w:val="00922234"/>
    <w:rsid w:val="009231C6"/>
    <w:rsid w:val="0092373D"/>
    <w:rsid w:val="00923B8F"/>
    <w:rsid w:val="00924145"/>
    <w:rsid w:val="009242C9"/>
    <w:rsid w:val="009243CE"/>
    <w:rsid w:val="00924FAF"/>
    <w:rsid w:val="00925298"/>
    <w:rsid w:val="009301D0"/>
    <w:rsid w:val="00930F31"/>
    <w:rsid w:val="0093152E"/>
    <w:rsid w:val="00933122"/>
    <w:rsid w:val="009342C8"/>
    <w:rsid w:val="00934775"/>
    <w:rsid w:val="00935649"/>
    <w:rsid w:val="0093598B"/>
    <w:rsid w:val="00937181"/>
    <w:rsid w:val="00940788"/>
    <w:rsid w:val="00940802"/>
    <w:rsid w:val="009423B1"/>
    <w:rsid w:val="009428C4"/>
    <w:rsid w:val="009436ED"/>
    <w:rsid w:val="0094471D"/>
    <w:rsid w:val="00944FD9"/>
    <w:rsid w:val="009461D9"/>
    <w:rsid w:val="00946D7A"/>
    <w:rsid w:val="009472B1"/>
    <w:rsid w:val="009502A4"/>
    <w:rsid w:val="0095046F"/>
    <w:rsid w:val="00951826"/>
    <w:rsid w:val="00953675"/>
    <w:rsid w:val="00954283"/>
    <w:rsid w:val="00956AD1"/>
    <w:rsid w:val="00957B91"/>
    <w:rsid w:val="009604FE"/>
    <w:rsid w:val="009605D6"/>
    <w:rsid w:val="00961873"/>
    <w:rsid w:val="0096324D"/>
    <w:rsid w:val="00963C28"/>
    <w:rsid w:val="00963CD7"/>
    <w:rsid w:val="00963F90"/>
    <w:rsid w:val="00964DA8"/>
    <w:rsid w:val="00965C43"/>
    <w:rsid w:val="009671FD"/>
    <w:rsid w:val="00967474"/>
    <w:rsid w:val="00970B8C"/>
    <w:rsid w:val="0097146D"/>
    <w:rsid w:val="00971DF2"/>
    <w:rsid w:val="0097231B"/>
    <w:rsid w:val="009730D1"/>
    <w:rsid w:val="0097396E"/>
    <w:rsid w:val="00980267"/>
    <w:rsid w:val="0098166C"/>
    <w:rsid w:val="00983837"/>
    <w:rsid w:val="009840B8"/>
    <w:rsid w:val="00985A59"/>
    <w:rsid w:val="00985D3E"/>
    <w:rsid w:val="00987C72"/>
    <w:rsid w:val="0099142F"/>
    <w:rsid w:val="009917D3"/>
    <w:rsid w:val="00991896"/>
    <w:rsid w:val="00992343"/>
    <w:rsid w:val="00994E7A"/>
    <w:rsid w:val="00995526"/>
    <w:rsid w:val="00997A6A"/>
    <w:rsid w:val="009A16E0"/>
    <w:rsid w:val="009A2357"/>
    <w:rsid w:val="009A2ED1"/>
    <w:rsid w:val="009A3195"/>
    <w:rsid w:val="009A4E45"/>
    <w:rsid w:val="009A4FF8"/>
    <w:rsid w:val="009B004D"/>
    <w:rsid w:val="009B0235"/>
    <w:rsid w:val="009B0570"/>
    <w:rsid w:val="009B3D32"/>
    <w:rsid w:val="009B4520"/>
    <w:rsid w:val="009B5EAE"/>
    <w:rsid w:val="009B6B80"/>
    <w:rsid w:val="009B7B43"/>
    <w:rsid w:val="009C07B9"/>
    <w:rsid w:val="009C0867"/>
    <w:rsid w:val="009C10E9"/>
    <w:rsid w:val="009C1ADD"/>
    <w:rsid w:val="009C2796"/>
    <w:rsid w:val="009C2828"/>
    <w:rsid w:val="009C2BFA"/>
    <w:rsid w:val="009C2E6D"/>
    <w:rsid w:val="009C32FE"/>
    <w:rsid w:val="009C3E29"/>
    <w:rsid w:val="009C470A"/>
    <w:rsid w:val="009C4B48"/>
    <w:rsid w:val="009C4B78"/>
    <w:rsid w:val="009C6BF3"/>
    <w:rsid w:val="009C7803"/>
    <w:rsid w:val="009C7F8B"/>
    <w:rsid w:val="009D09B5"/>
    <w:rsid w:val="009D0BC7"/>
    <w:rsid w:val="009D17CE"/>
    <w:rsid w:val="009D27DC"/>
    <w:rsid w:val="009D29DE"/>
    <w:rsid w:val="009D327D"/>
    <w:rsid w:val="009D56CC"/>
    <w:rsid w:val="009D5792"/>
    <w:rsid w:val="009D6E84"/>
    <w:rsid w:val="009E048F"/>
    <w:rsid w:val="009E175E"/>
    <w:rsid w:val="009E2147"/>
    <w:rsid w:val="009E2A66"/>
    <w:rsid w:val="009E3498"/>
    <w:rsid w:val="009E38DF"/>
    <w:rsid w:val="009E4B20"/>
    <w:rsid w:val="009E5B20"/>
    <w:rsid w:val="009E6224"/>
    <w:rsid w:val="009E62CB"/>
    <w:rsid w:val="009E7699"/>
    <w:rsid w:val="009E7E4F"/>
    <w:rsid w:val="009F021E"/>
    <w:rsid w:val="009F0D21"/>
    <w:rsid w:val="009F1765"/>
    <w:rsid w:val="009F1C09"/>
    <w:rsid w:val="009F291E"/>
    <w:rsid w:val="009F2BD4"/>
    <w:rsid w:val="009F3729"/>
    <w:rsid w:val="009F7BEE"/>
    <w:rsid w:val="009F7DC8"/>
    <w:rsid w:val="00A00088"/>
    <w:rsid w:val="00A002BB"/>
    <w:rsid w:val="00A00EE6"/>
    <w:rsid w:val="00A01925"/>
    <w:rsid w:val="00A01E49"/>
    <w:rsid w:val="00A02F1C"/>
    <w:rsid w:val="00A03286"/>
    <w:rsid w:val="00A03F3B"/>
    <w:rsid w:val="00A04268"/>
    <w:rsid w:val="00A05F06"/>
    <w:rsid w:val="00A142B3"/>
    <w:rsid w:val="00A1430A"/>
    <w:rsid w:val="00A15448"/>
    <w:rsid w:val="00A15A99"/>
    <w:rsid w:val="00A164EF"/>
    <w:rsid w:val="00A166FB"/>
    <w:rsid w:val="00A16D69"/>
    <w:rsid w:val="00A217E3"/>
    <w:rsid w:val="00A23575"/>
    <w:rsid w:val="00A24773"/>
    <w:rsid w:val="00A24CA6"/>
    <w:rsid w:val="00A2544D"/>
    <w:rsid w:val="00A25A66"/>
    <w:rsid w:val="00A267B5"/>
    <w:rsid w:val="00A26BE1"/>
    <w:rsid w:val="00A26BF9"/>
    <w:rsid w:val="00A2771F"/>
    <w:rsid w:val="00A315B4"/>
    <w:rsid w:val="00A317EE"/>
    <w:rsid w:val="00A35334"/>
    <w:rsid w:val="00A3583A"/>
    <w:rsid w:val="00A35A4F"/>
    <w:rsid w:val="00A37911"/>
    <w:rsid w:val="00A43985"/>
    <w:rsid w:val="00A43AC5"/>
    <w:rsid w:val="00A43EAA"/>
    <w:rsid w:val="00A44B12"/>
    <w:rsid w:val="00A45E9B"/>
    <w:rsid w:val="00A464FB"/>
    <w:rsid w:val="00A469EC"/>
    <w:rsid w:val="00A478E4"/>
    <w:rsid w:val="00A512EB"/>
    <w:rsid w:val="00A51502"/>
    <w:rsid w:val="00A5168E"/>
    <w:rsid w:val="00A51AEF"/>
    <w:rsid w:val="00A52577"/>
    <w:rsid w:val="00A52E89"/>
    <w:rsid w:val="00A534AD"/>
    <w:rsid w:val="00A54587"/>
    <w:rsid w:val="00A549E7"/>
    <w:rsid w:val="00A554F5"/>
    <w:rsid w:val="00A555FF"/>
    <w:rsid w:val="00A560F0"/>
    <w:rsid w:val="00A56183"/>
    <w:rsid w:val="00A5763F"/>
    <w:rsid w:val="00A579DA"/>
    <w:rsid w:val="00A60082"/>
    <w:rsid w:val="00A60E09"/>
    <w:rsid w:val="00A62DBF"/>
    <w:rsid w:val="00A648BD"/>
    <w:rsid w:val="00A65E8D"/>
    <w:rsid w:val="00A664EA"/>
    <w:rsid w:val="00A6714F"/>
    <w:rsid w:val="00A67B6B"/>
    <w:rsid w:val="00A7234E"/>
    <w:rsid w:val="00A729BD"/>
    <w:rsid w:val="00A731E1"/>
    <w:rsid w:val="00A74395"/>
    <w:rsid w:val="00A7706A"/>
    <w:rsid w:val="00A8012C"/>
    <w:rsid w:val="00A816BE"/>
    <w:rsid w:val="00A81FB0"/>
    <w:rsid w:val="00A821D2"/>
    <w:rsid w:val="00A828F6"/>
    <w:rsid w:val="00A83014"/>
    <w:rsid w:val="00A830A2"/>
    <w:rsid w:val="00A83B93"/>
    <w:rsid w:val="00A86805"/>
    <w:rsid w:val="00A87749"/>
    <w:rsid w:val="00A9053E"/>
    <w:rsid w:val="00A91BB8"/>
    <w:rsid w:val="00A92596"/>
    <w:rsid w:val="00A92A51"/>
    <w:rsid w:val="00A9405B"/>
    <w:rsid w:val="00A946D2"/>
    <w:rsid w:val="00A95C98"/>
    <w:rsid w:val="00A96CEA"/>
    <w:rsid w:val="00A96DA6"/>
    <w:rsid w:val="00A974C9"/>
    <w:rsid w:val="00A976E4"/>
    <w:rsid w:val="00AA22DB"/>
    <w:rsid w:val="00AA42A6"/>
    <w:rsid w:val="00AA465D"/>
    <w:rsid w:val="00AA47FD"/>
    <w:rsid w:val="00AA4D3B"/>
    <w:rsid w:val="00AA51C4"/>
    <w:rsid w:val="00AA658C"/>
    <w:rsid w:val="00AA6EEE"/>
    <w:rsid w:val="00AA7D52"/>
    <w:rsid w:val="00AB06A1"/>
    <w:rsid w:val="00AB1FE4"/>
    <w:rsid w:val="00AB47B6"/>
    <w:rsid w:val="00AB5B8A"/>
    <w:rsid w:val="00AB6013"/>
    <w:rsid w:val="00AB6254"/>
    <w:rsid w:val="00AB7172"/>
    <w:rsid w:val="00AB747F"/>
    <w:rsid w:val="00AC0495"/>
    <w:rsid w:val="00AC0905"/>
    <w:rsid w:val="00AC2EC5"/>
    <w:rsid w:val="00AC3FD1"/>
    <w:rsid w:val="00AC4E84"/>
    <w:rsid w:val="00AC5357"/>
    <w:rsid w:val="00AD0C03"/>
    <w:rsid w:val="00AD171E"/>
    <w:rsid w:val="00AD2AAA"/>
    <w:rsid w:val="00AD3004"/>
    <w:rsid w:val="00AD3267"/>
    <w:rsid w:val="00AD3B30"/>
    <w:rsid w:val="00AD5F8B"/>
    <w:rsid w:val="00AD6251"/>
    <w:rsid w:val="00AE0DA7"/>
    <w:rsid w:val="00AE0E14"/>
    <w:rsid w:val="00AE17F2"/>
    <w:rsid w:val="00AE239E"/>
    <w:rsid w:val="00AE274B"/>
    <w:rsid w:val="00AE2779"/>
    <w:rsid w:val="00AE2E91"/>
    <w:rsid w:val="00AE2F6C"/>
    <w:rsid w:val="00AE490B"/>
    <w:rsid w:val="00AE4DE7"/>
    <w:rsid w:val="00AE53A1"/>
    <w:rsid w:val="00AE624D"/>
    <w:rsid w:val="00AE7052"/>
    <w:rsid w:val="00AE7087"/>
    <w:rsid w:val="00AE71E1"/>
    <w:rsid w:val="00AF0244"/>
    <w:rsid w:val="00AF0972"/>
    <w:rsid w:val="00AF0ACC"/>
    <w:rsid w:val="00AF1380"/>
    <w:rsid w:val="00AF188D"/>
    <w:rsid w:val="00AF1D96"/>
    <w:rsid w:val="00AF1EAF"/>
    <w:rsid w:val="00AF26B2"/>
    <w:rsid w:val="00AF2B72"/>
    <w:rsid w:val="00AF328E"/>
    <w:rsid w:val="00AF49A5"/>
    <w:rsid w:val="00AF4C50"/>
    <w:rsid w:val="00AF712A"/>
    <w:rsid w:val="00B00F3A"/>
    <w:rsid w:val="00B0345F"/>
    <w:rsid w:val="00B03535"/>
    <w:rsid w:val="00B040B6"/>
    <w:rsid w:val="00B05A0D"/>
    <w:rsid w:val="00B075C4"/>
    <w:rsid w:val="00B07927"/>
    <w:rsid w:val="00B10328"/>
    <w:rsid w:val="00B1124D"/>
    <w:rsid w:val="00B113FB"/>
    <w:rsid w:val="00B12237"/>
    <w:rsid w:val="00B133C9"/>
    <w:rsid w:val="00B13531"/>
    <w:rsid w:val="00B13BCD"/>
    <w:rsid w:val="00B15FD6"/>
    <w:rsid w:val="00B168EB"/>
    <w:rsid w:val="00B16C79"/>
    <w:rsid w:val="00B16D4F"/>
    <w:rsid w:val="00B173EE"/>
    <w:rsid w:val="00B17704"/>
    <w:rsid w:val="00B179B9"/>
    <w:rsid w:val="00B21517"/>
    <w:rsid w:val="00B229D4"/>
    <w:rsid w:val="00B22BB7"/>
    <w:rsid w:val="00B242AD"/>
    <w:rsid w:val="00B2501A"/>
    <w:rsid w:val="00B26199"/>
    <w:rsid w:val="00B26685"/>
    <w:rsid w:val="00B2686F"/>
    <w:rsid w:val="00B26A8B"/>
    <w:rsid w:val="00B27196"/>
    <w:rsid w:val="00B32184"/>
    <w:rsid w:val="00B3231D"/>
    <w:rsid w:val="00B32D2A"/>
    <w:rsid w:val="00B35043"/>
    <w:rsid w:val="00B35B24"/>
    <w:rsid w:val="00B35D41"/>
    <w:rsid w:val="00B36FB8"/>
    <w:rsid w:val="00B37A95"/>
    <w:rsid w:val="00B41110"/>
    <w:rsid w:val="00B41842"/>
    <w:rsid w:val="00B427A2"/>
    <w:rsid w:val="00B432ED"/>
    <w:rsid w:val="00B4516C"/>
    <w:rsid w:val="00B47066"/>
    <w:rsid w:val="00B50BFD"/>
    <w:rsid w:val="00B5120E"/>
    <w:rsid w:val="00B51B59"/>
    <w:rsid w:val="00B530C2"/>
    <w:rsid w:val="00B537FB"/>
    <w:rsid w:val="00B60783"/>
    <w:rsid w:val="00B60E06"/>
    <w:rsid w:val="00B61032"/>
    <w:rsid w:val="00B62267"/>
    <w:rsid w:val="00B63175"/>
    <w:rsid w:val="00B631ED"/>
    <w:rsid w:val="00B63CBF"/>
    <w:rsid w:val="00B650FA"/>
    <w:rsid w:val="00B66E6E"/>
    <w:rsid w:val="00B7008D"/>
    <w:rsid w:val="00B71278"/>
    <w:rsid w:val="00B71DB2"/>
    <w:rsid w:val="00B71F60"/>
    <w:rsid w:val="00B72C30"/>
    <w:rsid w:val="00B7366D"/>
    <w:rsid w:val="00B73F74"/>
    <w:rsid w:val="00B74105"/>
    <w:rsid w:val="00B75EF6"/>
    <w:rsid w:val="00B80272"/>
    <w:rsid w:val="00B80DBB"/>
    <w:rsid w:val="00B816FC"/>
    <w:rsid w:val="00B82342"/>
    <w:rsid w:val="00B823B9"/>
    <w:rsid w:val="00B84808"/>
    <w:rsid w:val="00B84FDC"/>
    <w:rsid w:val="00B85FD5"/>
    <w:rsid w:val="00B90F98"/>
    <w:rsid w:val="00B91BCA"/>
    <w:rsid w:val="00B92D93"/>
    <w:rsid w:val="00B9377A"/>
    <w:rsid w:val="00B944C3"/>
    <w:rsid w:val="00B95BD7"/>
    <w:rsid w:val="00B96AD5"/>
    <w:rsid w:val="00B96E48"/>
    <w:rsid w:val="00B972ED"/>
    <w:rsid w:val="00BA0074"/>
    <w:rsid w:val="00BA1074"/>
    <w:rsid w:val="00BA23F3"/>
    <w:rsid w:val="00BA2FAE"/>
    <w:rsid w:val="00BA308A"/>
    <w:rsid w:val="00BA440E"/>
    <w:rsid w:val="00BA4490"/>
    <w:rsid w:val="00BA46A2"/>
    <w:rsid w:val="00BA54E3"/>
    <w:rsid w:val="00BA6498"/>
    <w:rsid w:val="00BB00A7"/>
    <w:rsid w:val="00BB0E68"/>
    <w:rsid w:val="00BB142B"/>
    <w:rsid w:val="00BB18B2"/>
    <w:rsid w:val="00BB26F1"/>
    <w:rsid w:val="00BB4877"/>
    <w:rsid w:val="00BB690A"/>
    <w:rsid w:val="00BB7CE5"/>
    <w:rsid w:val="00BC244A"/>
    <w:rsid w:val="00BC46D9"/>
    <w:rsid w:val="00BC4787"/>
    <w:rsid w:val="00BC5F47"/>
    <w:rsid w:val="00BC6A61"/>
    <w:rsid w:val="00BC6F16"/>
    <w:rsid w:val="00BC7296"/>
    <w:rsid w:val="00BD04C0"/>
    <w:rsid w:val="00BD0FEA"/>
    <w:rsid w:val="00BD3264"/>
    <w:rsid w:val="00BD36D8"/>
    <w:rsid w:val="00BD531C"/>
    <w:rsid w:val="00BD545F"/>
    <w:rsid w:val="00BD6894"/>
    <w:rsid w:val="00BD7E12"/>
    <w:rsid w:val="00BE060B"/>
    <w:rsid w:val="00BE16D4"/>
    <w:rsid w:val="00BE40FE"/>
    <w:rsid w:val="00BE47A1"/>
    <w:rsid w:val="00BE4CBE"/>
    <w:rsid w:val="00BE4D8E"/>
    <w:rsid w:val="00BE53A5"/>
    <w:rsid w:val="00BE572F"/>
    <w:rsid w:val="00BE5732"/>
    <w:rsid w:val="00BE782A"/>
    <w:rsid w:val="00BF1487"/>
    <w:rsid w:val="00BF1C8D"/>
    <w:rsid w:val="00BF2678"/>
    <w:rsid w:val="00BF2C28"/>
    <w:rsid w:val="00BF342B"/>
    <w:rsid w:val="00BF3B39"/>
    <w:rsid w:val="00BF3ECD"/>
    <w:rsid w:val="00BF40A5"/>
    <w:rsid w:val="00BF4B42"/>
    <w:rsid w:val="00BF6681"/>
    <w:rsid w:val="00BF7FFC"/>
    <w:rsid w:val="00C0041D"/>
    <w:rsid w:val="00C01552"/>
    <w:rsid w:val="00C01D31"/>
    <w:rsid w:val="00C029B7"/>
    <w:rsid w:val="00C032E5"/>
    <w:rsid w:val="00C04519"/>
    <w:rsid w:val="00C04B5C"/>
    <w:rsid w:val="00C0753A"/>
    <w:rsid w:val="00C1017C"/>
    <w:rsid w:val="00C11DD6"/>
    <w:rsid w:val="00C1338A"/>
    <w:rsid w:val="00C13F44"/>
    <w:rsid w:val="00C14C83"/>
    <w:rsid w:val="00C15138"/>
    <w:rsid w:val="00C158D3"/>
    <w:rsid w:val="00C15A49"/>
    <w:rsid w:val="00C15C3E"/>
    <w:rsid w:val="00C15E65"/>
    <w:rsid w:val="00C16709"/>
    <w:rsid w:val="00C16718"/>
    <w:rsid w:val="00C168E6"/>
    <w:rsid w:val="00C1788D"/>
    <w:rsid w:val="00C17A64"/>
    <w:rsid w:val="00C17BCA"/>
    <w:rsid w:val="00C17E25"/>
    <w:rsid w:val="00C20208"/>
    <w:rsid w:val="00C208DA"/>
    <w:rsid w:val="00C21532"/>
    <w:rsid w:val="00C21DA6"/>
    <w:rsid w:val="00C22751"/>
    <w:rsid w:val="00C238D1"/>
    <w:rsid w:val="00C2431B"/>
    <w:rsid w:val="00C24E45"/>
    <w:rsid w:val="00C25873"/>
    <w:rsid w:val="00C25BE5"/>
    <w:rsid w:val="00C26985"/>
    <w:rsid w:val="00C31132"/>
    <w:rsid w:val="00C318F0"/>
    <w:rsid w:val="00C31FCA"/>
    <w:rsid w:val="00C32620"/>
    <w:rsid w:val="00C32AF0"/>
    <w:rsid w:val="00C336C8"/>
    <w:rsid w:val="00C34170"/>
    <w:rsid w:val="00C347D2"/>
    <w:rsid w:val="00C34C38"/>
    <w:rsid w:val="00C35252"/>
    <w:rsid w:val="00C35B49"/>
    <w:rsid w:val="00C36045"/>
    <w:rsid w:val="00C3612F"/>
    <w:rsid w:val="00C36AD8"/>
    <w:rsid w:val="00C4119D"/>
    <w:rsid w:val="00C42D40"/>
    <w:rsid w:val="00C4458A"/>
    <w:rsid w:val="00C4521C"/>
    <w:rsid w:val="00C457EE"/>
    <w:rsid w:val="00C46145"/>
    <w:rsid w:val="00C50086"/>
    <w:rsid w:val="00C50096"/>
    <w:rsid w:val="00C51094"/>
    <w:rsid w:val="00C52187"/>
    <w:rsid w:val="00C5258C"/>
    <w:rsid w:val="00C526B5"/>
    <w:rsid w:val="00C52A69"/>
    <w:rsid w:val="00C52E86"/>
    <w:rsid w:val="00C551DF"/>
    <w:rsid w:val="00C57464"/>
    <w:rsid w:val="00C60AA4"/>
    <w:rsid w:val="00C623C7"/>
    <w:rsid w:val="00C636A6"/>
    <w:rsid w:val="00C639E7"/>
    <w:rsid w:val="00C64655"/>
    <w:rsid w:val="00C6494C"/>
    <w:rsid w:val="00C65963"/>
    <w:rsid w:val="00C66C5E"/>
    <w:rsid w:val="00C67169"/>
    <w:rsid w:val="00C67B6F"/>
    <w:rsid w:val="00C72983"/>
    <w:rsid w:val="00C73778"/>
    <w:rsid w:val="00C73AD1"/>
    <w:rsid w:val="00C7607A"/>
    <w:rsid w:val="00C766C8"/>
    <w:rsid w:val="00C776C3"/>
    <w:rsid w:val="00C77A2B"/>
    <w:rsid w:val="00C77AC5"/>
    <w:rsid w:val="00C77D75"/>
    <w:rsid w:val="00C80655"/>
    <w:rsid w:val="00C810BA"/>
    <w:rsid w:val="00C81AED"/>
    <w:rsid w:val="00C82483"/>
    <w:rsid w:val="00C841D3"/>
    <w:rsid w:val="00C85155"/>
    <w:rsid w:val="00C852CB"/>
    <w:rsid w:val="00C85A6B"/>
    <w:rsid w:val="00C85E15"/>
    <w:rsid w:val="00C9014B"/>
    <w:rsid w:val="00C922BA"/>
    <w:rsid w:val="00C92582"/>
    <w:rsid w:val="00C93356"/>
    <w:rsid w:val="00C93A2F"/>
    <w:rsid w:val="00C93AB0"/>
    <w:rsid w:val="00C970A4"/>
    <w:rsid w:val="00C9713B"/>
    <w:rsid w:val="00C97479"/>
    <w:rsid w:val="00C97549"/>
    <w:rsid w:val="00C976FE"/>
    <w:rsid w:val="00C97BEF"/>
    <w:rsid w:val="00CA1A58"/>
    <w:rsid w:val="00CA1FF8"/>
    <w:rsid w:val="00CA2CB8"/>
    <w:rsid w:val="00CA3B58"/>
    <w:rsid w:val="00CA453C"/>
    <w:rsid w:val="00CA4AEE"/>
    <w:rsid w:val="00CA4C0B"/>
    <w:rsid w:val="00CA4D0E"/>
    <w:rsid w:val="00CA5C50"/>
    <w:rsid w:val="00CA5D26"/>
    <w:rsid w:val="00CB023C"/>
    <w:rsid w:val="00CB091F"/>
    <w:rsid w:val="00CB2373"/>
    <w:rsid w:val="00CC1218"/>
    <w:rsid w:val="00CC1798"/>
    <w:rsid w:val="00CC1C1E"/>
    <w:rsid w:val="00CC4064"/>
    <w:rsid w:val="00CC728E"/>
    <w:rsid w:val="00CC75AE"/>
    <w:rsid w:val="00CC7C77"/>
    <w:rsid w:val="00CD10A7"/>
    <w:rsid w:val="00CD2BA2"/>
    <w:rsid w:val="00CD34D4"/>
    <w:rsid w:val="00CD36B9"/>
    <w:rsid w:val="00CD47BD"/>
    <w:rsid w:val="00CD5120"/>
    <w:rsid w:val="00CD5149"/>
    <w:rsid w:val="00CD6351"/>
    <w:rsid w:val="00CD6AEB"/>
    <w:rsid w:val="00CE05A9"/>
    <w:rsid w:val="00CE05D4"/>
    <w:rsid w:val="00CE0EBC"/>
    <w:rsid w:val="00CE1A56"/>
    <w:rsid w:val="00CE1B54"/>
    <w:rsid w:val="00CE3C7D"/>
    <w:rsid w:val="00CE3CAA"/>
    <w:rsid w:val="00CE6253"/>
    <w:rsid w:val="00CE70FD"/>
    <w:rsid w:val="00CE7CC6"/>
    <w:rsid w:val="00CF1366"/>
    <w:rsid w:val="00CF146C"/>
    <w:rsid w:val="00CF5B8D"/>
    <w:rsid w:val="00CF5BA5"/>
    <w:rsid w:val="00CF5FBD"/>
    <w:rsid w:val="00CF7132"/>
    <w:rsid w:val="00D001C0"/>
    <w:rsid w:val="00D006AB"/>
    <w:rsid w:val="00D00E2B"/>
    <w:rsid w:val="00D02977"/>
    <w:rsid w:val="00D0358B"/>
    <w:rsid w:val="00D04F2C"/>
    <w:rsid w:val="00D06031"/>
    <w:rsid w:val="00D06098"/>
    <w:rsid w:val="00D073CA"/>
    <w:rsid w:val="00D073CC"/>
    <w:rsid w:val="00D07C75"/>
    <w:rsid w:val="00D104B5"/>
    <w:rsid w:val="00D12831"/>
    <w:rsid w:val="00D16851"/>
    <w:rsid w:val="00D172A0"/>
    <w:rsid w:val="00D20672"/>
    <w:rsid w:val="00D20D3F"/>
    <w:rsid w:val="00D220CE"/>
    <w:rsid w:val="00D225BE"/>
    <w:rsid w:val="00D22FC4"/>
    <w:rsid w:val="00D24288"/>
    <w:rsid w:val="00D24C40"/>
    <w:rsid w:val="00D257A7"/>
    <w:rsid w:val="00D258FE"/>
    <w:rsid w:val="00D25AA0"/>
    <w:rsid w:val="00D25F64"/>
    <w:rsid w:val="00D27003"/>
    <w:rsid w:val="00D2702D"/>
    <w:rsid w:val="00D30E08"/>
    <w:rsid w:val="00D30E90"/>
    <w:rsid w:val="00D33570"/>
    <w:rsid w:val="00D33B25"/>
    <w:rsid w:val="00D344DC"/>
    <w:rsid w:val="00D34664"/>
    <w:rsid w:val="00D350FC"/>
    <w:rsid w:val="00D3527A"/>
    <w:rsid w:val="00D36157"/>
    <w:rsid w:val="00D36D41"/>
    <w:rsid w:val="00D37ECF"/>
    <w:rsid w:val="00D41621"/>
    <w:rsid w:val="00D423FA"/>
    <w:rsid w:val="00D424E0"/>
    <w:rsid w:val="00D4263C"/>
    <w:rsid w:val="00D428C4"/>
    <w:rsid w:val="00D439E5"/>
    <w:rsid w:val="00D45047"/>
    <w:rsid w:val="00D46E26"/>
    <w:rsid w:val="00D47BB0"/>
    <w:rsid w:val="00D5177A"/>
    <w:rsid w:val="00D518CB"/>
    <w:rsid w:val="00D51CD6"/>
    <w:rsid w:val="00D52A26"/>
    <w:rsid w:val="00D54C1B"/>
    <w:rsid w:val="00D55AA1"/>
    <w:rsid w:val="00D6074B"/>
    <w:rsid w:val="00D61AD2"/>
    <w:rsid w:val="00D61D58"/>
    <w:rsid w:val="00D646C5"/>
    <w:rsid w:val="00D649C7"/>
    <w:rsid w:val="00D652C5"/>
    <w:rsid w:val="00D65E41"/>
    <w:rsid w:val="00D66006"/>
    <w:rsid w:val="00D66659"/>
    <w:rsid w:val="00D71902"/>
    <w:rsid w:val="00D71A3E"/>
    <w:rsid w:val="00D71DEB"/>
    <w:rsid w:val="00D720C4"/>
    <w:rsid w:val="00D72B06"/>
    <w:rsid w:val="00D7318E"/>
    <w:rsid w:val="00D732DB"/>
    <w:rsid w:val="00D73406"/>
    <w:rsid w:val="00D73CFC"/>
    <w:rsid w:val="00D761A1"/>
    <w:rsid w:val="00D76955"/>
    <w:rsid w:val="00D770B6"/>
    <w:rsid w:val="00D776E2"/>
    <w:rsid w:val="00D80B62"/>
    <w:rsid w:val="00D824B0"/>
    <w:rsid w:val="00D83311"/>
    <w:rsid w:val="00D835A0"/>
    <w:rsid w:val="00D8451E"/>
    <w:rsid w:val="00D870E1"/>
    <w:rsid w:val="00D87413"/>
    <w:rsid w:val="00D875D7"/>
    <w:rsid w:val="00D87BE0"/>
    <w:rsid w:val="00D90160"/>
    <w:rsid w:val="00D9106C"/>
    <w:rsid w:val="00D9294F"/>
    <w:rsid w:val="00D92B4D"/>
    <w:rsid w:val="00D94A16"/>
    <w:rsid w:val="00D94B20"/>
    <w:rsid w:val="00D94F40"/>
    <w:rsid w:val="00D96829"/>
    <w:rsid w:val="00D96960"/>
    <w:rsid w:val="00D96D5D"/>
    <w:rsid w:val="00DA0B5F"/>
    <w:rsid w:val="00DA0B8E"/>
    <w:rsid w:val="00DA13DC"/>
    <w:rsid w:val="00DA16D0"/>
    <w:rsid w:val="00DA17EA"/>
    <w:rsid w:val="00DA1889"/>
    <w:rsid w:val="00DA1905"/>
    <w:rsid w:val="00DA1920"/>
    <w:rsid w:val="00DA54CB"/>
    <w:rsid w:val="00DA58F6"/>
    <w:rsid w:val="00DA5922"/>
    <w:rsid w:val="00DA67C8"/>
    <w:rsid w:val="00DA6C94"/>
    <w:rsid w:val="00DA7D52"/>
    <w:rsid w:val="00DB0516"/>
    <w:rsid w:val="00DB2664"/>
    <w:rsid w:val="00DB29D5"/>
    <w:rsid w:val="00DB2F4E"/>
    <w:rsid w:val="00DB3CF7"/>
    <w:rsid w:val="00DB40C0"/>
    <w:rsid w:val="00DB44E2"/>
    <w:rsid w:val="00DB5579"/>
    <w:rsid w:val="00DB5A83"/>
    <w:rsid w:val="00DB60DD"/>
    <w:rsid w:val="00DB62C4"/>
    <w:rsid w:val="00DB772F"/>
    <w:rsid w:val="00DC037D"/>
    <w:rsid w:val="00DC1848"/>
    <w:rsid w:val="00DC2009"/>
    <w:rsid w:val="00DC200D"/>
    <w:rsid w:val="00DC3B47"/>
    <w:rsid w:val="00DC422D"/>
    <w:rsid w:val="00DC5644"/>
    <w:rsid w:val="00DC5C6B"/>
    <w:rsid w:val="00DC67B9"/>
    <w:rsid w:val="00DC6D10"/>
    <w:rsid w:val="00DC73C5"/>
    <w:rsid w:val="00DC742C"/>
    <w:rsid w:val="00DC776A"/>
    <w:rsid w:val="00DC78E4"/>
    <w:rsid w:val="00DD0A7A"/>
    <w:rsid w:val="00DD1815"/>
    <w:rsid w:val="00DD2109"/>
    <w:rsid w:val="00DD234D"/>
    <w:rsid w:val="00DD310E"/>
    <w:rsid w:val="00DD53A6"/>
    <w:rsid w:val="00DD65C5"/>
    <w:rsid w:val="00DD7868"/>
    <w:rsid w:val="00DE0C1F"/>
    <w:rsid w:val="00DE183E"/>
    <w:rsid w:val="00DE25A2"/>
    <w:rsid w:val="00DE3EC8"/>
    <w:rsid w:val="00DE583F"/>
    <w:rsid w:val="00DE5B29"/>
    <w:rsid w:val="00DE5DA3"/>
    <w:rsid w:val="00DE5E2C"/>
    <w:rsid w:val="00DE7442"/>
    <w:rsid w:val="00DE76B3"/>
    <w:rsid w:val="00DF032B"/>
    <w:rsid w:val="00DF0760"/>
    <w:rsid w:val="00DF5DFD"/>
    <w:rsid w:val="00DF6578"/>
    <w:rsid w:val="00DF72CD"/>
    <w:rsid w:val="00E00695"/>
    <w:rsid w:val="00E0091C"/>
    <w:rsid w:val="00E01A6B"/>
    <w:rsid w:val="00E02502"/>
    <w:rsid w:val="00E02599"/>
    <w:rsid w:val="00E02EDA"/>
    <w:rsid w:val="00E03465"/>
    <w:rsid w:val="00E04192"/>
    <w:rsid w:val="00E04840"/>
    <w:rsid w:val="00E04E29"/>
    <w:rsid w:val="00E051DA"/>
    <w:rsid w:val="00E058E8"/>
    <w:rsid w:val="00E066B5"/>
    <w:rsid w:val="00E06F2C"/>
    <w:rsid w:val="00E0703B"/>
    <w:rsid w:val="00E12FF5"/>
    <w:rsid w:val="00E13748"/>
    <w:rsid w:val="00E13C1A"/>
    <w:rsid w:val="00E1434F"/>
    <w:rsid w:val="00E14898"/>
    <w:rsid w:val="00E14F8E"/>
    <w:rsid w:val="00E1509D"/>
    <w:rsid w:val="00E16245"/>
    <w:rsid w:val="00E168D1"/>
    <w:rsid w:val="00E173CE"/>
    <w:rsid w:val="00E20293"/>
    <w:rsid w:val="00E20B49"/>
    <w:rsid w:val="00E20FEC"/>
    <w:rsid w:val="00E21EEB"/>
    <w:rsid w:val="00E241AE"/>
    <w:rsid w:val="00E255AA"/>
    <w:rsid w:val="00E257C4"/>
    <w:rsid w:val="00E25A20"/>
    <w:rsid w:val="00E262BE"/>
    <w:rsid w:val="00E2658D"/>
    <w:rsid w:val="00E26DBC"/>
    <w:rsid w:val="00E27732"/>
    <w:rsid w:val="00E30A80"/>
    <w:rsid w:val="00E315F7"/>
    <w:rsid w:val="00E3195D"/>
    <w:rsid w:val="00E31E9B"/>
    <w:rsid w:val="00E3243E"/>
    <w:rsid w:val="00E327E5"/>
    <w:rsid w:val="00E32AD8"/>
    <w:rsid w:val="00E343D1"/>
    <w:rsid w:val="00E34487"/>
    <w:rsid w:val="00E3467B"/>
    <w:rsid w:val="00E35444"/>
    <w:rsid w:val="00E35A9C"/>
    <w:rsid w:val="00E3635B"/>
    <w:rsid w:val="00E36B9A"/>
    <w:rsid w:val="00E3736A"/>
    <w:rsid w:val="00E37CA6"/>
    <w:rsid w:val="00E37D90"/>
    <w:rsid w:val="00E410B3"/>
    <w:rsid w:val="00E4156C"/>
    <w:rsid w:val="00E42420"/>
    <w:rsid w:val="00E42C01"/>
    <w:rsid w:val="00E45A6C"/>
    <w:rsid w:val="00E466A0"/>
    <w:rsid w:val="00E466AD"/>
    <w:rsid w:val="00E46799"/>
    <w:rsid w:val="00E46DAF"/>
    <w:rsid w:val="00E47993"/>
    <w:rsid w:val="00E50D14"/>
    <w:rsid w:val="00E51B5F"/>
    <w:rsid w:val="00E51E98"/>
    <w:rsid w:val="00E536F1"/>
    <w:rsid w:val="00E5410F"/>
    <w:rsid w:val="00E54C73"/>
    <w:rsid w:val="00E5500D"/>
    <w:rsid w:val="00E60D27"/>
    <w:rsid w:val="00E62894"/>
    <w:rsid w:val="00E62EFD"/>
    <w:rsid w:val="00E64073"/>
    <w:rsid w:val="00E6515D"/>
    <w:rsid w:val="00E6558E"/>
    <w:rsid w:val="00E65820"/>
    <w:rsid w:val="00E67171"/>
    <w:rsid w:val="00E675EE"/>
    <w:rsid w:val="00E67676"/>
    <w:rsid w:val="00E67CFC"/>
    <w:rsid w:val="00E67EF1"/>
    <w:rsid w:val="00E70D8C"/>
    <w:rsid w:val="00E71161"/>
    <w:rsid w:val="00E7161D"/>
    <w:rsid w:val="00E719E9"/>
    <w:rsid w:val="00E71AD7"/>
    <w:rsid w:val="00E71ECC"/>
    <w:rsid w:val="00E72E93"/>
    <w:rsid w:val="00E731CC"/>
    <w:rsid w:val="00E73A1C"/>
    <w:rsid w:val="00E73F21"/>
    <w:rsid w:val="00E73FFB"/>
    <w:rsid w:val="00E757CB"/>
    <w:rsid w:val="00E77CE6"/>
    <w:rsid w:val="00E8010E"/>
    <w:rsid w:val="00E803E5"/>
    <w:rsid w:val="00E8188A"/>
    <w:rsid w:val="00E82C14"/>
    <w:rsid w:val="00E83921"/>
    <w:rsid w:val="00E84067"/>
    <w:rsid w:val="00E875C4"/>
    <w:rsid w:val="00E910CB"/>
    <w:rsid w:val="00E9185E"/>
    <w:rsid w:val="00E91FA5"/>
    <w:rsid w:val="00E923AD"/>
    <w:rsid w:val="00E944B0"/>
    <w:rsid w:val="00E96DF2"/>
    <w:rsid w:val="00EA058E"/>
    <w:rsid w:val="00EA12DA"/>
    <w:rsid w:val="00EA1ACF"/>
    <w:rsid w:val="00EA1EC0"/>
    <w:rsid w:val="00EA1EF2"/>
    <w:rsid w:val="00EA2E48"/>
    <w:rsid w:val="00EA4F9C"/>
    <w:rsid w:val="00EA562E"/>
    <w:rsid w:val="00EA6C68"/>
    <w:rsid w:val="00EA7C8A"/>
    <w:rsid w:val="00EB15AE"/>
    <w:rsid w:val="00EB1E3B"/>
    <w:rsid w:val="00EB2973"/>
    <w:rsid w:val="00EB2AD4"/>
    <w:rsid w:val="00EB2F96"/>
    <w:rsid w:val="00EB4D5E"/>
    <w:rsid w:val="00EB567B"/>
    <w:rsid w:val="00EB60C4"/>
    <w:rsid w:val="00EB68A0"/>
    <w:rsid w:val="00EB6CED"/>
    <w:rsid w:val="00EB6EC2"/>
    <w:rsid w:val="00EC038A"/>
    <w:rsid w:val="00EC0868"/>
    <w:rsid w:val="00EC1F08"/>
    <w:rsid w:val="00EC2E06"/>
    <w:rsid w:val="00EC31F4"/>
    <w:rsid w:val="00EC3A37"/>
    <w:rsid w:val="00EC60E5"/>
    <w:rsid w:val="00EC6237"/>
    <w:rsid w:val="00EC65FA"/>
    <w:rsid w:val="00ED2696"/>
    <w:rsid w:val="00ED394E"/>
    <w:rsid w:val="00ED4D33"/>
    <w:rsid w:val="00ED6301"/>
    <w:rsid w:val="00ED7EFB"/>
    <w:rsid w:val="00EE1179"/>
    <w:rsid w:val="00EE32DE"/>
    <w:rsid w:val="00EE4098"/>
    <w:rsid w:val="00EE4561"/>
    <w:rsid w:val="00EE4C98"/>
    <w:rsid w:val="00EE5356"/>
    <w:rsid w:val="00EE5B7B"/>
    <w:rsid w:val="00EE5DCF"/>
    <w:rsid w:val="00EE7F83"/>
    <w:rsid w:val="00EF0334"/>
    <w:rsid w:val="00EF0A84"/>
    <w:rsid w:val="00EF0E45"/>
    <w:rsid w:val="00EF13A7"/>
    <w:rsid w:val="00EF1BEA"/>
    <w:rsid w:val="00EF3990"/>
    <w:rsid w:val="00EF3FD0"/>
    <w:rsid w:val="00EF442B"/>
    <w:rsid w:val="00EF447A"/>
    <w:rsid w:val="00EF4673"/>
    <w:rsid w:val="00EF47AB"/>
    <w:rsid w:val="00EF630C"/>
    <w:rsid w:val="00EF6AB7"/>
    <w:rsid w:val="00F00EB0"/>
    <w:rsid w:val="00F02859"/>
    <w:rsid w:val="00F03398"/>
    <w:rsid w:val="00F03C58"/>
    <w:rsid w:val="00F05C56"/>
    <w:rsid w:val="00F05DD9"/>
    <w:rsid w:val="00F06BB5"/>
    <w:rsid w:val="00F074C7"/>
    <w:rsid w:val="00F12990"/>
    <w:rsid w:val="00F12D5D"/>
    <w:rsid w:val="00F12E18"/>
    <w:rsid w:val="00F13751"/>
    <w:rsid w:val="00F13B32"/>
    <w:rsid w:val="00F13DB8"/>
    <w:rsid w:val="00F14F46"/>
    <w:rsid w:val="00F15A15"/>
    <w:rsid w:val="00F15FE8"/>
    <w:rsid w:val="00F16DD7"/>
    <w:rsid w:val="00F16FFD"/>
    <w:rsid w:val="00F170B1"/>
    <w:rsid w:val="00F217B6"/>
    <w:rsid w:val="00F26079"/>
    <w:rsid w:val="00F26DD3"/>
    <w:rsid w:val="00F2762D"/>
    <w:rsid w:val="00F27CF4"/>
    <w:rsid w:val="00F32603"/>
    <w:rsid w:val="00F328B9"/>
    <w:rsid w:val="00F32C9D"/>
    <w:rsid w:val="00F33CFF"/>
    <w:rsid w:val="00F34AEE"/>
    <w:rsid w:val="00F34D1D"/>
    <w:rsid w:val="00F37245"/>
    <w:rsid w:val="00F37479"/>
    <w:rsid w:val="00F37CDC"/>
    <w:rsid w:val="00F405B2"/>
    <w:rsid w:val="00F41EC2"/>
    <w:rsid w:val="00F42141"/>
    <w:rsid w:val="00F42CE9"/>
    <w:rsid w:val="00F43303"/>
    <w:rsid w:val="00F43DF1"/>
    <w:rsid w:val="00F43E09"/>
    <w:rsid w:val="00F442EA"/>
    <w:rsid w:val="00F44CDF"/>
    <w:rsid w:val="00F44E1D"/>
    <w:rsid w:val="00F45216"/>
    <w:rsid w:val="00F46015"/>
    <w:rsid w:val="00F47B71"/>
    <w:rsid w:val="00F51E37"/>
    <w:rsid w:val="00F5235C"/>
    <w:rsid w:val="00F52FB9"/>
    <w:rsid w:val="00F53717"/>
    <w:rsid w:val="00F54531"/>
    <w:rsid w:val="00F54880"/>
    <w:rsid w:val="00F54BF5"/>
    <w:rsid w:val="00F57435"/>
    <w:rsid w:val="00F5793D"/>
    <w:rsid w:val="00F6120C"/>
    <w:rsid w:val="00F61F87"/>
    <w:rsid w:val="00F6258A"/>
    <w:rsid w:val="00F62FCD"/>
    <w:rsid w:val="00F63209"/>
    <w:rsid w:val="00F6370B"/>
    <w:rsid w:val="00F6463E"/>
    <w:rsid w:val="00F664ED"/>
    <w:rsid w:val="00F70AE1"/>
    <w:rsid w:val="00F73B3A"/>
    <w:rsid w:val="00F73E24"/>
    <w:rsid w:val="00F74604"/>
    <w:rsid w:val="00F75224"/>
    <w:rsid w:val="00F764C1"/>
    <w:rsid w:val="00F769BC"/>
    <w:rsid w:val="00F7757E"/>
    <w:rsid w:val="00F8006D"/>
    <w:rsid w:val="00F80AFD"/>
    <w:rsid w:val="00F80B09"/>
    <w:rsid w:val="00F83FA5"/>
    <w:rsid w:val="00F85A23"/>
    <w:rsid w:val="00F86297"/>
    <w:rsid w:val="00F91E88"/>
    <w:rsid w:val="00F94B04"/>
    <w:rsid w:val="00F95397"/>
    <w:rsid w:val="00F958E0"/>
    <w:rsid w:val="00F95EA0"/>
    <w:rsid w:val="00F972D1"/>
    <w:rsid w:val="00F976BA"/>
    <w:rsid w:val="00F97D4F"/>
    <w:rsid w:val="00FA1897"/>
    <w:rsid w:val="00FA1FE0"/>
    <w:rsid w:val="00FA2B61"/>
    <w:rsid w:val="00FA38A1"/>
    <w:rsid w:val="00FA39B8"/>
    <w:rsid w:val="00FA535F"/>
    <w:rsid w:val="00FA742D"/>
    <w:rsid w:val="00FA748F"/>
    <w:rsid w:val="00FA7771"/>
    <w:rsid w:val="00FB11AF"/>
    <w:rsid w:val="00FB267B"/>
    <w:rsid w:val="00FB27AA"/>
    <w:rsid w:val="00FB28B5"/>
    <w:rsid w:val="00FB290D"/>
    <w:rsid w:val="00FB3E7C"/>
    <w:rsid w:val="00FB4487"/>
    <w:rsid w:val="00FB4800"/>
    <w:rsid w:val="00FB4943"/>
    <w:rsid w:val="00FB5070"/>
    <w:rsid w:val="00FB7270"/>
    <w:rsid w:val="00FC1C15"/>
    <w:rsid w:val="00FC4201"/>
    <w:rsid w:val="00FC42A2"/>
    <w:rsid w:val="00FC4565"/>
    <w:rsid w:val="00FC6D78"/>
    <w:rsid w:val="00FD1F85"/>
    <w:rsid w:val="00FD2A99"/>
    <w:rsid w:val="00FD31BD"/>
    <w:rsid w:val="00FD35BF"/>
    <w:rsid w:val="00FD3BA6"/>
    <w:rsid w:val="00FD61F6"/>
    <w:rsid w:val="00FD75B4"/>
    <w:rsid w:val="00FD7B4F"/>
    <w:rsid w:val="00FD7DAE"/>
    <w:rsid w:val="00FE08BC"/>
    <w:rsid w:val="00FE3E56"/>
    <w:rsid w:val="00FE78BA"/>
    <w:rsid w:val="00FF0F35"/>
    <w:rsid w:val="00FF14C5"/>
    <w:rsid w:val="00FF21F0"/>
    <w:rsid w:val="00FF2B28"/>
    <w:rsid w:val="00FF3824"/>
    <w:rsid w:val="00FF4642"/>
    <w:rsid w:val="00FF58B2"/>
    <w:rsid w:val="00FF5A9C"/>
    <w:rsid w:val="00FF7328"/>
    <w:rsid w:val="00FF75FC"/>
    <w:rsid w:val="00FF7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89EF61-120E-4404-A62E-BBEB3209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FC"/>
    <w:rPr>
      <w:sz w:val="24"/>
      <w:szCs w:val="24"/>
    </w:rPr>
  </w:style>
  <w:style w:type="paragraph" w:styleId="Heading1">
    <w:name w:val="heading 1"/>
    <w:basedOn w:val="Normal"/>
    <w:next w:val="Normal"/>
    <w:link w:val="Heading1Char"/>
    <w:qFormat/>
    <w:rsid w:val="003F655B"/>
    <w:pPr>
      <w:keepNext/>
      <w:spacing w:before="240" w:after="60"/>
      <w:outlineLvl w:val="0"/>
    </w:pPr>
    <w:rPr>
      <w:rFonts w:ascii="Arial" w:hAnsi="Arial"/>
      <w:b/>
      <w:bCs/>
      <w:color w:val="000000"/>
      <w:kern w:val="32"/>
      <w:sz w:val="28"/>
      <w:szCs w:val="32"/>
    </w:rPr>
  </w:style>
  <w:style w:type="paragraph" w:styleId="Heading3">
    <w:name w:val="heading 3"/>
    <w:basedOn w:val="Normal"/>
    <w:next w:val="Normal"/>
    <w:link w:val="Heading3Char"/>
    <w:qFormat/>
    <w:rsid w:val="00180053"/>
    <w:pPr>
      <w:keepNext/>
      <w:numPr>
        <w:numId w:val="23"/>
      </w:numPr>
      <w:spacing w:after="6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655B"/>
    <w:rPr>
      <w:rFonts w:ascii="Arial" w:hAnsi="Arial" w:cs="Arial"/>
      <w:b/>
      <w:bCs/>
      <w:color w:val="000000"/>
      <w:kern w:val="32"/>
      <w:sz w:val="28"/>
      <w:szCs w:val="32"/>
    </w:rPr>
  </w:style>
  <w:style w:type="character" w:customStyle="1" w:styleId="Heading3Char">
    <w:name w:val="Heading 3 Char"/>
    <w:link w:val="Heading3"/>
    <w:rsid w:val="00180053"/>
    <w:rPr>
      <w:b/>
      <w:bCs/>
      <w:color w:val="000000"/>
      <w:sz w:val="24"/>
      <w:szCs w:val="24"/>
    </w:rPr>
  </w:style>
  <w:style w:type="paragraph" w:styleId="TOC1">
    <w:name w:val="toc 1"/>
    <w:basedOn w:val="Normal"/>
    <w:next w:val="Normal"/>
    <w:autoRedefine/>
    <w:uiPriority w:val="39"/>
    <w:rsid w:val="00833C6F"/>
    <w:pPr>
      <w:tabs>
        <w:tab w:val="right" w:leader="dot" w:pos="8630"/>
      </w:tabs>
      <w:spacing w:line="360" w:lineRule="auto"/>
    </w:pPr>
  </w:style>
  <w:style w:type="paragraph" w:styleId="TOC3">
    <w:name w:val="toc 3"/>
    <w:basedOn w:val="Normal"/>
    <w:next w:val="Normal"/>
    <w:autoRedefine/>
    <w:uiPriority w:val="39"/>
    <w:rsid w:val="00833C6F"/>
    <w:pPr>
      <w:tabs>
        <w:tab w:val="left" w:pos="1100"/>
        <w:tab w:val="right" w:leader="dot" w:pos="8630"/>
      </w:tabs>
      <w:spacing w:line="360" w:lineRule="auto"/>
      <w:ind w:left="475"/>
    </w:pPr>
  </w:style>
  <w:style w:type="character" w:styleId="Hyperlink">
    <w:name w:val="Hyperlink"/>
    <w:uiPriority w:val="99"/>
    <w:rsid w:val="00C92582"/>
    <w:rPr>
      <w:color w:val="0000FF"/>
      <w:u w:val="single"/>
    </w:rPr>
  </w:style>
  <w:style w:type="paragraph" w:styleId="Footer">
    <w:name w:val="footer"/>
    <w:basedOn w:val="Normal"/>
    <w:link w:val="FooterChar"/>
    <w:uiPriority w:val="99"/>
    <w:rsid w:val="00A830A2"/>
    <w:pPr>
      <w:tabs>
        <w:tab w:val="center" w:pos="4320"/>
        <w:tab w:val="right" w:pos="8640"/>
      </w:tabs>
    </w:pPr>
  </w:style>
  <w:style w:type="character" w:customStyle="1" w:styleId="FooterChar">
    <w:name w:val="Footer Char"/>
    <w:link w:val="Footer"/>
    <w:uiPriority w:val="99"/>
    <w:rsid w:val="00EE4561"/>
    <w:rPr>
      <w:sz w:val="24"/>
      <w:szCs w:val="24"/>
    </w:rPr>
  </w:style>
  <w:style w:type="character" w:styleId="PageNumber">
    <w:name w:val="page number"/>
    <w:basedOn w:val="DefaultParagraphFont"/>
    <w:rsid w:val="00A830A2"/>
  </w:style>
  <w:style w:type="paragraph" w:styleId="Header">
    <w:name w:val="header"/>
    <w:basedOn w:val="Normal"/>
    <w:link w:val="HeaderChar"/>
    <w:uiPriority w:val="99"/>
    <w:rsid w:val="0001163E"/>
    <w:pPr>
      <w:tabs>
        <w:tab w:val="center" w:pos="4320"/>
        <w:tab w:val="right" w:pos="8640"/>
      </w:tabs>
    </w:pPr>
  </w:style>
  <w:style w:type="character" w:customStyle="1" w:styleId="HeaderChar">
    <w:name w:val="Header Char"/>
    <w:link w:val="Header"/>
    <w:uiPriority w:val="99"/>
    <w:rsid w:val="005E3062"/>
    <w:rPr>
      <w:sz w:val="24"/>
      <w:szCs w:val="24"/>
    </w:rPr>
  </w:style>
  <w:style w:type="paragraph" w:styleId="BalloonText">
    <w:name w:val="Balloon Text"/>
    <w:basedOn w:val="Normal"/>
    <w:link w:val="BalloonTextChar"/>
    <w:uiPriority w:val="99"/>
    <w:semiHidden/>
    <w:rsid w:val="004E2238"/>
    <w:rPr>
      <w:rFonts w:ascii="Tahoma" w:hAnsi="Tahoma"/>
      <w:sz w:val="16"/>
      <w:szCs w:val="16"/>
    </w:rPr>
  </w:style>
  <w:style w:type="character" w:customStyle="1" w:styleId="BalloonTextChar">
    <w:name w:val="Balloon Text Char"/>
    <w:link w:val="BalloonText"/>
    <w:uiPriority w:val="99"/>
    <w:semiHidden/>
    <w:rsid w:val="005E3062"/>
    <w:rPr>
      <w:rFonts w:ascii="Tahoma" w:hAnsi="Tahoma" w:cs="Tahoma"/>
      <w:sz w:val="16"/>
      <w:szCs w:val="16"/>
    </w:rPr>
  </w:style>
  <w:style w:type="paragraph" w:styleId="FootnoteText">
    <w:name w:val="footnote text"/>
    <w:basedOn w:val="Normal"/>
    <w:semiHidden/>
    <w:rsid w:val="00937181"/>
    <w:rPr>
      <w:sz w:val="20"/>
      <w:szCs w:val="20"/>
    </w:rPr>
  </w:style>
  <w:style w:type="character" w:styleId="FootnoteReference">
    <w:name w:val="footnote reference"/>
    <w:semiHidden/>
    <w:rsid w:val="00937181"/>
    <w:rPr>
      <w:vertAlign w:val="superscript"/>
    </w:rPr>
  </w:style>
  <w:style w:type="paragraph" w:styleId="ListParagraph">
    <w:name w:val="List Paragraph"/>
    <w:basedOn w:val="Normal"/>
    <w:link w:val="ListParagraphChar"/>
    <w:uiPriority w:val="34"/>
    <w:qFormat/>
    <w:rsid w:val="00092652"/>
    <w:pPr>
      <w:ind w:left="720"/>
    </w:pPr>
  </w:style>
  <w:style w:type="character" w:customStyle="1" w:styleId="ListParagraphChar">
    <w:name w:val="List Paragraph Char"/>
    <w:link w:val="ListParagraph"/>
    <w:uiPriority w:val="34"/>
    <w:rsid w:val="005B1088"/>
    <w:rPr>
      <w:sz w:val="24"/>
      <w:szCs w:val="24"/>
    </w:rPr>
  </w:style>
  <w:style w:type="paragraph" w:styleId="Quote">
    <w:name w:val="Quote"/>
    <w:basedOn w:val="Normal"/>
    <w:next w:val="Normal"/>
    <w:link w:val="QuoteChar"/>
    <w:uiPriority w:val="29"/>
    <w:qFormat/>
    <w:rsid w:val="005123A0"/>
    <w:rPr>
      <w:i/>
      <w:iCs/>
      <w:color w:val="000000"/>
    </w:rPr>
  </w:style>
  <w:style w:type="character" w:customStyle="1" w:styleId="QuoteChar">
    <w:name w:val="Quote Char"/>
    <w:link w:val="Quote"/>
    <w:uiPriority w:val="29"/>
    <w:rsid w:val="005123A0"/>
    <w:rPr>
      <w:i/>
      <w:iCs/>
      <w:color w:val="000000"/>
      <w:sz w:val="24"/>
      <w:szCs w:val="24"/>
    </w:rPr>
  </w:style>
  <w:style w:type="character" w:styleId="Emphasis">
    <w:name w:val="Emphasis"/>
    <w:qFormat/>
    <w:rsid w:val="005123A0"/>
    <w:rPr>
      <w:i/>
      <w:iCs/>
    </w:rPr>
  </w:style>
  <w:style w:type="character" w:styleId="IntenseReference">
    <w:name w:val="Intense Reference"/>
    <w:uiPriority w:val="32"/>
    <w:qFormat/>
    <w:rsid w:val="005123A0"/>
    <w:rPr>
      <w:b/>
      <w:bCs/>
      <w:smallCaps/>
      <w:color w:val="C0504D"/>
      <w:spacing w:val="5"/>
      <w:u w:val="single"/>
    </w:rPr>
  </w:style>
  <w:style w:type="character" w:styleId="CommentReference">
    <w:name w:val="annotation reference"/>
    <w:uiPriority w:val="99"/>
    <w:semiHidden/>
    <w:rsid w:val="00060A91"/>
    <w:rPr>
      <w:sz w:val="16"/>
      <w:szCs w:val="16"/>
    </w:rPr>
  </w:style>
  <w:style w:type="paragraph" w:styleId="CommentText">
    <w:name w:val="annotation text"/>
    <w:basedOn w:val="Normal"/>
    <w:link w:val="CommentTextChar"/>
    <w:uiPriority w:val="99"/>
    <w:semiHidden/>
    <w:rsid w:val="00060A91"/>
    <w:rPr>
      <w:sz w:val="20"/>
      <w:szCs w:val="20"/>
    </w:rPr>
  </w:style>
  <w:style w:type="character" w:customStyle="1" w:styleId="CommentTextChar">
    <w:name w:val="Comment Text Char"/>
    <w:link w:val="CommentText"/>
    <w:uiPriority w:val="99"/>
    <w:semiHidden/>
    <w:rsid w:val="005E3062"/>
  </w:style>
  <w:style w:type="paragraph" w:styleId="CommentSubject">
    <w:name w:val="annotation subject"/>
    <w:basedOn w:val="CommentText"/>
    <w:next w:val="CommentText"/>
    <w:link w:val="CommentSubjectChar"/>
    <w:uiPriority w:val="99"/>
    <w:semiHidden/>
    <w:rsid w:val="00060A91"/>
    <w:rPr>
      <w:b/>
      <w:bCs/>
    </w:rPr>
  </w:style>
  <w:style w:type="character" w:customStyle="1" w:styleId="CommentSubjectChar">
    <w:name w:val="Comment Subject Char"/>
    <w:link w:val="CommentSubject"/>
    <w:uiPriority w:val="99"/>
    <w:semiHidden/>
    <w:rsid w:val="005E3062"/>
    <w:rPr>
      <w:b/>
      <w:bCs/>
    </w:rPr>
  </w:style>
  <w:style w:type="paragraph" w:styleId="EndnoteText">
    <w:name w:val="endnote text"/>
    <w:basedOn w:val="Normal"/>
    <w:link w:val="EndnoteTextChar"/>
    <w:rsid w:val="00FF14C5"/>
    <w:rPr>
      <w:sz w:val="20"/>
      <w:szCs w:val="20"/>
    </w:rPr>
  </w:style>
  <w:style w:type="character" w:customStyle="1" w:styleId="EndnoteTextChar">
    <w:name w:val="Endnote Text Char"/>
    <w:basedOn w:val="DefaultParagraphFont"/>
    <w:link w:val="EndnoteText"/>
    <w:rsid w:val="00FF14C5"/>
  </w:style>
  <w:style w:type="character" w:styleId="EndnoteReference">
    <w:name w:val="endnote reference"/>
    <w:rsid w:val="00FF14C5"/>
    <w:rPr>
      <w:vertAlign w:val="superscript"/>
    </w:rPr>
  </w:style>
  <w:style w:type="paragraph" w:styleId="NoSpacing">
    <w:name w:val="No Spacing"/>
    <w:uiPriority w:val="1"/>
    <w:qFormat/>
    <w:rsid w:val="00340DEA"/>
    <w:rPr>
      <w:sz w:val="24"/>
      <w:szCs w:val="24"/>
    </w:rPr>
  </w:style>
  <w:style w:type="paragraph" w:styleId="Revision">
    <w:name w:val="Revision"/>
    <w:hidden/>
    <w:uiPriority w:val="99"/>
    <w:semiHidden/>
    <w:rsid w:val="00231793"/>
    <w:rPr>
      <w:sz w:val="24"/>
      <w:szCs w:val="24"/>
    </w:rPr>
  </w:style>
  <w:style w:type="character" w:styleId="FollowedHyperlink">
    <w:name w:val="FollowedHyperlink"/>
    <w:uiPriority w:val="99"/>
    <w:unhideWhenUsed/>
    <w:rsid w:val="006C0A5C"/>
    <w:rPr>
      <w:color w:val="800080"/>
      <w:u w:val="single"/>
    </w:rPr>
  </w:style>
  <w:style w:type="table" w:styleId="TableGrid">
    <w:name w:val="Table Grid"/>
    <w:basedOn w:val="TableNormal"/>
    <w:uiPriority w:val="59"/>
    <w:rsid w:val="00111F4B"/>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234E"/>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80927"/>
  </w:style>
  <w:style w:type="table" w:styleId="TableContemporary">
    <w:name w:val="Table Contemporary"/>
    <w:basedOn w:val="TableNormal"/>
    <w:rsid w:val="00613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
    <w:uiPriority w:val="99"/>
    <w:unhideWhenUsed/>
    <w:rsid w:val="00B71F60"/>
    <w:rPr>
      <w:rFonts w:ascii="Calibri" w:eastAsiaTheme="minorHAnsi" w:hAnsi="Calibri"/>
      <w:sz w:val="22"/>
      <w:szCs w:val="22"/>
    </w:rPr>
  </w:style>
  <w:style w:type="character" w:customStyle="1" w:styleId="PlainTextChar">
    <w:name w:val="Plain Text Char"/>
    <w:basedOn w:val="DefaultParagraphFont"/>
    <w:link w:val="PlainText"/>
    <w:uiPriority w:val="99"/>
    <w:rsid w:val="00B71F60"/>
    <w:rPr>
      <w:rFonts w:ascii="Calibri" w:eastAsiaTheme="minorHAnsi" w:hAnsi="Calibri"/>
      <w:sz w:val="22"/>
      <w:szCs w:val="22"/>
    </w:rPr>
  </w:style>
  <w:style w:type="paragraph" w:styleId="TOCHeading">
    <w:name w:val="TOC Heading"/>
    <w:basedOn w:val="Heading1"/>
    <w:next w:val="Normal"/>
    <w:uiPriority w:val="39"/>
    <w:semiHidden/>
    <w:unhideWhenUsed/>
    <w:qFormat/>
    <w:rsid w:val="009E048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table" w:styleId="LightShading">
    <w:name w:val="Light Shading"/>
    <w:basedOn w:val="TableNormal"/>
    <w:uiPriority w:val="60"/>
    <w:rsid w:val="001751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B1353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7528">
      <w:bodyDiv w:val="1"/>
      <w:marLeft w:val="0"/>
      <w:marRight w:val="0"/>
      <w:marTop w:val="0"/>
      <w:marBottom w:val="0"/>
      <w:divBdr>
        <w:top w:val="none" w:sz="0" w:space="0" w:color="auto"/>
        <w:left w:val="none" w:sz="0" w:space="0" w:color="auto"/>
        <w:bottom w:val="none" w:sz="0" w:space="0" w:color="auto"/>
        <w:right w:val="none" w:sz="0" w:space="0" w:color="auto"/>
      </w:divBdr>
    </w:div>
    <w:div w:id="50856837">
      <w:bodyDiv w:val="1"/>
      <w:marLeft w:val="0"/>
      <w:marRight w:val="0"/>
      <w:marTop w:val="0"/>
      <w:marBottom w:val="0"/>
      <w:divBdr>
        <w:top w:val="none" w:sz="0" w:space="0" w:color="auto"/>
        <w:left w:val="none" w:sz="0" w:space="0" w:color="auto"/>
        <w:bottom w:val="none" w:sz="0" w:space="0" w:color="auto"/>
        <w:right w:val="none" w:sz="0" w:space="0" w:color="auto"/>
      </w:divBdr>
    </w:div>
    <w:div w:id="94445362">
      <w:bodyDiv w:val="1"/>
      <w:marLeft w:val="0"/>
      <w:marRight w:val="0"/>
      <w:marTop w:val="0"/>
      <w:marBottom w:val="0"/>
      <w:divBdr>
        <w:top w:val="none" w:sz="0" w:space="0" w:color="auto"/>
        <w:left w:val="none" w:sz="0" w:space="0" w:color="auto"/>
        <w:bottom w:val="none" w:sz="0" w:space="0" w:color="auto"/>
        <w:right w:val="none" w:sz="0" w:space="0" w:color="auto"/>
      </w:divBdr>
    </w:div>
    <w:div w:id="160514515">
      <w:bodyDiv w:val="1"/>
      <w:marLeft w:val="0"/>
      <w:marRight w:val="0"/>
      <w:marTop w:val="0"/>
      <w:marBottom w:val="0"/>
      <w:divBdr>
        <w:top w:val="none" w:sz="0" w:space="0" w:color="auto"/>
        <w:left w:val="none" w:sz="0" w:space="0" w:color="auto"/>
        <w:bottom w:val="none" w:sz="0" w:space="0" w:color="auto"/>
        <w:right w:val="none" w:sz="0" w:space="0" w:color="auto"/>
      </w:divBdr>
    </w:div>
    <w:div w:id="216432059">
      <w:bodyDiv w:val="1"/>
      <w:marLeft w:val="0"/>
      <w:marRight w:val="0"/>
      <w:marTop w:val="0"/>
      <w:marBottom w:val="0"/>
      <w:divBdr>
        <w:top w:val="none" w:sz="0" w:space="0" w:color="auto"/>
        <w:left w:val="none" w:sz="0" w:space="0" w:color="auto"/>
        <w:bottom w:val="none" w:sz="0" w:space="0" w:color="auto"/>
        <w:right w:val="none" w:sz="0" w:space="0" w:color="auto"/>
      </w:divBdr>
    </w:div>
    <w:div w:id="375544287">
      <w:bodyDiv w:val="1"/>
      <w:marLeft w:val="0"/>
      <w:marRight w:val="0"/>
      <w:marTop w:val="0"/>
      <w:marBottom w:val="0"/>
      <w:divBdr>
        <w:top w:val="none" w:sz="0" w:space="0" w:color="auto"/>
        <w:left w:val="none" w:sz="0" w:space="0" w:color="auto"/>
        <w:bottom w:val="none" w:sz="0" w:space="0" w:color="auto"/>
        <w:right w:val="none" w:sz="0" w:space="0" w:color="auto"/>
      </w:divBdr>
    </w:div>
    <w:div w:id="396782909">
      <w:bodyDiv w:val="1"/>
      <w:marLeft w:val="0"/>
      <w:marRight w:val="0"/>
      <w:marTop w:val="0"/>
      <w:marBottom w:val="0"/>
      <w:divBdr>
        <w:top w:val="none" w:sz="0" w:space="0" w:color="auto"/>
        <w:left w:val="none" w:sz="0" w:space="0" w:color="auto"/>
        <w:bottom w:val="none" w:sz="0" w:space="0" w:color="auto"/>
        <w:right w:val="none" w:sz="0" w:space="0" w:color="auto"/>
      </w:divBdr>
    </w:div>
    <w:div w:id="444079404">
      <w:bodyDiv w:val="1"/>
      <w:marLeft w:val="0"/>
      <w:marRight w:val="0"/>
      <w:marTop w:val="0"/>
      <w:marBottom w:val="0"/>
      <w:divBdr>
        <w:top w:val="none" w:sz="0" w:space="0" w:color="auto"/>
        <w:left w:val="none" w:sz="0" w:space="0" w:color="auto"/>
        <w:bottom w:val="none" w:sz="0" w:space="0" w:color="auto"/>
        <w:right w:val="none" w:sz="0" w:space="0" w:color="auto"/>
      </w:divBdr>
    </w:div>
    <w:div w:id="480535514">
      <w:bodyDiv w:val="1"/>
      <w:marLeft w:val="0"/>
      <w:marRight w:val="0"/>
      <w:marTop w:val="0"/>
      <w:marBottom w:val="0"/>
      <w:divBdr>
        <w:top w:val="none" w:sz="0" w:space="0" w:color="auto"/>
        <w:left w:val="none" w:sz="0" w:space="0" w:color="auto"/>
        <w:bottom w:val="none" w:sz="0" w:space="0" w:color="auto"/>
        <w:right w:val="none" w:sz="0" w:space="0" w:color="auto"/>
      </w:divBdr>
    </w:div>
    <w:div w:id="487526328">
      <w:bodyDiv w:val="1"/>
      <w:marLeft w:val="0"/>
      <w:marRight w:val="0"/>
      <w:marTop w:val="0"/>
      <w:marBottom w:val="0"/>
      <w:divBdr>
        <w:top w:val="none" w:sz="0" w:space="0" w:color="auto"/>
        <w:left w:val="none" w:sz="0" w:space="0" w:color="auto"/>
        <w:bottom w:val="none" w:sz="0" w:space="0" w:color="auto"/>
        <w:right w:val="none" w:sz="0" w:space="0" w:color="auto"/>
      </w:divBdr>
    </w:div>
    <w:div w:id="503251519">
      <w:bodyDiv w:val="1"/>
      <w:marLeft w:val="0"/>
      <w:marRight w:val="0"/>
      <w:marTop w:val="0"/>
      <w:marBottom w:val="0"/>
      <w:divBdr>
        <w:top w:val="none" w:sz="0" w:space="0" w:color="auto"/>
        <w:left w:val="none" w:sz="0" w:space="0" w:color="auto"/>
        <w:bottom w:val="none" w:sz="0" w:space="0" w:color="auto"/>
        <w:right w:val="none" w:sz="0" w:space="0" w:color="auto"/>
      </w:divBdr>
    </w:div>
    <w:div w:id="641276913">
      <w:bodyDiv w:val="1"/>
      <w:marLeft w:val="0"/>
      <w:marRight w:val="0"/>
      <w:marTop w:val="0"/>
      <w:marBottom w:val="0"/>
      <w:divBdr>
        <w:top w:val="none" w:sz="0" w:space="0" w:color="auto"/>
        <w:left w:val="none" w:sz="0" w:space="0" w:color="auto"/>
        <w:bottom w:val="none" w:sz="0" w:space="0" w:color="auto"/>
        <w:right w:val="none" w:sz="0" w:space="0" w:color="auto"/>
      </w:divBdr>
    </w:div>
    <w:div w:id="693920311">
      <w:bodyDiv w:val="1"/>
      <w:marLeft w:val="0"/>
      <w:marRight w:val="0"/>
      <w:marTop w:val="0"/>
      <w:marBottom w:val="0"/>
      <w:divBdr>
        <w:top w:val="none" w:sz="0" w:space="0" w:color="auto"/>
        <w:left w:val="none" w:sz="0" w:space="0" w:color="auto"/>
        <w:bottom w:val="none" w:sz="0" w:space="0" w:color="auto"/>
        <w:right w:val="none" w:sz="0" w:space="0" w:color="auto"/>
      </w:divBdr>
    </w:div>
    <w:div w:id="710230026">
      <w:bodyDiv w:val="1"/>
      <w:marLeft w:val="0"/>
      <w:marRight w:val="0"/>
      <w:marTop w:val="0"/>
      <w:marBottom w:val="0"/>
      <w:divBdr>
        <w:top w:val="none" w:sz="0" w:space="0" w:color="auto"/>
        <w:left w:val="none" w:sz="0" w:space="0" w:color="auto"/>
        <w:bottom w:val="none" w:sz="0" w:space="0" w:color="auto"/>
        <w:right w:val="none" w:sz="0" w:space="0" w:color="auto"/>
      </w:divBdr>
    </w:div>
    <w:div w:id="742026348">
      <w:bodyDiv w:val="1"/>
      <w:marLeft w:val="0"/>
      <w:marRight w:val="0"/>
      <w:marTop w:val="0"/>
      <w:marBottom w:val="0"/>
      <w:divBdr>
        <w:top w:val="none" w:sz="0" w:space="0" w:color="auto"/>
        <w:left w:val="none" w:sz="0" w:space="0" w:color="auto"/>
        <w:bottom w:val="none" w:sz="0" w:space="0" w:color="auto"/>
        <w:right w:val="none" w:sz="0" w:space="0" w:color="auto"/>
      </w:divBdr>
    </w:div>
    <w:div w:id="792872006">
      <w:bodyDiv w:val="1"/>
      <w:marLeft w:val="0"/>
      <w:marRight w:val="0"/>
      <w:marTop w:val="0"/>
      <w:marBottom w:val="0"/>
      <w:divBdr>
        <w:top w:val="none" w:sz="0" w:space="0" w:color="auto"/>
        <w:left w:val="none" w:sz="0" w:space="0" w:color="auto"/>
        <w:bottom w:val="none" w:sz="0" w:space="0" w:color="auto"/>
        <w:right w:val="none" w:sz="0" w:space="0" w:color="auto"/>
      </w:divBdr>
    </w:div>
    <w:div w:id="827675842">
      <w:bodyDiv w:val="1"/>
      <w:marLeft w:val="0"/>
      <w:marRight w:val="0"/>
      <w:marTop w:val="0"/>
      <w:marBottom w:val="0"/>
      <w:divBdr>
        <w:top w:val="none" w:sz="0" w:space="0" w:color="auto"/>
        <w:left w:val="none" w:sz="0" w:space="0" w:color="auto"/>
        <w:bottom w:val="none" w:sz="0" w:space="0" w:color="auto"/>
        <w:right w:val="none" w:sz="0" w:space="0" w:color="auto"/>
      </w:divBdr>
    </w:div>
    <w:div w:id="956915846">
      <w:bodyDiv w:val="1"/>
      <w:marLeft w:val="0"/>
      <w:marRight w:val="0"/>
      <w:marTop w:val="0"/>
      <w:marBottom w:val="0"/>
      <w:divBdr>
        <w:top w:val="none" w:sz="0" w:space="0" w:color="auto"/>
        <w:left w:val="none" w:sz="0" w:space="0" w:color="auto"/>
        <w:bottom w:val="none" w:sz="0" w:space="0" w:color="auto"/>
        <w:right w:val="none" w:sz="0" w:space="0" w:color="auto"/>
      </w:divBdr>
    </w:div>
    <w:div w:id="974529057">
      <w:bodyDiv w:val="1"/>
      <w:marLeft w:val="0"/>
      <w:marRight w:val="0"/>
      <w:marTop w:val="0"/>
      <w:marBottom w:val="0"/>
      <w:divBdr>
        <w:top w:val="none" w:sz="0" w:space="0" w:color="auto"/>
        <w:left w:val="none" w:sz="0" w:space="0" w:color="auto"/>
        <w:bottom w:val="none" w:sz="0" w:space="0" w:color="auto"/>
        <w:right w:val="none" w:sz="0" w:space="0" w:color="auto"/>
      </w:divBdr>
    </w:div>
    <w:div w:id="988175476">
      <w:bodyDiv w:val="1"/>
      <w:marLeft w:val="0"/>
      <w:marRight w:val="0"/>
      <w:marTop w:val="0"/>
      <w:marBottom w:val="0"/>
      <w:divBdr>
        <w:top w:val="none" w:sz="0" w:space="0" w:color="auto"/>
        <w:left w:val="none" w:sz="0" w:space="0" w:color="auto"/>
        <w:bottom w:val="none" w:sz="0" w:space="0" w:color="auto"/>
        <w:right w:val="none" w:sz="0" w:space="0" w:color="auto"/>
      </w:divBdr>
    </w:div>
    <w:div w:id="990213656">
      <w:bodyDiv w:val="1"/>
      <w:marLeft w:val="0"/>
      <w:marRight w:val="0"/>
      <w:marTop w:val="0"/>
      <w:marBottom w:val="0"/>
      <w:divBdr>
        <w:top w:val="none" w:sz="0" w:space="0" w:color="auto"/>
        <w:left w:val="none" w:sz="0" w:space="0" w:color="auto"/>
        <w:bottom w:val="none" w:sz="0" w:space="0" w:color="auto"/>
        <w:right w:val="none" w:sz="0" w:space="0" w:color="auto"/>
      </w:divBdr>
    </w:div>
    <w:div w:id="1045252436">
      <w:bodyDiv w:val="1"/>
      <w:marLeft w:val="0"/>
      <w:marRight w:val="0"/>
      <w:marTop w:val="0"/>
      <w:marBottom w:val="0"/>
      <w:divBdr>
        <w:top w:val="none" w:sz="0" w:space="0" w:color="auto"/>
        <w:left w:val="none" w:sz="0" w:space="0" w:color="auto"/>
        <w:bottom w:val="none" w:sz="0" w:space="0" w:color="auto"/>
        <w:right w:val="none" w:sz="0" w:space="0" w:color="auto"/>
      </w:divBdr>
    </w:div>
    <w:div w:id="1063454400">
      <w:bodyDiv w:val="1"/>
      <w:marLeft w:val="0"/>
      <w:marRight w:val="0"/>
      <w:marTop w:val="0"/>
      <w:marBottom w:val="0"/>
      <w:divBdr>
        <w:top w:val="none" w:sz="0" w:space="0" w:color="auto"/>
        <w:left w:val="none" w:sz="0" w:space="0" w:color="auto"/>
        <w:bottom w:val="none" w:sz="0" w:space="0" w:color="auto"/>
        <w:right w:val="none" w:sz="0" w:space="0" w:color="auto"/>
      </w:divBdr>
    </w:div>
    <w:div w:id="1150903464">
      <w:bodyDiv w:val="1"/>
      <w:marLeft w:val="0"/>
      <w:marRight w:val="0"/>
      <w:marTop w:val="0"/>
      <w:marBottom w:val="0"/>
      <w:divBdr>
        <w:top w:val="none" w:sz="0" w:space="0" w:color="auto"/>
        <w:left w:val="none" w:sz="0" w:space="0" w:color="auto"/>
        <w:bottom w:val="none" w:sz="0" w:space="0" w:color="auto"/>
        <w:right w:val="none" w:sz="0" w:space="0" w:color="auto"/>
      </w:divBdr>
    </w:div>
    <w:div w:id="1284969540">
      <w:bodyDiv w:val="1"/>
      <w:marLeft w:val="0"/>
      <w:marRight w:val="0"/>
      <w:marTop w:val="0"/>
      <w:marBottom w:val="0"/>
      <w:divBdr>
        <w:top w:val="none" w:sz="0" w:space="0" w:color="auto"/>
        <w:left w:val="none" w:sz="0" w:space="0" w:color="auto"/>
        <w:bottom w:val="none" w:sz="0" w:space="0" w:color="auto"/>
        <w:right w:val="none" w:sz="0" w:space="0" w:color="auto"/>
      </w:divBdr>
    </w:div>
    <w:div w:id="1293247475">
      <w:bodyDiv w:val="1"/>
      <w:marLeft w:val="0"/>
      <w:marRight w:val="0"/>
      <w:marTop w:val="0"/>
      <w:marBottom w:val="0"/>
      <w:divBdr>
        <w:top w:val="none" w:sz="0" w:space="0" w:color="auto"/>
        <w:left w:val="none" w:sz="0" w:space="0" w:color="auto"/>
        <w:bottom w:val="none" w:sz="0" w:space="0" w:color="auto"/>
        <w:right w:val="none" w:sz="0" w:space="0" w:color="auto"/>
      </w:divBdr>
    </w:div>
    <w:div w:id="1299841450">
      <w:bodyDiv w:val="1"/>
      <w:marLeft w:val="0"/>
      <w:marRight w:val="0"/>
      <w:marTop w:val="0"/>
      <w:marBottom w:val="0"/>
      <w:divBdr>
        <w:top w:val="none" w:sz="0" w:space="0" w:color="auto"/>
        <w:left w:val="none" w:sz="0" w:space="0" w:color="auto"/>
        <w:bottom w:val="none" w:sz="0" w:space="0" w:color="auto"/>
        <w:right w:val="none" w:sz="0" w:space="0" w:color="auto"/>
      </w:divBdr>
    </w:div>
    <w:div w:id="1300838699">
      <w:bodyDiv w:val="1"/>
      <w:marLeft w:val="0"/>
      <w:marRight w:val="0"/>
      <w:marTop w:val="0"/>
      <w:marBottom w:val="0"/>
      <w:divBdr>
        <w:top w:val="none" w:sz="0" w:space="0" w:color="auto"/>
        <w:left w:val="none" w:sz="0" w:space="0" w:color="auto"/>
        <w:bottom w:val="none" w:sz="0" w:space="0" w:color="auto"/>
        <w:right w:val="none" w:sz="0" w:space="0" w:color="auto"/>
      </w:divBdr>
    </w:div>
    <w:div w:id="1367563968">
      <w:bodyDiv w:val="1"/>
      <w:marLeft w:val="0"/>
      <w:marRight w:val="0"/>
      <w:marTop w:val="0"/>
      <w:marBottom w:val="0"/>
      <w:divBdr>
        <w:top w:val="none" w:sz="0" w:space="0" w:color="auto"/>
        <w:left w:val="none" w:sz="0" w:space="0" w:color="auto"/>
        <w:bottom w:val="none" w:sz="0" w:space="0" w:color="auto"/>
        <w:right w:val="none" w:sz="0" w:space="0" w:color="auto"/>
      </w:divBdr>
    </w:div>
    <w:div w:id="1376470729">
      <w:bodyDiv w:val="1"/>
      <w:marLeft w:val="0"/>
      <w:marRight w:val="0"/>
      <w:marTop w:val="0"/>
      <w:marBottom w:val="0"/>
      <w:divBdr>
        <w:top w:val="none" w:sz="0" w:space="0" w:color="auto"/>
        <w:left w:val="none" w:sz="0" w:space="0" w:color="auto"/>
        <w:bottom w:val="none" w:sz="0" w:space="0" w:color="auto"/>
        <w:right w:val="none" w:sz="0" w:space="0" w:color="auto"/>
      </w:divBdr>
    </w:div>
    <w:div w:id="1409423503">
      <w:bodyDiv w:val="1"/>
      <w:marLeft w:val="0"/>
      <w:marRight w:val="0"/>
      <w:marTop w:val="0"/>
      <w:marBottom w:val="0"/>
      <w:divBdr>
        <w:top w:val="none" w:sz="0" w:space="0" w:color="auto"/>
        <w:left w:val="none" w:sz="0" w:space="0" w:color="auto"/>
        <w:bottom w:val="none" w:sz="0" w:space="0" w:color="auto"/>
        <w:right w:val="none" w:sz="0" w:space="0" w:color="auto"/>
      </w:divBdr>
    </w:div>
    <w:div w:id="1436754419">
      <w:bodyDiv w:val="1"/>
      <w:marLeft w:val="0"/>
      <w:marRight w:val="0"/>
      <w:marTop w:val="0"/>
      <w:marBottom w:val="0"/>
      <w:divBdr>
        <w:top w:val="none" w:sz="0" w:space="0" w:color="auto"/>
        <w:left w:val="none" w:sz="0" w:space="0" w:color="auto"/>
        <w:bottom w:val="none" w:sz="0" w:space="0" w:color="auto"/>
        <w:right w:val="none" w:sz="0" w:space="0" w:color="auto"/>
      </w:divBdr>
    </w:div>
    <w:div w:id="1470704150">
      <w:bodyDiv w:val="1"/>
      <w:marLeft w:val="0"/>
      <w:marRight w:val="0"/>
      <w:marTop w:val="0"/>
      <w:marBottom w:val="0"/>
      <w:divBdr>
        <w:top w:val="none" w:sz="0" w:space="0" w:color="auto"/>
        <w:left w:val="none" w:sz="0" w:space="0" w:color="auto"/>
        <w:bottom w:val="none" w:sz="0" w:space="0" w:color="auto"/>
        <w:right w:val="none" w:sz="0" w:space="0" w:color="auto"/>
      </w:divBdr>
    </w:div>
    <w:div w:id="1554267883">
      <w:bodyDiv w:val="1"/>
      <w:marLeft w:val="0"/>
      <w:marRight w:val="0"/>
      <w:marTop w:val="0"/>
      <w:marBottom w:val="0"/>
      <w:divBdr>
        <w:top w:val="none" w:sz="0" w:space="0" w:color="auto"/>
        <w:left w:val="none" w:sz="0" w:space="0" w:color="auto"/>
        <w:bottom w:val="none" w:sz="0" w:space="0" w:color="auto"/>
        <w:right w:val="none" w:sz="0" w:space="0" w:color="auto"/>
      </w:divBdr>
    </w:div>
    <w:div w:id="1667322608">
      <w:bodyDiv w:val="1"/>
      <w:marLeft w:val="0"/>
      <w:marRight w:val="0"/>
      <w:marTop w:val="0"/>
      <w:marBottom w:val="0"/>
      <w:divBdr>
        <w:top w:val="none" w:sz="0" w:space="0" w:color="auto"/>
        <w:left w:val="none" w:sz="0" w:space="0" w:color="auto"/>
        <w:bottom w:val="none" w:sz="0" w:space="0" w:color="auto"/>
        <w:right w:val="none" w:sz="0" w:space="0" w:color="auto"/>
      </w:divBdr>
    </w:div>
    <w:div w:id="1670251571">
      <w:bodyDiv w:val="1"/>
      <w:marLeft w:val="0"/>
      <w:marRight w:val="0"/>
      <w:marTop w:val="0"/>
      <w:marBottom w:val="0"/>
      <w:divBdr>
        <w:top w:val="none" w:sz="0" w:space="0" w:color="auto"/>
        <w:left w:val="none" w:sz="0" w:space="0" w:color="auto"/>
        <w:bottom w:val="none" w:sz="0" w:space="0" w:color="auto"/>
        <w:right w:val="none" w:sz="0" w:space="0" w:color="auto"/>
      </w:divBdr>
    </w:div>
    <w:div w:id="1837725396">
      <w:bodyDiv w:val="1"/>
      <w:marLeft w:val="0"/>
      <w:marRight w:val="0"/>
      <w:marTop w:val="0"/>
      <w:marBottom w:val="0"/>
      <w:divBdr>
        <w:top w:val="none" w:sz="0" w:space="0" w:color="auto"/>
        <w:left w:val="none" w:sz="0" w:space="0" w:color="auto"/>
        <w:bottom w:val="none" w:sz="0" w:space="0" w:color="auto"/>
        <w:right w:val="none" w:sz="0" w:space="0" w:color="auto"/>
      </w:divBdr>
      <w:divsChild>
        <w:div w:id="471607271">
          <w:marLeft w:val="504"/>
          <w:marRight w:val="0"/>
          <w:marTop w:val="140"/>
          <w:marBottom w:val="0"/>
          <w:divBdr>
            <w:top w:val="none" w:sz="0" w:space="0" w:color="auto"/>
            <w:left w:val="none" w:sz="0" w:space="0" w:color="auto"/>
            <w:bottom w:val="none" w:sz="0" w:space="0" w:color="auto"/>
            <w:right w:val="none" w:sz="0" w:space="0" w:color="auto"/>
          </w:divBdr>
        </w:div>
      </w:divsChild>
    </w:div>
    <w:div w:id="1904875066">
      <w:bodyDiv w:val="1"/>
      <w:marLeft w:val="0"/>
      <w:marRight w:val="0"/>
      <w:marTop w:val="0"/>
      <w:marBottom w:val="0"/>
      <w:divBdr>
        <w:top w:val="none" w:sz="0" w:space="0" w:color="auto"/>
        <w:left w:val="none" w:sz="0" w:space="0" w:color="auto"/>
        <w:bottom w:val="none" w:sz="0" w:space="0" w:color="auto"/>
        <w:right w:val="none" w:sz="0" w:space="0" w:color="auto"/>
      </w:divBdr>
      <w:divsChild>
        <w:div w:id="1687444786">
          <w:marLeft w:val="0"/>
          <w:marRight w:val="0"/>
          <w:marTop w:val="0"/>
          <w:marBottom w:val="0"/>
          <w:divBdr>
            <w:top w:val="none" w:sz="0" w:space="0" w:color="auto"/>
            <w:left w:val="none" w:sz="0" w:space="0" w:color="auto"/>
            <w:bottom w:val="none" w:sz="0" w:space="0" w:color="auto"/>
            <w:right w:val="none" w:sz="0" w:space="0" w:color="auto"/>
          </w:divBdr>
        </w:div>
      </w:divsChild>
    </w:div>
    <w:div w:id="1941185524">
      <w:bodyDiv w:val="1"/>
      <w:marLeft w:val="0"/>
      <w:marRight w:val="0"/>
      <w:marTop w:val="0"/>
      <w:marBottom w:val="0"/>
      <w:divBdr>
        <w:top w:val="none" w:sz="0" w:space="0" w:color="auto"/>
        <w:left w:val="none" w:sz="0" w:space="0" w:color="auto"/>
        <w:bottom w:val="none" w:sz="0" w:space="0" w:color="auto"/>
        <w:right w:val="none" w:sz="0" w:space="0" w:color="auto"/>
      </w:divBdr>
    </w:div>
    <w:div w:id="1989479199">
      <w:bodyDiv w:val="1"/>
      <w:marLeft w:val="0"/>
      <w:marRight w:val="0"/>
      <w:marTop w:val="0"/>
      <w:marBottom w:val="0"/>
      <w:divBdr>
        <w:top w:val="none" w:sz="0" w:space="0" w:color="auto"/>
        <w:left w:val="none" w:sz="0" w:space="0" w:color="auto"/>
        <w:bottom w:val="none" w:sz="0" w:space="0" w:color="auto"/>
        <w:right w:val="none" w:sz="0" w:space="0" w:color="auto"/>
      </w:divBdr>
    </w:div>
    <w:div w:id="2116634011">
      <w:bodyDiv w:val="1"/>
      <w:marLeft w:val="0"/>
      <w:marRight w:val="0"/>
      <w:marTop w:val="0"/>
      <w:marBottom w:val="0"/>
      <w:divBdr>
        <w:top w:val="none" w:sz="0" w:space="0" w:color="auto"/>
        <w:left w:val="none" w:sz="0" w:space="0" w:color="auto"/>
        <w:bottom w:val="none" w:sz="0" w:space="0" w:color="auto"/>
        <w:right w:val="none" w:sz="0" w:space="0" w:color="auto"/>
      </w:divBdr>
    </w:div>
    <w:div w:id="21173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CC2E-3F2E-47E7-BA6E-72F0D1AB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17412</Words>
  <Characters>99254</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Massachusetts Department of Housing and Community Development</vt:lpstr>
    </vt:vector>
  </TitlesOfParts>
  <Company>Microsoft</Company>
  <LinksUpToDate>false</LinksUpToDate>
  <CharactersWithSpaces>116434</CharactersWithSpaces>
  <SharedDoc>false</SharedDoc>
  <HLinks>
    <vt:vector size="132" baseType="variant">
      <vt:variant>
        <vt:i4>1703990</vt:i4>
      </vt:variant>
      <vt:variant>
        <vt:i4>128</vt:i4>
      </vt:variant>
      <vt:variant>
        <vt:i4>0</vt:i4>
      </vt:variant>
      <vt:variant>
        <vt:i4>5</vt:i4>
      </vt:variant>
      <vt:variant>
        <vt:lpwstr/>
      </vt:variant>
      <vt:variant>
        <vt:lpwstr>_Toc399495557</vt:lpwstr>
      </vt:variant>
      <vt:variant>
        <vt:i4>1703990</vt:i4>
      </vt:variant>
      <vt:variant>
        <vt:i4>122</vt:i4>
      </vt:variant>
      <vt:variant>
        <vt:i4>0</vt:i4>
      </vt:variant>
      <vt:variant>
        <vt:i4>5</vt:i4>
      </vt:variant>
      <vt:variant>
        <vt:lpwstr/>
      </vt:variant>
      <vt:variant>
        <vt:lpwstr>_Toc399495556</vt:lpwstr>
      </vt:variant>
      <vt:variant>
        <vt:i4>1703990</vt:i4>
      </vt:variant>
      <vt:variant>
        <vt:i4>116</vt:i4>
      </vt:variant>
      <vt:variant>
        <vt:i4>0</vt:i4>
      </vt:variant>
      <vt:variant>
        <vt:i4>5</vt:i4>
      </vt:variant>
      <vt:variant>
        <vt:lpwstr/>
      </vt:variant>
      <vt:variant>
        <vt:lpwstr>_Toc399495555</vt:lpwstr>
      </vt:variant>
      <vt:variant>
        <vt:i4>1703990</vt:i4>
      </vt:variant>
      <vt:variant>
        <vt:i4>110</vt:i4>
      </vt:variant>
      <vt:variant>
        <vt:i4>0</vt:i4>
      </vt:variant>
      <vt:variant>
        <vt:i4>5</vt:i4>
      </vt:variant>
      <vt:variant>
        <vt:lpwstr/>
      </vt:variant>
      <vt:variant>
        <vt:lpwstr>_Toc399495554</vt:lpwstr>
      </vt:variant>
      <vt:variant>
        <vt:i4>1703990</vt:i4>
      </vt:variant>
      <vt:variant>
        <vt:i4>104</vt:i4>
      </vt:variant>
      <vt:variant>
        <vt:i4>0</vt:i4>
      </vt:variant>
      <vt:variant>
        <vt:i4>5</vt:i4>
      </vt:variant>
      <vt:variant>
        <vt:lpwstr/>
      </vt:variant>
      <vt:variant>
        <vt:lpwstr>_Toc399495553</vt:lpwstr>
      </vt:variant>
      <vt:variant>
        <vt:i4>1703990</vt:i4>
      </vt:variant>
      <vt:variant>
        <vt:i4>98</vt:i4>
      </vt:variant>
      <vt:variant>
        <vt:i4>0</vt:i4>
      </vt:variant>
      <vt:variant>
        <vt:i4>5</vt:i4>
      </vt:variant>
      <vt:variant>
        <vt:lpwstr/>
      </vt:variant>
      <vt:variant>
        <vt:lpwstr>_Toc399495552</vt:lpwstr>
      </vt:variant>
      <vt:variant>
        <vt:i4>1703990</vt:i4>
      </vt:variant>
      <vt:variant>
        <vt:i4>92</vt:i4>
      </vt:variant>
      <vt:variant>
        <vt:i4>0</vt:i4>
      </vt:variant>
      <vt:variant>
        <vt:i4>5</vt:i4>
      </vt:variant>
      <vt:variant>
        <vt:lpwstr/>
      </vt:variant>
      <vt:variant>
        <vt:lpwstr>_Toc399495551</vt:lpwstr>
      </vt:variant>
      <vt:variant>
        <vt:i4>1703990</vt:i4>
      </vt:variant>
      <vt:variant>
        <vt:i4>86</vt:i4>
      </vt:variant>
      <vt:variant>
        <vt:i4>0</vt:i4>
      </vt:variant>
      <vt:variant>
        <vt:i4>5</vt:i4>
      </vt:variant>
      <vt:variant>
        <vt:lpwstr/>
      </vt:variant>
      <vt:variant>
        <vt:lpwstr>_Toc399495550</vt:lpwstr>
      </vt:variant>
      <vt:variant>
        <vt:i4>1769526</vt:i4>
      </vt:variant>
      <vt:variant>
        <vt:i4>80</vt:i4>
      </vt:variant>
      <vt:variant>
        <vt:i4>0</vt:i4>
      </vt:variant>
      <vt:variant>
        <vt:i4>5</vt:i4>
      </vt:variant>
      <vt:variant>
        <vt:lpwstr/>
      </vt:variant>
      <vt:variant>
        <vt:lpwstr>_Toc399495549</vt:lpwstr>
      </vt:variant>
      <vt:variant>
        <vt:i4>1769526</vt:i4>
      </vt:variant>
      <vt:variant>
        <vt:i4>74</vt:i4>
      </vt:variant>
      <vt:variant>
        <vt:i4>0</vt:i4>
      </vt:variant>
      <vt:variant>
        <vt:i4>5</vt:i4>
      </vt:variant>
      <vt:variant>
        <vt:lpwstr/>
      </vt:variant>
      <vt:variant>
        <vt:lpwstr>_Toc399495548</vt:lpwstr>
      </vt:variant>
      <vt:variant>
        <vt:i4>1769526</vt:i4>
      </vt:variant>
      <vt:variant>
        <vt:i4>68</vt:i4>
      </vt:variant>
      <vt:variant>
        <vt:i4>0</vt:i4>
      </vt:variant>
      <vt:variant>
        <vt:i4>5</vt:i4>
      </vt:variant>
      <vt:variant>
        <vt:lpwstr/>
      </vt:variant>
      <vt:variant>
        <vt:lpwstr>_Toc399495547</vt:lpwstr>
      </vt:variant>
      <vt:variant>
        <vt:i4>1769526</vt:i4>
      </vt:variant>
      <vt:variant>
        <vt:i4>62</vt:i4>
      </vt:variant>
      <vt:variant>
        <vt:i4>0</vt:i4>
      </vt:variant>
      <vt:variant>
        <vt:i4>5</vt:i4>
      </vt:variant>
      <vt:variant>
        <vt:lpwstr/>
      </vt:variant>
      <vt:variant>
        <vt:lpwstr>_Toc399495546</vt:lpwstr>
      </vt:variant>
      <vt:variant>
        <vt:i4>1769526</vt:i4>
      </vt:variant>
      <vt:variant>
        <vt:i4>56</vt:i4>
      </vt:variant>
      <vt:variant>
        <vt:i4>0</vt:i4>
      </vt:variant>
      <vt:variant>
        <vt:i4>5</vt:i4>
      </vt:variant>
      <vt:variant>
        <vt:lpwstr/>
      </vt:variant>
      <vt:variant>
        <vt:lpwstr>_Toc399495545</vt:lpwstr>
      </vt:variant>
      <vt:variant>
        <vt:i4>1769526</vt:i4>
      </vt:variant>
      <vt:variant>
        <vt:i4>50</vt:i4>
      </vt:variant>
      <vt:variant>
        <vt:i4>0</vt:i4>
      </vt:variant>
      <vt:variant>
        <vt:i4>5</vt:i4>
      </vt:variant>
      <vt:variant>
        <vt:lpwstr/>
      </vt:variant>
      <vt:variant>
        <vt:lpwstr>_Toc399495544</vt:lpwstr>
      </vt:variant>
      <vt:variant>
        <vt:i4>1769526</vt:i4>
      </vt:variant>
      <vt:variant>
        <vt:i4>44</vt:i4>
      </vt:variant>
      <vt:variant>
        <vt:i4>0</vt:i4>
      </vt:variant>
      <vt:variant>
        <vt:i4>5</vt:i4>
      </vt:variant>
      <vt:variant>
        <vt:lpwstr/>
      </vt:variant>
      <vt:variant>
        <vt:lpwstr>_Toc399495543</vt:lpwstr>
      </vt:variant>
      <vt:variant>
        <vt:i4>1769526</vt:i4>
      </vt:variant>
      <vt:variant>
        <vt:i4>38</vt:i4>
      </vt:variant>
      <vt:variant>
        <vt:i4>0</vt:i4>
      </vt:variant>
      <vt:variant>
        <vt:i4>5</vt:i4>
      </vt:variant>
      <vt:variant>
        <vt:lpwstr/>
      </vt:variant>
      <vt:variant>
        <vt:lpwstr>_Toc399495542</vt:lpwstr>
      </vt:variant>
      <vt:variant>
        <vt:i4>1769526</vt:i4>
      </vt:variant>
      <vt:variant>
        <vt:i4>32</vt:i4>
      </vt:variant>
      <vt:variant>
        <vt:i4>0</vt:i4>
      </vt:variant>
      <vt:variant>
        <vt:i4>5</vt:i4>
      </vt:variant>
      <vt:variant>
        <vt:lpwstr/>
      </vt:variant>
      <vt:variant>
        <vt:lpwstr>_Toc399495541</vt:lpwstr>
      </vt:variant>
      <vt:variant>
        <vt:i4>1769526</vt:i4>
      </vt:variant>
      <vt:variant>
        <vt:i4>26</vt:i4>
      </vt:variant>
      <vt:variant>
        <vt:i4>0</vt:i4>
      </vt:variant>
      <vt:variant>
        <vt:i4>5</vt:i4>
      </vt:variant>
      <vt:variant>
        <vt:lpwstr/>
      </vt:variant>
      <vt:variant>
        <vt:lpwstr>_Toc399495540</vt:lpwstr>
      </vt:variant>
      <vt:variant>
        <vt:i4>1835062</vt:i4>
      </vt:variant>
      <vt:variant>
        <vt:i4>20</vt:i4>
      </vt:variant>
      <vt:variant>
        <vt:i4>0</vt:i4>
      </vt:variant>
      <vt:variant>
        <vt:i4>5</vt:i4>
      </vt:variant>
      <vt:variant>
        <vt:lpwstr/>
      </vt:variant>
      <vt:variant>
        <vt:lpwstr>_Toc399495539</vt:lpwstr>
      </vt:variant>
      <vt:variant>
        <vt:i4>1835062</vt:i4>
      </vt:variant>
      <vt:variant>
        <vt:i4>14</vt:i4>
      </vt:variant>
      <vt:variant>
        <vt:i4>0</vt:i4>
      </vt:variant>
      <vt:variant>
        <vt:i4>5</vt:i4>
      </vt:variant>
      <vt:variant>
        <vt:lpwstr/>
      </vt:variant>
      <vt:variant>
        <vt:lpwstr>_Toc399495538</vt:lpwstr>
      </vt:variant>
      <vt:variant>
        <vt:i4>1835062</vt:i4>
      </vt:variant>
      <vt:variant>
        <vt:i4>8</vt:i4>
      </vt:variant>
      <vt:variant>
        <vt:i4>0</vt:i4>
      </vt:variant>
      <vt:variant>
        <vt:i4>5</vt:i4>
      </vt:variant>
      <vt:variant>
        <vt:lpwstr/>
      </vt:variant>
      <vt:variant>
        <vt:lpwstr>_Toc399495537</vt:lpwstr>
      </vt:variant>
      <vt:variant>
        <vt:i4>1835062</vt:i4>
      </vt:variant>
      <vt:variant>
        <vt:i4>2</vt:i4>
      </vt:variant>
      <vt:variant>
        <vt:i4>0</vt:i4>
      </vt:variant>
      <vt:variant>
        <vt:i4>5</vt:i4>
      </vt:variant>
      <vt:variant>
        <vt:lpwstr/>
      </vt:variant>
      <vt:variant>
        <vt:lpwstr>_Toc399495536</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2016-03-14T13:55:00Z</dcterms:created>
  <dc:creator>John</dc:creator>
  <lastModifiedBy>McKenna, Joanne (OCD)</lastModifiedBy>
  <lastPrinted>2016-03-10T20:02:00Z</lastPrinted>
  <dcterms:modified xsi:type="dcterms:W3CDTF">2016-03-14T13:55:00Z</dcterms:modified>
  <revision>2</revision>
  <dc:title>Massachusetts Department of Housing and Community Development</dc:title>
</coreProperties>
</file>