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20461880"/>
        <w:docPartObj>
          <w:docPartGallery w:val="Cover Pages"/>
          <w:docPartUnique/>
        </w:docPartObj>
      </w:sdtPr>
      <w:sdtContent>
        <w:p w:rsidR="00FC6D19" w:rsidRDefault="004F766B">
          <w:r>
            <w:rPr>
              <w:noProof/>
            </w:rPr>
            <mc:AlternateContent>
              <mc:Choice Requires="wpg">
                <w:drawing>
                  <wp:anchor distT="0" distB="0" distL="114300" distR="114300" simplePos="0" relativeHeight="251659264" behindDoc="0" locked="0" layoutInCell="1" allowOverlap="1" wp14:anchorId="559F72D0">
                    <wp:simplePos x="0" y="0"/>
                    <wp:positionH relativeFrom="page">
                      <wp:posOffset>346710</wp:posOffset>
                    </wp:positionH>
                    <wp:positionV relativeFrom="page">
                      <wp:posOffset>457200</wp:posOffset>
                    </wp:positionV>
                    <wp:extent cx="4619625" cy="903224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9032240"/>
                              <a:chOff x="0" y="-170881"/>
                              <a:chExt cx="240514" cy="9032241"/>
                            </a:xfrm>
                          </wpg:grpSpPr>
                          <wps:wsp>
                            <wps:cNvPr id="115" name="Rectangle 115"/>
                            <wps:cNvSpPr/>
                            <wps:spPr>
                              <a:xfrm>
                                <a:off x="0" y="-170881"/>
                                <a:ext cx="228600" cy="903224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rot="5400000">
                                <a:off x="-4280362" y="4340484"/>
                                <a:ext cx="9029846" cy="11906"/>
                              </a:xfrm>
                              <a:prstGeom prst="rect">
                                <a:avLst/>
                              </a:prstGeom>
                              <a:solidFill>
                                <a:srgbClr val="949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423B72" id="Group 114" o:spid="_x0000_s1026" style="position:absolute;margin-left:27.3pt;margin-top:36pt;width:363.75pt;height:711.2pt;z-index:251659264;mso-position-horizontal-relative:page;mso-position-vertical-relative:page" coordorigin=",-1708" coordsize="2405,9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">
                    <v:rect id="Rectangle 115" o:spid="_x0000_s1027" style="position:absolute;top:-1708;width:2286;height:90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" fillcolor="#002060" stroked="f" strokeweight="1pt"/>
                    <v:rect id="Rectangle 116" o:spid="_x0000_s1028" style="position:absolute;left:-42803;top:43405;width:90297;height: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" fillcolor="#949d23" stroked="f" strokeweight="1pt">
                      <v:path arrowok="t"/>
                      <o:lock v:ext="edit" aspectratio="t"/>
                    </v:rect>
                    <w10:wrap anchorx="page" anchory="page"/>
                  </v:group>
                </w:pict>
              </mc:Fallback>
            </mc:AlternateContent>
          </w:r>
        </w:p>
        <w:p w:rsidR="00B9623E" w:rsidRDefault="004F766B">
          <w:r>
            <w:rPr>
              <w:noProof/>
            </w:rPr>
            <mc:AlternateContent>
              <mc:Choice Requires="wps">
                <w:drawing>
                  <wp:anchor distT="0" distB="0" distL="114300" distR="114300" simplePos="0" relativeHeight="251662336" behindDoc="0" locked="0" layoutInCell="1" allowOverlap="1" wp14:anchorId="6F430E86">
                    <wp:simplePos x="0" y="0"/>
                    <wp:positionH relativeFrom="page">
                      <wp:posOffset>469265</wp:posOffset>
                    </wp:positionH>
                    <wp:positionV relativeFrom="page">
                      <wp:posOffset>8804275</wp:posOffset>
                    </wp:positionV>
                    <wp:extent cx="5701030" cy="464820"/>
                    <wp:effectExtent l="0" t="0" r="0" b="0"/>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103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95F" w:rsidRPr="00181A56" w:rsidRDefault="0025795F" w:rsidP="00FC6D19">
                                <w:pPr>
                                  <w:pStyle w:val="NoSpacing"/>
                                  <w:rPr>
                                    <w:caps/>
                                    <w:color w:val="FFFFFF" w:themeColor="background1"/>
                                    <w:sz w:val="36"/>
                                    <w:szCs w:val="36"/>
                                  </w:rPr>
                                </w:pPr>
                                <w:r>
                                  <w:rPr>
                                    <w:caps/>
                                    <w:color w:val="FFFFFF" w:themeColor="background1"/>
                                    <w:sz w:val="36"/>
                                    <w:szCs w:val="36"/>
                                  </w:rPr>
                                  <w:t xml:space="preserve">NOVEMBER 18, </w:t>
                                </w:r>
                                <w:r w:rsidRPr="00181A56">
                                  <w:rPr>
                                    <w:caps/>
                                    <w:color w:val="FFFFFF" w:themeColor="background1"/>
                                    <w:sz w:val="36"/>
                                    <w:szCs w:val="36"/>
                                  </w:rPr>
                                  <w:t>2016</w:t>
                                </w:r>
                              </w:p>
                              <w:p w:rsidR="0025795F" w:rsidRDefault="0025795F"/>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6F430E86" id="_x0000_t202" coordsize="21600,21600" o:spt="202" path="m,l,21600r21600,l21600,xe">
                    <v:stroke joinstyle="miter"/>
                    <v:path gradientshapeok="t" o:connecttype="rect"/>
                  </v:shapetype>
                  <v:shape id="Text Box 111" o:spid="_x0000_s1026" type="#_x0000_t202" style="position:absolute;margin-left:36.95pt;margin-top:693.25pt;width:448.9pt;height:36.6pt;z-index:251662336;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" filled="f" stroked="f" strokeweight=".5pt">
                    <v:path arrowok="t"/>
                    <v:textbox style="mso-fit-shape-to-text:t" inset="0,0,0,0">
                      <w:txbxContent>
                        <w:p w:rsidR="0025795F" w:rsidRPr="00181A56" w:rsidRDefault="0025795F" w:rsidP="00FC6D19">
                          <w:pPr>
                            <w:pStyle w:val="NoSpacing"/>
                            <w:rPr>
                              <w:caps/>
                              <w:color w:val="FFFFFF" w:themeColor="background1"/>
                              <w:sz w:val="36"/>
                              <w:szCs w:val="36"/>
                            </w:rPr>
                          </w:pPr>
                          <w:r>
                            <w:rPr>
                              <w:caps/>
                              <w:color w:val="FFFFFF" w:themeColor="background1"/>
                              <w:sz w:val="36"/>
                              <w:szCs w:val="36"/>
                            </w:rPr>
                            <w:t xml:space="preserve">NOVEMBER 18, </w:t>
                          </w:r>
                          <w:r w:rsidRPr="00181A56">
                            <w:rPr>
                              <w:caps/>
                              <w:color w:val="FFFFFF" w:themeColor="background1"/>
                              <w:sz w:val="36"/>
                              <w:szCs w:val="36"/>
                            </w:rPr>
                            <w:t>2016</w:t>
                          </w:r>
                        </w:p>
                        <w:p w:rsidR="0025795F" w:rsidRDefault="0025795F"/>
                      </w:txbxContent>
                    </v:textbox>
                    <w10:wrap type="square" anchorx="page" anchory="page"/>
                  </v:shape>
                </w:pict>
              </mc:Fallback>
            </mc:AlternateContent>
          </w:r>
        </w:p>
      </w:sdtContent>
    </w:sdt>
    <w:p w:rsidR="00B9623E" w:rsidRDefault="00367654">
      <w:r>
        <w:rPr>
          <w:noProof/>
        </w:rPr>
        <w:drawing>
          <wp:anchor distT="0" distB="0" distL="114300" distR="114300" simplePos="0" relativeHeight="251663360" behindDoc="0" locked="0" layoutInCell="1" allowOverlap="1">
            <wp:simplePos x="0" y="0"/>
            <wp:positionH relativeFrom="column">
              <wp:posOffset>4817110</wp:posOffset>
            </wp:positionH>
            <wp:positionV relativeFrom="paragraph">
              <wp:posOffset>5960745</wp:posOffset>
            </wp:positionV>
            <wp:extent cx="2159000" cy="226885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 Twitter TAC logo.jpg"/>
                    <pic:cNvPicPr/>
                  </pic:nvPicPr>
                  <pic:blipFill rotWithShape="1">
                    <a:blip r:embed="rId9" cstate="print">
                      <a:extLst>
                        <a:ext uri="{28A0092B-C50C-407E-A947-70E740481C1C}">
                          <a14:useLocalDpi xmlns:a14="http://schemas.microsoft.com/office/drawing/2010/main" val="0"/>
                        </a:ext>
                      </a:extLst>
                    </a:blip>
                    <a:srcRect l="8471" r="8620"/>
                    <a:stretch/>
                  </pic:blipFill>
                  <pic:spPr bwMode="auto">
                    <a:xfrm>
                      <a:off x="0" y="0"/>
                      <a:ext cx="2159000" cy="2268855"/>
                    </a:xfrm>
                    <a:prstGeom prst="rect">
                      <a:avLst/>
                    </a:prstGeom>
                    <a:ln>
                      <a:noFill/>
                    </a:ln>
                    <a:extLst>
                      <a:ext uri="{53640926-AAD7-44D8-BBD7-CCE9431645EC}">
                        <a14:shadowObscured xmlns:a14="http://schemas.microsoft.com/office/drawing/2010/main"/>
                      </a:ext>
                    </a:extLst>
                  </pic:spPr>
                </pic:pic>
              </a:graphicData>
            </a:graphic>
          </wp:anchor>
        </w:drawing>
      </w:r>
      <w:r w:rsidR="004F766B">
        <w:rPr>
          <w:noProof/>
        </w:rPr>
        <mc:AlternateContent>
          <mc:Choice Requires="wps">
            <w:drawing>
              <wp:anchor distT="0" distB="0" distL="114300" distR="114300" simplePos="0" relativeHeight="251661312" behindDoc="0" locked="0" layoutInCell="1" allowOverlap="1" wp14:anchorId="4456494A">
                <wp:simplePos x="0" y="0"/>
                <wp:positionH relativeFrom="page">
                  <wp:posOffset>473710</wp:posOffset>
                </wp:positionH>
                <wp:positionV relativeFrom="page">
                  <wp:posOffset>7649210</wp:posOffset>
                </wp:positionV>
                <wp:extent cx="4264025" cy="1043305"/>
                <wp:effectExtent l="0" t="0" r="0" b="0"/>
                <wp:wrapSquare wrapText="bothSides"/>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caps/>
                                <w:color w:val="FFFFFF" w:themeColor="background1"/>
                                <w:sz w:val="28"/>
                              </w:rPr>
                              <w:alias w:val="Author"/>
                              <w:tag w:val=""/>
                              <w:id w:val="146789518"/>
                              <w:dataBinding w:prefixMappings="xmlns:ns0='http://purl.org/dc/elements/1.1/' xmlns:ns1='http://schemas.openxmlformats.org/package/2006/metadata/core-properties' " w:xpath="/ns1:coreProperties[1]/ns0:creator[1]" w:storeItemID="{6C3C8BC8-F283-45AE-878A-BAB7291924A1}"/>
                              <w:text/>
                            </w:sdtPr>
                            <w:sdtContent>
                              <w:p w:rsidR="0025795F" w:rsidRPr="00FC6D19" w:rsidRDefault="0025795F" w:rsidP="00FC6D19">
                                <w:pPr>
                                  <w:pStyle w:val="NoSpacing"/>
                                  <w:rPr>
                                    <w:caps/>
                                    <w:color w:val="FFFFFF" w:themeColor="background1"/>
                                    <w:sz w:val="28"/>
                                    <w:szCs w:val="28"/>
                                  </w:rPr>
                                </w:pPr>
                                <w:r w:rsidRPr="00F40F0C">
                                  <w:rPr>
                                    <w:caps/>
                                    <w:color w:val="FFFFFF" w:themeColor="background1"/>
                                    <w:sz w:val="28"/>
                                  </w:rPr>
                                  <w:t>Prepared by:</w:t>
                                </w:r>
                              </w:p>
                            </w:sdtContent>
                          </w:sdt>
                          <w:p w:rsidR="0025795F" w:rsidRPr="00FC6D19" w:rsidRDefault="0025795F" w:rsidP="00FC6D19">
                            <w:pPr>
                              <w:pStyle w:val="NoSpacing"/>
                              <w:rPr>
                                <w:caps/>
                                <w:color w:val="FFFFFF" w:themeColor="background1"/>
                              </w:rPr>
                            </w:pPr>
                            <w:r>
                              <w:rPr>
                                <w:caps/>
                                <w:color w:val="FFFFFF" w:themeColor="background1"/>
                              </w:rPr>
                              <w:t xml:space="preserve">The </w:t>
                            </w:r>
                            <w:r w:rsidRPr="00FC6D19">
                              <w:rPr>
                                <w:caps/>
                                <w:color w:val="FFFFFF" w:themeColor="background1"/>
                              </w:rPr>
                              <w:t>technical assistance collaborative</w:t>
                            </w:r>
                            <w:r>
                              <w:rPr>
                                <w:caps/>
                                <w:color w:val="FFFFFF" w:themeColor="background1"/>
                              </w:rPr>
                              <w:t>, Inc.</w:t>
                            </w:r>
                          </w:p>
                          <w:p w:rsidR="0025795F" w:rsidRPr="00FC6D19" w:rsidRDefault="0025795F" w:rsidP="00FC6D19">
                            <w:pPr>
                              <w:pStyle w:val="NoSpacing"/>
                              <w:rPr>
                                <w:caps/>
                                <w:color w:val="FFFFFF" w:themeColor="background1"/>
                              </w:rPr>
                            </w:pPr>
                            <w:r w:rsidRPr="00FC6D19">
                              <w:rPr>
                                <w:caps/>
                                <w:color w:val="FFFFFF" w:themeColor="background1"/>
                              </w:rPr>
                              <w:t>31 saint james ave</w:t>
                            </w:r>
                          </w:p>
                          <w:p w:rsidR="0025795F" w:rsidRPr="00FC6D19" w:rsidRDefault="0025795F" w:rsidP="00FC6D19">
                            <w:pPr>
                              <w:pStyle w:val="NoSpacing"/>
                              <w:rPr>
                                <w:caps/>
                                <w:color w:val="FFFFFF" w:themeColor="background1"/>
                              </w:rPr>
                            </w:pPr>
                            <w:r w:rsidRPr="00FC6D19">
                              <w:rPr>
                                <w:caps/>
                                <w:color w:val="FFFFFF" w:themeColor="background1"/>
                              </w:rPr>
                              <w:t>s</w:t>
                            </w:r>
                            <w:r>
                              <w:rPr>
                                <w:caps/>
                                <w:color w:val="FFFFFF" w:themeColor="background1"/>
                              </w:rPr>
                              <w:t>uite</w:t>
                            </w:r>
                            <w:r w:rsidRPr="00FC6D19">
                              <w:rPr>
                                <w:caps/>
                                <w:color w:val="FFFFFF" w:themeColor="background1"/>
                              </w:rPr>
                              <w:t xml:space="preserve"> 950</w:t>
                            </w:r>
                          </w:p>
                          <w:p w:rsidR="0025795F" w:rsidRPr="00FC6D19" w:rsidRDefault="0025795F" w:rsidP="00FC6D19">
                            <w:pPr>
                              <w:pStyle w:val="NoSpacing"/>
                              <w:rPr>
                                <w:caps/>
                                <w:color w:val="FFFFFF" w:themeColor="background1"/>
                              </w:rPr>
                            </w:pPr>
                            <w:r w:rsidRPr="00FC6D19">
                              <w:rPr>
                                <w:caps/>
                                <w:color w:val="FFFFFF" w:themeColor="background1"/>
                              </w:rPr>
                              <w:t>boston, ma 02116</w:t>
                            </w:r>
                            <w:r w:rsidRPr="00FC6D19">
                              <w:rPr>
                                <w:color w:val="FFFFFF" w:themeColor="background1"/>
                              </w:rPr>
                              <w:t xml:space="preserve">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456494A" id="Text Box 112" o:spid="_x0000_s1027" type="#_x0000_t202" style="position:absolute;margin-left:37.3pt;margin-top:602.3pt;width:335.75pt;height:8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" filled="f" stroked="f" strokeweight=".5pt">
                <v:textbox inset="0,0,0,0">
                  <w:txbxContent>
                    <w:sdt>
                      <w:sdtPr>
                        <w:rPr>
                          <w:caps/>
                          <w:color w:val="FFFFFF" w:themeColor="background1"/>
                          <w:sz w:val="28"/>
                        </w:rPr>
                        <w:alias w:val="Author"/>
                        <w:tag w:val=""/>
                        <w:id w:val="146789518"/>
                        <w:dataBinding w:prefixMappings="xmlns:ns0='http://purl.org/dc/elements/1.1/' xmlns:ns1='http://schemas.openxmlformats.org/package/2006/metadata/core-properties' " w:xpath="/ns1:coreProperties[1]/ns0:creator[1]" w:storeItemID="{6C3C8BC8-F283-45AE-878A-BAB7291924A1}"/>
                        <w:text/>
                      </w:sdtPr>
                      <w:sdtContent>
                        <w:p w:rsidR="0025795F" w:rsidRPr="00FC6D19" w:rsidRDefault="0025795F" w:rsidP="00FC6D19">
                          <w:pPr>
                            <w:pStyle w:val="NoSpacing"/>
                            <w:rPr>
                              <w:caps/>
                              <w:color w:val="FFFFFF" w:themeColor="background1"/>
                              <w:sz w:val="28"/>
                              <w:szCs w:val="28"/>
                            </w:rPr>
                          </w:pPr>
                          <w:r w:rsidRPr="00F40F0C">
                            <w:rPr>
                              <w:caps/>
                              <w:color w:val="FFFFFF" w:themeColor="background1"/>
                              <w:sz w:val="28"/>
                            </w:rPr>
                            <w:t>Prepared by:</w:t>
                          </w:r>
                        </w:p>
                      </w:sdtContent>
                    </w:sdt>
                    <w:p w:rsidR="0025795F" w:rsidRPr="00FC6D19" w:rsidRDefault="0025795F" w:rsidP="00FC6D19">
                      <w:pPr>
                        <w:pStyle w:val="NoSpacing"/>
                        <w:rPr>
                          <w:caps/>
                          <w:color w:val="FFFFFF" w:themeColor="background1"/>
                        </w:rPr>
                      </w:pPr>
                      <w:r>
                        <w:rPr>
                          <w:caps/>
                          <w:color w:val="FFFFFF" w:themeColor="background1"/>
                        </w:rPr>
                        <w:t xml:space="preserve">The </w:t>
                      </w:r>
                      <w:r w:rsidRPr="00FC6D19">
                        <w:rPr>
                          <w:caps/>
                          <w:color w:val="FFFFFF" w:themeColor="background1"/>
                        </w:rPr>
                        <w:t>technical assistance collaborative</w:t>
                      </w:r>
                      <w:r>
                        <w:rPr>
                          <w:caps/>
                          <w:color w:val="FFFFFF" w:themeColor="background1"/>
                        </w:rPr>
                        <w:t>, Inc.</w:t>
                      </w:r>
                    </w:p>
                    <w:p w:rsidR="0025795F" w:rsidRPr="00FC6D19" w:rsidRDefault="0025795F" w:rsidP="00FC6D19">
                      <w:pPr>
                        <w:pStyle w:val="NoSpacing"/>
                        <w:rPr>
                          <w:caps/>
                          <w:color w:val="FFFFFF" w:themeColor="background1"/>
                        </w:rPr>
                      </w:pPr>
                      <w:r w:rsidRPr="00FC6D19">
                        <w:rPr>
                          <w:caps/>
                          <w:color w:val="FFFFFF" w:themeColor="background1"/>
                        </w:rPr>
                        <w:t>31 saint james ave</w:t>
                      </w:r>
                    </w:p>
                    <w:p w:rsidR="0025795F" w:rsidRPr="00FC6D19" w:rsidRDefault="0025795F" w:rsidP="00FC6D19">
                      <w:pPr>
                        <w:pStyle w:val="NoSpacing"/>
                        <w:rPr>
                          <w:caps/>
                          <w:color w:val="FFFFFF" w:themeColor="background1"/>
                        </w:rPr>
                      </w:pPr>
                      <w:r w:rsidRPr="00FC6D19">
                        <w:rPr>
                          <w:caps/>
                          <w:color w:val="FFFFFF" w:themeColor="background1"/>
                        </w:rPr>
                        <w:t>s</w:t>
                      </w:r>
                      <w:r>
                        <w:rPr>
                          <w:caps/>
                          <w:color w:val="FFFFFF" w:themeColor="background1"/>
                        </w:rPr>
                        <w:t>uite</w:t>
                      </w:r>
                      <w:r w:rsidRPr="00FC6D19">
                        <w:rPr>
                          <w:caps/>
                          <w:color w:val="FFFFFF" w:themeColor="background1"/>
                        </w:rPr>
                        <w:t xml:space="preserve"> 950</w:t>
                      </w:r>
                    </w:p>
                    <w:p w:rsidR="0025795F" w:rsidRPr="00FC6D19" w:rsidRDefault="0025795F" w:rsidP="00FC6D19">
                      <w:pPr>
                        <w:pStyle w:val="NoSpacing"/>
                        <w:rPr>
                          <w:caps/>
                          <w:color w:val="FFFFFF" w:themeColor="background1"/>
                        </w:rPr>
                      </w:pPr>
                      <w:r w:rsidRPr="00FC6D19">
                        <w:rPr>
                          <w:caps/>
                          <w:color w:val="FFFFFF" w:themeColor="background1"/>
                        </w:rPr>
                        <w:t>boston, ma 02116</w:t>
                      </w:r>
                      <w:r w:rsidRPr="00FC6D19">
                        <w:rPr>
                          <w:color w:val="FFFFFF" w:themeColor="background1"/>
                        </w:rPr>
                        <w:t xml:space="preserve"> </w:t>
                      </w:r>
                    </w:p>
                  </w:txbxContent>
                </v:textbox>
                <w10:wrap type="square" anchorx="page" anchory="page"/>
              </v:shape>
            </w:pict>
          </mc:Fallback>
        </mc:AlternateContent>
      </w:r>
      <w:r w:rsidR="004F766B">
        <w:rPr>
          <w:noProof/>
        </w:rPr>
        <mc:AlternateContent>
          <mc:Choice Requires="wps">
            <w:drawing>
              <wp:anchor distT="0" distB="0" distL="114300" distR="114300" simplePos="0" relativeHeight="251660288" behindDoc="0" locked="0" layoutInCell="1" allowOverlap="1" wp14:anchorId="4046E14E">
                <wp:simplePos x="0" y="0"/>
                <wp:positionH relativeFrom="page">
                  <wp:posOffset>469265</wp:posOffset>
                </wp:positionH>
                <wp:positionV relativeFrom="page">
                  <wp:posOffset>2963545</wp:posOffset>
                </wp:positionV>
                <wp:extent cx="4268470" cy="3782060"/>
                <wp:effectExtent l="0" t="0" r="0" b="0"/>
                <wp:wrapSquare wrapText="bothSides"/>
                <wp:docPr id="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8470" cy="378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b/>
                                <w:smallCaps/>
                                <w:color w:val="FFFFFF" w:themeColor="background1"/>
                                <w:sz w:val="36"/>
                                <w:szCs w:val="36"/>
                              </w:rPr>
                              <w:alias w:val="Subtitle"/>
                              <w:tag w:val=""/>
                              <w:id w:val="1410425243"/>
                              <w:dataBinding w:prefixMappings="xmlns:ns0='http://purl.org/dc/elements/1.1/' xmlns:ns1='http://schemas.openxmlformats.org/package/2006/metadata/core-properties' " w:xpath="/ns1:coreProperties[1]/ns0:subject[1]" w:storeItemID="{6C3C8BC8-F283-45AE-878A-BAB7291924A1}"/>
                              <w:text/>
                            </w:sdtPr>
                            <w:sdtContent>
                              <w:p w:rsidR="0025795F" w:rsidRPr="000165E4" w:rsidRDefault="0025795F" w:rsidP="00FC6D19">
                                <w:pPr>
                                  <w:pStyle w:val="NoSpacing"/>
                                  <w:rPr>
                                    <w:b/>
                                    <w:smallCaps/>
                                    <w:color w:val="FFFFFF" w:themeColor="background1"/>
                                    <w:sz w:val="36"/>
                                    <w:szCs w:val="36"/>
                                  </w:rPr>
                                </w:pPr>
                                <w:r w:rsidRPr="000165E4">
                                  <w:rPr>
                                    <w:b/>
                                    <w:smallCaps/>
                                    <w:color w:val="FFFFFF" w:themeColor="background1"/>
                                    <w:sz w:val="36"/>
                                    <w:szCs w:val="36"/>
                                  </w:rPr>
                                  <w:t>FY 16 Year-End Summary Report</w:t>
                                </w:r>
                              </w:p>
                            </w:sdtContent>
                          </w:sdt>
                          <w:p w:rsidR="0025795F" w:rsidRPr="000165E4" w:rsidRDefault="0025795F" w:rsidP="00FC6D19">
                            <w:pPr>
                              <w:pStyle w:val="NoSpacing"/>
                              <w:rPr>
                                <w:b/>
                                <w:caps/>
                                <w:color w:val="FFFFFF" w:themeColor="background1"/>
                                <w:sz w:val="56"/>
                                <w:szCs w:val="56"/>
                              </w:rPr>
                            </w:pPr>
                            <w:sdt>
                              <w:sdtPr>
                                <w:rPr>
                                  <w:b/>
                                  <w:caps/>
                                  <w:color w:val="FFFFFF" w:themeColor="background1"/>
                                  <w:sz w:val="56"/>
                                  <w:szCs w:val="56"/>
                                </w:rPr>
                                <w:alias w:val="Title"/>
                                <w:tag w:val=""/>
                                <w:id w:val="-783797697"/>
                                <w:dataBinding w:prefixMappings="xmlns:ns0='http://purl.org/dc/elements/1.1/' xmlns:ns1='http://schemas.openxmlformats.org/package/2006/metadata/core-properties' " w:xpath="/ns1:coreProperties[1]/ns0:title[1]" w:storeItemID="{6C3C8BC8-F283-45AE-878A-BAB7291924A1}"/>
                                <w:text w:multiLine="1"/>
                              </w:sdtPr>
                              <w:sdtContent>
                                <w:r w:rsidRPr="000165E4">
                                  <w:rPr>
                                    <w:b/>
                                    <w:caps/>
                                    <w:color w:val="FFFFFF" w:themeColor="background1"/>
                                    <w:sz w:val="56"/>
                                    <w:szCs w:val="56"/>
                                  </w:rPr>
                                  <w:t>Massachusetts Practice Review (MPR)</w:t>
                                </w:r>
                              </w:sdtContent>
                            </w:sdt>
                          </w:p>
                          <w:p w:rsidR="0025795F" w:rsidRPr="000165E4" w:rsidRDefault="0025795F" w:rsidP="00FC6D19">
                            <w:pPr>
                              <w:pStyle w:val="NoSpacing"/>
                              <w:rPr>
                                <w:smallCaps/>
                                <w:color w:val="FFFFFF" w:themeColor="background1"/>
                                <w:sz w:val="56"/>
                                <w:szCs w:val="5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sdt>
                            <w:sdtPr>
                              <w:rPr>
                                <w:color w:val="5B9BD5" w:themeColor="accent1"/>
                                <w:sz w:val="36"/>
                                <w:szCs w:val="36"/>
                              </w:rPr>
                              <w:alias w:val="Subtitle"/>
                              <w:tag w:val=""/>
                              <w:id w:val="-269541835"/>
                              <w:dataBinding w:prefixMappings="xmlns:ns0='http://purl.org/dc/elements/1.1/' xmlns:ns1='http://schemas.openxmlformats.org/package/2006/metadata/core-properties' " w:xpath="/ns1:coreProperties[1]/ns0:subject[1]" w:storeItemID="{6C3C8BC8-F283-45AE-878A-BAB7291924A1}"/>
                              <w:text/>
                            </w:sdtPr>
                            <w:sdtContent>
                              <w:p w:rsidR="0025795F" w:rsidRPr="00FC6D19" w:rsidRDefault="0025795F" w:rsidP="00FC6D19">
                                <w:pPr>
                                  <w:pStyle w:val="NoSpacing"/>
                                  <w:rPr>
                                    <w:color w:val="5B9BD5" w:themeColor="accent1"/>
                                    <w:sz w:val="36"/>
                                    <w:szCs w:val="36"/>
                                  </w:rPr>
                                </w:pPr>
                                <w:r>
                                  <w:rPr>
                                    <w:sz w:val="36"/>
                                    <w:szCs w:val="36"/>
                                  </w:rPr>
                                  <w:t>FY 16 Year-End Summary Report</w:t>
                                </w:r>
                              </w:p>
                            </w:sdtContent>
                          </w:sdt>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46E14E" id="Text Box 113" o:spid="_x0000_s1028" type="#_x0000_t202" style="position:absolute;margin-left:36.95pt;margin-top:233.35pt;width:336.1pt;height:29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" filled="f" stroked="f" strokeweight=".5pt">
                <v:textbox inset="0,0,0,0">
                  <w:txbxContent>
                    <w:sdt>
                      <w:sdtPr>
                        <w:rPr>
                          <w:b/>
                          <w:smallCaps/>
                          <w:color w:val="FFFFFF" w:themeColor="background1"/>
                          <w:sz w:val="36"/>
                          <w:szCs w:val="36"/>
                        </w:rPr>
                        <w:alias w:val="Subtitle"/>
                        <w:tag w:val=""/>
                        <w:id w:val="1410425243"/>
                        <w:dataBinding w:prefixMappings="xmlns:ns0='http://purl.org/dc/elements/1.1/' xmlns:ns1='http://schemas.openxmlformats.org/package/2006/metadata/core-properties' " w:xpath="/ns1:coreProperties[1]/ns0:subject[1]" w:storeItemID="{6C3C8BC8-F283-45AE-878A-BAB7291924A1}"/>
                        <w:text/>
                      </w:sdtPr>
                      <w:sdtContent>
                        <w:p w:rsidR="0025795F" w:rsidRPr="000165E4" w:rsidRDefault="0025795F" w:rsidP="00FC6D19">
                          <w:pPr>
                            <w:pStyle w:val="NoSpacing"/>
                            <w:rPr>
                              <w:b/>
                              <w:smallCaps/>
                              <w:color w:val="FFFFFF" w:themeColor="background1"/>
                              <w:sz w:val="36"/>
                              <w:szCs w:val="36"/>
                            </w:rPr>
                          </w:pPr>
                          <w:r w:rsidRPr="000165E4">
                            <w:rPr>
                              <w:b/>
                              <w:smallCaps/>
                              <w:color w:val="FFFFFF" w:themeColor="background1"/>
                              <w:sz w:val="36"/>
                              <w:szCs w:val="36"/>
                            </w:rPr>
                            <w:t>FY 16 Year-End Summary Report</w:t>
                          </w:r>
                        </w:p>
                      </w:sdtContent>
                    </w:sdt>
                    <w:p w:rsidR="0025795F" w:rsidRPr="000165E4" w:rsidRDefault="0025795F" w:rsidP="00FC6D19">
                      <w:pPr>
                        <w:pStyle w:val="NoSpacing"/>
                        <w:rPr>
                          <w:b/>
                          <w:caps/>
                          <w:color w:val="FFFFFF" w:themeColor="background1"/>
                          <w:sz w:val="56"/>
                          <w:szCs w:val="56"/>
                        </w:rPr>
                      </w:pPr>
                      <w:sdt>
                        <w:sdtPr>
                          <w:rPr>
                            <w:b/>
                            <w:caps/>
                            <w:color w:val="FFFFFF" w:themeColor="background1"/>
                            <w:sz w:val="56"/>
                            <w:szCs w:val="56"/>
                          </w:rPr>
                          <w:alias w:val="Title"/>
                          <w:tag w:val=""/>
                          <w:id w:val="-783797697"/>
                          <w:dataBinding w:prefixMappings="xmlns:ns0='http://purl.org/dc/elements/1.1/' xmlns:ns1='http://schemas.openxmlformats.org/package/2006/metadata/core-properties' " w:xpath="/ns1:coreProperties[1]/ns0:title[1]" w:storeItemID="{6C3C8BC8-F283-45AE-878A-BAB7291924A1}"/>
                          <w:text w:multiLine="1"/>
                        </w:sdtPr>
                        <w:sdtContent>
                          <w:r w:rsidRPr="000165E4">
                            <w:rPr>
                              <w:b/>
                              <w:caps/>
                              <w:color w:val="FFFFFF" w:themeColor="background1"/>
                              <w:sz w:val="56"/>
                              <w:szCs w:val="56"/>
                            </w:rPr>
                            <w:t>Massachusetts Practice Review (MPR)</w:t>
                          </w:r>
                        </w:sdtContent>
                      </w:sdt>
                    </w:p>
                    <w:p w:rsidR="0025795F" w:rsidRPr="000165E4" w:rsidRDefault="0025795F" w:rsidP="00FC6D19">
                      <w:pPr>
                        <w:pStyle w:val="NoSpacing"/>
                        <w:rPr>
                          <w:smallCaps/>
                          <w:color w:val="FFFFFF" w:themeColor="background1"/>
                          <w:sz w:val="56"/>
                          <w:szCs w:val="5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p w:rsidR="0025795F" w:rsidRDefault="0025795F" w:rsidP="00FC6D19">
                      <w:pPr>
                        <w:pStyle w:val="NoSpacing"/>
                        <w:rPr>
                          <w:smallCaps/>
                          <w:color w:val="44546A" w:themeColor="text2"/>
                          <w:sz w:val="36"/>
                          <w:szCs w:val="36"/>
                        </w:rPr>
                      </w:pPr>
                    </w:p>
                    <w:sdt>
                      <w:sdtPr>
                        <w:rPr>
                          <w:color w:val="5B9BD5" w:themeColor="accent1"/>
                          <w:sz w:val="36"/>
                          <w:szCs w:val="36"/>
                        </w:rPr>
                        <w:alias w:val="Subtitle"/>
                        <w:tag w:val=""/>
                        <w:id w:val="-269541835"/>
                        <w:dataBinding w:prefixMappings="xmlns:ns0='http://purl.org/dc/elements/1.1/' xmlns:ns1='http://schemas.openxmlformats.org/package/2006/metadata/core-properties' " w:xpath="/ns1:coreProperties[1]/ns0:subject[1]" w:storeItemID="{6C3C8BC8-F283-45AE-878A-BAB7291924A1}"/>
                        <w:text/>
                      </w:sdtPr>
                      <w:sdtContent>
                        <w:p w:rsidR="0025795F" w:rsidRPr="00FC6D19" w:rsidRDefault="0025795F" w:rsidP="00FC6D19">
                          <w:pPr>
                            <w:pStyle w:val="NoSpacing"/>
                            <w:rPr>
                              <w:color w:val="5B9BD5" w:themeColor="accent1"/>
                              <w:sz w:val="36"/>
                              <w:szCs w:val="36"/>
                            </w:rPr>
                          </w:pPr>
                          <w:r>
                            <w:rPr>
                              <w:sz w:val="36"/>
                              <w:szCs w:val="36"/>
                            </w:rPr>
                            <w:t>FY 16 Year-End Summary Report</w:t>
                          </w:r>
                        </w:p>
                      </w:sdtContent>
                    </w:sdt>
                  </w:txbxContent>
                </v:textbox>
                <w10:wrap type="square" anchorx="page" anchory="page"/>
              </v:shape>
            </w:pict>
          </mc:Fallback>
        </mc:AlternateContent>
      </w:r>
      <w:r w:rsidR="00B9623E">
        <w:br w:type="page"/>
      </w:r>
    </w:p>
    <w:sdt>
      <w:sdtPr>
        <w:rPr>
          <w:rFonts w:asciiTheme="minorHAnsi" w:eastAsiaTheme="minorHAnsi" w:hAnsiTheme="minorHAnsi" w:cstheme="minorBidi"/>
          <w:b w:val="0"/>
          <w:bCs w:val="0"/>
          <w:color w:val="auto"/>
          <w:sz w:val="24"/>
          <w:szCs w:val="24"/>
        </w:rPr>
        <w:id w:val="-633178380"/>
        <w:docPartObj>
          <w:docPartGallery w:val="Table of Contents"/>
          <w:docPartUnique/>
        </w:docPartObj>
      </w:sdtPr>
      <w:sdtEndPr>
        <w:rPr>
          <w:noProof/>
        </w:rPr>
      </w:sdtEndPr>
      <w:sdtContent>
        <w:p w:rsidR="00E50446" w:rsidRDefault="00E50446">
          <w:pPr>
            <w:pStyle w:val="TOCHeading"/>
          </w:pPr>
          <w:r>
            <w:t>Table of Contents</w:t>
          </w:r>
        </w:p>
        <w:p w:rsidR="000B13B4" w:rsidRDefault="00FE6EA0">
          <w:pPr>
            <w:pStyle w:val="TOC1"/>
            <w:tabs>
              <w:tab w:val="right" w:leader="dot" w:pos="10790"/>
            </w:tabs>
            <w:rPr>
              <w:rFonts w:eastAsiaTheme="minorEastAsia"/>
              <w:b w:val="0"/>
              <w:bCs w:val="0"/>
              <w:noProof/>
              <w:sz w:val="22"/>
              <w:szCs w:val="22"/>
            </w:rPr>
          </w:pPr>
          <w:r>
            <w:rPr>
              <w:b w:val="0"/>
              <w:bCs w:val="0"/>
            </w:rPr>
            <w:fldChar w:fldCharType="begin"/>
          </w:r>
          <w:r w:rsidR="00E50446">
            <w:instrText xml:space="preserve"> TOC \o "1-3" \h \z \u </w:instrText>
          </w:r>
          <w:r>
            <w:rPr>
              <w:b w:val="0"/>
              <w:bCs w:val="0"/>
            </w:rPr>
            <w:fldChar w:fldCharType="separate"/>
          </w:r>
          <w:hyperlink w:anchor="_Toc467142997" w:history="1">
            <w:r w:rsidR="000B13B4" w:rsidRPr="00E33D7D">
              <w:rPr>
                <w:rStyle w:val="Hyperlink"/>
                <w:noProof/>
              </w:rPr>
              <w:t>Executive Summary</w:t>
            </w:r>
            <w:r w:rsidR="000B13B4">
              <w:rPr>
                <w:noProof/>
                <w:webHidden/>
              </w:rPr>
              <w:tab/>
            </w:r>
            <w:r w:rsidR="000B13B4">
              <w:rPr>
                <w:noProof/>
                <w:webHidden/>
              </w:rPr>
              <w:fldChar w:fldCharType="begin"/>
            </w:r>
            <w:r w:rsidR="000B13B4">
              <w:rPr>
                <w:noProof/>
                <w:webHidden/>
              </w:rPr>
              <w:instrText xml:space="preserve"> PAGEREF _Toc467142997 \h </w:instrText>
            </w:r>
            <w:r w:rsidR="000B13B4">
              <w:rPr>
                <w:noProof/>
                <w:webHidden/>
              </w:rPr>
            </w:r>
            <w:r w:rsidR="000B13B4">
              <w:rPr>
                <w:noProof/>
                <w:webHidden/>
              </w:rPr>
              <w:fldChar w:fldCharType="separate"/>
            </w:r>
            <w:r w:rsidR="000B13B4">
              <w:rPr>
                <w:noProof/>
                <w:webHidden/>
              </w:rPr>
              <w:t>3</w:t>
            </w:r>
            <w:r w:rsidR="000B13B4">
              <w:rPr>
                <w:noProof/>
                <w:webHidden/>
              </w:rPr>
              <w:fldChar w:fldCharType="end"/>
            </w:r>
          </w:hyperlink>
        </w:p>
        <w:p w:rsidR="000B13B4" w:rsidRDefault="000B13B4">
          <w:pPr>
            <w:pStyle w:val="TOC1"/>
            <w:tabs>
              <w:tab w:val="right" w:leader="dot" w:pos="10790"/>
            </w:tabs>
            <w:rPr>
              <w:rFonts w:eastAsiaTheme="minorEastAsia"/>
              <w:b w:val="0"/>
              <w:bCs w:val="0"/>
              <w:noProof/>
              <w:sz w:val="22"/>
              <w:szCs w:val="22"/>
            </w:rPr>
          </w:pPr>
          <w:hyperlink w:anchor="_Toc467142998" w:history="1">
            <w:r w:rsidRPr="00E33D7D">
              <w:rPr>
                <w:rStyle w:val="Hyperlink"/>
                <w:noProof/>
              </w:rPr>
              <w:t>Background</w:t>
            </w:r>
            <w:r>
              <w:rPr>
                <w:noProof/>
                <w:webHidden/>
              </w:rPr>
              <w:tab/>
            </w:r>
            <w:r>
              <w:rPr>
                <w:noProof/>
                <w:webHidden/>
              </w:rPr>
              <w:fldChar w:fldCharType="begin"/>
            </w:r>
            <w:r>
              <w:rPr>
                <w:noProof/>
                <w:webHidden/>
              </w:rPr>
              <w:instrText xml:space="preserve"> PAGEREF _Toc467142998 \h </w:instrText>
            </w:r>
            <w:r>
              <w:rPr>
                <w:noProof/>
                <w:webHidden/>
              </w:rPr>
            </w:r>
            <w:r>
              <w:rPr>
                <w:noProof/>
                <w:webHidden/>
              </w:rPr>
              <w:fldChar w:fldCharType="separate"/>
            </w:r>
            <w:r>
              <w:rPr>
                <w:noProof/>
                <w:webHidden/>
              </w:rPr>
              <w:t>6</w:t>
            </w:r>
            <w:r>
              <w:rPr>
                <w:noProof/>
                <w:webHidden/>
              </w:rPr>
              <w:fldChar w:fldCharType="end"/>
            </w:r>
          </w:hyperlink>
        </w:p>
        <w:p w:rsidR="000B13B4" w:rsidRDefault="000B13B4">
          <w:pPr>
            <w:pStyle w:val="TOC1"/>
            <w:tabs>
              <w:tab w:val="right" w:leader="dot" w:pos="10790"/>
            </w:tabs>
            <w:rPr>
              <w:rFonts w:eastAsiaTheme="minorEastAsia"/>
              <w:b w:val="0"/>
              <w:bCs w:val="0"/>
              <w:noProof/>
              <w:sz w:val="22"/>
              <w:szCs w:val="22"/>
            </w:rPr>
          </w:pPr>
          <w:hyperlink w:anchor="_Toc467142999" w:history="1">
            <w:r w:rsidRPr="00E33D7D">
              <w:rPr>
                <w:rStyle w:val="Hyperlink"/>
                <w:noProof/>
              </w:rPr>
              <w:t>MPR Overview</w:t>
            </w:r>
            <w:r>
              <w:rPr>
                <w:noProof/>
                <w:webHidden/>
              </w:rPr>
              <w:tab/>
            </w:r>
            <w:r>
              <w:rPr>
                <w:noProof/>
                <w:webHidden/>
              </w:rPr>
              <w:fldChar w:fldCharType="begin"/>
            </w:r>
            <w:r>
              <w:rPr>
                <w:noProof/>
                <w:webHidden/>
              </w:rPr>
              <w:instrText xml:space="preserve"> PAGEREF _Toc467142999 \h </w:instrText>
            </w:r>
            <w:r>
              <w:rPr>
                <w:noProof/>
                <w:webHidden/>
              </w:rPr>
            </w:r>
            <w:r>
              <w:rPr>
                <w:noProof/>
                <w:webHidden/>
              </w:rPr>
              <w:fldChar w:fldCharType="separate"/>
            </w:r>
            <w:r>
              <w:rPr>
                <w:noProof/>
                <w:webHidden/>
              </w:rPr>
              <w:t>6</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00" w:history="1">
            <w:r w:rsidRPr="00E33D7D">
              <w:rPr>
                <w:rStyle w:val="Hyperlink"/>
                <w:noProof/>
              </w:rPr>
              <w:t>Protocol Description</w:t>
            </w:r>
            <w:r>
              <w:rPr>
                <w:noProof/>
                <w:webHidden/>
              </w:rPr>
              <w:tab/>
            </w:r>
            <w:r>
              <w:rPr>
                <w:noProof/>
                <w:webHidden/>
              </w:rPr>
              <w:fldChar w:fldCharType="begin"/>
            </w:r>
            <w:r>
              <w:rPr>
                <w:noProof/>
                <w:webHidden/>
              </w:rPr>
              <w:instrText xml:space="preserve"> PAGEREF _Toc467143000 \h </w:instrText>
            </w:r>
            <w:r>
              <w:rPr>
                <w:noProof/>
                <w:webHidden/>
              </w:rPr>
            </w:r>
            <w:r>
              <w:rPr>
                <w:noProof/>
                <w:webHidden/>
              </w:rPr>
              <w:fldChar w:fldCharType="separate"/>
            </w:r>
            <w:r>
              <w:rPr>
                <w:noProof/>
                <w:webHidden/>
              </w:rPr>
              <w:t>6</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01" w:history="1">
            <w:r w:rsidRPr="00E33D7D">
              <w:rPr>
                <w:rStyle w:val="Hyperlink"/>
                <w:noProof/>
              </w:rPr>
              <w:t>Practice Domains/Areas</w:t>
            </w:r>
            <w:r>
              <w:rPr>
                <w:noProof/>
                <w:webHidden/>
              </w:rPr>
              <w:tab/>
            </w:r>
            <w:r>
              <w:rPr>
                <w:noProof/>
                <w:webHidden/>
              </w:rPr>
              <w:fldChar w:fldCharType="begin"/>
            </w:r>
            <w:r>
              <w:rPr>
                <w:noProof/>
                <w:webHidden/>
              </w:rPr>
              <w:instrText xml:space="preserve"> PAGEREF _Toc467143001 \h </w:instrText>
            </w:r>
            <w:r>
              <w:rPr>
                <w:noProof/>
                <w:webHidden/>
              </w:rPr>
            </w:r>
            <w:r>
              <w:rPr>
                <w:noProof/>
                <w:webHidden/>
              </w:rPr>
              <w:fldChar w:fldCharType="separate"/>
            </w:r>
            <w:r>
              <w:rPr>
                <w:noProof/>
                <w:webHidden/>
              </w:rPr>
              <w:t>7</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02" w:history="1">
            <w:r w:rsidRPr="00E33D7D">
              <w:rPr>
                <w:rStyle w:val="Hyperlink"/>
                <w:noProof/>
              </w:rPr>
              <w:t>Practice Indicator Rating Scale</w:t>
            </w:r>
            <w:r>
              <w:rPr>
                <w:noProof/>
                <w:webHidden/>
              </w:rPr>
              <w:tab/>
            </w:r>
            <w:r>
              <w:rPr>
                <w:noProof/>
                <w:webHidden/>
              </w:rPr>
              <w:fldChar w:fldCharType="begin"/>
            </w:r>
            <w:r>
              <w:rPr>
                <w:noProof/>
                <w:webHidden/>
              </w:rPr>
              <w:instrText xml:space="preserve"> PAGEREF _Toc467143002 \h </w:instrText>
            </w:r>
            <w:r>
              <w:rPr>
                <w:noProof/>
                <w:webHidden/>
              </w:rPr>
            </w:r>
            <w:r>
              <w:rPr>
                <w:noProof/>
                <w:webHidden/>
              </w:rPr>
              <w:fldChar w:fldCharType="separate"/>
            </w:r>
            <w:r>
              <w:rPr>
                <w:noProof/>
                <w:webHidden/>
              </w:rPr>
              <w:t>8</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03" w:history="1">
            <w:r w:rsidRPr="00E33D7D">
              <w:rPr>
                <w:rStyle w:val="Hyperlink"/>
                <w:noProof/>
              </w:rPr>
              <w:t>Progress Domain/Areas</w:t>
            </w:r>
            <w:r>
              <w:rPr>
                <w:noProof/>
                <w:webHidden/>
              </w:rPr>
              <w:tab/>
            </w:r>
            <w:r>
              <w:rPr>
                <w:noProof/>
                <w:webHidden/>
              </w:rPr>
              <w:fldChar w:fldCharType="begin"/>
            </w:r>
            <w:r>
              <w:rPr>
                <w:noProof/>
                <w:webHidden/>
              </w:rPr>
              <w:instrText xml:space="preserve"> PAGEREF _Toc467143003 \h </w:instrText>
            </w:r>
            <w:r>
              <w:rPr>
                <w:noProof/>
                <w:webHidden/>
              </w:rPr>
            </w:r>
            <w:r>
              <w:rPr>
                <w:noProof/>
                <w:webHidden/>
              </w:rPr>
              <w:fldChar w:fldCharType="separate"/>
            </w:r>
            <w:r>
              <w:rPr>
                <w:noProof/>
                <w:webHidden/>
              </w:rPr>
              <w:t>8</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04" w:history="1">
            <w:r w:rsidRPr="00E33D7D">
              <w:rPr>
                <w:rStyle w:val="Hyperlink"/>
                <w:noProof/>
              </w:rPr>
              <w:t>Progress Indicator Rating Scale</w:t>
            </w:r>
            <w:r>
              <w:rPr>
                <w:noProof/>
                <w:webHidden/>
              </w:rPr>
              <w:tab/>
            </w:r>
            <w:r>
              <w:rPr>
                <w:noProof/>
                <w:webHidden/>
              </w:rPr>
              <w:fldChar w:fldCharType="begin"/>
            </w:r>
            <w:r>
              <w:rPr>
                <w:noProof/>
                <w:webHidden/>
              </w:rPr>
              <w:instrText xml:space="preserve"> PAGEREF _Toc467143004 \h </w:instrText>
            </w:r>
            <w:r>
              <w:rPr>
                <w:noProof/>
                <w:webHidden/>
              </w:rPr>
            </w:r>
            <w:r>
              <w:rPr>
                <w:noProof/>
                <w:webHidden/>
              </w:rPr>
              <w:fldChar w:fldCharType="separate"/>
            </w:r>
            <w:r>
              <w:rPr>
                <w:noProof/>
                <w:webHidden/>
              </w:rPr>
              <w:t>9</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05" w:history="1">
            <w:r w:rsidRPr="00E33D7D">
              <w:rPr>
                <w:rStyle w:val="Hyperlink"/>
                <w:noProof/>
              </w:rPr>
              <w:t>Reviewer Summative Responses</w:t>
            </w:r>
            <w:r>
              <w:rPr>
                <w:noProof/>
                <w:webHidden/>
              </w:rPr>
              <w:tab/>
            </w:r>
            <w:r>
              <w:rPr>
                <w:noProof/>
                <w:webHidden/>
              </w:rPr>
              <w:fldChar w:fldCharType="begin"/>
            </w:r>
            <w:r>
              <w:rPr>
                <w:noProof/>
                <w:webHidden/>
              </w:rPr>
              <w:instrText xml:space="preserve"> PAGEREF _Toc467143005 \h </w:instrText>
            </w:r>
            <w:r>
              <w:rPr>
                <w:noProof/>
                <w:webHidden/>
              </w:rPr>
            </w:r>
            <w:r>
              <w:rPr>
                <w:noProof/>
                <w:webHidden/>
              </w:rPr>
              <w:fldChar w:fldCharType="separate"/>
            </w:r>
            <w:r>
              <w:rPr>
                <w:noProof/>
                <w:webHidden/>
              </w:rPr>
              <w:t>9</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06" w:history="1">
            <w:r w:rsidRPr="00E33D7D">
              <w:rPr>
                <w:rStyle w:val="Hyperlink"/>
                <w:noProof/>
              </w:rPr>
              <w:t>Demographic &amp; IHT Supplemental Questions</w:t>
            </w:r>
            <w:r>
              <w:rPr>
                <w:noProof/>
                <w:webHidden/>
              </w:rPr>
              <w:tab/>
            </w:r>
            <w:r>
              <w:rPr>
                <w:noProof/>
                <w:webHidden/>
              </w:rPr>
              <w:fldChar w:fldCharType="begin"/>
            </w:r>
            <w:r>
              <w:rPr>
                <w:noProof/>
                <w:webHidden/>
              </w:rPr>
              <w:instrText xml:space="preserve"> PAGEREF _Toc467143006 \h </w:instrText>
            </w:r>
            <w:r>
              <w:rPr>
                <w:noProof/>
                <w:webHidden/>
              </w:rPr>
            </w:r>
            <w:r>
              <w:rPr>
                <w:noProof/>
                <w:webHidden/>
              </w:rPr>
              <w:fldChar w:fldCharType="separate"/>
            </w:r>
            <w:r>
              <w:rPr>
                <w:noProof/>
                <w:webHidden/>
              </w:rPr>
              <w:t>10</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07" w:history="1">
            <w:r w:rsidRPr="00E33D7D">
              <w:rPr>
                <w:rStyle w:val="Hyperlink"/>
                <w:noProof/>
              </w:rPr>
              <w:t>Reviewer Recruitment &amp; Training</w:t>
            </w:r>
            <w:r>
              <w:rPr>
                <w:noProof/>
                <w:webHidden/>
              </w:rPr>
              <w:tab/>
            </w:r>
            <w:r>
              <w:rPr>
                <w:noProof/>
                <w:webHidden/>
              </w:rPr>
              <w:fldChar w:fldCharType="begin"/>
            </w:r>
            <w:r>
              <w:rPr>
                <w:noProof/>
                <w:webHidden/>
              </w:rPr>
              <w:instrText xml:space="preserve"> PAGEREF _Toc467143007 \h </w:instrText>
            </w:r>
            <w:r>
              <w:rPr>
                <w:noProof/>
                <w:webHidden/>
              </w:rPr>
            </w:r>
            <w:r>
              <w:rPr>
                <w:noProof/>
                <w:webHidden/>
              </w:rPr>
              <w:fldChar w:fldCharType="separate"/>
            </w:r>
            <w:r>
              <w:rPr>
                <w:noProof/>
                <w:webHidden/>
              </w:rPr>
              <w:t>10</w:t>
            </w:r>
            <w:r>
              <w:rPr>
                <w:noProof/>
                <w:webHidden/>
              </w:rPr>
              <w:fldChar w:fldCharType="end"/>
            </w:r>
          </w:hyperlink>
        </w:p>
        <w:p w:rsidR="000B13B4" w:rsidRDefault="000B13B4">
          <w:pPr>
            <w:pStyle w:val="TOC1"/>
            <w:tabs>
              <w:tab w:val="right" w:leader="dot" w:pos="10790"/>
            </w:tabs>
            <w:rPr>
              <w:rFonts w:eastAsiaTheme="minorEastAsia"/>
              <w:b w:val="0"/>
              <w:bCs w:val="0"/>
              <w:noProof/>
              <w:sz w:val="22"/>
              <w:szCs w:val="22"/>
            </w:rPr>
          </w:pPr>
          <w:hyperlink w:anchor="_Toc467143008" w:history="1">
            <w:r w:rsidRPr="00E33D7D">
              <w:rPr>
                <w:rStyle w:val="Hyperlink"/>
                <w:noProof/>
              </w:rPr>
              <w:t>Methodology</w:t>
            </w:r>
            <w:r>
              <w:rPr>
                <w:noProof/>
                <w:webHidden/>
              </w:rPr>
              <w:tab/>
            </w:r>
            <w:r>
              <w:rPr>
                <w:noProof/>
                <w:webHidden/>
              </w:rPr>
              <w:fldChar w:fldCharType="begin"/>
            </w:r>
            <w:r>
              <w:rPr>
                <w:noProof/>
                <w:webHidden/>
              </w:rPr>
              <w:instrText xml:space="preserve"> PAGEREF _Toc467143008 \h </w:instrText>
            </w:r>
            <w:r>
              <w:rPr>
                <w:noProof/>
                <w:webHidden/>
              </w:rPr>
            </w:r>
            <w:r>
              <w:rPr>
                <w:noProof/>
                <w:webHidden/>
              </w:rPr>
              <w:fldChar w:fldCharType="separate"/>
            </w:r>
            <w:r>
              <w:rPr>
                <w:noProof/>
                <w:webHidden/>
              </w:rPr>
              <w:t>11</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09" w:history="1">
            <w:r w:rsidRPr="00E33D7D">
              <w:rPr>
                <w:rStyle w:val="Hyperlink"/>
                <w:noProof/>
              </w:rPr>
              <w:t>Provider Sampling</w:t>
            </w:r>
            <w:r>
              <w:rPr>
                <w:noProof/>
                <w:webHidden/>
              </w:rPr>
              <w:tab/>
            </w:r>
            <w:r>
              <w:rPr>
                <w:noProof/>
                <w:webHidden/>
              </w:rPr>
              <w:fldChar w:fldCharType="begin"/>
            </w:r>
            <w:r>
              <w:rPr>
                <w:noProof/>
                <w:webHidden/>
              </w:rPr>
              <w:instrText xml:space="preserve"> PAGEREF _Toc467143009 \h </w:instrText>
            </w:r>
            <w:r>
              <w:rPr>
                <w:noProof/>
                <w:webHidden/>
              </w:rPr>
            </w:r>
            <w:r>
              <w:rPr>
                <w:noProof/>
                <w:webHidden/>
              </w:rPr>
              <w:fldChar w:fldCharType="separate"/>
            </w:r>
            <w:r>
              <w:rPr>
                <w:noProof/>
                <w:webHidden/>
              </w:rPr>
              <w:t>11</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0" w:history="1">
            <w:r w:rsidRPr="00E33D7D">
              <w:rPr>
                <w:rStyle w:val="Hyperlink"/>
                <w:noProof/>
              </w:rPr>
              <w:t>Youth Selection</w:t>
            </w:r>
            <w:r>
              <w:rPr>
                <w:noProof/>
                <w:webHidden/>
              </w:rPr>
              <w:tab/>
            </w:r>
            <w:r>
              <w:rPr>
                <w:noProof/>
                <w:webHidden/>
              </w:rPr>
              <w:fldChar w:fldCharType="begin"/>
            </w:r>
            <w:r>
              <w:rPr>
                <w:noProof/>
                <w:webHidden/>
              </w:rPr>
              <w:instrText xml:space="preserve"> PAGEREF _Toc467143010 \h </w:instrText>
            </w:r>
            <w:r>
              <w:rPr>
                <w:noProof/>
                <w:webHidden/>
              </w:rPr>
            </w:r>
            <w:r>
              <w:rPr>
                <w:noProof/>
                <w:webHidden/>
              </w:rPr>
              <w:fldChar w:fldCharType="separate"/>
            </w:r>
            <w:r>
              <w:rPr>
                <w:noProof/>
                <w:webHidden/>
              </w:rPr>
              <w:t>12</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1" w:history="1">
            <w:r w:rsidRPr="00E33D7D">
              <w:rPr>
                <w:rStyle w:val="Hyperlink"/>
                <w:noProof/>
              </w:rPr>
              <w:t>Consent Process</w:t>
            </w:r>
            <w:r>
              <w:rPr>
                <w:noProof/>
                <w:webHidden/>
              </w:rPr>
              <w:tab/>
            </w:r>
            <w:r>
              <w:rPr>
                <w:noProof/>
                <w:webHidden/>
              </w:rPr>
              <w:fldChar w:fldCharType="begin"/>
            </w:r>
            <w:r>
              <w:rPr>
                <w:noProof/>
                <w:webHidden/>
              </w:rPr>
              <w:instrText xml:space="preserve"> PAGEREF _Toc467143011 \h </w:instrText>
            </w:r>
            <w:r>
              <w:rPr>
                <w:noProof/>
                <w:webHidden/>
              </w:rPr>
            </w:r>
            <w:r>
              <w:rPr>
                <w:noProof/>
                <w:webHidden/>
              </w:rPr>
              <w:fldChar w:fldCharType="separate"/>
            </w:r>
            <w:r>
              <w:rPr>
                <w:noProof/>
                <w:webHidden/>
              </w:rPr>
              <w:t>12</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2" w:history="1">
            <w:r w:rsidRPr="00E33D7D">
              <w:rPr>
                <w:rStyle w:val="Hyperlink"/>
                <w:noProof/>
              </w:rPr>
              <w:t>Scheduling/Conducting Reviews</w:t>
            </w:r>
            <w:r>
              <w:rPr>
                <w:noProof/>
                <w:webHidden/>
              </w:rPr>
              <w:tab/>
            </w:r>
            <w:r>
              <w:rPr>
                <w:noProof/>
                <w:webHidden/>
              </w:rPr>
              <w:fldChar w:fldCharType="begin"/>
            </w:r>
            <w:r>
              <w:rPr>
                <w:noProof/>
                <w:webHidden/>
              </w:rPr>
              <w:instrText xml:space="preserve"> PAGEREF _Toc467143012 \h </w:instrText>
            </w:r>
            <w:r>
              <w:rPr>
                <w:noProof/>
                <w:webHidden/>
              </w:rPr>
            </w:r>
            <w:r>
              <w:rPr>
                <w:noProof/>
                <w:webHidden/>
              </w:rPr>
              <w:fldChar w:fldCharType="separate"/>
            </w:r>
            <w:r>
              <w:rPr>
                <w:noProof/>
                <w:webHidden/>
              </w:rPr>
              <w:t>13</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3" w:history="1">
            <w:r w:rsidRPr="00E33D7D">
              <w:rPr>
                <w:rStyle w:val="Hyperlink"/>
                <w:noProof/>
              </w:rPr>
              <w:t>Debriefings</w:t>
            </w:r>
            <w:r>
              <w:rPr>
                <w:noProof/>
                <w:webHidden/>
              </w:rPr>
              <w:tab/>
            </w:r>
            <w:r>
              <w:rPr>
                <w:noProof/>
                <w:webHidden/>
              </w:rPr>
              <w:fldChar w:fldCharType="begin"/>
            </w:r>
            <w:r>
              <w:rPr>
                <w:noProof/>
                <w:webHidden/>
              </w:rPr>
              <w:instrText xml:space="preserve"> PAGEREF _Toc467143013 \h </w:instrText>
            </w:r>
            <w:r>
              <w:rPr>
                <w:noProof/>
                <w:webHidden/>
              </w:rPr>
            </w:r>
            <w:r>
              <w:rPr>
                <w:noProof/>
                <w:webHidden/>
              </w:rPr>
              <w:fldChar w:fldCharType="separate"/>
            </w:r>
            <w:r>
              <w:rPr>
                <w:noProof/>
                <w:webHidden/>
              </w:rPr>
              <w:t>13</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4" w:history="1">
            <w:r w:rsidRPr="00E33D7D">
              <w:rPr>
                <w:rStyle w:val="Hyperlink"/>
                <w:noProof/>
              </w:rPr>
              <w:t>Data Analysis &amp; Reporting</w:t>
            </w:r>
            <w:r>
              <w:rPr>
                <w:noProof/>
                <w:webHidden/>
              </w:rPr>
              <w:tab/>
            </w:r>
            <w:r>
              <w:rPr>
                <w:noProof/>
                <w:webHidden/>
              </w:rPr>
              <w:fldChar w:fldCharType="begin"/>
            </w:r>
            <w:r>
              <w:rPr>
                <w:noProof/>
                <w:webHidden/>
              </w:rPr>
              <w:instrText xml:space="preserve"> PAGEREF _Toc467143014 \h </w:instrText>
            </w:r>
            <w:r>
              <w:rPr>
                <w:noProof/>
                <w:webHidden/>
              </w:rPr>
            </w:r>
            <w:r>
              <w:rPr>
                <w:noProof/>
                <w:webHidden/>
              </w:rPr>
              <w:fldChar w:fldCharType="separate"/>
            </w:r>
            <w:r>
              <w:rPr>
                <w:noProof/>
                <w:webHidden/>
              </w:rPr>
              <w:t>13</w:t>
            </w:r>
            <w:r>
              <w:rPr>
                <w:noProof/>
                <w:webHidden/>
              </w:rPr>
              <w:fldChar w:fldCharType="end"/>
            </w:r>
          </w:hyperlink>
        </w:p>
        <w:p w:rsidR="000B13B4" w:rsidRDefault="000B13B4">
          <w:pPr>
            <w:pStyle w:val="TOC1"/>
            <w:tabs>
              <w:tab w:val="right" w:leader="dot" w:pos="10790"/>
            </w:tabs>
            <w:rPr>
              <w:rFonts w:eastAsiaTheme="minorEastAsia"/>
              <w:b w:val="0"/>
              <w:bCs w:val="0"/>
              <w:noProof/>
              <w:sz w:val="22"/>
              <w:szCs w:val="22"/>
            </w:rPr>
          </w:pPr>
          <w:hyperlink w:anchor="_Toc467143015" w:history="1">
            <w:r w:rsidRPr="00E33D7D">
              <w:rPr>
                <w:rStyle w:val="Hyperlink"/>
                <w:noProof/>
              </w:rPr>
              <w:t>Results</w:t>
            </w:r>
            <w:r>
              <w:rPr>
                <w:noProof/>
                <w:webHidden/>
              </w:rPr>
              <w:tab/>
            </w:r>
            <w:r>
              <w:rPr>
                <w:noProof/>
                <w:webHidden/>
              </w:rPr>
              <w:fldChar w:fldCharType="begin"/>
            </w:r>
            <w:r>
              <w:rPr>
                <w:noProof/>
                <w:webHidden/>
              </w:rPr>
              <w:instrText xml:space="preserve"> PAGEREF _Toc467143015 \h </w:instrText>
            </w:r>
            <w:r>
              <w:rPr>
                <w:noProof/>
                <w:webHidden/>
              </w:rPr>
            </w:r>
            <w:r>
              <w:rPr>
                <w:noProof/>
                <w:webHidden/>
              </w:rPr>
              <w:fldChar w:fldCharType="separate"/>
            </w:r>
            <w:r>
              <w:rPr>
                <w:noProof/>
                <w:webHidden/>
              </w:rPr>
              <w:t>13</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6" w:history="1">
            <w:r w:rsidRPr="00E33D7D">
              <w:rPr>
                <w:rStyle w:val="Hyperlink"/>
                <w:noProof/>
              </w:rPr>
              <w:t>Demographics</w:t>
            </w:r>
            <w:r>
              <w:rPr>
                <w:noProof/>
                <w:webHidden/>
              </w:rPr>
              <w:tab/>
            </w:r>
            <w:r>
              <w:rPr>
                <w:noProof/>
                <w:webHidden/>
              </w:rPr>
              <w:fldChar w:fldCharType="begin"/>
            </w:r>
            <w:r>
              <w:rPr>
                <w:noProof/>
                <w:webHidden/>
              </w:rPr>
              <w:instrText xml:space="preserve"> PAGEREF _Toc467143016 \h </w:instrText>
            </w:r>
            <w:r>
              <w:rPr>
                <w:noProof/>
                <w:webHidden/>
              </w:rPr>
            </w:r>
            <w:r>
              <w:rPr>
                <w:noProof/>
                <w:webHidden/>
              </w:rPr>
              <w:fldChar w:fldCharType="separate"/>
            </w:r>
            <w:r>
              <w:rPr>
                <w:noProof/>
                <w:webHidden/>
              </w:rPr>
              <w:t>13</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17" w:history="1">
            <w:r w:rsidRPr="00E33D7D">
              <w:rPr>
                <w:rStyle w:val="Hyperlink"/>
                <w:noProof/>
              </w:rPr>
              <w:t>Practice Domains</w:t>
            </w:r>
            <w:r>
              <w:rPr>
                <w:noProof/>
                <w:webHidden/>
              </w:rPr>
              <w:tab/>
            </w:r>
            <w:r>
              <w:rPr>
                <w:noProof/>
                <w:webHidden/>
              </w:rPr>
              <w:fldChar w:fldCharType="begin"/>
            </w:r>
            <w:r>
              <w:rPr>
                <w:noProof/>
                <w:webHidden/>
              </w:rPr>
              <w:instrText xml:space="preserve"> PAGEREF _Toc467143017 \h </w:instrText>
            </w:r>
            <w:r>
              <w:rPr>
                <w:noProof/>
                <w:webHidden/>
              </w:rPr>
            </w:r>
            <w:r>
              <w:rPr>
                <w:noProof/>
                <w:webHidden/>
              </w:rPr>
              <w:fldChar w:fldCharType="separate"/>
            </w:r>
            <w:r>
              <w:rPr>
                <w:noProof/>
                <w:webHidden/>
              </w:rPr>
              <w:t>14</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18" w:history="1">
            <w:r w:rsidRPr="00E33D7D">
              <w:rPr>
                <w:rStyle w:val="Hyperlink"/>
                <w:noProof/>
              </w:rPr>
              <w:t>Overall &amp; Domain Mean Scores</w:t>
            </w:r>
            <w:r>
              <w:rPr>
                <w:noProof/>
                <w:webHidden/>
              </w:rPr>
              <w:tab/>
            </w:r>
            <w:r>
              <w:rPr>
                <w:noProof/>
                <w:webHidden/>
              </w:rPr>
              <w:fldChar w:fldCharType="begin"/>
            </w:r>
            <w:r>
              <w:rPr>
                <w:noProof/>
                <w:webHidden/>
              </w:rPr>
              <w:instrText xml:space="preserve"> PAGEREF _Toc467143018 \h </w:instrText>
            </w:r>
            <w:r>
              <w:rPr>
                <w:noProof/>
                <w:webHidden/>
              </w:rPr>
            </w:r>
            <w:r>
              <w:rPr>
                <w:noProof/>
                <w:webHidden/>
              </w:rPr>
              <w:fldChar w:fldCharType="separate"/>
            </w:r>
            <w:r>
              <w:rPr>
                <w:noProof/>
                <w:webHidden/>
              </w:rPr>
              <w:t>14</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19" w:history="1">
            <w:r w:rsidRPr="00E33D7D">
              <w:rPr>
                <w:rStyle w:val="Hyperlink"/>
                <w:noProof/>
              </w:rPr>
              <w:t>Practice Area Mean Scores &amp; Frequencies</w:t>
            </w:r>
            <w:r>
              <w:rPr>
                <w:noProof/>
                <w:webHidden/>
              </w:rPr>
              <w:tab/>
            </w:r>
            <w:r>
              <w:rPr>
                <w:noProof/>
                <w:webHidden/>
              </w:rPr>
              <w:fldChar w:fldCharType="begin"/>
            </w:r>
            <w:r>
              <w:rPr>
                <w:noProof/>
                <w:webHidden/>
              </w:rPr>
              <w:instrText xml:space="preserve"> PAGEREF _Toc467143019 \h </w:instrText>
            </w:r>
            <w:r>
              <w:rPr>
                <w:noProof/>
                <w:webHidden/>
              </w:rPr>
            </w:r>
            <w:r>
              <w:rPr>
                <w:noProof/>
                <w:webHidden/>
              </w:rPr>
              <w:fldChar w:fldCharType="separate"/>
            </w:r>
            <w:r>
              <w:rPr>
                <w:noProof/>
                <w:webHidden/>
              </w:rPr>
              <w:t>16</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20" w:history="1">
            <w:r w:rsidRPr="00E33D7D">
              <w:rPr>
                <w:rStyle w:val="Hyperlink"/>
                <w:noProof/>
              </w:rPr>
              <w:t>Youth &amp; Family Progress Domain</w:t>
            </w:r>
            <w:r>
              <w:rPr>
                <w:noProof/>
                <w:webHidden/>
              </w:rPr>
              <w:tab/>
            </w:r>
            <w:r>
              <w:rPr>
                <w:noProof/>
                <w:webHidden/>
              </w:rPr>
              <w:fldChar w:fldCharType="begin"/>
            </w:r>
            <w:r>
              <w:rPr>
                <w:noProof/>
                <w:webHidden/>
              </w:rPr>
              <w:instrText xml:space="preserve"> PAGEREF _Toc467143020 \h </w:instrText>
            </w:r>
            <w:r>
              <w:rPr>
                <w:noProof/>
                <w:webHidden/>
              </w:rPr>
            </w:r>
            <w:r>
              <w:rPr>
                <w:noProof/>
                <w:webHidden/>
              </w:rPr>
              <w:fldChar w:fldCharType="separate"/>
            </w:r>
            <w:r>
              <w:rPr>
                <w:noProof/>
                <w:webHidden/>
              </w:rPr>
              <w:t>20</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21" w:history="1">
            <w:r w:rsidRPr="00E33D7D">
              <w:rPr>
                <w:rStyle w:val="Hyperlink"/>
                <w:noProof/>
              </w:rPr>
              <w:t>Domain Mean Scores</w:t>
            </w:r>
            <w:r>
              <w:rPr>
                <w:noProof/>
                <w:webHidden/>
              </w:rPr>
              <w:tab/>
            </w:r>
            <w:r>
              <w:rPr>
                <w:noProof/>
                <w:webHidden/>
              </w:rPr>
              <w:fldChar w:fldCharType="begin"/>
            </w:r>
            <w:r>
              <w:rPr>
                <w:noProof/>
                <w:webHidden/>
              </w:rPr>
              <w:instrText xml:space="preserve"> PAGEREF _Toc467143021 \h </w:instrText>
            </w:r>
            <w:r>
              <w:rPr>
                <w:noProof/>
                <w:webHidden/>
              </w:rPr>
            </w:r>
            <w:r>
              <w:rPr>
                <w:noProof/>
                <w:webHidden/>
              </w:rPr>
              <w:fldChar w:fldCharType="separate"/>
            </w:r>
            <w:r>
              <w:rPr>
                <w:noProof/>
                <w:webHidden/>
              </w:rPr>
              <w:t>20</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22" w:history="1">
            <w:r w:rsidRPr="00E33D7D">
              <w:rPr>
                <w:rStyle w:val="Hyperlink"/>
                <w:noProof/>
              </w:rPr>
              <w:t>Progress Area Mean Scores &amp; Frequencies</w:t>
            </w:r>
            <w:r>
              <w:rPr>
                <w:noProof/>
                <w:webHidden/>
              </w:rPr>
              <w:tab/>
            </w:r>
            <w:r>
              <w:rPr>
                <w:noProof/>
                <w:webHidden/>
              </w:rPr>
              <w:fldChar w:fldCharType="begin"/>
            </w:r>
            <w:r>
              <w:rPr>
                <w:noProof/>
                <w:webHidden/>
              </w:rPr>
              <w:instrText xml:space="preserve"> PAGEREF _Toc467143022 \h </w:instrText>
            </w:r>
            <w:r>
              <w:rPr>
                <w:noProof/>
                <w:webHidden/>
              </w:rPr>
            </w:r>
            <w:r>
              <w:rPr>
                <w:noProof/>
                <w:webHidden/>
              </w:rPr>
              <w:fldChar w:fldCharType="separate"/>
            </w:r>
            <w:r>
              <w:rPr>
                <w:noProof/>
                <w:webHidden/>
              </w:rPr>
              <w:t>20</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23" w:history="1">
            <w:r w:rsidRPr="00E33D7D">
              <w:rPr>
                <w:rStyle w:val="Hyperlink"/>
                <w:noProof/>
              </w:rPr>
              <w:t>IHT Supplemental Question Results</w:t>
            </w:r>
            <w:r>
              <w:rPr>
                <w:noProof/>
                <w:webHidden/>
              </w:rPr>
              <w:tab/>
            </w:r>
            <w:r>
              <w:rPr>
                <w:noProof/>
                <w:webHidden/>
              </w:rPr>
              <w:fldChar w:fldCharType="begin"/>
            </w:r>
            <w:r>
              <w:rPr>
                <w:noProof/>
                <w:webHidden/>
              </w:rPr>
              <w:instrText xml:space="preserve"> PAGEREF _Toc467143023 \h </w:instrText>
            </w:r>
            <w:r>
              <w:rPr>
                <w:noProof/>
                <w:webHidden/>
              </w:rPr>
            </w:r>
            <w:r>
              <w:rPr>
                <w:noProof/>
                <w:webHidden/>
              </w:rPr>
              <w:fldChar w:fldCharType="separate"/>
            </w:r>
            <w:r>
              <w:rPr>
                <w:noProof/>
                <w:webHidden/>
              </w:rPr>
              <w:t>21</w:t>
            </w:r>
            <w:r>
              <w:rPr>
                <w:noProof/>
                <w:webHidden/>
              </w:rPr>
              <w:fldChar w:fldCharType="end"/>
            </w:r>
          </w:hyperlink>
        </w:p>
        <w:p w:rsidR="000B13B4" w:rsidRDefault="000B13B4">
          <w:pPr>
            <w:pStyle w:val="TOC2"/>
            <w:tabs>
              <w:tab w:val="right" w:leader="dot" w:pos="10790"/>
            </w:tabs>
            <w:rPr>
              <w:rFonts w:eastAsiaTheme="minorEastAsia"/>
              <w:b w:val="0"/>
              <w:bCs w:val="0"/>
              <w:noProof/>
            </w:rPr>
          </w:pPr>
          <w:hyperlink w:anchor="_Toc467143024" w:history="1">
            <w:r w:rsidRPr="00E33D7D">
              <w:rPr>
                <w:rStyle w:val="Hyperlink"/>
                <w:noProof/>
              </w:rPr>
              <w:t>Key Themes from Summative Responses</w:t>
            </w:r>
            <w:r>
              <w:rPr>
                <w:noProof/>
                <w:webHidden/>
              </w:rPr>
              <w:tab/>
            </w:r>
            <w:r>
              <w:rPr>
                <w:noProof/>
                <w:webHidden/>
              </w:rPr>
              <w:fldChar w:fldCharType="begin"/>
            </w:r>
            <w:r>
              <w:rPr>
                <w:noProof/>
                <w:webHidden/>
              </w:rPr>
              <w:instrText xml:space="preserve"> PAGEREF _Toc467143024 \h </w:instrText>
            </w:r>
            <w:r>
              <w:rPr>
                <w:noProof/>
                <w:webHidden/>
              </w:rPr>
            </w:r>
            <w:r>
              <w:rPr>
                <w:noProof/>
                <w:webHidden/>
              </w:rPr>
              <w:fldChar w:fldCharType="separate"/>
            </w:r>
            <w:r>
              <w:rPr>
                <w:noProof/>
                <w:webHidden/>
              </w:rPr>
              <w:t>22</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25" w:history="1">
            <w:r w:rsidRPr="00E33D7D">
              <w:rPr>
                <w:rStyle w:val="Hyperlink"/>
                <w:noProof/>
              </w:rPr>
              <w:t>Practice Strengths</w:t>
            </w:r>
            <w:r>
              <w:rPr>
                <w:noProof/>
                <w:webHidden/>
              </w:rPr>
              <w:tab/>
            </w:r>
            <w:r>
              <w:rPr>
                <w:noProof/>
                <w:webHidden/>
              </w:rPr>
              <w:fldChar w:fldCharType="begin"/>
            </w:r>
            <w:r>
              <w:rPr>
                <w:noProof/>
                <w:webHidden/>
              </w:rPr>
              <w:instrText xml:space="preserve"> PAGEREF _Toc467143025 \h </w:instrText>
            </w:r>
            <w:r>
              <w:rPr>
                <w:noProof/>
                <w:webHidden/>
              </w:rPr>
            </w:r>
            <w:r>
              <w:rPr>
                <w:noProof/>
                <w:webHidden/>
              </w:rPr>
              <w:fldChar w:fldCharType="separate"/>
            </w:r>
            <w:r>
              <w:rPr>
                <w:noProof/>
                <w:webHidden/>
              </w:rPr>
              <w:t>23</w:t>
            </w:r>
            <w:r>
              <w:rPr>
                <w:noProof/>
                <w:webHidden/>
              </w:rPr>
              <w:fldChar w:fldCharType="end"/>
            </w:r>
          </w:hyperlink>
        </w:p>
        <w:p w:rsidR="000B13B4" w:rsidRDefault="000B13B4">
          <w:pPr>
            <w:pStyle w:val="TOC3"/>
            <w:tabs>
              <w:tab w:val="right" w:leader="dot" w:pos="10790"/>
            </w:tabs>
            <w:rPr>
              <w:rFonts w:eastAsiaTheme="minorEastAsia"/>
              <w:noProof/>
            </w:rPr>
          </w:pPr>
          <w:hyperlink w:anchor="_Toc467143026" w:history="1">
            <w:r w:rsidRPr="00E33D7D">
              <w:rPr>
                <w:rStyle w:val="Hyperlink"/>
                <w:noProof/>
              </w:rPr>
              <w:t>Opportunities for Practice Improvement</w:t>
            </w:r>
            <w:r>
              <w:rPr>
                <w:noProof/>
                <w:webHidden/>
              </w:rPr>
              <w:tab/>
            </w:r>
            <w:r>
              <w:rPr>
                <w:noProof/>
                <w:webHidden/>
              </w:rPr>
              <w:fldChar w:fldCharType="begin"/>
            </w:r>
            <w:r>
              <w:rPr>
                <w:noProof/>
                <w:webHidden/>
              </w:rPr>
              <w:instrText xml:space="preserve"> PAGEREF _Toc467143026 \h </w:instrText>
            </w:r>
            <w:r>
              <w:rPr>
                <w:noProof/>
                <w:webHidden/>
              </w:rPr>
            </w:r>
            <w:r>
              <w:rPr>
                <w:noProof/>
                <w:webHidden/>
              </w:rPr>
              <w:fldChar w:fldCharType="separate"/>
            </w:r>
            <w:r>
              <w:rPr>
                <w:noProof/>
                <w:webHidden/>
              </w:rPr>
              <w:t>23</w:t>
            </w:r>
            <w:r>
              <w:rPr>
                <w:noProof/>
                <w:webHidden/>
              </w:rPr>
              <w:fldChar w:fldCharType="end"/>
            </w:r>
          </w:hyperlink>
        </w:p>
        <w:p w:rsidR="000B13B4" w:rsidRDefault="000B13B4">
          <w:pPr>
            <w:pStyle w:val="TOC1"/>
            <w:tabs>
              <w:tab w:val="right" w:leader="dot" w:pos="10790"/>
            </w:tabs>
            <w:rPr>
              <w:rFonts w:eastAsiaTheme="minorEastAsia"/>
              <w:b w:val="0"/>
              <w:bCs w:val="0"/>
              <w:noProof/>
              <w:sz w:val="22"/>
              <w:szCs w:val="22"/>
            </w:rPr>
          </w:pPr>
          <w:hyperlink w:anchor="_Toc467143027" w:history="1">
            <w:r w:rsidRPr="00E33D7D">
              <w:rPr>
                <w:rStyle w:val="Hyperlink"/>
                <w:noProof/>
              </w:rPr>
              <w:t>Recommendations &amp; Next Steps</w:t>
            </w:r>
            <w:r>
              <w:rPr>
                <w:noProof/>
                <w:webHidden/>
              </w:rPr>
              <w:tab/>
            </w:r>
            <w:r>
              <w:rPr>
                <w:noProof/>
                <w:webHidden/>
              </w:rPr>
              <w:fldChar w:fldCharType="begin"/>
            </w:r>
            <w:r>
              <w:rPr>
                <w:noProof/>
                <w:webHidden/>
              </w:rPr>
              <w:instrText xml:space="preserve"> PAGEREF _Toc467143027 \h </w:instrText>
            </w:r>
            <w:r>
              <w:rPr>
                <w:noProof/>
                <w:webHidden/>
              </w:rPr>
            </w:r>
            <w:r>
              <w:rPr>
                <w:noProof/>
                <w:webHidden/>
              </w:rPr>
              <w:fldChar w:fldCharType="separate"/>
            </w:r>
            <w:r>
              <w:rPr>
                <w:noProof/>
                <w:webHidden/>
              </w:rPr>
              <w:t>25</w:t>
            </w:r>
            <w:r>
              <w:rPr>
                <w:noProof/>
                <w:webHidden/>
              </w:rPr>
              <w:fldChar w:fldCharType="end"/>
            </w:r>
          </w:hyperlink>
        </w:p>
        <w:p w:rsidR="000B13B4" w:rsidRDefault="000B13B4">
          <w:pPr>
            <w:pStyle w:val="TOC1"/>
            <w:tabs>
              <w:tab w:val="right" w:leader="dot" w:pos="10790"/>
            </w:tabs>
            <w:rPr>
              <w:rFonts w:eastAsiaTheme="minorEastAsia"/>
              <w:b w:val="0"/>
              <w:bCs w:val="0"/>
              <w:noProof/>
              <w:sz w:val="22"/>
              <w:szCs w:val="22"/>
            </w:rPr>
          </w:pPr>
          <w:hyperlink w:anchor="_Toc467143028" w:history="1">
            <w:r w:rsidRPr="00E33D7D">
              <w:rPr>
                <w:rStyle w:val="Hyperlink"/>
                <w:noProof/>
              </w:rPr>
              <w:t>Appendix A</w:t>
            </w:r>
            <w:r>
              <w:rPr>
                <w:noProof/>
                <w:webHidden/>
              </w:rPr>
              <w:tab/>
            </w:r>
            <w:r>
              <w:rPr>
                <w:noProof/>
                <w:webHidden/>
              </w:rPr>
              <w:fldChar w:fldCharType="begin"/>
            </w:r>
            <w:r>
              <w:rPr>
                <w:noProof/>
                <w:webHidden/>
              </w:rPr>
              <w:instrText xml:space="preserve"> PAGEREF _Toc467143028 \h </w:instrText>
            </w:r>
            <w:r>
              <w:rPr>
                <w:noProof/>
                <w:webHidden/>
              </w:rPr>
            </w:r>
            <w:r>
              <w:rPr>
                <w:noProof/>
                <w:webHidden/>
              </w:rPr>
              <w:fldChar w:fldCharType="separate"/>
            </w:r>
            <w:r>
              <w:rPr>
                <w:noProof/>
                <w:webHidden/>
              </w:rPr>
              <w:t>27</w:t>
            </w:r>
            <w:r>
              <w:rPr>
                <w:noProof/>
                <w:webHidden/>
              </w:rPr>
              <w:fldChar w:fldCharType="end"/>
            </w:r>
          </w:hyperlink>
        </w:p>
        <w:p w:rsidR="00E50446" w:rsidRDefault="00FE6EA0">
          <w:r>
            <w:rPr>
              <w:b/>
              <w:bCs/>
              <w:noProof/>
            </w:rPr>
            <w:fldChar w:fldCharType="end"/>
          </w:r>
        </w:p>
      </w:sdtContent>
    </w:sdt>
    <w:p w:rsidR="00EA75A0" w:rsidRDefault="00EA75A0">
      <w:pPr>
        <w:rPr>
          <w:rFonts w:ascii="Calibri" w:eastAsiaTheme="majorEastAsia" w:hAnsi="Calibri" w:cstheme="majorBidi"/>
          <w:b/>
          <w:bCs/>
          <w:color w:val="FFFFFF" w:themeColor="background1"/>
          <w:sz w:val="32"/>
          <w:szCs w:val="32"/>
        </w:rPr>
      </w:pPr>
      <w:r>
        <w:br w:type="page"/>
      </w:r>
    </w:p>
    <w:p w:rsidR="00AA31C9" w:rsidRDefault="008422F1" w:rsidP="008422F1">
      <w:pPr>
        <w:pStyle w:val="Heading1"/>
        <w:numPr>
          <w:ilvl w:val="0"/>
          <w:numId w:val="0"/>
        </w:numPr>
        <w:tabs>
          <w:tab w:val="left" w:pos="0"/>
        </w:tabs>
      </w:pPr>
      <w:bookmarkStart w:id="0" w:name="_Toc467142997"/>
      <w:r>
        <w:lastRenderedPageBreak/>
        <w:t>Executive Summary</w:t>
      </w:r>
      <w:bookmarkEnd w:id="0"/>
    </w:p>
    <w:p w:rsidR="00F9645A" w:rsidRDefault="00537C13" w:rsidP="007705C6">
      <w:pPr>
        <w:spacing w:before="240"/>
        <w:rPr>
          <w:rFonts w:eastAsia="Palatino Linotype" w:cs="Times New Roman"/>
        </w:rPr>
      </w:pPr>
      <w:r>
        <w:rPr>
          <w:rFonts w:ascii="Calibri" w:eastAsia="Calibri" w:hAnsi="Calibri" w:cs="Times New Roman"/>
        </w:rPr>
        <w:t>T</w:t>
      </w:r>
      <w:r w:rsidRPr="009072C6">
        <w:rPr>
          <w:rFonts w:ascii="Calibri" w:eastAsia="Calibri" w:hAnsi="Calibri" w:cs="Times New Roman"/>
        </w:rPr>
        <w:t>he Massachusetts Practice Review (MPR)</w:t>
      </w:r>
      <w:r>
        <w:rPr>
          <w:rFonts w:ascii="Calibri" w:eastAsia="Calibri" w:hAnsi="Calibri" w:cs="Times New Roman"/>
        </w:rPr>
        <w:t xml:space="preserve"> was implemented as part of the Commonwealth's ongoing effort to evaluate </w:t>
      </w:r>
      <w:r w:rsidRPr="007169D1">
        <w:rPr>
          <w:rFonts w:ascii="Calibri" w:eastAsia="Calibri" w:hAnsi="Calibri" w:cs="Times New Roman"/>
        </w:rPr>
        <w:t xml:space="preserve">the quality of care delivered to youth under 21 receiving MassHealth Children’s Behavioral Health Initiative (CBHI) services. </w:t>
      </w:r>
      <w:r w:rsidR="007169D1" w:rsidRPr="007169D1">
        <w:rPr>
          <w:rFonts w:eastAsia="Palatino Linotype" w:cs="Times New Roman"/>
        </w:rPr>
        <w:t>The MPR evaluate</w:t>
      </w:r>
      <w:r w:rsidR="00CF6AB0">
        <w:rPr>
          <w:rFonts w:eastAsia="Palatino Linotype" w:cs="Times New Roman"/>
        </w:rPr>
        <w:t>s</w:t>
      </w:r>
      <w:r w:rsidR="007169D1" w:rsidRPr="007169D1">
        <w:rPr>
          <w:rFonts w:eastAsia="Palatino Linotype" w:cs="Times New Roman"/>
        </w:rPr>
        <w:t xml:space="preserve"> the quality of CBHI services at the practice level, and follows earlier implementation of the System of Care Practice Review (SOCPR) by the Commonwealth and the Community Service Review (CSR) by the </w:t>
      </w:r>
      <w:r w:rsidR="007169D1" w:rsidRPr="007169D1">
        <w:rPr>
          <w:rFonts w:eastAsia="Palatino Linotype" w:cs="Times New Roman"/>
          <w:i/>
        </w:rPr>
        <w:t xml:space="preserve">Rosie D. </w:t>
      </w:r>
      <w:r w:rsidR="007169D1" w:rsidRPr="007169D1">
        <w:rPr>
          <w:rFonts w:eastAsia="Palatino Linotype" w:cs="Times New Roman"/>
        </w:rPr>
        <w:t xml:space="preserve">Court Monitor for the same purpose. </w:t>
      </w:r>
      <w:r w:rsidR="00F9645A" w:rsidRPr="007169D1">
        <w:rPr>
          <w:rFonts w:eastAsia="Palatino Linotype" w:cs="Times New Roman"/>
        </w:rPr>
        <w:t>After develop</w:t>
      </w:r>
      <w:r w:rsidR="00056B1A">
        <w:rPr>
          <w:rFonts w:eastAsia="Palatino Linotype" w:cs="Times New Roman"/>
        </w:rPr>
        <w:t xml:space="preserve">ing </w:t>
      </w:r>
      <w:r w:rsidR="00F9645A" w:rsidRPr="007169D1">
        <w:rPr>
          <w:rFonts w:eastAsia="Palatino Linotype" w:cs="Times New Roman"/>
        </w:rPr>
        <w:t>and pilot testing the MPR</w:t>
      </w:r>
      <w:r w:rsidR="00F9645A">
        <w:rPr>
          <w:rFonts w:eastAsia="Palatino Linotype" w:cs="Times New Roman"/>
        </w:rPr>
        <w:t xml:space="preserve"> protocol in Fiscal Year (FY) 15</w:t>
      </w:r>
      <w:r w:rsidR="00F9645A" w:rsidRPr="007169D1">
        <w:rPr>
          <w:rFonts w:eastAsia="Palatino Linotype" w:cs="Times New Roman"/>
        </w:rPr>
        <w:t xml:space="preserve">, the Commonwealth </w:t>
      </w:r>
      <w:r w:rsidR="00F9645A">
        <w:rPr>
          <w:rFonts w:eastAsia="Palatino Linotype" w:cs="Times New Roman"/>
        </w:rPr>
        <w:t xml:space="preserve">began </w:t>
      </w:r>
      <w:r w:rsidR="00F9645A" w:rsidRPr="007169D1">
        <w:rPr>
          <w:rFonts w:eastAsia="Palatino Linotype" w:cs="Times New Roman"/>
        </w:rPr>
        <w:t>implement</w:t>
      </w:r>
      <w:r w:rsidR="00F9645A">
        <w:rPr>
          <w:rFonts w:eastAsia="Palatino Linotype" w:cs="Times New Roman"/>
        </w:rPr>
        <w:t>ing</w:t>
      </w:r>
      <w:r w:rsidR="00F9645A" w:rsidRPr="007169D1">
        <w:rPr>
          <w:rFonts w:eastAsia="Palatino Linotype" w:cs="Times New Roman"/>
        </w:rPr>
        <w:t xml:space="preserve"> MPR case reviews in FY16</w:t>
      </w:r>
      <w:r w:rsidR="00F9645A">
        <w:rPr>
          <w:rFonts w:eastAsia="Palatino Linotype" w:cs="Times New Roman"/>
        </w:rPr>
        <w:t xml:space="preserve">. This report summarizes MPR reviews conducted </w:t>
      </w:r>
      <w:r w:rsidR="00CF6AB0">
        <w:rPr>
          <w:rFonts w:eastAsia="Palatino Linotype" w:cs="Times New Roman"/>
        </w:rPr>
        <w:t xml:space="preserve">between October 2015 and June 2016 </w:t>
      </w:r>
      <w:r w:rsidR="00F9645A">
        <w:rPr>
          <w:rFonts w:eastAsia="Palatino Linotype" w:cs="Times New Roman"/>
        </w:rPr>
        <w:t xml:space="preserve">with </w:t>
      </w:r>
      <w:r w:rsidR="00F9645A" w:rsidRPr="007169D1">
        <w:rPr>
          <w:rFonts w:eastAsia="Palatino Linotype" w:cs="Times New Roman"/>
        </w:rPr>
        <w:t>120 youth</w:t>
      </w:r>
      <w:r w:rsidR="00F9645A">
        <w:rPr>
          <w:rFonts w:eastAsia="Palatino Linotype" w:cs="Times New Roman"/>
        </w:rPr>
        <w:t>/families</w:t>
      </w:r>
      <w:r w:rsidR="00F9645A" w:rsidRPr="007169D1">
        <w:rPr>
          <w:rFonts w:eastAsia="Palatino Linotype" w:cs="Times New Roman"/>
        </w:rPr>
        <w:t xml:space="preserve"> enrolled in either In-Home Therapy (IHT) or Intensive Care Coordination (ICC) services</w:t>
      </w:r>
      <w:r w:rsidR="00F9645A">
        <w:rPr>
          <w:rFonts w:eastAsia="Palatino Linotype" w:cs="Times New Roman"/>
        </w:rPr>
        <w:t xml:space="preserve">. </w:t>
      </w:r>
    </w:p>
    <w:p w:rsidR="00F9645A" w:rsidRDefault="00F9645A" w:rsidP="00F9645A">
      <w:pPr>
        <w:rPr>
          <w:rFonts w:eastAsia="Palatino Linotype" w:cs="Times New Roman"/>
        </w:rPr>
      </w:pPr>
    </w:p>
    <w:p w:rsidR="00F9645A" w:rsidRPr="00F9645A" w:rsidRDefault="00F9645A" w:rsidP="00F9645A">
      <w:r w:rsidRPr="000C6A80">
        <w:t xml:space="preserve">The MPR </w:t>
      </w:r>
      <w:r>
        <w:t xml:space="preserve">is a qualitative case review tool that is used to guide evaluation of the clinical record and </w:t>
      </w:r>
      <w:r w:rsidRPr="000C6A80">
        <w:t>interview</w:t>
      </w:r>
      <w:r>
        <w:t>s</w:t>
      </w:r>
      <w:r w:rsidRPr="000C6A80">
        <w:t xml:space="preserve"> </w:t>
      </w:r>
      <w:r>
        <w:t xml:space="preserve">with </w:t>
      </w:r>
      <w:r w:rsidRPr="000C6A80">
        <w:t xml:space="preserve">multiple stakeholders, including the IHT or ICC service provider, the caregiver, the child/youth (if over 12), and other formal providers working with the child/youth and family. </w:t>
      </w:r>
      <w:r>
        <w:rPr>
          <w:rFonts w:eastAsia="Palatino Linotype" w:cs="Times New Roman"/>
        </w:rPr>
        <w:t xml:space="preserve">MPR reviews focus on IHT and </w:t>
      </w:r>
      <w:r>
        <w:rPr>
          <w:rFonts w:ascii="Calibri" w:eastAsia="Calibri" w:hAnsi="Calibri" w:cs="Times New Roman"/>
        </w:rPr>
        <w:t xml:space="preserve">ICC services because of the </w:t>
      </w:r>
      <w:r w:rsidR="00CF6AB0">
        <w:rPr>
          <w:rFonts w:ascii="Calibri" w:eastAsia="Calibri" w:hAnsi="Calibri" w:cs="Times New Roman"/>
        </w:rPr>
        <w:t xml:space="preserve">critical </w:t>
      </w:r>
      <w:r>
        <w:rPr>
          <w:rFonts w:ascii="Calibri" w:eastAsia="Calibri" w:hAnsi="Calibri" w:cs="Times New Roman"/>
        </w:rPr>
        <w:t xml:space="preserve">role </w:t>
      </w:r>
      <w:r w:rsidR="00CF6AB0">
        <w:rPr>
          <w:rFonts w:ascii="Calibri" w:eastAsia="Calibri" w:hAnsi="Calibri" w:cs="Times New Roman"/>
        </w:rPr>
        <w:t xml:space="preserve">that </w:t>
      </w:r>
      <w:r>
        <w:rPr>
          <w:rFonts w:ascii="Calibri" w:eastAsia="Calibri" w:hAnsi="Calibri" w:cs="Times New Roman"/>
        </w:rPr>
        <w:t xml:space="preserve">providers of these services </w:t>
      </w:r>
      <w:r w:rsidR="00CF6AB0">
        <w:rPr>
          <w:rFonts w:ascii="Calibri" w:eastAsia="Calibri" w:hAnsi="Calibri" w:cs="Times New Roman"/>
        </w:rPr>
        <w:t xml:space="preserve">play </w:t>
      </w:r>
      <w:r>
        <w:rPr>
          <w:rFonts w:ascii="Calibri" w:eastAsia="Calibri" w:hAnsi="Calibri" w:cs="Times New Roman"/>
        </w:rPr>
        <w:t>in the CBHI service system</w:t>
      </w:r>
      <w:r w:rsidR="00CF6AB0">
        <w:rPr>
          <w:rFonts w:ascii="Calibri" w:eastAsia="Calibri" w:hAnsi="Calibri" w:cs="Times New Roman"/>
        </w:rPr>
        <w:t>, serving</w:t>
      </w:r>
      <w:r>
        <w:rPr>
          <w:rFonts w:ascii="Calibri" w:eastAsia="Calibri" w:hAnsi="Calibri" w:cs="Times New Roman"/>
        </w:rPr>
        <w:t xml:space="preserve"> as "clinical hubs" responsible </w:t>
      </w:r>
      <w:r w:rsidR="00B100E6">
        <w:rPr>
          <w:rFonts w:ascii="Calibri" w:eastAsia="Calibri" w:hAnsi="Calibri" w:cs="Times New Roman"/>
        </w:rPr>
        <w:t xml:space="preserve">to provide </w:t>
      </w:r>
      <w:r>
        <w:rPr>
          <w:rFonts w:ascii="Calibri" w:eastAsia="Calibri" w:hAnsi="Calibri" w:cs="Times New Roman"/>
        </w:rPr>
        <w:t xml:space="preserve">care coordination </w:t>
      </w:r>
      <w:r w:rsidR="00CF6AB0">
        <w:rPr>
          <w:rFonts w:ascii="Calibri" w:eastAsia="Calibri" w:hAnsi="Calibri" w:cs="Times New Roman"/>
        </w:rPr>
        <w:t>for</w:t>
      </w:r>
      <w:r>
        <w:rPr>
          <w:rFonts w:ascii="Calibri" w:eastAsia="Calibri" w:hAnsi="Calibri" w:cs="Times New Roman"/>
        </w:rPr>
        <w:t xml:space="preserve"> youth with the most serious behavioral health challenges. </w:t>
      </w:r>
    </w:p>
    <w:p w:rsidR="00F9645A" w:rsidRDefault="00F9645A" w:rsidP="008179B7">
      <w:pPr>
        <w:rPr>
          <w:rFonts w:eastAsia="Palatino Linotype" w:cs="Times New Roman"/>
        </w:rPr>
      </w:pPr>
    </w:p>
    <w:p w:rsidR="00CF6AB0" w:rsidRPr="00CF6AB0" w:rsidRDefault="00CF6AB0" w:rsidP="00CF6AB0">
      <w:pPr>
        <w:rPr>
          <w:rFonts w:eastAsia="Palatino Linotype" w:cs="Times New Roman"/>
        </w:rPr>
      </w:pPr>
      <w:r>
        <w:t xml:space="preserve">Trained reviewers use the </w:t>
      </w:r>
      <w:r w:rsidR="00F9645A">
        <w:t xml:space="preserve">MPR </w:t>
      </w:r>
      <w:r>
        <w:t xml:space="preserve">protocol to elicit information on 12 Areas of </w:t>
      </w:r>
      <w:r w:rsidR="00F9645A">
        <w:t xml:space="preserve">service delivery practice within three larger Domains </w:t>
      </w:r>
      <w:r>
        <w:t>consistent with CBHI value</w:t>
      </w:r>
      <w:r w:rsidR="00613E90">
        <w:t>s</w:t>
      </w:r>
      <w:r>
        <w:t xml:space="preserve"> and principles </w:t>
      </w:r>
      <w:r w:rsidR="00F9645A">
        <w:t>to determine the extent to which services are: 1) Family-Driven and Youth-Guided; 2) Community-Based; and 3) Culturally Competent.</w:t>
      </w:r>
      <w:r w:rsidR="00F9645A">
        <w:rPr>
          <w:rFonts w:eastAsia="Palatino Linotype" w:cs="Times New Roman"/>
        </w:rPr>
        <w:t xml:space="preserve"> </w:t>
      </w:r>
      <w:r>
        <w:t>Scoring of the 12 MPR practice Areas is done using a 5-point rating scale as shown in</w:t>
      </w:r>
      <w:r w:rsidRPr="004627DB">
        <w:rPr>
          <w:color w:val="2E74B5" w:themeColor="accent1" w:themeShade="BF"/>
        </w:rPr>
        <w:t xml:space="preserve"> </w:t>
      </w:r>
      <w:r w:rsidRPr="004627DB">
        <w:rPr>
          <w:b/>
          <w:color w:val="5B9BD5" w:themeColor="accent1"/>
        </w:rPr>
        <w:t xml:space="preserve">Table </w:t>
      </w:r>
      <w:r>
        <w:rPr>
          <w:b/>
          <w:color w:val="5B9BD5" w:themeColor="accent1"/>
        </w:rPr>
        <w:t xml:space="preserve">1 </w:t>
      </w:r>
      <w:r w:rsidRPr="00CF6AB0">
        <w:t>below.</w:t>
      </w:r>
    </w:p>
    <w:p w:rsidR="00CF6AB0" w:rsidRDefault="00CF6AB0" w:rsidP="00CF6AB0">
      <w:pPr>
        <w:spacing w:before="120"/>
        <w:jc w:val="center"/>
        <w:rPr>
          <w:rFonts w:ascii="Calibri" w:eastAsia="Calibri" w:hAnsi="Calibri" w:cs="Times New Roman"/>
        </w:rPr>
      </w:pPr>
      <w:r w:rsidRPr="009020A3">
        <w:rPr>
          <w:b/>
          <w:color w:val="5B9BD5" w:themeColor="accent1"/>
        </w:rPr>
        <w:t xml:space="preserve">Table </w:t>
      </w:r>
      <w:r>
        <w:rPr>
          <w:b/>
          <w:color w:val="5B9BD5" w:themeColor="accent1"/>
        </w:rPr>
        <w:t>1</w:t>
      </w:r>
      <w:r w:rsidRPr="00AB7A08">
        <w:rPr>
          <w:b/>
          <w:color w:val="5B9BD5" w:themeColor="accent1"/>
        </w:rPr>
        <w:t>:</w:t>
      </w:r>
      <w:r>
        <w:rPr>
          <w:b/>
          <w:color w:val="5B9BD5" w:themeColor="accent1"/>
        </w:rPr>
        <w:t xml:space="preserve"> MPR Practice Rating Scale (Domains 1-3)</w:t>
      </w:r>
    </w:p>
    <w:tbl>
      <w:tblPr>
        <w:tblStyle w:val="MediumShading1-Accent11"/>
        <w:tblW w:w="0" w:type="auto"/>
        <w:jc w:val="center"/>
        <w:tblBorders>
          <w:insideH w:val="single" w:sz="6" w:space="0" w:color="84B3DF" w:themeColor="accent1" w:themeTint="BF"/>
          <w:insideV w:val="single" w:sz="6" w:space="0" w:color="84B3DF" w:themeColor="accent1" w:themeTint="BF"/>
        </w:tblBorders>
        <w:tblLook w:val="04A0" w:firstRow="1" w:lastRow="0" w:firstColumn="1" w:lastColumn="0" w:noHBand="0" w:noVBand="1"/>
      </w:tblPr>
      <w:tblGrid>
        <w:gridCol w:w="2889"/>
        <w:gridCol w:w="1960"/>
        <w:gridCol w:w="2048"/>
        <w:gridCol w:w="1872"/>
        <w:gridCol w:w="2011"/>
      </w:tblGrid>
      <w:tr w:rsidR="00CF6AB0" w:rsidRPr="00F817D3" w:rsidTr="00CF6A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Borders>
              <w:top w:val="none" w:sz="0" w:space="0" w:color="auto"/>
              <w:left w:val="none" w:sz="0" w:space="0" w:color="auto"/>
              <w:bottom w:val="none" w:sz="0" w:space="0" w:color="auto"/>
              <w:right w:val="none" w:sz="0" w:space="0" w:color="auto"/>
            </w:tcBorders>
            <w:vAlign w:val="bottom"/>
          </w:tcPr>
          <w:p w:rsidR="00CF6AB0" w:rsidRPr="009E537C" w:rsidRDefault="00CF6AB0" w:rsidP="00056B1A">
            <w:pPr>
              <w:jc w:val="center"/>
              <w:rPr>
                <w:rFonts w:asciiTheme="minorHAnsi" w:hAnsiTheme="minorHAnsi"/>
              </w:rPr>
            </w:pPr>
            <w:r w:rsidRPr="009E537C">
              <w:rPr>
                <w:rFonts w:asciiTheme="minorHAnsi" w:hAnsiTheme="minorHAnsi"/>
              </w:rPr>
              <w:t>Adverse Practice</w:t>
            </w:r>
          </w:p>
        </w:tc>
        <w:tc>
          <w:tcPr>
            <w:tcW w:w="1980" w:type="dxa"/>
            <w:tcBorders>
              <w:top w:val="none" w:sz="0" w:space="0" w:color="auto"/>
              <w:left w:val="none" w:sz="0" w:space="0" w:color="auto"/>
              <w:bottom w:val="none" w:sz="0" w:space="0" w:color="auto"/>
              <w:right w:val="none" w:sz="0" w:space="0" w:color="auto"/>
            </w:tcBorders>
            <w:vAlign w:val="bottom"/>
          </w:tcPr>
          <w:p w:rsidR="00CF6AB0" w:rsidRPr="009E537C" w:rsidRDefault="00CF6AB0" w:rsidP="00056B1A">
            <w:pPr>
              <w:ind w:right="-15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Poor Practice</w:t>
            </w:r>
          </w:p>
        </w:tc>
        <w:tc>
          <w:tcPr>
            <w:tcW w:w="2070" w:type="dxa"/>
            <w:tcBorders>
              <w:top w:val="none" w:sz="0" w:space="0" w:color="auto"/>
              <w:left w:val="none" w:sz="0" w:space="0" w:color="auto"/>
              <w:bottom w:val="none" w:sz="0" w:space="0" w:color="auto"/>
              <w:right w:val="none" w:sz="0" w:space="0" w:color="auto"/>
            </w:tcBorders>
            <w:vAlign w:val="bottom"/>
          </w:tcPr>
          <w:p w:rsidR="00CF6AB0" w:rsidRPr="009E537C" w:rsidRDefault="00CF6AB0" w:rsidP="00056B1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Fair Practice</w:t>
            </w:r>
          </w:p>
        </w:tc>
        <w:tc>
          <w:tcPr>
            <w:tcW w:w="1890" w:type="dxa"/>
            <w:tcBorders>
              <w:top w:val="none" w:sz="0" w:space="0" w:color="auto"/>
              <w:left w:val="none" w:sz="0" w:space="0" w:color="auto"/>
              <w:bottom w:val="none" w:sz="0" w:space="0" w:color="auto"/>
              <w:right w:val="none" w:sz="0" w:space="0" w:color="auto"/>
            </w:tcBorders>
            <w:vAlign w:val="bottom"/>
          </w:tcPr>
          <w:p w:rsidR="00CF6AB0" w:rsidRPr="009E537C" w:rsidRDefault="00CF6AB0" w:rsidP="00056B1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Good Practice</w:t>
            </w:r>
          </w:p>
        </w:tc>
        <w:tc>
          <w:tcPr>
            <w:tcW w:w="2026" w:type="dxa"/>
            <w:tcBorders>
              <w:top w:val="none" w:sz="0" w:space="0" w:color="auto"/>
              <w:left w:val="none" w:sz="0" w:space="0" w:color="auto"/>
              <w:bottom w:val="none" w:sz="0" w:space="0" w:color="auto"/>
              <w:right w:val="none" w:sz="0" w:space="0" w:color="auto"/>
            </w:tcBorders>
          </w:tcPr>
          <w:p w:rsidR="00CF6AB0" w:rsidRPr="009E537C" w:rsidRDefault="00CF6AB0" w:rsidP="00056B1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Exemplary/</w:t>
            </w:r>
          </w:p>
          <w:p w:rsidR="00CF6AB0" w:rsidRPr="009E537C" w:rsidRDefault="00CF6AB0" w:rsidP="00056B1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Best Practice</w:t>
            </w:r>
          </w:p>
        </w:tc>
      </w:tr>
      <w:tr w:rsidR="00CF6AB0" w:rsidRPr="00F817D3" w:rsidTr="00CF6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Borders>
              <w:right w:val="none" w:sz="0" w:space="0" w:color="auto"/>
            </w:tcBorders>
          </w:tcPr>
          <w:p w:rsidR="00CF6AB0" w:rsidRPr="009E537C" w:rsidRDefault="00CF6AB0" w:rsidP="00056B1A">
            <w:pPr>
              <w:jc w:val="center"/>
              <w:rPr>
                <w:rFonts w:asciiTheme="minorHAnsi" w:hAnsiTheme="minorHAnsi"/>
              </w:rPr>
            </w:pPr>
            <w:r w:rsidRPr="009E537C">
              <w:rPr>
                <w:rFonts w:asciiTheme="minorHAnsi" w:hAnsiTheme="minorHAnsi"/>
              </w:rPr>
              <w:t>1</w:t>
            </w:r>
          </w:p>
        </w:tc>
        <w:tc>
          <w:tcPr>
            <w:tcW w:w="1980" w:type="dxa"/>
            <w:tcBorders>
              <w:left w:val="none" w:sz="0" w:space="0" w:color="auto"/>
              <w:right w:val="none" w:sz="0" w:space="0" w:color="auto"/>
            </w:tcBorders>
          </w:tcPr>
          <w:p w:rsidR="00CF6AB0" w:rsidRPr="009E537C" w:rsidRDefault="00CF6AB0" w:rsidP="00056B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2</w:t>
            </w:r>
          </w:p>
        </w:tc>
        <w:tc>
          <w:tcPr>
            <w:tcW w:w="2070" w:type="dxa"/>
            <w:tcBorders>
              <w:left w:val="none" w:sz="0" w:space="0" w:color="auto"/>
              <w:right w:val="none" w:sz="0" w:space="0" w:color="auto"/>
            </w:tcBorders>
          </w:tcPr>
          <w:p w:rsidR="00CF6AB0" w:rsidRPr="009E537C" w:rsidRDefault="00CF6AB0" w:rsidP="00056B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3</w:t>
            </w:r>
          </w:p>
        </w:tc>
        <w:tc>
          <w:tcPr>
            <w:tcW w:w="1890" w:type="dxa"/>
            <w:tcBorders>
              <w:left w:val="none" w:sz="0" w:space="0" w:color="auto"/>
              <w:right w:val="none" w:sz="0" w:space="0" w:color="auto"/>
            </w:tcBorders>
          </w:tcPr>
          <w:p w:rsidR="00CF6AB0" w:rsidRPr="009E537C" w:rsidRDefault="00CF6AB0" w:rsidP="00056B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4</w:t>
            </w:r>
          </w:p>
        </w:tc>
        <w:tc>
          <w:tcPr>
            <w:tcW w:w="2026" w:type="dxa"/>
            <w:tcBorders>
              <w:left w:val="none" w:sz="0" w:space="0" w:color="auto"/>
            </w:tcBorders>
          </w:tcPr>
          <w:p w:rsidR="00CF6AB0" w:rsidRPr="009E537C" w:rsidRDefault="00CF6AB0" w:rsidP="00056B1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5</w:t>
            </w:r>
          </w:p>
        </w:tc>
      </w:tr>
    </w:tbl>
    <w:p w:rsidR="00056B1A" w:rsidRDefault="00056B1A" w:rsidP="00F9645A">
      <w:pPr>
        <w:rPr>
          <w:b/>
          <w:color w:val="5B9BD5" w:themeColor="accent1"/>
        </w:rPr>
      </w:pPr>
    </w:p>
    <w:p w:rsidR="0058647D" w:rsidRDefault="00056B1A" w:rsidP="0058647D">
      <w:r w:rsidRPr="001F2F61">
        <w:t xml:space="preserve">As shown in </w:t>
      </w:r>
      <w:r w:rsidRPr="001F2F61">
        <w:rPr>
          <w:b/>
          <w:color w:val="5B9BD5" w:themeColor="accent1"/>
        </w:rPr>
        <w:t xml:space="preserve">Table </w:t>
      </w:r>
      <w:r>
        <w:rPr>
          <w:b/>
          <w:color w:val="5B9BD5" w:themeColor="accent1"/>
        </w:rPr>
        <w:t>2</w:t>
      </w:r>
      <w:r w:rsidRPr="001F2F61">
        <w:t xml:space="preserve">, </w:t>
      </w:r>
      <w:r>
        <w:t xml:space="preserve">MPR Practice Domain mean scores </w:t>
      </w:r>
      <w:r w:rsidRPr="001F2F61">
        <w:t>rang</w:t>
      </w:r>
      <w:r>
        <w:t>e</w:t>
      </w:r>
      <w:r w:rsidR="00B100E6">
        <w:t>d</w:t>
      </w:r>
      <w:r w:rsidRPr="001F2F61">
        <w:t xml:space="preserve"> from 3.</w:t>
      </w:r>
      <w:r w:rsidR="006B7391">
        <w:t>1</w:t>
      </w:r>
      <w:r w:rsidRPr="001F2F61">
        <w:t xml:space="preserve"> to 3.</w:t>
      </w:r>
      <w:r w:rsidR="006B7391">
        <w:t>7</w:t>
      </w:r>
      <w:r>
        <w:t xml:space="preserve"> </w:t>
      </w:r>
      <w:r w:rsidRPr="001F2F61">
        <w:t>with an overall mean score of 3.2</w:t>
      </w:r>
      <w:r>
        <w:t>.</w:t>
      </w:r>
      <w:r w:rsidRPr="001F2F61">
        <w:t xml:space="preserve"> </w:t>
      </w:r>
    </w:p>
    <w:p w:rsidR="00F9645A" w:rsidRPr="00AB7A08" w:rsidRDefault="00F9645A" w:rsidP="0058647D">
      <w:pPr>
        <w:jc w:val="center"/>
        <w:rPr>
          <w:b/>
          <w:color w:val="5B9BD5" w:themeColor="accent1"/>
        </w:rPr>
      </w:pPr>
      <w:r>
        <w:rPr>
          <w:b/>
          <w:color w:val="5B9BD5" w:themeColor="accent1"/>
        </w:rPr>
        <w:t xml:space="preserve">Table </w:t>
      </w:r>
      <w:r w:rsidR="00CF6AB0">
        <w:rPr>
          <w:b/>
          <w:color w:val="5B9BD5" w:themeColor="accent1"/>
        </w:rPr>
        <w:t>2</w:t>
      </w:r>
      <w:r w:rsidRPr="00AB7A08">
        <w:rPr>
          <w:b/>
          <w:color w:val="5B9BD5" w:themeColor="accent1"/>
        </w:rPr>
        <w:t>: MPR Practice Domain Overall &amp; Mean Scores</w:t>
      </w:r>
    </w:p>
    <w:tbl>
      <w:tblPr>
        <w:tblStyle w:val="MediumShading1-Accent11"/>
        <w:tblW w:w="7803" w:type="dxa"/>
        <w:jc w:val="center"/>
        <w:tblLook w:val="04A0" w:firstRow="1" w:lastRow="0" w:firstColumn="1" w:lastColumn="0" w:noHBand="0" w:noVBand="1"/>
      </w:tblPr>
      <w:tblGrid>
        <w:gridCol w:w="4546"/>
        <w:gridCol w:w="627"/>
        <w:gridCol w:w="660"/>
        <w:gridCol w:w="770"/>
        <w:gridCol w:w="1200"/>
      </w:tblGrid>
      <w:tr w:rsidR="00F9645A" w:rsidRPr="00D62215" w:rsidTr="00F964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6" w:type="dxa"/>
            <w:vAlign w:val="bottom"/>
          </w:tcPr>
          <w:p w:rsidR="00F9645A" w:rsidRPr="00AF66BC" w:rsidRDefault="00F9645A" w:rsidP="00F9645A">
            <w:pPr>
              <w:rPr>
                <w:rFonts w:asciiTheme="minorHAnsi" w:hAnsiTheme="minorHAnsi"/>
                <w:b w:val="0"/>
                <w:bCs w:val="0"/>
                <w:color w:val="auto"/>
              </w:rPr>
            </w:pPr>
            <w:r w:rsidRPr="00AF66BC">
              <w:rPr>
                <w:rFonts w:asciiTheme="minorHAnsi" w:hAnsiTheme="minorHAnsi"/>
              </w:rPr>
              <w:t>Domain</w:t>
            </w:r>
          </w:p>
        </w:tc>
        <w:tc>
          <w:tcPr>
            <w:tcW w:w="627" w:type="dxa"/>
            <w:vAlign w:val="bottom"/>
          </w:tcPr>
          <w:p w:rsidR="00F9645A" w:rsidRPr="00AF66BC" w:rsidRDefault="00F9645A" w:rsidP="00F9645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Min</w:t>
            </w:r>
          </w:p>
        </w:tc>
        <w:tc>
          <w:tcPr>
            <w:tcW w:w="660" w:type="dxa"/>
            <w:vAlign w:val="bottom"/>
          </w:tcPr>
          <w:p w:rsidR="00F9645A" w:rsidRPr="00AF66BC" w:rsidRDefault="00F9645A" w:rsidP="00F9645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Max</w:t>
            </w:r>
          </w:p>
        </w:tc>
        <w:tc>
          <w:tcPr>
            <w:tcW w:w="770" w:type="dxa"/>
            <w:vAlign w:val="bottom"/>
          </w:tcPr>
          <w:p w:rsidR="00F9645A" w:rsidRPr="00AF66BC" w:rsidRDefault="00F9645A" w:rsidP="00F9645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Mean</w:t>
            </w:r>
          </w:p>
        </w:tc>
        <w:tc>
          <w:tcPr>
            <w:tcW w:w="1200" w:type="dxa"/>
          </w:tcPr>
          <w:p w:rsidR="00F9645A" w:rsidRPr="00AF66BC" w:rsidRDefault="00F9645A" w:rsidP="00F9645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Standard Deviation</w:t>
            </w:r>
          </w:p>
        </w:tc>
      </w:tr>
      <w:tr w:rsidR="00F9645A" w:rsidRPr="00D62215" w:rsidTr="00F9645A">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546" w:type="dxa"/>
          </w:tcPr>
          <w:p w:rsidR="00F9645A" w:rsidRPr="00AF66BC" w:rsidRDefault="00F9645A" w:rsidP="00F9645A">
            <w:pPr>
              <w:rPr>
                <w:rFonts w:asciiTheme="minorHAnsi" w:hAnsiTheme="minorHAnsi"/>
                <w:b w:val="0"/>
                <w:bCs w:val="0"/>
              </w:rPr>
            </w:pPr>
            <w:r w:rsidRPr="00AF66BC">
              <w:rPr>
                <w:rFonts w:asciiTheme="minorHAnsi" w:hAnsiTheme="minorHAnsi"/>
              </w:rPr>
              <w:t>Practice Overall</w:t>
            </w:r>
          </w:p>
          <w:p w:rsidR="00F9645A" w:rsidRPr="00AF66BC" w:rsidRDefault="00F9645A" w:rsidP="00F9645A">
            <w:pPr>
              <w:rPr>
                <w:rFonts w:asciiTheme="minorHAnsi" w:hAnsiTheme="minorHAnsi"/>
                <w:b w:val="0"/>
                <w:bCs w:val="0"/>
              </w:rPr>
            </w:pPr>
            <w:r w:rsidRPr="00AF66BC">
              <w:rPr>
                <w:rFonts w:asciiTheme="minorHAnsi" w:hAnsiTheme="minorHAnsi"/>
                <w:b w:val="0"/>
              </w:rPr>
              <w:t>-ICC</w:t>
            </w:r>
          </w:p>
          <w:p w:rsidR="00F9645A" w:rsidRPr="00AF66BC" w:rsidRDefault="00F9645A" w:rsidP="00F9645A">
            <w:pPr>
              <w:rPr>
                <w:rFonts w:asciiTheme="minorHAnsi" w:hAnsiTheme="minorHAnsi"/>
                <w:b w:val="0"/>
                <w:bCs w:val="0"/>
              </w:rPr>
            </w:pPr>
            <w:r w:rsidRPr="00AF66BC">
              <w:rPr>
                <w:rFonts w:asciiTheme="minorHAnsi" w:hAnsiTheme="minorHAnsi"/>
                <w:b w:val="0"/>
              </w:rPr>
              <w:t>-IHT</w:t>
            </w:r>
          </w:p>
        </w:tc>
        <w:tc>
          <w:tcPr>
            <w:tcW w:w="627"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1.</w:t>
            </w:r>
            <w:r w:rsidR="00A26153">
              <w:rPr>
                <w:rFonts w:asciiTheme="minorHAnsi" w:hAnsiTheme="minorHAnsi"/>
                <w:b/>
              </w:rPr>
              <w:t>1</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2.0</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1.</w:t>
            </w:r>
            <w:r w:rsidR="00A26153">
              <w:rPr>
                <w:rFonts w:asciiTheme="minorHAnsi" w:hAnsiTheme="minorHAnsi"/>
              </w:rPr>
              <w:t>1</w:t>
            </w:r>
          </w:p>
        </w:tc>
        <w:tc>
          <w:tcPr>
            <w:tcW w:w="660"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4.</w:t>
            </w:r>
            <w:r w:rsidR="00A26153">
              <w:rPr>
                <w:rFonts w:asciiTheme="minorHAnsi" w:hAnsiTheme="minorHAnsi"/>
                <w:b/>
              </w:rPr>
              <w:t>7</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4.7</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4.</w:t>
            </w:r>
            <w:r w:rsidR="00A26153">
              <w:rPr>
                <w:rFonts w:asciiTheme="minorHAnsi" w:hAnsiTheme="minorHAnsi"/>
              </w:rPr>
              <w:t>6</w:t>
            </w:r>
          </w:p>
        </w:tc>
        <w:tc>
          <w:tcPr>
            <w:tcW w:w="770"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3.2</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w:t>
            </w:r>
            <w:r w:rsidR="006B7391">
              <w:rPr>
                <w:rFonts w:asciiTheme="minorHAnsi" w:hAnsiTheme="minorHAnsi"/>
              </w:rPr>
              <w:t>4</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3.1</w:t>
            </w:r>
          </w:p>
        </w:tc>
        <w:tc>
          <w:tcPr>
            <w:tcW w:w="1200"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.65</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.60</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.67</w:t>
            </w:r>
          </w:p>
        </w:tc>
      </w:tr>
      <w:tr w:rsidR="00F9645A" w:rsidRPr="00D62215" w:rsidTr="00F9645A">
        <w:trPr>
          <w:cnfStyle w:val="000000010000" w:firstRow="0" w:lastRow="0" w:firstColumn="0" w:lastColumn="0" w:oddVBand="0" w:evenVBand="0" w:oddHBand="0" w:evenHBand="1"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46" w:type="dxa"/>
          </w:tcPr>
          <w:p w:rsidR="00F9645A" w:rsidRPr="00AF66BC" w:rsidRDefault="00F9645A" w:rsidP="00F9645A">
            <w:pPr>
              <w:rPr>
                <w:rFonts w:asciiTheme="minorHAnsi" w:hAnsiTheme="minorHAnsi"/>
              </w:rPr>
            </w:pPr>
            <w:r w:rsidRPr="00AF66BC">
              <w:rPr>
                <w:rFonts w:asciiTheme="minorHAnsi" w:hAnsiTheme="minorHAnsi"/>
              </w:rPr>
              <w:t>Domain1: Family Driven &amp; Youth Guided</w:t>
            </w:r>
          </w:p>
          <w:p w:rsidR="00F9645A" w:rsidRPr="00AF66BC" w:rsidRDefault="00F9645A" w:rsidP="00F9645A">
            <w:pPr>
              <w:rPr>
                <w:rFonts w:asciiTheme="minorHAnsi" w:hAnsiTheme="minorHAnsi"/>
                <w:b w:val="0"/>
                <w:bCs w:val="0"/>
              </w:rPr>
            </w:pPr>
            <w:r w:rsidRPr="00AF66BC">
              <w:rPr>
                <w:rFonts w:asciiTheme="minorHAnsi" w:hAnsiTheme="minorHAnsi"/>
                <w:b w:val="0"/>
              </w:rPr>
              <w:t>-ICC</w:t>
            </w:r>
          </w:p>
          <w:p w:rsidR="00F9645A" w:rsidRPr="00AF66BC" w:rsidRDefault="00F9645A" w:rsidP="00F9645A">
            <w:pPr>
              <w:rPr>
                <w:rFonts w:asciiTheme="minorHAnsi" w:hAnsiTheme="minorHAnsi"/>
              </w:rPr>
            </w:pPr>
            <w:r w:rsidRPr="00AF66BC">
              <w:rPr>
                <w:rFonts w:asciiTheme="minorHAnsi" w:hAnsiTheme="minorHAnsi"/>
                <w:b w:val="0"/>
              </w:rPr>
              <w:t>-IHT</w:t>
            </w:r>
          </w:p>
        </w:tc>
        <w:tc>
          <w:tcPr>
            <w:tcW w:w="627"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1.0</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w:t>
            </w:r>
            <w:r w:rsidR="00A26153">
              <w:rPr>
                <w:rFonts w:asciiTheme="minorHAnsi" w:hAnsiTheme="minorHAnsi"/>
              </w:rPr>
              <w:t>8</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1.0</w:t>
            </w:r>
          </w:p>
        </w:tc>
        <w:tc>
          <w:tcPr>
            <w:tcW w:w="660"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4.</w:t>
            </w:r>
            <w:r w:rsidR="00A26153">
              <w:rPr>
                <w:rFonts w:asciiTheme="minorHAnsi" w:hAnsiTheme="minorHAnsi"/>
                <w:b/>
              </w:rPr>
              <w:t>8</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w:t>
            </w:r>
            <w:r w:rsidR="00A26153">
              <w:rPr>
                <w:rFonts w:asciiTheme="minorHAnsi" w:hAnsiTheme="minorHAnsi"/>
              </w:rPr>
              <w:t>8</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4.6</w:t>
            </w:r>
          </w:p>
        </w:tc>
        <w:tc>
          <w:tcPr>
            <w:tcW w:w="770"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3.</w:t>
            </w:r>
            <w:r w:rsidR="006B7391">
              <w:rPr>
                <w:rFonts w:asciiTheme="minorHAnsi" w:hAnsiTheme="minorHAnsi"/>
                <w:b/>
              </w:rPr>
              <w:t>2</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3.3</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3.0</w:t>
            </w:r>
          </w:p>
        </w:tc>
        <w:tc>
          <w:tcPr>
            <w:tcW w:w="1200"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.74</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w:t>
            </w:r>
            <w:r>
              <w:rPr>
                <w:rFonts w:asciiTheme="minorHAnsi" w:hAnsiTheme="minorHAnsi"/>
              </w:rPr>
              <w:t>0</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w:t>
            </w:r>
            <w:r>
              <w:rPr>
                <w:rFonts w:asciiTheme="minorHAnsi" w:hAnsiTheme="minorHAnsi"/>
              </w:rPr>
              <w:t>5</w:t>
            </w:r>
          </w:p>
        </w:tc>
      </w:tr>
      <w:tr w:rsidR="00F9645A" w:rsidRPr="00D62215" w:rsidTr="00F9645A">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46" w:type="dxa"/>
          </w:tcPr>
          <w:p w:rsidR="00F9645A" w:rsidRPr="00AF66BC" w:rsidRDefault="00F9645A" w:rsidP="00F9645A">
            <w:pPr>
              <w:rPr>
                <w:rFonts w:asciiTheme="minorHAnsi" w:hAnsiTheme="minorHAnsi"/>
              </w:rPr>
            </w:pPr>
            <w:r w:rsidRPr="00AF66BC">
              <w:rPr>
                <w:rFonts w:asciiTheme="minorHAnsi" w:hAnsiTheme="minorHAnsi"/>
              </w:rPr>
              <w:t>Domain 2: Community-Based</w:t>
            </w:r>
          </w:p>
          <w:p w:rsidR="00F9645A" w:rsidRPr="00AF66BC" w:rsidRDefault="00F9645A" w:rsidP="00F9645A">
            <w:pPr>
              <w:rPr>
                <w:rFonts w:asciiTheme="minorHAnsi" w:hAnsiTheme="minorHAnsi"/>
                <w:b w:val="0"/>
                <w:bCs w:val="0"/>
              </w:rPr>
            </w:pPr>
            <w:r w:rsidRPr="00AF66BC">
              <w:rPr>
                <w:rFonts w:asciiTheme="minorHAnsi" w:hAnsiTheme="minorHAnsi"/>
                <w:b w:val="0"/>
              </w:rPr>
              <w:t>-ICC</w:t>
            </w:r>
          </w:p>
          <w:p w:rsidR="00F9645A" w:rsidRPr="00AF66BC" w:rsidRDefault="00F9645A" w:rsidP="00F9645A">
            <w:pPr>
              <w:rPr>
                <w:rFonts w:asciiTheme="minorHAnsi" w:hAnsiTheme="minorHAnsi"/>
              </w:rPr>
            </w:pPr>
            <w:r w:rsidRPr="00AF66BC">
              <w:rPr>
                <w:rFonts w:asciiTheme="minorHAnsi" w:hAnsiTheme="minorHAnsi"/>
                <w:b w:val="0"/>
              </w:rPr>
              <w:t>-IHT</w:t>
            </w:r>
          </w:p>
        </w:tc>
        <w:tc>
          <w:tcPr>
            <w:tcW w:w="627"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1.5</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2.0</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1.5</w:t>
            </w:r>
          </w:p>
        </w:tc>
        <w:tc>
          <w:tcPr>
            <w:tcW w:w="660"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5.0</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5.0</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5.0</w:t>
            </w:r>
          </w:p>
        </w:tc>
        <w:tc>
          <w:tcPr>
            <w:tcW w:w="770"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3.</w:t>
            </w:r>
            <w:r w:rsidR="006B7391">
              <w:rPr>
                <w:rFonts w:asciiTheme="minorHAnsi" w:hAnsiTheme="minorHAnsi"/>
                <w:b/>
              </w:rPr>
              <w:t>7</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w:t>
            </w:r>
            <w:r w:rsidR="006B7391">
              <w:rPr>
                <w:rFonts w:asciiTheme="minorHAnsi" w:hAnsiTheme="minorHAnsi"/>
              </w:rPr>
              <w:t>7</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w:t>
            </w:r>
            <w:r w:rsidR="006B7391">
              <w:rPr>
                <w:rFonts w:asciiTheme="minorHAnsi" w:hAnsiTheme="minorHAnsi"/>
              </w:rPr>
              <w:t>7</w:t>
            </w:r>
          </w:p>
        </w:tc>
        <w:tc>
          <w:tcPr>
            <w:tcW w:w="1200" w:type="dxa"/>
          </w:tcPr>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.63</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.57</w:t>
            </w:r>
          </w:p>
          <w:p w:rsidR="00F9645A" w:rsidRPr="00AF66BC" w:rsidRDefault="00F9645A" w:rsidP="00F9645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.70</w:t>
            </w:r>
          </w:p>
        </w:tc>
      </w:tr>
      <w:tr w:rsidR="00F9645A" w:rsidRPr="00D62215" w:rsidTr="00F6519B">
        <w:trPr>
          <w:cnfStyle w:val="000000010000" w:firstRow="0" w:lastRow="0" w:firstColumn="0" w:lastColumn="0" w:oddVBand="0" w:evenVBand="0" w:oddHBand="0" w:evenHBand="1"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46" w:type="dxa"/>
          </w:tcPr>
          <w:p w:rsidR="00F9645A" w:rsidRPr="00AF66BC" w:rsidRDefault="00F9645A" w:rsidP="00F9645A">
            <w:pPr>
              <w:rPr>
                <w:rFonts w:asciiTheme="minorHAnsi" w:hAnsiTheme="minorHAnsi"/>
              </w:rPr>
            </w:pPr>
            <w:r w:rsidRPr="00AF66BC">
              <w:rPr>
                <w:rFonts w:asciiTheme="minorHAnsi" w:hAnsiTheme="minorHAnsi"/>
              </w:rPr>
              <w:t>Domain 3: Culturally Competent</w:t>
            </w:r>
          </w:p>
          <w:p w:rsidR="00F9645A" w:rsidRPr="00AF66BC" w:rsidRDefault="00F9645A" w:rsidP="00F9645A">
            <w:pPr>
              <w:rPr>
                <w:rFonts w:asciiTheme="minorHAnsi" w:hAnsiTheme="minorHAnsi"/>
                <w:b w:val="0"/>
                <w:bCs w:val="0"/>
              </w:rPr>
            </w:pPr>
            <w:r w:rsidRPr="00AF66BC">
              <w:rPr>
                <w:rFonts w:asciiTheme="minorHAnsi" w:hAnsiTheme="minorHAnsi"/>
                <w:b w:val="0"/>
              </w:rPr>
              <w:t>-ICC</w:t>
            </w:r>
          </w:p>
          <w:p w:rsidR="00F9645A" w:rsidRPr="00AF66BC" w:rsidRDefault="00F9645A" w:rsidP="00F9645A">
            <w:pPr>
              <w:rPr>
                <w:rFonts w:asciiTheme="minorHAnsi" w:hAnsiTheme="minorHAnsi"/>
              </w:rPr>
            </w:pPr>
            <w:r w:rsidRPr="00AF66BC">
              <w:rPr>
                <w:rFonts w:asciiTheme="minorHAnsi" w:hAnsiTheme="minorHAnsi"/>
                <w:b w:val="0"/>
              </w:rPr>
              <w:t>-IHT</w:t>
            </w:r>
          </w:p>
        </w:tc>
        <w:tc>
          <w:tcPr>
            <w:tcW w:w="627" w:type="dxa"/>
            <w:vAlign w:val="center"/>
          </w:tcPr>
          <w:p w:rsidR="00F9645A" w:rsidRPr="00AF66BC" w:rsidRDefault="00F9645A" w:rsidP="00F6519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1.0</w:t>
            </w:r>
          </w:p>
          <w:p w:rsidR="00F9645A" w:rsidRPr="00AF66BC" w:rsidRDefault="00F9645A" w:rsidP="00F6519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1.5</w:t>
            </w:r>
          </w:p>
          <w:p w:rsidR="00F9645A" w:rsidRPr="00AF66BC" w:rsidRDefault="00F9645A" w:rsidP="00F6519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1.0</w:t>
            </w:r>
          </w:p>
        </w:tc>
        <w:tc>
          <w:tcPr>
            <w:tcW w:w="660"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4.5</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4.5</w:t>
            </w:r>
          </w:p>
          <w:p w:rsidR="00F9645A" w:rsidRPr="00AF66BC" w:rsidRDefault="00F9645A" w:rsidP="00A2615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4.5</w:t>
            </w:r>
          </w:p>
        </w:tc>
        <w:tc>
          <w:tcPr>
            <w:tcW w:w="770"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3.</w:t>
            </w:r>
            <w:r w:rsidR="006B7391">
              <w:rPr>
                <w:rFonts w:asciiTheme="minorHAnsi" w:hAnsiTheme="minorHAnsi"/>
                <w:b/>
              </w:rPr>
              <w:t>1</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3.2</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2.9</w:t>
            </w:r>
          </w:p>
        </w:tc>
        <w:tc>
          <w:tcPr>
            <w:tcW w:w="1200" w:type="dxa"/>
          </w:tcPr>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.77</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.74</w:t>
            </w:r>
          </w:p>
          <w:p w:rsidR="00F9645A" w:rsidRPr="00AF66BC" w:rsidRDefault="00F9645A" w:rsidP="00F964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.78</w:t>
            </w:r>
          </w:p>
        </w:tc>
      </w:tr>
    </w:tbl>
    <w:p w:rsidR="00F9645A" w:rsidRPr="00D62215" w:rsidRDefault="00F9645A" w:rsidP="00F9645A">
      <w:pPr>
        <w:rPr>
          <w:sz w:val="22"/>
          <w:szCs w:val="22"/>
          <w:highlight w:val="yellow"/>
        </w:rPr>
      </w:pPr>
    </w:p>
    <w:p w:rsidR="00F9645A" w:rsidRPr="00AB7A08" w:rsidRDefault="00F9645A" w:rsidP="00F9645A">
      <w:r w:rsidRPr="00AB7A08">
        <w:lastRenderedPageBreak/>
        <w:t>Community-Based was the highest scoring Practice Domain with a mean score of 3.</w:t>
      </w:r>
      <w:r w:rsidR="00632604">
        <w:t>7</w:t>
      </w:r>
      <w:r w:rsidRPr="00AB7A08">
        <w:t xml:space="preserve">. The Family Driven </w:t>
      </w:r>
      <w:r w:rsidR="00A81767">
        <w:t>and</w:t>
      </w:r>
      <w:r w:rsidRPr="00AB7A08">
        <w:t xml:space="preserve"> Youth Guided Domain had the next highest Practice Domain mean score of 3.</w:t>
      </w:r>
      <w:r w:rsidR="00632604">
        <w:t>2</w:t>
      </w:r>
      <w:r w:rsidRPr="00AB7A08">
        <w:t>. Culturally Competent had the lowest mean score of all Practice Domains (3.</w:t>
      </w:r>
      <w:r w:rsidR="00632604">
        <w:t>1</w:t>
      </w:r>
      <w:r w:rsidRPr="00AB7A08">
        <w:t>).</w:t>
      </w:r>
    </w:p>
    <w:p w:rsidR="00F9645A" w:rsidRDefault="00F9645A" w:rsidP="008179B7">
      <w:pPr>
        <w:rPr>
          <w:rFonts w:eastAsia="Palatino Linotype" w:cs="Times New Roman"/>
        </w:rPr>
      </w:pPr>
    </w:p>
    <w:p w:rsidR="00056B1A" w:rsidRPr="00502EA9" w:rsidRDefault="00056B1A" w:rsidP="00056B1A">
      <w:pPr>
        <w:rPr>
          <w:b/>
          <w:color w:val="5B9BD5" w:themeColor="accent1"/>
          <w:highlight w:val="yellow"/>
        </w:rPr>
      </w:pPr>
      <w:r>
        <w:t>T</w:t>
      </w:r>
      <w:r w:rsidR="00CF6AB0">
        <w:t xml:space="preserve">he MPR protocol </w:t>
      </w:r>
      <w:r>
        <w:t xml:space="preserve">also requires reviewers to assess </w:t>
      </w:r>
      <w:r w:rsidR="00A81767">
        <w:t>2</w:t>
      </w:r>
      <w:r w:rsidR="00CF6AB0">
        <w:t xml:space="preserve"> Areas that</w:t>
      </w:r>
      <w:r w:rsidR="00CF6AB0" w:rsidRPr="000C6A80">
        <w:rPr>
          <w:rFonts w:eastAsia="Calibri" w:cs="Times New Roman"/>
        </w:rPr>
        <w:t xml:space="preserve"> </w:t>
      </w:r>
      <w:r w:rsidR="00CF6AB0">
        <w:rPr>
          <w:rFonts w:eastAsia="Calibri" w:cs="Times New Roman"/>
        </w:rPr>
        <w:t>examine</w:t>
      </w:r>
      <w:r w:rsidR="00CF6AB0" w:rsidRPr="000C6A80">
        <w:rPr>
          <w:rFonts w:eastAsia="Calibri" w:cs="Times New Roman"/>
        </w:rPr>
        <w:t xml:space="preserve"> youth and family progress since their enrollment in </w:t>
      </w:r>
      <w:r w:rsidR="00CF6AB0">
        <w:rPr>
          <w:rFonts w:eastAsia="Calibri" w:cs="Times New Roman"/>
        </w:rPr>
        <w:t>IHT or ICC services</w:t>
      </w:r>
      <w:r w:rsidR="00CF6AB0" w:rsidRPr="000C6A80">
        <w:rPr>
          <w:rFonts w:eastAsia="Calibri" w:cs="Times New Roman"/>
        </w:rPr>
        <w:t>.</w:t>
      </w:r>
      <w:r w:rsidR="00CF6AB0">
        <w:rPr>
          <w:rFonts w:eastAsia="Calibri" w:cs="Times New Roman"/>
        </w:rPr>
        <w:t xml:space="preserve"> </w:t>
      </w:r>
      <w:r>
        <w:t xml:space="preserve">Scoring of the </w:t>
      </w:r>
      <w:r w:rsidR="00A81767">
        <w:t>2</w:t>
      </w:r>
      <w:r>
        <w:t xml:space="preserve"> MPR progress Areas (Domain 4) is done using a 5-point rating scale as shown in </w:t>
      </w:r>
      <w:r w:rsidRPr="004627DB">
        <w:rPr>
          <w:b/>
          <w:color w:val="5B9BD5" w:themeColor="accent1"/>
        </w:rPr>
        <w:t xml:space="preserve">Table </w:t>
      </w:r>
      <w:r>
        <w:rPr>
          <w:b/>
          <w:color w:val="5B9BD5" w:themeColor="accent1"/>
        </w:rPr>
        <w:t>3</w:t>
      </w:r>
      <w:r w:rsidRPr="004627DB">
        <w:t>.</w:t>
      </w:r>
    </w:p>
    <w:p w:rsidR="00056B1A" w:rsidRDefault="00056B1A" w:rsidP="00056B1A">
      <w:pPr>
        <w:spacing w:before="120"/>
        <w:jc w:val="center"/>
        <w:rPr>
          <w:rFonts w:ascii="Calibri" w:eastAsia="Calibri" w:hAnsi="Calibri" w:cs="Times New Roman"/>
        </w:rPr>
      </w:pPr>
      <w:r w:rsidRPr="004627DB">
        <w:rPr>
          <w:b/>
          <w:color w:val="5B9BD5" w:themeColor="accent1"/>
        </w:rPr>
        <w:t xml:space="preserve">Table </w:t>
      </w:r>
      <w:r>
        <w:rPr>
          <w:b/>
          <w:color w:val="5B9BD5" w:themeColor="accent1"/>
        </w:rPr>
        <w:t>3</w:t>
      </w:r>
      <w:r w:rsidRPr="00AB7A08">
        <w:rPr>
          <w:b/>
          <w:color w:val="5B9BD5" w:themeColor="accent1"/>
        </w:rPr>
        <w:t>:</w:t>
      </w:r>
      <w:r>
        <w:rPr>
          <w:b/>
          <w:color w:val="5B9BD5" w:themeColor="accent1"/>
        </w:rPr>
        <w:t xml:space="preserve"> MPR Progress Rating Scale (Domain 4)</w:t>
      </w:r>
    </w:p>
    <w:tbl>
      <w:tblPr>
        <w:tblStyle w:val="MediumShading1-Accent11"/>
        <w:tblW w:w="0" w:type="auto"/>
        <w:jc w:val="center"/>
        <w:tblBorders>
          <w:insideH w:val="single" w:sz="6" w:space="0" w:color="84B3DF" w:themeColor="accent1" w:themeTint="BF"/>
          <w:insideV w:val="single" w:sz="6" w:space="0" w:color="84B3DF" w:themeColor="accent1" w:themeTint="BF"/>
        </w:tblBorders>
        <w:tblLook w:val="04A0" w:firstRow="1" w:lastRow="0" w:firstColumn="1" w:lastColumn="0" w:noHBand="0" w:noVBand="1"/>
      </w:tblPr>
      <w:tblGrid>
        <w:gridCol w:w="2107"/>
        <w:gridCol w:w="2107"/>
        <w:gridCol w:w="2107"/>
        <w:gridCol w:w="2107"/>
        <w:gridCol w:w="2107"/>
      </w:tblGrid>
      <w:tr w:rsidR="00056B1A" w:rsidRPr="00F817D3" w:rsidTr="001D17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auto"/>
              <w:left w:val="none" w:sz="0" w:space="0" w:color="auto"/>
              <w:bottom w:val="none" w:sz="0" w:space="0" w:color="auto"/>
              <w:right w:val="none" w:sz="0" w:space="0" w:color="auto"/>
            </w:tcBorders>
          </w:tcPr>
          <w:p w:rsidR="00056B1A" w:rsidRDefault="00056B1A" w:rsidP="007705C6">
            <w:pPr>
              <w:jc w:val="center"/>
              <w:rPr>
                <w:rFonts w:asciiTheme="minorHAnsi" w:hAnsiTheme="minorHAnsi"/>
              </w:rPr>
            </w:pPr>
            <w:r>
              <w:rPr>
                <w:rFonts w:asciiTheme="minorHAnsi" w:hAnsiTheme="minorHAnsi"/>
              </w:rPr>
              <w:t xml:space="preserve">Worsening or </w:t>
            </w:r>
          </w:p>
          <w:p w:rsidR="00056B1A" w:rsidRPr="00F817D3" w:rsidRDefault="00056B1A" w:rsidP="007705C6">
            <w:pPr>
              <w:jc w:val="center"/>
              <w:rPr>
                <w:rFonts w:asciiTheme="minorHAnsi" w:hAnsiTheme="minorHAnsi"/>
              </w:rPr>
            </w:pPr>
            <w:r>
              <w:rPr>
                <w:rFonts w:asciiTheme="minorHAnsi" w:hAnsiTheme="minorHAnsi"/>
              </w:rPr>
              <w:t>Declining Condition</w:t>
            </w:r>
          </w:p>
        </w:tc>
        <w:tc>
          <w:tcPr>
            <w:tcW w:w="1000" w:type="pct"/>
            <w:tcBorders>
              <w:top w:val="none" w:sz="0" w:space="0" w:color="auto"/>
              <w:left w:val="none" w:sz="0" w:space="0" w:color="auto"/>
              <w:bottom w:val="none" w:sz="0" w:space="0" w:color="auto"/>
              <w:right w:val="none" w:sz="0" w:space="0" w:color="auto"/>
            </w:tcBorders>
          </w:tcPr>
          <w:p w:rsidR="00056B1A" w:rsidRDefault="00056B1A" w:rsidP="007705C6">
            <w:pPr>
              <w:ind w:right="-15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Little to </w:t>
            </w:r>
          </w:p>
          <w:p w:rsidR="00056B1A" w:rsidRPr="00F817D3" w:rsidRDefault="00056B1A" w:rsidP="007705C6">
            <w:pPr>
              <w:ind w:right="-15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No Progress</w:t>
            </w:r>
          </w:p>
        </w:tc>
        <w:tc>
          <w:tcPr>
            <w:tcW w:w="1000" w:type="pct"/>
            <w:tcBorders>
              <w:top w:val="none" w:sz="0" w:space="0" w:color="auto"/>
              <w:left w:val="none" w:sz="0" w:space="0" w:color="auto"/>
              <w:bottom w:val="none" w:sz="0" w:space="0" w:color="auto"/>
              <w:right w:val="none" w:sz="0" w:space="0" w:color="auto"/>
            </w:tcBorders>
          </w:tcPr>
          <w:p w:rsidR="00056B1A" w:rsidRPr="00F817D3"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17D3">
              <w:rPr>
                <w:rFonts w:asciiTheme="minorHAnsi" w:hAnsiTheme="minorHAnsi"/>
              </w:rPr>
              <w:t>Fair Pr</w:t>
            </w:r>
            <w:r>
              <w:rPr>
                <w:rFonts w:asciiTheme="minorHAnsi" w:hAnsiTheme="minorHAnsi"/>
              </w:rPr>
              <w:t>ogress</w:t>
            </w:r>
          </w:p>
        </w:tc>
        <w:tc>
          <w:tcPr>
            <w:tcW w:w="1000" w:type="pct"/>
            <w:tcBorders>
              <w:top w:val="none" w:sz="0" w:space="0" w:color="auto"/>
              <w:left w:val="none" w:sz="0" w:space="0" w:color="auto"/>
              <w:bottom w:val="none" w:sz="0" w:space="0" w:color="auto"/>
              <w:right w:val="none" w:sz="0" w:space="0" w:color="auto"/>
            </w:tcBorders>
          </w:tcPr>
          <w:p w:rsidR="00056B1A" w:rsidRPr="00F817D3"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17D3">
              <w:rPr>
                <w:rFonts w:asciiTheme="minorHAnsi" w:hAnsiTheme="minorHAnsi"/>
              </w:rPr>
              <w:t>Good Pr</w:t>
            </w:r>
            <w:r>
              <w:rPr>
                <w:rFonts w:asciiTheme="minorHAnsi" w:hAnsiTheme="minorHAnsi"/>
              </w:rPr>
              <w:t>ogress</w:t>
            </w:r>
          </w:p>
        </w:tc>
        <w:tc>
          <w:tcPr>
            <w:tcW w:w="1000" w:type="pct"/>
            <w:tcBorders>
              <w:top w:val="none" w:sz="0" w:space="0" w:color="auto"/>
              <w:left w:val="none" w:sz="0" w:space="0" w:color="auto"/>
              <w:bottom w:val="none" w:sz="0" w:space="0" w:color="auto"/>
              <w:right w:val="none" w:sz="0" w:space="0" w:color="auto"/>
            </w:tcBorders>
          </w:tcPr>
          <w:p w:rsidR="00056B1A" w:rsidRPr="00F817D3"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17D3">
              <w:rPr>
                <w:rFonts w:asciiTheme="minorHAnsi" w:hAnsiTheme="minorHAnsi"/>
              </w:rPr>
              <w:t>Ex</w:t>
            </w:r>
            <w:r>
              <w:rPr>
                <w:rFonts w:asciiTheme="minorHAnsi" w:hAnsiTheme="minorHAnsi"/>
              </w:rPr>
              <w:t>ceptional Progress</w:t>
            </w:r>
          </w:p>
        </w:tc>
      </w:tr>
      <w:tr w:rsidR="00056B1A" w:rsidRPr="00F817D3" w:rsidTr="001D17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0" w:type="pct"/>
            <w:tcBorders>
              <w:right w:val="none" w:sz="0" w:space="0" w:color="auto"/>
            </w:tcBorders>
          </w:tcPr>
          <w:p w:rsidR="00056B1A" w:rsidRPr="00F817D3" w:rsidRDefault="00056B1A" w:rsidP="007705C6">
            <w:pPr>
              <w:jc w:val="center"/>
              <w:rPr>
                <w:rFonts w:asciiTheme="minorHAnsi" w:hAnsiTheme="minorHAnsi"/>
              </w:rPr>
            </w:pPr>
            <w:r w:rsidRPr="00F817D3">
              <w:rPr>
                <w:rFonts w:asciiTheme="minorHAnsi" w:hAnsiTheme="minorHAnsi"/>
              </w:rPr>
              <w:t>1</w:t>
            </w:r>
          </w:p>
        </w:tc>
        <w:tc>
          <w:tcPr>
            <w:tcW w:w="1000" w:type="pct"/>
            <w:tcBorders>
              <w:left w:val="none" w:sz="0" w:space="0" w:color="auto"/>
              <w:right w:val="none" w:sz="0" w:space="0" w:color="auto"/>
            </w:tcBorders>
          </w:tcPr>
          <w:p w:rsidR="00056B1A" w:rsidRPr="00F817D3"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2</w:t>
            </w:r>
          </w:p>
        </w:tc>
        <w:tc>
          <w:tcPr>
            <w:tcW w:w="1000" w:type="pct"/>
            <w:tcBorders>
              <w:left w:val="none" w:sz="0" w:space="0" w:color="auto"/>
              <w:right w:val="none" w:sz="0" w:space="0" w:color="auto"/>
            </w:tcBorders>
          </w:tcPr>
          <w:p w:rsidR="00056B1A" w:rsidRPr="00F817D3"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3</w:t>
            </w:r>
          </w:p>
        </w:tc>
        <w:tc>
          <w:tcPr>
            <w:tcW w:w="1000" w:type="pct"/>
            <w:tcBorders>
              <w:left w:val="none" w:sz="0" w:space="0" w:color="auto"/>
              <w:right w:val="none" w:sz="0" w:space="0" w:color="auto"/>
            </w:tcBorders>
          </w:tcPr>
          <w:p w:rsidR="00056B1A" w:rsidRPr="00F817D3"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4</w:t>
            </w:r>
          </w:p>
        </w:tc>
        <w:tc>
          <w:tcPr>
            <w:tcW w:w="1000" w:type="pct"/>
            <w:tcBorders>
              <w:left w:val="none" w:sz="0" w:space="0" w:color="auto"/>
            </w:tcBorders>
          </w:tcPr>
          <w:p w:rsidR="00056B1A" w:rsidRPr="00F817D3"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5</w:t>
            </w:r>
          </w:p>
        </w:tc>
      </w:tr>
    </w:tbl>
    <w:p w:rsidR="00CF6AB0" w:rsidRDefault="00CF6AB0" w:rsidP="00CF6AB0"/>
    <w:p w:rsidR="0058647D" w:rsidRDefault="00056B1A" w:rsidP="00056B1A">
      <w:r w:rsidRPr="004627DB">
        <w:rPr>
          <w:b/>
          <w:color w:val="5B9BD5" w:themeColor="accent1"/>
        </w:rPr>
        <w:t xml:space="preserve">Table </w:t>
      </w:r>
      <w:r>
        <w:rPr>
          <w:b/>
          <w:color w:val="5B9BD5" w:themeColor="accent1"/>
        </w:rPr>
        <w:t>4</w:t>
      </w:r>
      <w:r>
        <w:rPr>
          <w:color w:val="5B9BD5" w:themeColor="accent1"/>
        </w:rPr>
        <w:t xml:space="preserve"> </w:t>
      </w:r>
      <w:r w:rsidRPr="004627DB">
        <w:t>sh</w:t>
      </w:r>
      <w:r w:rsidRPr="003C599A">
        <w:t>ows that overall mean scores for the Youth and Family Progress Domain</w:t>
      </w:r>
      <w:r w:rsidR="00B100E6">
        <w:t xml:space="preserve"> which</w:t>
      </w:r>
      <w:r w:rsidRPr="003C599A">
        <w:t xml:space="preserve"> ranged from 1.5 to 4.5, with an overall mean score of 3.1</w:t>
      </w:r>
      <w:r w:rsidR="0058647D">
        <w:t>.</w:t>
      </w:r>
    </w:p>
    <w:p w:rsidR="00056B1A" w:rsidRDefault="00056B1A" w:rsidP="00056B1A">
      <w:r w:rsidRPr="00C7585A">
        <w:t xml:space="preserve"> </w:t>
      </w:r>
    </w:p>
    <w:p w:rsidR="00056B1A" w:rsidRPr="004627DB" w:rsidRDefault="00056B1A" w:rsidP="00056B1A">
      <w:pPr>
        <w:jc w:val="center"/>
        <w:rPr>
          <w:b/>
          <w:color w:val="5B9BD5" w:themeColor="accent1"/>
        </w:rPr>
      </w:pPr>
      <w:r w:rsidRPr="004627DB">
        <w:rPr>
          <w:b/>
          <w:color w:val="5B9BD5" w:themeColor="accent1"/>
        </w:rPr>
        <w:t xml:space="preserve">Table </w:t>
      </w:r>
      <w:r>
        <w:rPr>
          <w:b/>
          <w:color w:val="5B9BD5" w:themeColor="accent1"/>
        </w:rPr>
        <w:t>4</w:t>
      </w:r>
      <w:r w:rsidRPr="004627DB">
        <w:rPr>
          <w:b/>
          <w:color w:val="5B9BD5" w:themeColor="accent1"/>
        </w:rPr>
        <w:t>: Youth &amp; Family Progress Domain Mean Scores</w:t>
      </w:r>
    </w:p>
    <w:tbl>
      <w:tblPr>
        <w:tblStyle w:val="MediumShading1-Accent11"/>
        <w:tblW w:w="0" w:type="auto"/>
        <w:jc w:val="center"/>
        <w:tblLook w:val="04A0" w:firstRow="1" w:lastRow="0" w:firstColumn="1" w:lastColumn="0" w:noHBand="0" w:noVBand="1"/>
      </w:tblPr>
      <w:tblGrid>
        <w:gridCol w:w="3697"/>
        <w:gridCol w:w="627"/>
        <w:gridCol w:w="669"/>
        <w:gridCol w:w="770"/>
        <w:gridCol w:w="1223"/>
      </w:tblGrid>
      <w:tr w:rsidR="00056B1A" w:rsidRPr="00C7585A" w:rsidTr="007705C6">
        <w:trPr>
          <w:cnfStyle w:val="100000000000" w:firstRow="1" w:lastRow="0" w:firstColumn="0" w:lastColumn="0" w:oddVBand="0" w:evenVBand="0" w:oddHBand="0"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3697" w:type="dxa"/>
          </w:tcPr>
          <w:p w:rsidR="00056B1A" w:rsidRPr="00C7585A" w:rsidRDefault="00056B1A" w:rsidP="007705C6">
            <w:pPr>
              <w:rPr>
                <w:rFonts w:asciiTheme="minorHAnsi" w:hAnsiTheme="minorHAnsi"/>
                <w:b w:val="0"/>
                <w:bCs w:val="0"/>
                <w:color w:val="auto"/>
                <w:sz w:val="20"/>
                <w:szCs w:val="20"/>
              </w:rPr>
            </w:pPr>
            <w:r w:rsidRPr="00C7585A">
              <w:rPr>
                <w:rFonts w:asciiTheme="minorHAnsi" w:hAnsiTheme="minorHAnsi"/>
                <w:sz w:val="20"/>
                <w:szCs w:val="20"/>
              </w:rPr>
              <w:t>Domain</w:t>
            </w:r>
          </w:p>
        </w:tc>
        <w:tc>
          <w:tcPr>
            <w:tcW w:w="627" w:type="dxa"/>
          </w:tcPr>
          <w:p w:rsidR="00056B1A" w:rsidRPr="00C7585A"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Min</w:t>
            </w:r>
          </w:p>
        </w:tc>
        <w:tc>
          <w:tcPr>
            <w:tcW w:w="669" w:type="dxa"/>
          </w:tcPr>
          <w:p w:rsidR="00056B1A" w:rsidRPr="00C7585A"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Max</w:t>
            </w:r>
          </w:p>
        </w:tc>
        <w:tc>
          <w:tcPr>
            <w:tcW w:w="770" w:type="dxa"/>
          </w:tcPr>
          <w:p w:rsidR="00056B1A" w:rsidRPr="00C7585A"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Mean</w:t>
            </w:r>
          </w:p>
        </w:tc>
        <w:tc>
          <w:tcPr>
            <w:tcW w:w="1223" w:type="dxa"/>
          </w:tcPr>
          <w:p w:rsidR="00056B1A" w:rsidRPr="00C7585A" w:rsidRDefault="00056B1A" w:rsidP="00770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Standard Deviation</w:t>
            </w:r>
          </w:p>
        </w:tc>
      </w:tr>
      <w:tr w:rsidR="00056B1A" w:rsidRPr="00C7585A" w:rsidTr="007705C6">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3697" w:type="dxa"/>
          </w:tcPr>
          <w:p w:rsidR="00056B1A" w:rsidRPr="00C7585A" w:rsidRDefault="00056B1A" w:rsidP="007705C6">
            <w:pPr>
              <w:rPr>
                <w:rFonts w:asciiTheme="minorHAnsi" w:hAnsiTheme="minorHAnsi"/>
                <w:sz w:val="20"/>
                <w:szCs w:val="20"/>
              </w:rPr>
            </w:pPr>
            <w:r w:rsidRPr="00C7585A">
              <w:rPr>
                <w:rFonts w:asciiTheme="minorHAnsi" w:hAnsiTheme="minorHAnsi"/>
                <w:sz w:val="20"/>
                <w:szCs w:val="20"/>
              </w:rPr>
              <w:t>Domain 4: Youth/Family Progress</w:t>
            </w:r>
          </w:p>
          <w:p w:rsidR="00056B1A" w:rsidRPr="00C7585A" w:rsidRDefault="00056B1A" w:rsidP="007705C6">
            <w:pPr>
              <w:rPr>
                <w:rFonts w:asciiTheme="minorHAnsi" w:hAnsiTheme="minorHAnsi"/>
                <w:sz w:val="20"/>
                <w:szCs w:val="20"/>
              </w:rPr>
            </w:pPr>
          </w:p>
          <w:p w:rsidR="00056B1A" w:rsidRPr="00C7585A" w:rsidRDefault="00056B1A" w:rsidP="007705C6">
            <w:pPr>
              <w:rPr>
                <w:rFonts w:asciiTheme="minorHAnsi" w:hAnsiTheme="minorHAnsi"/>
                <w:b w:val="0"/>
                <w:sz w:val="20"/>
                <w:szCs w:val="20"/>
              </w:rPr>
            </w:pPr>
            <w:r w:rsidRPr="00C7585A">
              <w:rPr>
                <w:rFonts w:asciiTheme="minorHAnsi" w:hAnsiTheme="minorHAnsi"/>
                <w:b w:val="0"/>
                <w:sz w:val="20"/>
                <w:szCs w:val="20"/>
              </w:rPr>
              <w:t>-ICC</w:t>
            </w:r>
          </w:p>
          <w:p w:rsidR="00056B1A" w:rsidRPr="00C7585A" w:rsidRDefault="00056B1A" w:rsidP="007705C6">
            <w:pPr>
              <w:rPr>
                <w:rFonts w:asciiTheme="minorHAnsi" w:hAnsiTheme="minorHAnsi"/>
                <w:b w:val="0"/>
                <w:bCs w:val="0"/>
                <w:sz w:val="20"/>
                <w:szCs w:val="20"/>
              </w:rPr>
            </w:pPr>
          </w:p>
          <w:p w:rsidR="00056B1A" w:rsidRPr="00C7585A" w:rsidRDefault="00056B1A" w:rsidP="007705C6">
            <w:pPr>
              <w:rPr>
                <w:rFonts w:asciiTheme="minorHAnsi" w:hAnsiTheme="minorHAnsi"/>
                <w:sz w:val="20"/>
                <w:szCs w:val="20"/>
              </w:rPr>
            </w:pPr>
            <w:r w:rsidRPr="00C7585A">
              <w:rPr>
                <w:rFonts w:asciiTheme="minorHAnsi" w:hAnsiTheme="minorHAnsi"/>
                <w:b w:val="0"/>
                <w:sz w:val="20"/>
                <w:szCs w:val="20"/>
              </w:rPr>
              <w:t>-IHT</w:t>
            </w:r>
          </w:p>
        </w:tc>
        <w:tc>
          <w:tcPr>
            <w:tcW w:w="627" w:type="dxa"/>
          </w:tcPr>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1.5</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1.5</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sz w:val="20"/>
                <w:szCs w:val="20"/>
              </w:rPr>
              <w:t>1</w:t>
            </w:r>
            <w:r w:rsidRPr="00C7585A">
              <w:rPr>
                <w:rFonts w:asciiTheme="minorHAnsi" w:hAnsiTheme="minorHAnsi"/>
                <w:sz w:val="20"/>
                <w:szCs w:val="20"/>
              </w:rPr>
              <w:t>.5</w:t>
            </w:r>
          </w:p>
        </w:tc>
        <w:tc>
          <w:tcPr>
            <w:tcW w:w="669" w:type="dxa"/>
          </w:tcPr>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4.</w:t>
            </w:r>
            <w:r>
              <w:rPr>
                <w:rFonts w:asciiTheme="minorHAnsi" w:hAnsiTheme="minorHAnsi"/>
                <w:b/>
                <w:sz w:val="20"/>
                <w:szCs w:val="20"/>
              </w:rPr>
              <w:t>5</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4.0</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sz w:val="20"/>
                <w:szCs w:val="20"/>
              </w:rPr>
              <w:t>4.5</w:t>
            </w:r>
          </w:p>
        </w:tc>
        <w:tc>
          <w:tcPr>
            <w:tcW w:w="770" w:type="dxa"/>
          </w:tcPr>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3.</w:t>
            </w:r>
            <w:r>
              <w:rPr>
                <w:rFonts w:asciiTheme="minorHAnsi" w:hAnsiTheme="minorHAnsi"/>
                <w:b/>
                <w:sz w:val="20"/>
                <w:szCs w:val="20"/>
              </w:rPr>
              <w:t>1</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3.</w:t>
            </w:r>
            <w:r>
              <w:rPr>
                <w:rFonts w:asciiTheme="minorHAnsi" w:hAnsiTheme="minorHAnsi"/>
                <w:sz w:val="20"/>
                <w:szCs w:val="20"/>
              </w:rPr>
              <w:t>1</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sz w:val="20"/>
                <w:szCs w:val="20"/>
              </w:rPr>
              <w:t>3.</w:t>
            </w:r>
            <w:r w:rsidR="001F5DD0">
              <w:rPr>
                <w:rFonts w:asciiTheme="minorHAnsi" w:hAnsiTheme="minorHAnsi"/>
                <w:sz w:val="20"/>
                <w:szCs w:val="20"/>
              </w:rPr>
              <w:t>2</w:t>
            </w:r>
          </w:p>
        </w:tc>
        <w:tc>
          <w:tcPr>
            <w:tcW w:w="1223" w:type="dxa"/>
          </w:tcPr>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.7</w:t>
            </w:r>
            <w:r>
              <w:rPr>
                <w:rFonts w:asciiTheme="minorHAnsi" w:hAnsiTheme="minorHAnsi"/>
                <w:b/>
                <w:sz w:val="20"/>
                <w:szCs w:val="20"/>
              </w:rPr>
              <w:t>6</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.7</w:t>
            </w:r>
            <w:r>
              <w:rPr>
                <w:rFonts w:asciiTheme="minorHAnsi" w:hAnsiTheme="minorHAnsi"/>
                <w:sz w:val="20"/>
                <w:szCs w:val="20"/>
              </w:rPr>
              <w:t>2</w:t>
            </w: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56B1A" w:rsidRPr="00C7585A" w:rsidRDefault="00056B1A" w:rsidP="00770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sz w:val="20"/>
                <w:szCs w:val="20"/>
              </w:rPr>
              <w:t>.</w:t>
            </w:r>
            <w:r>
              <w:rPr>
                <w:rFonts w:asciiTheme="minorHAnsi" w:hAnsiTheme="minorHAnsi"/>
                <w:sz w:val="20"/>
                <w:szCs w:val="20"/>
              </w:rPr>
              <w:t>81</w:t>
            </w:r>
          </w:p>
        </w:tc>
      </w:tr>
    </w:tbl>
    <w:p w:rsidR="007169D1" w:rsidRDefault="007169D1" w:rsidP="008179B7">
      <w:pPr>
        <w:rPr>
          <w:rFonts w:eastAsia="Palatino Linotype" w:cs="Times New Roman"/>
        </w:rPr>
      </w:pPr>
    </w:p>
    <w:p w:rsidR="0058647D" w:rsidRDefault="0058647D" w:rsidP="0058647D">
      <w:pPr>
        <w:spacing w:before="200"/>
      </w:pPr>
      <w:r w:rsidRPr="00014653">
        <w:t xml:space="preserve">Many of the findings </w:t>
      </w:r>
      <w:r>
        <w:t>in FY16 are consistent with previous years' quality reviews</w:t>
      </w:r>
      <w:r w:rsidR="005A4C7D">
        <w:t>.</w:t>
      </w:r>
      <w:r>
        <w:t xml:space="preserve"> </w:t>
      </w:r>
      <w:r w:rsidR="00B100E6">
        <w:t>A</w:t>
      </w:r>
      <w:r w:rsidRPr="00014653">
        <w:t xml:space="preserve">reas of </w:t>
      </w:r>
      <w:r w:rsidR="001D176F">
        <w:t xml:space="preserve">relatively </w:t>
      </w:r>
      <w:r>
        <w:t>strong practice</w:t>
      </w:r>
      <w:r w:rsidRPr="00014653">
        <w:t xml:space="preserve"> continue to hold true while</w:t>
      </w:r>
      <w:r>
        <w:t xml:space="preserve"> </w:t>
      </w:r>
      <w:r w:rsidR="001D176F">
        <w:t xml:space="preserve">relative </w:t>
      </w:r>
      <w:r>
        <w:t>challenges</w:t>
      </w:r>
      <w:r w:rsidR="005A4C7D">
        <w:t xml:space="preserve"> seen in the past</w:t>
      </w:r>
      <w:r>
        <w:t xml:space="preserve"> </w:t>
      </w:r>
      <w:r w:rsidRPr="00014653">
        <w:t xml:space="preserve">persist. </w:t>
      </w:r>
      <w:r w:rsidR="00E2045B">
        <w:t>Areas identified as overall strengths of the service system include:</w:t>
      </w:r>
      <w:r>
        <w:t xml:space="preserve"> </w:t>
      </w:r>
    </w:p>
    <w:p w:rsidR="0058647D" w:rsidRDefault="00B100E6" w:rsidP="00E2045B">
      <w:pPr>
        <w:pStyle w:val="ListParagraph"/>
        <w:numPr>
          <w:ilvl w:val="0"/>
          <w:numId w:val="9"/>
        </w:numPr>
        <w:spacing w:before="60"/>
        <w:ind w:right="360"/>
        <w:contextualSpacing w:val="0"/>
      </w:pPr>
      <w:r>
        <w:rPr>
          <w:b/>
          <w:i/>
        </w:rPr>
        <w:t xml:space="preserve">Youth and </w:t>
      </w:r>
      <w:r w:rsidR="0058647D" w:rsidRPr="00E2045B">
        <w:rPr>
          <w:b/>
          <w:i/>
        </w:rPr>
        <w:t>Family</w:t>
      </w:r>
      <w:r>
        <w:rPr>
          <w:b/>
          <w:i/>
        </w:rPr>
        <w:t xml:space="preserve"> Enga</w:t>
      </w:r>
      <w:r w:rsidR="0058647D" w:rsidRPr="00E2045B">
        <w:rPr>
          <w:b/>
          <w:i/>
        </w:rPr>
        <w:t>gement</w:t>
      </w:r>
      <w:r w:rsidR="00E2045B" w:rsidRPr="00E2045B">
        <w:rPr>
          <w:b/>
          <w:i/>
        </w:rPr>
        <w:t xml:space="preserve"> - </w:t>
      </w:r>
      <w:r w:rsidR="00EB7AEB">
        <w:t>P</w:t>
      </w:r>
      <w:r w:rsidR="0058647D">
        <w:t xml:space="preserve">roviders both value and have the skills to build a relational foundation with youth and caregivers. </w:t>
      </w:r>
    </w:p>
    <w:p w:rsidR="0058647D" w:rsidRDefault="0058647D" w:rsidP="00E2045B">
      <w:pPr>
        <w:pStyle w:val="ListParagraph"/>
        <w:numPr>
          <w:ilvl w:val="0"/>
          <w:numId w:val="9"/>
        </w:numPr>
        <w:spacing w:before="60"/>
        <w:ind w:right="360"/>
        <w:contextualSpacing w:val="0"/>
      </w:pPr>
      <w:r w:rsidRPr="00E2045B">
        <w:rPr>
          <w:b/>
          <w:i/>
        </w:rPr>
        <w:t>Service Accessibility</w:t>
      </w:r>
      <w:r w:rsidR="00E2045B" w:rsidRPr="00E2045B">
        <w:rPr>
          <w:b/>
          <w:i/>
        </w:rPr>
        <w:t xml:space="preserve"> - </w:t>
      </w:r>
      <w:r w:rsidR="00EB7AEB">
        <w:t>P</w:t>
      </w:r>
      <w:r>
        <w:t>roviders structure the work based upon the family’s needs</w:t>
      </w:r>
      <w:r w:rsidR="00E2045B">
        <w:t xml:space="preserve">, delivering services at time and in locations that </w:t>
      </w:r>
      <w:r>
        <w:t xml:space="preserve">best accommodate the family’s </w:t>
      </w:r>
      <w:r w:rsidR="00980506">
        <w:t xml:space="preserve">needs and </w:t>
      </w:r>
      <w:r>
        <w:t xml:space="preserve">preferences. </w:t>
      </w:r>
    </w:p>
    <w:p w:rsidR="0058647D" w:rsidRDefault="00DB57FE" w:rsidP="00E2045B">
      <w:pPr>
        <w:pStyle w:val="ListParagraph"/>
        <w:numPr>
          <w:ilvl w:val="0"/>
          <w:numId w:val="9"/>
        </w:numPr>
        <w:spacing w:before="60"/>
        <w:ind w:right="360"/>
        <w:contextualSpacing w:val="0"/>
      </w:pPr>
      <w:r>
        <w:rPr>
          <w:b/>
          <w:i/>
        </w:rPr>
        <w:t>Family/</w:t>
      </w:r>
      <w:r w:rsidR="0058647D" w:rsidRPr="00E2045B">
        <w:rPr>
          <w:b/>
          <w:i/>
        </w:rPr>
        <w:t>Caregiver Progress</w:t>
      </w:r>
      <w:r w:rsidR="00E2045B" w:rsidRPr="00E2045B">
        <w:rPr>
          <w:b/>
          <w:i/>
        </w:rPr>
        <w:t xml:space="preserve"> - </w:t>
      </w:r>
      <w:r w:rsidR="00EB7AEB" w:rsidRPr="00EB7AEB">
        <w:t>M</w:t>
      </w:r>
      <w:r w:rsidR="00E2045B" w:rsidRPr="00EB7AEB">
        <w:t xml:space="preserve">any </w:t>
      </w:r>
      <w:r w:rsidR="0058647D">
        <w:t>caregiver</w:t>
      </w:r>
      <w:r w:rsidR="00E2045B">
        <w:t>s'</w:t>
      </w:r>
      <w:r w:rsidR="0058647D">
        <w:t xml:space="preserve"> own ability to cope with and manage </w:t>
      </w:r>
      <w:r w:rsidR="00E2045B">
        <w:t xml:space="preserve">their </w:t>
      </w:r>
      <w:r w:rsidR="0058647D">
        <w:t>youth’s behavior</w:t>
      </w:r>
      <w:r w:rsidR="00E2045B">
        <w:t xml:space="preserve"> improved</w:t>
      </w:r>
      <w:r w:rsidR="0058647D">
        <w:t xml:space="preserve"> as </w:t>
      </w:r>
      <w:r w:rsidR="00EB7AEB">
        <w:t xml:space="preserve">did </w:t>
      </w:r>
      <w:r w:rsidR="0058647D">
        <w:t>the</w:t>
      </w:r>
      <w:r w:rsidR="00EB7AEB">
        <w:t>ir</w:t>
      </w:r>
      <w:r w:rsidR="0058647D">
        <w:t xml:space="preserve"> family’s overall quality of life. </w:t>
      </w:r>
    </w:p>
    <w:p w:rsidR="007169D1" w:rsidRDefault="007169D1" w:rsidP="008179B7"/>
    <w:p w:rsidR="009665D3" w:rsidRDefault="00EB7AEB" w:rsidP="009665D3">
      <w:r>
        <w:t>The need for practice improvement across both IHT and ICC services was indicated in two A</w:t>
      </w:r>
      <w:r w:rsidR="009665D3">
        <w:t>reas</w:t>
      </w:r>
      <w:r>
        <w:t>:</w:t>
      </w:r>
    </w:p>
    <w:p w:rsidR="00EF3DE7" w:rsidRDefault="009665D3" w:rsidP="00EF3DE7">
      <w:pPr>
        <w:pStyle w:val="ListParagraph"/>
        <w:numPr>
          <w:ilvl w:val="0"/>
          <w:numId w:val="11"/>
        </w:numPr>
        <w:spacing w:before="60"/>
        <w:ind w:right="360"/>
        <w:contextualSpacing w:val="0"/>
      </w:pPr>
      <w:r w:rsidRPr="00EF3DE7">
        <w:rPr>
          <w:b/>
          <w:i/>
        </w:rPr>
        <w:t>Assessment</w:t>
      </w:r>
      <w:r w:rsidR="00EB7AEB" w:rsidRPr="00EF3DE7">
        <w:rPr>
          <w:b/>
          <w:i/>
        </w:rPr>
        <w:t xml:space="preserve"> - </w:t>
      </w:r>
      <w:r w:rsidR="00980506">
        <w:t>Ratings</w:t>
      </w:r>
      <w:r>
        <w:t xml:space="preserve">, reviewer comments, and debriefing discussions all consistently </w:t>
      </w:r>
      <w:r w:rsidR="005A4C7D">
        <w:t>identified</w:t>
      </w:r>
      <w:r>
        <w:t xml:space="preserve"> concerns </w:t>
      </w:r>
      <w:r w:rsidR="004E40A8">
        <w:t>regarding</w:t>
      </w:r>
      <w:r>
        <w:t xml:space="preserve"> the quality of the assessments</w:t>
      </w:r>
      <w:r w:rsidR="00EB7AEB">
        <w:t xml:space="preserve">, particularly </w:t>
      </w:r>
      <w:r w:rsidR="00980506">
        <w:t>in the areas of</w:t>
      </w:r>
      <w:r w:rsidR="00EB7AEB">
        <w:t xml:space="preserve"> </w:t>
      </w:r>
      <w:r w:rsidRPr="000102CC">
        <w:t>clinical</w:t>
      </w:r>
      <w:r>
        <w:t xml:space="preserve"> formulation, trauma history, </w:t>
      </w:r>
      <w:r w:rsidRPr="000102CC">
        <w:t>family/youth strengths,</w:t>
      </w:r>
      <w:r>
        <w:t xml:space="preserve"> and coll</w:t>
      </w:r>
      <w:r w:rsidR="00EF3DE7">
        <w:t>aboration with other providers.</w:t>
      </w:r>
    </w:p>
    <w:p w:rsidR="009665D3" w:rsidRDefault="009665D3" w:rsidP="00EF3DE7">
      <w:pPr>
        <w:pStyle w:val="ListParagraph"/>
        <w:numPr>
          <w:ilvl w:val="0"/>
          <w:numId w:val="11"/>
        </w:numPr>
        <w:spacing w:before="60"/>
        <w:ind w:right="360"/>
        <w:contextualSpacing w:val="0"/>
      </w:pPr>
      <w:r w:rsidRPr="00EF3DE7">
        <w:rPr>
          <w:b/>
          <w:i/>
        </w:rPr>
        <w:t>Transition</w:t>
      </w:r>
      <w:r w:rsidR="004E40A8">
        <w:rPr>
          <w:b/>
          <w:i/>
        </w:rPr>
        <w:t xml:space="preserve"> </w:t>
      </w:r>
      <w:r w:rsidR="00EB7AEB" w:rsidRPr="00EF3DE7">
        <w:rPr>
          <w:b/>
          <w:i/>
        </w:rPr>
        <w:t xml:space="preserve">- </w:t>
      </w:r>
      <w:r w:rsidR="004E40A8">
        <w:t>Many</w:t>
      </w:r>
      <w:r>
        <w:t xml:space="preserve"> families experienced a fractured transition process</w:t>
      </w:r>
      <w:r w:rsidR="00EB7AEB">
        <w:t xml:space="preserve"> through </w:t>
      </w:r>
      <w:r>
        <w:t xml:space="preserve">staff changes, movement from child to adult services, in/out of acute levels of care, and, most notably, termination from services. </w:t>
      </w:r>
    </w:p>
    <w:p w:rsidR="00B100E6" w:rsidRDefault="00B100E6" w:rsidP="00B100E6">
      <w:pPr>
        <w:pStyle w:val="ListParagraph"/>
        <w:numPr>
          <w:ilvl w:val="0"/>
          <w:numId w:val="0"/>
        </w:numPr>
        <w:spacing w:before="60"/>
        <w:ind w:left="720" w:right="360"/>
        <w:contextualSpacing w:val="0"/>
      </w:pPr>
    </w:p>
    <w:p w:rsidR="00EB7AEB" w:rsidRDefault="00EB7AEB" w:rsidP="00B100E6">
      <w:r>
        <w:t>The need for practice improvement among IHT providers specifically was indicated in three highly interrelated Areas within the Family-Driven and Youth Guided Domain and in one Area within the Culturally Competent Domain</w:t>
      </w:r>
      <w:r w:rsidR="005A4C7D">
        <w:t>:</w:t>
      </w:r>
    </w:p>
    <w:p w:rsidR="009665D3" w:rsidRPr="00EF3DE7" w:rsidRDefault="009665D3" w:rsidP="00EF3DE7">
      <w:pPr>
        <w:pStyle w:val="ListParagraph"/>
        <w:numPr>
          <w:ilvl w:val="0"/>
          <w:numId w:val="10"/>
        </w:numPr>
        <w:spacing w:before="60"/>
        <w:ind w:right="360"/>
        <w:contextualSpacing w:val="0"/>
        <w:rPr>
          <w:b/>
          <w:i/>
        </w:rPr>
      </w:pPr>
      <w:r w:rsidRPr="00EF3DE7">
        <w:rPr>
          <w:b/>
          <w:i/>
        </w:rPr>
        <w:lastRenderedPageBreak/>
        <w:t>Team Formation, Team Participation, and Care Coordination</w:t>
      </w:r>
      <w:r w:rsidR="00EB7AEB" w:rsidRPr="00EF3DE7">
        <w:rPr>
          <w:b/>
          <w:i/>
        </w:rPr>
        <w:t xml:space="preserve"> - </w:t>
      </w:r>
      <w:r>
        <w:t>Insufficient contact with both formal providers and natural supports was pervasive. In particular, additional outreach and inclusion was indicated as being needed yet absent with regard to schools, the Department of Children and Families</w:t>
      </w:r>
      <w:r w:rsidR="00B100E6">
        <w:t xml:space="preserve"> (DCF)</w:t>
      </w:r>
      <w:r>
        <w:t xml:space="preserve">, and prescribers of psychopharmacology. </w:t>
      </w:r>
    </w:p>
    <w:p w:rsidR="009665D3" w:rsidRPr="00EF3DE7" w:rsidRDefault="009665D3" w:rsidP="00EF3DE7">
      <w:pPr>
        <w:pStyle w:val="ListParagraph"/>
        <w:numPr>
          <w:ilvl w:val="0"/>
          <w:numId w:val="10"/>
        </w:numPr>
        <w:spacing w:before="60"/>
        <w:ind w:right="360"/>
        <w:contextualSpacing w:val="0"/>
        <w:rPr>
          <w:b/>
          <w:i/>
        </w:rPr>
      </w:pPr>
      <w:r w:rsidRPr="00EF3DE7">
        <w:rPr>
          <w:b/>
          <w:i/>
        </w:rPr>
        <w:t>Cultural Sensitivity and Responsiveness</w:t>
      </w:r>
      <w:r w:rsidR="00EB7AEB" w:rsidRPr="00EF3DE7">
        <w:rPr>
          <w:b/>
          <w:i/>
        </w:rPr>
        <w:t xml:space="preserve"> - </w:t>
      </w:r>
      <w:r w:rsidR="00EB7AEB" w:rsidRPr="00EF3DE7">
        <w:t>Providers often d</w:t>
      </w:r>
      <w:r w:rsidRPr="00EF3DE7">
        <w:t>ismi</w:t>
      </w:r>
      <w:r w:rsidR="00EB7AEB" w:rsidRPr="00EF3DE7">
        <w:t>ssed</w:t>
      </w:r>
      <w:r w:rsidR="00EB7AEB">
        <w:t xml:space="preserve"> the importance of culture, failed to recognize its</w:t>
      </w:r>
      <w:r>
        <w:t xml:space="preserve"> bearing on the</w:t>
      </w:r>
      <w:r w:rsidR="00980506">
        <w:t>ir</w:t>
      </w:r>
      <w:r>
        <w:t xml:space="preserve"> work</w:t>
      </w:r>
      <w:r w:rsidR="00EF3DE7">
        <w:t xml:space="preserve">, or viewed </w:t>
      </w:r>
      <w:r>
        <w:t>culture with a very narrow lens, equating the notion of culture</w:t>
      </w:r>
      <w:r w:rsidR="00B100E6">
        <w:t xml:space="preserve"> with</w:t>
      </w:r>
      <w:r>
        <w:t xml:space="preserve"> race alone.  </w:t>
      </w:r>
    </w:p>
    <w:p w:rsidR="006B1338" w:rsidRDefault="006B1338" w:rsidP="006B1338"/>
    <w:p w:rsidR="00C82174" w:rsidRPr="00F455F5" w:rsidRDefault="00C82174" w:rsidP="006B1338">
      <w:r>
        <w:t>The Commonwealth has undertaken several initiatives aimed at improving the quality of CBHI serv</w:t>
      </w:r>
      <w:r w:rsidR="00986094">
        <w:t xml:space="preserve">ices, based in part on findings from previous quality reviews. These include targeted training and coaching activities for IHT and ICC providers on topics that are well-aligned with </w:t>
      </w:r>
      <w:r>
        <w:t xml:space="preserve">the areas identified as </w:t>
      </w:r>
      <w:r w:rsidR="00B77E95">
        <w:t>most needing improvement</w:t>
      </w:r>
      <w:r w:rsidR="00986094">
        <w:t>.</w:t>
      </w:r>
      <w:r>
        <w:t xml:space="preserve"> These initiatives, </w:t>
      </w:r>
      <w:r w:rsidR="00986094">
        <w:t xml:space="preserve">which are </w:t>
      </w:r>
      <w:r w:rsidR="00815541">
        <w:t>briefly</w:t>
      </w:r>
      <w:r w:rsidR="00986094">
        <w:t xml:space="preserve"> highlighted below, </w:t>
      </w:r>
      <w:r w:rsidR="00815541">
        <w:t xml:space="preserve">should </w:t>
      </w:r>
      <w:r>
        <w:t>continue to be</w:t>
      </w:r>
      <w:r w:rsidR="00815541">
        <w:t xml:space="preserve"> developed </w:t>
      </w:r>
      <w:r>
        <w:t xml:space="preserve">and expanded to </w:t>
      </w:r>
      <w:r w:rsidR="00986094">
        <w:t>support practice improvement</w:t>
      </w:r>
      <w:r>
        <w:t xml:space="preserve">. </w:t>
      </w:r>
    </w:p>
    <w:p w:rsidR="00C82174" w:rsidRDefault="00C82174" w:rsidP="00815541">
      <w:pPr>
        <w:pStyle w:val="ListParagraph"/>
        <w:numPr>
          <w:ilvl w:val="0"/>
          <w:numId w:val="12"/>
        </w:numPr>
        <w:spacing w:before="60"/>
        <w:ind w:right="360"/>
        <w:contextualSpacing w:val="0"/>
      </w:pPr>
      <w:r w:rsidRPr="00815541">
        <w:rPr>
          <w:b/>
          <w:i/>
        </w:rPr>
        <w:t>Wraparound Coaching</w:t>
      </w:r>
      <w:r w:rsidR="00986094" w:rsidRPr="00815541">
        <w:rPr>
          <w:b/>
          <w:i/>
        </w:rPr>
        <w:t xml:space="preserve"> - </w:t>
      </w:r>
      <w:r w:rsidR="00986094" w:rsidRPr="00986094">
        <w:t>T</w:t>
      </w:r>
      <w:r>
        <w:t xml:space="preserve">raining and coaching </w:t>
      </w:r>
      <w:r w:rsidR="00986094">
        <w:t>c</w:t>
      </w:r>
      <w:r>
        <w:t xml:space="preserve">ontinues to </w:t>
      </w:r>
      <w:r w:rsidR="00986094">
        <w:t xml:space="preserve">be provided to the CSAs to </w:t>
      </w:r>
      <w:r>
        <w:t xml:space="preserve">support fidelity to the </w:t>
      </w:r>
      <w:r w:rsidR="00986094">
        <w:t xml:space="preserve">Wraparound </w:t>
      </w:r>
      <w:r>
        <w:t xml:space="preserve">model for ICC. </w:t>
      </w:r>
    </w:p>
    <w:p w:rsidR="00986094" w:rsidRDefault="00C82174" w:rsidP="00815541">
      <w:pPr>
        <w:pStyle w:val="ListParagraph"/>
        <w:numPr>
          <w:ilvl w:val="0"/>
          <w:numId w:val="12"/>
        </w:numPr>
        <w:spacing w:before="60"/>
        <w:ind w:right="360"/>
        <w:contextualSpacing w:val="0"/>
      </w:pPr>
      <w:r w:rsidRPr="00815541">
        <w:rPr>
          <w:b/>
          <w:i/>
        </w:rPr>
        <w:t>IHT Practice Profile</w:t>
      </w:r>
      <w:r w:rsidR="00986094" w:rsidRPr="00815541">
        <w:rPr>
          <w:b/>
          <w:i/>
        </w:rPr>
        <w:t xml:space="preserve"> - </w:t>
      </w:r>
      <w:r w:rsidR="00986094" w:rsidRPr="00986094">
        <w:t xml:space="preserve">While in the early stages of implementation, </w:t>
      </w:r>
      <w:r w:rsidR="00986094" w:rsidRPr="00815541">
        <w:rPr>
          <w:rFonts w:cs="Arial"/>
        </w:rPr>
        <w:t>activities to support the initial training and ongoing learning associated with the Practice Profile</w:t>
      </w:r>
      <w:r w:rsidR="00986094" w:rsidRPr="00986094">
        <w:t xml:space="preserve"> will support greater adherence to the nine core components of IHT practice identified in the tool, several of which (</w:t>
      </w:r>
      <w:r w:rsidRPr="00986094">
        <w:t>Practicing Cultural Relevance</w:t>
      </w:r>
      <w:r w:rsidR="00986094" w:rsidRPr="00986094">
        <w:t>, A</w:t>
      </w:r>
      <w:r w:rsidRPr="00986094">
        <w:t>ssessment and Clinical Understanding</w:t>
      </w:r>
      <w:r w:rsidR="00986094" w:rsidRPr="00986094">
        <w:t xml:space="preserve">, </w:t>
      </w:r>
      <w:r w:rsidRPr="00986094">
        <w:t>Care Coordination and Collaboration</w:t>
      </w:r>
      <w:r w:rsidR="00986094" w:rsidRPr="00986094">
        <w:t xml:space="preserve">, and </w:t>
      </w:r>
      <w:r w:rsidRPr="00986094">
        <w:t>Preparing to Exit</w:t>
      </w:r>
      <w:r w:rsidR="00986094" w:rsidRPr="00986094">
        <w:t xml:space="preserve">) </w:t>
      </w:r>
      <w:r>
        <w:t>directly relate to the areas identified in this report as needing practice improvement</w:t>
      </w:r>
      <w:r w:rsidR="00986094">
        <w:t>.</w:t>
      </w:r>
    </w:p>
    <w:p w:rsidR="00C82174" w:rsidRDefault="00C82174" w:rsidP="00815541">
      <w:pPr>
        <w:pStyle w:val="ListParagraph"/>
        <w:numPr>
          <w:ilvl w:val="0"/>
          <w:numId w:val="12"/>
        </w:numPr>
        <w:spacing w:before="60"/>
        <w:ind w:right="360"/>
        <w:contextualSpacing w:val="0"/>
      </w:pPr>
      <w:r w:rsidRPr="00815541">
        <w:rPr>
          <w:b/>
          <w:i/>
        </w:rPr>
        <w:t>Trauma Training</w:t>
      </w:r>
      <w:r w:rsidR="00986094" w:rsidRPr="00815541">
        <w:rPr>
          <w:b/>
          <w:i/>
        </w:rPr>
        <w:t xml:space="preserve"> - </w:t>
      </w:r>
      <w:r>
        <w:t>Attachment, Regulation and Competency (ARC) training</w:t>
      </w:r>
      <w:r w:rsidR="00986094">
        <w:t>,</w:t>
      </w:r>
      <w:r>
        <w:t xml:space="preserve"> </w:t>
      </w:r>
      <w:r w:rsidR="00986094">
        <w:t xml:space="preserve">and the accompanying consultation and support that is currently being offered to IHT and ICC providers across </w:t>
      </w:r>
      <w:r>
        <w:t>the state</w:t>
      </w:r>
      <w:r w:rsidR="00986094">
        <w:t xml:space="preserve">, </w:t>
      </w:r>
      <w:r w:rsidR="00066214">
        <w:t xml:space="preserve">provides </w:t>
      </w:r>
      <w:r>
        <w:t xml:space="preserve">a guiding framework for </w:t>
      </w:r>
      <w:r w:rsidRPr="00F22229">
        <w:t>thoughtful clin</w:t>
      </w:r>
      <w:r>
        <w:t>ical intervention with regard to complex trauma for</w:t>
      </w:r>
      <w:r w:rsidRPr="00F22229">
        <w:t xml:space="preserve"> youth</w:t>
      </w:r>
      <w:r>
        <w:t xml:space="preserve"> and their caregiv</w:t>
      </w:r>
      <w:r w:rsidR="00815541">
        <w:t xml:space="preserve">er </w:t>
      </w:r>
      <w:r>
        <w:t>systems</w:t>
      </w:r>
      <w:r w:rsidR="00066214">
        <w:t xml:space="preserve"> and </w:t>
      </w:r>
      <w:r>
        <w:t xml:space="preserve">should </w:t>
      </w:r>
      <w:r w:rsidR="00066214">
        <w:t xml:space="preserve">serve to strengthen practice in the area of </w:t>
      </w:r>
      <w:r>
        <w:t xml:space="preserve">Assessment.  </w:t>
      </w:r>
    </w:p>
    <w:p w:rsidR="00C82174" w:rsidRPr="00815541" w:rsidRDefault="00C82174" w:rsidP="00815541">
      <w:pPr>
        <w:pStyle w:val="ListParagraph"/>
        <w:numPr>
          <w:ilvl w:val="0"/>
          <w:numId w:val="12"/>
        </w:numPr>
        <w:spacing w:before="60"/>
        <w:ind w:right="360"/>
        <w:contextualSpacing w:val="0"/>
        <w:rPr>
          <w:i/>
        </w:rPr>
      </w:pPr>
      <w:r w:rsidRPr="00815541">
        <w:rPr>
          <w:b/>
          <w:i/>
        </w:rPr>
        <w:t>Cultural Competency</w:t>
      </w:r>
      <w:r w:rsidR="00066214" w:rsidRPr="00815541">
        <w:rPr>
          <w:b/>
          <w:i/>
        </w:rPr>
        <w:t xml:space="preserve"> - </w:t>
      </w:r>
      <w:r>
        <w:t>CBHI continues to support initiatives to bolster cultural competency as it relates to workforce development and al</w:t>
      </w:r>
      <w:r w:rsidR="00066214">
        <w:t xml:space="preserve">so to enhance clinical practice, including trainings delivered </w:t>
      </w:r>
      <w:r>
        <w:t>by Dr. Ken Hardy</w:t>
      </w:r>
      <w:r w:rsidR="00066214">
        <w:t xml:space="preserve"> to three regional IHT cohorts this past year</w:t>
      </w:r>
      <w:r w:rsidR="00815541">
        <w:t>.</w:t>
      </w:r>
      <w:r w:rsidR="00066214">
        <w:t xml:space="preserve"> </w:t>
      </w:r>
      <w:r w:rsidRPr="00DD014B">
        <w:t xml:space="preserve">Dr. Hardy </w:t>
      </w:r>
      <w:r>
        <w:t xml:space="preserve">will offer an additional training for IHT providers in the central region this fall. </w:t>
      </w:r>
    </w:p>
    <w:p w:rsidR="006B1338" w:rsidRDefault="00C82174" w:rsidP="006B1338">
      <w:pPr>
        <w:pStyle w:val="ListParagraph"/>
        <w:numPr>
          <w:ilvl w:val="0"/>
          <w:numId w:val="12"/>
        </w:numPr>
        <w:spacing w:before="60"/>
        <w:ind w:right="360"/>
        <w:contextualSpacing w:val="0"/>
        <w:rPr>
          <w:i/>
        </w:rPr>
      </w:pPr>
      <w:r w:rsidRPr="00815541">
        <w:rPr>
          <w:b/>
          <w:i/>
        </w:rPr>
        <w:t>Supervision Supports</w:t>
      </w:r>
      <w:r w:rsidR="00066214" w:rsidRPr="00815541">
        <w:rPr>
          <w:b/>
          <w:i/>
        </w:rPr>
        <w:t xml:space="preserve"> - </w:t>
      </w:r>
      <w:r w:rsidR="00066214" w:rsidRPr="00815541">
        <w:t xml:space="preserve">Upcoming initiatives focused on strengthening supervision practice to improve </w:t>
      </w:r>
      <w:r w:rsidR="00815541" w:rsidRPr="00815541">
        <w:t xml:space="preserve">overall care as well as staff retention </w:t>
      </w:r>
      <w:r w:rsidR="00B77E95" w:rsidRPr="00815541">
        <w:t>include a</w:t>
      </w:r>
      <w:r w:rsidR="00815541" w:rsidRPr="00815541">
        <w:rPr>
          <w:b/>
          <w:i/>
        </w:rPr>
        <w:t xml:space="preserve"> </w:t>
      </w:r>
      <w:r w:rsidR="00066214" w:rsidRPr="00815541">
        <w:rPr>
          <w:i/>
        </w:rPr>
        <w:t>Reflective Supervision Learning Community,</w:t>
      </w:r>
      <w:r w:rsidR="00815541" w:rsidRPr="00815541">
        <w:rPr>
          <w:i/>
        </w:rPr>
        <w:t xml:space="preserve"> </w:t>
      </w:r>
      <w:r w:rsidR="00815541" w:rsidRPr="00815541">
        <w:t>which</w:t>
      </w:r>
      <w:r w:rsidR="00066214" w:rsidRPr="00815541">
        <w:rPr>
          <w:i/>
        </w:rPr>
        <w:t xml:space="preserve"> </w:t>
      </w:r>
      <w:r w:rsidR="00066214">
        <w:t xml:space="preserve">will serve to </w:t>
      </w:r>
      <w:r w:rsidR="00066214" w:rsidRPr="00D410C3">
        <w:t xml:space="preserve">broaden and enhance </w:t>
      </w:r>
      <w:r w:rsidR="00066214">
        <w:t xml:space="preserve">reflective </w:t>
      </w:r>
      <w:r w:rsidR="00066214" w:rsidRPr="00D410C3">
        <w:t>practice within</w:t>
      </w:r>
      <w:r w:rsidR="00066214">
        <w:t xml:space="preserve"> six</w:t>
      </w:r>
      <w:r w:rsidR="00066214" w:rsidRPr="00D410C3">
        <w:t xml:space="preserve"> IHT</w:t>
      </w:r>
      <w:r w:rsidR="00066214">
        <w:t xml:space="preserve"> programs</w:t>
      </w:r>
      <w:r w:rsidR="00815541">
        <w:t xml:space="preserve">, and </w:t>
      </w:r>
      <w:r w:rsidRPr="00815541">
        <w:rPr>
          <w:i/>
        </w:rPr>
        <w:t>Yale Strengthening Supervision,</w:t>
      </w:r>
      <w:r>
        <w:t xml:space="preserve"> </w:t>
      </w:r>
      <w:r w:rsidR="00815541">
        <w:t xml:space="preserve">which </w:t>
      </w:r>
      <w:r>
        <w:t xml:space="preserve">will focus on agency standards, policies, and procedures related to supervision at four provider agencies.  </w:t>
      </w:r>
    </w:p>
    <w:p w:rsidR="006B1338" w:rsidRDefault="006B1338" w:rsidP="006B1338">
      <w:pPr>
        <w:pStyle w:val="ListParagraph"/>
        <w:numPr>
          <w:ilvl w:val="0"/>
          <w:numId w:val="0"/>
        </w:numPr>
        <w:ind w:right="360"/>
        <w:contextualSpacing w:val="0"/>
      </w:pPr>
    </w:p>
    <w:p w:rsidR="006B1338" w:rsidRDefault="006B1338" w:rsidP="006B1338">
      <w:pPr>
        <w:pStyle w:val="ListParagraph"/>
        <w:numPr>
          <w:ilvl w:val="0"/>
          <w:numId w:val="0"/>
        </w:numPr>
        <w:ind w:right="360"/>
        <w:contextualSpacing w:val="0"/>
      </w:pPr>
      <w:r>
        <w:t>This report also includes recommendations for the Commonwealth to consider that would s</w:t>
      </w:r>
      <w:r w:rsidRPr="00815541">
        <w:t xml:space="preserve">upport </w:t>
      </w:r>
      <w:r>
        <w:t>p</w:t>
      </w:r>
      <w:r w:rsidRPr="00815541">
        <w:t xml:space="preserve">ractice </w:t>
      </w:r>
      <w:r>
        <w:t>i</w:t>
      </w:r>
      <w:r w:rsidRPr="00815541">
        <w:t>mprovement</w:t>
      </w:r>
      <w:r>
        <w:t>s</w:t>
      </w:r>
      <w:r w:rsidRPr="00815541">
        <w:t xml:space="preserve"> in the Areas of Assessment </w:t>
      </w:r>
      <w:r>
        <w:t>and</w:t>
      </w:r>
      <w:r w:rsidRPr="00815541">
        <w:t xml:space="preserve"> Transition for ICC</w:t>
      </w:r>
      <w:r>
        <w:t xml:space="preserve">. These include the development of best practice guides highlighting exemplary practices captured by MPR qualitative data in these Areas, specifically incorporating these Areas into existing coaching activities with the CSAs, and potentially modifying components of the IHT Practice Profile to support the CSAs in these Areas. </w:t>
      </w:r>
    </w:p>
    <w:p w:rsidR="006B1338" w:rsidRPr="006B1338" w:rsidRDefault="006B1338" w:rsidP="006B1338">
      <w:pPr>
        <w:pStyle w:val="ListParagraph"/>
        <w:numPr>
          <w:ilvl w:val="0"/>
          <w:numId w:val="0"/>
        </w:numPr>
        <w:ind w:right="360"/>
        <w:contextualSpacing w:val="0"/>
        <w:rPr>
          <w:i/>
        </w:rPr>
      </w:pPr>
    </w:p>
    <w:p w:rsidR="008422F1" w:rsidRDefault="008422F1" w:rsidP="006B1338">
      <w:pPr>
        <w:pStyle w:val="Heading1"/>
        <w:numPr>
          <w:ilvl w:val="0"/>
          <w:numId w:val="0"/>
        </w:numPr>
      </w:pPr>
      <w:bookmarkStart w:id="1" w:name="_Toc467142998"/>
      <w:r>
        <w:lastRenderedPageBreak/>
        <w:t>Background</w:t>
      </w:r>
      <w:bookmarkEnd w:id="1"/>
    </w:p>
    <w:p w:rsidR="008422F1" w:rsidRPr="009072C6" w:rsidRDefault="008422F1" w:rsidP="008179B7">
      <w:pPr>
        <w:spacing w:before="240"/>
        <w:rPr>
          <w:rFonts w:ascii="Calibri" w:eastAsia="Calibri" w:hAnsi="Calibri" w:cs="Times New Roman"/>
        </w:rPr>
      </w:pPr>
      <w:r w:rsidRPr="009072C6">
        <w:rPr>
          <w:rFonts w:ascii="Calibri" w:eastAsia="Calibri" w:hAnsi="Calibri" w:cs="Times New Roman"/>
        </w:rPr>
        <w:t xml:space="preserve">In Fiscal Year </w:t>
      </w:r>
      <w:r>
        <w:t xml:space="preserve">(FY) </w:t>
      </w:r>
      <w:r w:rsidRPr="009072C6">
        <w:rPr>
          <w:rFonts w:ascii="Calibri" w:eastAsia="Calibri" w:hAnsi="Calibri" w:cs="Times New Roman"/>
        </w:rPr>
        <w:t xml:space="preserve">2014, the Commonwealth </w:t>
      </w:r>
      <w:r w:rsidR="004E2DD8">
        <w:rPr>
          <w:rFonts w:ascii="Calibri" w:eastAsia="Calibri" w:hAnsi="Calibri" w:cs="Times New Roman"/>
        </w:rPr>
        <w:t xml:space="preserve">began </w:t>
      </w:r>
      <w:r w:rsidRPr="009072C6">
        <w:rPr>
          <w:rFonts w:ascii="Calibri" w:eastAsia="Calibri" w:hAnsi="Calibri" w:cs="Times New Roman"/>
        </w:rPr>
        <w:t>implement</w:t>
      </w:r>
      <w:r w:rsidR="004E2DD8">
        <w:rPr>
          <w:rFonts w:ascii="Calibri" w:eastAsia="Calibri" w:hAnsi="Calibri" w:cs="Times New Roman"/>
        </w:rPr>
        <w:t>ing</w:t>
      </w:r>
      <w:r w:rsidRPr="009072C6">
        <w:rPr>
          <w:rFonts w:ascii="Calibri" w:eastAsia="Calibri" w:hAnsi="Calibri" w:cs="Times New Roman"/>
        </w:rPr>
        <w:t xml:space="preserve"> the System of Care Practice Review (SOCPR) as part of its ongoing effort to evaluate the quality of care delivered to youth under 21 receiving MassHealth Children’s Behavioral Health Initiative (CBHI) services. The SOCPR used a multiple case study methodology to learn how important System of Care (SOC) values and principles are operationalized at the practice level, where youth and families have direct contact with service providers. </w:t>
      </w:r>
      <w:r w:rsidR="00B30F74">
        <w:rPr>
          <w:rFonts w:ascii="Calibri" w:eastAsia="Calibri" w:hAnsi="Calibri" w:cs="Times New Roman"/>
        </w:rPr>
        <w:t>F</w:t>
      </w:r>
      <w:r w:rsidRPr="009072C6">
        <w:rPr>
          <w:rFonts w:ascii="Calibri" w:eastAsia="Calibri" w:hAnsi="Calibri" w:cs="Times New Roman"/>
        </w:rPr>
        <w:t>ive regionally</w:t>
      </w:r>
      <w:r w:rsidR="00B30F74">
        <w:rPr>
          <w:rFonts w:ascii="Calibri" w:eastAsia="Calibri" w:hAnsi="Calibri" w:cs="Times New Roman"/>
        </w:rPr>
        <w:t>-</w:t>
      </w:r>
      <w:r w:rsidRPr="009072C6">
        <w:rPr>
          <w:rFonts w:ascii="Calibri" w:eastAsia="Calibri" w:hAnsi="Calibri" w:cs="Times New Roman"/>
        </w:rPr>
        <w:t xml:space="preserve">based reviews </w:t>
      </w:r>
      <w:r w:rsidR="00B30F74">
        <w:rPr>
          <w:rFonts w:ascii="Calibri" w:eastAsia="Calibri" w:hAnsi="Calibri" w:cs="Times New Roman"/>
        </w:rPr>
        <w:t xml:space="preserve">were </w:t>
      </w:r>
      <w:r w:rsidRPr="009072C6">
        <w:rPr>
          <w:rFonts w:ascii="Calibri" w:eastAsia="Calibri" w:hAnsi="Calibri" w:cs="Times New Roman"/>
        </w:rPr>
        <w:t>conducted with In-Home Therapy (IHT) and Intensive Care Coordination (ICC) providers using the SOCPR protocol</w:t>
      </w:r>
      <w:r w:rsidR="00B30F74">
        <w:rPr>
          <w:rFonts w:ascii="Calibri" w:eastAsia="Calibri" w:hAnsi="Calibri" w:cs="Times New Roman"/>
        </w:rPr>
        <w:t>, the findings of which</w:t>
      </w:r>
      <w:r w:rsidRPr="009072C6">
        <w:rPr>
          <w:rFonts w:ascii="Calibri" w:eastAsia="Calibri" w:hAnsi="Calibri" w:cs="Times New Roman"/>
        </w:rPr>
        <w:t xml:space="preserve"> were </w:t>
      </w:r>
      <w:r w:rsidR="00B30F74" w:rsidRPr="009072C6">
        <w:rPr>
          <w:rFonts w:ascii="Calibri" w:eastAsia="Calibri" w:hAnsi="Calibri" w:cs="Times New Roman"/>
        </w:rPr>
        <w:t xml:space="preserve">disseminated </w:t>
      </w:r>
      <w:r w:rsidR="00B30F74">
        <w:rPr>
          <w:rFonts w:ascii="Calibri" w:eastAsia="Calibri" w:hAnsi="Calibri" w:cs="Times New Roman"/>
        </w:rPr>
        <w:t xml:space="preserve">through </w:t>
      </w:r>
      <w:r w:rsidRPr="009072C6">
        <w:rPr>
          <w:rFonts w:ascii="Calibri" w:eastAsia="Calibri" w:hAnsi="Calibri" w:cs="Times New Roman"/>
        </w:rPr>
        <w:t>a series of reports.</w:t>
      </w:r>
      <w:r w:rsidR="00B30F74">
        <w:rPr>
          <w:rFonts w:ascii="Calibri" w:eastAsia="Calibri" w:hAnsi="Calibri" w:cs="Times New Roman"/>
        </w:rPr>
        <w:t xml:space="preserve"> ICC and IHT providers were selected for these reviews because of their important </w:t>
      </w:r>
      <w:r w:rsidR="00D26494">
        <w:rPr>
          <w:rFonts w:ascii="Calibri" w:eastAsia="Calibri" w:hAnsi="Calibri" w:cs="Times New Roman"/>
        </w:rPr>
        <w:t>r</w:t>
      </w:r>
      <w:r w:rsidR="00B30F74">
        <w:rPr>
          <w:rFonts w:ascii="Calibri" w:eastAsia="Calibri" w:hAnsi="Calibri" w:cs="Times New Roman"/>
        </w:rPr>
        <w:t xml:space="preserve">ole in the system, serving as "clinical hubs" responsible for delivering care coordination for youth with the most serious behavioral health challenges. </w:t>
      </w:r>
    </w:p>
    <w:p w:rsidR="008422F1" w:rsidRPr="009072C6" w:rsidRDefault="008422F1" w:rsidP="008179B7">
      <w:pPr>
        <w:rPr>
          <w:rFonts w:ascii="Calibri" w:eastAsia="Calibri" w:hAnsi="Calibri" w:cs="Times New Roman"/>
        </w:rPr>
      </w:pPr>
    </w:p>
    <w:p w:rsidR="008422F1" w:rsidRDefault="008422F1" w:rsidP="008179B7">
      <w:r w:rsidRPr="009072C6">
        <w:rPr>
          <w:rFonts w:ascii="Calibri" w:eastAsia="Calibri" w:hAnsi="Calibri" w:cs="Times New Roman"/>
        </w:rPr>
        <w:t xml:space="preserve">The final </w:t>
      </w:r>
      <w:r w:rsidR="00B30F74">
        <w:rPr>
          <w:rFonts w:ascii="Calibri" w:eastAsia="Calibri" w:hAnsi="Calibri" w:cs="Times New Roman"/>
        </w:rPr>
        <w:t xml:space="preserve">FY 14 SOCPR </w:t>
      </w:r>
      <w:r w:rsidRPr="009072C6">
        <w:rPr>
          <w:rFonts w:ascii="Calibri" w:eastAsia="Calibri" w:hAnsi="Calibri" w:cs="Times New Roman"/>
        </w:rPr>
        <w:t>report included a recommendation to create a Massachusetts</w:t>
      </w:r>
      <w:r>
        <w:rPr>
          <w:rFonts w:ascii="Calibri" w:eastAsia="Calibri" w:hAnsi="Calibri" w:cs="Times New Roman"/>
        </w:rPr>
        <w:t>-</w:t>
      </w:r>
      <w:r w:rsidRPr="009072C6">
        <w:rPr>
          <w:rFonts w:ascii="Calibri" w:eastAsia="Calibri" w:hAnsi="Calibri" w:cs="Times New Roman"/>
        </w:rPr>
        <w:t xml:space="preserve">specific version of the SOCPR protocol. Specifically, changes </w:t>
      </w:r>
      <w:r w:rsidR="006C250B">
        <w:rPr>
          <w:rFonts w:ascii="Calibri" w:eastAsia="Calibri" w:hAnsi="Calibri" w:cs="Times New Roman"/>
        </w:rPr>
        <w:t xml:space="preserve">were suggested </w:t>
      </w:r>
      <w:r w:rsidR="00B30F74">
        <w:rPr>
          <w:rFonts w:ascii="Calibri" w:eastAsia="Calibri" w:hAnsi="Calibri" w:cs="Times New Roman"/>
        </w:rPr>
        <w:t xml:space="preserve">that would align </w:t>
      </w:r>
      <w:r w:rsidRPr="009072C6">
        <w:rPr>
          <w:rFonts w:ascii="Calibri" w:eastAsia="Calibri" w:hAnsi="Calibri" w:cs="Times New Roman"/>
        </w:rPr>
        <w:t>the interview protocol more with the best practice Wraparound process implemented by MassHealth for its CBHI services. Revisions to the protocol were made between June and August 2014, and pilot tests of the new protocol, the Massachusetts Practice Review (MPR), occurred in October 2014 and June 2015</w:t>
      </w:r>
      <w:r>
        <w:t xml:space="preserve"> and were summarized in a</w:t>
      </w:r>
      <w:r w:rsidR="00B30F74">
        <w:t>n</w:t>
      </w:r>
      <w:r>
        <w:t xml:space="preserve"> </w:t>
      </w:r>
      <w:r w:rsidR="007169D1">
        <w:t>October 2015</w:t>
      </w:r>
      <w:r w:rsidR="00B30F74">
        <w:t xml:space="preserve"> </w:t>
      </w:r>
      <w:r w:rsidR="005355A7">
        <w:t>report</w:t>
      </w:r>
      <w:r w:rsidRPr="009072C6">
        <w:rPr>
          <w:rFonts w:ascii="Calibri" w:eastAsia="Calibri" w:hAnsi="Calibri" w:cs="Times New Roman"/>
        </w:rPr>
        <w:t>.</w:t>
      </w:r>
    </w:p>
    <w:p w:rsidR="008422F1" w:rsidRDefault="008422F1" w:rsidP="008179B7"/>
    <w:p w:rsidR="008422F1" w:rsidRDefault="008422F1" w:rsidP="008179B7">
      <w:pPr>
        <w:rPr>
          <w:rFonts w:ascii="Calibri" w:eastAsia="Calibri" w:hAnsi="Calibri" w:cs="Times New Roman"/>
        </w:rPr>
      </w:pPr>
      <w:r>
        <w:t xml:space="preserve">In Fiscal Year </w:t>
      </w:r>
      <w:r w:rsidR="001D176F">
        <w:t xml:space="preserve">2016, </w:t>
      </w:r>
      <w:r w:rsidR="001D176F" w:rsidRPr="009072C6">
        <w:rPr>
          <w:rFonts w:ascii="Calibri" w:eastAsia="Calibri" w:hAnsi="Calibri" w:cs="Times New Roman"/>
        </w:rPr>
        <w:t>the</w:t>
      </w:r>
      <w:r w:rsidR="00B1096C">
        <w:rPr>
          <w:rFonts w:ascii="Calibri" w:eastAsia="Calibri" w:hAnsi="Calibri" w:cs="Times New Roman"/>
        </w:rPr>
        <w:t xml:space="preserve"> Technical Assistance Collaborative (TAC), </w:t>
      </w:r>
      <w:r w:rsidR="005355A7">
        <w:rPr>
          <w:rFonts w:ascii="Calibri" w:eastAsia="Calibri" w:hAnsi="Calibri" w:cs="Times New Roman"/>
        </w:rPr>
        <w:t xml:space="preserve">a Boston-based nonprofit </w:t>
      </w:r>
      <w:r w:rsidR="00B1096C">
        <w:rPr>
          <w:rFonts w:ascii="Calibri" w:eastAsia="Calibri" w:hAnsi="Calibri" w:cs="Times New Roman"/>
        </w:rPr>
        <w:t xml:space="preserve">contracted by the Commonwealth to manage the quality case review process, conducted three total MPR review </w:t>
      </w:r>
      <w:r w:rsidR="00A70175">
        <w:rPr>
          <w:rFonts w:ascii="Calibri" w:eastAsia="Calibri" w:hAnsi="Calibri" w:cs="Times New Roman"/>
        </w:rPr>
        <w:t>rounds</w:t>
      </w:r>
      <w:r w:rsidR="00B1096C">
        <w:rPr>
          <w:rFonts w:ascii="Calibri" w:eastAsia="Calibri" w:hAnsi="Calibri" w:cs="Times New Roman"/>
        </w:rPr>
        <w:t xml:space="preserve"> in October 2015, and in March-April and May-June 2016. The care of 120 youth/families </w:t>
      </w:r>
      <w:r w:rsidR="005355A7">
        <w:rPr>
          <w:rFonts w:ascii="Calibri" w:eastAsia="Calibri" w:hAnsi="Calibri" w:cs="Times New Roman"/>
        </w:rPr>
        <w:t xml:space="preserve">in </w:t>
      </w:r>
      <w:r w:rsidR="00B1096C">
        <w:rPr>
          <w:rFonts w:ascii="Calibri" w:eastAsia="Calibri" w:hAnsi="Calibri" w:cs="Times New Roman"/>
        </w:rPr>
        <w:t xml:space="preserve">total was reviewed </w:t>
      </w:r>
      <w:r w:rsidR="005355A7">
        <w:rPr>
          <w:rFonts w:ascii="Calibri" w:eastAsia="Calibri" w:hAnsi="Calibri" w:cs="Times New Roman"/>
        </w:rPr>
        <w:t>using the MPR in FY16</w:t>
      </w:r>
      <w:r w:rsidR="00B1096C">
        <w:rPr>
          <w:rFonts w:ascii="Calibri" w:eastAsia="Calibri" w:hAnsi="Calibri" w:cs="Times New Roman"/>
        </w:rPr>
        <w:t>, including 61 youth/families receiving ICC service</w:t>
      </w:r>
      <w:r w:rsidR="005355A7">
        <w:rPr>
          <w:rFonts w:ascii="Calibri" w:eastAsia="Calibri" w:hAnsi="Calibri" w:cs="Times New Roman"/>
        </w:rPr>
        <w:t>s</w:t>
      </w:r>
      <w:r w:rsidR="00B1096C">
        <w:rPr>
          <w:rFonts w:ascii="Calibri" w:eastAsia="Calibri" w:hAnsi="Calibri" w:cs="Times New Roman"/>
        </w:rPr>
        <w:t xml:space="preserve"> and 59 receiving IHT.</w:t>
      </w:r>
      <w:r w:rsidR="00A140FD">
        <w:rPr>
          <w:rFonts w:ascii="Calibri" w:eastAsia="Calibri" w:hAnsi="Calibri" w:cs="Times New Roman"/>
        </w:rPr>
        <w:t xml:space="preserve"> </w:t>
      </w:r>
      <w:r w:rsidR="00A140FD" w:rsidRPr="004627DB">
        <w:rPr>
          <w:rFonts w:ascii="Calibri" w:eastAsia="Calibri" w:hAnsi="Calibri" w:cs="Times New Roman"/>
          <w:b/>
          <w:color w:val="5B9BD5" w:themeColor="accent1"/>
        </w:rPr>
        <w:t xml:space="preserve">Table </w:t>
      </w:r>
      <w:r w:rsidR="00C2310F">
        <w:rPr>
          <w:rFonts w:ascii="Calibri" w:eastAsia="Calibri" w:hAnsi="Calibri" w:cs="Times New Roman"/>
          <w:b/>
          <w:color w:val="5B9BD5" w:themeColor="accent1"/>
        </w:rPr>
        <w:t>5</w:t>
      </w:r>
      <w:r w:rsidR="00A140FD">
        <w:rPr>
          <w:rFonts w:ascii="Calibri" w:eastAsia="Calibri" w:hAnsi="Calibri" w:cs="Times New Roman"/>
        </w:rPr>
        <w:t xml:space="preserve"> provide</w:t>
      </w:r>
      <w:r w:rsidR="00A70175">
        <w:rPr>
          <w:rFonts w:ascii="Calibri" w:eastAsia="Calibri" w:hAnsi="Calibri" w:cs="Times New Roman"/>
        </w:rPr>
        <w:t xml:space="preserve">s a summary of the number of youth reviewed by </w:t>
      </w:r>
      <w:r w:rsidR="00C05C2E">
        <w:rPr>
          <w:rFonts w:ascii="Calibri" w:eastAsia="Calibri" w:hAnsi="Calibri" w:cs="Times New Roman"/>
        </w:rPr>
        <w:t>r</w:t>
      </w:r>
      <w:r w:rsidR="00A70175">
        <w:rPr>
          <w:rFonts w:ascii="Calibri" w:eastAsia="Calibri" w:hAnsi="Calibri" w:cs="Times New Roman"/>
        </w:rPr>
        <w:t>ound.</w:t>
      </w:r>
      <w:r w:rsidR="00AD59FA">
        <w:rPr>
          <w:rFonts w:ascii="Calibri" w:eastAsia="Calibri" w:hAnsi="Calibri" w:cs="Times New Roman"/>
        </w:rPr>
        <w:t xml:space="preserve"> </w:t>
      </w:r>
      <w:r w:rsidR="00AD59FA" w:rsidRPr="000102CC">
        <w:rPr>
          <w:rFonts w:ascii="Calibri" w:eastAsia="Calibri" w:hAnsi="Calibri" w:cs="Times New Roman"/>
        </w:rPr>
        <w:t>A</w:t>
      </w:r>
      <w:r w:rsidR="00054062" w:rsidRPr="000102CC">
        <w:rPr>
          <w:rFonts w:ascii="Calibri" w:eastAsia="Calibri" w:hAnsi="Calibri" w:cs="Times New Roman"/>
        </w:rPr>
        <w:t>ll</w:t>
      </w:r>
      <w:r w:rsidR="00A37F8F" w:rsidRPr="000102CC">
        <w:rPr>
          <w:rFonts w:ascii="Calibri" w:eastAsia="Calibri" w:hAnsi="Calibri" w:cs="Times New Roman"/>
        </w:rPr>
        <w:t xml:space="preserve"> 32</w:t>
      </w:r>
      <w:r w:rsidR="00A37F8F" w:rsidRPr="00FB4763">
        <w:rPr>
          <w:rFonts w:ascii="Calibri" w:eastAsia="Calibri" w:hAnsi="Calibri" w:cs="Times New Roman"/>
        </w:rPr>
        <w:t xml:space="preserve"> CSAs delivering ICC services and </w:t>
      </w:r>
      <w:r w:rsidR="00183C05" w:rsidRPr="00FB4763">
        <w:rPr>
          <w:rFonts w:ascii="Calibri" w:eastAsia="Calibri" w:hAnsi="Calibri" w:cs="Times New Roman"/>
        </w:rPr>
        <w:t>21</w:t>
      </w:r>
      <w:r w:rsidR="00A37F8F" w:rsidRPr="00FB4763">
        <w:rPr>
          <w:rFonts w:ascii="Calibri" w:eastAsia="Calibri" w:hAnsi="Calibri" w:cs="Times New Roman"/>
        </w:rPr>
        <w:t xml:space="preserve"> of </w:t>
      </w:r>
      <w:r w:rsidR="00CA0A13" w:rsidRPr="00FB4763">
        <w:rPr>
          <w:rFonts w:ascii="Calibri" w:eastAsia="Calibri" w:hAnsi="Calibri" w:cs="Times New Roman"/>
        </w:rPr>
        <w:t xml:space="preserve">the approximately 150 </w:t>
      </w:r>
      <w:r w:rsidR="008179B7" w:rsidRPr="00FB4763">
        <w:rPr>
          <w:rFonts w:ascii="Calibri" w:eastAsia="Calibri" w:hAnsi="Calibri" w:cs="Times New Roman"/>
        </w:rPr>
        <w:t xml:space="preserve">IHT </w:t>
      </w:r>
      <w:r w:rsidR="00A37F8F" w:rsidRPr="00FB4763">
        <w:rPr>
          <w:rFonts w:ascii="Calibri" w:eastAsia="Calibri" w:hAnsi="Calibri" w:cs="Times New Roman"/>
        </w:rPr>
        <w:t>provider sites</w:t>
      </w:r>
      <w:r w:rsidR="008179B7" w:rsidRPr="00FB4763">
        <w:rPr>
          <w:rFonts w:ascii="Calibri" w:eastAsia="Calibri" w:hAnsi="Calibri" w:cs="Times New Roman"/>
        </w:rPr>
        <w:t xml:space="preserve"> </w:t>
      </w:r>
      <w:r w:rsidR="00054062" w:rsidRPr="00FB4763">
        <w:rPr>
          <w:rFonts w:ascii="Calibri" w:eastAsia="Calibri" w:hAnsi="Calibri" w:cs="Times New Roman"/>
        </w:rPr>
        <w:t>were sampled</w:t>
      </w:r>
      <w:r w:rsidR="008179B7" w:rsidRPr="00FB4763">
        <w:rPr>
          <w:rFonts w:ascii="Calibri" w:eastAsia="Calibri" w:hAnsi="Calibri" w:cs="Times New Roman"/>
        </w:rPr>
        <w:t xml:space="preserve"> in FY16</w:t>
      </w:r>
      <w:r w:rsidR="00A37F8F" w:rsidRPr="00FB4763">
        <w:rPr>
          <w:rFonts w:ascii="Calibri" w:eastAsia="Calibri" w:hAnsi="Calibri" w:cs="Times New Roman"/>
        </w:rPr>
        <w:t>.</w:t>
      </w:r>
      <w:r w:rsidR="00183C05">
        <w:rPr>
          <w:rFonts w:ascii="Calibri" w:eastAsia="Calibri" w:hAnsi="Calibri" w:cs="Times New Roman"/>
        </w:rPr>
        <w:t xml:space="preserve"> Of those sampled, 31 CSAs and 20 IHT providers had completed </w:t>
      </w:r>
      <w:r w:rsidR="00D35C24">
        <w:rPr>
          <w:rFonts w:ascii="Calibri" w:eastAsia="Calibri" w:hAnsi="Calibri" w:cs="Times New Roman"/>
        </w:rPr>
        <w:t xml:space="preserve">MPR </w:t>
      </w:r>
      <w:r w:rsidR="00183C05">
        <w:rPr>
          <w:rFonts w:ascii="Calibri" w:eastAsia="Calibri" w:hAnsi="Calibri" w:cs="Times New Roman"/>
        </w:rPr>
        <w:t xml:space="preserve">reviews. </w:t>
      </w:r>
      <w:r w:rsidR="00D35C24" w:rsidRPr="00D35C24">
        <w:rPr>
          <w:rFonts w:ascii="Calibri" w:eastAsia="Calibri" w:hAnsi="Calibri" w:cs="Times New Roman"/>
          <w:i/>
        </w:rPr>
        <w:t>(See the Methodology section of this report for more detail r</w:t>
      </w:r>
      <w:r w:rsidR="007407E9" w:rsidRPr="00D35C24">
        <w:rPr>
          <w:rFonts w:ascii="Calibri" w:eastAsia="Calibri" w:hAnsi="Calibri" w:cs="Times New Roman"/>
          <w:i/>
        </w:rPr>
        <w:t xml:space="preserve">egarding </w:t>
      </w:r>
      <w:r w:rsidR="00D35C24" w:rsidRPr="00D35C24">
        <w:rPr>
          <w:rFonts w:ascii="Calibri" w:eastAsia="Calibri" w:hAnsi="Calibri" w:cs="Times New Roman"/>
          <w:i/>
        </w:rPr>
        <w:t>review sampling and c</w:t>
      </w:r>
      <w:r w:rsidR="007407E9" w:rsidRPr="00D35C24">
        <w:rPr>
          <w:rFonts w:ascii="Calibri" w:eastAsia="Calibri" w:hAnsi="Calibri" w:cs="Times New Roman"/>
          <w:i/>
        </w:rPr>
        <w:t>ompletion</w:t>
      </w:r>
      <w:r w:rsidR="00D35C24" w:rsidRPr="00D35C24">
        <w:rPr>
          <w:rFonts w:ascii="Calibri" w:eastAsia="Calibri" w:hAnsi="Calibri" w:cs="Times New Roman"/>
          <w:i/>
        </w:rPr>
        <w:t>.)</w:t>
      </w:r>
    </w:p>
    <w:p w:rsidR="00A70175" w:rsidRDefault="00A70175" w:rsidP="007C7B6F">
      <w:pPr>
        <w:spacing w:before="120"/>
        <w:jc w:val="center"/>
        <w:rPr>
          <w:rFonts w:ascii="Calibri" w:eastAsia="Calibri" w:hAnsi="Calibri" w:cs="Times New Roman"/>
        </w:rPr>
      </w:pPr>
      <w:r w:rsidRPr="00AB7A08">
        <w:rPr>
          <w:b/>
          <w:color w:val="5B9BD5" w:themeColor="accent1"/>
        </w:rPr>
        <w:t xml:space="preserve">Table </w:t>
      </w:r>
      <w:r w:rsidR="00C2310F">
        <w:rPr>
          <w:b/>
          <w:color w:val="5B9BD5" w:themeColor="accent1"/>
        </w:rPr>
        <w:t>5</w:t>
      </w:r>
      <w:r w:rsidRPr="00AB7A08">
        <w:rPr>
          <w:b/>
          <w:color w:val="5B9BD5" w:themeColor="accent1"/>
        </w:rPr>
        <w:t>:</w:t>
      </w:r>
      <w:r>
        <w:rPr>
          <w:b/>
          <w:color w:val="5B9BD5" w:themeColor="accent1"/>
        </w:rPr>
        <w:t xml:space="preserve"> Summary of </w:t>
      </w:r>
      <w:r w:rsidR="003E5830">
        <w:rPr>
          <w:b/>
          <w:color w:val="5B9BD5" w:themeColor="accent1"/>
        </w:rPr>
        <w:t xml:space="preserve">Completed </w:t>
      </w:r>
      <w:r>
        <w:rPr>
          <w:b/>
          <w:color w:val="5B9BD5" w:themeColor="accent1"/>
        </w:rPr>
        <w:t>MPR Reviews by Round</w:t>
      </w:r>
    </w:p>
    <w:tbl>
      <w:tblPr>
        <w:tblStyle w:val="MediumShading1-Accent11"/>
        <w:tblW w:w="0" w:type="auto"/>
        <w:jc w:val="center"/>
        <w:tblBorders>
          <w:top w:val="single" w:sz="18" w:space="0" w:color="84B3DF" w:themeColor="accent1" w:themeTint="BF"/>
          <w:left w:val="single" w:sz="18" w:space="0" w:color="84B3DF" w:themeColor="accent1" w:themeTint="BF"/>
          <w:bottom w:val="single" w:sz="18" w:space="0" w:color="84B3DF" w:themeColor="accent1" w:themeTint="BF"/>
          <w:right w:val="single" w:sz="18" w:space="0" w:color="84B3DF" w:themeColor="accent1" w:themeTint="BF"/>
          <w:insideH w:val="single" w:sz="6" w:space="0" w:color="84B3DF" w:themeColor="accent1" w:themeTint="BF"/>
          <w:insideV w:val="single" w:sz="6" w:space="0" w:color="84B3DF" w:themeColor="accent1" w:themeTint="BF"/>
        </w:tblBorders>
        <w:tblLook w:val="04A0" w:firstRow="1" w:lastRow="0" w:firstColumn="1" w:lastColumn="0" w:noHBand="0" w:noVBand="1"/>
      </w:tblPr>
      <w:tblGrid>
        <w:gridCol w:w="2160"/>
        <w:gridCol w:w="1260"/>
        <w:gridCol w:w="1170"/>
        <w:gridCol w:w="1260"/>
        <w:gridCol w:w="1170"/>
      </w:tblGrid>
      <w:tr w:rsidR="00A140FD" w:rsidTr="00D35C2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single" w:sz="18" w:space="0" w:color="84B3DF" w:themeColor="accent1" w:themeTint="BF"/>
            </w:tcBorders>
          </w:tcPr>
          <w:p w:rsidR="00A140FD" w:rsidRPr="00A140FD" w:rsidRDefault="00A140FD" w:rsidP="009E537C">
            <w:pPr>
              <w:rPr>
                <w:rFonts w:ascii="Calibri" w:eastAsia="Calibri" w:hAnsi="Calibri" w:cs="Times New Roman"/>
              </w:rPr>
            </w:pPr>
            <w:r w:rsidRPr="00A140FD">
              <w:rPr>
                <w:rFonts w:ascii="Calibri" w:eastAsia="Calibri" w:hAnsi="Calibri" w:cs="Times New Roman"/>
              </w:rPr>
              <w:t xml:space="preserve">Review </w:t>
            </w:r>
            <w:r w:rsidR="009E537C">
              <w:rPr>
                <w:rFonts w:ascii="Calibri" w:eastAsia="Calibri" w:hAnsi="Calibri" w:cs="Times New Roman"/>
              </w:rPr>
              <w:t>Round</w:t>
            </w:r>
          </w:p>
        </w:tc>
        <w:tc>
          <w:tcPr>
            <w:tcW w:w="2430" w:type="dxa"/>
            <w:gridSpan w:val="2"/>
            <w:tcBorders>
              <w:top w:val="single" w:sz="18" w:space="0" w:color="84B3DF" w:themeColor="accent1" w:themeTint="BF"/>
              <w:left w:val="single" w:sz="18" w:space="0" w:color="84B3DF" w:themeColor="accent1" w:themeTint="BF"/>
              <w:bottom w:val="single" w:sz="6" w:space="0" w:color="84B3DF" w:themeColor="accent1" w:themeTint="BF"/>
              <w:right w:val="single" w:sz="18" w:space="0" w:color="84B3DF" w:themeColor="accent1" w:themeTint="BF"/>
            </w:tcBorders>
          </w:tcPr>
          <w:p w:rsidR="00A140FD" w:rsidRPr="00A140FD" w:rsidRDefault="00A140FD" w:rsidP="00D35C2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A140FD">
              <w:rPr>
                <w:rFonts w:ascii="Calibri" w:eastAsia="Calibri" w:hAnsi="Calibri" w:cs="Times New Roman"/>
              </w:rPr>
              <w:t>IHT</w:t>
            </w:r>
          </w:p>
        </w:tc>
        <w:tc>
          <w:tcPr>
            <w:tcW w:w="2430" w:type="dxa"/>
            <w:gridSpan w:val="2"/>
            <w:tcBorders>
              <w:top w:val="none" w:sz="0" w:space="0" w:color="auto"/>
              <w:left w:val="single" w:sz="18" w:space="0" w:color="84B3DF" w:themeColor="accent1" w:themeTint="BF"/>
              <w:bottom w:val="none" w:sz="0" w:space="0" w:color="auto"/>
              <w:right w:val="none" w:sz="0" w:space="0" w:color="auto"/>
            </w:tcBorders>
          </w:tcPr>
          <w:p w:rsidR="00A140FD" w:rsidRPr="00A140FD" w:rsidRDefault="00A140FD" w:rsidP="00D35C2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A140FD">
              <w:rPr>
                <w:rFonts w:ascii="Calibri" w:eastAsia="Calibri" w:hAnsi="Calibri" w:cs="Times New Roman"/>
              </w:rPr>
              <w:t>ICC</w:t>
            </w:r>
          </w:p>
        </w:tc>
      </w:tr>
      <w:tr w:rsidR="00A140FD" w:rsidTr="00D35C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right w:val="single" w:sz="18" w:space="0" w:color="84B3DF" w:themeColor="accent1" w:themeTint="BF"/>
            </w:tcBorders>
          </w:tcPr>
          <w:p w:rsidR="00A140FD" w:rsidRPr="00FB4763" w:rsidRDefault="00A140FD" w:rsidP="008179B7">
            <w:pPr>
              <w:rPr>
                <w:rFonts w:ascii="Calibri" w:eastAsia="Calibri" w:hAnsi="Calibri" w:cs="Times New Roman"/>
              </w:rPr>
            </w:pPr>
          </w:p>
        </w:tc>
        <w:tc>
          <w:tcPr>
            <w:tcW w:w="1260" w:type="dxa"/>
            <w:tcBorders>
              <w:top w:val="single" w:sz="6" w:space="0" w:color="84B3DF" w:themeColor="accent1" w:themeTint="BF"/>
              <w:left w:val="single" w:sz="18" w:space="0" w:color="84B3DF" w:themeColor="accent1" w:themeTint="BF"/>
              <w:bottom w:val="single" w:sz="6" w:space="0" w:color="84B3DF" w:themeColor="accent1" w:themeTint="BF"/>
              <w:right w:val="none" w:sz="0" w:space="0" w:color="auto"/>
            </w:tcBorders>
          </w:tcPr>
          <w:p w:rsidR="00A140FD" w:rsidRPr="00D35C24"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35C24">
              <w:rPr>
                <w:rFonts w:ascii="Calibri" w:eastAsia="Calibri" w:hAnsi="Calibri" w:cs="Times New Roman"/>
                <w:b/>
              </w:rPr>
              <w:t># Providers</w:t>
            </w:r>
          </w:p>
        </w:tc>
        <w:tc>
          <w:tcPr>
            <w:tcW w:w="1170" w:type="dxa"/>
            <w:tcBorders>
              <w:top w:val="single" w:sz="6" w:space="0" w:color="84B3DF" w:themeColor="accent1" w:themeTint="BF"/>
              <w:left w:val="none" w:sz="0" w:space="0" w:color="auto"/>
              <w:bottom w:val="single" w:sz="6" w:space="0" w:color="84B3DF" w:themeColor="accent1" w:themeTint="BF"/>
              <w:right w:val="single" w:sz="18" w:space="0" w:color="84B3DF" w:themeColor="accent1" w:themeTint="BF"/>
            </w:tcBorders>
          </w:tcPr>
          <w:p w:rsidR="00A140FD" w:rsidRPr="00D35C24"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35C24">
              <w:rPr>
                <w:rFonts w:ascii="Calibri" w:eastAsia="Calibri" w:hAnsi="Calibri" w:cs="Times New Roman"/>
                <w:b/>
              </w:rPr>
              <w:t># Youth</w:t>
            </w:r>
          </w:p>
        </w:tc>
        <w:tc>
          <w:tcPr>
            <w:tcW w:w="1260" w:type="dxa"/>
            <w:tcBorders>
              <w:left w:val="single" w:sz="18" w:space="0" w:color="84B3DF" w:themeColor="accent1" w:themeTint="BF"/>
              <w:right w:val="none" w:sz="0" w:space="0" w:color="auto"/>
            </w:tcBorders>
          </w:tcPr>
          <w:p w:rsidR="00A140FD" w:rsidRPr="00D35C24"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35C24">
              <w:rPr>
                <w:rFonts w:ascii="Calibri" w:eastAsia="Calibri" w:hAnsi="Calibri" w:cs="Times New Roman"/>
                <w:b/>
              </w:rPr>
              <w:t># Providers</w:t>
            </w:r>
          </w:p>
        </w:tc>
        <w:tc>
          <w:tcPr>
            <w:tcW w:w="1170" w:type="dxa"/>
            <w:tcBorders>
              <w:left w:val="none" w:sz="0" w:space="0" w:color="auto"/>
            </w:tcBorders>
          </w:tcPr>
          <w:p w:rsidR="00A140FD" w:rsidRPr="00D35C24"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35C24">
              <w:rPr>
                <w:rFonts w:ascii="Calibri" w:eastAsia="Calibri" w:hAnsi="Calibri" w:cs="Times New Roman"/>
                <w:b/>
              </w:rPr>
              <w:t># Youth</w:t>
            </w:r>
          </w:p>
        </w:tc>
      </w:tr>
      <w:tr w:rsidR="00A140FD" w:rsidTr="00D35C2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right w:val="single" w:sz="18" w:space="0" w:color="84B3DF" w:themeColor="accent1" w:themeTint="BF"/>
            </w:tcBorders>
          </w:tcPr>
          <w:p w:rsidR="00A140FD" w:rsidRPr="00D35C24" w:rsidRDefault="00A140FD" w:rsidP="008179B7">
            <w:pPr>
              <w:rPr>
                <w:rFonts w:ascii="Calibri" w:eastAsia="Calibri" w:hAnsi="Calibri" w:cs="Times New Roman"/>
                <w:b w:val="0"/>
              </w:rPr>
            </w:pPr>
            <w:r w:rsidRPr="00D35C24">
              <w:rPr>
                <w:rFonts w:ascii="Calibri" w:eastAsia="Calibri" w:hAnsi="Calibri" w:cs="Times New Roman"/>
                <w:b w:val="0"/>
              </w:rPr>
              <w:t>October 2015</w:t>
            </w:r>
          </w:p>
        </w:tc>
        <w:tc>
          <w:tcPr>
            <w:tcW w:w="1260" w:type="dxa"/>
            <w:tcBorders>
              <w:top w:val="single" w:sz="6" w:space="0" w:color="84B3DF" w:themeColor="accent1" w:themeTint="BF"/>
              <w:left w:val="single" w:sz="18" w:space="0" w:color="84B3DF" w:themeColor="accent1" w:themeTint="BF"/>
              <w:bottom w:val="single" w:sz="6" w:space="0" w:color="84B3DF" w:themeColor="accent1" w:themeTint="BF"/>
              <w:right w:val="none" w:sz="0" w:space="0" w:color="auto"/>
            </w:tcBorders>
          </w:tcPr>
          <w:p w:rsidR="00A140FD" w:rsidRPr="00FB4763"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FB4763">
              <w:rPr>
                <w:rFonts w:ascii="Calibri" w:eastAsia="Calibri" w:hAnsi="Calibri" w:cs="Times New Roman"/>
              </w:rPr>
              <w:t>1</w:t>
            </w:r>
            <w:r w:rsidR="00AD59FA" w:rsidRPr="00FB4763">
              <w:rPr>
                <w:rFonts w:ascii="Calibri" w:eastAsia="Calibri" w:hAnsi="Calibri" w:cs="Times New Roman"/>
              </w:rPr>
              <w:t>3</w:t>
            </w:r>
          </w:p>
        </w:tc>
        <w:tc>
          <w:tcPr>
            <w:tcW w:w="1170" w:type="dxa"/>
            <w:tcBorders>
              <w:top w:val="single" w:sz="6" w:space="0" w:color="84B3DF" w:themeColor="accent1" w:themeTint="BF"/>
              <w:left w:val="none" w:sz="0" w:space="0" w:color="auto"/>
              <w:bottom w:val="single" w:sz="6" w:space="0" w:color="84B3DF" w:themeColor="accent1" w:themeTint="BF"/>
              <w:right w:val="single" w:sz="18" w:space="0" w:color="84B3DF" w:themeColor="accent1" w:themeTint="BF"/>
            </w:tcBorders>
          </w:tcPr>
          <w:p w:rsidR="00A140FD" w:rsidRPr="00FB4763"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FB4763">
              <w:rPr>
                <w:rFonts w:ascii="Calibri" w:eastAsia="Calibri" w:hAnsi="Calibri" w:cs="Times New Roman"/>
              </w:rPr>
              <w:t>38</w:t>
            </w:r>
          </w:p>
        </w:tc>
        <w:tc>
          <w:tcPr>
            <w:tcW w:w="1260" w:type="dxa"/>
            <w:tcBorders>
              <w:left w:val="single" w:sz="18" w:space="0" w:color="84B3DF" w:themeColor="accent1" w:themeTint="BF"/>
              <w:right w:val="none" w:sz="0" w:space="0" w:color="auto"/>
            </w:tcBorders>
          </w:tcPr>
          <w:p w:rsidR="00A140FD" w:rsidRPr="00FB4763"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FB4763">
              <w:rPr>
                <w:rFonts w:ascii="Calibri" w:eastAsia="Calibri" w:hAnsi="Calibri" w:cs="Times New Roman"/>
              </w:rPr>
              <w:t>-</w:t>
            </w:r>
          </w:p>
        </w:tc>
        <w:tc>
          <w:tcPr>
            <w:tcW w:w="1170" w:type="dxa"/>
            <w:tcBorders>
              <w:left w:val="none" w:sz="0" w:space="0" w:color="auto"/>
            </w:tcBorders>
          </w:tcPr>
          <w:p w:rsidR="00A140FD" w:rsidRPr="00A140FD"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Pr>
                <w:rFonts w:ascii="Calibri" w:eastAsia="Calibri" w:hAnsi="Calibri" w:cs="Times New Roman"/>
              </w:rPr>
              <w:t>-</w:t>
            </w:r>
          </w:p>
        </w:tc>
      </w:tr>
      <w:tr w:rsidR="00A140FD" w:rsidTr="00D35C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right w:val="single" w:sz="18" w:space="0" w:color="84B3DF" w:themeColor="accent1" w:themeTint="BF"/>
            </w:tcBorders>
          </w:tcPr>
          <w:p w:rsidR="00A140FD" w:rsidRPr="00D35C24" w:rsidRDefault="00A140FD" w:rsidP="008179B7">
            <w:pPr>
              <w:rPr>
                <w:rFonts w:ascii="Calibri" w:eastAsia="Calibri" w:hAnsi="Calibri" w:cs="Times New Roman"/>
                <w:b w:val="0"/>
              </w:rPr>
            </w:pPr>
            <w:r w:rsidRPr="00D35C24">
              <w:rPr>
                <w:rFonts w:ascii="Calibri" w:eastAsia="Calibri" w:hAnsi="Calibri" w:cs="Times New Roman"/>
                <w:b w:val="0"/>
              </w:rPr>
              <w:t>March-April 2016</w:t>
            </w:r>
          </w:p>
        </w:tc>
        <w:tc>
          <w:tcPr>
            <w:tcW w:w="1260" w:type="dxa"/>
            <w:tcBorders>
              <w:top w:val="single" w:sz="6" w:space="0" w:color="84B3DF" w:themeColor="accent1" w:themeTint="BF"/>
              <w:left w:val="single" w:sz="18" w:space="0" w:color="84B3DF" w:themeColor="accent1" w:themeTint="BF"/>
              <w:bottom w:val="single" w:sz="6" w:space="0" w:color="84B3DF" w:themeColor="accent1" w:themeTint="BF"/>
              <w:right w:val="none" w:sz="0" w:space="0" w:color="auto"/>
            </w:tcBorders>
          </w:tcPr>
          <w:p w:rsidR="00A140FD" w:rsidRPr="00FB4763" w:rsidRDefault="00AD59FA"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FB4763">
              <w:rPr>
                <w:rFonts w:ascii="Calibri" w:eastAsia="Calibri" w:hAnsi="Calibri" w:cs="Times New Roman"/>
              </w:rPr>
              <w:t>7</w:t>
            </w:r>
          </w:p>
        </w:tc>
        <w:tc>
          <w:tcPr>
            <w:tcW w:w="1170" w:type="dxa"/>
            <w:tcBorders>
              <w:top w:val="single" w:sz="6" w:space="0" w:color="84B3DF" w:themeColor="accent1" w:themeTint="BF"/>
              <w:left w:val="none" w:sz="0" w:space="0" w:color="auto"/>
              <w:bottom w:val="single" w:sz="6" w:space="0" w:color="84B3DF" w:themeColor="accent1" w:themeTint="BF"/>
              <w:right w:val="single" w:sz="18" w:space="0" w:color="84B3DF" w:themeColor="accent1" w:themeTint="BF"/>
            </w:tcBorders>
          </w:tcPr>
          <w:p w:rsidR="00A140FD" w:rsidRPr="00FB4763"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FB4763">
              <w:rPr>
                <w:rFonts w:ascii="Calibri" w:eastAsia="Calibri" w:hAnsi="Calibri" w:cs="Times New Roman"/>
              </w:rPr>
              <w:t>18</w:t>
            </w:r>
          </w:p>
        </w:tc>
        <w:tc>
          <w:tcPr>
            <w:tcW w:w="1260" w:type="dxa"/>
            <w:tcBorders>
              <w:left w:val="single" w:sz="18" w:space="0" w:color="84B3DF" w:themeColor="accent1" w:themeTint="BF"/>
              <w:right w:val="none" w:sz="0" w:space="0" w:color="auto"/>
            </w:tcBorders>
          </w:tcPr>
          <w:p w:rsidR="00A140FD" w:rsidRPr="00FB4763"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FB4763">
              <w:rPr>
                <w:rFonts w:ascii="Calibri" w:eastAsia="Calibri" w:hAnsi="Calibri" w:cs="Times New Roman"/>
              </w:rPr>
              <w:t>10</w:t>
            </w:r>
          </w:p>
        </w:tc>
        <w:tc>
          <w:tcPr>
            <w:tcW w:w="1170" w:type="dxa"/>
            <w:tcBorders>
              <w:left w:val="none" w:sz="0" w:space="0" w:color="auto"/>
            </w:tcBorders>
          </w:tcPr>
          <w:p w:rsidR="00A140FD" w:rsidRPr="00A140FD"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19</w:t>
            </w:r>
          </w:p>
        </w:tc>
      </w:tr>
      <w:tr w:rsidR="00A140FD" w:rsidTr="00D35C2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right w:val="single" w:sz="18" w:space="0" w:color="84B3DF" w:themeColor="accent1" w:themeTint="BF"/>
            </w:tcBorders>
          </w:tcPr>
          <w:p w:rsidR="00A140FD" w:rsidRPr="00D35C24" w:rsidRDefault="00A140FD" w:rsidP="008179B7">
            <w:pPr>
              <w:rPr>
                <w:rFonts w:ascii="Calibri" w:eastAsia="Calibri" w:hAnsi="Calibri" w:cs="Times New Roman"/>
                <w:b w:val="0"/>
              </w:rPr>
            </w:pPr>
            <w:r w:rsidRPr="00D35C24">
              <w:rPr>
                <w:rFonts w:ascii="Calibri" w:eastAsia="Calibri" w:hAnsi="Calibri" w:cs="Times New Roman"/>
                <w:b w:val="0"/>
              </w:rPr>
              <w:t>May-June 2016</w:t>
            </w:r>
          </w:p>
        </w:tc>
        <w:tc>
          <w:tcPr>
            <w:tcW w:w="1260" w:type="dxa"/>
            <w:tcBorders>
              <w:top w:val="single" w:sz="6" w:space="0" w:color="84B3DF" w:themeColor="accent1" w:themeTint="BF"/>
              <w:left w:val="single" w:sz="18" w:space="0" w:color="84B3DF" w:themeColor="accent1" w:themeTint="BF"/>
              <w:bottom w:val="single" w:sz="6" w:space="0" w:color="84B3DF" w:themeColor="accent1" w:themeTint="BF"/>
              <w:right w:val="none" w:sz="0" w:space="0" w:color="auto"/>
            </w:tcBorders>
          </w:tcPr>
          <w:p w:rsidR="00A140FD" w:rsidRPr="00FB4763" w:rsidRDefault="00FB4763"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FB4763">
              <w:rPr>
                <w:rFonts w:ascii="Calibri" w:eastAsia="Calibri" w:hAnsi="Calibri" w:cs="Times New Roman"/>
              </w:rPr>
              <w:t>-</w:t>
            </w:r>
          </w:p>
        </w:tc>
        <w:tc>
          <w:tcPr>
            <w:tcW w:w="1170" w:type="dxa"/>
            <w:tcBorders>
              <w:top w:val="single" w:sz="6" w:space="0" w:color="84B3DF" w:themeColor="accent1" w:themeTint="BF"/>
              <w:left w:val="none" w:sz="0" w:space="0" w:color="auto"/>
              <w:bottom w:val="single" w:sz="6" w:space="0" w:color="84B3DF" w:themeColor="accent1" w:themeTint="BF"/>
              <w:right w:val="single" w:sz="18" w:space="0" w:color="84B3DF" w:themeColor="accent1" w:themeTint="BF"/>
            </w:tcBorders>
          </w:tcPr>
          <w:p w:rsidR="00A140FD" w:rsidRPr="00FB4763"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FB4763">
              <w:rPr>
                <w:rFonts w:ascii="Calibri" w:eastAsia="Calibri" w:hAnsi="Calibri" w:cs="Times New Roman"/>
              </w:rPr>
              <w:t>3</w:t>
            </w:r>
          </w:p>
        </w:tc>
        <w:tc>
          <w:tcPr>
            <w:tcW w:w="1260" w:type="dxa"/>
            <w:tcBorders>
              <w:left w:val="single" w:sz="18" w:space="0" w:color="84B3DF" w:themeColor="accent1" w:themeTint="BF"/>
              <w:right w:val="none" w:sz="0" w:space="0" w:color="auto"/>
            </w:tcBorders>
          </w:tcPr>
          <w:p w:rsidR="00A140FD" w:rsidRPr="00FB4763"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FB4763">
              <w:rPr>
                <w:rFonts w:ascii="Calibri" w:eastAsia="Calibri" w:hAnsi="Calibri" w:cs="Times New Roman"/>
              </w:rPr>
              <w:t>2</w:t>
            </w:r>
            <w:r w:rsidR="001B0B9A" w:rsidRPr="00FB4763">
              <w:rPr>
                <w:rFonts w:ascii="Calibri" w:eastAsia="Calibri" w:hAnsi="Calibri" w:cs="Times New Roman"/>
              </w:rPr>
              <w:t>1</w:t>
            </w:r>
          </w:p>
        </w:tc>
        <w:tc>
          <w:tcPr>
            <w:tcW w:w="1170" w:type="dxa"/>
            <w:tcBorders>
              <w:left w:val="none" w:sz="0" w:space="0" w:color="auto"/>
            </w:tcBorders>
          </w:tcPr>
          <w:p w:rsidR="00A140FD" w:rsidRPr="00A140FD" w:rsidRDefault="00A140FD" w:rsidP="008179B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Pr>
                <w:rFonts w:ascii="Calibri" w:eastAsia="Calibri" w:hAnsi="Calibri" w:cs="Times New Roman"/>
              </w:rPr>
              <w:t>42</w:t>
            </w:r>
          </w:p>
        </w:tc>
      </w:tr>
      <w:tr w:rsidR="00A140FD" w:rsidTr="00D35C24">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2160" w:type="dxa"/>
            <w:tcBorders>
              <w:right w:val="single" w:sz="18" w:space="0" w:color="84B3DF" w:themeColor="accent1" w:themeTint="BF"/>
            </w:tcBorders>
            <w:vAlign w:val="bottom"/>
          </w:tcPr>
          <w:p w:rsidR="00A140FD" w:rsidRPr="00FB4763" w:rsidRDefault="00A140FD" w:rsidP="008179B7">
            <w:pPr>
              <w:rPr>
                <w:rFonts w:ascii="Calibri" w:eastAsia="Calibri" w:hAnsi="Calibri" w:cs="Times New Roman"/>
              </w:rPr>
            </w:pPr>
            <w:r w:rsidRPr="00FB4763">
              <w:rPr>
                <w:rFonts w:ascii="Calibri" w:eastAsia="Calibri" w:hAnsi="Calibri" w:cs="Times New Roman"/>
              </w:rPr>
              <w:t>Total</w:t>
            </w:r>
          </w:p>
        </w:tc>
        <w:tc>
          <w:tcPr>
            <w:tcW w:w="1260" w:type="dxa"/>
            <w:tcBorders>
              <w:top w:val="single" w:sz="6" w:space="0" w:color="84B3DF" w:themeColor="accent1" w:themeTint="BF"/>
              <w:left w:val="single" w:sz="18" w:space="0" w:color="84B3DF" w:themeColor="accent1" w:themeTint="BF"/>
              <w:bottom w:val="single" w:sz="18" w:space="0" w:color="84B3DF" w:themeColor="accent1" w:themeTint="BF"/>
              <w:right w:val="none" w:sz="0" w:space="0" w:color="auto"/>
            </w:tcBorders>
            <w:vAlign w:val="bottom"/>
          </w:tcPr>
          <w:p w:rsidR="00A140FD" w:rsidRPr="00FB4763"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FB4763">
              <w:rPr>
                <w:rFonts w:ascii="Calibri" w:eastAsia="Calibri" w:hAnsi="Calibri" w:cs="Times New Roman"/>
                <w:b/>
              </w:rPr>
              <w:t>2</w:t>
            </w:r>
            <w:r w:rsidR="00AD59FA" w:rsidRPr="00FB4763">
              <w:rPr>
                <w:rFonts w:ascii="Calibri" w:eastAsia="Calibri" w:hAnsi="Calibri" w:cs="Times New Roman"/>
                <w:b/>
              </w:rPr>
              <w:t>0</w:t>
            </w:r>
          </w:p>
        </w:tc>
        <w:tc>
          <w:tcPr>
            <w:tcW w:w="1170" w:type="dxa"/>
            <w:tcBorders>
              <w:top w:val="single" w:sz="6" w:space="0" w:color="84B3DF" w:themeColor="accent1" w:themeTint="BF"/>
              <w:left w:val="none" w:sz="0" w:space="0" w:color="auto"/>
              <w:bottom w:val="single" w:sz="18" w:space="0" w:color="84B3DF" w:themeColor="accent1" w:themeTint="BF"/>
              <w:right w:val="single" w:sz="18" w:space="0" w:color="84B3DF" w:themeColor="accent1" w:themeTint="BF"/>
            </w:tcBorders>
            <w:vAlign w:val="bottom"/>
          </w:tcPr>
          <w:p w:rsidR="00A140FD" w:rsidRPr="00FB4763"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FB4763">
              <w:rPr>
                <w:rFonts w:ascii="Calibri" w:eastAsia="Calibri" w:hAnsi="Calibri" w:cs="Times New Roman"/>
                <w:b/>
              </w:rPr>
              <w:t>59</w:t>
            </w:r>
          </w:p>
        </w:tc>
        <w:tc>
          <w:tcPr>
            <w:tcW w:w="1260" w:type="dxa"/>
            <w:tcBorders>
              <w:left w:val="single" w:sz="18" w:space="0" w:color="84B3DF" w:themeColor="accent1" w:themeTint="BF"/>
              <w:right w:val="none" w:sz="0" w:space="0" w:color="auto"/>
            </w:tcBorders>
            <w:vAlign w:val="bottom"/>
          </w:tcPr>
          <w:p w:rsidR="00A140FD" w:rsidRPr="00FB4763"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FB4763">
              <w:rPr>
                <w:rFonts w:ascii="Calibri" w:eastAsia="Calibri" w:hAnsi="Calibri" w:cs="Times New Roman"/>
                <w:b/>
              </w:rPr>
              <w:t>3</w:t>
            </w:r>
            <w:r w:rsidR="004D4981" w:rsidRPr="00FB4763">
              <w:rPr>
                <w:rFonts w:ascii="Calibri" w:eastAsia="Calibri" w:hAnsi="Calibri" w:cs="Times New Roman"/>
                <w:b/>
              </w:rPr>
              <w:t>1</w:t>
            </w:r>
          </w:p>
        </w:tc>
        <w:tc>
          <w:tcPr>
            <w:tcW w:w="1170" w:type="dxa"/>
            <w:tcBorders>
              <w:left w:val="none" w:sz="0" w:space="0" w:color="auto"/>
            </w:tcBorders>
            <w:vAlign w:val="bottom"/>
          </w:tcPr>
          <w:p w:rsidR="00A140FD" w:rsidRPr="00A140FD" w:rsidRDefault="00A140FD" w:rsidP="008179B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140FD">
              <w:rPr>
                <w:rFonts w:ascii="Calibri" w:eastAsia="Calibri" w:hAnsi="Calibri" w:cs="Times New Roman"/>
                <w:b/>
              </w:rPr>
              <w:t>61</w:t>
            </w:r>
          </w:p>
        </w:tc>
      </w:tr>
    </w:tbl>
    <w:p w:rsidR="005355A7" w:rsidRPr="009072C6" w:rsidRDefault="005355A7" w:rsidP="008179B7">
      <w:pPr>
        <w:rPr>
          <w:rFonts w:ascii="Calibri" w:eastAsia="Calibri" w:hAnsi="Calibri" w:cs="Times New Roman"/>
        </w:rPr>
      </w:pPr>
    </w:p>
    <w:p w:rsidR="008422F1" w:rsidRDefault="00407533" w:rsidP="008179B7">
      <w:pPr>
        <w:pStyle w:val="Heading1"/>
        <w:numPr>
          <w:ilvl w:val="0"/>
          <w:numId w:val="0"/>
        </w:numPr>
      </w:pPr>
      <w:bookmarkStart w:id="2" w:name="_Toc467142999"/>
      <w:r>
        <w:t xml:space="preserve">MPR </w:t>
      </w:r>
      <w:r w:rsidR="008832A1">
        <w:t>Overview</w:t>
      </w:r>
      <w:bookmarkEnd w:id="2"/>
    </w:p>
    <w:p w:rsidR="008422F1" w:rsidRDefault="008422F1" w:rsidP="008179B7"/>
    <w:p w:rsidR="00407533" w:rsidRDefault="008832A1" w:rsidP="008179B7">
      <w:pPr>
        <w:pStyle w:val="Heading2"/>
        <w:spacing w:after="120"/>
      </w:pPr>
      <w:bookmarkStart w:id="3" w:name="_Toc467143000"/>
      <w:r>
        <w:t>Protocol Description</w:t>
      </w:r>
      <w:bookmarkEnd w:id="3"/>
    </w:p>
    <w:p w:rsidR="00217757" w:rsidRDefault="00407533" w:rsidP="008179B7">
      <w:r w:rsidRPr="000C6A80">
        <w:t xml:space="preserve">The MPR </w:t>
      </w:r>
      <w:r w:rsidR="004425F9">
        <w:t>is a qualitative case review t</w:t>
      </w:r>
      <w:r w:rsidR="00F72210">
        <w:t>ool that is used to guide evaluation</w:t>
      </w:r>
      <w:r w:rsidR="004425F9">
        <w:t xml:space="preserve"> of the clinical record and </w:t>
      </w:r>
      <w:r w:rsidR="004425F9" w:rsidRPr="000C6A80">
        <w:t>interview</w:t>
      </w:r>
      <w:r w:rsidR="004425F9">
        <w:t>s</w:t>
      </w:r>
      <w:r w:rsidR="004425F9" w:rsidRPr="000C6A80">
        <w:t xml:space="preserve"> </w:t>
      </w:r>
      <w:r w:rsidR="004425F9">
        <w:t xml:space="preserve">with </w:t>
      </w:r>
      <w:r w:rsidR="004425F9" w:rsidRPr="000C6A80">
        <w:t xml:space="preserve">multiple stakeholders, including the In-Home Therapy (IHT) or Intensive Care Coordination (ICC) service provider, the caregiver, the child/youth (if over 12), and other formal providers working with the child/youth and family. </w:t>
      </w:r>
      <w:r w:rsidR="00F72210">
        <w:t>Trained reviewers use the MPR</w:t>
      </w:r>
      <w:r w:rsidR="004425F9">
        <w:t xml:space="preserve"> protocol to elicit specific information on 12 Areas of s</w:t>
      </w:r>
      <w:r w:rsidR="00F72210">
        <w:t>ervice delivery practice and 2 A</w:t>
      </w:r>
      <w:r w:rsidR="004425F9">
        <w:t>reas</w:t>
      </w:r>
      <w:r w:rsidR="009E537C">
        <w:t xml:space="preserve"> that</w:t>
      </w:r>
      <w:r w:rsidR="004425F9" w:rsidRPr="000C6A80">
        <w:rPr>
          <w:rFonts w:eastAsia="Calibri" w:cs="Times New Roman"/>
        </w:rPr>
        <w:t xml:space="preserve"> </w:t>
      </w:r>
      <w:r w:rsidR="00D35C24">
        <w:rPr>
          <w:rFonts w:eastAsia="Calibri" w:cs="Times New Roman"/>
        </w:rPr>
        <w:t>examine</w:t>
      </w:r>
      <w:r w:rsidR="004425F9" w:rsidRPr="000C6A80">
        <w:rPr>
          <w:rFonts w:eastAsia="Calibri" w:cs="Times New Roman"/>
        </w:rPr>
        <w:t xml:space="preserve"> youth and family progress since their enrollment in </w:t>
      </w:r>
      <w:r w:rsidR="00217757">
        <w:rPr>
          <w:rFonts w:eastAsia="Calibri" w:cs="Times New Roman"/>
        </w:rPr>
        <w:t>IHT or ICC service</w:t>
      </w:r>
      <w:r w:rsidR="00A37F8F">
        <w:rPr>
          <w:rFonts w:eastAsia="Calibri" w:cs="Times New Roman"/>
        </w:rPr>
        <w:t>s</w:t>
      </w:r>
      <w:r w:rsidR="004425F9" w:rsidRPr="000C6A80">
        <w:rPr>
          <w:rFonts w:eastAsia="Calibri" w:cs="Times New Roman"/>
        </w:rPr>
        <w:t>.</w:t>
      </w:r>
      <w:r w:rsidR="004425F9">
        <w:rPr>
          <w:rFonts w:eastAsia="Calibri" w:cs="Times New Roman"/>
        </w:rPr>
        <w:t xml:space="preserve"> </w:t>
      </w:r>
      <w:r w:rsidR="004425F9" w:rsidRPr="000C6A80">
        <w:t>By triangulating responses from</w:t>
      </w:r>
      <w:r w:rsidR="00217757">
        <w:t xml:space="preserve"> the record review and</w:t>
      </w:r>
      <w:r w:rsidR="004425F9" w:rsidRPr="000C6A80">
        <w:t xml:space="preserve"> </w:t>
      </w:r>
      <w:r w:rsidR="00217757">
        <w:t xml:space="preserve">other </w:t>
      </w:r>
      <w:r w:rsidR="004425F9" w:rsidRPr="000C6A80">
        <w:t>informants,</w:t>
      </w:r>
      <w:r w:rsidR="004425F9">
        <w:t xml:space="preserve"> MPR reviewer</w:t>
      </w:r>
      <w:r w:rsidR="00217757">
        <w:t>s</w:t>
      </w:r>
      <w:r w:rsidR="004425F9">
        <w:t xml:space="preserve"> </w:t>
      </w:r>
      <w:r w:rsidRPr="000C6A80">
        <w:t>obtain a comprehensive picture of services delivered at the practice level</w:t>
      </w:r>
      <w:r w:rsidR="00217757">
        <w:t xml:space="preserve">, and </w:t>
      </w:r>
      <w:r w:rsidR="009E537C">
        <w:t xml:space="preserve">then </w:t>
      </w:r>
      <w:r w:rsidR="00217757">
        <w:t>are a</w:t>
      </w:r>
      <w:r w:rsidR="00F72210">
        <w:t xml:space="preserve">sked to rate each of the 14 </w:t>
      </w:r>
      <w:r w:rsidR="00217757">
        <w:lastRenderedPageBreak/>
        <w:t>Areas by assigning a numerical score</w:t>
      </w:r>
      <w:r w:rsidR="00217757" w:rsidRPr="00217757">
        <w:t xml:space="preserve"> </w:t>
      </w:r>
      <w:r w:rsidR="00217757">
        <w:t xml:space="preserve">that reflects the </w:t>
      </w:r>
      <w:r w:rsidR="00217757" w:rsidRPr="000C6A80">
        <w:t>extent to which practice is meeting established standards and best practice</w:t>
      </w:r>
      <w:r w:rsidR="00217757">
        <w:t xml:space="preserve"> for the service. Qualitative information, such as quotes or specific examples, </w:t>
      </w:r>
      <w:r w:rsidR="00F7683C">
        <w:t>is</w:t>
      </w:r>
      <w:r w:rsidR="00217757">
        <w:t xml:space="preserve"> also recorded by reviewers</w:t>
      </w:r>
      <w:r w:rsidR="00F72210">
        <w:t xml:space="preserve"> to support the numerical ratings</w:t>
      </w:r>
      <w:r w:rsidR="00613E90">
        <w:t>, and because of its explanatory and illustrative value. Qualitative observations and quantitative ratings play a complimentary role in understanding the current state of practice in the system.</w:t>
      </w:r>
    </w:p>
    <w:p w:rsidR="005432D4" w:rsidRPr="007F3A22" w:rsidRDefault="005432D4" w:rsidP="008179B7">
      <w:pPr>
        <w:pStyle w:val="Heading3"/>
        <w:rPr>
          <w:rFonts w:asciiTheme="minorHAnsi" w:hAnsiTheme="minorHAnsi"/>
        </w:rPr>
      </w:pPr>
      <w:bookmarkStart w:id="4" w:name="_Toc467143001"/>
      <w:r w:rsidRPr="007F3A22">
        <w:rPr>
          <w:rFonts w:asciiTheme="minorHAnsi" w:hAnsiTheme="minorHAnsi"/>
        </w:rPr>
        <w:t>Practice Domains/Areas</w:t>
      </w:r>
      <w:bookmarkEnd w:id="4"/>
    </w:p>
    <w:p w:rsidR="00D26494" w:rsidRDefault="007A261B" w:rsidP="008179B7">
      <w:r>
        <w:t>Consistent with CBHI values and principle</w:t>
      </w:r>
      <w:r w:rsidR="00A37F8F">
        <w:t>s</w:t>
      </w:r>
      <w:r>
        <w:t xml:space="preserve">, the MPR assesses </w:t>
      </w:r>
      <w:r w:rsidR="00D26494">
        <w:t xml:space="preserve">service delivery practice Areas within three larger </w:t>
      </w:r>
      <w:r>
        <w:t>Domains to determine the extent to which service</w:t>
      </w:r>
      <w:r w:rsidR="00D26494">
        <w:t>s are</w:t>
      </w:r>
      <w:r>
        <w:t xml:space="preserve">: 1) Family-Driven and Youth-Guided; 2) Community-Based; and 3) Culturally Competent. </w:t>
      </w:r>
    </w:p>
    <w:p w:rsidR="00D26494" w:rsidRDefault="00D26494" w:rsidP="008179B7"/>
    <w:p w:rsidR="005432D4" w:rsidRDefault="009020A3" w:rsidP="008179B7">
      <w:r w:rsidRPr="004627DB">
        <w:rPr>
          <w:b/>
          <w:color w:val="5B9BD5" w:themeColor="accent1"/>
        </w:rPr>
        <w:t xml:space="preserve">Table </w:t>
      </w:r>
      <w:r w:rsidR="00C2310F">
        <w:rPr>
          <w:b/>
          <w:color w:val="5B9BD5" w:themeColor="accent1"/>
        </w:rPr>
        <w:t>6</w:t>
      </w:r>
      <w:r w:rsidR="00D26494" w:rsidRPr="009020A3">
        <w:rPr>
          <w:b/>
          <w:color w:val="0070C0"/>
        </w:rPr>
        <w:t xml:space="preserve"> </w:t>
      </w:r>
      <w:r w:rsidR="00D26494">
        <w:t xml:space="preserve">summarizes the </w:t>
      </w:r>
      <w:r w:rsidR="00407533" w:rsidRPr="00DD4967">
        <w:t xml:space="preserve">12 specific Areas </w:t>
      </w:r>
      <w:r w:rsidR="00D26494">
        <w:t xml:space="preserve">that are scored across the 3 </w:t>
      </w:r>
      <w:r w:rsidR="00A37F8F">
        <w:t>MPR P</w:t>
      </w:r>
      <w:r w:rsidR="00D26494">
        <w:t xml:space="preserve">ractice Domains, along with the </w:t>
      </w:r>
      <w:r w:rsidR="00D26494" w:rsidRPr="000C6A80">
        <w:rPr>
          <w:rFonts w:eastAsia="Calibri" w:cs="Times New Roman"/>
        </w:rPr>
        <w:t xml:space="preserve">prompts or considerations </w:t>
      </w:r>
      <w:r w:rsidR="00D26494">
        <w:rPr>
          <w:rFonts w:eastAsia="Calibri" w:cs="Times New Roman"/>
        </w:rPr>
        <w:t xml:space="preserve">that are included in the protocol </w:t>
      </w:r>
      <w:r w:rsidR="00A37F8F">
        <w:rPr>
          <w:rFonts w:eastAsia="Calibri" w:cs="Times New Roman"/>
        </w:rPr>
        <w:t xml:space="preserve">for each Area </w:t>
      </w:r>
      <w:r w:rsidR="00D26494">
        <w:rPr>
          <w:rFonts w:eastAsia="Calibri" w:cs="Times New Roman"/>
        </w:rPr>
        <w:t>to guide reviewers</w:t>
      </w:r>
      <w:r w:rsidR="00A37F8F" w:rsidRPr="00A37F8F">
        <w:rPr>
          <w:rFonts w:eastAsia="Calibri" w:cs="Times New Roman"/>
        </w:rPr>
        <w:t xml:space="preserve"> </w:t>
      </w:r>
      <w:r w:rsidR="00A37F8F">
        <w:rPr>
          <w:rFonts w:eastAsia="Calibri" w:cs="Times New Roman"/>
        </w:rPr>
        <w:t>in</w:t>
      </w:r>
      <w:r w:rsidR="00A37F8F" w:rsidRPr="000C6A80">
        <w:rPr>
          <w:rFonts w:eastAsia="Calibri" w:cs="Times New Roman"/>
        </w:rPr>
        <w:t xml:space="preserve"> scoring</w:t>
      </w:r>
      <w:r w:rsidR="00217757" w:rsidRPr="000C6A80">
        <w:rPr>
          <w:rFonts w:eastAsia="Calibri" w:cs="Times New Roman"/>
        </w:rPr>
        <w:t>.</w:t>
      </w:r>
    </w:p>
    <w:p w:rsidR="00287289" w:rsidRPr="00390EA8" w:rsidRDefault="009020A3" w:rsidP="00CF40FD">
      <w:pPr>
        <w:spacing w:before="120" w:after="120"/>
        <w:jc w:val="center"/>
        <w:rPr>
          <w:b/>
          <w:color w:val="5B9BD5" w:themeColor="accent1"/>
        </w:rPr>
      </w:pPr>
      <w:r w:rsidRPr="00390EA8">
        <w:rPr>
          <w:b/>
          <w:color w:val="5B9BD5" w:themeColor="accent1"/>
        </w:rPr>
        <w:t xml:space="preserve">Table </w:t>
      </w:r>
      <w:r w:rsidR="00C2310F">
        <w:rPr>
          <w:b/>
          <w:color w:val="5B9BD5" w:themeColor="accent1"/>
        </w:rPr>
        <w:t>6</w:t>
      </w:r>
      <w:r w:rsidR="00287289" w:rsidRPr="00390EA8">
        <w:rPr>
          <w:b/>
          <w:color w:val="5B9BD5" w:themeColor="accent1"/>
        </w:rPr>
        <w:t>: MPR Practice Domains/Areas &amp; Reviewer Scoring Prompts</w:t>
      </w:r>
    </w:p>
    <w:tbl>
      <w:tblPr>
        <w:tblStyle w:val="MediumShading1-Accent11"/>
        <w:tblW w:w="0" w:type="auto"/>
        <w:tblLook w:val="04A0" w:firstRow="1" w:lastRow="0" w:firstColumn="1" w:lastColumn="0" w:noHBand="0" w:noVBand="1"/>
      </w:tblPr>
      <w:tblGrid>
        <w:gridCol w:w="10780"/>
      </w:tblGrid>
      <w:tr w:rsidR="00380F3A" w:rsidTr="006B13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6" w:type="dxa"/>
          </w:tcPr>
          <w:p w:rsidR="00380F3A" w:rsidRPr="00380F3A" w:rsidRDefault="00380F3A" w:rsidP="006B1338">
            <w:pPr>
              <w:jc w:val="center"/>
              <w:rPr>
                <w:rFonts w:asciiTheme="minorHAnsi" w:hAnsiTheme="minorHAnsi"/>
              </w:rPr>
            </w:pPr>
            <w:r>
              <w:rPr>
                <w:rFonts w:asciiTheme="minorHAnsi" w:hAnsiTheme="minorHAnsi"/>
              </w:rPr>
              <w:t>Practice Do</w:t>
            </w:r>
            <w:r w:rsidRPr="00380F3A">
              <w:rPr>
                <w:rFonts w:asciiTheme="minorHAnsi" w:hAnsiTheme="minorHAnsi"/>
              </w:rPr>
              <w:t>main</w:t>
            </w:r>
            <w:r w:rsidR="006B1338">
              <w:rPr>
                <w:rFonts w:asciiTheme="minorHAnsi" w:hAnsiTheme="minorHAnsi"/>
              </w:rPr>
              <w:t>/Area</w:t>
            </w:r>
          </w:p>
        </w:tc>
      </w:tr>
      <w:tr w:rsidR="00380F3A" w:rsidTr="00380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380F3A" w:rsidRPr="00C1074E" w:rsidRDefault="00380F3A" w:rsidP="00C1074E">
            <w:pPr>
              <w:jc w:val="center"/>
              <w:rPr>
                <w:rFonts w:asciiTheme="minorHAnsi" w:hAnsiTheme="minorHAnsi"/>
                <w:b w:val="0"/>
                <w:color w:val="5B9BD5" w:themeColor="accent1"/>
              </w:rPr>
            </w:pPr>
            <w:r w:rsidRPr="00C1074E">
              <w:rPr>
                <w:rFonts w:asciiTheme="minorHAnsi" w:hAnsiTheme="minorHAnsi"/>
                <w:sz w:val="20"/>
                <w:szCs w:val="20"/>
              </w:rPr>
              <w:t>Domain 1: Family-Driven &amp; Youth-Guided</w:t>
            </w:r>
          </w:p>
        </w:tc>
      </w:tr>
      <w:tr w:rsidR="00380F3A" w:rsidTr="00380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C1074E" w:rsidRPr="00C1074E" w:rsidRDefault="00C1074E" w:rsidP="00C1074E">
            <w:pPr>
              <w:rPr>
                <w:rFonts w:asciiTheme="minorHAnsi" w:hAnsiTheme="minorHAnsi"/>
                <w:color w:val="00B050"/>
                <w:sz w:val="20"/>
                <w:szCs w:val="20"/>
                <w:u w:val="single"/>
              </w:rPr>
            </w:pPr>
            <w:r w:rsidRPr="00C1074E">
              <w:rPr>
                <w:rFonts w:asciiTheme="minorHAnsi" w:hAnsiTheme="minorHAnsi"/>
                <w:bCs w:val="0"/>
                <w:color w:val="76923C"/>
                <w:sz w:val="20"/>
                <w:szCs w:val="20"/>
                <w:u w:val="single"/>
              </w:rPr>
              <w:t>Area 1: Assessment</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Relevant data/information about the youth and family was diligently gathered through both initial and ongoing processes.</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The needs of the youth and family have been appropriately identified and prioritized across a full range of life domains.</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Actionable strengths of the youth and family have been identified and documented.</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The provider has explored natural supports with the family.</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The written assessment provides a clear understanding of the youth and family.</w:t>
            </w:r>
          </w:p>
          <w:p w:rsidR="00C1074E" w:rsidRPr="00C1074E" w:rsidRDefault="00C1074E" w:rsidP="00C1074E">
            <w:pPr>
              <w:rPr>
                <w:rFonts w:asciiTheme="minorHAnsi" w:hAnsiTheme="minorHAnsi"/>
                <w:color w:val="538135" w:themeColor="accent6" w:themeShade="BF"/>
                <w:sz w:val="20"/>
                <w:szCs w:val="20"/>
                <w:u w:val="single"/>
              </w:rPr>
            </w:pPr>
            <w:r w:rsidRPr="00C1074E">
              <w:rPr>
                <w:rFonts w:asciiTheme="minorHAnsi" w:hAnsiTheme="minorHAnsi"/>
                <w:color w:val="538135" w:themeColor="accent6" w:themeShade="BF"/>
                <w:sz w:val="20"/>
                <w:szCs w:val="20"/>
                <w:u w:val="single"/>
              </w:rPr>
              <w:t>Area 2: Service Planning</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 xml:space="preserve">The provider actively engages and includes </w:t>
            </w:r>
            <w:r w:rsidRPr="009E537C">
              <w:rPr>
                <w:rFonts w:asciiTheme="minorHAnsi" w:hAnsiTheme="minorHAnsi"/>
                <w:b w:val="0"/>
                <w:sz w:val="20"/>
                <w:szCs w:val="20"/>
              </w:rPr>
              <w:t>the youth and family in</w:t>
            </w:r>
            <w:r w:rsidRPr="00C1074E">
              <w:rPr>
                <w:rFonts w:asciiTheme="minorHAnsi" w:hAnsiTheme="minorHAnsi"/>
                <w:b w:val="0"/>
                <w:sz w:val="20"/>
                <w:szCs w:val="20"/>
              </w:rPr>
              <w:t xml:space="preserve"> the service planning process.</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The service plan goals logically follow from the needs and strengths identified in the comprehensive assessment.</w:t>
            </w:r>
          </w:p>
          <w:p w:rsidR="00C1074E" w:rsidRP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Service plans and services are responsive to the emerging and changing needs of the youth and family.</w:t>
            </w:r>
          </w:p>
          <w:p w:rsidR="00C1074E" w:rsidRDefault="00C1074E" w:rsidP="00C1074E">
            <w:pPr>
              <w:pStyle w:val="ListParagraph"/>
              <w:numPr>
                <w:ilvl w:val="0"/>
                <w:numId w:val="6"/>
              </w:numPr>
              <w:ind w:left="252" w:hanging="252"/>
              <w:rPr>
                <w:rFonts w:asciiTheme="minorHAnsi" w:hAnsiTheme="minorHAnsi"/>
                <w:b w:val="0"/>
                <w:sz w:val="20"/>
                <w:szCs w:val="20"/>
              </w:rPr>
            </w:pPr>
            <w:r w:rsidRPr="00C1074E">
              <w:rPr>
                <w:rFonts w:asciiTheme="minorHAnsi" w:hAnsiTheme="minorHAnsi"/>
                <w:b w:val="0"/>
                <w:sz w:val="20"/>
                <w:szCs w:val="20"/>
              </w:rPr>
              <w:t xml:space="preserve">An effective risk management/safety plan is in place for the youth/family. </w:t>
            </w:r>
          </w:p>
          <w:p w:rsidR="00C1074E" w:rsidRPr="00C1074E" w:rsidRDefault="00C1074E" w:rsidP="00C1074E">
            <w:pPr>
              <w:pStyle w:val="ListParagraph"/>
              <w:numPr>
                <w:ilvl w:val="0"/>
                <w:numId w:val="0"/>
              </w:numPr>
              <w:rPr>
                <w:rFonts w:asciiTheme="minorHAnsi" w:hAnsiTheme="minorHAnsi"/>
                <w:b w:val="0"/>
                <w:color w:val="538135" w:themeColor="accent6" w:themeShade="BF"/>
                <w:sz w:val="20"/>
                <w:szCs w:val="20"/>
              </w:rPr>
            </w:pPr>
            <w:r w:rsidRPr="00C1074E">
              <w:rPr>
                <w:rFonts w:asciiTheme="minorHAnsi" w:hAnsiTheme="minorHAnsi"/>
                <w:color w:val="538135" w:themeColor="accent6" w:themeShade="BF"/>
                <w:sz w:val="20"/>
                <w:szCs w:val="20"/>
                <w:u w:val="single"/>
              </w:rPr>
              <w:t>Area 3: Service Delivery</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interventions provided to the youth and family match their needs and strengths.</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provider incorporates the youth’s and family’s actionable strengths into the service delivery process.</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intensity of the services/supports provided to the youth and family match their needs.</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Service providers assist the youth and family in understanding the provider agency and the service(s) in which they are participating.</w:t>
            </w:r>
          </w:p>
          <w:p w:rsidR="00C1074E" w:rsidRPr="00C1074E" w:rsidRDefault="00C1074E" w:rsidP="00C1074E">
            <w:pPr>
              <w:pStyle w:val="ListParagraph"/>
              <w:numPr>
                <w:ilvl w:val="0"/>
                <w:numId w:val="0"/>
              </w:numPr>
              <w:rPr>
                <w:rFonts w:asciiTheme="minorHAnsi" w:hAnsiTheme="minorHAnsi"/>
                <w:color w:val="538135" w:themeColor="accent6" w:themeShade="BF"/>
                <w:sz w:val="20"/>
                <w:szCs w:val="20"/>
              </w:rPr>
            </w:pPr>
            <w:r w:rsidRPr="00C1074E">
              <w:rPr>
                <w:rFonts w:asciiTheme="minorHAnsi" w:hAnsiTheme="minorHAnsi"/>
                <w:color w:val="538135" w:themeColor="accent6" w:themeShade="BF"/>
                <w:sz w:val="20"/>
                <w:szCs w:val="20"/>
                <w:u w:val="single"/>
              </w:rPr>
              <w:t>Area 4: Youth &amp; Family Engagement</w:t>
            </w:r>
          </w:p>
          <w:p w:rsid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provider actively engages the youth and family in the ongoing service delivery process.</w:t>
            </w:r>
          </w:p>
          <w:p w:rsidR="00C1074E" w:rsidRPr="009E537C" w:rsidRDefault="00C1074E" w:rsidP="00C1074E">
            <w:pPr>
              <w:pStyle w:val="ListParagraph"/>
              <w:numPr>
                <w:ilvl w:val="0"/>
                <w:numId w:val="0"/>
              </w:numPr>
              <w:rPr>
                <w:rFonts w:asciiTheme="minorHAnsi" w:hAnsiTheme="minorHAnsi"/>
                <w:b w:val="0"/>
                <w:color w:val="538135" w:themeColor="accent6" w:themeShade="BF"/>
                <w:sz w:val="20"/>
                <w:szCs w:val="20"/>
              </w:rPr>
            </w:pPr>
            <w:r w:rsidRPr="00C1074E">
              <w:rPr>
                <w:rFonts w:asciiTheme="minorHAnsi" w:hAnsiTheme="minorHAnsi"/>
                <w:color w:val="538135" w:themeColor="accent6" w:themeShade="BF"/>
                <w:sz w:val="20"/>
                <w:szCs w:val="20"/>
                <w:u w:val="single"/>
              </w:rPr>
              <w:t>Area 5: Team Formation</w:t>
            </w:r>
          </w:p>
          <w:p w:rsidR="00C1074E" w:rsidRPr="009E537C" w:rsidRDefault="00C1074E" w:rsidP="00C1074E">
            <w:pPr>
              <w:pStyle w:val="ListParagraph"/>
              <w:numPr>
                <w:ilvl w:val="0"/>
                <w:numId w:val="6"/>
              </w:numPr>
              <w:ind w:left="342" w:hanging="342"/>
              <w:rPr>
                <w:rFonts w:asciiTheme="minorHAnsi" w:hAnsiTheme="minorHAnsi"/>
                <w:b w:val="0"/>
                <w:sz w:val="20"/>
                <w:szCs w:val="20"/>
              </w:rPr>
            </w:pPr>
            <w:r w:rsidRPr="009E537C">
              <w:rPr>
                <w:rFonts w:asciiTheme="minorHAnsi" w:hAnsiTheme="minorHAnsi"/>
                <w:b w:val="0"/>
                <w:sz w:val="20"/>
                <w:szCs w:val="20"/>
              </w:rPr>
              <w:t>The provider actively engages and includes formal providers in the service planning and delivery process (initial plan and updates).</w:t>
            </w:r>
          </w:p>
          <w:p w:rsidR="00C1074E" w:rsidRDefault="00C1074E" w:rsidP="00C1074E">
            <w:pPr>
              <w:pStyle w:val="ListParagraph"/>
              <w:numPr>
                <w:ilvl w:val="0"/>
                <w:numId w:val="6"/>
              </w:numPr>
              <w:ind w:left="342" w:hanging="342"/>
              <w:rPr>
                <w:rFonts w:asciiTheme="minorHAnsi" w:hAnsiTheme="minorHAnsi"/>
                <w:b w:val="0"/>
                <w:sz w:val="20"/>
                <w:szCs w:val="20"/>
              </w:rPr>
            </w:pPr>
            <w:r w:rsidRPr="009E537C">
              <w:rPr>
                <w:rFonts w:asciiTheme="minorHAnsi" w:hAnsiTheme="minorHAnsi"/>
                <w:b w:val="0"/>
                <w:sz w:val="20"/>
                <w:szCs w:val="20"/>
              </w:rPr>
              <w:t>The provider actively engages and includes natural supports in</w:t>
            </w:r>
            <w:r w:rsidRPr="00C1074E">
              <w:rPr>
                <w:rFonts w:asciiTheme="minorHAnsi" w:hAnsiTheme="minorHAnsi"/>
                <w:b w:val="0"/>
                <w:sz w:val="20"/>
                <w:szCs w:val="20"/>
              </w:rPr>
              <w:t xml:space="preserve"> the service planning and delivery process (initial plan and updates). </w:t>
            </w:r>
          </w:p>
          <w:p w:rsidR="00C1074E" w:rsidRPr="00C1074E" w:rsidRDefault="00C1074E" w:rsidP="00C1074E">
            <w:pPr>
              <w:rPr>
                <w:rFonts w:asciiTheme="minorHAnsi" w:hAnsiTheme="minorHAnsi"/>
                <w:color w:val="538135" w:themeColor="accent6" w:themeShade="BF"/>
                <w:sz w:val="20"/>
                <w:szCs w:val="20"/>
                <w:u w:val="single"/>
              </w:rPr>
            </w:pPr>
            <w:r w:rsidRPr="00C1074E">
              <w:rPr>
                <w:rFonts w:asciiTheme="minorHAnsi" w:hAnsiTheme="minorHAnsi"/>
                <w:color w:val="538135" w:themeColor="accent6" w:themeShade="BF"/>
                <w:sz w:val="20"/>
                <w:szCs w:val="20"/>
                <w:u w:val="single"/>
              </w:rPr>
              <w:t>Area 6: Team Participation</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Providers, school personnel or other agencies involved with the youth participate in service planning.</w:t>
            </w:r>
          </w:p>
          <w:p w:rsidR="00C1074E" w:rsidRPr="00C1074E" w:rsidRDefault="00C1074E" w:rsidP="00C1074E">
            <w:pPr>
              <w:rPr>
                <w:rFonts w:asciiTheme="minorHAnsi" w:hAnsiTheme="minorHAnsi"/>
                <w:i/>
                <w:color w:val="538135" w:themeColor="accent6" w:themeShade="BF"/>
                <w:sz w:val="20"/>
                <w:szCs w:val="20"/>
              </w:rPr>
            </w:pPr>
            <w:r w:rsidRPr="00C1074E">
              <w:rPr>
                <w:rFonts w:asciiTheme="minorHAnsi" w:hAnsiTheme="minorHAnsi"/>
                <w:color w:val="538135" w:themeColor="accent6" w:themeShade="BF"/>
                <w:sz w:val="20"/>
                <w:szCs w:val="20"/>
                <w:u w:val="single"/>
              </w:rPr>
              <w:t>Area 7: Care Coordination</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provider (i.e. IHT clinician, ICC) successfully coordinates service planning and the delivery of services and supports.</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youth is receiving the amount and quality of care coordination his/her situation requires.</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provider facilitates ongoing, effective communication among all team members, including formal service providers, natural supports (if desired by the family), and family members including the youth.</w:t>
            </w:r>
          </w:p>
          <w:p w:rsidR="00C1074E" w:rsidRPr="00C1074E" w:rsidRDefault="00C1074E" w:rsidP="00C1074E">
            <w:pPr>
              <w:rPr>
                <w:rFonts w:asciiTheme="minorHAnsi" w:hAnsiTheme="minorHAnsi"/>
                <w:color w:val="538135" w:themeColor="accent6" w:themeShade="BF"/>
                <w:sz w:val="20"/>
                <w:szCs w:val="20"/>
                <w:u w:val="single"/>
              </w:rPr>
            </w:pPr>
            <w:r w:rsidRPr="00C1074E">
              <w:rPr>
                <w:rFonts w:asciiTheme="minorHAnsi" w:hAnsiTheme="minorHAnsi"/>
                <w:color w:val="538135" w:themeColor="accent6" w:themeShade="BF"/>
                <w:sz w:val="20"/>
                <w:szCs w:val="20"/>
                <w:u w:val="single"/>
              </w:rPr>
              <w:t>Area 8: Transition</w:t>
            </w:r>
          </w:p>
          <w:p w:rsidR="00380F3A"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Care transitions and life transitions (e.g. from youth to adult system, from one provider to another, from one service to another, from hospital to home, etc.) are anticipated, planned for, and well coordinated.</w:t>
            </w:r>
          </w:p>
          <w:p w:rsidR="00CF40FD" w:rsidRPr="00CF40FD" w:rsidRDefault="00CF40FD" w:rsidP="00CF40FD">
            <w:pPr>
              <w:rPr>
                <w:sz w:val="20"/>
                <w:szCs w:val="20"/>
              </w:rPr>
            </w:pPr>
          </w:p>
        </w:tc>
      </w:tr>
      <w:tr w:rsidR="00380F3A" w:rsidTr="00380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380F3A" w:rsidRDefault="00C1074E" w:rsidP="00C1074E">
            <w:pPr>
              <w:jc w:val="center"/>
              <w:rPr>
                <w:b w:val="0"/>
                <w:color w:val="5B9BD5" w:themeColor="accent1"/>
              </w:rPr>
            </w:pPr>
            <w:r w:rsidRPr="00C1074E">
              <w:rPr>
                <w:rFonts w:asciiTheme="minorHAnsi" w:hAnsiTheme="minorHAnsi"/>
                <w:sz w:val="20"/>
                <w:szCs w:val="20"/>
              </w:rPr>
              <w:lastRenderedPageBreak/>
              <w:t xml:space="preserve">Domain </w:t>
            </w:r>
            <w:r>
              <w:rPr>
                <w:rFonts w:asciiTheme="minorHAnsi" w:hAnsiTheme="minorHAnsi"/>
                <w:sz w:val="20"/>
                <w:szCs w:val="20"/>
              </w:rPr>
              <w:t>2: Community-Based</w:t>
            </w:r>
          </w:p>
        </w:tc>
      </w:tr>
      <w:tr w:rsidR="00380F3A" w:rsidTr="00380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C1074E" w:rsidRPr="00C1074E" w:rsidRDefault="00C1074E" w:rsidP="00C1074E">
            <w:pPr>
              <w:rPr>
                <w:rFonts w:asciiTheme="minorHAnsi" w:hAnsiTheme="minorHAnsi"/>
                <w:i/>
                <w:color w:val="538135" w:themeColor="accent6" w:themeShade="BF"/>
                <w:sz w:val="20"/>
                <w:szCs w:val="20"/>
              </w:rPr>
            </w:pPr>
            <w:r w:rsidRPr="00C1074E">
              <w:rPr>
                <w:rFonts w:asciiTheme="minorHAnsi" w:hAnsiTheme="minorHAnsi"/>
                <w:color w:val="538135" w:themeColor="accent6" w:themeShade="BF"/>
                <w:sz w:val="20"/>
                <w:szCs w:val="20"/>
                <w:u w:val="single"/>
              </w:rPr>
              <w:t>Area 9: Responsiveness</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provider responded to the referral (for its own service) in a timely and appropriate way.</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The provider made appropriate service referrals (for other services/supports) in a timely manner</w:t>
            </w:r>
            <w:r w:rsidRPr="00C1074E" w:rsidDel="00774747">
              <w:rPr>
                <w:rFonts w:asciiTheme="minorHAnsi" w:hAnsiTheme="minorHAnsi"/>
                <w:b w:val="0"/>
                <w:sz w:val="20"/>
                <w:szCs w:val="20"/>
              </w:rPr>
              <w:t xml:space="preserve"> </w:t>
            </w:r>
            <w:r w:rsidRPr="00C1074E">
              <w:rPr>
                <w:rFonts w:asciiTheme="minorHAnsi" w:hAnsiTheme="minorHAnsi"/>
                <w:b w:val="0"/>
                <w:sz w:val="20"/>
                <w:szCs w:val="20"/>
              </w:rPr>
              <w:t xml:space="preserve">and engaged in follow-up efforts as necessary to ensure linkage with the identified services and supports.  </w:t>
            </w:r>
          </w:p>
          <w:p w:rsidR="00C1074E" w:rsidRPr="00C1074E" w:rsidRDefault="00C1074E" w:rsidP="00C1074E">
            <w:pPr>
              <w:rPr>
                <w:rFonts w:asciiTheme="minorHAnsi" w:hAnsiTheme="minorHAnsi"/>
                <w:i/>
                <w:color w:val="538135" w:themeColor="accent6" w:themeShade="BF"/>
                <w:sz w:val="20"/>
                <w:szCs w:val="20"/>
              </w:rPr>
            </w:pPr>
            <w:r w:rsidRPr="00C1074E">
              <w:rPr>
                <w:rFonts w:asciiTheme="minorHAnsi" w:hAnsiTheme="minorHAnsi"/>
                <w:color w:val="538135" w:themeColor="accent6" w:themeShade="BF"/>
                <w:sz w:val="20"/>
                <w:szCs w:val="20"/>
                <w:u w:val="single"/>
              </w:rPr>
              <w:t>Area 10: Service Accessibility</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Services are scheduled at convenient times for the youth and family.</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Services are provided in the location of the youth and family’s preference.</w:t>
            </w:r>
          </w:p>
          <w:p w:rsidR="00C1074E"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Service providers verbally communicate in the preferred language of the youth/family.</w:t>
            </w:r>
          </w:p>
          <w:p w:rsidR="00380F3A" w:rsidRPr="00C1074E" w:rsidRDefault="00C1074E" w:rsidP="00C1074E">
            <w:pPr>
              <w:pStyle w:val="ListParagraph"/>
              <w:numPr>
                <w:ilvl w:val="0"/>
                <w:numId w:val="6"/>
              </w:numPr>
              <w:ind w:left="342" w:hanging="342"/>
              <w:rPr>
                <w:rFonts w:asciiTheme="minorHAnsi" w:hAnsiTheme="minorHAnsi"/>
                <w:b w:val="0"/>
                <w:sz w:val="20"/>
                <w:szCs w:val="20"/>
              </w:rPr>
            </w:pPr>
            <w:r w:rsidRPr="00C1074E">
              <w:rPr>
                <w:rFonts w:asciiTheme="minorHAnsi" w:hAnsiTheme="minorHAnsi"/>
                <w:b w:val="0"/>
                <w:sz w:val="20"/>
                <w:szCs w:val="20"/>
              </w:rPr>
              <w:t>Written documentation regarding services/planning is provided in the preferred language of the youth/family.</w:t>
            </w:r>
          </w:p>
        </w:tc>
      </w:tr>
      <w:tr w:rsidR="00380F3A" w:rsidTr="00380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380F3A" w:rsidRDefault="00C1074E" w:rsidP="00287289">
            <w:pPr>
              <w:jc w:val="center"/>
              <w:rPr>
                <w:b w:val="0"/>
                <w:color w:val="5B9BD5" w:themeColor="accent1"/>
              </w:rPr>
            </w:pPr>
            <w:r w:rsidRPr="00C1074E">
              <w:rPr>
                <w:rFonts w:asciiTheme="minorHAnsi" w:hAnsiTheme="minorHAnsi"/>
                <w:sz w:val="20"/>
                <w:szCs w:val="20"/>
              </w:rPr>
              <w:t xml:space="preserve">Domain </w:t>
            </w:r>
            <w:r>
              <w:rPr>
                <w:rFonts w:asciiTheme="minorHAnsi" w:hAnsiTheme="minorHAnsi"/>
                <w:sz w:val="20"/>
                <w:szCs w:val="20"/>
              </w:rPr>
              <w:t>3: Culturally Competent</w:t>
            </w:r>
          </w:p>
        </w:tc>
      </w:tr>
      <w:tr w:rsidR="00380F3A" w:rsidTr="00380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C1074E" w:rsidRPr="00C1074E" w:rsidRDefault="00C1074E" w:rsidP="00C1074E">
            <w:pPr>
              <w:rPr>
                <w:rFonts w:asciiTheme="minorHAnsi" w:hAnsiTheme="minorHAnsi"/>
                <w:color w:val="538135" w:themeColor="accent6" w:themeShade="BF"/>
                <w:sz w:val="20"/>
                <w:szCs w:val="20"/>
              </w:rPr>
            </w:pPr>
            <w:r w:rsidRPr="00C1074E">
              <w:rPr>
                <w:rFonts w:asciiTheme="minorHAnsi" w:hAnsiTheme="minorHAnsi"/>
                <w:color w:val="538135" w:themeColor="accent6" w:themeShade="BF"/>
                <w:sz w:val="20"/>
                <w:szCs w:val="20"/>
                <w:u w:val="single"/>
              </w:rPr>
              <w:t>Area 11: Cultural Awareness</w:t>
            </w:r>
          </w:p>
          <w:p w:rsidR="00C1074E"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The service provider has explored and can describe the family’s beliefs, culture, traditions, and identity.</w:t>
            </w:r>
          </w:p>
          <w:p w:rsidR="00C1074E"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Cultural differences and similarities between the provider and the youth/ family have been acknowledged and discussed, as they relate to the plan for working together.</w:t>
            </w:r>
          </w:p>
          <w:p w:rsidR="00C1074E" w:rsidRPr="00C1074E" w:rsidRDefault="00C1074E" w:rsidP="00C1074E">
            <w:pPr>
              <w:contextualSpacing/>
              <w:rPr>
                <w:rFonts w:asciiTheme="minorHAnsi" w:hAnsiTheme="minorHAnsi"/>
                <w:color w:val="538135" w:themeColor="accent6" w:themeShade="BF"/>
                <w:sz w:val="20"/>
                <w:szCs w:val="20"/>
                <w:u w:val="single"/>
              </w:rPr>
            </w:pPr>
            <w:r w:rsidRPr="00C1074E">
              <w:rPr>
                <w:rFonts w:asciiTheme="minorHAnsi" w:hAnsiTheme="minorHAnsi"/>
                <w:color w:val="538135" w:themeColor="accent6" w:themeShade="BF"/>
                <w:sz w:val="20"/>
                <w:szCs w:val="20"/>
                <w:u w:val="single"/>
              </w:rPr>
              <w:t>Area 12: Cultural Sensitivity &amp; Responsiveness</w:t>
            </w:r>
          </w:p>
          <w:p w:rsidR="00C1074E"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The provider has acted on/incorporated knowledge of the family’s culture into the work.</w:t>
            </w:r>
          </w:p>
          <w:p w:rsidR="00C1074E"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The provider has explored any youth or family history of migration, moves, or dislocation. If the youth or family has experienced stressful migration, moves, or dislocation, then those events inform the assessment of family’s strengths and needs and the treatment/care plan.</w:t>
            </w:r>
          </w:p>
          <w:p w:rsidR="00C1074E"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The provider has explored any youth or family history of discrimination and victimization. If the youth or family has experienced discrimination or victimization, then the provider ensures that the treatment process is sensitive/responsive to the family’s experience.</w:t>
            </w:r>
          </w:p>
          <w:p w:rsidR="00C1074E"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 xml:space="preserve">The provider has explored cultural </w:t>
            </w:r>
            <w:r w:rsidRPr="009E537C">
              <w:rPr>
                <w:rFonts w:asciiTheme="minorHAnsi" w:hAnsiTheme="minorHAnsi"/>
                <w:b w:val="0"/>
                <w:sz w:val="20"/>
                <w:szCs w:val="20"/>
              </w:rPr>
              <w:t>differences within the</w:t>
            </w:r>
            <w:r w:rsidRPr="00C1074E">
              <w:rPr>
                <w:rFonts w:asciiTheme="minorHAnsi" w:hAnsiTheme="minorHAnsi"/>
                <w:b w:val="0"/>
                <w:sz w:val="20"/>
                <w:szCs w:val="20"/>
              </w:rPr>
              <w:t xml:space="preserve"> family (e.g. intergenerational issues or due to couples having different backgrounds) and has incorporated this information into the understanding of the youth and family’s strengths and needs and the care/treatment plan.</w:t>
            </w:r>
          </w:p>
          <w:p w:rsidR="00380F3A" w:rsidRPr="00C1074E" w:rsidRDefault="00C1074E" w:rsidP="00C1074E">
            <w:pPr>
              <w:pStyle w:val="ListParagraph"/>
              <w:numPr>
                <w:ilvl w:val="0"/>
                <w:numId w:val="6"/>
              </w:numPr>
              <w:ind w:left="360"/>
              <w:rPr>
                <w:rFonts w:asciiTheme="minorHAnsi" w:hAnsiTheme="minorHAnsi"/>
                <w:b w:val="0"/>
                <w:sz w:val="20"/>
                <w:szCs w:val="20"/>
              </w:rPr>
            </w:pPr>
            <w:r w:rsidRPr="00C1074E">
              <w:rPr>
                <w:rFonts w:asciiTheme="minorHAnsi" w:hAnsiTheme="minorHAnsi"/>
                <w:b w:val="0"/>
                <w:sz w:val="20"/>
                <w:szCs w:val="20"/>
              </w:rPr>
              <w:t>The provider helps the entire team understand and respect this family’s culture.</w:t>
            </w:r>
          </w:p>
        </w:tc>
      </w:tr>
    </w:tbl>
    <w:p w:rsidR="00B364D8" w:rsidRPr="007F3A22" w:rsidRDefault="00B364D8" w:rsidP="008179B7">
      <w:pPr>
        <w:pStyle w:val="Heading3"/>
        <w:rPr>
          <w:rFonts w:asciiTheme="minorHAnsi" w:hAnsiTheme="minorHAnsi"/>
        </w:rPr>
      </w:pPr>
      <w:bookmarkStart w:id="5" w:name="_Toc467143002"/>
      <w:r w:rsidRPr="007F3A22">
        <w:rPr>
          <w:rFonts w:asciiTheme="minorHAnsi" w:hAnsiTheme="minorHAnsi"/>
        </w:rPr>
        <w:t>Practice Indicator Rating Scale</w:t>
      </w:r>
      <w:bookmarkEnd w:id="5"/>
    </w:p>
    <w:p w:rsidR="00B364D8" w:rsidRDefault="00B364D8" w:rsidP="008179B7">
      <w:r>
        <w:t>Scoring of the 12 MPR practice Areas within Domains 1-3 is done using a 5-point rating scale tied to practic</w:t>
      </w:r>
      <w:r w:rsidR="009020A3">
        <w:t>e indicators as shown in</w:t>
      </w:r>
      <w:r w:rsidR="009020A3" w:rsidRPr="004627DB">
        <w:rPr>
          <w:color w:val="2E74B5" w:themeColor="accent1" w:themeShade="BF"/>
        </w:rPr>
        <w:t xml:space="preserve"> </w:t>
      </w:r>
      <w:r w:rsidR="009020A3" w:rsidRPr="004627DB">
        <w:rPr>
          <w:b/>
          <w:color w:val="5B9BD5" w:themeColor="accent1"/>
        </w:rPr>
        <w:t xml:space="preserve">Table </w:t>
      </w:r>
      <w:r w:rsidR="00C2310F">
        <w:rPr>
          <w:b/>
          <w:color w:val="5B9BD5" w:themeColor="accent1"/>
        </w:rPr>
        <w:t>7</w:t>
      </w:r>
      <w:r>
        <w:t>.</w:t>
      </w:r>
    </w:p>
    <w:p w:rsidR="00B364D8" w:rsidRDefault="009020A3" w:rsidP="009E537C">
      <w:pPr>
        <w:spacing w:before="120"/>
        <w:jc w:val="center"/>
        <w:rPr>
          <w:rFonts w:ascii="Calibri" w:eastAsia="Calibri" w:hAnsi="Calibri" w:cs="Times New Roman"/>
        </w:rPr>
      </w:pPr>
      <w:r w:rsidRPr="009020A3">
        <w:rPr>
          <w:b/>
          <w:color w:val="5B9BD5" w:themeColor="accent1"/>
        </w:rPr>
        <w:t xml:space="preserve">Table </w:t>
      </w:r>
      <w:r w:rsidR="00C2310F">
        <w:rPr>
          <w:b/>
          <w:color w:val="5B9BD5" w:themeColor="accent1"/>
        </w:rPr>
        <w:t>7</w:t>
      </w:r>
      <w:r w:rsidR="00B364D8" w:rsidRPr="00AB7A08">
        <w:rPr>
          <w:b/>
          <w:color w:val="5B9BD5" w:themeColor="accent1"/>
        </w:rPr>
        <w:t>:</w:t>
      </w:r>
      <w:r w:rsidR="00B364D8">
        <w:rPr>
          <w:b/>
          <w:color w:val="5B9BD5" w:themeColor="accent1"/>
        </w:rPr>
        <w:t xml:space="preserve"> MPR Practice Rating Scale &amp; Indicators (Domains 1-3)</w:t>
      </w:r>
    </w:p>
    <w:tbl>
      <w:tblPr>
        <w:tblStyle w:val="MediumShading1-Accent11"/>
        <w:tblW w:w="0" w:type="auto"/>
        <w:jc w:val="center"/>
        <w:tblBorders>
          <w:insideH w:val="single" w:sz="6" w:space="0" w:color="84B3DF" w:themeColor="accent1" w:themeTint="BF"/>
          <w:insideV w:val="single" w:sz="6" w:space="0" w:color="84B3DF" w:themeColor="accent1" w:themeTint="BF"/>
        </w:tblBorders>
        <w:tblLook w:val="04A0" w:firstRow="1" w:lastRow="0" w:firstColumn="1" w:lastColumn="0" w:noHBand="0" w:noVBand="1"/>
      </w:tblPr>
      <w:tblGrid>
        <w:gridCol w:w="2893"/>
        <w:gridCol w:w="1959"/>
        <w:gridCol w:w="2048"/>
        <w:gridCol w:w="1874"/>
        <w:gridCol w:w="2006"/>
      </w:tblGrid>
      <w:tr w:rsidR="00B364D8" w:rsidRPr="00F817D3" w:rsidTr="00D35C2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Borders>
              <w:top w:val="none" w:sz="0" w:space="0" w:color="auto"/>
              <w:left w:val="none" w:sz="0" w:space="0" w:color="auto"/>
              <w:bottom w:val="none" w:sz="0" w:space="0" w:color="auto"/>
              <w:right w:val="none" w:sz="0" w:space="0" w:color="auto"/>
            </w:tcBorders>
            <w:vAlign w:val="bottom"/>
          </w:tcPr>
          <w:p w:rsidR="00B364D8" w:rsidRPr="009E537C" w:rsidRDefault="00B364D8" w:rsidP="00D35C24">
            <w:pPr>
              <w:rPr>
                <w:rFonts w:asciiTheme="minorHAnsi" w:hAnsiTheme="minorHAnsi"/>
              </w:rPr>
            </w:pPr>
            <w:r w:rsidRPr="009E537C">
              <w:rPr>
                <w:rFonts w:asciiTheme="minorHAnsi" w:hAnsiTheme="minorHAnsi"/>
              </w:rPr>
              <w:t>Adverse Practice</w:t>
            </w:r>
          </w:p>
        </w:tc>
        <w:tc>
          <w:tcPr>
            <w:tcW w:w="1980" w:type="dxa"/>
            <w:tcBorders>
              <w:top w:val="none" w:sz="0" w:space="0" w:color="auto"/>
              <w:left w:val="none" w:sz="0" w:space="0" w:color="auto"/>
              <w:bottom w:val="none" w:sz="0" w:space="0" w:color="auto"/>
              <w:right w:val="none" w:sz="0" w:space="0" w:color="auto"/>
            </w:tcBorders>
            <w:vAlign w:val="bottom"/>
          </w:tcPr>
          <w:p w:rsidR="00B364D8" w:rsidRPr="009E537C" w:rsidRDefault="00B364D8" w:rsidP="00D35C24">
            <w:pPr>
              <w:ind w:right="-153"/>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Poor Practice</w:t>
            </w:r>
          </w:p>
        </w:tc>
        <w:tc>
          <w:tcPr>
            <w:tcW w:w="2070" w:type="dxa"/>
            <w:tcBorders>
              <w:top w:val="none" w:sz="0" w:space="0" w:color="auto"/>
              <w:left w:val="none" w:sz="0" w:space="0" w:color="auto"/>
              <w:bottom w:val="none" w:sz="0" w:space="0" w:color="auto"/>
              <w:right w:val="none" w:sz="0" w:space="0" w:color="auto"/>
            </w:tcBorders>
            <w:vAlign w:val="bottom"/>
          </w:tcPr>
          <w:p w:rsidR="00B364D8" w:rsidRPr="009E537C" w:rsidRDefault="00B364D8" w:rsidP="00D35C24">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Fair Practice</w:t>
            </w:r>
          </w:p>
        </w:tc>
        <w:tc>
          <w:tcPr>
            <w:tcW w:w="1890" w:type="dxa"/>
            <w:tcBorders>
              <w:top w:val="none" w:sz="0" w:space="0" w:color="auto"/>
              <w:left w:val="none" w:sz="0" w:space="0" w:color="auto"/>
              <w:bottom w:val="none" w:sz="0" w:space="0" w:color="auto"/>
              <w:right w:val="none" w:sz="0" w:space="0" w:color="auto"/>
            </w:tcBorders>
            <w:vAlign w:val="bottom"/>
          </w:tcPr>
          <w:p w:rsidR="00B364D8" w:rsidRPr="009E537C" w:rsidRDefault="00B364D8" w:rsidP="00D35C24">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Good Practice</w:t>
            </w:r>
          </w:p>
        </w:tc>
        <w:tc>
          <w:tcPr>
            <w:tcW w:w="2026" w:type="dxa"/>
            <w:tcBorders>
              <w:top w:val="none" w:sz="0" w:space="0" w:color="auto"/>
              <w:left w:val="none" w:sz="0" w:space="0" w:color="auto"/>
              <w:bottom w:val="none" w:sz="0" w:space="0" w:color="auto"/>
              <w:right w:val="none" w:sz="0" w:space="0" w:color="auto"/>
            </w:tcBorders>
          </w:tcPr>
          <w:p w:rsidR="00B364D8" w:rsidRPr="009E537C" w:rsidRDefault="00B364D8" w:rsidP="008179B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Exemplary/</w:t>
            </w:r>
          </w:p>
          <w:p w:rsidR="00B364D8" w:rsidRPr="009E537C" w:rsidRDefault="00B364D8" w:rsidP="008179B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537C">
              <w:rPr>
                <w:rFonts w:asciiTheme="minorHAnsi" w:hAnsiTheme="minorHAnsi"/>
              </w:rPr>
              <w:t>Best Practice</w:t>
            </w:r>
          </w:p>
        </w:tc>
      </w:tr>
      <w:tr w:rsidR="00B364D8" w:rsidRPr="00F817D3" w:rsidTr="00502E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Borders>
              <w:right w:val="none" w:sz="0" w:space="0" w:color="auto"/>
            </w:tcBorders>
          </w:tcPr>
          <w:p w:rsidR="00B364D8" w:rsidRPr="009E537C" w:rsidRDefault="00B364D8" w:rsidP="008179B7">
            <w:pPr>
              <w:rPr>
                <w:rFonts w:asciiTheme="minorHAnsi" w:hAnsiTheme="minorHAnsi"/>
              </w:rPr>
            </w:pPr>
            <w:r w:rsidRPr="009E537C">
              <w:rPr>
                <w:rFonts w:asciiTheme="minorHAnsi" w:hAnsiTheme="minorHAnsi"/>
              </w:rPr>
              <w:t>1</w:t>
            </w:r>
          </w:p>
        </w:tc>
        <w:tc>
          <w:tcPr>
            <w:tcW w:w="1980" w:type="dxa"/>
            <w:tcBorders>
              <w:left w:val="none" w:sz="0" w:space="0" w:color="auto"/>
              <w:right w:val="none" w:sz="0" w:space="0" w:color="auto"/>
            </w:tcBorders>
          </w:tcPr>
          <w:p w:rsidR="00B364D8" w:rsidRPr="009E537C" w:rsidRDefault="00B364D8" w:rsidP="008179B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2</w:t>
            </w:r>
          </w:p>
        </w:tc>
        <w:tc>
          <w:tcPr>
            <w:tcW w:w="2070" w:type="dxa"/>
            <w:tcBorders>
              <w:left w:val="none" w:sz="0" w:space="0" w:color="auto"/>
              <w:right w:val="none" w:sz="0" w:space="0" w:color="auto"/>
            </w:tcBorders>
          </w:tcPr>
          <w:p w:rsidR="00B364D8" w:rsidRPr="009E537C" w:rsidRDefault="00B364D8" w:rsidP="008179B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3</w:t>
            </w:r>
          </w:p>
        </w:tc>
        <w:tc>
          <w:tcPr>
            <w:tcW w:w="1890" w:type="dxa"/>
            <w:tcBorders>
              <w:left w:val="none" w:sz="0" w:space="0" w:color="auto"/>
              <w:right w:val="none" w:sz="0" w:space="0" w:color="auto"/>
            </w:tcBorders>
          </w:tcPr>
          <w:p w:rsidR="00B364D8" w:rsidRPr="009E537C" w:rsidRDefault="00B364D8" w:rsidP="008179B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4</w:t>
            </w:r>
          </w:p>
        </w:tc>
        <w:tc>
          <w:tcPr>
            <w:tcW w:w="2026" w:type="dxa"/>
            <w:tcBorders>
              <w:left w:val="none" w:sz="0" w:space="0" w:color="auto"/>
            </w:tcBorders>
          </w:tcPr>
          <w:p w:rsidR="00B364D8" w:rsidRPr="009E537C" w:rsidRDefault="00B364D8" w:rsidP="008179B7">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E537C">
              <w:rPr>
                <w:rFonts w:asciiTheme="minorHAnsi" w:hAnsiTheme="minorHAnsi"/>
                <w:b/>
              </w:rPr>
              <w:t>5</w:t>
            </w:r>
          </w:p>
        </w:tc>
      </w:tr>
      <w:tr w:rsidR="00B364D8" w:rsidRPr="00F817D3" w:rsidTr="00502E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Borders>
              <w:right w:val="none" w:sz="0" w:space="0" w:color="auto"/>
            </w:tcBorders>
          </w:tcPr>
          <w:p w:rsidR="00B364D8" w:rsidRPr="00F97BA0" w:rsidRDefault="00B364D8" w:rsidP="008179B7">
            <w:pPr>
              <w:rPr>
                <w:rFonts w:asciiTheme="minorHAnsi" w:hAnsiTheme="minorHAnsi"/>
                <w:b w:val="0"/>
                <w:sz w:val="21"/>
                <w:szCs w:val="21"/>
              </w:rPr>
            </w:pPr>
            <w:r w:rsidRPr="00F97BA0">
              <w:rPr>
                <w:rFonts w:asciiTheme="minorHAnsi" w:hAnsiTheme="minorHAnsi"/>
                <w:b w:val="0"/>
                <w:sz w:val="21"/>
                <w:szCs w:val="21"/>
              </w:rPr>
              <w:t xml:space="preserve">Practice is either absent or wrong, and possibly harmful - or </w:t>
            </w:r>
            <w:r w:rsidR="00502EA9" w:rsidRPr="00F97BA0">
              <w:rPr>
                <w:rFonts w:asciiTheme="minorHAnsi" w:hAnsiTheme="minorHAnsi"/>
                <w:b w:val="0"/>
                <w:sz w:val="21"/>
                <w:szCs w:val="21"/>
              </w:rPr>
              <w:t xml:space="preserve">- </w:t>
            </w:r>
            <w:r w:rsidRPr="00F97BA0">
              <w:rPr>
                <w:rFonts w:asciiTheme="minorHAnsi" w:hAnsiTheme="minorHAnsi"/>
                <w:b w:val="0"/>
                <w:sz w:val="21"/>
                <w:szCs w:val="21"/>
              </w:rPr>
              <w:t>practices used may be inappropriate, contraindicated, or performed inappropriately or harmfully</w:t>
            </w:r>
          </w:p>
        </w:tc>
        <w:tc>
          <w:tcPr>
            <w:tcW w:w="1980" w:type="dxa"/>
            <w:tcBorders>
              <w:left w:val="none" w:sz="0" w:space="0" w:color="auto"/>
              <w:right w:val="none" w:sz="0" w:space="0" w:color="auto"/>
            </w:tcBorders>
          </w:tcPr>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1"/>
                <w:szCs w:val="21"/>
              </w:rPr>
            </w:pPr>
            <w:r w:rsidRPr="00F97BA0">
              <w:rPr>
                <w:rFonts w:asciiTheme="minorHAnsi" w:hAnsiTheme="minorHAnsi"/>
                <w:sz w:val="21"/>
                <w:szCs w:val="21"/>
              </w:rPr>
              <w:t>Does not meet minimal established standards of practice</w:t>
            </w:r>
          </w:p>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p>
        </w:tc>
        <w:tc>
          <w:tcPr>
            <w:tcW w:w="2070" w:type="dxa"/>
            <w:tcBorders>
              <w:left w:val="none" w:sz="0" w:space="0" w:color="auto"/>
              <w:right w:val="none" w:sz="0" w:space="0" w:color="auto"/>
            </w:tcBorders>
          </w:tcPr>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r w:rsidRPr="00F97BA0">
              <w:rPr>
                <w:rFonts w:asciiTheme="minorHAnsi" w:hAnsiTheme="minorHAnsi"/>
                <w:sz w:val="21"/>
                <w:szCs w:val="21"/>
              </w:rPr>
              <w:t>Does not consistently meet established standards and best practices</w:t>
            </w:r>
          </w:p>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p>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p>
        </w:tc>
        <w:tc>
          <w:tcPr>
            <w:tcW w:w="1890" w:type="dxa"/>
            <w:tcBorders>
              <w:left w:val="none" w:sz="0" w:space="0" w:color="auto"/>
              <w:right w:val="none" w:sz="0" w:space="0" w:color="auto"/>
            </w:tcBorders>
          </w:tcPr>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r w:rsidRPr="00F97BA0">
              <w:rPr>
                <w:rFonts w:asciiTheme="minorHAnsi" w:hAnsiTheme="minorHAnsi"/>
                <w:sz w:val="21"/>
                <w:szCs w:val="21"/>
              </w:rPr>
              <w:t>Consistently meets established standards and best practices</w:t>
            </w:r>
          </w:p>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p>
        </w:tc>
        <w:tc>
          <w:tcPr>
            <w:tcW w:w="2026" w:type="dxa"/>
            <w:tcBorders>
              <w:left w:val="none" w:sz="0" w:space="0" w:color="auto"/>
            </w:tcBorders>
          </w:tcPr>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r w:rsidRPr="00F97BA0">
              <w:rPr>
                <w:rFonts w:asciiTheme="minorHAnsi" w:hAnsiTheme="minorHAnsi" w:cs="Arial"/>
                <w:sz w:val="21"/>
                <w:szCs w:val="21"/>
              </w:rPr>
              <w:t>Consistently exceeds established standards and best practices</w:t>
            </w:r>
          </w:p>
          <w:p w:rsidR="00B364D8" w:rsidRPr="00F97BA0" w:rsidRDefault="00B364D8" w:rsidP="008179B7">
            <w:pPr>
              <w:cnfStyle w:val="000000010000" w:firstRow="0" w:lastRow="0" w:firstColumn="0" w:lastColumn="0" w:oddVBand="0" w:evenVBand="0" w:oddHBand="0" w:evenHBand="1" w:firstRowFirstColumn="0" w:firstRowLastColumn="0" w:lastRowFirstColumn="0" w:lastRowLastColumn="0"/>
              <w:rPr>
                <w:rFonts w:asciiTheme="minorHAnsi" w:hAnsiTheme="minorHAnsi"/>
                <w:sz w:val="21"/>
                <w:szCs w:val="21"/>
              </w:rPr>
            </w:pPr>
          </w:p>
        </w:tc>
      </w:tr>
    </w:tbl>
    <w:p w:rsidR="005432D4" w:rsidRPr="007F3A22" w:rsidRDefault="005432D4" w:rsidP="008179B7">
      <w:pPr>
        <w:pStyle w:val="Heading3"/>
        <w:rPr>
          <w:rFonts w:asciiTheme="minorHAnsi" w:hAnsiTheme="minorHAnsi"/>
        </w:rPr>
      </w:pPr>
      <w:bookmarkStart w:id="6" w:name="_Toc467143003"/>
      <w:r w:rsidRPr="007F3A22">
        <w:rPr>
          <w:rFonts w:asciiTheme="minorHAnsi" w:hAnsiTheme="minorHAnsi"/>
        </w:rPr>
        <w:t>Progress Domain/Areas</w:t>
      </w:r>
      <w:bookmarkEnd w:id="6"/>
    </w:p>
    <w:p w:rsidR="00B364D8" w:rsidRDefault="00407533" w:rsidP="008179B7">
      <w:r w:rsidRPr="00B364D8">
        <w:t xml:space="preserve">Reviewers are also asked to rate </w:t>
      </w:r>
      <w:r w:rsidR="00A81767">
        <w:t>2</w:t>
      </w:r>
      <w:r w:rsidRPr="00B364D8">
        <w:t xml:space="preserve"> Areas concerning child/youth and family progress to determine the extent to which improvements have been realized in relation to specific skill development, functioning, well-being, and quality of life. </w:t>
      </w:r>
      <w:r w:rsidR="004627DB" w:rsidRPr="004627DB">
        <w:rPr>
          <w:b/>
          <w:color w:val="5B9BD5" w:themeColor="accent1"/>
        </w:rPr>
        <w:t xml:space="preserve">Table </w:t>
      </w:r>
      <w:r w:rsidR="00C2310F">
        <w:rPr>
          <w:b/>
          <w:color w:val="5B9BD5" w:themeColor="accent1"/>
        </w:rPr>
        <w:t>8</w:t>
      </w:r>
      <w:r w:rsidR="00B364D8" w:rsidRPr="00B364D8">
        <w:t xml:space="preserve"> summarizes the 2 Areas that are scored within the Progress Domain, along with the </w:t>
      </w:r>
      <w:r w:rsidR="00B364D8">
        <w:t xml:space="preserve">accompanying reviewer </w:t>
      </w:r>
      <w:r w:rsidR="00B364D8" w:rsidRPr="00B364D8">
        <w:rPr>
          <w:rFonts w:eastAsia="Calibri" w:cs="Times New Roman"/>
        </w:rPr>
        <w:t xml:space="preserve">prompts or considerations </w:t>
      </w:r>
      <w:r w:rsidR="00B364D8">
        <w:rPr>
          <w:rFonts w:eastAsia="Calibri" w:cs="Times New Roman"/>
        </w:rPr>
        <w:t>for scoring contained in the MPR protocol</w:t>
      </w:r>
      <w:r w:rsidR="00B364D8" w:rsidRPr="00B364D8">
        <w:rPr>
          <w:rFonts w:eastAsia="Calibri" w:cs="Times New Roman"/>
        </w:rPr>
        <w:t>.</w:t>
      </w:r>
    </w:p>
    <w:p w:rsidR="001D176F" w:rsidRDefault="001D176F">
      <w:pPr>
        <w:rPr>
          <w:b/>
          <w:color w:val="5B9BD5" w:themeColor="accent1"/>
        </w:rPr>
      </w:pPr>
    </w:p>
    <w:p w:rsidR="00CF40FD" w:rsidRDefault="00CF40FD">
      <w:pPr>
        <w:rPr>
          <w:b/>
          <w:color w:val="5B9BD5" w:themeColor="accent1"/>
        </w:rPr>
      </w:pPr>
    </w:p>
    <w:p w:rsidR="00CF40FD" w:rsidRDefault="00CF40FD">
      <w:pPr>
        <w:rPr>
          <w:b/>
          <w:color w:val="5B9BD5" w:themeColor="accent1"/>
        </w:rPr>
      </w:pPr>
    </w:p>
    <w:p w:rsidR="00B364D8" w:rsidRDefault="00C2310F" w:rsidP="003805C0">
      <w:pPr>
        <w:spacing w:before="120"/>
        <w:jc w:val="center"/>
        <w:rPr>
          <w:b/>
          <w:color w:val="5B9BD5" w:themeColor="accent1"/>
        </w:rPr>
      </w:pPr>
      <w:r>
        <w:rPr>
          <w:b/>
          <w:color w:val="5B9BD5" w:themeColor="accent1"/>
        </w:rPr>
        <w:lastRenderedPageBreak/>
        <w:t>Table 8</w:t>
      </w:r>
      <w:r w:rsidR="00B364D8" w:rsidRPr="00AB7A08">
        <w:rPr>
          <w:b/>
          <w:color w:val="5B9BD5" w:themeColor="accent1"/>
        </w:rPr>
        <w:t>:</w:t>
      </w:r>
      <w:r w:rsidR="00B364D8">
        <w:rPr>
          <w:b/>
          <w:color w:val="5B9BD5" w:themeColor="accent1"/>
        </w:rPr>
        <w:t xml:space="preserve"> MPR Progress Domain/Areas &amp; Reviewer Scoring Prompts</w:t>
      </w:r>
    </w:p>
    <w:tbl>
      <w:tblPr>
        <w:tblStyle w:val="MediumShading1-Accent11"/>
        <w:tblW w:w="0" w:type="auto"/>
        <w:tblLook w:val="04A0" w:firstRow="1" w:lastRow="0" w:firstColumn="1" w:lastColumn="0" w:noHBand="0" w:noVBand="1"/>
      </w:tblPr>
      <w:tblGrid>
        <w:gridCol w:w="10780"/>
      </w:tblGrid>
      <w:tr w:rsidR="00B364D8" w:rsidRPr="00380F3A" w:rsidTr="00B36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B364D8" w:rsidRPr="00380F3A" w:rsidRDefault="00B364D8" w:rsidP="00B364D8">
            <w:pPr>
              <w:jc w:val="center"/>
              <w:rPr>
                <w:rFonts w:asciiTheme="minorHAnsi" w:hAnsiTheme="minorHAnsi"/>
              </w:rPr>
            </w:pPr>
            <w:r>
              <w:rPr>
                <w:rFonts w:asciiTheme="minorHAnsi" w:hAnsiTheme="minorHAnsi"/>
              </w:rPr>
              <w:t>Progress Do</w:t>
            </w:r>
            <w:r w:rsidRPr="00380F3A">
              <w:rPr>
                <w:rFonts w:asciiTheme="minorHAnsi" w:hAnsiTheme="minorHAnsi"/>
              </w:rPr>
              <w:t>main</w:t>
            </w:r>
          </w:p>
        </w:tc>
      </w:tr>
      <w:tr w:rsidR="00B364D8" w:rsidRPr="00C1074E" w:rsidTr="00B36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B364D8" w:rsidRPr="00C1074E" w:rsidRDefault="00B364D8" w:rsidP="00B364D8">
            <w:pPr>
              <w:jc w:val="center"/>
              <w:rPr>
                <w:rFonts w:asciiTheme="minorHAnsi" w:hAnsiTheme="minorHAnsi"/>
                <w:b w:val="0"/>
                <w:color w:val="5B9BD5" w:themeColor="accent1"/>
              </w:rPr>
            </w:pPr>
            <w:r w:rsidRPr="00C1074E">
              <w:rPr>
                <w:rFonts w:asciiTheme="minorHAnsi" w:hAnsiTheme="minorHAnsi"/>
                <w:sz w:val="20"/>
                <w:szCs w:val="20"/>
              </w:rPr>
              <w:t xml:space="preserve">Domain </w:t>
            </w:r>
            <w:r>
              <w:rPr>
                <w:rFonts w:asciiTheme="minorHAnsi" w:hAnsiTheme="minorHAnsi"/>
                <w:sz w:val="20"/>
                <w:szCs w:val="20"/>
              </w:rPr>
              <w:t>4</w:t>
            </w:r>
            <w:r w:rsidRPr="00C1074E">
              <w:rPr>
                <w:rFonts w:asciiTheme="minorHAnsi" w:hAnsiTheme="minorHAnsi"/>
                <w:sz w:val="20"/>
                <w:szCs w:val="20"/>
              </w:rPr>
              <w:t>:</w:t>
            </w:r>
            <w:r>
              <w:rPr>
                <w:rFonts w:asciiTheme="minorHAnsi" w:hAnsiTheme="minorHAnsi"/>
                <w:sz w:val="20"/>
                <w:szCs w:val="20"/>
              </w:rPr>
              <w:t xml:space="preserve"> Youth/Family Progress</w:t>
            </w:r>
          </w:p>
        </w:tc>
      </w:tr>
      <w:tr w:rsidR="00B364D8" w:rsidRPr="00B929EA" w:rsidTr="00B364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B929EA" w:rsidRPr="00B929EA" w:rsidRDefault="00B929EA" w:rsidP="00B929EA">
            <w:pPr>
              <w:rPr>
                <w:rFonts w:asciiTheme="minorHAnsi" w:hAnsiTheme="minorHAnsi"/>
                <w:i/>
                <w:color w:val="538135" w:themeColor="accent6" w:themeShade="BF"/>
                <w:sz w:val="20"/>
                <w:szCs w:val="20"/>
              </w:rPr>
            </w:pPr>
            <w:r w:rsidRPr="00B929EA">
              <w:rPr>
                <w:rFonts w:asciiTheme="minorHAnsi" w:hAnsiTheme="minorHAnsi"/>
                <w:color w:val="538135" w:themeColor="accent6" w:themeShade="BF"/>
                <w:sz w:val="20"/>
                <w:szCs w:val="20"/>
                <w:u w:val="single"/>
              </w:rPr>
              <w:t>Area 13: Youth Progress</w:t>
            </w:r>
          </w:p>
          <w:p w:rsidR="00B929EA"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Since the youth’s enrollment in the service being reviewed, he/she has developed improved coping or self-management skills.</w:t>
            </w:r>
          </w:p>
          <w:p w:rsidR="00B929EA"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Since the youth’s enrollment in the service being reviewed, he/she has made progress in their social and/or emotional functioning at school.</w:t>
            </w:r>
          </w:p>
          <w:p w:rsidR="00B929EA"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 xml:space="preserve">Since the youth’s enrollment in the service being reviewed, he/she has made progress in their social and/or emotional functioning in the community. </w:t>
            </w:r>
          </w:p>
          <w:p w:rsidR="00B929EA"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 xml:space="preserve">Since the youth’s enrollment in the service being reviewed, he/she has made progress in their social and/or emotional functioning at home. </w:t>
            </w:r>
          </w:p>
          <w:p w:rsidR="00B929EA"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Since the youth’s enrollment in the service being reviewed, there has been improvement in the youth’s overall well-being and quality of life.</w:t>
            </w:r>
          </w:p>
          <w:p w:rsidR="00B929EA" w:rsidRPr="00B929EA" w:rsidRDefault="00B929EA" w:rsidP="00B929EA">
            <w:pPr>
              <w:rPr>
                <w:rFonts w:asciiTheme="minorHAnsi" w:hAnsiTheme="minorHAnsi"/>
                <w:i/>
                <w:color w:val="538135" w:themeColor="accent6" w:themeShade="BF"/>
                <w:sz w:val="20"/>
                <w:szCs w:val="20"/>
                <w:u w:val="single"/>
              </w:rPr>
            </w:pPr>
            <w:r w:rsidRPr="00B929EA">
              <w:rPr>
                <w:rFonts w:asciiTheme="minorHAnsi" w:hAnsiTheme="minorHAnsi"/>
                <w:color w:val="538135" w:themeColor="accent6" w:themeShade="BF"/>
                <w:sz w:val="20"/>
                <w:szCs w:val="20"/>
                <w:u w:val="single"/>
              </w:rPr>
              <w:t>Area 14: Family Progress</w:t>
            </w:r>
          </w:p>
          <w:p w:rsidR="00B929EA"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Since the family’s enrollment in the service being reviewed, the parent/caregiver has made progress in their ability to cope with/manage their youth’s behavior.</w:t>
            </w:r>
          </w:p>
          <w:p w:rsidR="00B364D8" w:rsidRPr="00B929EA" w:rsidRDefault="00B929EA" w:rsidP="00B929EA">
            <w:pPr>
              <w:numPr>
                <w:ilvl w:val="0"/>
                <w:numId w:val="6"/>
              </w:numPr>
              <w:ind w:left="360"/>
              <w:rPr>
                <w:rFonts w:asciiTheme="minorHAnsi" w:hAnsiTheme="minorHAnsi"/>
                <w:b w:val="0"/>
                <w:sz w:val="20"/>
                <w:szCs w:val="20"/>
              </w:rPr>
            </w:pPr>
            <w:r w:rsidRPr="00B929EA">
              <w:rPr>
                <w:rFonts w:asciiTheme="minorHAnsi" w:hAnsiTheme="minorHAnsi"/>
                <w:b w:val="0"/>
                <w:sz w:val="20"/>
                <w:szCs w:val="20"/>
              </w:rPr>
              <w:t>Since the family’s enrollment in the service being reviewed, there has been improvement in the family’s overall well-being and quality of life.</w:t>
            </w:r>
          </w:p>
        </w:tc>
      </w:tr>
    </w:tbl>
    <w:p w:rsidR="008832A1" w:rsidRPr="007F3A22" w:rsidRDefault="00B364D8" w:rsidP="005432D4">
      <w:pPr>
        <w:pStyle w:val="Heading3"/>
        <w:rPr>
          <w:rFonts w:asciiTheme="minorHAnsi" w:hAnsiTheme="minorHAnsi"/>
        </w:rPr>
      </w:pPr>
      <w:bookmarkStart w:id="7" w:name="_Toc467143004"/>
      <w:r w:rsidRPr="007F3A22">
        <w:rPr>
          <w:rFonts w:asciiTheme="minorHAnsi" w:hAnsiTheme="minorHAnsi"/>
        </w:rPr>
        <w:t>Pr</w:t>
      </w:r>
      <w:r w:rsidR="00B929EA" w:rsidRPr="007F3A22">
        <w:rPr>
          <w:rFonts w:asciiTheme="minorHAnsi" w:hAnsiTheme="minorHAnsi"/>
        </w:rPr>
        <w:t>ogress</w:t>
      </w:r>
      <w:r w:rsidRPr="007F3A22">
        <w:rPr>
          <w:rFonts w:asciiTheme="minorHAnsi" w:hAnsiTheme="minorHAnsi"/>
        </w:rPr>
        <w:t xml:space="preserve"> </w:t>
      </w:r>
      <w:r w:rsidR="009E5531" w:rsidRPr="007F3A22">
        <w:rPr>
          <w:rFonts w:asciiTheme="minorHAnsi" w:hAnsiTheme="minorHAnsi"/>
        </w:rPr>
        <w:t xml:space="preserve">Indicator </w:t>
      </w:r>
      <w:r w:rsidR="008832A1" w:rsidRPr="007F3A22">
        <w:rPr>
          <w:rFonts w:asciiTheme="minorHAnsi" w:hAnsiTheme="minorHAnsi"/>
        </w:rPr>
        <w:t>Rating Scale</w:t>
      </w:r>
      <w:bookmarkEnd w:id="7"/>
    </w:p>
    <w:p w:rsidR="00F817D3" w:rsidRPr="00502EA9" w:rsidRDefault="00B929EA" w:rsidP="00502EA9">
      <w:pPr>
        <w:rPr>
          <w:b/>
          <w:color w:val="5B9BD5" w:themeColor="accent1"/>
          <w:highlight w:val="yellow"/>
        </w:rPr>
      </w:pPr>
      <w:r>
        <w:t xml:space="preserve">Scoring of the </w:t>
      </w:r>
      <w:r w:rsidR="00054062">
        <w:t>2 MPR pr</w:t>
      </w:r>
      <w:r>
        <w:t>ogress</w:t>
      </w:r>
      <w:r w:rsidR="00054062">
        <w:t xml:space="preserve"> Areas (Domain</w:t>
      </w:r>
      <w:r>
        <w:t xml:space="preserve"> 4</w:t>
      </w:r>
      <w:r w:rsidR="00054062">
        <w:t>) is done using a 5-point rating scale tied to pr</w:t>
      </w:r>
      <w:r>
        <w:t>ogress</w:t>
      </w:r>
      <w:r w:rsidR="00054062">
        <w:t xml:space="preserve"> indicators as shown in </w:t>
      </w:r>
      <w:r w:rsidR="004627DB" w:rsidRPr="004627DB">
        <w:rPr>
          <w:b/>
          <w:color w:val="5B9BD5" w:themeColor="accent1"/>
        </w:rPr>
        <w:t xml:space="preserve">Table </w:t>
      </w:r>
      <w:r w:rsidR="00C2310F">
        <w:rPr>
          <w:b/>
          <w:color w:val="5B9BD5" w:themeColor="accent1"/>
        </w:rPr>
        <w:t>9</w:t>
      </w:r>
      <w:r w:rsidR="00054062" w:rsidRPr="004627DB">
        <w:t>.</w:t>
      </w:r>
    </w:p>
    <w:p w:rsidR="00F817D3" w:rsidRDefault="004627DB" w:rsidP="003805C0">
      <w:pPr>
        <w:spacing w:before="120"/>
        <w:jc w:val="center"/>
        <w:rPr>
          <w:rFonts w:ascii="Calibri" w:eastAsia="Calibri" w:hAnsi="Calibri" w:cs="Times New Roman"/>
        </w:rPr>
      </w:pPr>
      <w:r w:rsidRPr="004627DB">
        <w:rPr>
          <w:b/>
          <w:color w:val="5B9BD5" w:themeColor="accent1"/>
        </w:rPr>
        <w:t xml:space="preserve">Table </w:t>
      </w:r>
      <w:r w:rsidR="00C2310F">
        <w:rPr>
          <w:b/>
          <w:color w:val="5B9BD5" w:themeColor="accent1"/>
        </w:rPr>
        <w:t>9</w:t>
      </w:r>
      <w:r w:rsidR="00F817D3" w:rsidRPr="00AB7A08">
        <w:rPr>
          <w:b/>
          <w:color w:val="5B9BD5" w:themeColor="accent1"/>
        </w:rPr>
        <w:t>:</w:t>
      </w:r>
      <w:r w:rsidR="00F817D3">
        <w:rPr>
          <w:b/>
          <w:color w:val="5B9BD5" w:themeColor="accent1"/>
        </w:rPr>
        <w:t xml:space="preserve"> MPR Pr</w:t>
      </w:r>
      <w:r w:rsidR="00B929EA">
        <w:rPr>
          <w:b/>
          <w:color w:val="5B9BD5" w:themeColor="accent1"/>
        </w:rPr>
        <w:t>ogress</w:t>
      </w:r>
      <w:r w:rsidR="00F817D3">
        <w:rPr>
          <w:b/>
          <w:color w:val="5B9BD5" w:themeColor="accent1"/>
        </w:rPr>
        <w:t xml:space="preserve"> </w:t>
      </w:r>
      <w:r w:rsidR="00F43E15">
        <w:rPr>
          <w:b/>
          <w:color w:val="5B9BD5" w:themeColor="accent1"/>
        </w:rPr>
        <w:t>Rating Scale &amp; Indicators (Domain</w:t>
      </w:r>
      <w:r w:rsidR="00B929EA">
        <w:rPr>
          <w:b/>
          <w:color w:val="5B9BD5" w:themeColor="accent1"/>
        </w:rPr>
        <w:t xml:space="preserve"> 4</w:t>
      </w:r>
      <w:r w:rsidR="00F43E15">
        <w:rPr>
          <w:b/>
          <w:color w:val="5B9BD5" w:themeColor="accent1"/>
        </w:rPr>
        <w:t>)</w:t>
      </w:r>
    </w:p>
    <w:tbl>
      <w:tblPr>
        <w:tblStyle w:val="MediumShading1-Accent11"/>
        <w:tblW w:w="0" w:type="auto"/>
        <w:jc w:val="center"/>
        <w:tblBorders>
          <w:insideH w:val="single" w:sz="6" w:space="0" w:color="84B3DF" w:themeColor="accent1" w:themeTint="BF"/>
          <w:insideV w:val="single" w:sz="6" w:space="0" w:color="84B3DF" w:themeColor="accent1" w:themeTint="BF"/>
        </w:tblBorders>
        <w:tblLook w:val="04A0" w:firstRow="1" w:lastRow="0" w:firstColumn="1" w:lastColumn="0" w:noHBand="0" w:noVBand="1"/>
      </w:tblPr>
      <w:tblGrid>
        <w:gridCol w:w="2250"/>
        <w:gridCol w:w="1748"/>
        <w:gridCol w:w="1350"/>
        <w:gridCol w:w="1440"/>
        <w:gridCol w:w="1595"/>
      </w:tblGrid>
      <w:tr w:rsidR="00F817D3" w:rsidRPr="00F817D3" w:rsidTr="00B929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right w:val="none" w:sz="0" w:space="0" w:color="auto"/>
            </w:tcBorders>
          </w:tcPr>
          <w:p w:rsidR="00B929EA" w:rsidRDefault="00B929EA" w:rsidP="00B929EA">
            <w:pPr>
              <w:jc w:val="center"/>
              <w:rPr>
                <w:rFonts w:asciiTheme="minorHAnsi" w:hAnsiTheme="minorHAnsi"/>
              </w:rPr>
            </w:pPr>
            <w:r>
              <w:rPr>
                <w:rFonts w:asciiTheme="minorHAnsi" w:hAnsiTheme="minorHAnsi"/>
              </w:rPr>
              <w:t xml:space="preserve">Worsening or </w:t>
            </w:r>
          </w:p>
          <w:p w:rsidR="00F817D3" w:rsidRPr="00F817D3" w:rsidRDefault="00B929EA" w:rsidP="00B929EA">
            <w:pPr>
              <w:jc w:val="center"/>
              <w:rPr>
                <w:rFonts w:asciiTheme="minorHAnsi" w:hAnsiTheme="minorHAnsi"/>
              </w:rPr>
            </w:pPr>
            <w:r>
              <w:rPr>
                <w:rFonts w:asciiTheme="minorHAnsi" w:hAnsiTheme="minorHAnsi"/>
              </w:rPr>
              <w:t>Declining Condition</w:t>
            </w:r>
          </w:p>
        </w:tc>
        <w:tc>
          <w:tcPr>
            <w:tcW w:w="1748" w:type="dxa"/>
            <w:tcBorders>
              <w:top w:val="none" w:sz="0" w:space="0" w:color="auto"/>
              <w:left w:val="none" w:sz="0" w:space="0" w:color="auto"/>
              <w:bottom w:val="none" w:sz="0" w:space="0" w:color="auto"/>
              <w:right w:val="none" w:sz="0" w:space="0" w:color="auto"/>
            </w:tcBorders>
          </w:tcPr>
          <w:p w:rsidR="00B929EA" w:rsidRDefault="00B929EA" w:rsidP="00B929EA">
            <w:pPr>
              <w:ind w:right="-15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Little to </w:t>
            </w:r>
          </w:p>
          <w:p w:rsidR="00F817D3" w:rsidRPr="00F817D3" w:rsidRDefault="00B929EA" w:rsidP="00B929EA">
            <w:pPr>
              <w:ind w:right="-15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No Progress</w:t>
            </w:r>
          </w:p>
        </w:tc>
        <w:tc>
          <w:tcPr>
            <w:tcW w:w="1350" w:type="dxa"/>
            <w:tcBorders>
              <w:top w:val="none" w:sz="0" w:space="0" w:color="auto"/>
              <w:left w:val="none" w:sz="0" w:space="0" w:color="auto"/>
              <w:bottom w:val="none" w:sz="0" w:space="0" w:color="auto"/>
              <w:right w:val="none" w:sz="0" w:space="0" w:color="auto"/>
            </w:tcBorders>
          </w:tcPr>
          <w:p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17D3">
              <w:rPr>
                <w:rFonts w:asciiTheme="minorHAnsi" w:hAnsiTheme="minorHAnsi"/>
              </w:rPr>
              <w:t>Fair Pr</w:t>
            </w:r>
            <w:r w:rsidR="00B929EA">
              <w:rPr>
                <w:rFonts w:asciiTheme="minorHAnsi" w:hAnsiTheme="minorHAnsi"/>
              </w:rPr>
              <w:t>ogress</w:t>
            </w:r>
          </w:p>
        </w:tc>
        <w:tc>
          <w:tcPr>
            <w:tcW w:w="1440" w:type="dxa"/>
            <w:tcBorders>
              <w:top w:val="none" w:sz="0" w:space="0" w:color="auto"/>
              <w:left w:val="none" w:sz="0" w:space="0" w:color="auto"/>
              <w:bottom w:val="none" w:sz="0" w:space="0" w:color="auto"/>
              <w:right w:val="none" w:sz="0" w:space="0" w:color="auto"/>
            </w:tcBorders>
          </w:tcPr>
          <w:p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17D3">
              <w:rPr>
                <w:rFonts w:asciiTheme="minorHAnsi" w:hAnsiTheme="minorHAnsi"/>
              </w:rPr>
              <w:t>Good Pr</w:t>
            </w:r>
            <w:r w:rsidR="00B929EA">
              <w:rPr>
                <w:rFonts w:asciiTheme="minorHAnsi" w:hAnsiTheme="minorHAnsi"/>
              </w:rPr>
              <w:t>ogress</w:t>
            </w:r>
          </w:p>
        </w:tc>
        <w:tc>
          <w:tcPr>
            <w:tcW w:w="1595" w:type="dxa"/>
            <w:tcBorders>
              <w:top w:val="none" w:sz="0" w:space="0" w:color="auto"/>
              <w:left w:val="none" w:sz="0" w:space="0" w:color="auto"/>
              <w:bottom w:val="none" w:sz="0" w:space="0" w:color="auto"/>
              <w:right w:val="none" w:sz="0" w:space="0" w:color="auto"/>
            </w:tcBorders>
          </w:tcPr>
          <w:p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817D3">
              <w:rPr>
                <w:rFonts w:asciiTheme="minorHAnsi" w:hAnsiTheme="minorHAnsi"/>
              </w:rPr>
              <w:t>Ex</w:t>
            </w:r>
            <w:r w:rsidR="00B929EA">
              <w:rPr>
                <w:rFonts w:asciiTheme="minorHAnsi" w:hAnsiTheme="minorHAnsi"/>
              </w:rPr>
              <w:t>ceptional Progress</w:t>
            </w:r>
          </w:p>
        </w:tc>
      </w:tr>
      <w:tr w:rsidR="00F817D3" w:rsidRPr="00F817D3" w:rsidTr="00B929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none" w:sz="0" w:space="0" w:color="auto"/>
            </w:tcBorders>
          </w:tcPr>
          <w:p w:rsidR="00F817D3" w:rsidRPr="00F817D3" w:rsidRDefault="00F817D3" w:rsidP="007B2463">
            <w:pPr>
              <w:jc w:val="center"/>
              <w:rPr>
                <w:rFonts w:asciiTheme="minorHAnsi" w:hAnsiTheme="minorHAnsi"/>
              </w:rPr>
            </w:pPr>
            <w:r w:rsidRPr="00F817D3">
              <w:rPr>
                <w:rFonts w:asciiTheme="minorHAnsi" w:hAnsiTheme="minorHAnsi"/>
              </w:rPr>
              <w:t>1</w:t>
            </w:r>
          </w:p>
        </w:tc>
        <w:tc>
          <w:tcPr>
            <w:tcW w:w="1748" w:type="dxa"/>
            <w:tcBorders>
              <w:left w:val="none" w:sz="0" w:space="0" w:color="auto"/>
              <w:right w:val="none" w:sz="0" w:space="0" w:color="auto"/>
            </w:tcBorders>
          </w:tcPr>
          <w:p w:rsidR="00F817D3" w:rsidRPr="00F817D3" w:rsidRDefault="00F817D3" w:rsidP="007B24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2</w:t>
            </w:r>
          </w:p>
        </w:tc>
        <w:tc>
          <w:tcPr>
            <w:tcW w:w="1350" w:type="dxa"/>
            <w:tcBorders>
              <w:left w:val="none" w:sz="0" w:space="0" w:color="auto"/>
              <w:right w:val="none" w:sz="0" w:space="0" w:color="auto"/>
            </w:tcBorders>
          </w:tcPr>
          <w:p w:rsidR="00F817D3" w:rsidRPr="00F817D3" w:rsidRDefault="00F817D3" w:rsidP="007B24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3</w:t>
            </w:r>
          </w:p>
        </w:tc>
        <w:tc>
          <w:tcPr>
            <w:tcW w:w="1440" w:type="dxa"/>
            <w:tcBorders>
              <w:left w:val="none" w:sz="0" w:space="0" w:color="auto"/>
              <w:right w:val="none" w:sz="0" w:space="0" w:color="auto"/>
            </w:tcBorders>
          </w:tcPr>
          <w:p w:rsidR="00F817D3" w:rsidRPr="00F817D3" w:rsidRDefault="00F817D3" w:rsidP="007B24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4</w:t>
            </w:r>
          </w:p>
        </w:tc>
        <w:tc>
          <w:tcPr>
            <w:tcW w:w="1595" w:type="dxa"/>
            <w:tcBorders>
              <w:left w:val="none" w:sz="0" w:space="0" w:color="auto"/>
            </w:tcBorders>
          </w:tcPr>
          <w:p w:rsidR="00F817D3" w:rsidRPr="00F817D3" w:rsidRDefault="00F817D3" w:rsidP="007B24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F817D3">
              <w:rPr>
                <w:rFonts w:asciiTheme="minorHAnsi" w:hAnsiTheme="minorHAnsi"/>
                <w:b/>
              </w:rPr>
              <w:t>5</w:t>
            </w:r>
          </w:p>
        </w:tc>
      </w:tr>
    </w:tbl>
    <w:p w:rsidR="005977BC" w:rsidRPr="007F3A22" w:rsidRDefault="003805C0" w:rsidP="008179B7">
      <w:pPr>
        <w:pStyle w:val="Heading3"/>
        <w:rPr>
          <w:rFonts w:asciiTheme="minorHAnsi" w:hAnsiTheme="minorHAnsi"/>
        </w:rPr>
      </w:pPr>
      <w:bookmarkStart w:id="8" w:name="_Toc467143005"/>
      <w:r w:rsidRPr="007F3A22">
        <w:rPr>
          <w:rFonts w:asciiTheme="minorHAnsi" w:hAnsiTheme="minorHAnsi"/>
        </w:rPr>
        <w:t>R</w:t>
      </w:r>
      <w:r w:rsidR="005B27FE" w:rsidRPr="007F3A22">
        <w:rPr>
          <w:rFonts w:asciiTheme="minorHAnsi" w:hAnsiTheme="minorHAnsi"/>
        </w:rPr>
        <w:t>eviewer Summative Responses</w:t>
      </w:r>
      <w:bookmarkEnd w:id="8"/>
    </w:p>
    <w:p w:rsidR="003805C0" w:rsidRDefault="00666B15" w:rsidP="008179B7">
      <w:pPr>
        <w:rPr>
          <w:b/>
          <w:color w:val="5B9BD5" w:themeColor="accent1"/>
          <w:highlight w:val="yellow"/>
        </w:rPr>
      </w:pPr>
      <w:r>
        <w:t>MPR reviewers also provide q</w:t>
      </w:r>
      <w:r w:rsidR="0021405C">
        <w:t>ualitative information</w:t>
      </w:r>
      <w:r>
        <w:t xml:space="preserve"> for each youth/family reviewed t</w:t>
      </w:r>
      <w:r w:rsidR="009E537C">
        <w:t>o</w:t>
      </w:r>
      <w:r>
        <w:t xml:space="preserve"> support the numerical scores assigned by the reviewer. This information also forms the basis of reviewer case presentations given during the debriefings (see </w:t>
      </w:r>
      <w:r w:rsidR="003805C0">
        <w:t>M</w:t>
      </w:r>
      <w:r>
        <w:t>ethodology section</w:t>
      </w:r>
      <w:r w:rsidR="00CE2AE7">
        <w:t xml:space="preserve"> of this report for more detail</w:t>
      </w:r>
      <w:r>
        <w:t>)</w:t>
      </w:r>
      <w:r w:rsidR="00F72210">
        <w:t xml:space="preserve">. </w:t>
      </w:r>
      <w:r w:rsidR="003805C0">
        <w:t xml:space="preserve"> </w:t>
      </w:r>
      <w:r w:rsidR="00195EFC">
        <w:t xml:space="preserve">As shown in </w:t>
      </w:r>
      <w:r w:rsidR="00195EFC" w:rsidRPr="004627DB">
        <w:rPr>
          <w:b/>
          <w:color w:val="5B9BD5" w:themeColor="accent1"/>
        </w:rPr>
        <w:t>Table</w:t>
      </w:r>
      <w:r w:rsidR="004627DB" w:rsidRPr="004627DB">
        <w:rPr>
          <w:b/>
          <w:color w:val="5B9BD5" w:themeColor="accent1"/>
        </w:rPr>
        <w:t xml:space="preserve"> </w:t>
      </w:r>
      <w:r w:rsidR="00C2310F">
        <w:rPr>
          <w:b/>
          <w:color w:val="5B9BD5" w:themeColor="accent1"/>
        </w:rPr>
        <w:t>10</w:t>
      </w:r>
      <w:r w:rsidR="00195EFC">
        <w:t>, s</w:t>
      </w:r>
      <w:r w:rsidR="003805C0">
        <w:t xml:space="preserve">ome categories require </w:t>
      </w:r>
      <w:r w:rsidR="00195EFC">
        <w:t xml:space="preserve">that </w:t>
      </w:r>
      <w:r w:rsidR="003805C0">
        <w:t>reviewers summarize information obtained through record review</w:t>
      </w:r>
      <w:r w:rsidR="007F3A22">
        <w:t xml:space="preserve">s and key informant interviews, </w:t>
      </w:r>
      <w:r w:rsidR="00195EFC">
        <w:t xml:space="preserve">and </w:t>
      </w:r>
      <w:r w:rsidR="003805C0">
        <w:t>others</w:t>
      </w:r>
      <w:r w:rsidR="00195EFC">
        <w:t xml:space="preserve"> </w:t>
      </w:r>
      <w:r w:rsidR="00F72210">
        <w:t>illustrat</w:t>
      </w:r>
      <w:r w:rsidR="003805C0">
        <w:t>e examples or quotes obtained during interviews</w:t>
      </w:r>
      <w:r w:rsidR="00195EFC">
        <w:t xml:space="preserve"> and/or reviewer</w:t>
      </w:r>
      <w:r w:rsidR="003805C0">
        <w:t xml:space="preserve"> judgment</w:t>
      </w:r>
      <w:r w:rsidR="00195EFC">
        <w:t>.</w:t>
      </w:r>
    </w:p>
    <w:p w:rsidR="001D176F" w:rsidRDefault="001D176F">
      <w:pPr>
        <w:rPr>
          <w:b/>
          <w:color w:val="5B9BD5" w:themeColor="accent1"/>
        </w:rPr>
      </w:pPr>
    </w:p>
    <w:p w:rsidR="003805C0" w:rsidRDefault="004627DB" w:rsidP="00CF40FD">
      <w:pPr>
        <w:jc w:val="center"/>
        <w:rPr>
          <w:b/>
          <w:color w:val="5B9BD5" w:themeColor="accent1"/>
        </w:rPr>
      </w:pPr>
      <w:r w:rsidRPr="004627DB">
        <w:rPr>
          <w:b/>
          <w:color w:val="5B9BD5" w:themeColor="accent1"/>
        </w:rPr>
        <w:t xml:space="preserve">Table </w:t>
      </w:r>
      <w:r w:rsidR="00C2310F">
        <w:rPr>
          <w:b/>
          <w:color w:val="5B9BD5" w:themeColor="accent1"/>
        </w:rPr>
        <w:t>10</w:t>
      </w:r>
      <w:r w:rsidR="003805C0" w:rsidRPr="00AB7A08">
        <w:rPr>
          <w:b/>
          <w:color w:val="5B9BD5" w:themeColor="accent1"/>
        </w:rPr>
        <w:t>:</w:t>
      </w:r>
      <w:r w:rsidR="003805C0">
        <w:rPr>
          <w:b/>
          <w:color w:val="5B9BD5" w:themeColor="accent1"/>
        </w:rPr>
        <w:t xml:space="preserve"> MPR Reviewer Summative Response Guidelines</w:t>
      </w:r>
    </w:p>
    <w:tbl>
      <w:tblPr>
        <w:tblStyle w:val="MediumShading2-Accent11"/>
        <w:tblW w:w="10182"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1202"/>
        <w:gridCol w:w="2539"/>
        <w:gridCol w:w="6441"/>
      </w:tblGrid>
      <w:tr w:rsidR="003805C0" w:rsidRPr="00AD10A9" w:rsidTr="006B1338">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100" w:firstRow="0" w:lastRow="0" w:firstColumn="1" w:lastColumn="0" w:oddVBand="0" w:evenVBand="0" w:oddHBand="0" w:evenHBand="0" w:firstRowFirstColumn="1" w:firstRowLastColumn="0" w:lastRowFirstColumn="0" w:lastRowLastColumn="0"/>
            <w:tcW w:w="10182" w:type="dxa"/>
            <w:gridSpan w:val="3"/>
            <w:tcBorders>
              <w:top w:val="none" w:sz="0" w:space="0" w:color="auto"/>
              <w:left w:val="none" w:sz="0" w:space="0" w:color="auto"/>
              <w:bottom w:val="none" w:sz="0" w:space="0" w:color="auto"/>
              <w:right w:val="none" w:sz="0" w:space="0" w:color="auto"/>
            </w:tcBorders>
            <w:noWrap/>
            <w:hideMark/>
          </w:tcPr>
          <w:p w:rsidR="003805C0" w:rsidRPr="00AD10A9" w:rsidRDefault="003805C0" w:rsidP="003805C0">
            <w:pPr>
              <w:jc w:val="center"/>
              <w:rPr>
                <w:rFonts w:ascii="Calibri" w:eastAsia="Times New Roman" w:hAnsi="Calibri" w:cs="Times New Roman"/>
                <w:sz w:val="20"/>
                <w:szCs w:val="20"/>
              </w:rPr>
            </w:pPr>
            <w:r w:rsidRPr="00AD10A9">
              <w:rPr>
                <w:rFonts w:ascii="Calibri" w:eastAsia="Times New Roman" w:hAnsi="Calibri" w:cs="Times New Roman"/>
                <w:sz w:val="20"/>
                <w:szCs w:val="20"/>
              </w:rPr>
              <w:t xml:space="preserve">Summative Response </w:t>
            </w:r>
            <w:r>
              <w:rPr>
                <w:rFonts w:ascii="Calibri" w:eastAsia="Times New Roman" w:hAnsi="Calibri" w:cs="Times New Roman"/>
                <w:sz w:val="20"/>
                <w:szCs w:val="20"/>
              </w:rPr>
              <w:t>Categories</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202" w:type="dxa"/>
            <w:vMerge w:val="restart"/>
            <w:tcBorders>
              <w:left w:val="none" w:sz="0" w:space="0" w:color="auto"/>
              <w:bottom w:val="none" w:sz="0" w:space="0" w:color="auto"/>
              <w:right w:val="none" w:sz="0" w:space="0" w:color="auto"/>
            </w:tcBorders>
            <w:noWrap/>
            <w:hideMark/>
          </w:tcPr>
          <w:p w:rsidR="003805C0" w:rsidRPr="00AD10A9" w:rsidRDefault="003805C0" w:rsidP="00F97BA0">
            <w:pPr>
              <w:rPr>
                <w:rFonts w:ascii="Calibri" w:eastAsia="Times New Roman" w:hAnsi="Calibri" w:cs="Times New Roman"/>
                <w:sz w:val="20"/>
                <w:szCs w:val="20"/>
              </w:rPr>
            </w:pPr>
            <w:r w:rsidRPr="00AD10A9">
              <w:rPr>
                <w:rFonts w:ascii="Calibri" w:eastAsia="Times New Roman" w:hAnsi="Calibri" w:cs="Times New Roman"/>
                <w:sz w:val="20"/>
                <w:szCs w:val="20"/>
              </w:rPr>
              <w:t>Background</w:t>
            </w:r>
          </w:p>
        </w:tc>
        <w:tc>
          <w:tcPr>
            <w:tcW w:w="2539"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Identifying Information</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Age, sex, living place and arrangement, primary language, and any other key characteristics of child and family</w:t>
            </w:r>
          </w:p>
        </w:tc>
      </w:tr>
      <w:tr w:rsidR="003805C0" w:rsidRPr="00AD10A9" w:rsidTr="00390EA8">
        <w:trPr>
          <w:trHeight w:val="288"/>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p>
        </w:tc>
        <w:tc>
          <w:tcPr>
            <w:tcW w:w="2539"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Reason for referral</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Briefly, why the family was referred for IHT services, when and by whom</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p>
        </w:tc>
        <w:tc>
          <w:tcPr>
            <w:tcW w:w="2539"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Services provided</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Length of IHT service to date, co-occurrence of any other MassHealth services or clinically relevant services, including educational services and state agency involvement, and any notable issues in terms of change of staff, interruption due to MassHealth eligibility issues, etc.</w:t>
            </w:r>
          </w:p>
        </w:tc>
      </w:tr>
      <w:tr w:rsidR="003805C0" w:rsidRPr="00AD10A9" w:rsidTr="00390EA8">
        <w:trPr>
          <w:trHeight w:val="552"/>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p>
        </w:tc>
        <w:tc>
          <w:tcPr>
            <w:tcW w:w="2539"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Focus of the IHT intervention</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Primary goals, including priorities reflected in CANS ratings, and interventions, including IHT Hub’s use of other services to attain goals; note also if focus changed significantly during the IHT intervention</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1104"/>
          <w:jc w:val="center"/>
        </w:trPr>
        <w:tc>
          <w:tcPr>
            <w:cnfStyle w:val="001000000000" w:firstRow="0" w:lastRow="0" w:firstColumn="1" w:lastColumn="0" w:oddVBand="0" w:evenVBand="0" w:oddHBand="0" w:evenHBand="0" w:firstRowFirstColumn="0" w:firstRowLastColumn="0" w:lastRowFirstColumn="0" w:lastRowLastColumn="0"/>
            <w:tcW w:w="1202" w:type="dxa"/>
            <w:vMerge w:val="restart"/>
            <w:tcBorders>
              <w:left w:val="none" w:sz="0" w:space="0" w:color="auto"/>
              <w:bottom w:val="none" w:sz="0" w:space="0" w:color="auto"/>
              <w:right w:val="none" w:sz="0" w:space="0" w:color="auto"/>
            </w:tcBorders>
            <w:noWrap/>
            <w:hideMark/>
          </w:tcPr>
          <w:p w:rsidR="003805C0" w:rsidRPr="00AD10A9" w:rsidRDefault="003805C0" w:rsidP="00F97BA0">
            <w:pPr>
              <w:rPr>
                <w:rFonts w:ascii="Calibri" w:eastAsia="Times New Roman" w:hAnsi="Calibri" w:cs="Times New Roman"/>
                <w:sz w:val="20"/>
                <w:szCs w:val="20"/>
              </w:rPr>
            </w:pPr>
            <w:r w:rsidRPr="00AD10A9">
              <w:rPr>
                <w:rFonts w:ascii="Calibri" w:eastAsia="Times New Roman" w:hAnsi="Calibri" w:cs="Times New Roman"/>
                <w:sz w:val="20"/>
                <w:szCs w:val="20"/>
              </w:rPr>
              <w:t>Impact</w:t>
            </w:r>
          </w:p>
        </w:tc>
        <w:tc>
          <w:tcPr>
            <w:tcW w:w="2539" w:type="dxa"/>
            <w:hideMark/>
          </w:tcPr>
          <w:p w:rsidR="003805C0" w:rsidRPr="00AD10A9" w:rsidRDefault="003805C0" w:rsidP="000102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 xml:space="preserve">Nature and amount of progress as seen by </w:t>
            </w:r>
            <w:r w:rsidR="000102CC">
              <w:rPr>
                <w:rFonts w:ascii="Calibri" w:eastAsia="Times New Roman" w:hAnsi="Calibri" w:cs="Times New Roman"/>
                <w:color w:val="000000"/>
                <w:sz w:val="19"/>
                <w:szCs w:val="19"/>
              </w:rPr>
              <w:t>youth</w:t>
            </w:r>
            <w:r w:rsidRPr="00AD10A9">
              <w:rPr>
                <w:rFonts w:ascii="Calibri" w:eastAsia="Times New Roman" w:hAnsi="Calibri" w:cs="Times New Roman"/>
                <w:color w:val="000000"/>
                <w:sz w:val="19"/>
                <w:szCs w:val="19"/>
              </w:rPr>
              <w:t xml:space="preserve"> and </w:t>
            </w:r>
            <w:r w:rsidR="000102CC">
              <w:rPr>
                <w:rFonts w:ascii="Calibri" w:eastAsia="Times New Roman" w:hAnsi="Calibri" w:cs="Times New Roman"/>
                <w:color w:val="000000"/>
                <w:sz w:val="19"/>
                <w:szCs w:val="19"/>
              </w:rPr>
              <w:t>family</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 xml:space="preserve">Progress toward primary goals or other goals; lack of expected progress or setbacks. For example, specifics about behavior change in child or family; evidence of  changes in child symptoms, changes in child functioning, changes in family competence and empowerment; changes in quality of life noted by </w:t>
            </w:r>
            <w:r w:rsidRPr="00AD10A9">
              <w:rPr>
                <w:rFonts w:ascii="Calibri" w:eastAsia="Times New Roman" w:hAnsi="Calibri" w:cs="Times New Roman"/>
                <w:color w:val="000000"/>
                <w:sz w:val="19"/>
                <w:szCs w:val="19"/>
              </w:rPr>
              <w:lastRenderedPageBreak/>
              <w:t>family; do not focus only on net change but also on the course including setbacks and jumps forward.</w:t>
            </w:r>
          </w:p>
        </w:tc>
      </w:tr>
      <w:tr w:rsidR="003805C0" w:rsidRPr="00AD10A9" w:rsidTr="00390EA8">
        <w:trPr>
          <w:trHeight w:val="288"/>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p>
        </w:tc>
        <w:tc>
          <w:tcPr>
            <w:tcW w:w="2539"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Nature and amount of progress as seen by</w:t>
            </w:r>
            <w:r w:rsidR="000102CC">
              <w:rPr>
                <w:rFonts w:ascii="Calibri" w:eastAsia="Times New Roman" w:hAnsi="Calibri" w:cs="Times New Roman"/>
                <w:color w:val="000000"/>
                <w:sz w:val="19"/>
                <w:szCs w:val="19"/>
              </w:rPr>
              <w:t xml:space="preserve"> clinician</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See prior question. Additionally, were the changes reflected in the clinician’s CANS?</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p>
        </w:tc>
        <w:tc>
          <w:tcPr>
            <w:tcW w:w="2539" w:type="dxa"/>
            <w:hideMark/>
          </w:tcPr>
          <w:p w:rsidR="003805C0" w:rsidRPr="00AD10A9" w:rsidRDefault="000102CC"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Pr>
                <w:rFonts w:ascii="Calibri" w:eastAsia="Times New Roman" w:hAnsi="Calibri" w:cs="Times New Roman"/>
                <w:color w:val="000000"/>
                <w:sz w:val="19"/>
                <w:szCs w:val="19"/>
              </w:rPr>
              <w:t xml:space="preserve">Reviewer judgment </w:t>
            </w:r>
            <w:r w:rsidR="003805C0" w:rsidRPr="00AD10A9">
              <w:rPr>
                <w:rFonts w:ascii="Calibri" w:eastAsia="Times New Roman" w:hAnsi="Calibri" w:cs="Times New Roman"/>
                <w:color w:val="000000"/>
                <w:sz w:val="19"/>
                <w:szCs w:val="19"/>
              </w:rPr>
              <w:t>regarding nature and amount of progress</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See prior question; may differ from judgment of family and primary clinician, and may incorporate views of other participants</w:t>
            </w:r>
          </w:p>
        </w:tc>
      </w:tr>
      <w:tr w:rsidR="003805C0" w:rsidRPr="00AD10A9" w:rsidTr="00390EA8">
        <w:trPr>
          <w:trHeight w:val="828"/>
          <w:jc w:val="center"/>
        </w:trPr>
        <w:tc>
          <w:tcPr>
            <w:cnfStyle w:val="001000000000" w:firstRow="0" w:lastRow="0" w:firstColumn="1" w:lastColumn="0" w:oddVBand="0" w:evenVBand="0" w:oddHBand="0" w:evenHBand="0" w:firstRowFirstColumn="0" w:firstRowLastColumn="0" w:lastRowFirstColumn="0" w:lastRowLastColumn="0"/>
            <w:tcW w:w="1202" w:type="dxa"/>
            <w:vMerge w:val="restart"/>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r w:rsidRPr="00AD10A9">
              <w:rPr>
                <w:rFonts w:ascii="Calibri" w:eastAsia="Times New Roman" w:hAnsi="Calibri" w:cs="Times New Roman"/>
                <w:sz w:val="20"/>
                <w:szCs w:val="20"/>
              </w:rPr>
              <w:t>Quality- Family and Clinician Perceptions</w:t>
            </w:r>
          </w:p>
        </w:tc>
        <w:tc>
          <w:tcPr>
            <w:tcW w:w="2539"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Strengths about the IHT ser</w:t>
            </w:r>
            <w:r w:rsidR="006569DE">
              <w:rPr>
                <w:rFonts w:ascii="Calibri" w:eastAsia="Times New Roman" w:hAnsi="Calibri" w:cs="Times New Roman"/>
                <w:color w:val="000000"/>
                <w:sz w:val="19"/>
                <w:szCs w:val="19"/>
              </w:rPr>
              <w:t>vice that were observed by youth</w:t>
            </w:r>
            <w:r w:rsidRPr="00AD10A9">
              <w:rPr>
                <w:rFonts w:ascii="Calibri" w:eastAsia="Times New Roman" w:hAnsi="Calibri" w:cs="Times New Roman"/>
                <w:color w:val="000000"/>
                <w:sz w:val="19"/>
                <w:szCs w:val="19"/>
              </w:rPr>
              <w:t xml:space="preserve"> and/or </w:t>
            </w:r>
            <w:r w:rsidR="006569DE">
              <w:rPr>
                <w:rFonts w:ascii="Calibri" w:eastAsia="Times New Roman" w:hAnsi="Calibri" w:cs="Times New Roman"/>
                <w:color w:val="000000"/>
                <w:sz w:val="19"/>
                <w:szCs w:val="19"/>
              </w:rPr>
              <w:t>family</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This includes youth / family identification of service elements from any MPR practice domain that were notably helpful; this could include assessment, planning, development and use of a team, attention to transitions, and cultural competence, as well as direct treatment interventions by IHT staff</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1104"/>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color w:val="000000"/>
                <w:sz w:val="20"/>
                <w:szCs w:val="20"/>
              </w:rPr>
            </w:pPr>
          </w:p>
        </w:tc>
        <w:tc>
          <w:tcPr>
            <w:tcW w:w="2539" w:type="dxa"/>
            <w:hideMark/>
          </w:tcPr>
          <w:p w:rsidR="003805C0" w:rsidRPr="00AD10A9" w:rsidRDefault="003805C0" w:rsidP="006569D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 xml:space="preserve">Dissatisfaction reported by </w:t>
            </w:r>
            <w:r w:rsidR="006569DE">
              <w:rPr>
                <w:rFonts w:ascii="Calibri" w:eastAsia="Times New Roman" w:hAnsi="Calibri" w:cs="Times New Roman"/>
                <w:color w:val="000000"/>
                <w:sz w:val="19"/>
                <w:szCs w:val="19"/>
              </w:rPr>
              <w:t xml:space="preserve">youth </w:t>
            </w:r>
            <w:r w:rsidRPr="00AD10A9">
              <w:rPr>
                <w:rFonts w:ascii="Calibri" w:eastAsia="Times New Roman" w:hAnsi="Calibri" w:cs="Times New Roman"/>
                <w:color w:val="000000"/>
                <w:sz w:val="19"/>
                <w:szCs w:val="19"/>
              </w:rPr>
              <w:t xml:space="preserve">or </w:t>
            </w:r>
            <w:r w:rsidR="006569DE">
              <w:rPr>
                <w:rFonts w:ascii="Calibri" w:eastAsia="Times New Roman" w:hAnsi="Calibri" w:cs="Times New Roman"/>
                <w:color w:val="000000"/>
                <w:sz w:val="19"/>
                <w:szCs w:val="19"/>
              </w:rPr>
              <w:t>family</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For example, statements about lack of engagement with or by the service or clinician; lack of clarity regarding the plan or roles of team members; feeling that interventions used by the clinician are not helpful and/or possibly making the situation worse; clinician not available or following through on plans; weakness in developing or working with a team of services and supports; poorly managed transitions; or other shortcomings in IHT practice</w:t>
            </w:r>
          </w:p>
        </w:tc>
      </w:tr>
      <w:tr w:rsidR="003805C0" w:rsidRPr="00AD10A9" w:rsidTr="00390EA8">
        <w:trPr>
          <w:trHeight w:val="552"/>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color w:val="000000"/>
                <w:sz w:val="20"/>
                <w:szCs w:val="20"/>
              </w:rPr>
            </w:pPr>
          </w:p>
        </w:tc>
        <w:tc>
          <w:tcPr>
            <w:tcW w:w="2539"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 xml:space="preserve">Strengths about the IHT service that were observed and/or specifically stated by </w:t>
            </w:r>
            <w:r w:rsidR="000102CC">
              <w:rPr>
                <w:rFonts w:ascii="Calibri" w:eastAsia="Times New Roman" w:hAnsi="Calibri" w:cs="Times New Roman"/>
                <w:color w:val="000000"/>
                <w:sz w:val="19"/>
                <w:szCs w:val="19"/>
              </w:rPr>
              <w:t>primary clinician</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Any elements of the IHT process that went very well (from any of the first 3 MPR domains), and factors that contributed to this</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1104"/>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color w:val="000000"/>
                <w:sz w:val="20"/>
                <w:szCs w:val="20"/>
              </w:rPr>
            </w:pPr>
          </w:p>
        </w:tc>
        <w:tc>
          <w:tcPr>
            <w:tcW w:w="2539"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Challenges about the service or circumstances that were observed</w:t>
            </w:r>
            <w:r w:rsidR="000102CC">
              <w:rPr>
                <w:rFonts w:ascii="Calibri" w:eastAsia="Times New Roman" w:hAnsi="Calibri" w:cs="Times New Roman"/>
                <w:color w:val="000000"/>
                <w:sz w:val="19"/>
                <w:szCs w:val="19"/>
              </w:rPr>
              <w:t xml:space="preserve"> and/or specifically stated by primary clinician</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Examples might include lack of success engaging the family or other team members; inability to arrive at helpful diagnostic formulation; inability to access services or resources; language or cultural barriers; or any other barriers or shortcomings. Distinguish factors that the clinician felt were beyond the control of IHT from areas where the clinician felt in retrospect that IHT practice could have been better.</w:t>
            </w:r>
          </w:p>
        </w:tc>
      </w:tr>
      <w:tr w:rsidR="003805C0" w:rsidRPr="00AD10A9" w:rsidTr="00390EA8">
        <w:trPr>
          <w:trHeight w:val="828"/>
          <w:jc w:val="center"/>
        </w:trPr>
        <w:tc>
          <w:tcPr>
            <w:cnfStyle w:val="001000000000" w:firstRow="0" w:lastRow="0" w:firstColumn="1" w:lastColumn="0" w:oddVBand="0" w:evenVBand="0" w:oddHBand="0" w:evenHBand="0" w:firstRowFirstColumn="0" w:firstRowLastColumn="0" w:lastRowFirstColumn="0" w:lastRowLastColumn="0"/>
            <w:tcW w:w="1202" w:type="dxa"/>
            <w:vMerge w:val="restart"/>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sz w:val="20"/>
                <w:szCs w:val="20"/>
              </w:rPr>
            </w:pPr>
            <w:r w:rsidRPr="00AD10A9">
              <w:rPr>
                <w:rFonts w:ascii="Calibri" w:eastAsia="Times New Roman" w:hAnsi="Calibri" w:cs="Times New Roman"/>
                <w:sz w:val="20"/>
                <w:szCs w:val="20"/>
              </w:rPr>
              <w:t>Quality- Reviewer Judgment</w:t>
            </w:r>
          </w:p>
        </w:tc>
        <w:tc>
          <w:tcPr>
            <w:tcW w:w="2539" w:type="dxa"/>
            <w:hideMark/>
          </w:tcPr>
          <w:p w:rsidR="003805C0" w:rsidRPr="00AD10A9" w:rsidRDefault="000102CC"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Pr>
                <w:rFonts w:ascii="Calibri" w:eastAsia="Times New Roman" w:hAnsi="Calibri" w:cs="Times New Roman"/>
                <w:color w:val="000000"/>
                <w:sz w:val="19"/>
                <w:szCs w:val="19"/>
              </w:rPr>
              <w:t>Reviewer judgment</w:t>
            </w:r>
            <w:r w:rsidR="003805C0" w:rsidRPr="00AD10A9">
              <w:rPr>
                <w:rFonts w:ascii="Calibri" w:eastAsia="Times New Roman" w:hAnsi="Calibri" w:cs="Times New Roman"/>
                <w:color w:val="000000"/>
                <w:sz w:val="19"/>
                <w:szCs w:val="19"/>
              </w:rPr>
              <w:t>: Areas where practice was substandard</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Areas where practice was not consistent with service specification or general expectations of competent practice, whether this was the result of clinician actions, TT&amp;S actions, or provider agency factors; do not include here issues that were entirely outside of the IHT provider’s control</w:t>
            </w:r>
          </w:p>
        </w:tc>
      </w:tr>
      <w:tr w:rsidR="003805C0" w:rsidRPr="00AD10A9" w:rsidTr="00390EA8">
        <w:trPr>
          <w:cnfStyle w:val="000000100000" w:firstRow="0" w:lastRow="0" w:firstColumn="0" w:lastColumn="0" w:oddVBand="0" w:evenVBand="0" w:oddHBand="1" w:evenHBand="0" w:firstRowFirstColumn="0" w:firstRowLastColumn="0" w:lastRowFirstColumn="0" w:lastRowLastColumn="0"/>
          <w:trHeight w:val="1104"/>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color w:val="000000"/>
                <w:sz w:val="20"/>
                <w:szCs w:val="20"/>
              </w:rPr>
            </w:pPr>
          </w:p>
        </w:tc>
        <w:tc>
          <w:tcPr>
            <w:tcW w:w="2539" w:type="dxa"/>
            <w:hideMark/>
          </w:tcPr>
          <w:p w:rsidR="003805C0" w:rsidRPr="00AD10A9" w:rsidRDefault="000102CC"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Pr>
                <w:rFonts w:ascii="Calibri" w:eastAsia="Times New Roman" w:hAnsi="Calibri" w:cs="Times New Roman"/>
                <w:color w:val="000000"/>
                <w:sz w:val="19"/>
                <w:szCs w:val="19"/>
              </w:rPr>
              <w:t>Reviewer judgment</w:t>
            </w:r>
            <w:r w:rsidR="003805C0" w:rsidRPr="00AD10A9">
              <w:rPr>
                <w:rFonts w:ascii="Calibri" w:eastAsia="Times New Roman" w:hAnsi="Calibri" w:cs="Times New Roman"/>
                <w:color w:val="000000"/>
                <w:sz w:val="19"/>
                <w:szCs w:val="19"/>
              </w:rPr>
              <w:t>: Areas where practice was acceptable but could have been significantly strengthened</w:t>
            </w:r>
          </w:p>
        </w:tc>
        <w:tc>
          <w:tcPr>
            <w:tcW w:w="6441" w:type="dxa"/>
            <w:hideMark/>
          </w:tcPr>
          <w:p w:rsidR="003805C0" w:rsidRPr="00AD10A9" w:rsidRDefault="003805C0" w:rsidP="00F97B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For example, Areas in which a more experienced clinician, or a clinician or TT&amp;S with a different skill</w:t>
            </w:r>
            <w:r w:rsidRPr="00195EFC">
              <w:rPr>
                <w:rFonts w:ascii="Calibri" w:eastAsia="Times New Roman" w:hAnsi="Calibri" w:cs="Times New Roman"/>
                <w:color w:val="000000"/>
                <w:sz w:val="19"/>
                <w:szCs w:val="19"/>
              </w:rPr>
              <w:t xml:space="preserve"> </w:t>
            </w:r>
            <w:r w:rsidRPr="00AD10A9">
              <w:rPr>
                <w:rFonts w:ascii="Calibri" w:eastAsia="Times New Roman" w:hAnsi="Calibri" w:cs="Times New Roman"/>
                <w:color w:val="000000"/>
                <w:sz w:val="19"/>
                <w:szCs w:val="19"/>
              </w:rPr>
              <w:t>set might have had more success; where more training could have significantly improved practice; where skilled supervision or access to better diagnostic services could have facilitated a more effective service, etc. Don’t comment on unexceptional areas unless you see a notable opportunity for improvement</w:t>
            </w:r>
          </w:p>
        </w:tc>
      </w:tr>
      <w:tr w:rsidR="003805C0" w:rsidRPr="00AD10A9" w:rsidTr="00390EA8">
        <w:trPr>
          <w:trHeight w:val="552"/>
          <w:jc w:val="center"/>
        </w:trPr>
        <w:tc>
          <w:tcPr>
            <w:cnfStyle w:val="001000000000" w:firstRow="0" w:lastRow="0" w:firstColumn="1" w:lastColumn="0" w:oddVBand="0" w:evenVBand="0" w:oddHBand="0" w:evenHBand="0" w:firstRowFirstColumn="0" w:firstRowLastColumn="0" w:lastRowFirstColumn="0" w:lastRowLastColumn="0"/>
            <w:tcW w:w="1202" w:type="dxa"/>
            <w:vMerge/>
            <w:tcBorders>
              <w:left w:val="none" w:sz="0" w:space="0" w:color="auto"/>
              <w:bottom w:val="none" w:sz="0" w:space="0" w:color="auto"/>
              <w:right w:val="none" w:sz="0" w:space="0" w:color="auto"/>
            </w:tcBorders>
            <w:hideMark/>
          </w:tcPr>
          <w:p w:rsidR="003805C0" w:rsidRPr="00AD10A9" w:rsidRDefault="003805C0" w:rsidP="00F97BA0">
            <w:pPr>
              <w:rPr>
                <w:rFonts w:ascii="Calibri" w:eastAsia="Times New Roman" w:hAnsi="Calibri" w:cs="Times New Roman"/>
                <w:color w:val="000000"/>
                <w:sz w:val="20"/>
                <w:szCs w:val="20"/>
              </w:rPr>
            </w:pPr>
          </w:p>
        </w:tc>
        <w:tc>
          <w:tcPr>
            <w:tcW w:w="2539" w:type="dxa"/>
            <w:hideMark/>
          </w:tcPr>
          <w:p w:rsidR="003805C0" w:rsidRPr="00AD10A9" w:rsidRDefault="000102CC"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Pr>
                <w:rFonts w:ascii="Calibri" w:eastAsia="Times New Roman" w:hAnsi="Calibri" w:cs="Times New Roman"/>
                <w:color w:val="000000"/>
                <w:sz w:val="19"/>
                <w:szCs w:val="19"/>
              </w:rPr>
              <w:t>Reviewer judgment</w:t>
            </w:r>
            <w:r w:rsidR="003805C0" w:rsidRPr="00AD10A9">
              <w:rPr>
                <w:rFonts w:ascii="Calibri" w:eastAsia="Times New Roman" w:hAnsi="Calibri" w:cs="Times New Roman"/>
                <w:color w:val="000000"/>
                <w:sz w:val="19"/>
                <w:szCs w:val="19"/>
              </w:rPr>
              <w:t>: Areas where practice was of noteworthy or exceptional quality</w:t>
            </w:r>
          </w:p>
        </w:tc>
        <w:tc>
          <w:tcPr>
            <w:tcW w:w="6441" w:type="dxa"/>
            <w:hideMark/>
          </w:tcPr>
          <w:p w:rsidR="003805C0" w:rsidRPr="00AD10A9" w:rsidRDefault="003805C0" w:rsidP="00F97BA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9"/>
                <w:szCs w:val="19"/>
              </w:rPr>
            </w:pPr>
            <w:r w:rsidRPr="00AD10A9">
              <w:rPr>
                <w:rFonts w:ascii="Calibri" w:eastAsia="Times New Roman" w:hAnsi="Calibri" w:cs="Times New Roman"/>
                <w:color w:val="000000"/>
                <w:sz w:val="19"/>
                <w:szCs w:val="19"/>
              </w:rPr>
              <w:t xml:space="preserve">This could be the result of excellent work by the clinician, the TT&amp;S, or high quality support by the agency. It could also be the result of external </w:t>
            </w:r>
            <w:r w:rsidR="00F7683C" w:rsidRPr="00AD10A9">
              <w:rPr>
                <w:rFonts w:ascii="Calibri" w:eastAsia="Times New Roman" w:hAnsi="Calibri" w:cs="Times New Roman"/>
                <w:color w:val="000000"/>
                <w:sz w:val="19"/>
                <w:szCs w:val="19"/>
              </w:rPr>
              <w:t>factors</w:t>
            </w:r>
            <w:r w:rsidRPr="00AD10A9">
              <w:rPr>
                <w:rFonts w:ascii="Calibri" w:eastAsia="Times New Roman" w:hAnsi="Calibri" w:cs="Times New Roman"/>
                <w:color w:val="000000"/>
                <w:sz w:val="19"/>
                <w:szCs w:val="19"/>
              </w:rPr>
              <w:t>, such as an excellent IHBS team or other service or support</w:t>
            </w:r>
          </w:p>
        </w:tc>
      </w:tr>
    </w:tbl>
    <w:p w:rsidR="005432D4" w:rsidRPr="007F3A22" w:rsidRDefault="00F97BA0" w:rsidP="005432D4">
      <w:pPr>
        <w:pStyle w:val="Heading3"/>
        <w:rPr>
          <w:rFonts w:asciiTheme="minorHAnsi" w:hAnsiTheme="minorHAnsi"/>
        </w:rPr>
      </w:pPr>
      <w:bookmarkStart w:id="9" w:name="_Toc467143006"/>
      <w:r w:rsidRPr="007F3A22">
        <w:rPr>
          <w:rFonts w:asciiTheme="minorHAnsi" w:hAnsiTheme="minorHAnsi"/>
        </w:rPr>
        <w:t>Demographic &amp; I</w:t>
      </w:r>
      <w:r w:rsidR="005432D4" w:rsidRPr="007F3A22">
        <w:rPr>
          <w:rFonts w:asciiTheme="minorHAnsi" w:hAnsiTheme="minorHAnsi"/>
        </w:rPr>
        <w:t>HT Supplemental Questions</w:t>
      </w:r>
      <w:bookmarkEnd w:id="9"/>
    </w:p>
    <w:p w:rsidR="005432D4" w:rsidRDefault="00F97BA0" w:rsidP="005432D4">
      <w:r>
        <w:t xml:space="preserve">In addition to collecting information to rate the 14 MPR </w:t>
      </w:r>
      <w:r w:rsidR="00464AAC">
        <w:t>Areas</w:t>
      </w:r>
      <w:r>
        <w:t xml:space="preserve">, reviewers also collect basic demographic information for the youth/family being reviewed, along with other </w:t>
      </w:r>
      <w:r w:rsidR="00464AAC">
        <w:t xml:space="preserve">basic </w:t>
      </w:r>
      <w:r>
        <w:t>service</w:t>
      </w:r>
      <w:r w:rsidR="00464AAC">
        <w:t xml:space="preserve">-related </w:t>
      </w:r>
      <w:r>
        <w:t>information</w:t>
      </w:r>
      <w:r w:rsidR="00464AAC">
        <w:t>. Eight IHT Supplemental questions</w:t>
      </w:r>
      <w:r>
        <w:t xml:space="preserve"> </w:t>
      </w:r>
      <w:r w:rsidR="00464AAC">
        <w:t xml:space="preserve">were also carried over from the SOCPR </w:t>
      </w:r>
      <w:r w:rsidR="009E537C">
        <w:t>protocol</w:t>
      </w:r>
      <w:r w:rsidR="00464AAC">
        <w:t xml:space="preserve"> </w:t>
      </w:r>
      <w:r w:rsidR="009E537C">
        <w:t xml:space="preserve">to </w:t>
      </w:r>
      <w:r w:rsidR="00464AAC">
        <w:t xml:space="preserve">assess </w:t>
      </w:r>
      <w:r w:rsidR="009E537C">
        <w:t xml:space="preserve">whether </w:t>
      </w:r>
      <w:r w:rsidR="00464AAC">
        <w:t xml:space="preserve">youth with IHT serving as their clinical hub are receiving </w:t>
      </w:r>
      <w:r w:rsidR="00D35C24">
        <w:t xml:space="preserve">the quality and level of </w:t>
      </w:r>
      <w:r w:rsidR="00464AAC">
        <w:t>care coordination</w:t>
      </w:r>
      <w:r w:rsidR="00D35C24">
        <w:t xml:space="preserve"> they require</w:t>
      </w:r>
      <w:r w:rsidR="00464AAC">
        <w:t>.</w:t>
      </w:r>
      <w:r>
        <w:t xml:space="preserve"> </w:t>
      </w:r>
    </w:p>
    <w:p w:rsidR="00464AAC" w:rsidRPr="005432D4" w:rsidRDefault="00464AAC" w:rsidP="005432D4"/>
    <w:p w:rsidR="008422F1" w:rsidRDefault="005432D4" w:rsidP="00464AAC">
      <w:pPr>
        <w:pStyle w:val="Heading2"/>
        <w:spacing w:after="120"/>
      </w:pPr>
      <w:bookmarkStart w:id="10" w:name="_Toc467143007"/>
      <w:r w:rsidRPr="00551B22">
        <w:t>Reviewer Recruitment &amp;</w:t>
      </w:r>
      <w:r w:rsidR="008422F1" w:rsidRPr="00551B22">
        <w:t xml:space="preserve"> Training</w:t>
      </w:r>
      <w:bookmarkEnd w:id="10"/>
    </w:p>
    <w:p w:rsidR="00F17F3A" w:rsidRDefault="00551B22" w:rsidP="00E34B9D">
      <w:r w:rsidRPr="00F17F3A">
        <w:t xml:space="preserve">A recruitment process </w:t>
      </w:r>
      <w:r w:rsidR="00F17F3A">
        <w:t xml:space="preserve">for MPR reviewers </w:t>
      </w:r>
      <w:r w:rsidRPr="00F17F3A">
        <w:t xml:space="preserve">was developed whereby </w:t>
      </w:r>
      <w:r w:rsidRPr="00F17F3A">
        <w:rPr>
          <w:color w:val="000000"/>
          <w:spacing w:val="-4"/>
        </w:rPr>
        <w:t>individuals with the appropriate experience, expertise, and skills were selected</w:t>
      </w:r>
      <w:r w:rsidR="00F17F3A">
        <w:rPr>
          <w:color w:val="000000"/>
          <w:spacing w:val="-4"/>
        </w:rPr>
        <w:t xml:space="preserve"> to fulfill this critical role in the quality service review process. The result is the </w:t>
      </w:r>
      <w:r w:rsidR="00F17F3A">
        <w:rPr>
          <w:color w:val="000000"/>
          <w:spacing w:val="-4"/>
        </w:rPr>
        <w:lastRenderedPageBreak/>
        <w:t xml:space="preserve">formation of a core </w:t>
      </w:r>
      <w:r w:rsidRPr="00F17F3A">
        <w:rPr>
          <w:color w:val="000000"/>
          <w:spacing w:val="-4"/>
        </w:rPr>
        <w:t xml:space="preserve">team of qualified reviewers </w:t>
      </w:r>
      <w:r w:rsidR="00F17F3A">
        <w:rPr>
          <w:color w:val="000000"/>
          <w:spacing w:val="-4"/>
        </w:rPr>
        <w:t xml:space="preserve">with </w:t>
      </w:r>
      <w:r w:rsidRPr="00F17F3A">
        <w:rPr>
          <w:color w:val="000000"/>
          <w:spacing w:val="-4"/>
        </w:rPr>
        <w:t xml:space="preserve">strong clinical understanding, </w:t>
      </w:r>
      <w:r w:rsidR="00F17F3A">
        <w:rPr>
          <w:color w:val="000000"/>
          <w:spacing w:val="-4"/>
        </w:rPr>
        <w:t xml:space="preserve">and </w:t>
      </w:r>
      <w:r w:rsidRPr="00F17F3A">
        <w:rPr>
          <w:color w:val="000000"/>
          <w:spacing w:val="-4"/>
        </w:rPr>
        <w:t>appreciation for System of Care (SOC) principles and the design of MassHealth’s CBHI service system, a</w:t>
      </w:r>
      <w:r w:rsidR="00F17F3A">
        <w:rPr>
          <w:color w:val="000000"/>
          <w:spacing w:val="-4"/>
        </w:rPr>
        <w:t xml:space="preserve">s well as </w:t>
      </w:r>
      <w:r w:rsidR="004C5EB5">
        <w:rPr>
          <w:color w:val="000000"/>
          <w:spacing w:val="-4"/>
        </w:rPr>
        <w:t>sound</w:t>
      </w:r>
      <w:r w:rsidR="00F17F3A">
        <w:rPr>
          <w:color w:val="000000"/>
          <w:spacing w:val="-4"/>
        </w:rPr>
        <w:t xml:space="preserve"> </w:t>
      </w:r>
      <w:r w:rsidRPr="00F17F3A">
        <w:rPr>
          <w:color w:val="000000"/>
          <w:spacing w:val="-4"/>
        </w:rPr>
        <w:t xml:space="preserve">interviewing skills. </w:t>
      </w:r>
      <w:r w:rsidRPr="00F17F3A">
        <w:t xml:space="preserve"> </w:t>
      </w:r>
    </w:p>
    <w:p w:rsidR="00F17F3A" w:rsidRDefault="00F17F3A" w:rsidP="00F17F3A"/>
    <w:p w:rsidR="00F17F3A" w:rsidRPr="00E34B9D" w:rsidRDefault="00F17F3A" w:rsidP="00F17F3A">
      <w:r>
        <w:t xml:space="preserve">For the October 2015 review round, TAC </w:t>
      </w:r>
      <w:r w:rsidR="00613E90">
        <w:t>engaged</w:t>
      </w:r>
      <w:r>
        <w:t xml:space="preserve"> 26 reviewers who brought experience as CBHI program directors, state agency leadership, and managed care administrators. In preparation for subsequent FY 16 review rounds, TAC and </w:t>
      </w:r>
      <w:r w:rsidR="005C0C13">
        <w:t>CBHI</w:t>
      </w:r>
      <w:r>
        <w:t xml:space="preserve"> agreed to shift to a smaller cadre of reviewers with the intent of streamlining the process and enhancing reviewer familiarity with the </w:t>
      </w:r>
      <w:r w:rsidR="00D35C24">
        <w:t xml:space="preserve">MPR </w:t>
      </w:r>
      <w:r>
        <w:t>protocol. I</w:t>
      </w:r>
      <w:r w:rsidRPr="00E34B9D">
        <w:t xml:space="preserve">nterested individuals </w:t>
      </w:r>
      <w:r>
        <w:t xml:space="preserve">were encouraged to </w:t>
      </w:r>
      <w:r w:rsidRPr="00E34B9D">
        <w:t xml:space="preserve">submit an application outlining their experience with: CBHI and MassHealth, as well as other children’s systems; SOC and/or Wraparound principles; CSR/SOCPR/MPR review processes; and qualitative interviewing. TAC and </w:t>
      </w:r>
      <w:r w:rsidR="005C0C13">
        <w:t>CBHI</w:t>
      </w:r>
      <w:r w:rsidRPr="00E34B9D">
        <w:t xml:space="preserve"> </w:t>
      </w:r>
      <w:r>
        <w:t xml:space="preserve">collaborated on the development of the application, and on the interview and hiring process. </w:t>
      </w:r>
      <w:r w:rsidRPr="00E34B9D">
        <w:t xml:space="preserve"> </w:t>
      </w:r>
      <w:r>
        <w:t>The reviewer team for the second and third FY16 review rounds was comprised of four individuals wi</w:t>
      </w:r>
      <w:r w:rsidR="00F72210">
        <w:t>th experience in program evaluation</w:t>
      </w:r>
      <w:r>
        <w:t xml:space="preserve">, Wraparound, and the array of CBHI services. One of the reviewers also had Spanish and Portuguese language capacity. </w:t>
      </w:r>
    </w:p>
    <w:p w:rsidR="00F17F3A" w:rsidRDefault="00F17F3A" w:rsidP="00E34B9D"/>
    <w:p w:rsidR="008832A1" w:rsidRDefault="00630972" w:rsidP="008832A1">
      <w:r>
        <w:t>A</w:t>
      </w:r>
      <w:r w:rsidRPr="00E34B9D">
        <w:t>ll new reviewers participate</w:t>
      </w:r>
      <w:r>
        <w:t>d</w:t>
      </w:r>
      <w:r w:rsidRPr="00E34B9D">
        <w:t xml:space="preserve"> in 1.5 days of in-person training consisting of didactic presentation, role playing, and experiential scoring. The training explores in depth the fourteen Areas of the MPR protocol, as well as the Practice and Youth/Family Progress rating scales. In addition, new reviewers shadow</w:t>
      </w:r>
      <w:r w:rsidR="00F17F3A">
        <w:t>ed</w:t>
      </w:r>
      <w:r w:rsidRPr="00E34B9D">
        <w:t xml:space="preserve"> experienced reviewers prior to conducting any </w:t>
      </w:r>
      <w:r w:rsidR="00F17F3A">
        <w:t xml:space="preserve">MPR </w:t>
      </w:r>
      <w:r w:rsidRPr="00E34B9D">
        <w:t>reviews alone.</w:t>
      </w:r>
    </w:p>
    <w:p w:rsidR="00813049" w:rsidRDefault="00813049" w:rsidP="008832A1"/>
    <w:p w:rsidR="008832A1" w:rsidRDefault="008832A1" w:rsidP="006B1338">
      <w:pPr>
        <w:pStyle w:val="Heading1"/>
        <w:numPr>
          <w:ilvl w:val="0"/>
          <w:numId w:val="0"/>
        </w:numPr>
      </w:pPr>
      <w:bookmarkStart w:id="11" w:name="_Toc467143008"/>
      <w:r>
        <w:t>Methodology</w:t>
      </w:r>
      <w:bookmarkEnd w:id="11"/>
    </w:p>
    <w:p w:rsidR="008832A1" w:rsidRDefault="008832A1" w:rsidP="008832A1"/>
    <w:p w:rsidR="008832A1" w:rsidRDefault="008832A1" w:rsidP="001C1430">
      <w:pPr>
        <w:pStyle w:val="Heading2"/>
        <w:spacing w:after="120"/>
      </w:pPr>
      <w:bookmarkStart w:id="12" w:name="_Toc467143009"/>
      <w:r>
        <w:t>Provider Sampling</w:t>
      </w:r>
      <w:bookmarkEnd w:id="12"/>
    </w:p>
    <w:p w:rsidR="00CD5104" w:rsidRPr="008179B7" w:rsidRDefault="00CD5104" w:rsidP="001C1430">
      <w:r w:rsidRPr="008179B7">
        <w:t xml:space="preserve">The </w:t>
      </w:r>
      <w:r w:rsidR="008179B7" w:rsidRPr="008179B7">
        <w:t xml:space="preserve">Commonwealth </w:t>
      </w:r>
      <w:r w:rsidRPr="008179B7">
        <w:t xml:space="preserve">is committed to conducting at least 120 MPR reviews of </w:t>
      </w:r>
      <w:r w:rsidR="00F72210">
        <w:t>CBHI services annually</w:t>
      </w:r>
      <w:r w:rsidRPr="008179B7">
        <w:t>. TAC and MassHealth develop</w:t>
      </w:r>
      <w:r w:rsidR="00300A9B">
        <w:t xml:space="preserve"> annual </w:t>
      </w:r>
      <w:r w:rsidR="00300A9B" w:rsidRPr="008179B7">
        <w:t>sampling strategies</w:t>
      </w:r>
      <w:r w:rsidR="00300A9B">
        <w:t xml:space="preserve"> which </w:t>
      </w:r>
      <w:r w:rsidR="00300A9B" w:rsidRPr="008179B7">
        <w:t>determine: what CBHI service(s) will be reviewed, how many providers must participate, and if any specialized sampling methods, such as stratifying by location or enrollment data, should be employed</w:t>
      </w:r>
      <w:r w:rsidR="00300A9B">
        <w:t xml:space="preserve">. The current </w:t>
      </w:r>
      <w:r w:rsidRPr="008179B7">
        <w:t xml:space="preserve">MPR sampling strategy </w:t>
      </w:r>
      <w:r w:rsidR="008179B7" w:rsidRPr="008179B7">
        <w:t xml:space="preserve">plans for </w:t>
      </w:r>
      <w:r w:rsidRPr="008179B7">
        <w:t>127 reviews</w:t>
      </w:r>
      <w:r w:rsidR="00CA0A13">
        <w:t xml:space="preserve">, with </w:t>
      </w:r>
      <w:r w:rsidR="00155F2C">
        <w:t xml:space="preserve">approximately </w:t>
      </w:r>
      <w:r w:rsidR="00CA0A13">
        <w:t xml:space="preserve">equal sampling </w:t>
      </w:r>
      <w:r w:rsidR="00300A9B">
        <w:t>of IHT and ICC</w:t>
      </w:r>
      <w:r w:rsidR="00CA0A13">
        <w:t xml:space="preserve"> cases,</w:t>
      </w:r>
      <w:r w:rsidR="008179B7" w:rsidRPr="008179B7">
        <w:rPr>
          <w:color w:val="000000"/>
          <w:spacing w:val="-4"/>
        </w:rPr>
        <w:t xml:space="preserve"> to </w:t>
      </w:r>
      <w:r w:rsidR="00CA0A13">
        <w:rPr>
          <w:color w:val="000000"/>
          <w:spacing w:val="-4"/>
        </w:rPr>
        <w:t xml:space="preserve">ensure 120 in total are </w:t>
      </w:r>
      <w:r w:rsidR="008179B7" w:rsidRPr="008179B7">
        <w:rPr>
          <w:color w:val="000000"/>
          <w:spacing w:val="-4"/>
        </w:rPr>
        <w:t xml:space="preserve">completed </w:t>
      </w:r>
      <w:r w:rsidR="00F72210">
        <w:rPr>
          <w:color w:val="000000"/>
          <w:spacing w:val="-4"/>
        </w:rPr>
        <w:t xml:space="preserve">to account for families who may be </w:t>
      </w:r>
      <w:r w:rsidR="008179B7" w:rsidRPr="008179B7">
        <w:rPr>
          <w:color w:val="000000"/>
          <w:spacing w:val="-4"/>
        </w:rPr>
        <w:t>unable or unwilling to participate</w:t>
      </w:r>
      <w:r w:rsidR="00CA0A13">
        <w:t xml:space="preserve">. </w:t>
      </w:r>
    </w:p>
    <w:p w:rsidR="00CD5104" w:rsidRPr="008179B7" w:rsidRDefault="00CD5104" w:rsidP="001C1430"/>
    <w:p w:rsidR="00F4065F" w:rsidRDefault="00CD5104" w:rsidP="001C1430">
      <w:r w:rsidRPr="008179B7">
        <w:t xml:space="preserve">The FY16 MPR </w:t>
      </w:r>
      <w:r w:rsidR="008179B7">
        <w:t xml:space="preserve">sampling </w:t>
      </w:r>
      <w:r w:rsidR="00F4065F">
        <w:t xml:space="preserve">strategy ensured </w:t>
      </w:r>
      <w:r w:rsidR="00F4065F" w:rsidRPr="008179B7">
        <w:t xml:space="preserve">the state </w:t>
      </w:r>
      <w:r w:rsidR="00F4065F">
        <w:t xml:space="preserve">could </w:t>
      </w:r>
      <w:r w:rsidR="00F4065F" w:rsidRPr="008179B7">
        <w:t>evaluate ICC practice delivered at all 32 CSAs by assigning each CSA two reviews</w:t>
      </w:r>
      <w:r w:rsidR="00F4065F">
        <w:t xml:space="preserve"> (</w:t>
      </w:r>
      <w:r w:rsidR="00155F2C">
        <w:t>n</w:t>
      </w:r>
      <w:r w:rsidR="00F4065F">
        <w:t xml:space="preserve">=64 </w:t>
      </w:r>
      <w:r w:rsidR="00155F2C">
        <w:t xml:space="preserve">ICC reviews </w:t>
      </w:r>
      <w:r w:rsidR="00F4065F">
        <w:t xml:space="preserve">total). Ultimately, </w:t>
      </w:r>
      <w:r w:rsidR="00F4065F" w:rsidRPr="00311136">
        <w:t>61 ICC reviews were completed</w:t>
      </w:r>
      <w:r w:rsidR="00F4065F" w:rsidRPr="00311136">
        <w:rPr>
          <w:rStyle w:val="FootnoteReference"/>
        </w:rPr>
        <w:footnoteReference w:id="1"/>
      </w:r>
      <w:r w:rsidR="00F72210">
        <w:t xml:space="preserve"> </w:t>
      </w:r>
      <w:r w:rsidR="00F4065F" w:rsidRPr="00311136">
        <w:t>at 31 CSAs.</w:t>
      </w:r>
      <w:r w:rsidR="00F4065F">
        <w:t xml:space="preserve"> </w:t>
      </w:r>
    </w:p>
    <w:p w:rsidR="00F4065F" w:rsidRDefault="00F4065F" w:rsidP="001C1430"/>
    <w:p w:rsidR="00CD5104" w:rsidRPr="00311136" w:rsidRDefault="00CA0A13" w:rsidP="001C1430">
      <w:r>
        <w:t>Given a sampling plan that call</w:t>
      </w:r>
      <w:r w:rsidR="00686C66">
        <w:t>ed</w:t>
      </w:r>
      <w:r>
        <w:t xml:space="preserve"> for the completion of </w:t>
      </w:r>
      <w:r w:rsidR="00CD5104" w:rsidRPr="00311136">
        <w:t>63 IHT reviews,</w:t>
      </w:r>
      <w:r>
        <w:t xml:space="preserve"> a process was developed to select </w:t>
      </w:r>
      <w:r w:rsidR="00CD5104" w:rsidRPr="00311136">
        <w:t xml:space="preserve">providers from the approximately 150 IHT sites statewide. Using data from the Massachusetts Behavioral Health Access (MABHA) report, all of the state’s IHT providers were sorted by their total capacity and location prior to being sampled using the True Random Number Generator at </w:t>
      </w:r>
      <w:hyperlink r:id="rId10" w:history="1">
        <w:r w:rsidR="00CD5104" w:rsidRPr="00311136">
          <w:rPr>
            <w:rStyle w:val="Hyperlink"/>
          </w:rPr>
          <w:t>www.random.org</w:t>
        </w:r>
      </w:hyperlink>
      <w:r w:rsidR="00CD5104" w:rsidRPr="00311136">
        <w:t>. Stratifying providers in this way ensure</w:t>
      </w:r>
      <w:r w:rsidR="00155F2C">
        <w:t>s</w:t>
      </w:r>
      <w:r w:rsidR="00CD5104" w:rsidRPr="00311136">
        <w:t xml:space="preserve"> that high volume providers ha</w:t>
      </w:r>
      <w:r w:rsidR="00155F2C">
        <w:t>ve</w:t>
      </w:r>
      <w:r w:rsidR="00CD5104" w:rsidRPr="00311136">
        <w:t xml:space="preserve"> more reviews </w:t>
      </w:r>
      <w:r w:rsidR="00155F2C">
        <w:t xml:space="preserve">completed </w:t>
      </w:r>
      <w:r w:rsidR="00CD5104" w:rsidRPr="00311136">
        <w:t xml:space="preserve">than low volume providers and that reviews </w:t>
      </w:r>
      <w:r w:rsidR="00155F2C">
        <w:t>aren't</w:t>
      </w:r>
      <w:r w:rsidR="00CD5104" w:rsidRPr="00311136">
        <w:t xml:space="preserve"> concentrated in one area of the state. </w:t>
      </w:r>
    </w:p>
    <w:p w:rsidR="00CD5104" w:rsidRPr="00311136" w:rsidRDefault="00CD5104" w:rsidP="001C1430"/>
    <w:p w:rsidR="008832A1" w:rsidRDefault="00686C66" w:rsidP="001C1430">
      <w:r>
        <w:t>Twenty-one</w:t>
      </w:r>
      <w:r w:rsidR="00CD5104" w:rsidRPr="00311136">
        <w:t xml:space="preserve"> IHT provider sites were sampled between the October 2015 and </w:t>
      </w:r>
      <w:r w:rsidR="00F72210">
        <w:t>March-April 2016 review rounds. Of</w:t>
      </w:r>
      <w:r w:rsidR="00CD5104" w:rsidRPr="00311136">
        <w:t xml:space="preserve"> those, </w:t>
      </w:r>
      <w:r w:rsidR="00F72210">
        <w:t>59 reviews</w:t>
      </w:r>
      <w:r w:rsidR="00F72210" w:rsidRPr="00311136">
        <w:rPr>
          <w:rStyle w:val="FootnoteReference"/>
        </w:rPr>
        <w:footnoteReference w:id="2"/>
      </w:r>
      <w:r w:rsidR="00F72210">
        <w:t xml:space="preserve"> were completed across </w:t>
      </w:r>
      <w:r w:rsidR="00CD5104" w:rsidRPr="00311136">
        <w:t xml:space="preserve">20 </w:t>
      </w:r>
      <w:r w:rsidR="00F72210">
        <w:t xml:space="preserve">provider </w:t>
      </w:r>
      <w:r w:rsidR="00CD5104" w:rsidRPr="00311136">
        <w:t>sites</w:t>
      </w:r>
      <w:r w:rsidR="00155F2C">
        <w:t>.</w:t>
      </w:r>
      <w:r w:rsidR="00F72210" w:rsidRPr="00311136">
        <w:rPr>
          <w:rStyle w:val="FootnoteReference"/>
        </w:rPr>
        <w:footnoteReference w:id="3"/>
      </w:r>
    </w:p>
    <w:p w:rsidR="00F72210" w:rsidRDefault="00F72210" w:rsidP="001C1430"/>
    <w:p w:rsidR="008832A1" w:rsidRDefault="008832A1" w:rsidP="001C1430">
      <w:pPr>
        <w:pStyle w:val="Heading2"/>
        <w:spacing w:after="120"/>
      </w:pPr>
      <w:bookmarkStart w:id="13" w:name="_Toc467143010"/>
      <w:r>
        <w:t>Youth Selection</w:t>
      </w:r>
      <w:bookmarkEnd w:id="13"/>
    </w:p>
    <w:p w:rsidR="00CD5104" w:rsidRPr="00311136" w:rsidRDefault="00CD5104" w:rsidP="001C1430">
      <w:r w:rsidRPr="00311136">
        <w:t xml:space="preserve">Once providers were </w:t>
      </w:r>
      <w:r w:rsidR="00155F2C">
        <w:t>sampled</w:t>
      </w:r>
      <w:r w:rsidRPr="00311136">
        <w:t xml:space="preserve">, youth who were enrolled with those providers were randomly selected to participate. Also, so as to more clearly understand how IHT functioned as a “hub” of care coordination, only </w:t>
      </w:r>
      <w:proofErr w:type="gramStart"/>
      <w:r w:rsidRPr="00311136">
        <w:t>those youth</w:t>
      </w:r>
      <w:proofErr w:type="gramEnd"/>
      <w:r w:rsidRPr="00311136">
        <w:t xml:space="preserve"> enrolled in IHT without concurrent enrollment in ICC were eligible for the random selection from IHT providers.</w:t>
      </w:r>
    </w:p>
    <w:p w:rsidR="00CD5104" w:rsidRPr="00311136" w:rsidRDefault="00CD5104" w:rsidP="001C1430"/>
    <w:p w:rsidR="00CD5104" w:rsidRDefault="004627DB" w:rsidP="001C1430">
      <w:r>
        <w:t xml:space="preserve">As shown in </w:t>
      </w:r>
      <w:r w:rsidRPr="004627DB">
        <w:rPr>
          <w:b/>
          <w:color w:val="5B9BD5" w:themeColor="accent1"/>
        </w:rPr>
        <w:t xml:space="preserve">Table </w:t>
      </w:r>
      <w:r w:rsidR="00C2310F">
        <w:rPr>
          <w:b/>
          <w:color w:val="5B9BD5" w:themeColor="accent1"/>
        </w:rPr>
        <w:t>11</w:t>
      </w:r>
      <w:r w:rsidR="00155F2C">
        <w:t xml:space="preserve">, </w:t>
      </w:r>
      <w:r w:rsidR="00CD5104" w:rsidRPr="00311136">
        <w:t>182 families were a</w:t>
      </w:r>
      <w:r w:rsidR="00155F2C">
        <w:t xml:space="preserve">pproached </w:t>
      </w:r>
      <w:r w:rsidR="00877AF8">
        <w:t xml:space="preserve">for </w:t>
      </w:r>
      <w:r w:rsidR="00155F2C">
        <w:t xml:space="preserve">consent to </w:t>
      </w:r>
      <w:r w:rsidR="00CD5104" w:rsidRPr="00311136">
        <w:t xml:space="preserve">participate; of these, 120 consented and had completed reviews, 3 reviews had incomplete </w:t>
      </w:r>
      <w:r w:rsidR="00155F2C">
        <w:t xml:space="preserve">family </w:t>
      </w:r>
      <w:r w:rsidR="00CD5104" w:rsidRPr="00311136">
        <w:t>interviews, 1 review was canceled for having less than the required minimum number of interviewees</w:t>
      </w:r>
      <w:r w:rsidR="00BB57D4">
        <w:rPr>
          <w:rStyle w:val="FootnoteReference"/>
        </w:rPr>
        <w:footnoteReference w:id="4"/>
      </w:r>
      <w:r w:rsidR="00CD5104" w:rsidRPr="00311136">
        <w:t>, and 58 families</w:t>
      </w:r>
      <w:r w:rsidR="00155F2C">
        <w:t xml:space="preserve"> (</w:t>
      </w:r>
      <w:r w:rsidR="00CD5104" w:rsidRPr="00311136">
        <w:t>3</w:t>
      </w:r>
      <w:r w:rsidR="00D976BD">
        <w:t>1.9</w:t>
      </w:r>
      <w:r w:rsidR="00CD5104" w:rsidRPr="00311136">
        <w:t>%</w:t>
      </w:r>
      <w:r w:rsidR="00155F2C">
        <w:t>)</w:t>
      </w:r>
      <w:r w:rsidR="00CD5104" w:rsidRPr="00311136">
        <w:t xml:space="preserve"> declined to participate. </w:t>
      </w:r>
      <w:r w:rsidR="000845EB">
        <w:t xml:space="preserve">Just </w:t>
      </w:r>
      <w:r w:rsidR="000845EB" w:rsidRPr="00BB57D4">
        <w:t xml:space="preserve">over half </w:t>
      </w:r>
      <w:r w:rsidR="00D35C24">
        <w:t xml:space="preserve">of those declining </w:t>
      </w:r>
      <w:r w:rsidR="00CD5104" w:rsidRPr="00BB57D4">
        <w:t xml:space="preserve">(55% or n=32) </w:t>
      </w:r>
      <w:r w:rsidR="00BB57D4" w:rsidRPr="00BB57D4">
        <w:t>cited the reason</w:t>
      </w:r>
      <w:r w:rsidR="00427E15">
        <w:t xml:space="preserve"> </w:t>
      </w:r>
      <w:r w:rsidR="00D35C24">
        <w:t>as</w:t>
      </w:r>
      <w:r w:rsidR="00BB57D4" w:rsidRPr="00BB57D4">
        <w:t xml:space="preserve"> </w:t>
      </w:r>
      <w:r w:rsidR="00CD5104" w:rsidRPr="00BB57D4">
        <w:t>anxiety about having “strangers” in their home and fe</w:t>
      </w:r>
      <w:r w:rsidR="00D35C24">
        <w:t>eling</w:t>
      </w:r>
      <w:r w:rsidR="00CD5104" w:rsidRPr="00BB57D4">
        <w:t xml:space="preserve"> overwhelmed by the prospect of another task/responsibility added to their busy lives.</w:t>
      </w:r>
      <w:r w:rsidR="003273DA">
        <w:t xml:space="preserve"> </w:t>
      </w:r>
      <w:r w:rsidR="00D35C24">
        <w:t xml:space="preserve">Another </w:t>
      </w:r>
      <w:r w:rsidR="00877AF8">
        <w:t xml:space="preserve">12% (n=7) declined due to </w:t>
      </w:r>
      <w:r w:rsidR="003273DA">
        <w:t>family medical reasons, such as surgery, illness, or childbirth</w:t>
      </w:r>
      <w:r w:rsidR="00877AF8">
        <w:t>. Another 12% (n=7) were unable to be c</w:t>
      </w:r>
      <w:r w:rsidR="00D35C24">
        <w:t xml:space="preserve">ontacted or </w:t>
      </w:r>
      <w:r w:rsidR="00877AF8">
        <w:t>did n</w:t>
      </w:r>
      <w:r w:rsidR="00D35C24">
        <w:t xml:space="preserve">ot </w:t>
      </w:r>
      <w:r w:rsidR="003273DA">
        <w:t xml:space="preserve">respond to multiple </w:t>
      </w:r>
      <w:r w:rsidR="00D35C24">
        <w:t xml:space="preserve">attempts to obtain </w:t>
      </w:r>
      <w:r w:rsidR="003273DA">
        <w:t xml:space="preserve">consent. </w:t>
      </w:r>
      <w:r w:rsidR="00CD5104" w:rsidRPr="00311136">
        <w:t xml:space="preserve"> </w:t>
      </w:r>
    </w:p>
    <w:p w:rsidR="00155F2C" w:rsidRDefault="004627DB" w:rsidP="007C7B6F">
      <w:pPr>
        <w:spacing w:before="120"/>
        <w:jc w:val="center"/>
        <w:rPr>
          <w:b/>
          <w:color w:val="5B9BD5" w:themeColor="accent1"/>
        </w:rPr>
      </w:pPr>
      <w:r w:rsidRPr="004627DB">
        <w:rPr>
          <w:b/>
          <w:color w:val="5B9BD5" w:themeColor="accent1"/>
        </w:rPr>
        <w:t xml:space="preserve">Table </w:t>
      </w:r>
      <w:r w:rsidR="00C2310F">
        <w:rPr>
          <w:b/>
          <w:color w:val="5B9BD5" w:themeColor="accent1"/>
        </w:rPr>
        <w:t>11</w:t>
      </w:r>
      <w:r w:rsidR="00155F2C" w:rsidRPr="004627DB">
        <w:rPr>
          <w:b/>
          <w:color w:val="5B9BD5" w:themeColor="accent1"/>
        </w:rPr>
        <w:t xml:space="preserve">: </w:t>
      </w:r>
      <w:r w:rsidR="007C7B6F">
        <w:rPr>
          <w:b/>
          <w:color w:val="5B9BD5" w:themeColor="accent1"/>
        </w:rPr>
        <w:t>Families Approached, Decline Rate &amp; Completed Reviews</w:t>
      </w:r>
    </w:p>
    <w:tbl>
      <w:tblPr>
        <w:tblStyle w:val="MediumShading1-Accent12"/>
        <w:tblW w:w="6792"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12"/>
        <w:gridCol w:w="960"/>
        <w:gridCol w:w="960"/>
        <w:gridCol w:w="960"/>
      </w:tblGrid>
      <w:tr w:rsidR="00CD5104" w:rsidRPr="00311136" w:rsidTr="001C143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top w:val="none" w:sz="0" w:space="0" w:color="auto"/>
              <w:left w:val="none" w:sz="0" w:space="0" w:color="auto"/>
              <w:bottom w:val="none" w:sz="0" w:space="0" w:color="auto"/>
              <w:right w:val="none" w:sz="0" w:space="0" w:color="auto"/>
            </w:tcBorders>
            <w:noWrap/>
            <w:hideMark/>
          </w:tcPr>
          <w:p w:rsidR="00CD5104" w:rsidRPr="00311136" w:rsidRDefault="00CD5104" w:rsidP="001C1430">
            <w:pPr>
              <w:rPr>
                <w:rFonts w:ascii="Calibri" w:eastAsia="Times New Roman" w:hAnsi="Calibri" w:cs="Times New Roman"/>
                <w:b w:val="0"/>
                <w:bCs w:val="0"/>
                <w:color w:val="FFFFFF"/>
                <w:sz w:val="24"/>
                <w:szCs w:val="24"/>
              </w:rPr>
            </w:pPr>
            <w:r w:rsidRPr="00311136">
              <w:rPr>
                <w:rFonts w:ascii="Calibri" w:eastAsia="Times New Roman" w:hAnsi="Calibri" w:cs="Times New Roman"/>
                <w:b w:val="0"/>
                <w:bCs w:val="0"/>
                <w:color w:val="FFFFFF"/>
                <w:sz w:val="24"/>
                <w:szCs w:val="24"/>
              </w:rPr>
              <w:t>FY16 Reviews</w:t>
            </w:r>
          </w:p>
        </w:tc>
        <w:tc>
          <w:tcPr>
            <w:tcW w:w="960" w:type="dxa"/>
            <w:tcBorders>
              <w:top w:val="none" w:sz="0" w:space="0" w:color="auto"/>
              <w:left w:val="none" w:sz="0" w:space="0" w:color="auto"/>
              <w:bottom w:val="none" w:sz="0" w:space="0" w:color="auto"/>
              <w:right w:val="none" w:sz="0" w:space="0" w:color="auto"/>
            </w:tcBorders>
            <w:noWrap/>
            <w:hideMark/>
          </w:tcPr>
          <w:p w:rsidR="00CD5104" w:rsidRPr="00311136" w:rsidRDefault="00CD5104" w:rsidP="001C14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4"/>
                <w:szCs w:val="24"/>
              </w:rPr>
            </w:pPr>
            <w:r w:rsidRPr="00311136">
              <w:rPr>
                <w:rFonts w:ascii="Calibri" w:eastAsia="Times New Roman" w:hAnsi="Calibri" w:cs="Times New Roman"/>
                <w:b w:val="0"/>
                <w:bCs w:val="0"/>
                <w:color w:val="FFFFFF"/>
                <w:sz w:val="24"/>
                <w:szCs w:val="24"/>
              </w:rPr>
              <w:t>ICC</w:t>
            </w:r>
          </w:p>
        </w:tc>
        <w:tc>
          <w:tcPr>
            <w:tcW w:w="960" w:type="dxa"/>
            <w:tcBorders>
              <w:top w:val="none" w:sz="0" w:space="0" w:color="auto"/>
              <w:left w:val="none" w:sz="0" w:space="0" w:color="auto"/>
              <w:bottom w:val="none" w:sz="0" w:space="0" w:color="auto"/>
              <w:right w:val="none" w:sz="0" w:space="0" w:color="auto"/>
            </w:tcBorders>
            <w:noWrap/>
            <w:hideMark/>
          </w:tcPr>
          <w:p w:rsidR="00CD5104" w:rsidRPr="00311136" w:rsidRDefault="00CD5104" w:rsidP="001C14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4"/>
                <w:szCs w:val="24"/>
              </w:rPr>
            </w:pPr>
            <w:r w:rsidRPr="00311136">
              <w:rPr>
                <w:rFonts w:ascii="Calibri" w:eastAsia="Times New Roman" w:hAnsi="Calibri" w:cs="Times New Roman"/>
                <w:b w:val="0"/>
                <w:bCs w:val="0"/>
                <w:color w:val="FFFFFF"/>
                <w:sz w:val="24"/>
                <w:szCs w:val="24"/>
              </w:rPr>
              <w:t>IHT</w:t>
            </w:r>
          </w:p>
        </w:tc>
        <w:tc>
          <w:tcPr>
            <w:tcW w:w="960" w:type="dxa"/>
            <w:tcBorders>
              <w:top w:val="none" w:sz="0" w:space="0" w:color="auto"/>
              <w:left w:val="none" w:sz="0" w:space="0" w:color="auto"/>
              <w:bottom w:val="none" w:sz="0" w:space="0" w:color="auto"/>
              <w:right w:val="none" w:sz="0" w:space="0" w:color="auto"/>
            </w:tcBorders>
            <w:noWrap/>
            <w:hideMark/>
          </w:tcPr>
          <w:p w:rsidR="00CD5104" w:rsidRPr="00311136" w:rsidRDefault="00CD5104" w:rsidP="001C14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sz w:val="24"/>
                <w:szCs w:val="24"/>
              </w:rPr>
            </w:pPr>
            <w:r w:rsidRPr="00311136">
              <w:rPr>
                <w:rFonts w:ascii="Calibri" w:eastAsia="Times New Roman" w:hAnsi="Calibri" w:cs="Times New Roman"/>
                <w:b w:val="0"/>
                <w:bCs w:val="0"/>
                <w:color w:val="FFFFFF"/>
                <w:sz w:val="24"/>
                <w:szCs w:val="24"/>
              </w:rPr>
              <w:t>Total</w:t>
            </w:r>
          </w:p>
        </w:tc>
      </w:tr>
      <w:tr w:rsidR="00CD5104" w:rsidRPr="00311136" w:rsidTr="001C14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311136" w:rsidRDefault="00CD5104" w:rsidP="001C1430">
            <w:pPr>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Reviews Planned</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311136">
              <w:rPr>
                <w:rFonts w:ascii="Calibri" w:eastAsia="Times New Roman" w:hAnsi="Calibri" w:cs="Times New Roman"/>
                <w:b/>
                <w:color w:val="000000"/>
                <w:sz w:val="24"/>
                <w:szCs w:val="24"/>
              </w:rPr>
              <w:t>64</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311136">
              <w:rPr>
                <w:rFonts w:ascii="Calibri" w:eastAsia="Times New Roman" w:hAnsi="Calibri" w:cs="Times New Roman"/>
                <w:b/>
                <w:color w:val="000000"/>
                <w:sz w:val="24"/>
                <w:szCs w:val="24"/>
              </w:rPr>
              <w:t>63</w:t>
            </w:r>
          </w:p>
        </w:tc>
        <w:tc>
          <w:tcPr>
            <w:tcW w:w="960" w:type="dxa"/>
            <w:tcBorders>
              <w:lef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311136">
              <w:rPr>
                <w:rFonts w:ascii="Calibri" w:eastAsia="Times New Roman" w:hAnsi="Calibri" w:cs="Times New Roman"/>
                <w:b/>
                <w:color w:val="000000"/>
                <w:sz w:val="24"/>
                <w:szCs w:val="24"/>
              </w:rPr>
              <w:t>127</w:t>
            </w:r>
          </w:p>
        </w:tc>
      </w:tr>
      <w:tr w:rsidR="00CD5104" w:rsidRPr="00311136" w:rsidTr="001C1430">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D976BD" w:rsidRDefault="00CD5104" w:rsidP="001C1430">
            <w:pPr>
              <w:rPr>
                <w:rFonts w:ascii="Calibri" w:eastAsia="Times New Roman" w:hAnsi="Calibri" w:cs="Times New Roman"/>
                <w:b w:val="0"/>
                <w:color w:val="000000"/>
                <w:sz w:val="24"/>
                <w:szCs w:val="24"/>
              </w:rPr>
            </w:pPr>
            <w:r w:rsidRPr="00D976BD">
              <w:rPr>
                <w:rFonts w:ascii="Calibri" w:eastAsia="Times New Roman" w:hAnsi="Calibri" w:cs="Times New Roman"/>
                <w:b w:val="0"/>
                <w:color w:val="000000"/>
                <w:sz w:val="24"/>
                <w:szCs w:val="24"/>
              </w:rPr>
              <w:t xml:space="preserve">Families </w:t>
            </w:r>
            <w:r w:rsidR="00155F2C" w:rsidRPr="00D976BD">
              <w:rPr>
                <w:rFonts w:ascii="Calibri" w:eastAsia="Times New Roman" w:hAnsi="Calibri" w:cs="Times New Roman"/>
                <w:b w:val="0"/>
                <w:color w:val="000000"/>
                <w:sz w:val="24"/>
                <w:szCs w:val="24"/>
              </w:rPr>
              <w:t xml:space="preserve">Approached </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96</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86</w:t>
            </w:r>
          </w:p>
        </w:tc>
        <w:tc>
          <w:tcPr>
            <w:tcW w:w="960" w:type="dxa"/>
            <w:tcBorders>
              <w:lef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182</w:t>
            </w:r>
          </w:p>
        </w:tc>
      </w:tr>
      <w:tr w:rsidR="00CD5104" w:rsidRPr="00311136" w:rsidTr="001C14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D976BD" w:rsidRDefault="00CD5104" w:rsidP="001C1430">
            <w:pPr>
              <w:rPr>
                <w:rFonts w:ascii="Calibri" w:eastAsia="Times New Roman" w:hAnsi="Calibri" w:cs="Times New Roman"/>
                <w:b w:val="0"/>
                <w:color w:val="000000"/>
                <w:sz w:val="24"/>
                <w:szCs w:val="24"/>
              </w:rPr>
            </w:pPr>
            <w:r w:rsidRPr="00D976BD">
              <w:rPr>
                <w:rFonts w:ascii="Calibri" w:eastAsia="Times New Roman" w:hAnsi="Calibri" w:cs="Times New Roman"/>
                <w:b w:val="0"/>
                <w:color w:val="000000"/>
                <w:sz w:val="24"/>
                <w:szCs w:val="24"/>
              </w:rPr>
              <w:t>Families Declin</w:t>
            </w:r>
            <w:r w:rsidR="00155F2C" w:rsidRPr="00D976BD">
              <w:rPr>
                <w:rFonts w:ascii="Calibri" w:eastAsia="Times New Roman" w:hAnsi="Calibri" w:cs="Times New Roman"/>
                <w:b w:val="0"/>
                <w:color w:val="000000"/>
                <w:sz w:val="24"/>
                <w:szCs w:val="24"/>
              </w:rPr>
              <w:t>ing</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32</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26</w:t>
            </w:r>
          </w:p>
        </w:tc>
        <w:tc>
          <w:tcPr>
            <w:tcW w:w="960" w:type="dxa"/>
            <w:tcBorders>
              <w:lef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58</w:t>
            </w:r>
          </w:p>
        </w:tc>
      </w:tr>
      <w:tr w:rsidR="00CD5104" w:rsidRPr="00311136" w:rsidTr="001C1430">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D976BD" w:rsidRDefault="00CD5104" w:rsidP="001C1430">
            <w:pPr>
              <w:rPr>
                <w:rFonts w:ascii="Calibri" w:eastAsia="Times New Roman" w:hAnsi="Calibri" w:cs="Times New Roman"/>
                <w:b w:val="0"/>
                <w:color w:val="000000"/>
                <w:sz w:val="24"/>
                <w:szCs w:val="24"/>
              </w:rPr>
            </w:pPr>
            <w:r w:rsidRPr="00D976BD">
              <w:rPr>
                <w:rFonts w:ascii="Calibri" w:eastAsia="Times New Roman" w:hAnsi="Calibri" w:cs="Times New Roman"/>
                <w:b w:val="0"/>
                <w:color w:val="000000"/>
                <w:sz w:val="24"/>
                <w:szCs w:val="24"/>
              </w:rPr>
              <w:t>Incomplete Reviews</w:t>
            </w:r>
          </w:p>
        </w:tc>
        <w:tc>
          <w:tcPr>
            <w:tcW w:w="2880" w:type="dxa"/>
            <w:gridSpan w:val="3"/>
            <w:tcBorders>
              <w:lef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rPr>
            </w:pPr>
          </w:p>
        </w:tc>
      </w:tr>
      <w:tr w:rsidR="00CD5104" w:rsidRPr="00311136" w:rsidTr="001C14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D976BD" w:rsidRDefault="00CD5104" w:rsidP="001C1430">
            <w:pPr>
              <w:rPr>
                <w:rFonts w:ascii="Calibri" w:eastAsia="Times New Roman" w:hAnsi="Calibri" w:cs="Times New Roman"/>
                <w:b w:val="0"/>
                <w:i/>
                <w:iCs/>
                <w:color w:val="000000"/>
                <w:sz w:val="24"/>
                <w:szCs w:val="24"/>
              </w:rPr>
            </w:pPr>
            <w:r w:rsidRPr="00D976BD">
              <w:rPr>
                <w:rFonts w:ascii="Calibri" w:eastAsia="Times New Roman" w:hAnsi="Calibri" w:cs="Times New Roman"/>
                <w:b w:val="0"/>
                <w:i/>
                <w:iCs/>
                <w:color w:val="000000"/>
                <w:sz w:val="24"/>
                <w:szCs w:val="24"/>
              </w:rPr>
              <w:t xml:space="preserve">Incomplete </w:t>
            </w:r>
            <w:r w:rsidR="001C1430">
              <w:rPr>
                <w:rFonts w:ascii="Calibri" w:eastAsia="Times New Roman" w:hAnsi="Calibri" w:cs="Times New Roman"/>
                <w:b w:val="0"/>
                <w:i/>
                <w:iCs/>
                <w:color w:val="000000"/>
                <w:sz w:val="24"/>
                <w:szCs w:val="24"/>
              </w:rPr>
              <w:t>f</w:t>
            </w:r>
            <w:r w:rsidRPr="00D976BD">
              <w:rPr>
                <w:rFonts w:ascii="Calibri" w:eastAsia="Times New Roman" w:hAnsi="Calibri" w:cs="Times New Roman"/>
                <w:b w:val="0"/>
                <w:i/>
                <w:iCs/>
                <w:color w:val="000000"/>
                <w:sz w:val="24"/>
                <w:szCs w:val="24"/>
              </w:rPr>
              <w:t xml:space="preserve">amily </w:t>
            </w:r>
            <w:r w:rsidR="001C1430">
              <w:rPr>
                <w:rFonts w:ascii="Calibri" w:eastAsia="Times New Roman" w:hAnsi="Calibri" w:cs="Times New Roman"/>
                <w:b w:val="0"/>
                <w:i/>
                <w:iCs/>
                <w:color w:val="000000"/>
                <w:sz w:val="24"/>
                <w:szCs w:val="24"/>
              </w:rPr>
              <w:t>i</w:t>
            </w:r>
            <w:r w:rsidRPr="00D976BD">
              <w:rPr>
                <w:rFonts w:ascii="Calibri" w:eastAsia="Times New Roman" w:hAnsi="Calibri" w:cs="Times New Roman"/>
                <w:b w:val="0"/>
                <w:i/>
                <w:iCs/>
                <w:color w:val="000000"/>
                <w:sz w:val="24"/>
                <w:szCs w:val="24"/>
              </w:rPr>
              <w:t>nterviews</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000000"/>
                <w:sz w:val="24"/>
                <w:szCs w:val="24"/>
              </w:rPr>
            </w:pPr>
            <w:r w:rsidRPr="00311136">
              <w:rPr>
                <w:rFonts w:ascii="Calibri" w:eastAsia="Times New Roman" w:hAnsi="Calibri" w:cs="Times New Roman"/>
                <w:i/>
                <w:iCs/>
                <w:color w:val="000000"/>
                <w:sz w:val="24"/>
                <w:szCs w:val="24"/>
              </w:rPr>
              <w:t>3</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000000"/>
                <w:sz w:val="24"/>
                <w:szCs w:val="24"/>
              </w:rPr>
            </w:pPr>
            <w:r w:rsidRPr="00311136">
              <w:rPr>
                <w:rFonts w:ascii="Calibri" w:eastAsia="Times New Roman" w:hAnsi="Calibri" w:cs="Times New Roman"/>
                <w:i/>
                <w:iCs/>
                <w:color w:val="000000"/>
                <w:sz w:val="24"/>
                <w:szCs w:val="24"/>
              </w:rPr>
              <w:t>0</w:t>
            </w:r>
          </w:p>
        </w:tc>
        <w:tc>
          <w:tcPr>
            <w:tcW w:w="960" w:type="dxa"/>
            <w:tcBorders>
              <w:lef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000000"/>
                <w:sz w:val="24"/>
                <w:szCs w:val="24"/>
              </w:rPr>
            </w:pPr>
            <w:r w:rsidRPr="00311136">
              <w:rPr>
                <w:rFonts w:ascii="Calibri" w:eastAsia="Times New Roman" w:hAnsi="Calibri" w:cs="Times New Roman"/>
                <w:i/>
                <w:iCs/>
                <w:color w:val="000000"/>
                <w:sz w:val="24"/>
                <w:szCs w:val="24"/>
              </w:rPr>
              <w:t>3</w:t>
            </w:r>
          </w:p>
        </w:tc>
      </w:tr>
      <w:tr w:rsidR="00CD5104" w:rsidRPr="00311136" w:rsidTr="001C1430">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D976BD" w:rsidRDefault="00D976BD" w:rsidP="001C1430">
            <w:pPr>
              <w:tabs>
                <w:tab w:val="left" w:pos="655"/>
              </w:tabs>
              <w:rPr>
                <w:rFonts w:ascii="Calibri" w:eastAsia="Times New Roman" w:hAnsi="Calibri" w:cs="Times New Roman"/>
                <w:b w:val="0"/>
                <w:i/>
                <w:iCs/>
                <w:color w:val="000000"/>
                <w:sz w:val="24"/>
                <w:szCs w:val="24"/>
              </w:rPr>
            </w:pPr>
            <w:r>
              <w:rPr>
                <w:rFonts w:ascii="Calibri" w:eastAsia="Times New Roman" w:hAnsi="Calibri" w:cs="Times New Roman"/>
                <w:b w:val="0"/>
                <w:i/>
                <w:iCs/>
                <w:color w:val="000000"/>
                <w:sz w:val="24"/>
                <w:szCs w:val="24"/>
              </w:rPr>
              <w:t>Less than required # of interviewees</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i/>
                <w:iCs/>
                <w:color w:val="000000"/>
                <w:sz w:val="24"/>
                <w:szCs w:val="24"/>
              </w:rPr>
            </w:pPr>
            <w:r w:rsidRPr="00311136">
              <w:rPr>
                <w:rFonts w:ascii="Calibri" w:eastAsia="Times New Roman" w:hAnsi="Calibri" w:cs="Times New Roman"/>
                <w:i/>
                <w:iCs/>
                <w:color w:val="000000"/>
                <w:sz w:val="24"/>
                <w:szCs w:val="24"/>
              </w:rPr>
              <w:t>0</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i/>
                <w:iCs/>
                <w:color w:val="000000"/>
                <w:sz w:val="24"/>
                <w:szCs w:val="24"/>
              </w:rPr>
            </w:pPr>
            <w:r w:rsidRPr="00311136">
              <w:rPr>
                <w:rFonts w:ascii="Calibri" w:eastAsia="Times New Roman" w:hAnsi="Calibri" w:cs="Times New Roman"/>
                <w:i/>
                <w:iCs/>
                <w:color w:val="000000"/>
                <w:sz w:val="24"/>
                <w:szCs w:val="24"/>
              </w:rPr>
              <w:t>1</w:t>
            </w:r>
          </w:p>
        </w:tc>
        <w:tc>
          <w:tcPr>
            <w:tcW w:w="960" w:type="dxa"/>
            <w:tcBorders>
              <w:left w:val="none" w:sz="0" w:space="0" w:color="auto"/>
            </w:tcBorders>
            <w:noWrap/>
            <w:vAlign w:val="bottom"/>
            <w:hideMark/>
          </w:tcPr>
          <w:p w:rsidR="00CD5104" w:rsidRPr="00311136" w:rsidRDefault="00CD5104" w:rsidP="001C14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i/>
                <w:iCs/>
                <w:color w:val="000000"/>
                <w:sz w:val="24"/>
                <w:szCs w:val="24"/>
              </w:rPr>
            </w:pPr>
            <w:r w:rsidRPr="00311136">
              <w:rPr>
                <w:rFonts w:ascii="Calibri" w:eastAsia="Times New Roman" w:hAnsi="Calibri" w:cs="Times New Roman"/>
                <w:i/>
                <w:iCs/>
                <w:color w:val="000000"/>
                <w:sz w:val="24"/>
                <w:szCs w:val="24"/>
              </w:rPr>
              <w:t>1</w:t>
            </w:r>
          </w:p>
        </w:tc>
      </w:tr>
      <w:tr w:rsidR="00CD5104" w:rsidRPr="00311136" w:rsidTr="001C143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12" w:type="dxa"/>
            <w:tcBorders>
              <w:right w:val="none" w:sz="0" w:space="0" w:color="auto"/>
            </w:tcBorders>
            <w:noWrap/>
            <w:hideMark/>
          </w:tcPr>
          <w:p w:rsidR="00CD5104" w:rsidRPr="00311136" w:rsidRDefault="00CD5104" w:rsidP="001C1430">
            <w:pPr>
              <w:rPr>
                <w:rFonts w:ascii="Calibri" w:eastAsia="Times New Roman" w:hAnsi="Calibri" w:cs="Times New Roman"/>
                <w:color w:val="000000"/>
                <w:sz w:val="24"/>
                <w:szCs w:val="24"/>
              </w:rPr>
            </w:pPr>
            <w:r w:rsidRPr="00311136">
              <w:rPr>
                <w:rFonts w:ascii="Calibri" w:eastAsia="Times New Roman" w:hAnsi="Calibri" w:cs="Times New Roman"/>
                <w:color w:val="000000"/>
                <w:sz w:val="24"/>
                <w:szCs w:val="24"/>
              </w:rPr>
              <w:t>Reviews Completed</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311136">
              <w:rPr>
                <w:rFonts w:ascii="Calibri" w:eastAsia="Times New Roman" w:hAnsi="Calibri" w:cs="Times New Roman"/>
                <w:b/>
                <w:color w:val="000000"/>
                <w:sz w:val="24"/>
                <w:szCs w:val="24"/>
              </w:rPr>
              <w:t>61</w:t>
            </w:r>
          </w:p>
        </w:tc>
        <w:tc>
          <w:tcPr>
            <w:tcW w:w="960" w:type="dxa"/>
            <w:tcBorders>
              <w:left w:val="none" w:sz="0" w:space="0" w:color="auto"/>
              <w:righ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311136">
              <w:rPr>
                <w:rFonts w:ascii="Calibri" w:eastAsia="Times New Roman" w:hAnsi="Calibri" w:cs="Times New Roman"/>
                <w:b/>
                <w:color w:val="000000"/>
                <w:sz w:val="24"/>
                <w:szCs w:val="24"/>
              </w:rPr>
              <w:t>59</w:t>
            </w:r>
          </w:p>
        </w:tc>
        <w:tc>
          <w:tcPr>
            <w:tcW w:w="960" w:type="dxa"/>
            <w:tcBorders>
              <w:left w:val="none" w:sz="0" w:space="0" w:color="auto"/>
            </w:tcBorders>
            <w:noWrap/>
            <w:vAlign w:val="bottom"/>
            <w:hideMark/>
          </w:tcPr>
          <w:p w:rsidR="00CD5104" w:rsidRPr="00311136" w:rsidRDefault="00CD5104" w:rsidP="001C1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311136">
              <w:rPr>
                <w:rFonts w:ascii="Calibri" w:eastAsia="Times New Roman" w:hAnsi="Calibri" w:cs="Times New Roman"/>
                <w:b/>
                <w:color w:val="000000"/>
                <w:sz w:val="24"/>
                <w:szCs w:val="24"/>
              </w:rPr>
              <w:t>120</w:t>
            </w:r>
          </w:p>
        </w:tc>
      </w:tr>
    </w:tbl>
    <w:p w:rsidR="005432D4" w:rsidRDefault="005432D4" w:rsidP="001C1430"/>
    <w:p w:rsidR="005432D4" w:rsidRDefault="005432D4" w:rsidP="001C1430">
      <w:pPr>
        <w:pStyle w:val="Heading2"/>
        <w:spacing w:after="120"/>
      </w:pPr>
      <w:bookmarkStart w:id="14" w:name="_Toc467143011"/>
      <w:r>
        <w:t>Consent Process</w:t>
      </w:r>
      <w:bookmarkEnd w:id="14"/>
    </w:p>
    <w:p w:rsidR="00CD5104" w:rsidRDefault="00CD5104" w:rsidP="001C1430">
      <w:pPr>
        <w:pStyle w:val="Default"/>
        <w:rPr>
          <w:rFonts w:asciiTheme="minorHAnsi" w:hAnsiTheme="minorHAnsi"/>
        </w:rPr>
      </w:pPr>
      <w:r w:rsidRPr="00311136">
        <w:rPr>
          <w:rFonts w:asciiTheme="minorHAnsi" w:hAnsiTheme="minorHAnsi"/>
        </w:rPr>
        <w:t xml:space="preserve">Two informational webinars were held per review </w:t>
      </w:r>
      <w:r w:rsidR="007C7B6F">
        <w:rPr>
          <w:rFonts w:asciiTheme="minorHAnsi" w:hAnsiTheme="minorHAnsi"/>
        </w:rPr>
        <w:t>round</w:t>
      </w:r>
      <w:r w:rsidR="00B60879">
        <w:rPr>
          <w:rFonts w:asciiTheme="minorHAnsi" w:hAnsiTheme="minorHAnsi"/>
        </w:rPr>
        <w:t xml:space="preserve"> to ensure providers understoo</w:t>
      </w:r>
      <w:r w:rsidRPr="00311136">
        <w:rPr>
          <w:rFonts w:asciiTheme="minorHAnsi" w:hAnsiTheme="minorHAnsi"/>
        </w:rPr>
        <w:t>d the MPR process</w:t>
      </w:r>
      <w:r w:rsidR="00877AF8">
        <w:rPr>
          <w:rFonts w:asciiTheme="minorHAnsi" w:hAnsiTheme="minorHAnsi"/>
        </w:rPr>
        <w:t xml:space="preserve">, </w:t>
      </w:r>
      <w:r w:rsidRPr="00311136">
        <w:rPr>
          <w:rFonts w:asciiTheme="minorHAnsi" w:hAnsiTheme="minorHAnsi"/>
        </w:rPr>
        <w:t xml:space="preserve">their responsibilities pertaining to </w:t>
      </w:r>
      <w:r w:rsidR="00877AF8">
        <w:rPr>
          <w:rFonts w:asciiTheme="minorHAnsi" w:hAnsiTheme="minorHAnsi"/>
        </w:rPr>
        <w:t xml:space="preserve">obtaining </w:t>
      </w:r>
      <w:r w:rsidRPr="00311136">
        <w:rPr>
          <w:rFonts w:asciiTheme="minorHAnsi" w:hAnsiTheme="minorHAnsi"/>
        </w:rPr>
        <w:t>informed consent</w:t>
      </w:r>
      <w:r w:rsidR="00877AF8">
        <w:rPr>
          <w:rFonts w:asciiTheme="minorHAnsi" w:hAnsiTheme="minorHAnsi"/>
        </w:rPr>
        <w:t>,</w:t>
      </w:r>
      <w:r w:rsidRPr="00311136">
        <w:rPr>
          <w:rFonts w:asciiTheme="minorHAnsi" w:hAnsiTheme="minorHAnsi"/>
        </w:rPr>
        <w:t xml:space="preserve"> and </w:t>
      </w:r>
      <w:r w:rsidR="00877AF8">
        <w:rPr>
          <w:rFonts w:asciiTheme="minorHAnsi" w:hAnsiTheme="minorHAnsi"/>
        </w:rPr>
        <w:t xml:space="preserve">MPR </w:t>
      </w:r>
      <w:r w:rsidRPr="00311136">
        <w:rPr>
          <w:rFonts w:asciiTheme="minorHAnsi" w:hAnsiTheme="minorHAnsi"/>
        </w:rPr>
        <w:t xml:space="preserve">scheduling procedures. Following the webinar, providers were emailed the final random sample of youth who </w:t>
      </w:r>
      <w:r w:rsidR="00877AF8">
        <w:rPr>
          <w:rFonts w:asciiTheme="minorHAnsi" w:hAnsiTheme="minorHAnsi"/>
        </w:rPr>
        <w:t xml:space="preserve">were to be </w:t>
      </w:r>
      <w:r w:rsidRPr="00311136">
        <w:rPr>
          <w:rFonts w:asciiTheme="minorHAnsi" w:hAnsiTheme="minorHAnsi"/>
        </w:rPr>
        <w:t xml:space="preserve">approached </w:t>
      </w:r>
      <w:r w:rsidR="00877AF8">
        <w:rPr>
          <w:rFonts w:asciiTheme="minorHAnsi" w:hAnsiTheme="minorHAnsi"/>
        </w:rPr>
        <w:t xml:space="preserve">for </w:t>
      </w:r>
      <w:r w:rsidRPr="00311136">
        <w:rPr>
          <w:rFonts w:asciiTheme="minorHAnsi" w:hAnsiTheme="minorHAnsi"/>
        </w:rPr>
        <w:t>consent</w:t>
      </w:r>
      <w:r w:rsidR="00E20148">
        <w:rPr>
          <w:rFonts w:asciiTheme="minorHAnsi" w:hAnsiTheme="minorHAnsi"/>
        </w:rPr>
        <w:t>, along with detailed</w:t>
      </w:r>
      <w:r w:rsidRPr="00311136">
        <w:rPr>
          <w:rFonts w:asciiTheme="minorHAnsi" w:hAnsiTheme="minorHAnsi"/>
        </w:rPr>
        <w:t xml:space="preserve"> instructions and guidance on obtaining informed consent, scheduling interviews, and preparing for the review day. IHT clinicians or care coordinators for the randomly selected youth approached the youth (if 18 or older) or the parent/caregiver to ask if they would be willing to participate in the MPR. Parents and youth over 18 were informed that their participation in the MPR process was voluntary and would not impact their service delivery if they chose not to participate. They were also informed that they would receive a gift card to Target upon completion of their interview. If the youth or parent agreed, they were asked to sign a consent form and the necessary release of information forms. Providers also explained the MPR process to </w:t>
      </w:r>
      <w:proofErr w:type="gramStart"/>
      <w:r w:rsidRPr="00311136">
        <w:rPr>
          <w:rFonts w:asciiTheme="minorHAnsi" w:hAnsiTheme="minorHAnsi"/>
        </w:rPr>
        <w:t>those youth</w:t>
      </w:r>
      <w:proofErr w:type="gramEnd"/>
      <w:r w:rsidRPr="00311136">
        <w:rPr>
          <w:rFonts w:asciiTheme="minorHAnsi" w:hAnsiTheme="minorHAnsi"/>
        </w:rPr>
        <w:t xml:space="preserve"> between the ages of 12-17 whose parents had agreed for them to be interviewed and obtained their written assent to participate. </w:t>
      </w:r>
    </w:p>
    <w:p w:rsidR="0031670E" w:rsidRDefault="0031670E" w:rsidP="001C1430">
      <w:pPr>
        <w:pStyle w:val="Default"/>
        <w:rPr>
          <w:rFonts w:asciiTheme="minorHAnsi" w:hAnsiTheme="minorHAnsi"/>
        </w:rPr>
      </w:pPr>
    </w:p>
    <w:p w:rsidR="0031670E" w:rsidRPr="00311136" w:rsidRDefault="00877AF8" w:rsidP="001C1430">
      <w:pPr>
        <w:pStyle w:val="Default"/>
        <w:rPr>
          <w:rFonts w:asciiTheme="minorHAnsi" w:hAnsiTheme="minorHAnsi"/>
        </w:rPr>
      </w:pPr>
      <w:r>
        <w:rPr>
          <w:rFonts w:asciiTheme="minorHAnsi" w:hAnsiTheme="minorHAnsi"/>
        </w:rPr>
        <w:t xml:space="preserve">Worth noting is that the </w:t>
      </w:r>
      <w:r w:rsidR="00140420">
        <w:rPr>
          <w:rFonts w:asciiTheme="minorHAnsi" w:hAnsiTheme="minorHAnsi"/>
        </w:rPr>
        <w:t>“</w:t>
      </w:r>
      <w:r w:rsidR="0031670E">
        <w:rPr>
          <w:rFonts w:asciiTheme="minorHAnsi" w:hAnsiTheme="minorHAnsi"/>
        </w:rPr>
        <w:t>decline</w:t>
      </w:r>
      <w:r w:rsidR="00140420">
        <w:rPr>
          <w:rFonts w:asciiTheme="minorHAnsi" w:hAnsiTheme="minorHAnsi"/>
        </w:rPr>
        <w:t>”</w:t>
      </w:r>
      <w:r w:rsidR="0031670E">
        <w:rPr>
          <w:rFonts w:asciiTheme="minorHAnsi" w:hAnsiTheme="minorHAnsi"/>
        </w:rPr>
        <w:t xml:space="preserve"> rate </w:t>
      </w:r>
      <w:r>
        <w:rPr>
          <w:rFonts w:asciiTheme="minorHAnsi" w:hAnsiTheme="minorHAnsi"/>
        </w:rPr>
        <w:t xml:space="preserve">among families approached to participate in the quality review process </w:t>
      </w:r>
      <w:r w:rsidR="0031670E">
        <w:rPr>
          <w:rFonts w:asciiTheme="minorHAnsi" w:hAnsiTheme="minorHAnsi"/>
        </w:rPr>
        <w:t>has trended down</w:t>
      </w:r>
      <w:r>
        <w:rPr>
          <w:rFonts w:asciiTheme="minorHAnsi" w:hAnsiTheme="minorHAnsi"/>
        </w:rPr>
        <w:t>ward over the last three years</w:t>
      </w:r>
      <w:r w:rsidR="0031670E" w:rsidRPr="0031670E">
        <w:rPr>
          <w:rFonts w:asciiTheme="minorHAnsi" w:hAnsiTheme="minorHAnsi"/>
        </w:rPr>
        <w:t>. In FY14, 41.4% of families who were approached declined</w:t>
      </w:r>
      <w:r>
        <w:rPr>
          <w:rFonts w:asciiTheme="minorHAnsi" w:hAnsiTheme="minorHAnsi"/>
        </w:rPr>
        <w:t>,</w:t>
      </w:r>
      <w:r w:rsidR="0031670E">
        <w:rPr>
          <w:rFonts w:asciiTheme="minorHAnsi" w:hAnsiTheme="minorHAnsi"/>
        </w:rPr>
        <w:t xml:space="preserve"> and in </w:t>
      </w:r>
      <w:r w:rsidR="0031670E" w:rsidRPr="0031670E">
        <w:rPr>
          <w:rFonts w:asciiTheme="minorHAnsi" w:hAnsiTheme="minorHAnsi"/>
        </w:rPr>
        <w:t xml:space="preserve">FY16, this dropped to 31.9%. This may be attributed to specific steps that were taken to curb the decline rate between FY15 and FY16. All families now receive a letter from the Director of CBHI outlining the </w:t>
      </w:r>
      <w:r w:rsidR="0031670E" w:rsidRPr="0031670E">
        <w:rPr>
          <w:rFonts w:asciiTheme="minorHAnsi" w:hAnsiTheme="minorHAnsi"/>
        </w:rPr>
        <w:lastRenderedPageBreak/>
        <w:t xml:space="preserve">importance of their perspective to the CBHI system, and how their feedback will help to improve services for other youth and families. At the same time, families receive a brochure, written in family-friendly language, </w:t>
      </w:r>
      <w:r>
        <w:rPr>
          <w:rFonts w:asciiTheme="minorHAnsi" w:hAnsiTheme="minorHAnsi"/>
        </w:rPr>
        <w:t xml:space="preserve">that </w:t>
      </w:r>
      <w:r w:rsidR="0031670E" w:rsidRPr="0031670E">
        <w:rPr>
          <w:rFonts w:asciiTheme="minorHAnsi" w:hAnsiTheme="minorHAnsi"/>
        </w:rPr>
        <w:t>explains the MPR and includes answers to frequently asked questions. Additionally, providers who are responsible for working with families to obtain consent are given more descriptive tools and tips on obtaining consent.</w:t>
      </w:r>
      <w:r w:rsidR="00140420">
        <w:rPr>
          <w:rFonts w:asciiTheme="minorHAnsi" w:hAnsiTheme="minorHAnsi"/>
        </w:rPr>
        <w:t xml:space="preserve"> </w:t>
      </w:r>
    </w:p>
    <w:p w:rsidR="005432D4" w:rsidRPr="008A50EA" w:rsidRDefault="005432D4" w:rsidP="001C1430">
      <w:pPr>
        <w:pStyle w:val="Heading2"/>
        <w:rPr>
          <w:sz w:val="24"/>
          <w:szCs w:val="24"/>
        </w:rPr>
      </w:pPr>
    </w:p>
    <w:p w:rsidR="005432D4" w:rsidRDefault="005432D4" w:rsidP="001C1430">
      <w:pPr>
        <w:pStyle w:val="Heading2"/>
        <w:spacing w:after="120"/>
      </w:pPr>
      <w:bookmarkStart w:id="15" w:name="_Toc467143012"/>
      <w:r>
        <w:t>Scheduling</w:t>
      </w:r>
      <w:r w:rsidR="00EE4E34">
        <w:t>/</w:t>
      </w:r>
      <w:r>
        <w:t>Conducting Reviews</w:t>
      </w:r>
      <w:bookmarkEnd w:id="15"/>
    </w:p>
    <w:p w:rsidR="00CD5104" w:rsidRPr="00311136" w:rsidRDefault="00CD5104" w:rsidP="001C1430">
      <w:r w:rsidRPr="00311136">
        <w:t>Each youth in the final sample was assigned a specific review day based upon reviewer availability. Once providers obtained written informed consent, they began to work with families and other stakeholders to schedule interviews. Providers scheduled interviews with the following key informants: 1) the parent/</w:t>
      </w:r>
      <w:r w:rsidR="001C1430">
        <w:t xml:space="preserve"> </w:t>
      </w:r>
      <w:r w:rsidRPr="00311136">
        <w:t>caregiver; 2) the youth</w:t>
      </w:r>
      <w:r w:rsidR="001C1430">
        <w:t>,</w:t>
      </w:r>
      <w:r w:rsidRPr="00311136">
        <w:t xml:space="preserve"> if 12 or older; 3) the IHT clinician or care coordinator; and 4) up to 3 additional formal providers familiar with the care provided to the youth (e.g. family partner, DCF worker, outpatient therapist, etc.). Providers scheduled a minimum of three interviews for each youth with a preference for more. A review of the youth’s record at the provider agency preceded the interviews. It is important to note that for an MPR </w:t>
      </w:r>
      <w:r w:rsidR="00877AF8">
        <w:t>review</w:t>
      </w:r>
      <w:r w:rsidRPr="00311136">
        <w:t xml:space="preserve"> to be considered valid</w:t>
      </w:r>
      <w:r w:rsidR="00877AF8">
        <w:t>,</w:t>
      </w:r>
      <w:r w:rsidRPr="00311136">
        <w:t xml:space="preserve"> a minimum of </w:t>
      </w:r>
      <w:r w:rsidR="007C562F">
        <w:t>four</w:t>
      </w:r>
      <w:r w:rsidRPr="00311136">
        <w:t xml:space="preserve"> data points (the record review and t</w:t>
      </w:r>
      <w:r w:rsidR="007C562F">
        <w:t xml:space="preserve">hree </w:t>
      </w:r>
      <w:r w:rsidRPr="00311136">
        <w:t xml:space="preserve">interviews) </w:t>
      </w:r>
      <w:r w:rsidR="00877AF8">
        <w:t>is required</w:t>
      </w:r>
      <w:r w:rsidRPr="00311136">
        <w:t>.</w:t>
      </w:r>
    </w:p>
    <w:p w:rsidR="005432D4" w:rsidRPr="008A50EA" w:rsidRDefault="005432D4" w:rsidP="001C1430">
      <w:pPr>
        <w:pStyle w:val="Heading2"/>
        <w:rPr>
          <w:sz w:val="24"/>
          <w:szCs w:val="24"/>
        </w:rPr>
      </w:pPr>
    </w:p>
    <w:p w:rsidR="005432D4" w:rsidRDefault="005432D4" w:rsidP="001C1430">
      <w:pPr>
        <w:pStyle w:val="Heading2"/>
        <w:spacing w:after="120"/>
      </w:pPr>
      <w:bookmarkStart w:id="16" w:name="_Toc467143013"/>
      <w:r>
        <w:t>Debriefings</w:t>
      </w:r>
      <w:bookmarkEnd w:id="16"/>
    </w:p>
    <w:p w:rsidR="00CD5104" w:rsidRPr="00311136" w:rsidRDefault="00CD5104" w:rsidP="001C1430">
      <w:pPr>
        <w:pStyle w:val="Body2"/>
        <w:tabs>
          <w:tab w:val="left" w:pos="10800"/>
        </w:tabs>
        <w:spacing w:before="60" w:after="0"/>
        <w:ind w:left="0"/>
        <w:rPr>
          <w:spacing w:val="-4"/>
          <w:szCs w:val="22"/>
        </w:rPr>
      </w:pPr>
      <w:r w:rsidRPr="00311136">
        <w:rPr>
          <w:color w:val="000000"/>
          <w:spacing w:val="-4"/>
          <w:szCs w:val="22"/>
        </w:rPr>
        <w:t>Following each review month</w:t>
      </w:r>
      <w:r w:rsidR="001C1430">
        <w:rPr>
          <w:color w:val="000000"/>
          <w:spacing w:val="-4"/>
          <w:szCs w:val="22"/>
        </w:rPr>
        <w:t xml:space="preserve"> (October, March, April, May and June)</w:t>
      </w:r>
      <w:r w:rsidRPr="00311136">
        <w:rPr>
          <w:color w:val="000000"/>
          <w:spacing w:val="-4"/>
          <w:szCs w:val="22"/>
        </w:rPr>
        <w:t xml:space="preserve">, reviewers joined MassHealth, TAC, MCE representatives, the </w:t>
      </w:r>
      <w:r w:rsidRPr="00666B15">
        <w:rPr>
          <w:i/>
          <w:color w:val="000000"/>
          <w:spacing w:val="-4"/>
          <w:szCs w:val="22"/>
        </w:rPr>
        <w:t xml:space="preserve">Rosie D. </w:t>
      </w:r>
      <w:r w:rsidRPr="00311136">
        <w:rPr>
          <w:color w:val="000000"/>
          <w:spacing w:val="-4"/>
          <w:szCs w:val="22"/>
        </w:rPr>
        <w:t xml:space="preserve">Court Monitor, and other system partners to debrief </w:t>
      </w:r>
      <w:r w:rsidR="001C1430">
        <w:rPr>
          <w:color w:val="000000"/>
          <w:spacing w:val="-4"/>
          <w:szCs w:val="22"/>
        </w:rPr>
        <w:t xml:space="preserve">on MPR </w:t>
      </w:r>
      <w:r w:rsidRPr="00311136">
        <w:rPr>
          <w:color w:val="000000"/>
          <w:spacing w:val="-4"/>
          <w:szCs w:val="22"/>
        </w:rPr>
        <w:t>review findings</w:t>
      </w:r>
      <w:r w:rsidR="00E20148">
        <w:rPr>
          <w:color w:val="000000"/>
          <w:spacing w:val="-4"/>
          <w:szCs w:val="22"/>
        </w:rPr>
        <w:t xml:space="preserve"> during that month</w:t>
      </w:r>
      <w:r w:rsidRPr="00311136">
        <w:rPr>
          <w:color w:val="000000"/>
          <w:spacing w:val="-4"/>
          <w:szCs w:val="22"/>
        </w:rPr>
        <w:t>. The first portion of these debriefing days was comprised of reviewer presentations on each youth</w:t>
      </w:r>
      <w:r w:rsidR="001C1430">
        <w:rPr>
          <w:color w:val="000000"/>
          <w:spacing w:val="-4"/>
          <w:szCs w:val="22"/>
        </w:rPr>
        <w:t>/</w:t>
      </w:r>
      <w:r w:rsidR="00294525">
        <w:rPr>
          <w:color w:val="000000"/>
          <w:spacing w:val="-4"/>
          <w:szCs w:val="22"/>
        </w:rPr>
        <w:t xml:space="preserve"> </w:t>
      </w:r>
      <w:r w:rsidRPr="00311136">
        <w:rPr>
          <w:color w:val="000000"/>
          <w:spacing w:val="-4"/>
          <w:szCs w:val="22"/>
        </w:rPr>
        <w:t xml:space="preserve">family reviewed. These presentations included </w:t>
      </w:r>
      <w:r w:rsidRPr="00311136">
        <w:rPr>
          <w:spacing w:val="-4"/>
          <w:szCs w:val="22"/>
        </w:rPr>
        <w:t xml:space="preserve">relevant historical, demographic, diagnostic, and service history, as well as in-depth discussion regarding practice strengths/challenges, and client satisfaction with services and progress. Since reviews were </w:t>
      </w:r>
      <w:r w:rsidR="001C1430">
        <w:rPr>
          <w:spacing w:val="-4"/>
          <w:szCs w:val="22"/>
        </w:rPr>
        <w:t xml:space="preserve">scored by reviewers </w:t>
      </w:r>
      <w:r w:rsidRPr="00311136">
        <w:rPr>
          <w:spacing w:val="-4"/>
          <w:szCs w:val="22"/>
        </w:rPr>
        <w:t xml:space="preserve">in advance, debriefings enabled the group to discuss scores for accuracy, thus improving data reliability. Monthly debriefings concluded with a brainstorming session where themes, including strengths and areas for improvement, were noted and discussed.  </w:t>
      </w:r>
    </w:p>
    <w:p w:rsidR="005432D4" w:rsidRDefault="005432D4" w:rsidP="001C1430"/>
    <w:p w:rsidR="005432D4" w:rsidRDefault="005432D4" w:rsidP="001C1430">
      <w:pPr>
        <w:pStyle w:val="Heading2"/>
        <w:spacing w:after="120"/>
      </w:pPr>
      <w:bookmarkStart w:id="17" w:name="_Toc467143014"/>
      <w:r>
        <w:t>Data Analysis &amp; Reporting</w:t>
      </w:r>
      <w:bookmarkEnd w:id="17"/>
    </w:p>
    <w:p w:rsidR="00666B15" w:rsidRDefault="00CD5104" w:rsidP="001C1430">
      <w:r>
        <w:t xml:space="preserve">At the conclusion of each review </w:t>
      </w:r>
      <w:r w:rsidR="00971BE2">
        <w:t>round</w:t>
      </w:r>
      <w:r>
        <w:t xml:space="preserve">, all MPR data, inclusive of demographic information, </w:t>
      </w:r>
      <w:r w:rsidR="001C1430">
        <w:t xml:space="preserve">Area ratings, </w:t>
      </w:r>
      <w:r>
        <w:t xml:space="preserve">IHT supplemental </w:t>
      </w:r>
      <w:r w:rsidR="001C1430">
        <w:t>questions</w:t>
      </w:r>
      <w:r>
        <w:t>, and summative responses w</w:t>
      </w:r>
      <w:r w:rsidR="001C1430">
        <w:t>ere</w:t>
      </w:r>
      <w:r>
        <w:t xml:space="preserve"> extracted from a HIPAA-compliant Survey Monkey and analyzed. </w:t>
      </w:r>
      <w:r w:rsidR="001C1430">
        <w:t xml:space="preserve">Case means </w:t>
      </w:r>
      <w:r w:rsidR="00613E90">
        <w:t xml:space="preserve">and standard deviations </w:t>
      </w:r>
      <w:r w:rsidR="001C1430">
        <w:t xml:space="preserve">were computed for </w:t>
      </w:r>
      <w:r w:rsidR="00BE4894">
        <w:t xml:space="preserve">practice </w:t>
      </w:r>
      <w:r w:rsidR="001C1430">
        <w:t>Domains 1, 2, 3 and practice overall, as well as for the progress Domain (Domain 4). Means</w:t>
      </w:r>
      <w:r w:rsidR="00613E90">
        <w:t xml:space="preserve"> </w:t>
      </w:r>
      <w:r w:rsidR="001C1430">
        <w:t>and frequ</w:t>
      </w:r>
      <w:r w:rsidR="00E20148">
        <w:t>encies of ratings for all 14 MPR</w:t>
      </w:r>
      <w:r w:rsidR="001C1430">
        <w:t xml:space="preserve"> Areas were also computed</w:t>
      </w:r>
      <w:r w:rsidR="005F7050">
        <w:t>,</w:t>
      </w:r>
      <w:r w:rsidR="001C1430">
        <w:t xml:space="preserve"> along with frequencies for the IHT Supplemental responses and all demographic data. </w:t>
      </w:r>
      <w:r>
        <w:t xml:space="preserve">Brief summary reports containing </w:t>
      </w:r>
      <w:r w:rsidR="00971BE2">
        <w:t xml:space="preserve">findings from </w:t>
      </w:r>
      <w:r w:rsidR="001C1430">
        <w:t xml:space="preserve">these </w:t>
      </w:r>
      <w:r>
        <w:t>quantitative analys</w:t>
      </w:r>
      <w:r w:rsidR="001C1430">
        <w:t>e</w:t>
      </w:r>
      <w:r w:rsidR="00971BE2">
        <w:t>s</w:t>
      </w:r>
      <w:r>
        <w:t xml:space="preserve"> were developed</w:t>
      </w:r>
      <w:r w:rsidR="005F7050">
        <w:t xml:space="preserve"> and disseminated</w:t>
      </w:r>
      <w:r>
        <w:t xml:space="preserve"> following each review </w:t>
      </w:r>
      <w:r w:rsidR="00971BE2">
        <w:t>round</w:t>
      </w:r>
      <w:r>
        <w:t>.</w:t>
      </w:r>
      <w:r w:rsidR="001C1430">
        <w:t xml:space="preserve"> </w:t>
      </w:r>
      <w:r w:rsidR="00971BE2">
        <w:t xml:space="preserve">Similar analyses were conducted and summarized for this </w:t>
      </w:r>
      <w:r w:rsidR="001C1430">
        <w:t>Y</w:t>
      </w:r>
      <w:r>
        <w:t>ear</w:t>
      </w:r>
      <w:r w:rsidR="001C1430">
        <w:t>-End Summary</w:t>
      </w:r>
      <w:r>
        <w:t xml:space="preserve"> report</w:t>
      </w:r>
      <w:r w:rsidR="00971BE2">
        <w:t xml:space="preserve"> fo</w:t>
      </w:r>
      <w:r w:rsidR="00E20148">
        <w:t>r all 120</w:t>
      </w:r>
      <w:r w:rsidR="00971BE2">
        <w:t xml:space="preserve"> reviews, as was analyses of all q</w:t>
      </w:r>
      <w:r>
        <w:t xml:space="preserve">ualitative </w:t>
      </w:r>
      <w:r w:rsidR="00971BE2">
        <w:t xml:space="preserve">data collected through reviewer summative responses to provide a </w:t>
      </w:r>
      <w:proofErr w:type="gramStart"/>
      <w:r w:rsidR="00971BE2">
        <w:t>more rich</w:t>
      </w:r>
      <w:proofErr w:type="gramEnd"/>
      <w:r w:rsidR="00971BE2">
        <w:t xml:space="preserve"> discussion of practice strengths and opportunities for practice improvement.</w:t>
      </w:r>
    </w:p>
    <w:p w:rsidR="00666B15" w:rsidRDefault="00666B15" w:rsidP="00EE4E34"/>
    <w:p w:rsidR="00EE4E34" w:rsidRDefault="00EE4E34" w:rsidP="00EE4E34">
      <w:pPr>
        <w:pStyle w:val="Heading1"/>
        <w:numPr>
          <w:ilvl w:val="0"/>
          <w:numId w:val="0"/>
        </w:numPr>
      </w:pPr>
      <w:bookmarkStart w:id="18" w:name="_Toc467143015"/>
      <w:r>
        <w:t>Results</w:t>
      </w:r>
      <w:bookmarkEnd w:id="18"/>
    </w:p>
    <w:p w:rsidR="004F1ACA" w:rsidRDefault="004F1ACA" w:rsidP="006B1338">
      <w:pPr>
        <w:pStyle w:val="Heading2"/>
        <w:spacing w:before="120"/>
      </w:pPr>
      <w:bookmarkStart w:id="19" w:name="_Toc467143016"/>
      <w:r>
        <w:t>Demographics</w:t>
      </w:r>
      <w:bookmarkEnd w:id="19"/>
    </w:p>
    <w:p w:rsidR="00E20148" w:rsidRPr="00B15376" w:rsidRDefault="00E20148" w:rsidP="006B1338">
      <w:pPr>
        <w:spacing w:before="60"/>
        <w:jc w:val="both"/>
        <w:rPr>
          <w:color w:val="FF0000"/>
        </w:rPr>
      </w:pPr>
      <w:r>
        <w:t>D</w:t>
      </w:r>
      <w:r w:rsidRPr="00E20148">
        <w:t xml:space="preserve">emographic characteristics of the children/youth reviewed in </w:t>
      </w:r>
      <w:r>
        <w:t xml:space="preserve">FY 16 </w:t>
      </w:r>
      <w:r w:rsidRPr="00E20148">
        <w:t xml:space="preserve">are summarized </w:t>
      </w:r>
      <w:r w:rsidRPr="004627DB">
        <w:t>in</w:t>
      </w:r>
      <w:r w:rsidRPr="004627DB">
        <w:rPr>
          <w:b/>
          <w:color w:val="5B9BD5" w:themeColor="accent1"/>
        </w:rPr>
        <w:t xml:space="preserve"> Table </w:t>
      </w:r>
      <w:r w:rsidR="00C2310F">
        <w:rPr>
          <w:b/>
          <w:color w:val="5B9BD5" w:themeColor="accent1"/>
        </w:rPr>
        <w:t>12</w:t>
      </w:r>
      <w:r w:rsidRPr="00E20148">
        <w:t>.</w:t>
      </w:r>
      <w:r w:rsidR="00903B8E">
        <w:t xml:space="preserve"> </w:t>
      </w:r>
      <w:r w:rsidR="00F65653">
        <w:t>M</w:t>
      </w:r>
      <w:r w:rsidR="00903B8E">
        <w:t xml:space="preserve">ore than half of the youth </w:t>
      </w:r>
      <w:r w:rsidR="00F65653">
        <w:t xml:space="preserve">reviewed </w:t>
      </w:r>
      <w:r w:rsidR="006569DE">
        <w:t>(</w:t>
      </w:r>
      <w:r w:rsidR="00F65653">
        <w:t xml:space="preserve">58% or </w:t>
      </w:r>
      <w:r w:rsidR="006569DE">
        <w:t xml:space="preserve">n=70) </w:t>
      </w:r>
      <w:r w:rsidR="00903B8E">
        <w:t>were male</w:t>
      </w:r>
      <w:r w:rsidR="00F65653">
        <w:t xml:space="preserve">. Forty-two percent (n=50) </w:t>
      </w:r>
      <w:r w:rsidR="00903B8E">
        <w:t>were White</w:t>
      </w:r>
      <w:r w:rsidR="00F65653">
        <w:t xml:space="preserve">, 24% </w:t>
      </w:r>
      <w:r w:rsidR="006569DE">
        <w:t>(n=</w:t>
      </w:r>
      <w:r w:rsidR="00F65653">
        <w:t>29</w:t>
      </w:r>
      <w:r w:rsidR="006569DE">
        <w:t>)</w:t>
      </w:r>
      <w:r w:rsidR="00F65653">
        <w:t xml:space="preserve"> </w:t>
      </w:r>
      <w:r w:rsidR="00903B8E">
        <w:lastRenderedPageBreak/>
        <w:t>Latino/Hispanic</w:t>
      </w:r>
      <w:r w:rsidR="00F65653">
        <w:t>, and 16% (n=19) reported Biracial or Mixed race/ethnicity. Youth a</w:t>
      </w:r>
      <w:r w:rsidR="00F53F58">
        <w:t>ge</w:t>
      </w:r>
      <w:r w:rsidR="00F65653">
        <w:t>s</w:t>
      </w:r>
      <w:r w:rsidR="00F53F58">
        <w:t xml:space="preserve"> 5-9 </w:t>
      </w:r>
      <w:r w:rsidR="006569DE">
        <w:t xml:space="preserve">(n=45) </w:t>
      </w:r>
      <w:r w:rsidR="00F53F58">
        <w:t>and 10-13</w:t>
      </w:r>
      <w:r w:rsidR="006569DE">
        <w:t xml:space="preserve"> (n=39)</w:t>
      </w:r>
      <w:r w:rsidR="00F53F58">
        <w:t xml:space="preserve"> each represent</w:t>
      </w:r>
      <w:r w:rsidR="00F65653">
        <w:t xml:space="preserve">ed approximately one-third of those </w:t>
      </w:r>
      <w:r w:rsidR="00F53F58">
        <w:t xml:space="preserve">reviewed. </w:t>
      </w:r>
      <w:r w:rsidR="00F65653">
        <w:t>Nearly three-quarters</w:t>
      </w:r>
      <w:r w:rsidR="00F53F58">
        <w:t xml:space="preserve"> </w:t>
      </w:r>
      <w:r w:rsidR="00F65653">
        <w:t>(</w:t>
      </w:r>
      <w:r w:rsidR="00F53F58">
        <w:t>70%</w:t>
      </w:r>
      <w:r w:rsidR="00F65653">
        <w:t xml:space="preserve"> or n=84)</w:t>
      </w:r>
      <w:r w:rsidR="00F53F58">
        <w:t xml:space="preserve"> had more than one </w:t>
      </w:r>
      <w:r w:rsidR="00B15376">
        <w:t xml:space="preserve">behavioral health condition, </w:t>
      </w:r>
      <w:r w:rsidR="00F65653">
        <w:t xml:space="preserve">pointing to </w:t>
      </w:r>
      <w:r w:rsidR="00B15376">
        <w:t xml:space="preserve">the complexity of </w:t>
      </w:r>
      <w:r w:rsidR="00F65653">
        <w:t xml:space="preserve">needs among </w:t>
      </w:r>
      <w:r w:rsidR="00B15376">
        <w:t xml:space="preserve">the </w:t>
      </w:r>
      <w:r w:rsidR="00F53F58">
        <w:t>youth</w:t>
      </w:r>
      <w:r w:rsidR="00F65653">
        <w:t xml:space="preserve"> reviewed</w:t>
      </w:r>
      <w:r w:rsidR="00F53F58">
        <w:t xml:space="preserve">. </w:t>
      </w:r>
      <w:r w:rsidR="00F65653">
        <w:t>Just over half of youth (</w:t>
      </w:r>
      <w:r w:rsidR="006569DE">
        <w:t>53%</w:t>
      </w:r>
      <w:r w:rsidR="00F65653">
        <w:t xml:space="preserve"> or n=63) were receiving </w:t>
      </w:r>
      <w:r w:rsidR="00F53F58">
        <w:t>individual counseling</w:t>
      </w:r>
      <w:r w:rsidR="00F65653">
        <w:t>,</w:t>
      </w:r>
      <w:r w:rsidR="00F53F58">
        <w:t xml:space="preserve"> and 49% </w:t>
      </w:r>
      <w:r w:rsidR="006569DE">
        <w:t xml:space="preserve">(n=59) </w:t>
      </w:r>
      <w:r w:rsidR="00F53F58">
        <w:t>utilized</w:t>
      </w:r>
      <w:r w:rsidR="00B15376">
        <w:t xml:space="preserve"> psycho</w:t>
      </w:r>
      <w:r w:rsidR="005229D7">
        <w:t>pharm</w:t>
      </w:r>
      <w:r w:rsidR="00F53F58">
        <w:t>acology services. F</w:t>
      </w:r>
      <w:r w:rsidR="00F65653">
        <w:t>urther</w:t>
      </w:r>
      <w:r w:rsidR="00F53F58">
        <w:t>, t</w:t>
      </w:r>
      <w:r w:rsidR="00B15376">
        <w:t xml:space="preserve">wo-thirds </w:t>
      </w:r>
      <w:r w:rsidR="00F65653">
        <w:t>(66% or n=79) were</w:t>
      </w:r>
      <w:r w:rsidR="00B15376">
        <w:t xml:space="preserve"> involved with special education</w:t>
      </w:r>
      <w:r w:rsidR="00BD4345">
        <w:t xml:space="preserve">, highlighting the </w:t>
      </w:r>
      <w:r w:rsidR="00F53F58">
        <w:t>need for co</w:t>
      </w:r>
      <w:r w:rsidR="00F65653">
        <w:t>ordination with this system for many of the youth reviewed</w:t>
      </w:r>
      <w:r w:rsidR="00B15376">
        <w:t xml:space="preserve">. </w:t>
      </w:r>
    </w:p>
    <w:p w:rsidR="00E20148" w:rsidRDefault="004627DB" w:rsidP="004627DB">
      <w:pPr>
        <w:spacing w:before="120"/>
        <w:jc w:val="center"/>
      </w:pPr>
      <w:r w:rsidRPr="004627DB">
        <w:rPr>
          <w:b/>
          <w:color w:val="5B9BD5" w:themeColor="accent1"/>
        </w:rPr>
        <w:t xml:space="preserve">Table </w:t>
      </w:r>
      <w:r w:rsidR="00C2310F">
        <w:rPr>
          <w:b/>
          <w:color w:val="5B9BD5" w:themeColor="accent1"/>
        </w:rPr>
        <w:t>12</w:t>
      </w:r>
      <w:r w:rsidRPr="004627DB">
        <w:rPr>
          <w:b/>
          <w:color w:val="5B9BD5" w:themeColor="accent1"/>
        </w:rPr>
        <w:t xml:space="preserve">: </w:t>
      </w:r>
      <w:r>
        <w:rPr>
          <w:b/>
          <w:color w:val="5B9BD5" w:themeColor="accent1"/>
        </w:rPr>
        <w:t xml:space="preserve">Select Demographic </w:t>
      </w:r>
      <w:r w:rsidR="00C2310F">
        <w:rPr>
          <w:b/>
          <w:color w:val="5B9BD5" w:themeColor="accent1"/>
        </w:rPr>
        <w:t>Characteristics</w:t>
      </w:r>
    </w:p>
    <w:tbl>
      <w:tblPr>
        <w:tblStyle w:val="MediumShading1-Accent11"/>
        <w:tblW w:w="1054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64"/>
        <w:gridCol w:w="1980"/>
        <w:gridCol w:w="810"/>
        <w:gridCol w:w="774"/>
        <w:gridCol w:w="1656"/>
        <w:gridCol w:w="2160"/>
        <w:gridCol w:w="684"/>
        <w:gridCol w:w="720"/>
      </w:tblGrid>
      <w:tr w:rsidR="00607292" w:rsidRPr="000D1DF9" w:rsidTr="004627DB">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0548" w:type="dxa"/>
            <w:gridSpan w:val="8"/>
            <w:tcBorders>
              <w:top w:val="single" w:sz="12" w:space="0" w:color="0070C0"/>
              <w:left w:val="single" w:sz="12" w:space="0" w:color="0070C0"/>
              <w:bottom w:val="single" w:sz="12" w:space="0" w:color="0070C0"/>
              <w:right w:val="single" w:sz="12" w:space="0" w:color="0070C0"/>
            </w:tcBorders>
          </w:tcPr>
          <w:p w:rsidR="00607292" w:rsidRPr="000D1DF9" w:rsidRDefault="00607292" w:rsidP="00607292">
            <w:pPr>
              <w:ind w:left="3672"/>
              <w:rPr>
                <w:rFonts w:asciiTheme="minorHAnsi" w:hAnsiTheme="minorHAnsi"/>
                <w:b w:val="0"/>
                <w:color w:val="FFFFFF"/>
                <w:sz w:val="20"/>
              </w:rPr>
            </w:pPr>
            <w:r w:rsidRPr="000D1DF9">
              <w:rPr>
                <w:rFonts w:asciiTheme="minorHAnsi" w:hAnsiTheme="minorHAnsi"/>
                <w:bCs w:val="0"/>
                <w:color w:val="FFFFFF"/>
                <w:sz w:val="20"/>
              </w:rPr>
              <w:t xml:space="preserve">     </w:t>
            </w:r>
            <w:r>
              <w:rPr>
                <w:rFonts w:asciiTheme="minorHAnsi" w:hAnsiTheme="minorHAnsi"/>
                <w:bCs w:val="0"/>
                <w:color w:val="FFFFFF"/>
                <w:sz w:val="20"/>
              </w:rPr>
              <w:t xml:space="preserve"> </w:t>
            </w:r>
            <w:r w:rsidRPr="000D1DF9">
              <w:rPr>
                <w:rFonts w:asciiTheme="minorHAnsi" w:hAnsiTheme="minorHAnsi"/>
                <w:bCs w:val="0"/>
                <w:color w:val="FFFFFF"/>
                <w:sz w:val="20"/>
              </w:rPr>
              <w:t xml:space="preserve">(n)         </w:t>
            </w:r>
            <w:r>
              <w:rPr>
                <w:rFonts w:asciiTheme="minorHAnsi" w:hAnsiTheme="minorHAnsi"/>
                <w:bCs w:val="0"/>
                <w:color w:val="FFFFFF"/>
                <w:sz w:val="20"/>
              </w:rPr>
              <w:t xml:space="preserve">  </w:t>
            </w:r>
            <w:r w:rsidRPr="000D1DF9">
              <w:rPr>
                <w:rFonts w:asciiTheme="minorHAnsi" w:hAnsiTheme="minorHAnsi"/>
                <w:bCs w:val="0"/>
                <w:color w:val="FFFFFF"/>
                <w:sz w:val="20"/>
              </w:rPr>
              <w:t xml:space="preserve"> %                                                                                       </w:t>
            </w:r>
            <w:r>
              <w:rPr>
                <w:rFonts w:asciiTheme="minorHAnsi" w:hAnsiTheme="minorHAnsi"/>
                <w:bCs w:val="0"/>
                <w:color w:val="FFFFFF"/>
                <w:sz w:val="20"/>
              </w:rPr>
              <w:t xml:space="preserve">           </w:t>
            </w:r>
            <w:r w:rsidRPr="000D1DF9">
              <w:rPr>
                <w:rFonts w:asciiTheme="minorHAnsi" w:hAnsiTheme="minorHAnsi"/>
                <w:bCs w:val="0"/>
                <w:color w:val="FFFFFF"/>
                <w:sz w:val="20"/>
              </w:rPr>
              <w:t xml:space="preserve"> (n)          %                                       </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val="restart"/>
            <w:tcBorders>
              <w:top w:val="single" w:sz="12" w:space="0" w:color="0070C0"/>
              <w:left w:val="single" w:sz="12" w:space="0" w:color="0070C0"/>
              <w:right w:val="single" w:sz="4" w:space="0" w:color="0070C0"/>
            </w:tcBorders>
          </w:tcPr>
          <w:p w:rsidR="006B1338" w:rsidRPr="000D1DF9" w:rsidRDefault="006B1338" w:rsidP="00607292">
            <w:pPr>
              <w:rPr>
                <w:rFonts w:asciiTheme="minorHAnsi" w:hAnsiTheme="minorHAnsi"/>
                <w:sz w:val="20"/>
              </w:rPr>
            </w:pPr>
            <w:r w:rsidRPr="000D1DF9">
              <w:rPr>
                <w:rFonts w:asciiTheme="minorHAnsi" w:hAnsiTheme="minorHAnsi" w:cs="Times New Roman"/>
                <w:w w:val="0"/>
                <w:sz w:val="20"/>
              </w:rPr>
              <w:t>Status of Case at Time of Review</w:t>
            </w:r>
          </w:p>
        </w:tc>
        <w:tc>
          <w:tcPr>
            <w:tcW w:w="1980" w:type="dxa"/>
            <w:tcBorders>
              <w:top w:val="single" w:sz="12" w:space="0" w:color="0070C0"/>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Open</w:t>
            </w:r>
          </w:p>
        </w:tc>
        <w:tc>
          <w:tcPr>
            <w:tcW w:w="810" w:type="dxa"/>
            <w:tcBorders>
              <w:top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(102)</w:t>
            </w:r>
          </w:p>
        </w:tc>
        <w:tc>
          <w:tcPr>
            <w:tcW w:w="774" w:type="dxa"/>
            <w:tcBorders>
              <w:top w:val="single" w:sz="12" w:space="0" w:color="0070C0"/>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85%</w:t>
            </w:r>
          </w:p>
        </w:tc>
        <w:tc>
          <w:tcPr>
            <w:tcW w:w="1656" w:type="dxa"/>
            <w:vMerge w:val="restart"/>
            <w:tcBorders>
              <w:top w:val="single" w:sz="12" w:space="0" w:color="0070C0"/>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0D1DF9">
              <w:rPr>
                <w:rFonts w:asciiTheme="minorHAnsi" w:hAnsiTheme="minorHAnsi"/>
                <w:b/>
                <w:sz w:val="20"/>
              </w:rPr>
              <w:t>Gender</w:t>
            </w:r>
          </w:p>
        </w:tc>
        <w:tc>
          <w:tcPr>
            <w:tcW w:w="2160" w:type="dxa"/>
            <w:tcBorders>
              <w:top w:val="single" w:sz="12" w:space="0" w:color="0070C0"/>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Male</w:t>
            </w:r>
          </w:p>
        </w:tc>
        <w:tc>
          <w:tcPr>
            <w:tcW w:w="684" w:type="dxa"/>
            <w:tcBorders>
              <w:top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(70)</w:t>
            </w:r>
          </w:p>
        </w:tc>
        <w:tc>
          <w:tcPr>
            <w:tcW w:w="720" w:type="dxa"/>
            <w:tcBorders>
              <w:top w:val="single" w:sz="12" w:space="0" w:color="0070C0"/>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58%</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4"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bottom w:val="single" w:sz="12"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Closed</w:t>
            </w:r>
          </w:p>
        </w:tc>
        <w:tc>
          <w:tcPr>
            <w:tcW w:w="810" w:type="dxa"/>
            <w:tcBorders>
              <w:bottom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(18)</w:t>
            </w:r>
          </w:p>
        </w:tc>
        <w:tc>
          <w:tcPr>
            <w:tcW w:w="774" w:type="dxa"/>
            <w:tcBorders>
              <w:bottom w:val="single" w:sz="12" w:space="0" w:color="0070C0"/>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15%</w:t>
            </w:r>
          </w:p>
        </w:tc>
        <w:tc>
          <w:tcPr>
            <w:tcW w:w="1656" w:type="dxa"/>
            <w:vMerge/>
            <w:tcBorders>
              <w:left w:val="single" w:sz="12" w:space="0" w:color="0070C0"/>
              <w:bottom w:val="single" w:sz="4"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bottom w:val="single" w:sz="12"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Female</w:t>
            </w:r>
          </w:p>
        </w:tc>
        <w:tc>
          <w:tcPr>
            <w:tcW w:w="684" w:type="dxa"/>
            <w:tcBorders>
              <w:bottom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(50)</w:t>
            </w:r>
          </w:p>
        </w:tc>
        <w:tc>
          <w:tcPr>
            <w:tcW w:w="720" w:type="dxa"/>
            <w:tcBorders>
              <w:bottom w:val="single" w:sz="12" w:space="0" w:color="0070C0"/>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42%</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val="restart"/>
            <w:tcBorders>
              <w:top w:val="single" w:sz="12" w:space="0" w:color="0070C0"/>
              <w:left w:val="single" w:sz="12" w:space="0" w:color="0070C0"/>
              <w:right w:val="single" w:sz="4" w:space="0" w:color="0070C0"/>
            </w:tcBorders>
          </w:tcPr>
          <w:p w:rsidR="006B1338" w:rsidRPr="000D1DF9" w:rsidRDefault="006B1338" w:rsidP="00607292">
            <w:pPr>
              <w:rPr>
                <w:rFonts w:asciiTheme="minorHAnsi" w:hAnsiTheme="minorHAnsi"/>
                <w:sz w:val="20"/>
              </w:rPr>
            </w:pPr>
            <w:r w:rsidRPr="000D1DF9">
              <w:rPr>
                <w:rFonts w:asciiTheme="minorHAnsi" w:hAnsiTheme="minorHAnsi"/>
                <w:sz w:val="20"/>
              </w:rPr>
              <w:t>Age of Youth</w:t>
            </w:r>
          </w:p>
        </w:tc>
        <w:tc>
          <w:tcPr>
            <w:tcW w:w="1980" w:type="dxa"/>
            <w:tcBorders>
              <w:top w:val="single" w:sz="12" w:space="0" w:color="0070C0"/>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0-4 years</w:t>
            </w:r>
          </w:p>
        </w:tc>
        <w:tc>
          <w:tcPr>
            <w:tcW w:w="810" w:type="dxa"/>
            <w:tcBorders>
              <w:top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(5)</w:t>
            </w:r>
          </w:p>
        </w:tc>
        <w:tc>
          <w:tcPr>
            <w:tcW w:w="774" w:type="dxa"/>
            <w:tcBorders>
              <w:top w:val="single" w:sz="12" w:space="0" w:color="0070C0"/>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4%</w:t>
            </w:r>
          </w:p>
        </w:tc>
        <w:tc>
          <w:tcPr>
            <w:tcW w:w="1656" w:type="dxa"/>
            <w:vMerge w:val="restart"/>
            <w:tcBorders>
              <w:top w:val="single" w:sz="12" w:space="0" w:color="0070C0"/>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0D1DF9">
              <w:rPr>
                <w:rFonts w:asciiTheme="minorHAnsi" w:hAnsiTheme="minorHAnsi"/>
                <w:b/>
                <w:sz w:val="20"/>
              </w:rPr>
              <w:t>Race/Ethnicity</w:t>
            </w:r>
          </w:p>
        </w:tc>
        <w:tc>
          <w:tcPr>
            <w:tcW w:w="2160" w:type="dxa"/>
            <w:tcBorders>
              <w:top w:val="single" w:sz="12" w:space="0" w:color="0070C0"/>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White</w:t>
            </w:r>
          </w:p>
        </w:tc>
        <w:tc>
          <w:tcPr>
            <w:tcW w:w="684" w:type="dxa"/>
            <w:tcBorders>
              <w:top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(50)</w:t>
            </w:r>
          </w:p>
        </w:tc>
        <w:tc>
          <w:tcPr>
            <w:tcW w:w="720" w:type="dxa"/>
            <w:tcBorders>
              <w:top w:val="single" w:sz="12" w:space="0" w:color="0070C0"/>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42%</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5-9 years</w:t>
            </w:r>
          </w:p>
        </w:tc>
        <w:tc>
          <w:tcPr>
            <w:tcW w:w="810"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(45)</w:t>
            </w:r>
          </w:p>
        </w:tc>
        <w:tc>
          <w:tcPr>
            <w:tcW w:w="774"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38%</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Latino/Hispanic</w:t>
            </w:r>
          </w:p>
        </w:tc>
        <w:tc>
          <w:tcPr>
            <w:tcW w:w="684"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(29)</w:t>
            </w:r>
          </w:p>
        </w:tc>
        <w:tc>
          <w:tcPr>
            <w:tcW w:w="720"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24%</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10-13 years</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(39)</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33%</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Biracial/Mixed</w:t>
            </w:r>
          </w:p>
        </w:tc>
        <w:tc>
          <w:tcPr>
            <w:tcW w:w="684"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(19)</w:t>
            </w:r>
          </w:p>
        </w:tc>
        <w:tc>
          <w:tcPr>
            <w:tcW w:w="720"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16%</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14-17 years</w:t>
            </w:r>
          </w:p>
        </w:tc>
        <w:tc>
          <w:tcPr>
            <w:tcW w:w="810"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(25)</w:t>
            </w:r>
          </w:p>
        </w:tc>
        <w:tc>
          <w:tcPr>
            <w:tcW w:w="774"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21%</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Black</w:t>
            </w:r>
          </w:p>
        </w:tc>
        <w:tc>
          <w:tcPr>
            <w:tcW w:w="684"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(12)</w:t>
            </w:r>
          </w:p>
        </w:tc>
        <w:tc>
          <w:tcPr>
            <w:tcW w:w="720"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10%</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4"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bottom w:val="single" w:sz="12"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18-21 years</w:t>
            </w:r>
          </w:p>
        </w:tc>
        <w:tc>
          <w:tcPr>
            <w:tcW w:w="810" w:type="dxa"/>
            <w:tcBorders>
              <w:bottom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(6)</w:t>
            </w:r>
          </w:p>
        </w:tc>
        <w:tc>
          <w:tcPr>
            <w:tcW w:w="774" w:type="dxa"/>
            <w:tcBorders>
              <w:bottom w:val="single" w:sz="12" w:space="0" w:color="0070C0"/>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5%</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Other</w:t>
            </w:r>
          </w:p>
        </w:tc>
        <w:tc>
          <w:tcPr>
            <w:tcW w:w="684"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(8)</w:t>
            </w:r>
          </w:p>
        </w:tc>
        <w:tc>
          <w:tcPr>
            <w:tcW w:w="720"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7%</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val="restart"/>
            <w:tcBorders>
              <w:top w:val="single" w:sz="4" w:space="0" w:color="0070C0"/>
              <w:left w:val="single" w:sz="12" w:space="0" w:color="0070C0"/>
              <w:right w:val="single" w:sz="4" w:space="0" w:color="0070C0"/>
            </w:tcBorders>
          </w:tcPr>
          <w:p w:rsidR="006B1338" w:rsidRPr="000D1DF9" w:rsidRDefault="006B1338" w:rsidP="00607292">
            <w:pPr>
              <w:rPr>
                <w:rFonts w:asciiTheme="minorHAnsi" w:hAnsiTheme="minorHAnsi"/>
                <w:sz w:val="20"/>
              </w:rPr>
            </w:pPr>
            <w:r w:rsidRPr="000D1DF9">
              <w:rPr>
                <w:rFonts w:asciiTheme="minorHAnsi" w:hAnsiTheme="minorHAnsi"/>
                <w:sz w:val="20"/>
              </w:rPr>
              <w:t>&gt;1 Behavioral Health Condition</w:t>
            </w:r>
          </w:p>
        </w:tc>
        <w:tc>
          <w:tcPr>
            <w:tcW w:w="1980" w:type="dxa"/>
            <w:tcBorders>
              <w:top w:val="single" w:sz="12" w:space="0" w:color="0070C0"/>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Yes</w:t>
            </w:r>
          </w:p>
        </w:tc>
        <w:tc>
          <w:tcPr>
            <w:tcW w:w="810" w:type="dxa"/>
            <w:tcBorders>
              <w:top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(84)</w:t>
            </w:r>
          </w:p>
        </w:tc>
        <w:tc>
          <w:tcPr>
            <w:tcW w:w="774" w:type="dxa"/>
            <w:tcBorders>
              <w:top w:val="single" w:sz="12" w:space="0" w:color="0070C0"/>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70%</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Asian</w:t>
            </w:r>
          </w:p>
        </w:tc>
        <w:tc>
          <w:tcPr>
            <w:tcW w:w="684"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w:t>
            </w:r>
          </w:p>
        </w:tc>
        <w:tc>
          <w:tcPr>
            <w:tcW w:w="720"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4"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bottom w:val="single" w:sz="12"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No</w:t>
            </w:r>
          </w:p>
        </w:tc>
        <w:tc>
          <w:tcPr>
            <w:tcW w:w="810" w:type="dxa"/>
            <w:tcBorders>
              <w:bottom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(36)</w:t>
            </w:r>
          </w:p>
        </w:tc>
        <w:tc>
          <w:tcPr>
            <w:tcW w:w="774" w:type="dxa"/>
            <w:tcBorders>
              <w:bottom w:val="single" w:sz="12" w:space="0" w:color="0070C0"/>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30%</w:t>
            </w:r>
          </w:p>
        </w:tc>
        <w:tc>
          <w:tcPr>
            <w:tcW w:w="1656" w:type="dxa"/>
            <w:vMerge/>
            <w:tcBorders>
              <w:left w:val="single" w:sz="12" w:space="0" w:color="0070C0"/>
              <w:bottom w:val="single" w:sz="4"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bottom w:val="single" w:sz="12"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Native American</w:t>
            </w:r>
          </w:p>
        </w:tc>
        <w:tc>
          <w:tcPr>
            <w:tcW w:w="684" w:type="dxa"/>
            <w:tcBorders>
              <w:bottom w:val="single" w:sz="12" w:space="0" w:color="0070C0"/>
            </w:tcBorders>
          </w:tcPr>
          <w:p w:rsidR="006B1338"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w:t>
            </w:r>
          </w:p>
        </w:tc>
        <w:tc>
          <w:tcPr>
            <w:tcW w:w="720" w:type="dxa"/>
            <w:tcBorders>
              <w:bottom w:val="single" w:sz="12" w:space="0" w:color="0070C0"/>
              <w:right w:val="single" w:sz="12" w:space="0" w:color="0070C0"/>
            </w:tcBorders>
          </w:tcPr>
          <w:p w:rsidR="006B1338"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val="restart"/>
            <w:tcBorders>
              <w:top w:val="single" w:sz="12" w:space="0" w:color="0070C0"/>
              <w:left w:val="single" w:sz="12" w:space="0" w:color="0070C0"/>
              <w:right w:val="single" w:sz="4" w:space="0" w:color="0070C0"/>
            </w:tcBorders>
          </w:tcPr>
          <w:p w:rsidR="006B1338" w:rsidRPr="000D1DF9" w:rsidRDefault="006B1338" w:rsidP="00607292">
            <w:pPr>
              <w:rPr>
                <w:rFonts w:asciiTheme="minorHAnsi" w:hAnsiTheme="minorHAnsi"/>
                <w:sz w:val="20"/>
              </w:rPr>
            </w:pPr>
            <w:r>
              <w:rPr>
                <w:rFonts w:asciiTheme="minorHAnsi" w:hAnsiTheme="minorHAnsi"/>
                <w:sz w:val="20"/>
              </w:rPr>
              <w:t>Behavioral Health Conditions</w:t>
            </w:r>
          </w:p>
        </w:tc>
        <w:tc>
          <w:tcPr>
            <w:tcW w:w="1980" w:type="dxa"/>
            <w:tcBorders>
              <w:top w:val="single" w:sz="12" w:space="0" w:color="0070C0"/>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ADD/ADHD</w:t>
            </w:r>
          </w:p>
        </w:tc>
        <w:tc>
          <w:tcPr>
            <w:tcW w:w="810" w:type="dxa"/>
            <w:tcBorders>
              <w:top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(54)</w:t>
            </w:r>
          </w:p>
        </w:tc>
        <w:tc>
          <w:tcPr>
            <w:tcW w:w="774" w:type="dxa"/>
            <w:tcBorders>
              <w:top w:val="single" w:sz="12" w:space="0" w:color="0070C0"/>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45%</w:t>
            </w:r>
          </w:p>
        </w:tc>
        <w:tc>
          <w:tcPr>
            <w:tcW w:w="1656" w:type="dxa"/>
            <w:vMerge w:val="restart"/>
            <w:tcBorders>
              <w:top w:val="single" w:sz="12" w:space="0" w:color="0070C0"/>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b/>
                <w:sz w:val="20"/>
              </w:rPr>
              <w:t>Interventions (Current)</w:t>
            </w:r>
          </w:p>
        </w:tc>
        <w:tc>
          <w:tcPr>
            <w:tcW w:w="2160" w:type="dxa"/>
            <w:tcBorders>
              <w:top w:val="single" w:sz="12" w:space="0" w:color="0070C0"/>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In-Home Therapy (IHT)</w:t>
            </w:r>
          </w:p>
        </w:tc>
        <w:tc>
          <w:tcPr>
            <w:tcW w:w="684" w:type="dxa"/>
            <w:tcBorders>
              <w:top w:val="single" w:sz="12" w:space="0" w:color="0070C0"/>
            </w:tcBorders>
          </w:tcPr>
          <w:p w:rsidR="006B1338"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(75)</w:t>
            </w:r>
          </w:p>
        </w:tc>
        <w:tc>
          <w:tcPr>
            <w:tcW w:w="720" w:type="dxa"/>
            <w:tcBorders>
              <w:top w:val="single" w:sz="12" w:space="0" w:color="0070C0"/>
              <w:right w:val="single" w:sz="12" w:space="0" w:color="0070C0"/>
            </w:tcBorders>
          </w:tcPr>
          <w:p w:rsidR="006B1338"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63%</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jc w:val="cente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Mood Disorder</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(44)</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37%</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Individual C</w:t>
            </w:r>
            <w:r w:rsidRPr="000D1DF9">
              <w:rPr>
                <w:rFonts w:asciiTheme="minorHAnsi" w:hAnsiTheme="minorHAnsi" w:cs="Times New Roman"/>
                <w:w w:val="0"/>
                <w:sz w:val="20"/>
              </w:rPr>
              <w:t>ounseling</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(63)</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53%</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Anxiety Disorder</w:t>
            </w:r>
          </w:p>
        </w:tc>
        <w:tc>
          <w:tcPr>
            <w:tcW w:w="810"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(38)</w:t>
            </w:r>
          </w:p>
        </w:tc>
        <w:tc>
          <w:tcPr>
            <w:tcW w:w="774"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32%</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Psyc</w:t>
            </w:r>
            <w:r>
              <w:rPr>
                <w:rFonts w:asciiTheme="minorHAnsi" w:hAnsiTheme="minorHAnsi" w:cs="Times New Roman"/>
                <w:w w:val="0"/>
                <w:sz w:val="20"/>
              </w:rPr>
              <w:t>hopharmacology</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(59)</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49%</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PTSD</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(28)</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23%</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Intensive Care Coordination (ICC)</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(55)</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46%</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935656">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 xml:space="preserve">Anger/Impulse Control </w:t>
            </w:r>
          </w:p>
        </w:tc>
        <w:tc>
          <w:tcPr>
            <w:tcW w:w="810"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(23)</w:t>
            </w:r>
          </w:p>
        </w:tc>
        <w:tc>
          <w:tcPr>
            <w:tcW w:w="774"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19%</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Therapeutic Mentoring</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(56)</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47%</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Autism/Autism Spectrum Disorder</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(17)</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14%</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FS&amp;T (</w:t>
            </w:r>
            <w:r w:rsidRPr="000D1DF9">
              <w:rPr>
                <w:rFonts w:asciiTheme="minorHAnsi" w:hAnsiTheme="minorHAnsi" w:cs="Times New Roman"/>
                <w:w w:val="0"/>
                <w:sz w:val="20"/>
              </w:rPr>
              <w:t>Family Partner)</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(51)</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43%</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Disruptive Behavior Disorder</w:t>
            </w:r>
          </w:p>
        </w:tc>
        <w:tc>
          <w:tcPr>
            <w:tcW w:w="810"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(15)</w:t>
            </w:r>
          </w:p>
        </w:tc>
        <w:tc>
          <w:tcPr>
            <w:tcW w:w="774"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13%</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Therapeutic Training &amp; Support</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(47)</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39%</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Adjustment Disorder</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(13)</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11%</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Recreation activities</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(17)</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14%</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935656">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Learning Disorder</w:t>
            </w:r>
          </w:p>
        </w:tc>
        <w:tc>
          <w:tcPr>
            <w:tcW w:w="810" w:type="dxa"/>
          </w:tcPr>
          <w:p w:rsidR="006B1338" w:rsidRPr="000D1DF9" w:rsidRDefault="006B1338" w:rsidP="00183C0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(10)</w:t>
            </w:r>
          </w:p>
        </w:tc>
        <w:tc>
          <w:tcPr>
            <w:tcW w:w="774" w:type="dxa"/>
            <w:tcBorders>
              <w:right w:val="single" w:sz="12" w:space="0" w:color="0070C0"/>
            </w:tcBorders>
          </w:tcPr>
          <w:p w:rsidR="006B1338" w:rsidRPr="000D1DF9" w:rsidRDefault="006B1338" w:rsidP="00183C0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8%</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In- Home Behavioral Services (IHBS)</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(16)</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13%</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Communication Disorder</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(7)</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6%</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 xml:space="preserve">Mobile Crisis Intervention </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(7)</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6%</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 xml:space="preserve">Other </w:t>
            </w:r>
          </w:p>
        </w:tc>
        <w:tc>
          <w:tcPr>
            <w:tcW w:w="810" w:type="dxa"/>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(6)</w:t>
            </w:r>
          </w:p>
        </w:tc>
        <w:tc>
          <w:tcPr>
            <w:tcW w:w="774" w:type="dxa"/>
            <w:tcBorders>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5%</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Inpatient/CBAT</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D1DF9">
              <w:rPr>
                <w:rFonts w:asciiTheme="minorHAnsi" w:hAnsiTheme="minorHAnsi"/>
                <w:sz w:val="20"/>
              </w:rPr>
              <w:t>Intellectual Disability</w:t>
            </w:r>
          </w:p>
        </w:tc>
        <w:tc>
          <w:tcPr>
            <w:tcW w:w="810" w:type="dxa"/>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(6)</w:t>
            </w:r>
          </w:p>
        </w:tc>
        <w:tc>
          <w:tcPr>
            <w:tcW w:w="774" w:type="dxa"/>
            <w:tcBorders>
              <w:right w:val="single" w:sz="12" w:space="0" w:color="0070C0"/>
            </w:tcBorders>
          </w:tcPr>
          <w:p w:rsidR="006B1338" w:rsidRPr="000D1DF9" w:rsidRDefault="006B1338" w:rsidP="0060729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5%</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Group counseling</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(4)</w:t>
            </w:r>
          </w:p>
        </w:tc>
        <w:tc>
          <w:tcPr>
            <w:tcW w:w="720" w:type="dxa"/>
            <w:tcBorders>
              <w:right w:val="single" w:sz="12" w:space="0" w:color="0070C0"/>
            </w:tcBorders>
          </w:tcPr>
          <w:p w:rsidR="006B1338" w:rsidRPr="00F35D78"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F35D78">
              <w:rPr>
                <w:rFonts w:asciiTheme="minorHAnsi" w:hAnsiTheme="minorHAnsi" w:cs="Times New Roman"/>
                <w:w w:val="0"/>
                <w:sz w:val="20"/>
              </w:rPr>
              <w:t>3%</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4"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bottom w:val="single" w:sz="12"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D1DF9">
              <w:rPr>
                <w:rFonts w:asciiTheme="minorHAnsi" w:hAnsiTheme="minorHAnsi"/>
                <w:sz w:val="20"/>
              </w:rPr>
              <w:t xml:space="preserve">Substance </w:t>
            </w:r>
            <w:r>
              <w:rPr>
                <w:rFonts w:asciiTheme="minorHAnsi" w:hAnsiTheme="minorHAnsi"/>
                <w:sz w:val="20"/>
              </w:rPr>
              <w:t>U</w:t>
            </w:r>
            <w:r w:rsidRPr="000D1DF9">
              <w:rPr>
                <w:rFonts w:asciiTheme="minorHAnsi" w:hAnsiTheme="minorHAnsi"/>
                <w:sz w:val="20"/>
              </w:rPr>
              <w:t>se/Dependence</w:t>
            </w:r>
          </w:p>
        </w:tc>
        <w:tc>
          <w:tcPr>
            <w:tcW w:w="810" w:type="dxa"/>
            <w:tcBorders>
              <w:bottom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w:t>
            </w:r>
          </w:p>
        </w:tc>
        <w:tc>
          <w:tcPr>
            <w:tcW w:w="774" w:type="dxa"/>
            <w:tcBorders>
              <w:bottom w:val="single" w:sz="12" w:space="0" w:color="0070C0"/>
              <w:right w:val="single" w:sz="12" w:space="0" w:color="0070C0"/>
            </w:tcBorders>
          </w:tcPr>
          <w:p w:rsidR="006B1338" w:rsidRPr="000D1DF9" w:rsidRDefault="006B1338" w:rsidP="0060729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1%</w:t>
            </w:r>
          </w:p>
        </w:tc>
        <w:tc>
          <w:tcPr>
            <w:tcW w:w="1656" w:type="dxa"/>
            <w:vMerge/>
            <w:tcBorders>
              <w:left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Family counseling</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w:t>
            </w:r>
          </w:p>
        </w:tc>
        <w:tc>
          <w:tcPr>
            <w:tcW w:w="720" w:type="dxa"/>
            <w:tcBorders>
              <w:right w:val="single" w:sz="12" w:space="0" w:color="0070C0"/>
            </w:tcBorders>
          </w:tcPr>
          <w:p w:rsidR="006B1338" w:rsidRPr="00F35D78"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F35D78">
              <w:rPr>
                <w:rFonts w:asciiTheme="minorHAnsi" w:hAnsiTheme="minorHAnsi" w:cs="Times New Roman"/>
                <w:w w:val="0"/>
                <w:sz w:val="20"/>
              </w:rPr>
              <w:t>2.5%</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val="restart"/>
            <w:tcBorders>
              <w:top w:val="single" w:sz="4" w:space="0" w:color="0070C0"/>
              <w:left w:val="single" w:sz="12" w:space="0" w:color="0070C0"/>
              <w:bottom w:val="single" w:sz="12" w:space="0" w:color="0070C0"/>
              <w:right w:val="single" w:sz="4" w:space="0" w:color="0070C0"/>
            </w:tcBorders>
          </w:tcPr>
          <w:p w:rsidR="006B1338" w:rsidRPr="000D1DF9" w:rsidRDefault="006B1338" w:rsidP="00607292">
            <w:pPr>
              <w:rPr>
                <w:rFonts w:asciiTheme="minorHAnsi" w:hAnsiTheme="minorHAnsi"/>
                <w:sz w:val="20"/>
              </w:rPr>
            </w:pPr>
            <w:r w:rsidRPr="000D1DF9">
              <w:rPr>
                <w:rFonts w:asciiTheme="minorHAnsi" w:hAnsiTheme="minorHAnsi"/>
                <w:sz w:val="20"/>
              </w:rPr>
              <w:t>Service System Use (Current)</w:t>
            </w:r>
          </w:p>
        </w:tc>
        <w:tc>
          <w:tcPr>
            <w:tcW w:w="1980" w:type="dxa"/>
            <w:tcBorders>
              <w:top w:val="single" w:sz="12" w:space="0" w:color="0070C0"/>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Special Ed</w:t>
            </w:r>
            <w:r>
              <w:rPr>
                <w:rFonts w:asciiTheme="minorHAnsi" w:hAnsiTheme="minorHAnsi" w:cs="Times New Roman"/>
                <w:w w:val="0"/>
                <w:sz w:val="20"/>
              </w:rPr>
              <w:t>ucation</w:t>
            </w:r>
          </w:p>
        </w:tc>
        <w:tc>
          <w:tcPr>
            <w:tcW w:w="810" w:type="dxa"/>
            <w:tcBorders>
              <w:top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(79)</w:t>
            </w:r>
          </w:p>
        </w:tc>
        <w:tc>
          <w:tcPr>
            <w:tcW w:w="774" w:type="dxa"/>
            <w:tcBorders>
              <w:top w:val="single" w:sz="12" w:space="0" w:color="0070C0"/>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66%</w:t>
            </w:r>
          </w:p>
        </w:tc>
        <w:tc>
          <w:tcPr>
            <w:tcW w:w="1656" w:type="dxa"/>
            <w:vMerge/>
            <w:tcBorders>
              <w:left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216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Substance Use Treatment</w:t>
            </w:r>
          </w:p>
        </w:tc>
        <w:tc>
          <w:tcPr>
            <w:tcW w:w="684"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w:t>
            </w:r>
          </w:p>
        </w:tc>
        <w:tc>
          <w:tcPr>
            <w:tcW w:w="720"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DCF</w:t>
            </w:r>
          </w:p>
        </w:tc>
        <w:tc>
          <w:tcPr>
            <w:tcW w:w="810"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(32)</w:t>
            </w:r>
          </w:p>
        </w:tc>
        <w:tc>
          <w:tcPr>
            <w:tcW w:w="774"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27%</w:t>
            </w:r>
          </w:p>
        </w:tc>
        <w:tc>
          <w:tcPr>
            <w:tcW w:w="1656" w:type="dxa"/>
            <w:vMerge/>
            <w:tcBorders>
              <w:left w:val="single" w:sz="12" w:space="0" w:color="0070C0"/>
              <w:bottom w:val="single" w:sz="4"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2160" w:type="dxa"/>
            <w:tcBorders>
              <w:left w:val="single" w:sz="4" w:space="0" w:color="0070C0"/>
              <w:bottom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 xml:space="preserve">Day </w:t>
            </w:r>
            <w:proofErr w:type="spellStart"/>
            <w:r w:rsidRPr="000D1DF9">
              <w:rPr>
                <w:rFonts w:asciiTheme="minorHAnsi" w:hAnsiTheme="minorHAnsi" w:cs="Times New Roman"/>
                <w:w w:val="0"/>
                <w:sz w:val="20"/>
              </w:rPr>
              <w:t>tx</w:t>
            </w:r>
            <w:proofErr w:type="spellEnd"/>
            <w:r w:rsidRPr="000D1DF9">
              <w:rPr>
                <w:rFonts w:asciiTheme="minorHAnsi" w:hAnsiTheme="minorHAnsi" w:cs="Times New Roman"/>
                <w:w w:val="0"/>
                <w:sz w:val="20"/>
              </w:rPr>
              <w:t>/Partial Hosp.</w:t>
            </w:r>
          </w:p>
        </w:tc>
        <w:tc>
          <w:tcPr>
            <w:tcW w:w="684" w:type="dxa"/>
            <w:tcBorders>
              <w:bottom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w:t>
            </w:r>
          </w:p>
        </w:tc>
        <w:tc>
          <w:tcPr>
            <w:tcW w:w="720" w:type="dxa"/>
            <w:tcBorders>
              <w:bottom w:val="single" w:sz="12" w:space="0" w:color="0070C0"/>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DMH</w:t>
            </w:r>
          </w:p>
        </w:tc>
        <w:tc>
          <w:tcPr>
            <w:tcW w:w="810"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(7)</w:t>
            </w:r>
          </w:p>
        </w:tc>
        <w:tc>
          <w:tcPr>
            <w:tcW w:w="774"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6%</w:t>
            </w:r>
          </w:p>
        </w:tc>
        <w:tc>
          <w:tcPr>
            <w:tcW w:w="1656" w:type="dxa"/>
            <w:vMerge w:val="restart"/>
            <w:tcBorders>
              <w:top w:val="single" w:sz="4" w:space="0" w:color="0070C0"/>
              <w:left w:val="single" w:sz="12" w:space="0" w:color="0070C0"/>
              <w:bottom w:val="single" w:sz="12" w:space="0" w:color="0070C0"/>
              <w:right w:val="single" w:sz="4" w:space="0" w:color="0070C0"/>
            </w:tcBorders>
          </w:tcPr>
          <w:p w:rsidR="006B1338" w:rsidRPr="000D1DF9" w:rsidRDefault="006B1338" w:rsidP="00607292">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0D1DF9">
              <w:rPr>
                <w:rFonts w:asciiTheme="minorHAnsi" w:hAnsiTheme="minorHAnsi"/>
                <w:b/>
                <w:sz w:val="20"/>
              </w:rPr>
              <w:t>DCF Involved (Past Year)</w:t>
            </w:r>
            <w:r>
              <w:rPr>
                <w:rFonts w:asciiTheme="minorHAnsi" w:hAnsiTheme="minorHAnsi"/>
                <w:b/>
                <w:sz w:val="20"/>
              </w:rPr>
              <w:t>*</w:t>
            </w:r>
          </w:p>
        </w:tc>
        <w:tc>
          <w:tcPr>
            <w:tcW w:w="2160" w:type="dxa"/>
            <w:tcBorders>
              <w:top w:val="single" w:sz="12" w:space="0" w:color="0070C0"/>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No</w:t>
            </w:r>
          </w:p>
        </w:tc>
        <w:tc>
          <w:tcPr>
            <w:tcW w:w="684" w:type="dxa"/>
            <w:tcBorders>
              <w:top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(99)</w:t>
            </w:r>
          </w:p>
        </w:tc>
        <w:tc>
          <w:tcPr>
            <w:tcW w:w="720" w:type="dxa"/>
            <w:tcBorders>
              <w:top w:val="single" w:sz="12" w:space="0" w:color="0070C0"/>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83%</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Child Requiring Assistance (CRA)</w:t>
            </w:r>
          </w:p>
        </w:tc>
        <w:tc>
          <w:tcPr>
            <w:tcW w:w="810" w:type="dxa"/>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(6)</w:t>
            </w:r>
          </w:p>
        </w:tc>
        <w:tc>
          <w:tcPr>
            <w:tcW w:w="774" w:type="dxa"/>
            <w:tcBorders>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5%</w:t>
            </w:r>
          </w:p>
        </w:tc>
        <w:tc>
          <w:tcPr>
            <w:tcW w:w="1656" w:type="dxa"/>
            <w:vMerge/>
            <w:tcBorders>
              <w:left w:val="single" w:sz="12" w:space="0" w:color="0070C0"/>
              <w:bottom w:val="single" w:sz="12" w:space="0" w:color="0070C0"/>
              <w:right w:val="single" w:sz="4" w:space="0" w:color="0070C0"/>
            </w:tcBorders>
          </w:tcPr>
          <w:p w:rsidR="006B1338" w:rsidRPr="000D1DF9" w:rsidRDefault="006B1338" w:rsidP="00607292">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rPr>
            </w:pPr>
          </w:p>
        </w:tc>
        <w:tc>
          <w:tcPr>
            <w:tcW w:w="2160" w:type="dxa"/>
            <w:tcBorders>
              <w:left w:val="single" w:sz="4" w:space="0" w:color="0070C0"/>
              <w:bottom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Yes</w:t>
            </w:r>
          </w:p>
        </w:tc>
        <w:tc>
          <w:tcPr>
            <w:tcW w:w="684" w:type="dxa"/>
            <w:tcBorders>
              <w:bottom w:val="single" w:sz="12" w:space="0" w:color="0070C0"/>
            </w:tcBorders>
          </w:tcPr>
          <w:p w:rsidR="006B1338" w:rsidRPr="000D1DF9" w:rsidRDefault="006B1338" w:rsidP="009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(21)</w:t>
            </w:r>
          </w:p>
        </w:tc>
        <w:tc>
          <w:tcPr>
            <w:tcW w:w="720" w:type="dxa"/>
            <w:tcBorders>
              <w:bottom w:val="single" w:sz="12" w:space="0" w:color="0070C0"/>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18%</w:t>
            </w:r>
          </w:p>
        </w:tc>
      </w:tr>
      <w:tr w:rsidR="006B1338" w:rsidRPr="000D1DF9" w:rsidTr="006B13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DDS</w:t>
            </w:r>
          </w:p>
        </w:tc>
        <w:tc>
          <w:tcPr>
            <w:tcW w:w="810" w:type="dxa"/>
          </w:tcPr>
          <w:p w:rsidR="006B1338"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w:t>
            </w:r>
          </w:p>
        </w:tc>
        <w:tc>
          <w:tcPr>
            <w:tcW w:w="774" w:type="dxa"/>
            <w:tcBorders>
              <w:right w:val="single" w:sz="12" w:space="0" w:color="0070C0"/>
            </w:tcBorders>
          </w:tcPr>
          <w:p w:rsidR="006B1338"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w:t>
            </w:r>
          </w:p>
        </w:tc>
        <w:tc>
          <w:tcPr>
            <w:tcW w:w="5220" w:type="dxa"/>
            <w:gridSpan w:val="4"/>
            <w:vMerge w:val="restart"/>
            <w:tcBorders>
              <w:top w:val="single" w:sz="12" w:space="0" w:color="0070C0"/>
              <w:left w:val="single" w:sz="12" w:space="0" w:color="0070C0"/>
              <w:right w:val="single" w:sz="12" w:space="0" w:color="0070C0"/>
            </w:tcBorders>
          </w:tcPr>
          <w:p w:rsidR="006B1338" w:rsidRPr="002C03C5" w:rsidRDefault="006B1338" w:rsidP="002C0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w w:val="0"/>
                <w:sz w:val="18"/>
                <w:szCs w:val="18"/>
              </w:rPr>
            </w:pPr>
            <w:r w:rsidRPr="002C03C5">
              <w:rPr>
                <w:rFonts w:asciiTheme="minorHAnsi" w:hAnsiTheme="minorHAnsi"/>
                <w:sz w:val="18"/>
                <w:szCs w:val="18"/>
              </w:rPr>
              <w:t>*Exclud</w:t>
            </w:r>
            <w:r>
              <w:rPr>
                <w:rFonts w:asciiTheme="minorHAnsi" w:hAnsiTheme="minorHAnsi"/>
                <w:sz w:val="18"/>
                <w:szCs w:val="18"/>
              </w:rPr>
              <w:t>es</w:t>
            </w:r>
            <w:r w:rsidRPr="002C03C5">
              <w:rPr>
                <w:rFonts w:asciiTheme="minorHAnsi" w:hAnsiTheme="minorHAnsi"/>
                <w:sz w:val="18"/>
                <w:szCs w:val="18"/>
              </w:rPr>
              <w:t xml:space="preserve"> those with current DCF involvement</w:t>
            </w:r>
          </w:p>
        </w:tc>
      </w:tr>
      <w:tr w:rsidR="006B1338" w:rsidRPr="000D1DF9" w:rsidTr="006B1338">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64" w:type="dxa"/>
            <w:vMerge/>
            <w:tcBorders>
              <w:left w:val="single" w:sz="12" w:space="0" w:color="0070C0"/>
              <w:bottom w:val="single" w:sz="12" w:space="0" w:color="0070C0"/>
              <w:right w:val="single" w:sz="4" w:space="0" w:color="0070C0"/>
            </w:tcBorders>
          </w:tcPr>
          <w:p w:rsidR="006B1338" w:rsidRPr="000D1DF9" w:rsidRDefault="006B1338" w:rsidP="00607292">
            <w:pPr>
              <w:rPr>
                <w:rFonts w:asciiTheme="minorHAnsi" w:hAnsiTheme="minorHAnsi"/>
                <w:sz w:val="20"/>
              </w:rPr>
            </w:pPr>
          </w:p>
        </w:tc>
        <w:tc>
          <w:tcPr>
            <w:tcW w:w="1980" w:type="dxa"/>
            <w:tcBorders>
              <w:left w:val="single" w:sz="4" w:space="0" w:color="0070C0"/>
              <w:bottom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sidRPr="000D1DF9">
              <w:rPr>
                <w:rFonts w:asciiTheme="minorHAnsi" w:hAnsiTheme="minorHAnsi" w:cs="Times New Roman"/>
                <w:w w:val="0"/>
                <w:sz w:val="20"/>
              </w:rPr>
              <w:t>Probation</w:t>
            </w:r>
          </w:p>
        </w:tc>
        <w:tc>
          <w:tcPr>
            <w:tcW w:w="810" w:type="dxa"/>
            <w:tcBorders>
              <w:bottom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w:t>
            </w:r>
          </w:p>
        </w:tc>
        <w:tc>
          <w:tcPr>
            <w:tcW w:w="774" w:type="dxa"/>
            <w:tcBorders>
              <w:bottom w:val="single" w:sz="12" w:space="0" w:color="0070C0"/>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r>
              <w:rPr>
                <w:rFonts w:asciiTheme="minorHAnsi" w:hAnsiTheme="minorHAnsi" w:cs="Times New Roman"/>
                <w:w w:val="0"/>
                <w:sz w:val="20"/>
              </w:rPr>
              <w:t>3%</w:t>
            </w:r>
          </w:p>
        </w:tc>
        <w:tc>
          <w:tcPr>
            <w:tcW w:w="5220" w:type="dxa"/>
            <w:gridSpan w:val="4"/>
            <w:vMerge/>
            <w:tcBorders>
              <w:left w:val="single" w:sz="12" w:space="0" w:color="0070C0"/>
              <w:bottom w:val="single" w:sz="12" w:space="0" w:color="0070C0"/>
              <w:right w:val="single" w:sz="12" w:space="0" w:color="0070C0"/>
            </w:tcBorders>
          </w:tcPr>
          <w:p w:rsidR="006B1338" w:rsidRPr="000D1DF9" w:rsidRDefault="006B1338" w:rsidP="00607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imes New Roman"/>
                <w:w w:val="0"/>
                <w:sz w:val="20"/>
              </w:rPr>
            </w:pPr>
          </w:p>
        </w:tc>
      </w:tr>
    </w:tbl>
    <w:p w:rsidR="002F11C3" w:rsidRDefault="004F1ACA" w:rsidP="004F1ACA">
      <w:pPr>
        <w:pStyle w:val="Heading2"/>
      </w:pPr>
      <w:bookmarkStart w:id="20" w:name="_Toc467143017"/>
      <w:r w:rsidRPr="004F1ACA">
        <w:t>Practice Domain</w:t>
      </w:r>
      <w:r w:rsidR="002F11C3">
        <w:t>s</w:t>
      </w:r>
      <w:bookmarkEnd w:id="20"/>
    </w:p>
    <w:p w:rsidR="002F11C3" w:rsidRPr="007F3A22" w:rsidRDefault="002F11C3" w:rsidP="002F11C3">
      <w:pPr>
        <w:pStyle w:val="Heading3"/>
        <w:rPr>
          <w:rFonts w:asciiTheme="minorHAnsi" w:hAnsiTheme="minorHAnsi"/>
        </w:rPr>
      </w:pPr>
      <w:bookmarkStart w:id="21" w:name="_Toc467143018"/>
      <w:r w:rsidRPr="007F3A22">
        <w:rPr>
          <w:rFonts w:asciiTheme="minorHAnsi" w:hAnsiTheme="minorHAnsi"/>
        </w:rPr>
        <w:t>Overall &amp; Domain Mean Scores</w:t>
      </w:r>
      <w:bookmarkEnd w:id="21"/>
    </w:p>
    <w:p w:rsidR="00B1096C" w:rsidRPr="001F2F61" w:rsidRDefault="00B1096C" w:rsidP="00B1096C">
      <w:r w:rsidRPr="001F2F61">
        <w:t xml:space="preserve">As mentioned previously, MPR scores range from 1 to 5, with 1 </w:t>
      </w:r>
      <w:r>
        <w:t xml:space="preserve">representing </w:t>
      </w:r>
      <w:r w:rsidR="006569DE">
        <w:t>A</w:t>
      </w:r>
      <w:r w:rsidRPr="001F2F61">
        <w:t>dverse practice</w:t>
      </w:r>
      <w:r>
        <w:t xml:space="preserve">, 2 </w:t>
      </w:r>
      <w:r w:rsidR="003A585A">
        <w:t>being</w:t>
      </w:r>
      <w:r w:rsidR="00BA6971">
        <w:t xml:space="preserve"> </w:t>
      </w:r>
      <w:r w:rsidR="006569DE">
        <w:t>P</w:t>
      </w:r>
      <w:r>
        <w:t xml:space="preserve">oor practice, 3 </w:t>
      </w:r>
      <w:r w:rsidR="003A585A">
        <w:t>being</w:t>
      </w:r>
      <w:r w:rsidR="00BA6971">
        <w:t xml:space="preserve"> </w:t>
      </w:r>
      <w:r w:rsidR="006569DE">
        <w:t>F</w:t>
      </w:r>
      <w:r>
        <w:t xml:space="preserve">air practice, 4 </w:t>
      </w:r>
      <w:r w:rsidR="003A585A">
        <w:t>being</w:t>
      </w:r>
      <w:r w:rsidR="00BA6971">
        <w:t xml:space="preserve"> </w:t>
      </w:r>
      <w:r w:rsidR="006569DE">
        <w:t>G</w:t>
      </w:r>
      <w:r>
        <w:t>ood practice</w:t>
      </w:r>
      <w:r w:rsidR="00F65653">
        <w:t>,</w:t>
      </w:r>
      <w:r>
        <w:t xml:space="preserve"> and </w:t>
      </w:r>
      <w:r w:rsidR="003A585A">
        <w:t xml:space="preserve">5 representing </w:t>
      </w:r>
      <w:r w:rsidR="006569DE">
        <w:t>Exemplary/B</w:t>
      </w:r>
      <w:r w:rsidRPr="001F2F61">
        <w:t>est practice.</w:t>
      </w:r>
      <w:r w:rsidR="00BB0039">
        <w:t xml:space="preserve"> The level of practice for a </w:t>
      </w:r>
      <w:r w:rsidR="00E5645A">
        <w:t>D</w:t>
      </w:r>
      <w:r w:rsidR="00BB0039">
        <w:t xml:space="preserve">omain or </w:t>
      </w:r>
      <w:r w:rsidR="00E5645A">
        <w:t>A</w:t>
      </w:r>
      <w:r w:rsidR="00BB0039">
        <w:t xml:space="preserve">rea can be summarized by giving the mean rating score, or by giving the percentage </w:t>
      </w:r>
      <w:r w:rsidR="00BB0039">
        <w:lastRenderedPageBreak/>
        <w:t xml:space="preserve">of cases scoring at or above a certain level (such as Fair and above, or Good and above). In the following discussion of </w:t>
      </w:r>
      <w:r w:rsidR="00CF40FD">
        <w:t>Do</w:t>
      </w:r>
      <w:r w:rsidR="00BB0039">
        <w:t xml:space="preserve">mains and </w:t>
      </w:r>
      <w:r w:rsidR="00CF40FD">
        <w:t>A</w:t>
      </w:r>
      <w:r w:rsidR="00BB0039">
        <w:t>reas we</w:t>
      </w:r>
      <w:r w:rsidR="001F4426">
        <w:t xml:space="preserve"> do both: we </w:t>
      </w:r>
      <w:r w:rsidR="00BB0039">
        <w:t>cite mean scores</w:t>
      </w:r>
      <w:r w:rsidR="001F4426">
        <w:t xml:space="preserve">, and we </w:t>
      </w:r>
      <w:r w:rsidR="00BB0039">
        <w:t xml:space="preserve">also cite the percentage of cases falling at the level of Fair </w:t>
      </w:r>
      <w:r w:rsidR="00DD6104">
        <w:t xml:space="preserve">or </w:t>
      </w:r>
      <w:r w:rsidR="00BB0039">
        <w:t xml:space="preserve">above </w:t>
      </w:r>
      <w:r w:rsidR="001F4426">
        <w:t>(</w:t>
      </w:r>
      <w:r w:rsidR="00BB0039">
        <w:t>while acknowledging that other dividing points could be chosen</w:t>
      </w:r>
      <w:r w:rsidR="001F4426">
        <w:t>)</w:t>
      </w:r>
      <w:r w:rsidR="00BB0039">
        <w:t xml:space="preserve">. We use 70% </w:t>
      </w:r>
      <w:r w:rsidR="0025781B">
        <w:t xml:space="preserve">Fair or above </w:t>
      </w:r>
      <w:r w:rsidR="00BB0039">
        <w:t xml:space="preserve">to discriminate stronger from weaker </w:t>
      </w:r>
      <w:r w:rsidR="00CF40FD">
        <w:t>D</w:t>
      </w:r>
      <w:r w:rsidR="00BB0039">
        <w:t xml:space="preserve">omains and </w:t>
      </w:r>
      <w:r w:rsidR="00CF40FD">
        <w:t>A</w:t>
      </w:r>
      <w:r w:rsidR="00BB0039">
        <w:t>reas of practice</w:t>
      </w:r>
      <w:r w:rsidR="001F4426">
        <w:t xml:space="preserve"> (while acknowledging that this divide, also, is a matter of judgment).</w:t>
      </w:r>
    </w:p>
    <w:p w:rsidR="00B1096C" w:rsidRPr="001F2F61" w:rsidRDefault="00B1096C" w:rsidP="00B1096C"/>
    <w:p w:rsidR="00B1096C" w:rsidRPr="001F2F61" w:rsidRDefault="00B1096C" w:rsidP="00B1096C">
      <w:r w:rsidRPr="001F2F61">
        <w:t xml:space="preserve">As shown in </w:t>
      </w:r>
      <w:r w:rsidRPr="001F2F61">
        <w:rPr>
          <w:b/>
          <w:color w:val="5B9BD5" w:themeColor="accent1"/>
        </w:rPr>
        <w:t xml:space="preserve">Table </w:t>
      </w:r>
      <w:r w:rsidR="00C2310F">
        <w:rPr>
          <w:b/>
          <w:color w:val="5B9BD5" w:themeColor="accent1"/>
        </w:rPr>
        <w:t>13</w:t>
      </w:r>
      <w:r w:rsidRPr="001F2F61">
        <w:t xml:space="preserve">, </w:t>
      </w:r>
      <w:r w:rsidR="00473A8F">
        <w:t>MPR Practice Domain mean scores</w:t>
      </w:r>
      <w:r>
        <w:t xml:space="preserve"> </w:t>
      </w:r>
      <w:r w:rsidRPr="001F2F61">
        <w:t>rang</w:t>
      </w:r>
      <w:r>
        <w:t>e</w:t>
      </w:r>
      <w:r w:rsidR="00236A89">
        <w:t>d</w:t>
      </w:r>
      <w:r w:rsidRPr="001F2F61">
        <w:t xml:space="preserve"> from 3.</w:t>
      </w:r>
      <w:r w:rsidR="00A81937">
        <w:t>1</w:t>
      </w:r>
      <w:r w:rsidRPr="001F2F61">
        <w:t xml:space="preserve"> to 3.</w:t>
      </w:r>
      <w:r w:rsidR="00A81937">
        <w:t>7</w:t>
      </w:r>
      <w:r>
        <w:t xml:space="preserve"> </w:t>
      </w:r>
      <w:r w:rsidRPr="001F2F61">
        <w:t>with an overall mean score of 3.2</w:t>
      </w:r>
      <w:r>
        <w:t>.</w:t>
      </w:r>
    </w:p>
    <w:p w:rsidR="00B1096C" w:rsidRPr="00AB7A08" w:rsidRDefault="004627DB" w:rsidP="00B1096C">
      <w:pPr>
        <w:spacing w:before="120" w:after="40"/>
        <w:jc w:val="center"/>
        <w:rPr>
          <w:b/>
          <w:color w:val="5B9BD5" w:themeColor="accent1"/>
        </w:rPr>
      </w:pPr>
      <w:r>
        <w:rPr>
          <w:b/>
          <w:color w:val="5B9BD5" w:themeColor="accent1"/>
        </w:rPr>
        <w:t xml:space="preserve">Table </w:t>
      </w:r>
      <w:r w:rsidR="00C2310F">
        <w:rPr>
          <w:b/>
          <w:color w:val="5B9BD5" w:themeColor="accent1"/>
        </w:rPr>
        <w:t>13</w:t>
      </w:r>
      <w:r w:rsidR="00B1096C" w:rsidRPr="00AB7A08">
        <w:rPr>
          <w:b/>
          <w:color w:val="5B9BD5" w:themeColor="accent1"/>
        </w:rPr>
        <w:t>: MPR Practice Domain Overall &amp; Mean Scores</w:t>
      </w:r>
    </w:p>
    <w:tbl>
      <w:tblPr>
        <w:tblStyle w:val="MediumShading1-Accent11"/>
        <w:tblW w:w="7803" w:type="dxa"/>
        <w:jc w:val="center"/>
        <w:tblLook w:val="04A0" w:firstRow="1" w:lastRow="0" w:firstColumn="1" w:lastColumn="0" w:noHBand="0" w:noVBand="1"/>
      </w:tblPr>
      <w:tblGrid>
        <w:gridCol w:w="4546"/>
        <w:gridCol w:w="627"/>
        <w:gridCol w:w="660"/>
        <w:gridCol w:w="770"/>
        <w:gridCol w:w="1200"/>
      </w:tblGrid>
      <w:tr w:rsidR="00B1096C" w:rsidRPr="00D62215" w:rsidTr="00537C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6" w:type="dxa"/>
            <w:vAlign w:val="bottom"/>
          </w:tcPr>
          <w:p w:rsidR="00B1096C" w:rsidRPr="00AF66BC" w:rsidRDefault="00B1096C" w:rsidP="00537C13">
            <w:pPr>
              <w:rPr>
                <w:rFonts w:asciiTheme="minorHAnsi" w:hAnsiTheme="minorHAnsi"/>
                <w:b w:val="0"/>
                <w:bCs w:val="0"/>
                <w:color w:val="auto"/>
              </w:rPr>
            </w:pPr>
            <w:r w:rsidRPr="00AF66BC">
              <w:rPr>
                <w:rFonts w:asciiTheme="minorHAnsi" w:hAnsiTheme="minorHAnsi"/>
              </w:rPr>
              <w:t>Domain</w:t>
            </w:r>
          </w:p>
        </w:tc>
        <w:tc>
          <w:tcPr>
            <w:tcW w:w="627" w:type="dxa"/>
            <w:vAlign w:val="bottom"/>
          </w:tcPr>
          <w:p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Min</w:t>
            </w:r>
          </w:p>
        </w:tc>
        <w:tc>
          <w:tcPr>
            <w:tcW w:w="660" w:type="dxa"/>
            <w:vAlign w:val="bottom"/>
          </w:tcPr>
          <w:p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Max</w:t>
            </w:r>
          </w:p>
        </w:tc>
        <w:tc>
          <w:tcPr>
            <w:tcW w:w="770" w:type="dxa"/>
            <w:vAlign w:val="bottom"/>
          </w:tcPr>
          <w:p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Mean</w:t>
            </w:r>
          </w:p>
        </w:tc>
        <w:tc>
          <w:tcPr>
            <w:tcW w:w="1200" w:type="dxa"/>
          </w:tcPr>
          <w:p w:rsidR="00B1096C" w:rsidRPr="00AF66BC" w:rsidRDefault="00B1096C" w:rsidP="00537C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AF66BC">
              <w:rPr>
                <w:rFonts w:asciiTheme="minorHAnsi" w:hAnsiTheme="minorHAnsi"/>
              </w:rPr>
              <w:t>Standard Deviation</w:t>
            </w:r>
          </w:p>
        </w:tc>
      </w:tr>
      <w:tr w:rsidR="00B1096C" w:rsidRPr="00D62215" w:rsidTr="00537C13">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546" w:type="dxa"/>
          </w:tcPr>
          <w:p w:rsidR="00B1096C" w:rsidRPr="00AF66BC" w:rsidRDefault="00B1096C" w:rsidP="00537C13">
            <w:pPr>
              <w:rPr>
                <w:rFonts w:asciiTheme="minorHAnsi" w:hAnsiTheme="minorHAnsi"/>
                <w:b w:val="0"/>
                <w:bCs w:val="0"/>
              </w:rPr>
            </w:pPr>
            <w:r w:rsidRPr="00AF66BC">
              <w:rPr>
                <w:rFonts w:asciiTheme="minorHAnsi" w:hAnsiTheme="minorHAnsi"/>
              </w:rPr>
              <w:t>Practice Overall</w:t>
            </w:r>
          </w:p>
          <w:p w:rsidR="00B1096C" w:rsidRPr="00AF66BC" w:rsidRDefault="00B1096C" w:rsidP="00537C13">
            <w:pPr>
              <w:rPr>
                <w:rFonts w:asciiTheme="minorHAnsi" w:hAnsiTheme="minorHAnsi"/>
                <w:b w:val="0"/>
                <w:bCs w:val="0"/>
              </w:rPr>
            </w:pPr>
            <w:r w:rsidRPr="00AF66BC">
              <w:rPr>
                <w:rFonts w:asciiTheme="minorHAnsi" w:hAnsiTheme="minorHAnsi"/>
                <w:b w:val="0"/>
              </w:rPr>
              <w:t>-ICC</w:t>
            </w:r>
          </w:p>
          <w:p w:rsidR="00B1096C" w:rsidRPr="00AF66BC" w:rsidRDefault="00B1096C" w:rsidP="00537C13">
            <w:pPr>
              <w:rPr>
                <w:rFonts w:asciiTheme="minorHAnsi" w:hAnsiTheme="minorHAnsi"/>
                <w:b w:val="0"/>
                <w:bCs w:val="0"/>
              </w:rPr>
            </w:pPr>
            <w:r w:rsidRPr="00AF66BC">
              <w:rPr>
                <w:rFonts w:asciiTheme="minorHAnsi" w:hAnsiTheme="minorHAnsi"/>
                <w:b w:val="0"/>
              </w:rPr>
              <w:t>-IHT</w:t>
            </w:r>
          </w:p>
        </w:tc>
        <w:tc>
          <w:tcPr>
            <w:tcW w:w="627"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1.</w:t>
            </w:r>
            <w:r w:rsidR="00A26153">
              <w:rPr>
                <w:rFonts w:asciiTheme="minorHAnsi" w:hAnsiTheme="minorHAnsi"/>
                <w:b/>
              </w:rPr>
              <w:t>1</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2.0</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1.</w:t>
            </w:r>
            <w:r w:rsidR="00A26153">
              <w:rPr>
                <w:rFonts w:asciiTheme="minorHAnsi" w:hAnsiTheme="minorHAnsi"/>
              </w:rPr>
              <w:t>1</w:t>
            </w:r>
          </w:p>
        </w:tc>
        <w:tc>
          <w:tcPr>
            <w:tcW w:w="660"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4.</w:t>
            </w:r>
            <w:r w:rsidR="00A26153">
              <w:rPr>
                <w:rFonts w:asciiTheme="minorHAnsi" w:hAnsiTheme="minorHAnsi"/>
                <w:b/>
              </w:rPr>
              <w:t>7</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4.7</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4.</w:t>
            </w:r>
            <w:r w:rsidR="00A26153">
              <w:rPr>
                <w:rFonts w:asciiTheme="minorHAnsi" w:hAnsiTheme="minorHAnsi"/>
              </w:rPr>
              <w:t>6</w:t>
            </w:r>
          </w:p>
        </w:tc>
        <w:tc>
          <w:tcPr>
            <w:tcW w:w="770"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3.</w:t>
            </w:r>
            <w:r w:rsidR="00CF40FD">
              <w:rPr>
                <w:rFonts w:asciiTheme="minorHAnsi" w:hAnsiTheme="minorHAnsi"/>
                <w:b/>
              </w:rPr>
              <w:t>2</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w:t>
            </w:r>
            <w:r w:rsidR="00665A82">
              <w:rPr>
                <w:rFonts w:asciiTheme="minorHAnsi" w:hAnsiTheme="minorHAnsi"/>
              </w:rPr>
              <w:t>4</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3.1</w:t>
            </w:r>
          </w:p>
        </w:tc>
        <w:tc>
          <w:tcPr>
            <w:tcW w:w="1200"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.65</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.60</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.67</w:t>
            </w:r>
          </w:p>
        </w:tc>
      </w:tr>
      <w:tr w:rsidR="00B1096C" w:rsidRPr="00D62215" w:rsidTr="00537C13">
        <w:trPr>
          <w:cnfStyle w:val="000000010000" w:firstRow="0" w:lastRow="0" w:firstColumn="0" w:lastColumn="0" w:oddVBand="0" w:evenVBand="0" w:oddHBand="0" w:evenHBand="1"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46" w:type="dxa"/>
          </w:tcPr>
          <w:p w:rsidR="00B1096C" w:rsidRPr="00AF66BC" w:rsidRDefault="00B1096C" w:rsidP="00537C13">
            <w:pPr>
              <w:rPr>
                <w:rFonts w:asciiTheme="minorHAnsi" w:hAnsiTheme="minorHAnsi"/>
              </w:rPr>
            </w:pPr>
            <w:r w:rsidRPr="00AF66BC">
              <w:rPr>
                <w:rFonts w:asciiTheme="minorHAnsi" w:hAnsiTheme="minorHAnsi"/>
              </w:rPr>
              <w:t>Domain1: Family Driven &amp; Youth Guided</w:t>
            </w:r>
          </w:p>
          <w:p w:rsidR="00B1096C" w:rsidRPr="00AF66BC" w:rsidRDefault="00B1096C" w:rsidP="00537C13">
            <w:pPr>
              <w:rPr>
                <w:rFonts w:asciiTheme="minorHAnsi" w:hAnsiTheme="minorHAnsi"/>
                <w:b w:val="0"/>
                <w:bCs w:val="0"/>
              </w:rPr>
            </w:pPr>
            <w:r w:rsidRPr="00AF66BC">
              <w:rPr>
                <w:rFonts w:asciiTheme="minorHAnsi" w:hAnsiTheme="minorHAnsi"/>
                <w:b w:val="0"/>
              </w:rPr>
              <w:t>-ICC</w:t>
            </w:r>
          </w:p>
          <w:p w:rsidR="00B1096C" w:rsidRPr="00AF66BC" w:rsidRDefault="00B1096C" w:rsidP="00537C13">
            <w:pPr>
              <w:rPr>
                <w:rFonts w:asciiTheme="minorHAnsi" w:hAnsiTheme="minorHAnsi"/>
              </w:rPr>
            </w:pPr>
            <w:r w:rsidRPr="00AF66BC">
              <w:rPr>
                <w:rFonts w:asciiTheme="minorHAnsi" w:hAnsiTheme="minorHAnsi"/>
                <w:b w:val="0"/>
              </w:rPr>
              <w:t>-IHT</w:t>
            </w:r>
          </w:p>
        </w:tc>
        <w:tc>
          <w:tcPr>
            <w:tcW w:w="627"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1.0</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w:t>
            </w:r>
            <w:r w:rsidR="00A26153">
              <w:rPr>
                <w:rFonts w:asciiTheme="minorHAnsi" w:hAnsiTheme="minorHAnsi"/>
              </w:rPr>
              <w:t>8</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1.0</w:t>
            </w:r>
          </w:p>
        </w:tc>
        <w:tc>
          <w:tcPr>
            <w:tcW w:w="660"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4.</w:t>
            </w:r>
            <w:r w:rsidR="00A26153">
              <w:rPr>
                <w:rFonts w:asciiTheme="minorHAnsi" w:hAnsiTheme="minorHAnsi"/>
                <w:b/>
              </w:rPr>
              <w:t>8</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w:t>
            </w:r>
            <w:r w:rsidR="00A07F8F">
              <w:rPr>
                <w:rFonts w:asciiTheme="minorHAnsi" w:hAnsiTheme="minorHAnsi"/>
              </w:rPr>
              <w:t>8</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4.6</w:t>
            </w:r>
          </w:p>
        </w:tc>
        <w:tc>
          <w:tcPr>
            <w:tcW w:w="770"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3.</w:t>
            </w:r>
            <w:r w:rsidR="00665A82">
              <w:rPr>
                <w:rFonts w:asciiTheme="minorHAnsi" w:hAnsiTheme="minorHAnsi"/>
                <w:b/>
              </w:rPr>
              <w:t>2</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3.3</w:t>
            </w:r>
          </w:p>
          <w:p w:rsidR="00B1096C" w:rsidRPr="00AF66BC" w:rsidRDefault="00B1096C" w:rsidP="003A58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3.0</w:t>
            </w:r>
          </w:p>
        </w:tc>
        <w:tc>
          <w:tcPr>
            <w:tcW w:w="1200"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.74</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w:t>
            </w:r>
            <w:r w:rsidR="00A5251E">
              <w:rPr>
                <w:rFonts w:asciiTheme="minorHAnsi" w:hAnsiTheme="minorHAnsi"/>
              </w:rPr>
              <w:t>0</w:t>
            </w:r>
          </w:p>
          <w:p w:rsidR="00B1096C" w:rsidRPr="00AF66BC" w:rsidRDefault="00B1096C" w:rsidP="003A585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w:t>
            </w:r>
            <w:r w:rsidR="003A585A">
              <w:rPr>
                <w:rFonts w:asciiTheme="minorHAnsi" w:hAnsiTheme="minorHAnsi"/>
              </w:rPr>
              <w:t>5</w:t>
            </w:r>
          </w:p>
        </w:tc>
      </w:tr>
      <w:tr w:rsidR="00B1096C" w:rsidRPr="00D62215" w:rsidTr="00537C13">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46" w:type="dxa"/>
          </w:tcPr>
          <w:p w:rsidR="00B1096C" w:rsidRPr="00AF66BC" w:rsidRDefault="00B1096C" w:rsidP="00537C13">
            <w:pPr>
              <w:rPr>
                <w:rFonts w:asciiTheme="minorHAnsi" w:hAnsiTheme="minorHAnsi"/>
              </w:rPr>
            </w:pPr>
            <w:r w:rsidRPr="00AF66BC">
              <w:rPr>
                <w:rFonts w:asciiTheme="minorHAnsi" w:hAnsiTheme="minorHAnsi"/>
              </w:rPr>
              <w:t>Domain 2: Community-Based</w:t>
            </w:r>
          </w:p>
          <w:p w:rsidR="00B1096C" w:rsidRPr="00AF66BC" w:rsidRDefault="00B1096C" w:rsidP="00537C13">
            <w:pPr>
              <w:rPr>
                <w:rFonts w:asciiTheme="minorHAnsi" w:hAnsiTheme="minorHAnsi"/>
                <w:b w:val="0"/>
                <w:bCs w:val="0"/>
              </w:rPr>
            </w:pPr>
            <w:r w:rsidRPr="00AF66BC">
              <w:rPr>
                <w:rFonts w:asciiTheme="minorHAnsi" w:hAnsiTheme="minorHAnsi"/>
                <w:b w:val="0"/>
              </w:rPr>
              <w:t>-ICC</w:t>
            </w:r>
          </w:p>
          <w:p w:rsidR="00B1096C" w:rsidRPr="00AF66BC" w:rsidRDefault="00B1096C" w:rsidP="00537C13">
            <w:pPr>
              <w:rPr>
                <w:rFonts w:asciiTheme="minorHAnsi" w:hAnsiTheme="minorHAnsi"/>
              </w:rPr>
            </w:pPr>
            <w:r w:rsidRPr="00AF66BC">
              <w:rPr>
                <w:rFonts w:asciiTheme="minorHAnsi" w:hAnsiTheme="minorHAnsi"/>
                <w:b w:val="0"/>
              </w:rPr>
              <w:t>-IHT</w:t>
            </w:r>
          </w:p>
        </w:tc>
        <w:tc>
          <w:tcPr>
            <w:tcW w:w="627"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1.5</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2.0</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1.5</w:t>
            </w:r>
          </w:p>
        </w:tc>
        <w:tc>
          <w:tcPr>
            <w:tcW w:w="660"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5.0</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5.0</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5.0</w:t>
            </w:r>
          </w:p>
        </w:tc>
        <w:tc>
          <w:tcPr>
            <w:tcW w:w="770"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3.</w:t>
            </w:r>
            <w:r w:rsidR="00665A82">
              <w:rPr>
                <w:rFonts w:asciiTheme="minorHAnsi" w:hAnsiTheme="minorHAnsi"/>
                <w:b/>
              </w:rPr>
              <w:t>7</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w:t>
            </w:r>
            <w:r w:rsidR="00665A82">
              <w:rPr>
                <w:rFonts w:asciiTheme="minorHAnsi" w:hAnsiTheme="minorHAnsi"/>
              </w:rPr>
              <w:t>7</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3.</w:t>
            </w:r>
            <w:r w:rsidR="00665A82">
              <w:rPr>
                <w:rFonts w:asciiTheme="minorHAnsi" w:hAnsiTheme="minorHAnsi"/>
              </w:rPr>
              <w:t>7</w:t>
            </w:r>
          </w:p>
        </w:tc>
        <w:tc>
          <w:tcPr>
            <w:tcW w:w="1200" w:type="dxa"/>
          </w:tcPr>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AF66BC">
              <w:rPr>
                <w:rFonts w:asciiTheme="minorHAnsi" w:hAnsiTheme="minorHAnsi"/>
                <w:b/>
              </w:rPr>
              <w:t>.63</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.57</w:t>
            </w:r>
          </w:p>
          <w:p w:rsidR="00B1096C" w:rsidRPr="00AF66BC" w:rsidRDefault="00B1096C"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F66BC">
              <w:rPr>
                <w:rFonts w:asciiTheme="minorHAnsi" w:hAnsiTheme="minorHAnsi"/>
              </w:rPr>
              <w:t>.70</w:t>
            </w:r>
          </w:p>
        </w:tc>
      </w:tr>
      <w:tr w:rsidR="00B1096C" w:rsidRPr="00D62215" w:rsidTr="00F6519B">
        <w:trPr>
          <w:cnfStyle w:val="000000010000" w:firstRow="0" w:lastRow="0" w:firstColumn="0" w:lastColumn="0" w:oddVBand="0" w:evenVBand="0" w:oddHBand="0" w:evenHBand="1"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46" w:type="dxa"/>
          </w:tcPr>
          <w:p w:rsidR="00B1096C" w:rsidRPr="00AF66BC" w:rsidRDefault="00B1096C" w:rsidP="00537C13">
            <w:pPr>
              <w:rPr>
                <w:rFonts w:asciiTheme="minorHAnsi" w:hAnsiTheme="minorHAnsi"/>
              </w:rPr>
            </w:pPr>
            <w:r w:rsidRPr="00AF66BC">
              <w:rPr>
                <w:rFonts w:asciiTheme="minorHAnsi" w:hAnsiTheme="minorHAnsi"/>
              </w:rPr>
              <w:t>Domain 3: Culturally Competent</w:t>
            </w:r>
          </w:p>
          <w:p w:rsidR="00B1096C" w:rsidRPr="00AF66BC" w:rsidRDefault="00B1096C" w:rsidP="00537C13">
            <w:pPr>
              <w:rPr>
                <w:rFonts w:asciiTheme="minorHAnsi" w:hAnsiTheme="minorHAnsi"/>
                <w:b w:val="0"/>
                <w:bCs w:val="0"/>
              </w:rPr>
            </w:pPr>
            <w:r w:rsidRPr="00AF66BC">
              <w:rPr>
                <w:rFonts w:asciiTheme="minorHAnsi" w:hAnsiTheme="minorHAnsi"/>
                <w:b w:val="0"/>
              </w:rPr>
              <w:t>-ICC</w:t>
            </w:r>
          </w:p>
          <w:p w:rsidR="00B1096C" w:rsidRPr="00AF66BC" w:rsidRDefault="00B1096C" w:rsidP="00537C13">
            <w:pPr>
              <w:rPr>
                <w:rFonts w:asciiTheme="minorHAnsi" w:hAnsiTheme="minorHAnsi"/>
              </w:rPr>
            </w:pPr>
            <w:r w:rsidRPr="00AF66BC">
              <w:rPr>
                <w:rFonts w:asciiTheme="minorHAnsi" w:hAnsiTheme="minorHAnsi"/>
                <w:b w:val="0"/>
              </w:rPr>
              <w:t>-IHT</w:t>
            </w:r>
          </w:p>
        </w:tc>
        <w:tc>
          <w:tcPr>
            <w:tcW w:w="627" w:type="dxa"/>
          </w:tcPr>
          <w:p w:rsidR="00B1096C" w:rsidRPr="00AF66BC" w:rsidRDefault="00B1096C" w:rsidP="00F6519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1.0</w:t>
            </w:r>
          </w:p>
          <w:p w:rsidR="00B1096C" w:rsidRPr="00AF66BC" w:rsidRDefault="00B1096C" w:rsidP="00F6519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1.5</w:t>
            </w:r>
          </w:p>
          <w:p w:rsidR="00B1096C" w:rsidRPr="00AF66BC" w:rsidRDefault="00B1096C" w:rsidP="00F6519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1.0</w:t>
            </w:r>
          </w:p>
        </w:tc>
        <w:tc>
          <w:tcPr>
            <w:tcW w:w="660"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4.5</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4.5</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4.5</w:t>
            </w:r>
          </w:p>
        </w:tc>
        <w:tc>
          <w:tcPr>
            <w:tcW w:w="770"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3.</w:t>
            </w:r>
            <w:r w:rsidR="00665A82">
              <w:rPr>
                <w:rFonts w:asciiTheme="minorHAnsi" w:hAnsiTheme="minorHAnsi"/>
                <w:b/>
              </w:rPr>
              <w:t>1</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3.2</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2.</w:t>
            </w:r>
            <w:r w:rsidR="00665A82">
              <w:rPr>
                <w:rFonts w:asciiTheme="minorHAnsi" w:hAnsiTheme="minorHAnsi"/>
              </w:rPr>
              <w:t>9</w:t>
            </w:r>
          </w:p>
        </w:tc>
        <w:tc>
          <w:tcPr>
            <w:tcW w:w="1200" w:type="dxa"/>
          </w:tcPr>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AF66BC">
              <w:rPr>
                <w:rFonts w:asciiTheme="minorHAnsi" w:hAnsiTheme="minorHAnsi"/>
                <w:b/>
              </w:rPr>
              <w:t>.77</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.74</w:t>
            </w:r>
          </w:p>
          <w:p w:rsidR="00B1096C" w:rsidRPr="00AF66BC" w:rsidRDefault="00B1096C"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AF66BC">
              <w:rPr>
                <w:rFonts w:asciiTheme="minorHAnsi" w:hAnsiTheme="minorHAnsi"/>
              </w:rPr>
              <w:t>.78</w:t>
            </w:r>
          </w:p>
        </w:tc>
      </w:tr>
    </w:tbl>
    <w:p w:rsidR="00B1096C" w:rsidRPr="00D62215" w:rsidRDefault="00B1096C" w:rsidP="00B1096C">
      <w:pPr>
        <w:rPr>
          <w:sz w:val="22"/>
          <w:szCs w:val="22"/>
          <w:highlight w:val="yellow"/>
        </w:rPr>
      </w:pPr>
    </w:p>
    <w:p w:rsidR="00B1096C" w:rsidRPr="00AB7A08" w:rsidRDefault="00B1096C" w:rsidP="00B1096C">
      <w:r w:rsidRPr="00AB7A08">
        <w:t>Community-Based was the highest scoring Practice Domain with a mean score of 3.</w:t>
      </w:r>
      <w:r w:rsidR="00665A82">
        <w:t>7</w:t>
      </w:r>
      <w:r w:rsidR="0025781B">
        <w:t>.</w:t>
      </w:r>
      <w:r w:rsidRPr="00AB7A08">
        <w:t xml:space="preserve"> The Family Driven </w:t>
      </w:r>
      <w:r w:rsidR="00A15E8F">
        <w:t>and</w:t>
      </w:r>
      <w:r w:rsidRPr="00AB7A08">
        <w:t xml:space="preserve"> Youth Guided Domain had the next highest Practice Domain mean score of 3.</w:t>
      </w:r>
      <w:r w:rsidR="00665A82">
        <w:t>2</w:t>
      </w:r>
      <w:r w:rsidRPr="00AB7A08">
        <w:t>. Culturally Competent had the lowest mean score of all Practice Domains (3.</w:t>
      </w:r>
      <w:r w:rsidR="00665A82">
        <w:t>1</w:t>
      </w:r>
      <w:r w:rsidRPr="00AB7A08">
        <w:t>)</w:t>
      </w:r>
      <w:r w:rsidR="0025781B">
        <w:t>.</w:t>
      </w:r>
    </w:p>
    <w:p w:rsidR="00B1096C" w:rsidRDefault="00B1096C" w:rsidP="00B1096C">
      <w:pPr>
        <w:rPr>
          <w:b/>
          <w:color w:val="5B9BD5" w:themeColor="accent1"/>
          <w:highlight w:val="yellow"/>
        </w:rPr>
      </w:pPr>
    </w:p>
    <w:p w:rsidR="00B1096C" w:rsidRDefault="00B1096C" w:rsidP="00B1096C">
      <w:r w:rsidRPr="00EE3D0D">
        <w:rPr>
          <w:b/>
          <w:color w:val="5B9BD5" w:themeColor="accent1"/>
        </w:rPr>
        <w:t xml:space="preserve">Figure </w:t>
      </w:r>
      <w:r w:rsidR="00C34B70">
        <w:rPr>
          <w:b/>
          <w:color w:val="5B9BD5" w:themeColor="accent1"/>
        </w:rPr>
        <w:t>1</w:t>
      </w:r>
      <w:r w:rsidRPr="00EE3D0D">
        <w:t xml:space="preserve"> illustrates the </w:t>
      </w:r>
      <w:r w:rsidR="001F4426">
        <w:t>distribution</w:t>
      </w:r>
      <w:r w:rsidR="001F4426" w:rsidRPr="00EE3D0D">
        <w:t xml:space="preserve"> </w:t>
      </w:r>
      <w:r w:rsidRPr="00EE3D0D">
        <w:t xml:space="preserve">of overall MPR Practice Domain mean scores for the youth/families reviewed. </w:t>
      </w:r>
    </w:p>
    <w:p w:rsidR="00B1096C" w:rsidRPr="00EE3D0D" w:rsidRDefault="00C34B70" w:rsidP="00B1096C">
      <w:pPr>
        <w:spacing w:before="160" w:after="80"/>
        <w:jc w:val="center"/>
        <w:rPr>
          <w:b/>
          <w:color w:val="5B9BD5" w:themeColor="accent1"/>
        </w:rPr>
      </w:pPr>
      <w:r>
        <w:rPr>
          <w:b/>
          <w:color w:val="5B9BD5" w:themeColor="accent1"/>
        </w:rPr>
        <w:t>Figure 1</w:t>
      </w:r>
      <w:r w:rsidR="00B1096C" w:rsidRPr="00EE3D0D">
        <w:rPr>
          <w:b/>
          <w:color w:val="5B9BD5" w:themeColor="accent1"/>
        </w:rPr>
        <w:t>: Overall Practice Domain Mean Scores</w:t>
      </w:r>
    </w:p>
    <w:p w:rsidR="00EE3D0D" w:rsidRDefault="000C0938" w:rsidP="00EE3D0D">
      <w:pPr>
        <w:spacing w:before="160" w:after="80"/>
        <w:jc w:val="center"/>
        <w:rPr>
          <w:b/>
          <w:color w:val="5B9BD5" w:themeColor="accent1"/>
          <w:highlight w:val="yellow"/>
        </w:rPr>
      </w:pPr>
      <w:r>
        <w:rPr>
          <w:b/>
          <w:noProof/>
          <w:color w:val="5B9BD5" w:themeColor="accent1"/>
        </w:rPr>
        <mc:AlternateContent>
          <mc:Choice Requires="wps">
            <w:drawing>
              <wp:anchor distT="0" distB="0" distL="114300" distR="114300" simplePos="0" relativeHeight="251664384" behindDoc="0" locked="0" layoutInCell="1" allowOverlap="1" wp14:anchorId="42965FA4" wp14:editId="1DDFF25E">
                <wp:simplePos x="0" y="0"/>
                <wp:positionH relativeFrom="column">
                  <wp:posOffset>4709160</wp:posOffset>
                </wp:positionH>
                <wp:positionV relativeFrom="paragraph">
                  <wp:posOffset>124460</wp:posOffset>
                </wp:positionV>
                <wp:extent cx="678180" cy="746760"/>
                <wp:effectExtent l="0" t="0" r="0" b="0"/>
                <wp:wrapNone/>
                <wp:docPr id="3" name="TextBox 1"/>
                <wp:cNvGraphicFramePr/>
                <a:graphic xmlns:a="http://schemas.openxmlformats.org/drawingml/2006/main">
                  <a:graphicData uri="http://schemas.microsoft.com/office/word/2010/wordprocessingShape">
                    <wps:wsp>
                      <wps:cNvSpPr txBox="1"/>
                      <wps:spPr>
                        <a:xfrm>
                          <a:off x="0" y="0"/>
                          <a:ext cx="678180" cy="746760"/>
                        </a:xfrm>
                        <a:prstGeom prst="rect">
                          <a:avLst/>
                        </a:prstGeom>
                      </wps:spPr>
                      <wps:txb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3.2</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.65</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wps:txbx>
                      <wps:bodyPr wrap="none" rtlCol="0"/>
                    </wps:wsp>
                  </a:graphicData>
                </a:graphic>
              </wp:anchor>
            </w:drawing>
          </mc:Choice>
          <mc:Fallback>
            <w:pict>
              <v:shape w14:anchorId="42965FA4" id="TextBox 1" o:spid="_x0000_s1029" type="#_x0000_t202" style="position:absolute;left:0;text-align:left;margin-left:370.8pt;margin-top:9.8pt;width:53.4pt;height:58.8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" filled="f" stroked="f">
                <v:textbo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3.2</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.65</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v:textbox>
              </v:shape>
            </w:pict>
          </mc:Fallback>
        </mc:AlternateContent>
      </w:r>
      <w:r w:rsidR="00F84A08">
        <w:rPr>
          <w:b/>
          <w:noProof/>
          <w:color w:val="5B9BD5" w:themeColor="accent1"/>
        </w:rPr>
        <w:drawing>
          <wp:inline distT="0" distB="0" distL="0" distR="0" wp14:anchorId="3361C72E" wp14:editId="4923110B">
            <wp:extent cx="4100513" cy="2600325"/>
            <wp:effectExtent l="19050" t="19050" r="14287" b="28575"/>
            <wp:docPr id="11" name="Picture 11" descr="C:\Users\jsimons\Desktop\MPRdata\over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simons\Desktop\MPRdata\overall.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0513" cy="2600325"/>
                    </a:xfrm>
                    <a:prstGeom prst="rect">
                      <a:avLst/>
                    </a:prstGeom>
                    <a:noFill/>
                    <a:ln>
                      <a:solidFill>
                        <a:schemeClr val="accent1"/>
                      </a:solidFill>
                    </a:ln>
                  </pic:spPr>
                </pic:pic>
              </a:graphicData>
            </a:graphic>
          </wp:inline>
        </w:drawing>
      </w:r>
    </w:p>
    <w:p w:rsidR="00B1096C" w:rsidRPr="0011788F" w:rsidRDefault="00B1096C" w:rsidP="00B1096C">
      <w:pPr>
        <w:jc w:val="center"/>
        <w:rPr>
          <w:highlight w:val="yellow"/>
        </w:rPr>
      </w:pPr>
    </w:p>
    <w:p w:rsidR="004C30E5" w:rsidRDefault="004C30E5" w:rsidP="00EE3D0D">
      <w:r>
        <w:t xml:space="preserve">Looking at practice overall (120 youth across 12 </w:t>
      </w:r>
      <w:r w:rsidR="008B777E">
        <w:t>Areas</w:t>
      </w:r>
      <w:r>
        <w:t>, or 1</w:t>
      </w:r>
      <w:r w:rsidR="008B777E">
        <w:t>,</w:t>
      </w:r>
      <w:r>
        <w:t xml:space="preserve">440 instances of practice), 4% of practice fell into the </w:t>
      </w:r>
      <w:r w:rsidR="00F20241">
        <w:t xml:space="preserve">Adverse </w:t>
      </w:r>
      <w:r>
        <w:t>range</w:t>
      </w:r>
      <w:r w:rsidR="00F20241">
        <w:t>, 18% into the Poor range, 35% into the Fair range, 37% into the Good range, and 6% into the Exemplary range.</w:t>
      </w:r>
      <w:r w:rsidR="004832B7">
        <w:t xml:space="preserve"> Of all practice instances, 78% fell into the Fair range and above, while 42% was either Good or </w:t>
      </w:r>
      <w:r w:rsidR="00774FE2">
        <w:t>Exemplary</w:t>
      </w:r>
      <w:r w:rsidR="004832B7">
        <w:t>.</w:t>
      </w:r>
    </w:p>
    <w:p w:rsidR="004F1ACA" w:rsidRPr="007F3A22" w:rsidRDefault="002F11C3" w:rsidP="002F11C3">
      <w:pPr>
        <w:pStyle w:val="Heading3"/>
        <w:rPr>
          <w:rFonts w:asciiTheme="minorHAnsi" w:hAnsiTheme="minorHAnsi"/>
        </w:rPr>
      </w:pPr>
      <w:bookmarkStart w:id="22" w:name="_Toc467143019"/>
      <w:r w:rsidRPr="007F3A22">
        <w:rPr>
          <w:rFonts w:asciiTheme="minorHAnsi" w:hAnsiTheme="minorHAnsi"/>
        </w:rPr>
        <w:t xml:space="preserve">Practice Area </w:t>
      </w:r>
      <w:r w:rsidR="004F1ACA" w:rsidRPr="007F3A22">
        <w:rPr>
          <w:rFonts w:asciiTheme="minorHAnsi" w:hAnsiTheme="minorHAnsi"/>
        </w:rPr>
        <w:t>Mean Scores &amp; Frequencies</w:t>
      </w:r>
      <w:bookmarkEnd w:id="22"/>
      <w:r w:rsidR="004F1ACA" w:rsidRPr="007F3A22">
        <w:rPr>
          <w:rFonts w:asciiTheme="minorHAnsi" w:hAnsiTheme="minorHAnsi"/>
        </w:rPr>
        <w:t xml:space="preserve"> </w:t>
      </w:r>
    </w:p>
    <w:p w:rsidR="00730C61" w:rsidRDefault="00730C61" w:rsidP="00730C61">
      <w:pPr>
        <w:rPr>
          <w:b/>
          <w:color w:val="0070C0"/>
        </w:rPr>
      </w:pPr>
      <w:r>
        <w:t xml:space="preserve">The following sections summarize </w:t>
      </w:r>
      <w:r w:rsidR="00641AD3">
        <w:t xml:space="preserve">the </w:t>
      </w:r>
      <w:r>
        <w:t xml:space="preserve">results across each MPR Practice Domain and the Areas within them. </w:t>
      </w:r>
    </w:p>
    <w:p w:rsidR="00730C61" w:rsidRPr="003A585A" w:rsidRDefault="00730C61" w:rsidP="00730C61">
      <w:pPr>
        <w:spacing w:before="240" w:after="80"/>
        <w:rPr>
          <w:b/>
        </w:rPr>
      </w:pPr>
      <w:r w:rsidRPr="003A585A">
        <w:rPr>
          <w:b/>
        </w:rPr>
        <w:t>Domain 1: Family Driven &amp; Youth Guided</w:t>
      </w:r>
    </w:p>
    <w:p w:rsidR="006A4184" w:rsidRDefault="003A585A" w:rsidP="00730C61">
      <w:r>
        <w:t>As noted previously, t</w:t>
      </w:r>
      <w:r w:rsidRPr="00AB7A08">
        <w:t xml:space="preserve">he Family Driven </w:t>
      </w:r>
      <w:r w:rsidR="00815814">
        <w:t>and</w:t>
      </w:r>
      <w:r w:rsidRPr="00AB7A08">
        <w:t xml:space="preserve"> Youth Guided Domain had the </w:t>
      </w:r>
      <w:r>
        <w:t>second</w:t>
      </w:r>
      <w:r w:rsidRPr="00AB7A08">
        <w:t xml:space="preserve"> highest Practice Domain mean score </w:t>
      </w:r>
      <w:r>
        <w:t>(</w:t>
      </w:r>
      <w:r w:rsidRPr="00AB7A08">
        <w:t>3.</w:t>
      </w:r>
      <w:r w:rsidR="0025781B">
        <w:t>2</w:t>
      </w:r>
      <w:r>
        <w:t>)</w:t>
      </w:r>
      <w:r w:rsidRPr="00AB7A08">
        <w:t xml:space="preserve">. </w:t>
      </w:r>
    </w:p>
    <w:p w:rsidR="00F84A08" w:rsidRDefault="00F84A08" w:rsidP="00730C61"/>
    <w:p w:rsidR="00150616" w:rsidRDefault="001F4426" w:rsidP="006A4184">
      <w:r w:rsidRPr="00EE3D0D">
        <w:rPr>
          <w:b/>
          <w:color w:val="5B9BD5" w:themeColor="accent1"/>
        </w:rPr>
        <w:t xml:space="preserve">Figure </w:t>
      </w:r>
      <w:r>
        <w:rPr>
          <w:b/>
          <w:color w:val="5B9BD5" w:themeColor="accent1"/>
        </w:rPr>
        <w:t>2</w:t>
      </w:r>
      <w:r w:rsidRPr="00EE3D0D">
        <w:t xml:space="preserve"> illustrates the </w:t>
      </w:r>
      <w:r>
        <w:t>distribution</w:t>
      </w:r>
      <w:r w:rsidRPr="00EE3D0D">
        <w:t xml:space="preserve"> of mean scores for </w:t>
      </w:r>
      <w:r>
        <w:t xml:space="preserve">Family Driven and Youth guided Domain for </w:t>
      </w:r>
      <w:r w:rsidRPr="00EE3D0D">
        <w:t>the youth/families reviewed.</w:t>
      </w:r>
    </w:p>
    <w:p w:rsidR="00730C61" w:rsidRPr="00C34B70" w:rsidRDefault="00730C61" w:rsidP="00730C61">
      <w:pPr>
        <w:spacing w:before="160" w:after="80"/>
        <w:jc w:val="center"/>
        <w:rPr>
          <w:b/>
          <w:color w:val="5B9BD5" w:themeColor="accent1"/>
          <w:szCs w:val="22"/>
        </w:rPr>
      </w:pPr>
      <w:r w:rsidRPr="00C34B70">
        <w:rPr>
          <w:b/>
          <w:color w:val="5B9BD5" w:themeColor="accent1"/>
          <w:szCs w:val="22"/>
        </w:rPr>
        <w:t xml:space="preserve">Figure </w:t>
      </w:r>
      <w:r w:rsidR="00C34B70" w:rsidRPr="00C34B70">
        <w:rPr>
          <w:b/>
          <w:color w:val="5B9BD5" w:themeColor="accent1"/>
          <w:szCs w:val="22"/>
        </w:rPr>
        <w:t>2</w:t>
      </w:r>
      <w:r w:rsidRPr="00C34B70">
        <w:rPr>
          <w:b/>
          <w:color w:val="5B9BD5" w:themeColor="accent1"/>
          <w:szCs w:val="22"/>
        </w:rPr>
        <w:t>: Family Driven &amp; Youth Guided Mean Scores</w:t>
      </w:r>
    </w:p>
    <w:p w:rsidR="00730C61" w:rsidRPr="001101B4" w:rsidRDefault="001330B4" w:rsidP="00730C61">
      <w:pPr>
        <w:spacing w:before="160" w:after="80"/>
        <w:jc w:val="center"/>
        <w:rPr>
          <w:b/>
          <w:color w:val="5B9BD5" w:themeColor="accent1"/>
          <w:sz w:val="22"/>
          <w:szCs w:val="22"/>
        </w:rPr>
      </w:pPr>
      <w:r>
        <w:rPr>
          <w:b/>
          <w:noProof/>
          <w:color w:val="5B9BD5" w:themeColor="accent1"/>
          <w:sz w:val="22"/>
          <w:szCs w:val="22"/>
        </w:rPr>
        <mc:AlternateContent>
          <mc:Choice Requires="wps">
            <w:drawing>
              <wp:anchor distT="0" distB="0" distL="114300" distR="114300" simplePos="0" relativeHeight="251665408" behindDoc="0" locked="0" layoutInCell="1" allowOverlap="1" wp14:anchorId="6151AAF6" wp14:editId="151882A6">
                <wp:simplePos x="0" y="0"/>
                <wp:positionH relativeFrom="column">
                  <wp:posOffset>4808220</wp:posOffset>
                </wp:positionH>
                <wp:positionV relativeFrom="paragraph">
                  <wp:posOffset>143510</wp:posOffset>
                </wp:positionV>
                <wp:extent cx="617220" cy="647700"/>
                <wp:effectExtent l="0" t="0" r="0" b="0"/>
                <wp:wrapNone/>
                <wp:docPr id="4" name="TextBox 1"/>
                <wp:cNvGraphicFramePr/>
                <a:graphic xmlns:a="http://schemas.openxmlformats.org/drawingml/2006/main">
                  <a:graphicData uri="http://schemas.microsoft.com/office/word/2010/wordprocessingShape">
                    <wps:wsp>
                      <wps:cNvSpPr txBox="1"/>
                      <wps:spPr>
                        <a:xfrm>
                          <a:off x="0" y="0"/>
                          <a:ext cx="617220" cy="647700"/>
                        </a:xfrm>
                        <a:prstGeom prst="rect">
                          <a:avLst/>
                        </a:prstGeom>
                      </wps:spPr>
                      <wps:txb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3.2</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.74</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wps:txbx>
                      <wps:bodyPr wrap="none" rtlCol="0"/>
                    </wps:wsp>
                  </a:graphicData>
                </a:graphic>
              </wp:anchor>
            </w:drawing>
          </mc:Choice>
          <mc:Fallback>
            <w:pict>
              <v:shape w14:anchorId="6151AAF6" id="_x0000_s1030" type="#_x0000_t202" style="position:absolute;left:0;text-align:left;margin-left:378.6pt;margin-top:11.3pt;width:48.6pt;height:51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" filled="f" stroked="f">
                <v:textbo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3.2</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.74</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v:textbox>
              </v:shape>
            </w:pict>
          </mc:Fallback>
        </mc:AlternateContent>
      </w:r>
      <w:r w:rsidR="00F84A08">
        <w:rPr>
          <w:b/>
          <w:noProof/>
          <w:color w:val="5B9BD5" w:themeColor="accent1"/>
          <w:sz w:val="22"/>
          <w:szCs w:val="22"/>
        </w:rPr>
        <w:drawing>
          <wp:inline distT="0" distB="0" distL="0" distR="0" wp14:anchorId="6858E7A1" wp14:editId="35BAF6B6">
            <wp:extent cx="4100513" cy="2600325"/>
            <wp:effectExtent l="19050" t="19050" r="14287" b="28575"/>
            <wp:docPr id="12" name="Picture 12" descr="C:\Users\jsimons\Desktop\MPRdata\domain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simons\Desktop\MPRdata\domain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0513" cy="2600325"/>
                    </a:xfrm>
                    <a:prstGeom prst="rect">
                      <a:avLst/>
                    </a:prstGeom>
                    <a:noFill/>
                    <a:ln>
                      <a:solidFill>
                        <a:schemeClr val="accent1"/>
                      </a:solidFill>
                    </a:ln>
                  </pic:spPr>
                </pic:pic>
              </a:graphicData>
            </a:graphic>
          </wp:inline>
        </w:drawing>
      </w:r>
      <w:r w:rsidR="009E2549" w:rsidRPr="009E2549">
        <w:rPr>
          <w:b/>
          <w:color w:val="5B9BD5" w:themeColor="accent1"/>
          <w:sz w:val="22"/>
          <w:szCs w:val="22"/>
          <w:highlight w:val="yellow"/>
        </w:rPr>
        <w:t xml:space="preserve"> </w:t>
      </w:r>
    </w:p>
    <w:p w:rsidR="003A585A" w:rsidRDefault="00FA0CD8" w:rsidP="003A585A">
      <w:r w:rsidRPr="005A7EAE">
        <w:rPr>
          <w:b/>
          <w:color w:val="5B9BD5" w:themeColor="accent1"/>
        </w:rPr>
        <w:t>Table</w:t>
      </w:r>
      <w:r>
        <w:rPr>
          <w:b/>
          <w:color w:val="5B9BD5" w:themeColor="accent1"/>
        </w:rPr>
        <w:t xml:space="preserve"> </w:t>
      </w:r>
      <w:r w:rsidR="004627DB">
        <w:rPr>
          <w:b/>
          <w:color w:val="5B9BD5" w:themeColor="accent1"/>
        </w:rPr>
        <w:t>1</w:t>
      </w:r>
      <w:r w:rsidR="00C2310F">
        <w:rPr>
          <w:b/>
          <w:color w:val="5B9BD5" w:themeColor="accent1"/>
        </w:rPr>
        <w:t>4</w:t>
      </w:r>
      <w:r>
        <w:t xml:space="preserve"> summarizes the mean scores and frequencies for each of the 8 Areas in this Practice Domain. </w:t>
      </w:r>
      <w:r w:rsidR="003A585A" w:rsidRPr="00AB7A08">
        <w:t xml:space="preserve">Youth </w:t>
      </w:r>
      <w:r w:rsidR="00B6046D">
        <w:t>and</w:t>
      </w:r>
      <w:r w:rsidR="003A585A" w:rsidRPr="00AB7A08">
        <w:t xml:space="preserve"> Family Engagement </w:t>
      </w:r>
      <w:r w:rsidR="00065E62">
        <w:t xml:space="preserve">was the second highest rated practice area overall, with IHT practice </w:t>
      </w:r>
      <w:r w:rsidR="000D46BF">
        <w:t>rated</w:t>
      </w:r>
      <w:r w:rsidR="00065E62">
        <w:t xml:space="preserve"> </w:t>
      </w:r>
      <w:r w:rsidR="000765A5">
        <w:t>s</w:t>
      </w:r>
      <w:r w:rsidR="007278AE">
        <w:t>lightly</w:t>
      </w:r>
      <w:r w:rsidR="000765A5">
        <w:t xml:space="preserve"> better than ICC </w:t>
      </w:r>
      <w:r w:rsidR="0025781B">
        <w:t xml:space="preserve">(a relatively uncommon phenomenon) </w:t>
      </w:r>
      <w:r w:rsidR="000765A5">
        <w:t>in this area</w:t>
      </w:r>
      <w:r w:rsidR="00065E62">
        <w:t xml:space="preserve"> (3.8 vs. 3.</w:t>
      </w:r>
      <w:r w:rsidR="007D2453">
        <w:t>6</w:t>
      </w:r>
      <w:r w:rsidR="00065E62">
        <w:t xml:space="preserve">). </w:t>
      </w:r>
      <w:r w:rsidR="000765A5">
        <w:t xml:space="preserve">IHT practice was rated </w:t>
      </w:r>
      <w:r w:rsidR="004D16AD">
        <w:t>lower</w:t>
      </w:r>
      <w:r w:rsidR="000765A5">
        <w:t xml:space="preserve">, in the areas of Assessment, Team Formation, Team Participation, Care Coordination and Transition. </w:t>
      </w:r>
      <w:r w:rsidR="000765A5" w:rsidRPr="00AB7A08">
        <w:t>Transition (2.9)</w:t>
      </w:r>
      <w:r w:rsidR="000765A5">
        <w:t xml:space="preserve"> was the lowest rated practice area overall, </w:t>
      </w:r>
      <w:r w:rsidR="0057196F">
        <w:t>for both ICC and IHT</w:t>
      </w:r>
      <w:r w:rsidR="000765A5">
        <w:t xml:space="preserve">. </w:t>
      </w:r>
      <w:r w:rsidR="00385426">
        <w:t xml:space="preserve">Assessment and </w:t>
      </w:r>
      <w:r w:rsidR="003A585A" w:rsidRPr="00AB7A08">
        <w:t>Team Formation (</w:t>
      </w:r>
      <w:r w:rsidR="007D2453">
        <w:t>3.0</w:t>
      </w:r>
      <w:r w:rsidR="003A585A" w:rsidRPr="00AB7A08">
        <w:t xml:space="preserve">) </w:t>
      </w:r>
      <w:r w:rsidR="00386D2B">
        <w:t>w</w:t>
      </w:r>
      <w:r w:rsidR="0006156F">
        <w:t>ere</w:t>
      </w:r>
      <w:r w:rsidR="00386D2B">
        <w:t xml:space="preserve"> </w:t>
      </w:r>
      <w:r w:rsidR="000765A5">
        <w:t>the second lowest rated practice area</w:t>
      </w:r>
      <w:r w:rsidR="00385426">
        <w:t>s</w:t>
      </w:r>
      <w:r w:rsidR="003A585A" w:rsidRPr="00AB7A08">
        <w:t xml:space="preserve">. </w:t>
      </w:r>
    </w:p>
    <w:p w:rsidR="00FA0CD8" w:rsidRDefault="00FA0CD8" w:rsidP="00FA0CD8">
      <w:pPr>
        <w:rPr>
          <w:b/>
          <w:color w:val="0070C0"/>
        </w:rPr>
      </w:pPr>
    </w:p>
    <w:p w:rsidR="00B6046D" w:rsidRDefault="004832B7" w:rsidP="00B6046D">
      <w:r>
        <w:t>Looking at practi</w:t>
      </w:r>
      <w:r w:rsidR="008B777E">
        <w:t>ce overall (120 youth across 8 A</w:t>
      </w:r>
      <w:r>
        <w:t xml:space="preserve">reas, or 960 instances of practice), 4% of practice fell into the Adverse range, 20% into the Poor range, 36% into the Fair range, 33% into the Good range, and 6% into the Exemplary range. Practice was Fair or better in 76% of instances across the domain. In </w:t>
      </w:r>
      <w:r w:rsidR="00B6046D">
        <w:t xml:space="preserve">ICC, 81% </w:t>
      </w:r>
      <w:r>
        <w:t>of practice instances were</w:t>
      </w:r>
      <w:r w:rsidR="00B6046D">
        <w:t xml:space="preserve"> Fair or better, while the proportion in IHT was 70%. This discrepancy between practice in ICC and IHT has been a common finding in case reviews of the two services.</w:t>
      </w:r>
    </w:p>
    <w:p w:rsidR="004832B7" w:rsidRDefault="004832B7" w:rsidP="00B6046D"/>
    <w:p w:rsidR="009072CE" w:rsidRDefault="009072CE" w:rsidP="00B6046D"/>
    <w:p w:rsidR="009072CE" w:rsidRDefault="009072CE" w:rsidP="00B6046D"/>
    <w:p w:rsidR="00FA0CD8" w:rsidRPr="004627DB" w:rsidRDefault="00FA0CD8" w:rsidP="00FA0CD8">
      <w:pPr>
        <w:pStyle w:val="NoSpacing"/>
        <w:jc w:val="center"/>
        <w:rPr>
          <w:b/>
          <w:color w:val="5B9BD5" w:themeColor="accent1"/>
          <w:sz w:val="24"/>
        </w:rPr>
      </w:pPr>
      <w:r w:rsidRPr="004627DB">
        <w:rPr>
          <w:b/>
          <w:color w:val="5B9BD5" w:themeColor="accent1"/>
          <w:sz w:val="24"/>
        </w:rPr>
        <w:lastRenderedPageBreak/>
        <w:t xml:space="preserve">Table </w:t>
      </w:r>
      <w:r w:rsidR="004627DB" w:rsidRPr="004627DB">
        <w:rPr>
          <w:b/>
          <w:color w:val="5B9BD5" w:themeColor="accent1"/>
          <w:sz w:val="24"/>
        </w:rPr>
        <w:t>1</w:t>
      </w:r>
      <w:r w:rsidR="00C2310F">
        <w:rPr>
          <w:b/>
          <w:color w:val="5B9BD5" w:themeColor="accent1"/>
          <w:sz w:val="24"/>
        </w:rPr>
        <w:t>4</w:t>
      </w:r>
      <w:r w:rsidRPr="004627DB">
        <w:rPr>
          <w:b/>
          <w:color w:val="5B9BD5" w:themeColor="accent1"/>
          <w:sz w:val="24"/>
        </w:rPr>
        <w:t>: Family Driven &amp; Youth Guided Mean Scores &amp; Frequencies</w:t>
      </w:r>
    </w:p>
    <w:tbl>
      <w:tblPr>
        <w:tblStyle w:val="MediumShading1-Accent11"/>
        <w:tblW w:w="11133" w:type="dxa"/>
        <w:tblInd w:w="108" w:type="dxa"/>
        <w:tblLayout w:type="fixed"/>
        <w:tblLook w:val="04A0" w:firstRow="1" w:lastRow="0" w:firstColumn="1" w:lastColumn="0" w:noHBand="0" w:noVBand="1"/>
      </w:tblPr>
      <w:tblGrid>
        <w:gridCol w:w="2423"/>
        <w:gridCol w:w="727"/>
        <w:gridCol w:w="1471"/>
        <w:gridCol w:w="1169"/>
        <w:gridCol w:w="1169"/>
        <w:gridCol w:w="1169"/>
        <w:gridCol w:w="1322"/>
        <w:gridCol w:w="1683"/>
      </w:tblGrid>
      <w:tr w:rsidR="00592D91" w:rsidRPr="00F6519B" w:rsidTr="006D4835">
        <w:trPr>
          <w:cnfStyle w:val="100000000000" w:firstRow="1" w:lastRow="0" w:firstColumn="0" w:lastColumn="0" w:oddVBand="0" w:evenVBand="0" w:oddHBand="0" w:evenHBand="0" w:firstRowFirstColumn="0" w:firstRowLastColumn="0" w:lastRowFirstColumn="0" w:lastRowLastColumn="0"/>
          <w:cantSplit/>
          <w:trHeight w:val="241"/>
        </w:trPr>
        <w:tc>
          <w:tcPr>
            <w:cnfStyle w:val="001000000000" w:firstRow="0" w:lastRow="0" w:firstColumn="1" w:lastColumn="0" w:oddVBand="0" w:evenVBand="0" w:oddHBand="0" w:evenHBand="0" w:firstRowFirstColumn="0" w:firstRowLastColumn="0" w:lastRowFirstColumn="0" w:lastRowLastColumn="0"/>
            <w:tcW w:w="2423" w:type="dxa"/>
          </w:tcPr>
          <w:p w:rsidR="006D5DD4" w:rsidRPr="00F6519B" w:rsidRDefault="006D5DD4" w:rsidP="00537C13">
            <w:pPr>
              <w:rPr>
                <w:rFonts w:asciiTheme="minorHAnsi" w:hAnsiTheme="minorHAnsi"/>
                <w:b w:val="0"/>
                <w:bCs w:val="0"/>
                <w:color w:val="auto"/>
                <w:sz w:val="20"/>
                <w:szCs w:val="20"/>
              </w:rPr>
            </w:pPr>
            <w:r w:rsidRPr="00F6519B">
              <w:rPr>
                <w:rFonts w:asciiTheme="minorHAnsi" w:hAnsiTheme="minorHAnsi"/>
              </w:rPr>
              <w:br w:type="page"/>
            </w:r>
            <w:r w:rsidRPr="00F6519B">
              <w:rPr>
                <w:rFonts w:asciiTheme="minorHAnsi" w:hAnsiTheme="minorHAnsi"/>
                <w:sz w:val="20"/>
                <w:szCs w:val="20"/>
              </w:rPr>
              <w:t xml:space="preserve">Area </w:t>
            </w:r>
          </w:p>
        </w:tc>
        <w:tc>
          <w:tcPr>
            <w:tcW w:w="727" w:type="dxa"/>
          </w:tcPr>
          <w:p w:rsidR="006D5DD4" w:rsidRPr="00F6519B" w:rsidRDefault="006D5DD4" w:rsidP="00537C13">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Mean</w:t>
            </w:r>
          </w:p>
        </w:tc>
        <w:tc>
          <w:tcPr>
            <w:tcW w:w="6300" w:type="dxa"/>
            <w:gridSpan w:val="5"/>
          </w:tcPr>
          <w:p w:rsidR="006D5DD4" w:rsidRPr="00F6519B" w:rsidRDefault="006D5DD4" w:rsidP="00537C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Frequencies (n) %*</w:t>
            </w:r>
          </w:p>
        </w:tc>
        <w:tc>
          <w:tcPr>
            <w:tcW w:w="1683" w:type="dxa"/>
          </w:tcPr>
          <w:p w:rsidR="006D5DD4" w:rsidRPr="00F6519B" w:rsidRDefault="006D5DD4" w:rsidP="00537C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592D91" w:rsidRPr="00F6519B" w:rsidTr="006D4835">
        <w:trPr>
          <w:cnfStyle w:val="000000100000" w:firstRow="0" w:lastRow="0" w:firstColumn="0" w:lastColumn="0" w:oddVBand="0" w:evenVBand="0" w:oddHBand="1" w:evenHBand="0" w:firstRowFirstColumn="0" w:firstRowLastColumn="0" w:lastRowFirstColumn="0" w:lastRowLastColumn="0"/>
          <w:cantSplit/>
          <w:trHeight w:val="475"/>
        </w:trPr>
        <w:tc>
          <w:tcPr>
            <w:cnfStyle w:val="001000000000" w:firstRow="0" w:lastRow="0" w:firstColumn="1" w:lastColumn="0" w:oddVBand="0" w:evenVBand="0" w:oddHBand="0" w:evenHBand="0" w:firstRowFirstColumn="0" w:firstRowLastColumn="0" w:lastRowFirstColumn="0" w:lastRowLastColumn="0"/>
            <w:tcW w:w="3150" w:type="dxa"/>
            <w:gridSpan w:val="2"/>
          </w:tcPr>
          <w:p w:rsidR="006D5DD4" w:rsidRPr="00F6519B" w:rsidRDefault="006D5DD4" w:rsidP="00537C13">
            <w:pPr>
              <w:rPr>
                <w:rFonts w:asciiTheme="minorHAnsi" w:hAnsiTheme="minorHAnsi"/>
                <w:sz w:val="20"/>
                <w:szCs w:val="20"/>
              </w:rPr>
            </w:pPr>
          </w:p>
          <w:p w:rsidR="006D5DD4" w:rsidRPr="00F6519B" w:rsidRDefault="006D5DD4" w:rsidP="006D4835">
            <w:pPr>
              <w:widowControl w:val="0"/>
              <w:ind w:right="72"/>
              <w:jc w:val="both"/>
              <w:rPr>
                <w:rFonts w:asciiTheme="minorHAnsi" w:hAnsiTheme="minorHAnsi"/>
                <w:sz w:val="20"/>
                <w:szCs w:val="20"/>
              </w:rPr>
            </w:pPr>
          </w:p>
        </w:tc>
        <w:tc>
          <w:tcPr>
            <w:tcW w:w="1471" w:type="dxa"/>
            <w:vAlign w:val="center"/>
          </w:tcPr>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Adverse</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1</w:t>
            </w:r>
          </w:p>
        </w:tc>
        <w:tc>
          <w:tcPr>
            <w:tcW w:w="1169" w:type="dxa"/>
            <w:vAlign w:val="center"/>
          </w:tcPr>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Poor</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2</w:t>
            </w:r>
          </w:p>
        </w:tc>
        <w:tc>
          <w:tcPr>
            <w:tcW w:w="1169" w:type="dxa"/>
            <w:vAlign w:val="center"/>
          </w:tcPr>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Fair</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3</w:t>
            </w:r>
          </w:p>
        </w:tc>
        <w:tc>
          <w:tcPr>
            <w:tcW w:w="1169" w:type="dxa"/>
            <w:vAlign w:val="center"/>
          </w:tcPr>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Good</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4</w:t>
            </w:r>
          </w:p>
        </w:tc>
        <w:tc>
          <w:tcPr>
            <w:tcW w:w="1322" w:type="dxa"/>
            <w:vAlign w:val="center"/>
          </w:tcPr>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Exemplary/</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Best Practice</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5</w:t>
            </w:r>
          </w:p>
        </w:tc>
        <w:tc>
          <w:tcPr>
            <w:tcW w:w="1683" w:type="dxa"/>
          </w:tcPr>
          <w:p w:rsidR="006D5DD4" w:rsidRPr="00DF7DDC" w:rsidRDefault="00BD748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Percent Fair or above</w:t>
            </w:r>
            <w:r w:rsidR="0007732C" w:rsidRPr="00DF7DDC">
              <w:rPr>
                <w:rFonts w:asciiTheme="minorHAnsi" w:hAnsiTheme="minorHAnsi"/>
                <w:b/>
                <w:sz w:val="20"/>
                <w:szCs w:val="20"/>
              </w:rPr>
              <w:t xml:space="preserve"> *</w:t>
            </w:r>
          </w:p>
        </w:tc>
      </w:tr>
      <w:tr w:rsidR="00592D91" w:rsidRPr="00F6519B" w:rsidTr="006D4835">
        <w:trPr>
          <w:cnfStyle w:val="000000010000" w:firstRow="0" w:lastRow="0" w:firstColumn="0" w:lastColumn="0" w:oddVBand="0" w:evenVBand="0" w:oddHBand="0" w:evenHBand="1" w:firstRowFirstColumn="0" w:firstRowLastColumn="0" w:lastRowFirstColumn="0" w:lastRowLastColumn="0"/>
          <w:cantSplit/>
          <w:trHeight w:val="1249"/>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Assessment</w:t>
            </w:r>
          </w:p>
          <w:p w:rsidR="006D5DD4" w:rsidRPr="00F6519B" w:rsidRDefault="006D5DD4" w:rsidP="00537C13">
            <w:pPr>
              <w:widowControl w:val="0"/>
              <w:rPr>
                <w:rFonts w:asciiTheme="minorHAnsi" w:hAnsiTheme="minorHAnsi"/>
                <w:sz w:val="20"/>
                <w:szCs w:val="20"/>
              </w:rPr>
            </w:pP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rPr>
            </w:pPr>
          </w:p>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-IHT</w:t>
            </w:r>
          </w:p>
        </w:tc>
        <w:tc>
          <w:tcPr>
            <w:tcW w:w="727" w:type="dxa"/>
          </w:tcPr>
          <w:p w:rsidR="006D5DD4" w:rsidRPr="00DF7DDC" w:rsidRDefault="00BD7480"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913926" w:rsidRPr="00F6519B">
              <w:rPr>
                <w:rFonts w:asciiTheme="minorHAnsi" w:hAnsiTheme="minorHAnsi"/>
                <w:sz w:val="20"/>
                <w:szCs w:val="20"/>
              </w:rPr>
              <w:t>1</w:t>
            </w:r>
          </w:p>
          <w:p w:rsidR="00913926" w:rsidRPr="00F6519B" w:rsidRDefault="00913926"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913926"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tc>
        <w:tc>
          <w:tcPr>
            <w:tcW w:w="1471" w:type="dxa"/>
          </w:tcPr>
          <w:p w:rsidR="006D5DD4" w:rsidRPr="00DF7DDC" w:rsidRDefault="00BD7480" w:rsidP="00FA0CD8">
            <w:pPr>
              <w:ind w:hanging="19"/>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3%</w:t>
            </w:r>
          </w:p>
          <w:p w:rsidR="006D5DD4" w:rsidRPr="00F6519B" w:rsidRDefault="006D5DD4" w:rsidP="00FA0CD8">
            <w:pPr>
              <w:ind w:hanging="19"/>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FA0CD8">
            <w:pPr>
              <w:ind w:hanging="19"/>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p w:rsidR="006D5DD4" w:rsidRPr="00F6519B" w:rsidRDefault="006D5DD4" w:rsidP="00537C13">
            <w:pPr>
              <w:ind w:hanging="19"/>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ind w:hanging="19"/>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5%</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(34) 28%</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31%</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(42) 35%</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(18) 30%</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41%</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(37) 31%</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(21) 34%</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(16) 27%</w:t>
            </w:r>
          </w:p>
        </w:tc>
        <w:tc>
          <w:tcPr>
            <w:tcW w:w="1322"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1683" w:type="dxa"/>
          </w:tcPr>
          <w:p w:rsidR="006D5DD4" w:rsidRPr="0025795F" w:rsidRDefault="00FF162E"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w:t>
            </w:r>
            <w:r w:rsidR="00D16C52" w:rsidRPr="0025795F">
              <w:rPr>
                <w:rFonts w:asciiTheme="minorHAnsi" w:hAnsiTheme="minorHAnsi"/>
                <w:sz w:val="20"/>
                <w:szCs w:val="20"/>
              </w:rPr>
              <w:t>8</w:t>
            </w:r>
            <w:r w:rsidRPr="0025795F">
              <w:rPr>
                <w:rFonts w:asciiTheme="minorHAnsi" w:hAnsiTheme="minorHAnsi"/>
                <w:sz w:val="20"/>
                <w:szCs w:val="20"/>
              </w:rPr>
              <w:t>%</w:t>
            </w:r>
          </w:p>
          <w:p w:rsidR="00592D91" w:rsidRPr="0025795F" w:rsidRDefault="00592D91"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592D91"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67</w:t>
            </w:r>
            <w:r w:rsidR="00DF7DDC" w:rsidRPr="0025795F">
              <w:rPr>
                <w:rFonts w:asciiTheme="minorHAnsi" w:hAnsiTheme="minorHAnsi"/>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3C622B" w:rsidRPr="0025795F" w:rsidRDefault="00D16C52" w:rsidP="00D16C5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69</w:t>
            </w:r>
            <w:r w:rsidR="00DF7DDC" w:rsidRPr="0025795F">
              <w:rPr>
                <w:rFonts w:asciiTheme="minorHAnsi" w:hAnsiTheme="minorHAnsi"/>
                <w:sz w:val="20"/>
                <w:szCs w:val="20"/>
              </w:rPr>
              <w:t>%</w:t>
            </w:r>
          </w:p>
        </w:tc>
      </w:tr>
      <w:tr w:rsidR="00620524" w:rsidRPr="00F6519B" w:rsidTr="006D4835">
        <w:trPr>
          <w:cnfStyle w:val="000000100000" w:firstRow="0" w:lastRow="0" w:firstColumn="0" w:lastColumn="0" w:oddVBand="0" w:evenVBand="0" w:oddHBand="1" w:evenHBand="0" w:firstRowFirstColumn="0" w:firstRowLastColumn="0" w:lastRowFirstColumn="0" w:lastRowLastColumn="0"/>
          <w:cantSplit/>
          <w:trHeight w:val="1249"/>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Service Planning</w:t>
            </w:r>
          </w:p>
          <w:p w:rsidR="006D5DD4" w:rsidRPr="00F6519B" w:rsidRDefault="006D5DD4" w:rsidP="00537C13">
            <w:pPr>
              <w:widowControl w:val="0"/>
              <w:rPr>
                <w:rFonts w:asciiTheme="minorHAnsi" w:hAnsiTheme="minorHAnsi"/>
                <w:sz w:val="20"/>
                <w:szCs w:val="20"/>
              </w:rPr>
            </w:pP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rPr>
            </w:pPr>
          </w:p>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-IHT</w:t>
            </w:r>
          </w:p>
          <w:p w:rsidR="00620524" w:rsidRPr="00F6519B" w:rsidRDefault="00620524" w:rsidP="00537C13">
            <w:pPr>
              <w:widowControl w:val="0"/>
              <w:rPr>
                <w:rFonts w:asciiTheme="minorHAnsi" w:hAnsiTheme="minorHAnsi"/>
                <w:color w:val="0070C0"/>
                <w:sz w:val="20"/>
                <w:szCs w:val="20"/>
              </w:rPr>
            </w:pPr>
          </w:p>
        </w:tc>
        <w:tc>
          <w:tcPr>
            <w:tcW w:w="727" w:type="dxa"/>
          </w:tcPr>
          <w:p w:rsidR="006D5DD4" w:rsidRPr="00DF7DDC" w:rsidRDefault="00BD7480"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3.1</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2175C1" w:rsidRPr="00F6519B">
              <w:rPr>
                <w:rFonts w:asciiTheme="minorHAnsi" w:hAnsiTheme="minorHAnsi"/>
                <w:sz w:val="20"/>
                <w:szCs w:val="20"/>
              </w:rPr>
              <w:t>3</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tc>
        <w:tc>
          <w:tcPr>
            <w:tcW w:w="1471"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4%</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(25) 21%</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16%</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(46) 38%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(27) 44%</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32%</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(37) 31%</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31 %</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(18) 31%</w:t>
            </w:r>
          </w:p>
        </w:tc>
        <w:tc>
          <w:tcPr>
            <w:tcW w:w="1322"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6%</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5%</w:t>
            </w:r>
          </w:p>
        </w:tc>
        <w:tc>
          <w:tcPr>
            <w:tcW w:w="1683" w:type="dxa"/>
          </w:tcPr>
          <w:p w:rsidR="003C622B" w:rsidRPr="0025795F" w:rsidRDefault="00BD7480" w:rsidP="003C62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75</w:t>
            </w:r>
            <w:r w:rsidR="00DF7DDC" w:rsidRPr="0025795F">
              <w:rPr>
                <w:rFonts w:asciiTheme="minorHAnsi" w:hAnsiTheme="minorHAnsi"/>
                <w:b/>
                <w:sz w:val="20"/>
                <w:szCs w:val="20"/>
              </w:rPr>
              <w:t>%</w:t>
            </w:r>
          </w:p>
          <w:p w:rsidR="003C622B" w:rsidRPr="0025795F" w:rsidRDefault="003C622B" w:rsidP="003C62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622B" w:rsidRPr="0025795F" w:rsidRDefault="00BD7480" w:rsidP="00A819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82</w:t>
            </w:r>
            <w:r w:rsidR="00DF7DDC" w:rsidRPr="0025795F">
              <w:rPr>
                <w:rFonts w:asciiTheme="minorHAnsi" w:hAnsiTheme="minorHAnsi"/>
                <w:b/>
                <w:sz w:val="20"/>
                <w:szCs w:val="20"/>
              </w:rPr>
              <w:t>%</w:t>
            </w:r>
          </w:p>
          <w:p w:rsidR="003C622B" w:rsidRPr="0025795F" w:rsidRDefault="003C62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622B" w:rsidRPr="0025795F" w:rsidRDefault="003C62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68</w:t>
            </w:r>
            <w:r w:rsidR="00DF7DDC" w:rsidRPr="0025795F">
              <w:rPr>
                <w:rFonts w:asciiTheme="minorHAnsi" w:hAnsiTheme="minorHAnsi"/>
                <w:sz w:val="20"/>
                <w:szCs w:val="20"/>
              </w:rPr>
              <w:t>%</w:t>
            </w:r>
          </w:p>
        </w:tc>
      </w:tr>
      <w:tr w:rsidR="00592D91" w:rsidRPr="00F6519B" w:rsidTr="006D4835">
        <w:trPr>
          <w:cnfStyle w:val="000000010000" w:firstRow="0" w:lastRow="0" w:firstColumn="0" w:lastColumn="0" w:oddVBand="0" w:evenVBand="0" w:oddHBand="0" w:evenHBand="1" w:firstRowFirstColumn="0" w:firstRowLastColumn="0" w:lastRowFirstColumn="0" w:lastRowLastColumn="0"/>
          <w:cantSplit/>
          <w:trHeight w:val="1249"/>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Service Delivery</w:t>
            </w:r>
          </w:p>
          <w:p w:rsidR="006D5DD4" w:rsidRPr="00F6519B" w:rsidRDefault="006D5DD4" w:rsidP="00537C13">
            <w:pPr>
              <w:widowControl w:val="0"/>
              <w:rPr>
                <w:rFonts w:asciiTheme="minorHAnsi" w:hAnsiTheme="minorHAnsi"/>
                <w:sz w:val="20"/>
                <w:szCs w:val="20"/>
              </w:rPr>
            </w:pP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rPr>
            </w:pPr>
          </w:p>
          <w:p w:rsidR="006D5DD4" w:rsidRPr="00DF7DDC" w:rsidRDefault="00BD7480" w:rsidP="00537C13">
            <w:pPr>
              <w:widowControl w:val="0"/>
              <w:rPr>
                <w:rFonts w:asciiTheme="minorHAnsi" w:hAnsiTheme="minorHAnsi"/>
                <w:color w:val="0070C0"/>
                <w:sz w:val="20"/>
                <w:szCs w:val="20"/>
              </w:rPr>
            </w:pPr>
            <w:r w:rsidRPr="00F6519B">
              <w:rPr>
                <w:rFonts w:asciiTheme="minorHAnsi" w:hAnsiTheme="minorHAnsi"/>
                <w:sz w:val="20"/>
                <w:szCs w:val="20"/>
              </w:rPr>
              <w:t>-IHT</w:t>
            </w:r>
          </w:p>
        </w:tc>
        <w:tc>
          <w:tcPr>
            <w:tcW w:w="727" w:type="dxa"/>
          </w:tcPr>
          <w:p w:rsidR="006D5DD4" w:rsidRPr="00DF7DDC" w:rsidRDefault="00BD7480"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2175C1" w:rsidRPr="00F6519B">
              <w:rPr>
                <w:rFonts w:asciiTheme="minorHAnsi" w:hAnsiTheme="minorHAnsi"/>
                <w:sz w:val="20"/>
                <w:szCs w:val="20"/>
              </w:rPr>
              <w:t>5</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3.5</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913926" w:rsidRPr="00F6519B">
              <w:rPr>
                <w:rFonts w:asciiTheme="minorHAnsi" w:hAnsiTheme="minorHAnsi"/>
                <w:sz w:val="20"/>
                <w:szCs w:val="20"/>
              </w:rPr>
              <w:t>4</w:t>
            </w:r>
          </w:p>
        </w:tc>
        <w:tc>
          <w:tcPr>
            <w:tcW w:w="1471"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2%</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(14) 12%</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(8) 13%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(43) 36%</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(20) 33%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(23) 39%</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(50) 42%</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(27) 44%</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(23) 39%</w:t>
            </w:r>
          </w:p>
        </w:tc>
        <w:tc>
          <w:tcPr>
            <w:tcW w:w="1322"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(11) 9%</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8%</w:t>
            </w:r>
          </w:p>
        </w:tc>
        <w:tc>
          <w:tcPr>
            <w:tcW w:w="1683" w:type="dxa"/>
          </w:tcPr>
          <w:p w:rsidR="006D5DD4" w:rsidRPr="0025795F"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w:t>
            </w:r>
            <w:r w:rsidR="00D30971" w:rsidRPr="0025795F">
              <w:rPr>
                <w:rFonts w:asciiTheme="minorHAnsi" w:hAnsiTheme="minorHAnsi"/>
                <w:b/>
                <w:sz w:val="20"/>
                <w:szCs w:val="20"/>
              </w:rPr>
              <w:t>7</w:t>
            </w:r>
            <w:r w:rsidR="00DF7DDC" w:rsidRPr="0025795F">
              <w:rPr>
                <w:rFonts w:asciiTheme="minorHAnsi" w:hAnsiTheme="minorHAnsi"/>
                <w:b/>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p>
          <w:p w:rsidR="003C622B" w:rsidRPr="0025795F"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87</w:t>
            </w:r>
            <w:r w:rsidR="00DF7DDC" w:rsidRPr="0025795F">
              <w:rPr>
                <w:rFonts w:asciiTheme="minorHAnsi" w:hAnsiTheme="minorHAnsi"/>
                <w:b/>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p>
          <w:p w:rsidR="003C622B" w:rsidRPr="0025795F" w:rsidRDefault="00BD7480" w:rsidP="00D3097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25795F">
              <w:rPr>
                <w:rFonts w:asciiTheme="minorHAnsi" w:hAnsiTheme="minorHAnsi"/>
                <w:b/>
                <w:sz w:val="20"/>
                <w:szCs w:val="20"/>
              </w:rPr>
              <w:t>8</w:t>
            </w:r>
            <w:r w:rsidR="00D30971" w:rsidRPr="0025795F">
              <w:rPr>
                <w:rFonts w:asciiTheme="minorHAnsi" w:hAnsiTheme="minorHAnsi"/>
                <w:b/>
                <w:sz w:val="20"/>
                <w:szCs w:val="20"/>
              </w:rPr>
              <w:t>6</w:t>
            </w:r>
            <w:r w:rsidR="00DF7DDC" w:rsidRPr="0025795F">
              <w:rPr>
                <w:rFonts w:asciiTheme="minorHAnsi" w:hAnsiTheme="minorHAnsi"/>
                <w:b/>
                <w:sz w:val="20"/>
                <w:szCs w:val="20"/>
              </w:rPr>
              <w:t>%</w:t>
            </w:r>
          </w:p>
        </w:tc>
      </w:tr>
      <w:tr w:rsidR="00620524" w:rsidRPr="00F6519B" w:rsidTr="006D4835">
        <w:trPr>
          <w:cnfStyle w:val="000000100000" w:firstRow="0" w:lastRow="0" w:firstColumn="0" w:lastColumn="0" w:oddVBand="0" w:evenVBand="0" w:oddHBand="1" w:evenHBand="0" w:firstRowFirstColumn="0" w:firstRowLastColumn="0" w:lastRowFirstColumn="0" w:lastRowLastColumn="0"/>
          <w:cantSplit/>
          <w:trHeight w:val="1231"/>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Youth &amp; Family Engagement</w:t>
            </w: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vertAlign w:val="superscript"/>
              </w:rPr>
            </w:pPr>
          </w:p>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-IHT</w:t>
            </w:r>
          </w:p>
          <w:p w:rsidR="005C6D9C" w:rsidRPr="00F6519B" w:rsidRDefault="005C6D9C" w:rsidP="00537C13">
            <w:pPr>
              <w:widowControl w:val="0"/>
              <w:rPr>
                <w:rFonts w:asciiTheme="minorHAnsi" w:hAnsiTheme="minorHAnsi"/>
                <w:color w:val="0070C0"/>
                <w:sz w:val="20"/>
                <w:szCs w:val="20"/>
              </w:rPr>
            </w:pPr>
          </w:p>
        </w:tc>
        <w:tc>
          <w:tcPr>
            <w:tcW w:w="727" w:type="dxa"/>
          </w:tcPr>
          <w:p w:rsidR="006D5DD4" w:rsidRPr="00DF7DDC" w:rsidRDefault="00BD7480"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3.7</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913926" w:rsidRPr="00F6519B">
              <w:rPr>
                <w:rFonts w:asciiTheme="minorHAnsi" w:hAnsiTheme="minorHAnsi"/>
                <w:sz w:val="20"/>
                <w:szCs w:val="20"/>
              </w:rPr>
              <w:t>6</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3.8</w:t>
            </w:r>
          </w:p>
        </w:tc>
        <w:tc>
          <w:tcPr>
            <w:tcW w:w="1471"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1%</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(9) 15%</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(33) 28%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(18) 30%</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(55) 46%</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(23) 38%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(32) 54%</w:t>
            </w:r>
          </w:p>
        </w:tc>
        <w:tc>
          <w:tcPr>
            <w:tcW w:w="1322"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(21) 18%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(11) 18%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17%</w:t>
            </w:r>
          </w:p>
        </w:tc>
        <w:tc>
          <w:tcPr>
            <w:tcW w:w="1683" w:type="dxa"/>
          </w:tcPr>
          <w:p w:rsidR="006D5DD4" w:rsidRPr="0025795F"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91</w:t>
            </w:r>
            <w:r w:rsidR="00DF7DDC" w:rsidRPr="0025795F">
              <w:rPr>
                <w:rFonts w:asciiTheme="minorHAnsi" w:hAnsiTheme="minorHAnsi"/>
                <w:b/>
                <w:sz w:val="20"/>
                <w:szCs w:val="20"/>
              </w:rPr>
              <w:t>%</w:t>
            </w: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622B" w:rsidRPr="0025795F"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85</w:t>
            </w:r>
            <w:r w:rsidR="00DF7DDC" w:rsidRPr="0025795F">
              <w:rPr>
                <w:rFonts w:asciiTheme="minorHAnsi" w:hAnsiTheme="minorHAnsi"/>
                <w:b/>
                <w:sz w:val="20"/>
                <w:szCs w:val="20"/>
              </w:rPr>
              <w:t>%</w:t>
            </w: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622B" w:rsidRPr="0025795F"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5795F">
              <w:rPr>
                <w:rFonts w:asciiTheme="minorHAnsi" w:hAnsiTheme="minorHAnsi"/>
                <w:b/>
                <w:sz w:val="20"/>
                <w:szCs w:val="20"/>
              </w:rPr>
              <w:t>97</w:t>
            </w:r>
            <w:r w:rsidR="00DF7DDC" w:rsidRPr="0025795F">
              <w:rPr>
                <w:rFonts w:asciiTheme="minorHAnsi" w:hAnsiTheme="minorHAnsi"/>
                <w:b/>
                <w:sz w:val="20"/>
                <w:szCs w:val="20"/>
              </w:rPr>
              <w:t>%</w:t>
            </w:r>
          </w:p>
        </w:tc>
      </w:tr>
      <w:tr w:rsidR="00592D91" w:rsidRPr="00F6519B" w:rsidTr="006D4835">
        <w:trPr>
          <w:cnfStyle w:val="000000010000" w:firstRow="0" w:lastRow="0" w:firstColumn="0" w:lastColumn="0" w:oddVBand="0" w:evenVBand="0" w:oddHBand="0" w:evenHBand="1" w:firstRowFirstColumn="0" w:firstRowLastColumn="0" w:lastRowFirstColumn="0" w:lastRowLastColumn="0"/>
          <w:cantSplit/>
          <w:trHeight w:val="1195"/>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Team Formation</w:t>
            </w:r>
          </w:p>
          <w:p w:rsidR="006D5DD4" w:rsidRPr="00F6519B" w:rsidRDefault="006D5DD4" w:rsidP="00537C13">
            <w:pPr>
              <w:widowControl w:val="0"/>
              <w:rPr>
                <w:rFonts w:asciiTheme="minorHAnsi" w:hAnsiTheme="minorHAnsi"/>
                <w:sz w:val="20"/>
                <w:szCs w:val="20"/>
              </w:rPr>
            </w:pP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vertAlign w:val="superscript"/>
              </w:rPr>
            </w:pPr>
          </w:p>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-IHT</w:t>
            </w:r>
          </w:p>
          <w:p w:rsidR="00620524" w:rsidRPr="00F6519B" w:rsidRDefault="00620524" w:rsidP="00537C13">
            <w:pPr>
              <w:widowControl w:val="0"/>
              <w:rPr>
                <w:rFonts w:asciiTheme="minorHAnsi" w:hAnsiTheme="minorHAnsi"/>
                <w:color w:val="0070C0"/>
                <w:sz w:val="20"/>
                <w:szCs w:val="20"/>
              </w:rPr>
            </w:pPr>
          </w:p>
        </w:tc>
        <w:tc>
          <w:tcPr>
            <w:tcW w:w="727" w:type="dxa"/>
          </w:tcPr>
          <w:p w:rsidR="006D5DD4" w:rsidRPr="00DF7DDC" w:rsidRDefault="00913926"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3.2</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w:t>
            </w:r>
            <w:r w:rsidR="00913926" w:rsidRPr="00F6519B">
              <w:rPr>
                <w:rFonts w:asciiTheme="minorHAnsi" w:hAnsiTheme="minorHAnsi"/>
                <w:sz w:val="20"/>
                <w:szCs w:val="20"/>
              </w:rPr>
              <w:t>7</w:t>
            </w:r>
          </w:p>
        </w:tc>
        <w:tc>
          <w:tcPr>
            <w:tcW w:w="1471"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(9) 8%</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863F5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12%</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20%</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863F5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(18) 31%</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(55) 46%</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(34) 56%</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863F5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(21) 36%</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(28) 23%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7D14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(13) 22%</w:t>
            </w:r>
          </w:p>
        </w:tc>
        <w:tc>
          <w:tcPr>
            <w:tcW w:w="1322"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tc>
        <w:tc>
          <w:tcPr>
            <w:tcW w:w="1683" w:type="dxa"/>
          </w:tcPr>
          <w:p w:rsidR="006D5DD4" w:rsidRPr="0025795F"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7</w:t>
            </w:r>
            <w:r w:rsidR="00D30971" w:rsidRPr="0025795F">
              <w:rPr>
                <w:rFonts w:asciiTheme="minorHAnsi" w:hAnsiTheme="minorHAnsi"/>
                <w:b/>
                <w:sz w:val="20"/>
                <w:szCs w:val="20"/>
              </w:rPr>
              <w:t>3</w:t>
            </w:r>
            <w:r w:rsidR="00DF7DDC" w:rsidRPr="0025795F">
              <w:rPr>
                <w:rFonts w:asciiTheme="minorHAnsi" w:hAnsiTheme="minorHAnsi"/>
                <w:b/>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p>
          <w:p w:rsidR="003C622B" w:rsidRPr="0025795F"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87</w:t>
            </w:r>
            <w:r w:rsidR="00DF7DDC" w:rsidRPr="0025795F">
              <w:rPr>
                <w:rFonts w:asciiTheme="minorHAnsi" w:hAnsiTheme="minorHAnsi"/>
                <w:b/>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3C622B" w:rsidRPr="0025795F" w:rsidRDefault="003C622B" w:rsidP="00D3097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5</w:t>
            </w:r>
            <w:r w:rsidR="00D30971" w:rsidRPr="0025795F">
              <w:rPr>
                <w:rFonts w:asciiTheme="minorHAnsi" w:hAnsiTheme="minorHAnsi"/>
                <w:sz w:val="20"/>
                <w:szCs w:val="20"/>
              </w:rPr>
              <w:t>8</w:t>
            </w:r>
            <w:r w:rsidR="00DF7DDC" w:rsidRPr="0025795F">
              <w:rPr>
                <w:rFonts w:asciiTheme="minorHAnsi" w:hAnsiTheme="minorHAnsi"/>
                <w:sz w:val="20"/>
                <w:szCs w:val="20"/>
              </w:rPr>
              <w:t>%</w:t>
            </w:r>
          </w:p>
        </w:tc>
      </w:tr>
      <w:tr w:rsidR="00620524" w:rsidRPr="00F6519B" w:rsidTr="006D4835">
        <w:trPr>
          <w:cnfStyle w:val="000000100000" w:firstRow="0" w:lastRow="0" w:firstColumn="0" w:lastColumn="0" w:oddVBand="0" w:evenVBand="0" w:oddHBand="1" w:evenHBand="0" w:firstRowFirstColumn="0" w:firstRowLastColumn="0" w:lastRowFirstColumn="0" w:lastRowLastColumn="0"/>
          <w:cantSplit/>
          <w:trHeight w:val="1204"/>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Team Participation</w:t>
            </w:r>
          </w:p>
          <w:p w:rsidR="006D5DD4" w:rsidRPr="00F6519B" w:rsidRDefault="006D5DD4" w:rsidP="00537C13">
            <w:pPr>
              <w:widowControl w:val="0"/>
              <w:rPr>
                <w:rFonts w:asciiTheme="minorHAnsi" w:hAnsiTheme="minorHAnsi"/>
                <w:sz w:val="20"/>
                <w:szCs w:val="20"/>
              </w:rPr>
            </w:pP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rPr>
            </w:pPr>
          </w:p>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-IHT</w:t>
            </w:r>
          </w:p>
          <w:p w:rsidR="00620524" w:rsidRPr="00F6519B" w:rsidRDefault="00620524" w:rsidP="00537C13">
            <w:pPr>
              <w:widowControl w:val="0"/>
              <w:rPr>
                <w:rFonts w:asciiTheme="minorHAnsi" w:hAnsiTheme="minorHAnsi"/>
                <w:color w:val="0070C0"/>
                <w:sz w:val="20"/>
                <w:szCs w:val="20"/>
              </w:rPr>
            </w:pPr>
          </w:p>
        </w:tc>
        <w:tc>
          <w:tcPr>
            <w:tcW w:w="727" w:type="dxa"/>
          </w:tcPr>
          <w:p w:rsidR="006D5DD4" w:rsidRPr="00DF7DDC" w:rsidRDefault="00BD7480"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913926" w:rsidRPr="00F6519B">
              <w:rPr>
                <w:rFonts w:asciiTheme="minorHAnsi" w:hAnsiTheme="minorHAnsi"/>
                <w:sz w:val="20"/>
                <w:szCs w:val="20"/>
              </w:rPr>
              <w:t>1</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3.4</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w:t>
            </w:r>
            <w:r w:rsidR="00913926" w:rsidRPr="00F6519B">
              <w:rPr>
                <w:rFonts w:asciiTheme="minorHAnsi" w:hAnsiTheme="minorHAnsi"/>
                <w:sz w:val="20"/>
                <w:szCs w:val="20"/>
              </w:rPr>
              <w:t>7</w:t>
            </w:r>
          </w:p>
        </w:tc>
        <w:tc>
          <w:tcPr>
            <w:tcW w:w="1471"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6%</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025B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20%</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11%</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025B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(17) 29%</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(47) 39%</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(21) 34%</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025B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(26) 44%</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(38) 32%</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(28) 46%</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025B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17%</w:t>
            </w:r>
          </w:p>
        </w:tc>
        <w:tc>
          <w:tcPr>
            <w:tcW w:w="1322"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3%</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tc>
        <w:tc>
          <w:tcPr>
            <w:tcW w:w="1683" w:type="dxa"/>
          </w:tcPr>
          <w:p w:rsidR="006D5DD4" w:rsidRPr="0025795F"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74</w:t>
            </w:r>
            <w:r w:rsidR="00DF7DDC" w:rsidRPr="0025795F">
              <w:rPr>
                <w:rFonts w:asciiTheme="minorHAnsi" w:hAnsiTheme="minorHAnsi"/>
                <w:b/>
                <w:sz w:val="20"/>
                <w:szCs w:val="20"/>
              </w:rPr>
              <w:t>%</w:t>
            </w: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622B" w:rsidRPr="0025795F"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87</w:t>
            </w:r>
            <w:r w:rsidR="00DF7DDC" w:rsidRPr="0025795F">
              <w:rPr>
                <w:rFonts w:asciiTheme="minorHAnsi" w:hAnsiTheme="minorHAnsi"/>
                <w:b/>
                <w:sz w:val="20"/>
                <w:szCs w:val="20"/>
              </w:rPr>
              <w:t>%</w:t>
            </w: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61</w:t>
            </w:r>
            <w:r w:rsidR="00DF7DDC" w:rsidRPr="0025795F">
              <w:rPr>
                <w:rFonts w:asciiTheme="minorHAnsi" w:hAnsiTheme="minorHAnsi"/>
                <w:sz w:val="20"/>
                <w:szCs w:val="20"/>
              </w:rPr>
              <w:t>%</w:t>
            </w:r>
          </w:p>
        </w:tc>
      </w:tr>
      <w:tr w:rsidR="00592D91" w:rsidRPr="00F6519B" w:rsidTr="006D4835">
        <w:trPr>
          <w:cnfStyle w:val="000000010000" w:firstRow="0" w:lastRow="0" w:firstColumn="0" w:lastColumn="0" w:oddVBand="0" w:evenVBand="0" w:oddHBand="0" w:evenHBand="1" w:firstRowFirstColumn="0" w:firstRowLastColumn="0" w:lastRowFirstColumn="0" w:lastRowLastColumn="0"/>
          <w:cantSplit/>
          <w:trHeight w:val="1285"/>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Care Coordination</w:t>
            </w:r>
          </w:p>
          <w:p w:rsidR="006D5DD4" w:rsidRPr="00F6519B" w:rsidRDefault="006D5DD4" w:rsidP="00537C13">
            <w:pPr>
              <w:widowControl w:val="0"/>
              <w:rPr>
                <w:rFonts w:asciiTheme="minorHAnsi" w:hAnsiTheme="minorHAnsi"/>
                <w:sz w:val="20"/>
                <w:szCs w:val="20"/>
              </w:rPr>
            </w:pPr>
          </w:p>
          <w:p w:rsidR="006D5DD4" w:rsidRPr="00DF7DDC" w:rsidRDefault="00BD7480" w:rsidP="00537C13">
            <w:pPr>
              <w:rPr>
                <w:rFonts w:asciiTheme="minorHAnsi" w:hAnsiTheme="minorHAnsi"/>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sz w:val="20"/>
                <w:szCs w:val="20"/>
              </w:rPr>
            </w:pPr>
          </w:p>
          <w:p w:rsidR="006D5DD4" w:rsidRPr="00DF7DDC" w:rsidRDefault="00BD7480" w:rsidP="00537C13">
            <w:pPr>
              <w:widowControl w:val="0"/>
              <w:rPr>
                <w:rFonts w:asciiTheme="minorHAnsi" w:hAnsiTheme="minorHAnsi"/>
                <w:sz w:val="20"/>
                <w:szCs w:val="20"/>
              </w:rPr>
            </w:pPr>
            <w:r w:rsidRPr="00F6519B">
              <w:rPr>
                <w:rFonts w:asciiTheme="minorHAnsi" w:hAnsiTheme="minorHAnsi"/>
                <w:sz w:val="20"/>
                <w:szCs w:val="20"/>
              </w:rPr>
              <w:t>-IHT</w:t>
            </w:r>
          </w:p>
          <w:p w:rsidR="00E6077B" w:rsidRPr="00F6519B" w:rsidRDefault="00E6077B" w:rsidP="00537C13">
            <w:pPr>
              <w:widowControl w:val="0"/>
              <w:rPr>
                <w:rFonts w:asciiTheme="minorHAnsi" w:hAnsiTheme="minorHAnsi"/>
                <w:color w:val="0070C0"/>
                <w:sz w:val="20"/>
                <w:szCs w:val="20"/>
              </w:rPr>
            </w:pPr>
          </w:p>
        </w:tc>
        <w:tc>
          <w:tcPr>
            <w:tcW w:w="727" w:type="dxa"/>
          </w:tcPr>
          <w:p w:rsidR="006D5DD4" w:rsidRPr="00DF7DDC" w:rsidRDefault="00BD7480"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813B2E" w:rsidRPr="00F6519B">
              <w:rPr>
                <w:rFonts w:asciiTheme="minorHAnsi" w:hAnsiTheme="minorHAnsi"/>
                <w:sz w:val="20"/>
                <w:szCs w:val="20"/>
              </w:rPr>
              <w:t>2</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913926" w:rsidRPr="00F6519B">
              <w:rPr>
                <w:rFonts w:asciiTheme="minorHAnsi" w:hAnsiTheme="minorHAnsi"/>
                <w:sz w:val="20"/>
                <w:szCs w:val="20"/>
              </w:rPr>
              <w:t>5</w:t>
            </w:r>
          </w:p>
          <w:p w:rsidR="006D5DD4" w:rsidRPr="00F6519B"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2.8</w:t>
            </w:r>
          </w:p>
        </w:tc>
        <w:tc>
          <w:tcPr>
            <w:tcW w:w="1471"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3%</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2F3C7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 25%</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(11) 18%</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2F3C7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32%</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(35) 29%</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(16) 26%</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2F3C7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32%</w:t>
            </w:r>
          </w:p>
        </w:tc>
        <w:tc>
          <w:tcPr>
            <w:tcW w:w="1169"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(44) 37%</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(27) 44%</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2F3C7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(17) 29%</w:t>
            </w:r>
          </w:p>
        </w:tc>
        <w:tc>
          <w:tcPr>
            <w:tcW w:w="1322" w:type="dxa"/>
          </w:tcPr>
          <w:p w:rsidR="006D5DD4" w:rsidRPr="00DF7DDC"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6%</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11%</w:t>
            </w:r>
          </w:p>
          <w:p w:rsidR="006D5DD4" w:rsidRPr="00F6519B"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tc>
        <w:tc>
          <w:tcPr>
            <w:tcW w:w="1683" w:type="dxa"/>
          </w:tcPr>
          <w:p w:rsidR="006D5DD4" w:rsidRPr="0025795F"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72</w:t>
            </w:r>
            <w:r w:rsidR="00DF7DDC" w:rsidRPr="0025795F">
              <w:rPr>
                <w:rFonts w:asciiTheme="minorHAnsi" w:hAnsiTheme="minorHAnsi"/>
                <w:b/>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p>
          <w:p w:rsidR="003C622B" w:rsidRPr="0025795F" w:rsidRDefault="00BD7480"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82</w:t>
            </w:r>
            <w:r w:rsidR="00DF7DDC" w:rsidRPr="0025795F">
              <w:rPr>
                <w:rFonts w:asciiTheme="minorHAnsi" w:hAnsiTheme="minorHAnsi"/>
                <w:b/>
                <w:sz w:val="20"/>
                <w:szCs w:val="20"/>
              </w:rPr>
              <w:t>%</w:t>
            </w:r>
          </w:p>
          <w:p w:rsidR="003C622B" w:rsidRPr="0025795F" w:rsidRDefault="003C622B"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3C622B" w:rsidRPr="0025795F" w:rsidRDefault="003C622B" w:rsidP="00D3097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w:t>
            </w:r>
            <w:r w:rsidR="00D30971" w:rsidRPr="0025795F">
              <w:rPr>
                <w:rFonts w:asciiTheme="minorHAnsi" w:hAnsiTheme="minorHAnsi"/>
                <w:sz w:val="20"/>
                <w:szCs w:val="20"/>
              </w:rPr>
              <w:t>1</w:t>
            </w:r>
            <w:r w:rsidR="00DF7DDC" w:rsidRPr="0025795F">
              <w:rPr>
                <w:rFonts w:asciiTheme="minorHAnsi" w:hAnsiTheme="minorHAnsi"/>
                <w:sz w:val="20"/>
                <w:szCs w:val="20"/>
              </w:rPr>
              <w:t>%</w:t>
            </w:r>
          </w:p>
        </w:tc>
      </w:tr>
      <w:tr w:rsidR="00620524" w:rsidRPr="00F6519B" w:rsidTr="006D4835">
        <w:trPr>
          <w:cnfStyle w:val="000000100000" w:firstRow="0" w:lastRow="0" w:firstColumn="0" w:lastColumn="0" w:oddVBand="0" w:evenVBand="0" w:oddHBand="1" w:evenHBand="0" w:firstRowFirstColumn="0" w:firstRowLastColumn="0" w:lastRowFirstColumn="0" w:lastRowLastColumn="0"/>
          <w:cantSplit/>
          <w:trHeight w:val="1285"/>
        </w:trPr>
        <w:tc>
          <w:tcPr>
            <w:cnfStyle w:val="001000000000" w:firstRow="0" w:lastRow="0" w:firstColumn="1" w:lastColumn="0" w:oddVBand="0" w:evenVBand="0" w:oddHBand="0" w:evenHBand="0" w:firstRowFirstColumn="0" w:firstRowLastColumn="0" w:lastRowFirstColumn="0" w:lastRowLastColumn="0"/>
            <w:tcW w:w="2423" w:type="dxa"/>
          </w:tcPr>
          <w:p w:rsidR="006D5DD4" w:rsidRPr="00DF7DDC" w:rsidRDefault="00BD7480" w:rsidP="00537C13">
            <w:pPr>
              <w:rPr>
                <w:rFonts w:asciiTheme="minorHAnsi" w:hAnsiTheme="minorHAnsi"/>
                <w:sz w:val="20"/>
                <w:szCs w:val="20"/>
              </w:rPr>
            </w:pPr>
            <w:r w:rsidRPr="00F6519B">
              <w:rPr>
                <w:rFonts w:asciiTheme="minorHAnsi" w:hAnsiTheme="minorHAnsi"/>
                <w:sz w:val="20"/>
                <w:szCs w:val="20"/>
              </w:rPr>
              <w:t>Transition</w:t>
            </w:r>
          </w:p>
          <w:p w:rsidR="006D5DD4" w:rsidRPr="00F6519B" w:rsidRDefault="006D5DD4" w:rsidP="00537C13">
            <w:pPr>
              <w:rPr>
                <w:rFonts w:asciiTheme="minorHAnsi" w:hAnsiTheme="minorHAnsi"/>
                <w:bCs w:val="0"/>
                <w:sz w:val="20"/>
                <w:szCs w:val="20"/>
              </w:rPr>
            </w:pPr>
          </w:p>
          <w:p w:rsidR="006D5DD4" w:rsidRPr="00DF7DDC" w:rsidRDefault="00BD7480" w:rsidP="00537C13">
            <w:pPr>
              <w:rPr>
                <w:rFonts w:asciiTheme="minorHAnsi" w:hAnsiTheme="minorHAnsi"/>
                <w:bCs w:val="0"/>
                <w:sz w:val="20"/>
                <w:szCs w:val="20"/>
              </w:rPr>
            </w:pPr>
            <w:r w:rsidRPr="00F6519B">
              <w:rPr>
                <w:rFonts w:asciiTheme="minorHAnsi" w:hAnsiTheme="minorHAnsi"/>
                <w:sz w:val="20"/>
                <w:szCs w:val="20"/>
              </w:rPr>
              <w:t>-ICC</w:t>
            </w:r>
          </w:p>
          <w:p w:rsidR="006D5DD4" w:rsidRPr="00F6519B" w:rsidRDefault="006D5DD4" w:rsidP="00537C13">
            <w:pPr>
              <w:rPr>
                <w:rFonts w:asciiTheme="minorHAnsi" w:hAnsiTheme="minorHAnsi"/>
                <w:bCs w:val="0"/>
                <w:sz w:val="20"/>
                <w:szCs w:val="20"/>
              </w:rPr>
            </w:pPr>
          </w:p>
          <w:p w:rsidR="005C6D9C" w:rsidRPr="00150616" w:rsidRDefault="00BD7480" w:rsidP="00537C13">
            <w:pPr>
              <w:rPr>
                <w:rFonts w:asciiTheme="minorHAnsi" w:hAnsiTheme="minorHAnsi"/>
                <w:sz w:val="20"/>
                <w:szCs w:val="20"/>
              </w:rPr>
            </w:pPr>
            <w:r w:rsidRPr="00F6519B">
              <w:rPr>
                <w:rFonts w:asciiTheme="minorHAnsi" w:hAnsiTheme="minorHAnsi"/>
                <w:sz w:val="20"/>
                <w:szCs w:val="20"/>
              </w:rPr>
              <w:t>-IHT</w:t>
            </w:r>
          </w:p>
        </w:tc>
        <w:tc>
          <w:tcPr>
            <w:tcW w:w="727" w:type="dxa"/>
          </w:tcPr>
          <w:p w:rsidR="006D5DD4" w:rsidRPr="00DF7DDC" w:rsidRDefault="00BD7480"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2.9</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913926"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p w:rsidR="006D5DD4" w:rsidRPr="00F6519B"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0"/>
                <w:szCs w:val="20"/>
              </w:rPr>
            </w:pPr>
            <w:r w:rsidRPr="00F6519B">
              <w:rPr>
                <w:rFonts w:asciiTheme="minorHAnsi" w:hAnsiTheme="minorHAnsi"/>
                <w:sz w:val="20"/>
                <w:szCs w:val="20"/>
              </w:rPr>
              <w:t>2.8</w:t>
            </w:r>
          </w:p>
        </w:tc>
        <w:tc>
          <w:tcPr>
            <w:tcW w:w="1471"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8%</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2A70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(32) 27%</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2A70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(17) 29%</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(44) 37%</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39%</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2A70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(20) 34%</w:t>
            </w:r>
          </w:p>
        </w:tc>
        <w:tc>
          <w:tcPr>
            <w:tcW w:w="1169"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(29) 24%</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(14) 23%</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2A70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tc>
        <w:tc>
          <w:tcPr>
            <w:tcW w:w="1322" w:type="dxa"/>
          </w:tcPr>
          <w:p w:rsidR="006D5DD4" w:rsidRPr="00DF7DDC" w:rsidRDefault="00BD7480"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4%</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p w:rsidR="006D5DD4" w:rsidRPr="00F6519B" w:rsidRDefault="006D5DD4"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6D5DD4" w:rsidRPr="00DF7DDC" w:rsidRDefault="006D5DD4" w:rsidP="002A70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1683" w:type="dxa"/>
          </w:tcPr>
          <w:p w:rsidR="006D5DD4"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65</w:t>
            </w:r>
            <w:r w:rsidR="00DF7DDC" w:rsidRPr="0025795F">
              <w:rPr>
                <w:rFonts w:asciiTheme="minorHAnsi" w:hAnsiTheme="minorHAnsi"/>
                <w:sz w:val="20"/>
                <w:szCs w:val="20"/>
              </w:rPr>
              <w:t>%</w:t>
            </w: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w:t>
            </w:r>
            <w:r w:rsidR="00D30971" w:rsidRPr="0025795F">
              <w:rPr>
                <w:rFonts w:asciiTheme="minorHAnsi" w:hAnsiTheme="minorHAnsi"/>
                <w:sz w:val="20"/>
                <w:szCs w:val="20"/>
              </w:rPr>
              <w:t>9</w:t>
            </w:r>
            <w:r w:rsidR="00DF7DDC" w:rsidRPr="0025795F">
              <w:rPr>
                <w:rFonts w:asciiTheme="minorHAnsi" w:hAnsiTheme="minorHAnsi"/>
                <w:sz w:val="20"/>
                <w:szCs w:val="20"/>
              </w:rPr>
              <w:t>%</w:t>
            </w: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622B" w:rsidRPr="0025795F" w:rsidRDefault="003C622B"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5795F">
              <w:rPr>
                <w:rFonts w:asciiTheme="minorHAnsi" w:hAnsiTheme="minorHAnsi"/>
                <w:sz w:val="20"/>
                <w:szCs w:val="20"/>
              </w:rPr>
              <w:t>61</w:t>
            </w:r>
            <w:r w:rsidR="00DF7DDC" w:rsidRPr="0025795F">
              <w:rPr>
                <w:rFonts w:asciiTheme="minorHAnsi" w:hAnsiTheme="minorHAnsi"/>
                <w:i/>
                <w:sz w:val="20"/>
                <w:szCs w:val="20"/>
              </w:rPr>
              <w:t>%</w:t>
            </w:r>
          </w:p>
        </w:tc>
      </w:tr>
    </w:tbl>
    <w:p w:rsidR="004F1ACA" w:rsidRPr="00EA2D8F" w:rsidRDefault="00BD7480">
      <w:pPr>
        <w:rPr>
          <w:sz w:val="18"/>
          <w:szCs w:val="18"/>
        </w:rPr>
      </w:pPr>
      <w:r w:rsidRPr="00BD7480">
        <w:rPr>
          <w:sz w:val="18"/>
          <w:szCs w:val="18"/>
        </w:rPr>
        <w:t xml:space="preserve">* </w:t>
      </w:r>
      <w:r w:rsidR="00B6046D">
        <w:rPr>
          <w:sz w:val="18"/>
          <w:szCs w:val="18"/>
        </w:rPr>
        <w:t>A</w:t>
      </w:r>
      <w:r w:rsidR="0025795F">
        <w:rPr>
          <w:sz w:val="18"/>
          <w:szCs w:val="18"/>
        </w:rPr>
        <w:t>ccurately rounded percentages; areas with</w:t>
      </w:r>
      <w:r w:rsidRPr="00BD7480">
        <w:rPr>
          <w:sz w:val="18"/>
          <w:szCs w:val="18"/>
        </w:rPr>
        <w:t xml:space="preserve"> 70% Fair or above are in </w:t>
      </w:r>
      <w:r w:rsidRPr="00BD7480">
        <w:rPr>
          <w:b/>
          <w:sz w:val="18"/>
          <w:szCs w:val="18"/>
        </w:rPr>
        <w:t>bold</w:t>
      </w:r>
      <w:r w:rsidRPr="00BD7480">
        <w:rPr>
          <w:sz w:val="18"/>
          <w:szCs w:val="18"/>
        </w:rPr>
        <w:t>.</w:t>
      </w:r>
    </w:p>
    <w:p w:rsidR="006D4835" w:rsidRDefault="006D4835" w:rsidP="00730C61">
      <w:pPr>
        <w:spacing w:before="120" w:after="80"/>
        <w:rPr>
          <w:b/>
        </w:rPr>
      </w:pPr>
    </w:p>
    <w:p w:rsidR="00730C61" w:rsidRPr="009E681E" w:rsidRDefault="00730C61" w:rsidP="00730C61">
      <w:pPr>
        <w:spacing w:before="120" w:after="80"/>
        <w:rPr>
          <w:b/>
        </w:rPr>
      </w:pPr>
      <w:r w:rsidRPr="009E681E">
        <w:rPr>
          <w:b/>
        </w:rPr>
        <w:lastRenderedPageBreak/>
        <w:t>Domain 2: Community-Based</w:t>
      </w:r>
    </w:p>
    <w:p w:rsidR="006A4184" w:rsidRPr="001852D9" w:rsidRDefault="003D0550" w:rsidP="00730C61">
      <w:r>
        <w:t xml:space="preserve">As previously noted, </w:t>
      </w:r>
      <w:r w:rsidRPr="00AB7A08">
        <w:t xml:space="preserve">Community-Based </w:t>
      </w:r>
      <w:r>
        <w:t>was the h</w:t>
      </w:r>
      <w:r w:rsidRPr="00AB7A08">
        <w:t>ighest</w:t>
      </w:r>
      <w:r>
        <w:t xml:space="preserve"> rated </w:t>
      </w:r>
      <w:r w:rsidRPr="00AB7A08">
        <w:t xml:space="preserve">Practice Domain </w:t>
      </w:r>
      <w:r>
        <w:t>(</w:t>
      </w:r>
      <w:r w:rsidRPr="00AB7A08">
        <w:t>3.</w:t>
      </w:r>
      <w:r w:rsidR="00EA10CE">
        <w:t>7</w:t>
      </w:r>
      <w:r>
        <w:t xml:space="preserve">). </w:t>
      </w:r>
      <w:r w:rsidR="00C34B70">
        <w:rPr>
          <w:b/>
          <w:color w:val="5B9BD5" w:themeColor="accent1"/>
        </w:rPr>
        <w:t>Figure 3</w:t>
      </w:r>
      <w:r w:rsidR="00730C61" w:rsidRPr="001852D9">
        <w:rPr>
          <w:b/>
          <w:color w:val="5B9BD5" w:themeColor="accent1"/>
        </w:rPr>
        <w:t xml:space="preserve"> </w:t>
      </w:r>
      <w:r w:rsidR="00E72988">
        <w:t>shows the distribution of ratings for this domain.</w:t>
      </w:r>
    </w:p>
    <w:p w:rsidR="00730C61" w:rsidRPr="00C34B70" w:rsidRDefault="00730C61" w:rsidP="00730C61">
      <w:pPr>
        <w:spacing w:before="160" w:after="80"/>
        <w:jc w:val="center"/>
        <w:rPr>
          <w:b/>
          <w:color w:val="5B9BD5" w:themeColor="accent1"/>
          <w:szCs w:val="22"/>
        </w:rPr>
      </w:pPr>
      <w:r w:rsidRPr="00C34B70">
        <w:rPr>
          <w:b/>
          <w:color w:val="5B9BD5" w:themeColor="accent1"/>
          <w:szCs w:val="22"/>
        </w:rPr>
        <w:t xml:space="preserve">Figure </w:t>
      </w:r>
      <w:r w:rsidR="00C34B70" w:rsidRPr="00C34B70">
        <w:rPr>
          <w:b/>
          <w:color w:val="5B9BD5" w:themeColor="accent1"/>
          <w:szCs w:val="22"/>
        </w:rPr>
        <w:t>3</w:t>
      </w:r>
      <w:r w:rsidRPr="00C34B70">
        <w:rPr>
          <w:b/>
          <w:color w:val="5B9BD5" w:themeColor="accent1"/>
          <w:szCs w:val="22"/>
        </w:rPr>
        <w:t>: Community-Based Mean Scores</w:t>
      </w:r>
    </w:p>
    <w:p w:rsidR="009E681E" w:rsidRDefault="001330B4" w:rsidP="00730C61">
      <w:pPr>
        <w:spacing w:before="160" w:after="80"/>
        <w:jc w:val="center"/>
        <w:rPr>
          <w:b/>
          <w:color w:val="5B9BD5" w:themeColor="accent1"/>
          <w:sz w:val="22"/>
          <w:szCs w:val="22"/>
        </w:rPr>
      </w:pPr>
      <w:r>
        <w:rPr>
          <w:b/>
          <w:noProof/>
          <w:color w:val="5B9BD5" w:themeColor="accent1"/>
          <w:sz w:val="22"/>
          <w:szCs w:val="22"/>
        </w:rPr>
        <mc:AlternateContent>
          <mc:Choice Requires="wps">
            <w:drawing>
              <wp:anchor distT="0" distB="0" distL="114300" distR="114300" simplePos="0" relativeHeight="251666432" behindDoc="0" locked="0" layoutInCell="1" allowOverlap="1" wp14:anchorId="60977B2F" wp14:editId="2E5D9676">
                <wp:simplePos x="0" y="0"/>
                <wp:positionH relativeFrom="column">
                  <wp:posOffset>4747260</wp:posOffset>
                </wp:positionH>
                <wp:positionV relativeFrom="paragraph">
                  <wp:posOffset>149860</wp:posOffset>
                </wp:positionV>
                <wp:extent cx="670560" cy="685800"/>
                <wp:effectExtent l="0" t="0" r="0" b="0"/>
                <wp:wrapNone/>
                <wp:docPr id="5" name="TextBox 1"/>
                <wp:cNvGraphicFramePr/>
                <a:graphic xmlns:a="http://schemas.openxmlformats.org/drawingml/2006/main">
                  <a:graphicData uri="http://schemas.microsoft.com/office/word/2010/wordprocessingShape">
                    <wps:wsp>
                      <wps:cNvSpPr txBox="1"/>
                      <wps:spPr>
                        <a:xfrm>
                          <a:off x="0" y="0"/>
                          <a:ext cx="670560" cy="685800"/>
                        </a:xfrm>
                        <a:prstGeom prst="rect">
                          <a:avLst/>
                        </a:prstGeom>
                      </wps:spPr>
                      <wps:txb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3.7</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.63</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wps:txbx>
                      <wps:bodyPr wrap="none" rtlCol="0"/>
                    </wps:wsp>
                  </a:graphicData>
                </a:graphic>
              </wp:anchor>
            </w:drawing>
          </mc:Choice>
          <mc:Fallback>
            <w:pict>
              <v:shape w14:anchorId="60977B2F" id="_x0000_s1031" type="#_x0000_t202" style="position:absolute;left:0;text-align:left;margin-left:373.8pt;margin-top:11.8pt;width:52.8pt;height:54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" filled="f" stroked="f">
                <v:textbo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3.7</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.63</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v:textbox>
              </v:shape>
            </w:pict>
          </mc:Fallback>
        </mc:AlternateContent>
      </w:r>
      <w:r w:rsidR="00F84A08">
        <w:rPr>
          <w:b/>
          <w:noProof/>
          <w:color w:val="5B9BD5" w:themeColor="accent1"/>
          <w:sz w:val="22"/>
          <w:szCs w:val="22"/>
        </w:rPr>
        <w:drawing>
          <wp:inline distT="0" distB="0" distL="0" distR="0" wp14:anchorId="57620548" wp14:editId="667181E2">
            <wp:extent cx="4100513" cy="2600325"/>
            <wp:effectExtent l="19050" t="19050" r="14287" b="28575"/>
            <wp:docPr id="13" name="Picture 13" descr="C:\Users\jsimons\Desktop\MPRdata\domai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simons\Desktop\MPRdata\domain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0513" cy="2600325"/>
                    </a:xfrm>
                    <a:prstGeom prst="rect">
                      <a:avLst/>
                    </a:prstGeom>
                    <a:noFill/>
                    <a:ln>
                      <a:solidFill>
                        <a:schemeClr val="accent1"/>
                      </a:solidFill>
                    </a:ln>
                  </pic:spPr>
                </pic:pic>
              </a:graphicData>
            </a:graphic>
          </wp:inline>
        </w:drawing>
      </w:r>
    </w:p>
    <w:p w:rsidR="003D0550" w:rsidRDefault="00730C61" w:rsidP="003D0550">
      <w:r w:rsidRPr="001101B4">
        <w:rPr>
          <w:b/>
          <w:color w:val="5B9BD5" w:themeColor="accent1"/>
        </w:rPr>
        <w:t xml:space="preserve">Table </w:t>
      </w:r>
      <w:r w:rsidR="004627DB">
        <w:rPr>
          <w:b/>
          <w:color w:val="5B9BD5" w:themeColor="accent1"/>
        </w:rPr>
        <w:t>1</w:t>
      </w:r>
      <w:r w:rsidR="00C2310F">
        <w:rPr>
          <w:b/>
          <w:color w:val="5B9BD5" w:themeColor="accent1"/>
        </w:rPr>
        <w:t>5</w:t>
      </w:r>
      <w:r w:rsidRPr="001101B4">
        <w:rPr>
          <w:b/>
          <w:color w:val="0070C0"/>
        </w:rPr>
        <w:t xml:space="preserve"> </w:t>
      </w:r>
      <w:r w:rsidRPr="001101B4">
        <w:t>summarizes the mean scores and frequencies for the two Areas in the Community-Based practice domain</w:t>
      </w:r>
      <w:r w:rsidR="003D0550">
        <w:t xml:space="preserve">, which </w:t>
      </w:r>
      <w:r w:rsidR="00D32683">
        <w:t>includes t</w:t>
      </w:r>
      <w:r w:rsidR="003D0550">
        <w:t xml:space="preserve">he </w:t>
      </w:r>
      <w:r w:rsidR="003D0550" w:rsidRPr="00AB7A08">
        <w:t xml:space="preserve">highest </w:t>
      </w:r>
      <w:r w:rsidR="003D0550">
        <w:t xml:space="preserve">rated </w:t>
      </w:r>
      <w:r w:rsidR="003D0550" w:rsidRPr="00AB7A08">
        <w:t xml:space="preserve">Practice Area </w:t>
      </w:r>
      <w:r w:rsidR="001852D9">
        <w:t>overall</w:t>
      </w:r>
      <w:r w:rsidR="00D32683">
        <w:t xml:space="preserve">, </w:t>
      </w:r>
      <w:r w:rsidR="003D0550" w:rsidRPr="00AB7A08">
        <w:t>Service Accessibility</w:t>
      </w:r>
      <w:r w:rsidR="003D0550">
        <w:t xml:space="preserve"> </w:t>
      </w:r>
      <w:r w:rsidR="00D32683">
        <w:t>(</w:t>
      </w:r>
      <w:r w:rsidR="003D0550" w:rsidRPr="00AB7A08">
        <w:t>3.</w:t>
      </w:r>
      <w:r w:rsidR="00EA10CE">
        <w:t>9</w:t>
      </w:r>
      <w:r w:rsidR="003D0550" w:rsidRPr="00AB7A08">
        <w:t xml:space="preserve">). </w:t>
      </w:r>
    </w:p>
    <w:p w:rsidR="00B6046D" w:rsidRDefault="00B6046D" w:rsidP="003D0550"/>
    <w:p w:rsidR="00B6046D" w:rsidRDefault="00384593" w:rsidP="003D0550">
      <w:r>
        <w:t xml:space="preserve">Across Domain 2, </w:t>
      </w:r>
      <w:r w:rsidR="00B6046D">
        <w:t xml:space="preserve">youth </w:t>
      </w:r>
      <w:r>
        <w:t xml:space="preserve">experienced </w:t>
      </w:r>
      <w:r w:rsidR="00B6046D">
        <w:t xml:space="preserve">practice that was Fair or better </w:t>
      </w:r>
      <w:r>
        <w:t>in 91% of instances</w:t>
      </w:r>
      <w:r w:rsidR="00B6046D">
        <w:t xml:space="preserve">. For youth in ICC, </w:t>
      </w:r>
      <w:r>
        <w:t xml:space="preserve">practice was </w:t>
      </w:r>
      <w:r w:rsidR="00B6046D">
        <w:t>Fair or better</w:t>
      </w:r>
      <w:r>
        <w:t xml:space="preserve"> 93% of the time</w:t>
      </w:r>
      <w:r w:rsidR="00B6046D">
        <w:t>, while the proportion for youth in IHT was 89%. Again, ICC practice was a bit stronger, on average, than IHT practice.</w:t>
      </w:r>
    </w:p>
    <w:p w:rsidR="00730C61" w:rsidRDefault="00730C61" w:rsidP="00730C61"/>
    <w:p w:rsidR="00730C61" w:rsidRPr="004627DB" w:rsidRDefault="004627DB" w:rsidP="00730C61">
      <w:pPr>
        <w:jc w:val="center"/>
        <w:rPr>
          <w:b/>
          <w:color w:val="5B9BD5" w:themeColor="accent1"/>
          <w:szCs w:val="22"/>
        </w:rPr>
      </w:pPr>
      <w:r w:rsidRPr="004627DB">
        <w:rPr>
          <w:b/>
          <w:color w:val="5B9BD5" w:themeColor="accent1"/>
          <w:szCs w:val="22"/>
        </w:rPr>
        <w:t>Table 1</w:t>
      </w:r>
      <w:r w:rsidR="00C2310F">
        <w:rPr>
          <w:b/>
          <w:color w:val="5B9BD5" w:themeColor="accent1"/>
          <w:szCs w:val="22"/>
        </w:rPr>
        <w:t>5</w:t>
      </w:r>
      <w:r w:rsidR="00730C61" w:rsidRPr="004627DB">
        <w:rPr>
          <w:b/>
          <w:color w:val="5B9BD5" w:themeColor="accent1"/>
          <w:szCs w:val="22"/>
        </w:rPr>
        <w:t>: Community-Based Area Mean Scores &amp; Frequencies</w:t>
      </w:r>
    </w:p>
    <w:tbl>
      <w:tblPr>
        <w:tblStyle w:val="MediumShading1-Accent11"/>
        <w:tblW w:w="10998" w:type="dxa"/>
        <w:tblInd w:w="18" w:type="dxa"/>
        <w:tblLayout w:type="fixed"/>
        <w:tblLook w:val="04A0" w:firstRow="1" w:lastRow="0" w:firstColumn="1" w:lastColumn="0" w:noHBand="0" w:noVBand="1"/>
      </w:tblPr>
      <w:tblGrid>
        <w:gridCol w:w="2199"/>
        <w:gridCol w:w="1099"/>
        <w:gridCol w:w="1320"/>
        <w:gridCol w:w="1320"/>
        <w:gridCol w:w="1320"/>
        <w:gridCol w:w="1320"/>
        <w:gridCol w:w="1320"/>
        <w:gridCol w:w="1100"/>
      </w:tblGrid>
      <w:tr w:rsidR="000D7CD8" w:rsidRPr="00F6519B" w:rsidTr="000D7CD8">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000" w:type="pct"/>
          </w:tcPr>
          <w:p w:rsidR="000D7CD8" w:rsidRPr="00DF7DDC" w:rsidRDefault="000D7CD8" w:rsidP="00A83698">
            <w:pPr>
              <w:rPr>
                <w:rFonts w:asciiTheme="minorHAnsi" w:hAnsiTheme="minorHAnsi"/>
                <w:b w:val="0"/>
                <w:bCs w:val="0"/>
                <w:color w:val="auto"/>
                <w:sz w:val="20"/>
                <w:szCs w:val="20"/>
              </w:rPr>
            </w:pPr>
            <w:r w:rsidRPr="00DF7DDC">
              <w:rPr>
                <w:rFonts w:asciiTheme="minorHAnsi" w:hAnsiTheme="minorHAnsi"/>
                <w:sz w:val="20"/>
                <w:szCs w:val="20"/>
              </w:rPr>
              <w:t xml:space="preserve">Domain/Area </w:t>
            </w:r>
          </w:p>
        </w:tc>
        <w:tc>
          <w:tcPr>
            <w:tcW w:w="500" w:type="pct"/>
          </w:tcPr>
          <w:p w:rsidR="000D7CD8" w:rsidRPr="00F6519B" w:rsidRDefault="000D7CD8" w:rsidP="00A83698">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Mean</w:t>
            </w:r>
          </w:p>
        </w:tc>
        <w:tc>
          <w:tcPr>
            <w:tcW w:w="600" w:type="pct"/>
            <w:gridSpan w:val="5"/>
          </w:tcPr>
          <w:p w:rsidR="000D7CD8" w:rsidRPr="00F6519B" w:rsidRDefault="000D7CD8"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Frequencies (n) %*</w:t>
            </w:r>
          </w:p>
        </w:tc>
        <w:tc>
          <w:tcPr>
            <w:tcW w:w="2005" w:type="pct"/>
          </w:tcPr>
          <w:p w:rsidR="000D7CD8" w:rsidRPr="00F6519B" w:rsidRDefault="000D7CD8"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0D7CD8" w:rsidRPr="00F6519B" w:rsidTr="000D7CD8">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00" w:type="pct"/>
            <w:gridSpan w:val="2"/>
          </w:tcPr>
          <w:p w:rsidR="000D7CD8" w:rsidRPr="00F6519B" w:rsidRDefault="000D7CD8" w:rsidP="00A83698">
            <w:pPr>
              <w:rPr>
                <w:rFonts w:asciiTheme="minorHAnsi" w:hAnsiTheme="minorHAnsi"/>
                <w:b w:val="0"/>
                <w:bCs w:val="0"/>
                <w:sz w:val="20"/>
                <w:szCs w:val="20"/>
              </w:rPr>
            </w:pPr>
          </w:p>
        </w:tc>
        <w:tc>
          <w:tcPr>
            <w:tcW w:w="600" w:type="pct"/>
            <w:vAlign w:val="center"/>
          </w:tcPr>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Adverse</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1</w:t>
            </w:r>
          </w:p>
        </w:tc>
        <w:tc>
          <w:tcPr>
            <w:tcW w:w="600" w:type="pct"/>
            <w:vAlign w:val="center"/>
          </w:tcPr>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Poor</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2</w:t>
            </w:r>
          </w:p>
        </w:tc>
        <w:tc>
          <w:tcPr>
            <w:tcW w:w="600" w:type="pct"/>
            <w:vAlign w:val="center"/>
          </w:tcPr>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Fair</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3</w:t>
            </w:r>
          </w:p>
        </w:tc>
        <w:tc>
          <w:tcPr>
            <w:tcW w:w="600" w:type="pct"/>
            <w:vAlign w:val="center"/>
          </w:tcPr>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Good</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4</w:t>
            </w:r>
          </w:p>
        </w:tc>
        <w:tc>
          <w:tcPr>
            <w:tcW w:w="600" w:type="pct"/>
            <w:vAlign w:val="center"/>
          </w:tcPr>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Exemplary/</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Best Practice</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5</w:t>
            </w:r>
          </w:p>
        </w:tc>
        <w:tc>
          <w:tcPr>
            <w:tcW w:w="2005" w:type="pct"/>
          </w:tcPr>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Percent Fair or above **</w:t>
            </w:r>
          </w:p>
        </w:tc>
      </w:tr>
      <w:tr w:rsidR="000D7CD8" w:rsidRPr="00F6519B" w:rsidTr="000D7CD8">
        <w:trPr>
          <w:cnfStyle w:val="000000010000" w:firstRow="0" w:lastRow="0" w:firstColumn="0" w:lastColumn="0" w:oddVBand="0" w:evenVBand="0" w:oddHBand="0" w:evenHBand="1" w:firstRowFirstColumn="0" w:firstRowLastColumn="0" w:lastRowFirstColumn="0" w:lastRowLastColumn="0"/>
          <w:trHeight w:val="1375"/>
        </w:trPr>
        <w:tc>
          <w:tcPr>
            <w:cnfStyle w:val="001000000000" w:firstRow="0" w:lastRow="0" w:firstColumn="1" w:lastColumn="0" w:oddVBand="0" w:evenVBand="0" w:oddHBand="0" w:evenHBand="0" w:firstRowFirstColumn="0" w:firstRowLastColumn="0" w:lastRowFirstColumn="0" w:lastRowLastColumn="0"/>
            <w:tcW w:w="1000" w:type="pct"/>
          </w:tcPr>
          <w:p w:rsidR="000D7CD8" w:rsidRPr="00F6519B" w:rsidRDefault="000D7CD8" w:rsidP="00A83698">
            <w:pPr>
              <w:rPr>
                <w:rFonts w:asciiTheme="minorHAnsi" w:hAnsiTheme="minorHAnsi"/>
                <w:sz w:val="20"/>
                <w:szCs w:val="20"/>
              </w:rPr>
            </w:pPr>
            <w:r w:rsidRPr="00F6519B">
              <w:rPr>
                <w:rFonts w:asciiTheme="minorHAnsi" w:hAnsiTheme="minorHAnsi"/>
                <w:sz w:val="20"/>
                <w:szCs w:val="20"/>
              </w:rPr>
              <w:t>Responsiveness</w:t>
            </w:r>
          </w:p>
          <w:p w:rsidR="000D7CD8" w:rsidRPr="00F6519B" w:rsidRDefault="000D7CD8" w:rsidP="00A83698">
            <w:pPr>
              <w:rPr>
                <w:rFonts w:asciiTheme="minorHAnsi" w:hAnsiTheme="minorHAnsi"/>
                <w:sz w:val="20"/>
                <w:szCs w:val="20"/>
              </w:rPr>
            </w:pPr>
          </w:p>
          <w:p w:rsidR="000D7CD8" w:rsidRPr="00F6519B" w:rsidRDefault="000D7CD8" w:rsidP="00A83698">
            <w:pPr>
              <w:rPr>
                <w:rFonts w:asciiTheme="minorHAnsi" w:hAnsiTheme="minorHAnsi"/>
                <w:sz w:val="20"/>
                <w:szCs w:val="20"/>
              </w:rPr>
            </w:pPr>
            <w:r w:rsidRPr="00F6519B">
              <w:rPr>
                <w:rFonts w:asciiTheme="minorHAnsi" w:hAnsiTheme="minorHAnsi"/>
                <w:sz w:val="20"/>
                <w:szCs w:val="20"/>
              </w:rPr>
              <w:t>-ICC</w:t>
            </w:r>
          </w:p>
          <w:p w:rsidR="000D7CD8" w:rsidRPr="00F6519B" w:rsidRDefault="000D7CD8" w:rsidP="00A83698">
            <w:pPr>
              <w:rPr>
                <w:rFonts w:asciiTheme="minorHAnsi" w:hAnsiTheme="minorHAnsi"/>
                <w:sz w:val="20"/>
                <w:szCs w:val="20"/>
              </w:rPr>
            </w:pPr>
          </w:p>
          <w:p w:rsidR="000D7CD8" w:rsidRPr="00F6519B" w:rsidRDefault="000D7CD8" w:rsidP="00A83698">
            <w:pPr>
              <w:rPr>
                <w:rFonts w:asciiTheme="minorHAnsi" w:hAnsiTheme="minorHAnsi"/>
                <w:b w:val="0"/>
                <w:bCs w:val="0"/>
                <w:color w:val="0070C0"/>
                <w:sz w:val="20"/>
                <w:szCs w:val="20"/>
              </w:rPr>
            </w:pPr>
            <w:r w:rsidRPr="00F6519B">
              <w:rPr>
                <w:rFonts w:asciiTheme="minorHAnsi" w:hAnsiTheme="minorHAnsi"/>
                <w:sz w:val="20"/>
                <w:szCs w:val="20"/>
              </w:rPr>
              <w:t>-IHT</w:t>
            </w:r>
          </w:p>
        </w:tc>
        <w:tc>
          <w:tcPr>
            <w:tcW w:w="500" w:type="pct"/>
          </w:tcPr>
          <w:p w:rsidR="000D7CD8" w:rsidRPr="00DF7DDC" w:rsidRDefault="00BD7480"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86592B" w:rsidRPr="00F6519B">
              <w:rPr>
                <w:rFonts w:asciiTheme="minorHAnsi" w:hAnsiTheme="minorHAnsi"/>
                <w:sz w:val="20"/>
                <w:szCs w:val="20"/>
              </w:rPr>
              <w:t>5</w:t>
            </w:r>
          </w:p>
          <w:p w:rsidR="000D7CD8" w:rsidRPr="00F6519B" w:rsidRDefault="000D7CD8"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86592B" w:rsidRPr="00F6519B">
              <w:rPr>
                <w:rFonts w:asciiTheme="minorHAnsi" w:hAnsiTheme="minorHAnsi"/>
                <w:sz w:val="20"/>
                <w:szCs w:val="20"/>
              </w:rPr>
              <w:t>5</w:t>
            </w:r>
          </w:p>
          <w:p w:rsidR="000D7CD8" w:rsidRPr="00F6519B" w:rsidRDefault="000D7CD8"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943A9F">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70C0"/>
                <w:sz w:val="20"/>
                <w:szCs w:val="20"/>
              </w:rPr>
            </w:pPr>
            <w:r w:rsidRPr="00F6519B">
              <w:rPr>
                <w:rFonts w:asciiTheme="minorHAnsi" w:hAnsiTheme="minorHAnsi"/>
                <w:sz w:val="20"/>
                <w:szCs w:val="20"/>
              </w:rPr>
              <w:t>3.5</w:t>
            </w:r>
          </w:p>
        </w:tc>
        <w:tc>
          <w:tcPr>
            <w:tcW w:w="600" w:type="pct"/>
          </w:tcPr>
          <w:p w:rsidR="000D7CD8"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2%</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600" w:type="pct"/>
          </w:tcPr>
          <w:p w:rsidR="000D7CD8"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(14) 12%</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(8) 14%</w:t>
            </w:r>
          </w:p>
        </w:tc>
        <w:tc>
          <w:tcPr>
            <w:tcW w:w="600" w:type="pct"/>
          </w:tcPr>
          <w:p w:rsidR="000D7CD8"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(38) 32%</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(23) 38%</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tc>
        <w:tc>
          <w:tcPr>
            <w:tcW w:w="600" w:type="pct"/>
          </w:tcPr>
          <w:p w:rsidR="000D7CD8"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(56) 47%</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(26) 43%</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 51%</w:t>
            </w:r>
          </w:p>
        </w:tc>
        <w:tc>
          <w:tcPr>
            <w:tcW w:w="600" w:type="pct"/>
          </w:tcPr>
          <w:p w:rsidR="000D7CD8"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8%</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8%</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8%</w:t>
            </w:r>
          </w:p>
          <w:p w:rsidR="000D7CD8" w:rsidRPr="00F6519B" w:rsidRDefault="000D7CD8"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2005" w:type="pct"/>
          </w:tcPr>
          <w:p w:rsidR="000D7CD8" w:rsidRPr="0025795F"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87%</w:t>
            </w: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89</w:t>
            </w:r>
            <w:r w:rsidR="00DF7DDC" w:rsidRPr="0025795F">
              <w:rPr>
                <w:rFonts w:asciiTheme="minorHAnsi" w:hAnsiTheme="minorHAnsi"/>
                <w:b/>
                <w:sz w:val="20"/>
                <w:szCs w:val="20"/>
              </w:rPr>
              <w:t>%</w:t>
            </w: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25795F">
              <w:rPr>
                <w:rFonts w:asciiTheme="minorHAnsi" w:hAnsiTheme="minorHAnsi"/>
                <w:b/>
                <w:sz w:val="20"/>
                <w:szCs w:val="20"/>
              </w:rPr>
              <w:t>85</w:t>
            </w:r>
            <w:r w:rsidR="00DF7DDC" w:rsidRPr="0025795F">
              <w:rPr>
                <w:rFonts w:asciiTheme="minorHAnsi" w:hAnsiTheme="minorHAnsi"/>
                <w:b/>
                <w:sz w:val="20"/>
                <w:szCs w:val="20"/>
              </w:rPr>
              <w:t>%</w:t>
            </w:r>
          </w:p>
        </w:tc>
      </w:tr>
      <w:tr w:rsidR="000D7CD8" w:rsidRPr="00F6519B" w:rsidTr="000D7CD8">
        <w:trPr>
          <w:cnfStyle w:val="000000100000" w:firstRow="0" w:lastRow="0" w:firstColumn="0" w:lastColumn="0" w:oddVBand="0" w:evenVBand="0" w:oddHBand="1" w:evenHBand="0"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1000" w:type="pct"/>
          </w:tcPr>
          <w:p w:rsidR="000D7CD8" w:rsidRPr="00F6519B" w:rsidRDefault="000D7CD8" w:rsidP="00A83698">
            <w:pPr>
              <w:rPr>
                <w:rFonts w:asciiTheme="minorHAnsi" w:hAnsiTheme="minorHAnsi"/>
                <w:sz w:val="20"/>
                <w:szCs w:val="20"/>
              </w:rPr>
            </w:pPr>
            <w:r w:rsidRPr="00F6519B">
              <w:rPr>
                <w:rFonts w:asciiTheme="minorHAnsi" w:hAnsiTheme="minorHAnsi"/>
                <w:sz w:val="20"/>
                <w:szCs w:val="20"/>
              </w:rPr>
              <w:t>Service Accessibility</w:t>
            </w:r>
          </w:p>
          <w:p w:rsidR="000D7CD8" w:rsidRPr="00F6519B" w:rsidRDefault="000D7CD8" w:rsidP="00A83698">
            <w:pPr>
              <w:rPr>
                <w:rFonts w:asciiTheme="minorHAnsi" w:hAnsiTheme="minorHAnsi"/>
                <w:sz w:val="20"/>
                <w:szCs w:val="20"/>
              </w:rPr>
            </w:pPr>
          </w:p>
          <w:p w:rsidR="000D7CD8" w:rsidRPr="00F6519B" w:rsidRDefault="000D7CD8" w:rsidP="00A83698">
            <w:pPr>
              <w:rPr>
                <w:rFonts w:asciiTheme="minorHAnsi" w:hAnsiTheme="minorHAnsi"/>
                <w:sz w:val="20"/>
                <w:szCs w:val="20"/>
              </w:rPr>
            </w:pPr>
            <w:r w:rsidRPr="00F6519B">
              <w:rPr>
                <w:rFonts w:asciiTheme="minorHAnsi" w:hAnsiTheme="minorHAnsi"/>
                <w:sz w:val="20"/>
                <w:szCs w:val="20"/>
              </w:rPr>
              <w:t>-ICC</w:t>
            </w:r>
          </w:p>
          <w:p w:rsidR="000D7CD8" w:rsidRPr="00F6519B" w:rsidRDefault="000D7CD8" w:rsidP="00A83698">
            <w:pPr>
              <w:rPr>
                <w:rFonts w:asciiTheme="minorHAnsi" w:hAnsiTheme="minorHAnsi"/>
                <w:sz w:val="20"/>
                <w:szCs w:val="20"/>
              </w:rPr>
            </w:pPr>
          </w:p>
          <w:p w:rsidR="000D7CD8" w:rsidRPr="00F6519B" w:rsidRDefault="000D7CD8" w:rsidP="00A83698">
            <w:pPr>
              <w:rPr>
                <w:rFonts w:asciiTheme="minorHAnsi" w:hAnsiTheme="minorHAnsi"/>
                <w:sz w:val="20"/>
                <w:szCs w:val="20"/>
              </w:rPr>
            </w:pPr>
            <w:r w:rsidRPr="00F6519B">
              <w:rPr>
                <w:rFonts w:asciiTheme="minorHAnsi" w:hAnsiTheme="minorHAnsi"/>
                <w:sz w:val="20"/>
                <w:szCs w:val="20"/>
              </w:rPr>
              <w:t>-IHT</w:t>
            </w:r>
          </w:p>
          <w:p w:rsidR="005A4C24" w:rsidRPr="00F6519B" w:rsidRDefault="005A4C24" w:rsidP="00A83698">
            <w:pPr>
              <w:rPr>
                <w:rFonts w:asciiTheme="minorHAnsi" w:hAnsiTheme="minorHAnsi"/>
                <w:color w:val="0070C0"/>
                <w:sz w:val="20"/>
                <w:szCs w:val="20"/>
              </w:rPr>
            </w:pPr>
          </w:p>
        </w:tc>
        <w:tc>
          <w:tcPr>
            <w:tcW w:w="500" w:type="pct"/>
          </w:tcPr>
          <w:p w:rsidR="000D7CD8" w:rsidRPr="00DF7DDC" w:rsidRDefault="00BD7480"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86592B" w:rsidRPr="00F6519B">
              <w:rPr>
                <w:rFonts w:asciiTheme="minorHAnsi" w:hAnsiTheme="minorHAnsi"/>
                <w:sz w:val="20"/>
                <w:szCs w:val="20"/>
              </w:rPr>
              <w:t>9</w:t>
            </w:r>
          </w:p>
          <w:p w:rsidR="000D7CD8" w:rsidRPr="00F6519B" w:rsidRDefault="000D7CD8"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3.9</w:t>
            </w:r>
          </w:p>
          <w:p w:rsidR="000D7CD8" w:rsidRPr="00F6519B" w:rsidRDefault="000D7CD8"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943A9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0"/>
                <w:szCs w:val="20"/>
                <w:highlight w:val="yellow"/>
              </w:rPr>
            </w:pPr>
            <w:r w:rsidRPr="00F6519B">
              <w:rPr>
                <w:rFonts w:asciiTheme="minorHAnsi" w:hAnsiTheme="minorHAnsi"/>
                <w:sz w:val="20"/>
                <w:szCs w:val="20"/>
              </w:rPr>
              <w:t>3.8</w:t>
            </w:r>
          </w:p>
        </w:tc>
        <w:tc>
          <w:tcPr>
            <w:tcW w:w="600" w:type="pct"/>
          </w:tcPr>
          <w:p w:rsidR="000D7CD8"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1%</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600" w:type="pct"/>
          </w:tcPr>
          <w:p w:rsidR="000D7CD8"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3%</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5%</w:t>
            </w:r>
          </w:p>
        </w:tc>
        <w:tc>
          <w:tcPr>
            <w:tcW w:w="600" w:type="pct"/>
          </w:tcPr>
          <w:p w:rsidR="000D7CD8"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(16) 13%</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(9) 15%</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12%</w:t>
            </w:r>
          </w:p>
        </w:tc>
        <w:tc>
          <w:tcPr>
            <w:tcW w:w="600" w:type="pct"/>
          </w:tcPr>
          <w:p w:rsidR="000D7CD8"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(86) 72%</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(45) 74%</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(41) 69%</w:t>
            </w:r>
          </w:p>
        </w:tc>
        <w:tc>
          <w:tcPr>
            <w:tcW w:w="600" w:type="pct"/>
          </w:tcPr>
          <w:p w:rsidR="000D7CD8"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(13) 11%</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(6) 10%</w:t>
            </w:r>
          </w:p>
          <w:p w:rsidR="000D7CD8" w:rsidRPr="00F6519B"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D7CD8" w:rsidRPr="00DF7DDC" w:rsidRDefault="000D7CD8"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12%</w:t>
            </w:r>
          </w:p>
        </w:tc>
        <w:tc>
          <w:tcPr>
            <w:tcW w:w="2005" w:type="pct"/>
          </w:tcPr>
          <w:p w:rsidR="000D7CD8" w:rsidRPr="0025795F"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5795F">
              <w:rPr>
                <w:rFonts w:asciiTheme="minorHAnsi" w:hAnsiTheme="minorHAnsi" w:cstheme="minorHAnsi"/>
                <w:b/>
                <w:sz w:val="20"/>
                <w:szCs w:val="20"/>
              </w:rPr>
              <w:t>96</w:t>
            </w:r>
            <w:r w:rsidR="00DF7DDC" w:rsidRPr="0025795F">
              <w:rPr>
                <w:rFonts w:asciiTheme="minorHAnsi" w:hAnsiTheme="minorHAnsi" w:cstheme="minorHAnsi"/>
                <w:b/>
                <w:sz w:val="20"/>
                <w:szCs w:val="20"/>
              </w:rPr>
              <w:t>%</w:t>
            </w:r>
          </w:p>
          <w:p w:rsidR="00156B24" w:rsidRPr="0025795F" w:rsidRDefault="00156B24"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rsidR="00156B24" w:rsidRPr="0025795F"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5795F">
              <w:rPr>
                <w:rFonts w:asciiTheme="minorHAnsi" w:hAnsiTheme="minorHAnsi" w:cstheme="minorHAnsi"/>
                <w:b/>
                <w:sz w:val="20"/>
                <w:szCs w:val="20"/>
              </w:rPr>
              <w:t>98</w:t>
            </w:r>
            <w:r w:rsidR="00DF7DDC" w:rsidRPr="0025795F">
              <w:rPr>
                <w:rFonts w:asciiTheme="minorHAnsi" w:hAnsiTheme="minorHAnsi" w:cstheme="minorHAnsi"/>
                <w:b/>
                <w:sz w:val="20"/>
                <w:szCs w:val="20"/>
              </w:rPr>
              <w:t>%</w:t>
            </w:r>
          </w:p>
          <w:p w:rsidR="00156B24" w:rsidRPr="0025795F" w:rsidRDefault="00156B24"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rsidR="00156B24" w:rsidRPr="0025795F"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25795F">
              <w:rPr>
                <w:rFonts w:asciiTheme="minorHAnsi" w:hAnsiTheme="minorHAnsi" w:cstheme="minorHAnsi"/>
                <w:b/>
                <w:sz w:val="20"/>
                <w:szCs w:val="20"/>
              </w:rPr>
              <w:t>93</w:t>
            </w:r>
            <w:r w:rsidR="00DF7DDC" w:rsidRPr="0025795F">
              <w:rPr>
                <w:rFonts w:asciiTheme="minorHAnsi" w:hAnsiTheme="minorHAnsi" w:cstheme="minorHAnsi"/>
                <w:b/>
                <w:sz w:val="20"/>
                <w:szCs w:val="20"/>
              </w:rPr>
              <w:t>%</w:t>
            </w:r>
          </w:p>
        </w:tc>
      </w:tr>
    </w:tbl>
    <w:p w:rsidR="00730C61" w:rsidRDefault="00730C61" w:rsidP="00730C61">
      <w:pPr>
        <w:rPr>
          <w:sz w:val="18"/>
          <w:szCs w:val="18"/>
        </w:rPr>
      </w:pPr>
      <w:r w:rsidRPr="001101B4">
        <w:rPr>
          <w:sz w:val="18"/>
          <w:szCs w:val="18"/>
        </w:rPr>
        <w:t>*Due to rounding of percentages, some Area totals may not equal 100%.</w:t>
      </w:r>
    </w:p>
    <w:p w:rsidR="001330B4" w:rsidRDefault="000D7CD8" w:rsidP="0025795F">
      <w:pPr>
        <w:rPr>
          <w:sz w:val="18"/>
          <w:szCs w:val="18"/>
        </w:rPr>
      </w:pPr>
      <w:r w:rsidRPr="006E1729">
        <w:rPr>
          <w:sz w:val="18"/>
          <w:szCs w:val="18"/>
        </w:rPr>
        <w:t xml:space="preserve">** </w:t>
      </w:r>
      <w:r w:rsidR="001839B6">
        <w:rPr>
          <w:sz w:val="18"/>
          <w:szCs w:val="18"/>
        </w:rPr>
        <w:t xml:space="preserve">Accurately rounded percentages; </w:t>
      </w:r>
      <w:r w:rsidR="0025795F">
        <w:rPr>
          <w:sz w:val="18"/>
          <w:szCs w:val="18"/>
        </w:rPr>
        <w:t>areas with</w:t>
      </w:r>
      <w:r w:rsidR="0025795F" w:rsidRPr="00BD7480">
        <w:rPr>
          <w:sz w:val="18"/>
          <w:szCs w:val="18"/>
        </w:rPr>
        <w:t xml:space="preserve"> 70% Fair or above are in </w:t>
      </w:r>
      <w:r w:rsidR="0025795F" w:rsidRPr="00BD7480">
        <w:rPr>
          <w:b/>
          <w:sz w:val="18"/>
          <w:szCs w:val="18"/>
        </w:rPr>
        <w:t>bold</w:t>
      </w:r>
      <w:r w:rsidR="0025795F" w:rsidRPr="00BD7480">
        <w:rPr>
          <w:sz w:val="18"/>
          <w:szCs w:val="18"/>
        </w:rPr>
        <w:t>.</w:t>
      </w:r>
    </w:p>
    <w:p w:rsidR="0025795F" w:rsidRDefault="0025795F" w:rsidP="0025795F">
      <w:pPr>
        <w:rPr>
          <w:sz w:val="18"/>
          <w:szCs w:val="18"/>
        </w:rPr>
      </w:pPr>
    </w:p>
    <w:p w:rsidR="009072CE" w:rsidRDefault="009072CE" w:rsidP="00EC43DD">
      <w:pPr>
        <w:spacing w:before="360" w:after="80"/>
        <w:rPr>
          <w:b/>
        </w:rPr>
      </w:pPr>
    </w:p>
    <w:p w:rsidR="00EC43DD" w:rsidRPr="00916AF7" w:rsidRDefault="00EC43DD" w:rsidP="00EC43DD">
      <w:pPr>
        <w:spacing w:before="360" w:after="80"/>
        <w:rPr>
          <w:b/>
        </w:rPr>
      </w:pPr>
      <w:r w:rsidRPr="00916AF7">
        <w:rPr>
          <w:b/>
        </w:rPr>
        <w:lastRenderedPageBreak/>
        <w:t>Dom</w:t>
      </w:r>
      <w:r>
        <w:rPr>
          <w:b/>
        </w:rPr>
        <w:t>a</w:t>
      </w:r>
      <w:r w:rsidRPr="00916AF7">
        <w:rPr>
          <w:b/>
        </w:rPr>
        <w:t>in 3: Culturally Competent</w:t>
      </w:r>
    </w:p>
    <w:p w:rsidR="00273FE1" w:rsidRDefault="00433B53" w:rsidP="00EC43DD">
      <w:r w:rsidRPr="00AB7A08">
        <w:t xml:space="preserve">Culturally Competent </w:t>
      </w:r>
      <w:r>
        <w:t>was the lowest rated practice Domain overall (</w:t>
      </w:r>
      <w:r w:rsidRPr="00AB7A08">
        <w:t>3.</w:t>
      </w:r>
      <w:r w:rsidR="00385426">
        <w:t>1</w:t>
      </w:r>
      <w:r w:rsidRPr="00AB7A08">
        <w:t>)</w:t>
      </w:r>
      <w:r>
        <w:t xml:space="preserve">. </w:t>
      </w:r>
      <w:r w:rsidR="00384593" w:rsidRPr="001334EF">
        <w:rPr>
          <w:b/>
          <w:color w:val="5B9BD5" w:themeColor="accent1"/>
        </w:rPr>
        <w:t>Figure 4</w:t>
      </w:r>
      <w:r w:rsidR="00384593">
        <w:t xml:space="preserve"> shows the distribution of mean scores for this domain.</w:t>
      </w:r>
    </w:p>
    <w:p w:rsidR="00EC43DD" w:rsidRPr="00433B53" w:rsidRDefault="00EC43DD" w:rsidP="00EC43DD">
      <w:pPr>
        <w:spacing w:before="160" w:after="80"/>
        <w:jc w:val="center"/>
        <w:rPr>
          <w:b/>
          <w:color w:val="5B9BD5" w:themeColor="accent1"/>
        </w:rPr>
      </w:pPr>
      <w:r w:rsidRPr="00433B53">
        <w:rPr>
          <w:b/>
          <w:color w:val="5B9BD5" w:themeColor="accent1"/>
        </w:rPr>
        <w:t>Figure 4: Culturally Competent Mean Scores</w:t>
      </w:r>
    </w:p>
    <w:p w:rsidR="00EC43DD" w:rsidRDefault="001330B4" w:rsidP="00EC43DD">
      <w:pPr>
        <w:jc w:val="center"/>
      </w:pPr>
      <w:r>
        <w:rPr>
          <w:noProof/>
        </w:rPr>
        <mc:AlternateContent>
          <mc:Choice Requires="wps">
            <w:drawing>
              <wp:anchor distT="0" distB="0" distL="114300" distR="114300" simplePos="0" relativeHeight="251667456" behindDoc="0" locked="0" layoutInCell="1" allowOverlap="1" wp14:anchorId="2B909611" wp14:editId="64D9D148">
                <wp:simplePos x="0" y="0"/>
                <wp:positionH relativeFrom="column">
                  <wp:posOffset>4724400</wp:posOffset>
                </wp:positionH>
                <wp:positionV relativeFrom="paragraph">
                  <wp:posOffset>78105</wp:posOffset>
                </wp:positionV>
                <wp:extent cx="685800" cy="807720"/>
                <wp:effectExtent l="0" t="0" r="0" b="0"/>
                <wp:wrapNone/>
                <wp:docPr id="6" name="TextBox 1"/>
                <wp:cNvGraphicFramePr/>
                <a:graphic xmlns:a="http://schemas.openxmlformats.org/drawingml/2006/main">
                  <a:graphicData uri="http://schemas.microsoft.com/office/word/2010/wordprocessingShape">
                    <wps:wsp>
                      <wps:cNvSpPr txBox="1"/>
                      <wps:spPr>
                        <a:xfrm>
                          <a:off x="0" y="0"/>
                          <a:ext cx="685800" cy="807720"/>
                        </a:xfrm>
                        <a:prstGeom prst="rect">
                          <a:avLst/>
                        </a:prstGeom>
                      </wps:spPr>
                      <wps:txb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3.1</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.77</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wps:txbx>
                      <wps:bodyPr wrap="none" rtlCol="0"/>
                    </wps:wsp>
                  </a:graphicData>
                </a:graphic>
              </wp:anchor>
            </w:drawing>
          </mc:Choice>
          <mc:Fallback>
            <w:pict>
              <v:shape w14:anchorId="2B909611" id="_x0000_s1032" type="#_x0000_t202" style="position:absolute;left:0;text-align:left;margin-left:372pt;margin-top:6.15pt;width:54pt;height:63.6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" filled="f" stroked="f">
                <v:textbo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3.1</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.77</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v:textbox>
              </v:shape>
            </w:pict>
          </mc:Fallback>
        </mc:AlternateContent>
      </w:r>
      <w:r w:rsidR="00F84A08">
        <w:rPr>
          <w:noProof/>
        </w:rPr>
        <w:drawing>
          <wp:inline distT="0" distB="0" distL="0" distR="0" wp14:anchorId="133E9F76" wp14:editId="64781F59">
            <wp:extent cx="4100513" cy="2600325"/>
            <wp:effectExtent l="19050" t="19050" r="14287" b="28575"/>
            <wp:docPr id="14" name="Picture 14" descr="C:\Users\jsimons\Desktop\MPRdata\domain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simons\Desktop\MPRdata\domain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0513" cy="2600325"/>
                    </a:xfrm>
                    <a:prstGeom prst="rect">
                      <a:avLst/>
                    </a:prstGeom>
                    <a:noFill/>
                    <a:ln>
                      <a:solidFill>
                        <a:schemeClr val="accent1"/>
                      </a:solidFill>
                    </a:ln>
                  </pic:spPr>
                </pic:pic>
              </a:graphicData>
            </a:graphic>
          </wp:inline>
        </w:drawing>
      </w:r>
    </w:p>
    <w:p w:rsidR="00433B53" w:rsidRDefault="00433B53" w:rsidP="00EC43DD">
      <w:pPr>
        <w:rPr>
          <w:b/>
          <w:color w:val="5B9BD5" w:themeColor="accent1"/>
        </w:rPr>
      </w:pPr>
    </w:p>
    <w:p w:rsidR="0007732C" w:rsidRDefault="00EC43DD" w:rsidP="00433B53">
      <w:r w:rsidRPr="00916AF7">
        <w:rPr>
          <w:b/>
          <w:color w:val="5B9BD5" w:themeColor="accent1"/>
        </w:rPr>
        <w:t xml:space="preserve">Table </w:t>
      </w:r>
      <w:r w:rsidR="004627DB">
        <w:rPr>
          <w:b/>
          <w:color w:val="5B9BD5" w:themeColor="accent1"/>
        </w:rPr>
        <w:t>1</w:t>
      </w:r>
      <w:r w:rsidR="00C2310F">
        <w:rPr>
          <w:b/>
          <w:color w:val="5B9BD5" w:themeColor="accent1"/>
        </w:rPr>
        <w:t>6</w:t>
      </w:r>
      <w:r w:rsidRPr="00916AF7">
        <w:t xml:space="preserve"> summarizes mean score and frequencies for the Areas within this practice Domain</w:t>
      </w:r>
      <w:r w:rsidR="00D32683">
        <w:t xml:space="preserve">, which contained the third lowest scoring Area, </w:t>
      </w:r>
      <w:r w:rsidR="00433B53" w:rsidRPr="00AB7A08">
        <w:t>Cultural Sensitivity &amp; Responsiveness (</w:t>
      </w:r>
      <w:r w:rsidR="0007732C">
        <w:t>3.0</w:t>
      </w:r>
      <w:r w:rsidR="00433B53" w:rsidRPr="00AB7A08">
        <w:t>).</w:t>
      </w:r>
      <w:r w:rsidR="00931F3E">
        <w:t xml:space="preserve"> </w:t>
      </w:r>
    </w:p>
    <w:p w:rsidR="00B6046D" w:rsidRDefault="00B6046D" w:rsidP="00433B53"/>
    <w:p w:rsidR="00B6046D" w:rsidRDefault="00384593" w:rsidP="00B6046D">
      <w:r>
        <w:t xml:space="preserve">Across ICC and IHT, </w:t>
      </w:r>
      <w:r w:rsidR="00B6046D">
        <w:t xml:space="preserve">practice </w:t>
      </w:r>
      <w:r>
        <w:t xml:space="preserve">for Domain 3 </w:t>
      </w:r>
      <w:r w:rsidR="00B6046D">
        <w:t xml:space="preserve">was Fair or better </w:t>
      </w:r>
      <w:r>
        <w:t>in 75% of instances</w:t>
      </w:r>
      <w:r w:rsidR="00B6046D">
        <w:t xml:space="preserve">. </w:t>
      </w:r>
      <w:r>
        <w:t xml:space="preserve">Youth </w:t>
      </w:r>
      <w:r w:rsidR="00B6046D">
        <w:t>in ICC</w:t>
      </w:r>
      <w:r>
        <w:t xml:space="preserve"> experienced </w:t>
      </w:r>
      <w:r w:rsidR="00B6046D">
        <w:t>Fair practice or better</w:t>
      </w:r>
      <w:r>
        <w:t xml:space="preserve"> 82% of the time</w:t>
      </w:r>
      <w:r w:rsidR="00B6046D">
        <w:t>, while the proportion for youth in IHT was 68%. While Domain 3 clearly represents an opportunity for improvement in both ICC and IHT, the discrepancy between services is quite pronounced in this domain.</w:t>
      </w:r>
    </w:p>
    <w:p w:rsidR="00433B53" w:rsidRPr="00AB7A08" w:rsidRDefault="00433B53" w:rsidP="00433B53"/>
    <w:p w:rsidR="00EC43DD" w:rsidRPr="004627DB" w:rsidRDefault="004627DB" w:rsidP="00EC43DD">
      <w:pPr>
        <w:pStyle w:val="NoSpacing"/>
        <w:spacing w:before="120"/>
        <w:jc w:val="center"/>
        <w:rPr>
          <w:b/>
          <w:color w:val="5B9BD5" w:themeColor="accent1"/>
          <w:sz w:val="24"/>
        </w:rPr>
      </w:pPr>
      <w:r w:rsidRPr="004627DB">
        <w:rPr>
          <w:b/>
          <w:color w:val="5B9BD5" w:themeColor="accent1"/>
          <w:sz w:val="24"/>
        </w:rPr>
        <w:t>Table 1</w:t>
      </w:r>
      <w:r w:rsidR="00C2310F">
        <w:rPr>
          <w:b/>
          <w:color w:val="5B9BD5" w:themeColor="accent1"/>
          <w:sz w:val="24"/>
        </w:rPr>
        <w:t>6</w:t>
      </w:r>
      <w:r w:rsidR="00EC43DD" w:rsidRPr="004627DB">
        <w:rPr>
          <w:b/>
          <w:color w:val="5B9BD5" w:themeColor="accent1"/>
          <w:sz w:val="24"/>
        </w:rPr>
        <w:t>: Culturally Competent Area Mean Scores &amp; Frequencies</w:t>
      </w:r>
    </w:p>
    <w:tbl>
      <w:tblPr>
        <w:tblStyle w:val="MediumShading1-Accent11"/>
        <w:tblW w:w="10908" w:type="dxa"/>
        <w:tblInd w:w="108" w:type="dxa"/>
        <w:tblLayout w:type="fixed"/>
        <w:tblLook w:val="04A0" w:firstRow="1" w:lastRow="0" w:firstColumn="1" w:lastColumn="0" w:noHBand="0" w:noVBand="1"/>
      </w:tblPr>
      <w:tblGrid>
        <w:gridCol w:w="2181"/>
        <w:gridCol w:w="1091"/>
        <w:gridCol w:w="1309"/>
        <w:gridCol w:w="1309"/>
        <w:gridCol w:w="1309"/>
        <w:gridCol w:w="1309"/>
        <w:gridCol w:w="1309"/>
        <w:gridCol w:w="1091"/>
      </w:tblGrid>
      <w:tr w:rsidR="0007732C" w:rsidRPr="00F6519B" w:rsidTr="0007732C">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000" w:type="pct"/>
          </w:tcPr>
          <w:p w:rsidR="0007732C" w:rsidRPr="00DF7DDC" w:rsidRDefault="0007732C" w:rsidP="00A83698">
            <w:pPr>
              <w:rPr>
                <w:rFonts w:asciiTheme="minorHAnsi" w:hAnsiTheme="minorHAnsi"/>
                <w:b w:val="0"/>
                <w:bCs w:val="0"/>
                <w:color w:val="auto"/>
                <w:sz w:val="20"/>
                <w:szCs w:val="20"/>
              </w:rPr>
            </w:pPr>
            <w:r w:rsidRPr="00DF7DDC">
              <w:rPr>
                <w:rFonts w:asciiTheme="minorHAnsi" w:hAnsiTheme="minorHAnsi"/>
                <w:sz w:val="20"/>
                <w:szCs w:val="20"/>
              </w:rPr>
              <w:t xml:space="preserve">Domain/Area </w:t>
            </w:r>
          </w:p>
        </w:tc>
        <w:tc>
          <w:tcPr>
            <w:tcW w:w="500" w:type="pct"/>
          </w:tcPr>
          <w:p w:rsidR="0007732C" w:rsidRPr="00F6519B" w:rsidRDefault="0007732C" w:rsidP="00A83698">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Mean</w:t>
            </w:r>
          </w:p>
        </w:tc>
        <w:tc>
          <w:tcPr>
            <w:tcW w:w="600" w:type="pct"/>
            <w:gridSpan w:val="5"/>
          </w:tcPr>
          <w:p w:rsidR="0007732C" w:rsidRPr="00F6519B" w:rsidRDefault="0007732C"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Frequencies (n) %*</w:t>
            </w:r>
          </w:p>
        </w:tc>
        <w:tc>
          <w:tcPr>
            <w:tcW w:w="600" w:type="pct"/>
          </w:tcPr>
          <w:p w:rsidR="0007732C" w:rsidRPr="00F6519B" w:rsidRDefault="0007732C"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07732C" w:rsidRPr="00F6519B" w:rsidTr="0007732C">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500" w:type="pct"/>
            <w:gridSpan w:val="2"/>
          </w:tcPr>
          <w:p w:rsidR="0007732C" w:rsidRPr="00F6519B" w:rsidRDefault="0007732C" w:rsidP="00A83698">
            <w:pPr>
              <w:rPr>
                <w:rFonts w:asciiTheme="minorHAnsi" w:hAnsiTheme="minorHAnsi"/>
                <w:sz w:val="20"/>
                <w:szCs w:val="20"/>
              </w:rPr>
            </w:pPr>
          </w:p>
          <w:p w:rsidR="0007732C" w:rsidRPr="00F6519B" w:rsidRDefault="0007732C" w:rsidP="00A83698">
            <w:pPr>
              <w:rPr>
                <w:rFonts w:asciiTheme="minorHAnsi" w:hAnsiTheme="minorHAnsi"/>
                <w:b w:val="0"/>
                <w:bCs w:val="0"/>
                <w:sz w:val="20"/>
                <w:szCs w:val="20"/>
              </w:rPr>
            </w:pPr>
          </w:p>
          <w:p w:rsidR="0007732C" w:rsidRPr="00F6519B" w:rsidRDefault="0007732C" w:rsidP="00A83698">
            <w:pPr>
              <w:rPr>
                <w:rFonts w:asciiTheme="minorHAnsi" w:hAnsiTheme="minorHAnsi"/>
                <w:b w:val="0"/>
                <w:bCs w:val="0"/>
                <w:color w:val="44546A" w:themeColor="text2"/>
                <w:sz w:val="20"/>
                <w:szCs w:val="20"/>
              </w:rPr>
            </w:pPr>
          </w:p>
        </w:tc>
        <w:tc>
          <w:tcPr>
            <w:tcW w:w="600" w:type="pct"/>
            <w:vAlign w:val="center"/>
          </w:tcPr>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Adverse</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1</w:t>
            </w:r>
          </w:p>
        </w:tc>
        <w:tc>
          <w:tcPr>
            <w:tcW w:w="600" w:type="pct"/>
            <w:vAlign w:val="center"/>
          </w:tcPr>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Poor</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2</w:t>
            </w:r>
          </w:p>
        </w:tc>
        <w:tc>
          <w:tcPr>
            <w:tcW w:w="600" w:type="pct"/>
            <w:vAlign w:val="center"/>
          </w:tcPr>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Fair</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3</w:t>
            </w:r>
          </w:p>
        </w:tc>
        <w:tc>
          <w:tcPr>
            <w:tcW w:w="600" w:type="pct"/>
            <w:vAlign w:val="center"/>
          </w:tcPr>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Good</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Practice</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4</w:t>
            </w:r>
          </w:p>
        </w:tc>
        <w:tc>
          <w:tcPr>
            <w:tcW w:w="600" w:type="pct"/>
            <w:vAlign w:val="center"/>
          </w:tcPr>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Exemplary/</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Best Practice</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5</w:t>
            </w:r>
          </w:p>
        </w:tc>
        <w:tc>
          <w:tcPr>
            <w:tcW w:w="600" w:type="pct"/>
          </w:tcPr>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Percent Fair or above **</w:t>
            </w:r>
          </w:p>
        </w:tc>
      </w:tr>
      <w:tr w:rsidR="0007732C" w:rsidRPr="00F6519B" w:rsidTr="0007732C">
        <w:trPr>
          <w:cnfStyle w:val="000000010000" w:firstRow="0" w:lastRow="0" w:firstColumn="0" w:lastColumn="0" w:oddVBand="0" w:evenVBand="0" w:oddHBand="0" w:evenHBand="1"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1000" w:type="pct"/>
          </w:tcPr>
          <w:p w:rsidR="0007732C" w:rsidRPr="00F6519B" w:rsidRDefault="0007732C" w:rsidP="00A83698">
            <w:pPr>
              <w:rPr>
                <w:rFonts w:asciiTheme="minorHAnsi" w:hAnsiTheme="minorHAnsi"/>
                <w:sz w:val="20"/>
                <w:szCs w:val="20"/>
              </w:rPr>
            </w:pPr>
            <w:r w:rsidRPr="00F6519B">
              <w:rPr>
                <w:rFonts w:asciiTheme="minorHAnsi" w:hAnsiTheme="minorHAnsi"/>
                <w:sz w:val="20"/>
                <w:szCs w:val="20"/>
              </w:rPr>
              <w:t>Cultural Awareness</w:t>
            </w:r>
          </w:p>
          <w:p w:rsidR="0007732C" w:rsidRPr="00F6519B" w:rsidRDefault="0007732C" w:rsidP="00A83698">
            <w:pPr>
              <w:rPr>
                <w:rFonts w:asciiTheme="minorHAnsi" w:hAnsiTheme="minorHAnsi"/>
                <w:sz w:val="16"/>
                <w:szCs w:val="16"/>
              </w:rPr>
            </w:pPr>
          </w:p>
          <w:p w:rsidR="0007732C" w:rsidRPr="00F6519B" w:rsidRDefault="0007732C" w:rsidP="00A83698">
            <w:pPr>
              <w:rPr>
                <w:rFonts w:asciiTheme="minorHAnsi" w:hAnsiTheme="minorHAnsi"/>
                <w:sz w:val="20"/>
                <w:szCs w:val="20"/>
              </w:rPr>
            </w:pPr>
            <w:r w:rsidRPr="00F6519B">
              <w:rPr>
                <w:rFonts w:asciiTheme="minorHAnsi" w:hAnsiTheme="minorHAnsi"/>
                <w:sz w:val="20"/>
                <w:szCs w:val="20"/>
              </w:rPr>
              <w:t>-ICC</w:t>
            </w:r>
          </w:p>
          <w:p w:rsidR="0007732C" w:rsidRPr="00F6519B" w:rsidRDefault="0007732C" w:rsidP="00A83698">
            <w:pPr>
              <w:rPr>
                <w:rFonts w:asciiTheme="minorHAnsi" w:hAnsiTheme="minorHAnsi"/>
                <w:sz w:val="16"/>
                <w:szCs w:val="16"/>
              </w:rPr>
            </w:pPr>
          </w:p>
          <w:p w:rsidR="0007732C" w:rsidRPr="00F6519B" w:rsidRDefault="0007732C" w:rsidP="00A83698">
            <w:pPr>
              <w:rPr>
                <w:rFonts w:asciiTheme="minorHAnsi" w:hAnsiTheme="minorHAnsi"/>
                <w:color w:val="0070C0"/>
                <w:sz w:val="20"/>
                <w:szCs w:val="20"/>
              </w:rPr>
            </w:pPr>
            <w:r w:rsidRPr="00F6519B">
              <w:rPr>
                <w:rFonts w:asciiTheme="minorHAnsi" w:hAnsiTheme="minorHAnsi"/>
                <w:sz w:val="20"/>
                <w:szCs w:val="20"/>
              </w:rPr>
              <w:t>-IHT</w:t>
            </w:r>
          </w:p>
        </w:tc>
        <w:tc>
          <w:tcPr>
            <w:tcW w:w="500" w:type="pct"/>
          </w:tcPr>
          <w:p w:rsidR="0007732C" w:rsidRPr="00DF7DDC" w:rsidRDefault="00BD7480"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w:t>
            </w:r>
            <w:r w:rsidR="0086592B" w:rsidRPr="00F6519B">
              <w:rPr>
                <w:rFonts w:asciiTheme="minorHAnsi" w:hAnsiTheme="minorHAnsi"/>
                <w:sz w:val="20"/>
                <w:szCs w:val="20"/>
              </w:rPr>
              <w:t>2</w:t>
            </w:r>
          </w:p>
          <w:p w:rsidR="0007732C" w:rsidRPr="00F6519B" w:rsidRDefault="0007732C"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3.3</w:t>
            </w:r>
          </w:p>
          <w:p w:rsidR="0086592B" w:rsidRPr="00F6519B" w:rsidRDefault="0086592B" w:rsidP="00541306">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86592B" w:rsidP="00541306">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70C0"/>
                <w:sz w:val="20"/>
                <w:szCs w:val="20"/>
              </w:rPr>
            </w:pPr>
            <w:r w:rsidRPr="00F6519B">
              <w:rPr>
                <w:rFonts w:asciiTheme="minorHAnsi" w:hAnsiTheme="minorHAnsi"/>
                <w:sz w:val="20"/>
                <w:szCs w:val="20"/>
              </w:rPr>
              <w:t>3.0</w:t>
            </w:r>
          </w:p>
        </w:tc>
        <w:tc>
          <w:tcPr>
            <w:tcW w:w="600" w:type="pct"/>
          </w:tcPr>
          <w:p w:rsidR="0007732C"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2%</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3%</w:t>
            </w:r>
          </w:p>
        </w:tc>
        <w:tc>
          <w:tcPr>
            <w:tcW w:w="600" w:type="pct"/>
          </w:tcPr>
          <w:p w:rsidR="0007732C"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(20) 17%</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8%</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(15) 25%</w:t>
            </w:r>
          </w:p>
        </w:tc>
        <w:tc>
          <w:tcPr>
            <w:tcW w:w="600" w:type="pct"/>
          </w:tcPr>
          <w:p w:rsidR="0007732C"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(55) 46%</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(31) 51%</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41%</w:t>
            </w:r>
          </w:p>
        </w:tc>
        <w:tc>
          <w:tcPr>
            <w:tcW w:w="600" w:type="pct"/>
          </w:tcPr>
          <w:p w:rsidR="0007732C"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(42) 35%</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39%</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(18) 31%</w:t>
            </w:r>
          </w:p>
        </w:tc>
        <w:tc>
          <w:tcPr>
            <w:tcW w:w="600" w:type="pct"/>
          </w:tcPr>
          <w:p w:rsidR="0007732C"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1%</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p w:rsidR="0007732C" w:rsidRPr="00F6519B"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tc>
        <w:tc>
          <w:tcPr>
            <w:tcW w:w="600" w:type="pct"/>
          </w:tcPr>
          <w:p w:rsidR="0007732C"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5795F">
              <w:rPr>
                <w:rFonts w:asciiTheme="minorHAnsi" w:hAnsiTheme="minorHAnsi" w:cstheme="minorHAnsi"/>
                <w:b/>
                <w:sz w:val="20"/>
                <w:szCs w:val="20"/>
              </w:rPr>
              <w:t>82%</w:t>
            </w: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25795F">
              <w:rPr>
                <w:rFonts w:asciiTheme="minorHAnsi" w:hAnsiTheme="minorHAnsi" w:cstheme="minorHAnsi"/>
                <w:b/>
                <w:sz w:val="20"/>
                <w:szCs w:val="20"/>
              </w:rPr>
              <w:t>92</w:t>
            </w:r>
            <w:r w:rsidR="00DF7DDC" w:rsidRPr="0025795F">
              <w:rPr>
                <w:rFonts w:asciiTheme="minorHAnsi" w:hAnsiTheme="minorHAnsi" w:cstheme="minorHAnsi"/>
                <w:b/>
                <w:sz w:val="20"/>
                <w:szCs w:val="20"/>
              </w:rPr>
              <w:t>%</w:t>
            </w: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rsidR="00156B24" w:rsidRPr="0025795F" w:rsidRDefault="00156B24"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5795F">
              <w:rPr>
                <w:rFonts w:asciiTheme="minorHAnsi" w:hAnsiTheme="minorHAnsi" w:cstheme="minorHAnsi"/>
                <w:b/>
                <w:sz w:val="20"/>
                <w:szCs w:val="20"/>
              </w:rPr>
              <w:t>71</w:t>
            </w:r>
            <w:r w:rsidR="00DF7DDC" w:rsidRPr="0025795F">
              <w:rPr>
                <w:rFonts w:asciiTheme="minorHAnsi" w:hAnsiTheme="minorHAnsi" w:cstheme="minorHAnsi"/>
                <w:b/>
                <w:sz w:val="20"/>
                <w:szCs w:val="20"/>
              </w:rPr>
              <w:t>%</w:t>
            </w:r>
          </w:p>
        </w:tc>
      </w:tr>
      <w:tr w:rsidR="0007732C" w:rsidRPr="00F6519B" w:rsidTr="0007732C">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1000" w:type="pct"/>
          </w:tcPr>
          <w:p w:rsidR="0007732C" w:rsidRPr="00F6519B" w:rsidRDefault="0007732C" w:rsidP="00A83698">
            <w:pPr>
              <w:rPr>
                <w:rFonts w:asciiTheme="minorHAnsi" w:hAnsiTheme="minorHAnsi"/>
                <w:sz w:val="20"/>
                <w:szCs w:val="20"/>
              </w:rPr>
            </w:pPr>
            <w:r w:rsidRPr="00F6519B">
              <w:rPr>
                <w:rFonts w:asciiTheme="minorHAnsi" w:hAnsiTheme="minorHAnsi"/>
                <w:sz w:val="20"/>
                <w:szCs w:val="20"/>
              </w:rPr>
              <w:t>Cultural Sensitivity &amp; Responsiveness</w:t>
            </w:r>
          </w:p>
          <w:p w:rsidR="0007732C" w:rsidRPr="00F6519B" w:rsidRDefault="0007732C" w:rsidP="00A83698">
            <w:pPr>
              <w:rPr>
                <w:rFonts w:asciiTheme="minorHAnsi" w:hAnsiTheme="minorHAnsi"/>
                <w:sz w:val="16"/>
                <w:szCs w:val="16"/>
              </w:rPr>
            </w:pPr>
            <w:r w:rsidRPr="00F6519B">
              <w:rPr>
                <w:rFonts w:asciiTheme="minorHAnsi" w:hAnsiTheme="minorHAnsi"/>
                <w:sz w:val="20"/>
                <w:szCs w:val="20"/>
              </w:rPr>
              <w:t>-ICC</w:t>
            </w:r>
            <w:r w:rsidRPr="00F6519B">
              <w:rPr>
                <w:rFonts w:asciiTheme="minorHAnsi" w:hAnsiTheme="minorHAnsi"/>
                <w:sz w:val="20"/>
                <w:szCs w:val="20"/>
              </w:rPr>
              <w:br/>
            </w:r>
          </w:p>
          <w:p w:rsidR="0007732C" w:rsidRPr="00F6519B" w:rsidRDefault="0007732C" w:rsidP="00A83698">
            <w:pPr>
              <w:rPr>
                <w:rFonts w:asciiTheme="minorHAnsi" w:hAnsiTheme="minorHAnsi"/>
                <w:sz w:val="20"/>
                <w:szCs w:val="20"/>
              </w:rPr>
            </w:pPr>
            <w:r w:rsidRPr="00F6519B">
              <w:rPr>
                <w:rFonts w:asciiTheme="minorHAnsi" w:hAnsiTheme="minorHAnsi"/>
                <w:sz w:val="20"/>
                <w:szCs w:val="20"/>
              </w:rPr>
              <w:t>-IHT</w:t>
            </w:r>
          </w:p>
          <w:p w:rsidR="0086592B" w:rsidRPr="00F6519B" w:rsidRDefault="0086592B" w:rsidP="00A83698">
            <w:pPr>
              <w:rPr>
                <w:rFonts w:asciiTheme="minorHAnsi" w:hAnsiTheme="minorHAnsi"/>
                <w:sz w:val="20"/>
                <w:szCs w:val="20"/>
              </w:rPr>
            </w:pPr>
          </w:p>
        </w:tc>
        <w:tc>
          <w:tcPr>
            <w:tcW w:w="500" w:type="pct"/>
          </w:tcPr>
          <w:p w:rsidR="0007732C" w:rsidRPr="00DF7DDC" w:rsidRDefault="0086592B"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p w:rsidR="0007732C" w:rsidRPr="00F6519B" w:rsidRDefault="0007732C"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p w:rsidR="0007732C" w:rsidRPr="00F6519B" w:rsidRDefault="0007732C"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541306">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0"/>
                <w:szCs w:val="20"/>
              </w:rPr>
            </w:pPr>
            <w:r w:rsidRPr="00F6519B">
              <w:rPr>
                <w:rFonts w:asciiTheme="minorHAnsi" w:hAnsiTheme="minorHAnsi"/>
                <w:sz w:val="20"/>
                <w:szCs w:val="20"/>
              </w:rPr>
              <w:t>2.</w:t>
            </w:r>
            <w:r w:rsidR="0086592B" w:rsidRPr="00F6519B">
              <w:rPr>
                <w:rFonts w:asciiTheme="minorHAnsi" w:hAnsiTheme="minorHAnsi"/>
                <w:sz w:val="20"/>
                <w:szCs w:val="20"/>
              </w:rPr>
              <w:t>9</w:t>
            </w:r>
          </w:p>
        </w:tc>
        <w:tc>
          <w:tcPr>
            <w:tcW w:w="600" w:type="pct"/>
          </w:tcPr>
          <w:p w:rsidR="0007732C"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(5) 4%</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5%</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3%</w:t>
            </w:r>
          </w:p>
        </w:tc>
        <w:tc>
          <w:tcPr>
            <w:tcW w:w="600" w:type="pct"/>
          </w:tcPr>
          <w:p w:rsidR="0007732C"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(33) 28%</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(14) 23%</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32%</w:t>
            </w:r>
          </w:p>
        </w:tc>
        <w:tc>
          <w:tcPr>
            <w:tcW w:w="600" w:type="pct"/>
          </w:tcPr>
          <w:p w:rsidR="0007732C"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(46) 38%</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(23) 38%</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(23) 39%</w:t>
            </w:r>
          </w:p>
        </w:tc>
        <w:tc>
          <w:tcPr>
            <w:tcW w:w="600" w:type="pct"/>
          </w:tcPr>
          <w:p w:rsidR="0007732C"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(33) 28%</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(19) 31%</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(14) 24%</w:t>
            </w:r>
          </w:p>
        </w:tc>
        <w:tc>
          <w:tcPr>
            <w:tcW w:w="600" w:type="pct"/>
          </w:tcPr>
          <w:p w:rsidR="0007732C"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3%</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 3%</w:t>
            </w:r>
          </w:p>
          <w:p w:rsidR="0007732C" w:rsidRPr="00F6519B"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07732C" w:rsidRPr="00DF7DDC" w:rsidRDefault="0007732C"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600" w:type="pct"/>
          </w:tcPr>
          <w:p w:rsidR="0007732C" w:rsidRPr="0025795F" w:rsidRDefault="00156B24"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5795F">
              <w:rPr>
                <w:rFonts w:asciiTheme="minorHAnsi" w:hAnsiTheme="minorHAnsi" w:cstheme="minorHAnsi"/>
                <w:sz w:val="20"/>
                <w:szCs w:val="20"/>
              </w:rPr>
              <w:t>68</w:t>
            </w:r>
            <w:r w:rsidR="00DF7DDC" w:rsidRPr="0025795F">
              <w:rPr>
                <w:rFonts w:asciiTheme="minorHAnsi" w:hAnsiTheme="minorHAnsi" w:cstheme="minorHAnsi"/>
                <w:sz w:val="20"/>
                <w:szCs w:val="20"/>
              </w:rPr>
              <w:t>%</w:t>
            </w:r>
          </w:p>
          <w:p w:rsidR="00156B24" w:rsidRPr="0025795F" w:rsidRDefault="00156B24"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156B24" w:rsidRPr="0025795F"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5795F">
              <w:rPr>
                <w:rFonts w:asciiTheme="minorHAnsi" w:hAnsiTheme="minorHAnsi" w:cstheme="minorHAnsi"/>
                <w:b/>
                <w:sz w:val="20"/>
                <w:szCs w:val="20"/>
              </w:rPr>
              <w:t>72</w:t>
            </w:r>
            <w:r w:rsidR="00DF7DDC" w:rsidRPr="0025795F">
              <w:rPr>
                <w:rFonts w:asciiTheme="minorHAnsi" w:hAnsiTheme="minorHAnsi" w:cstheme="minorHAnsi"/>
                <w:b/>
                <w:sz w:val="20"/>
                <w:szCs w:val="20"/>
              </w:rPr>
              <w:t>%</w:t>
            </w:r>
          </w:p>
          <w:p w:rsidR="00156B24" w:rsidRPr="0025795F" w:rsidRDefault="00156B24"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rsidR="00156B24" w:rsidRPr="0025795F" w:rsidRDefault="00156B24"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5795F">
              <w:rPr>
                <w:rFonts w:asciiTheme="minorHAnsi" w:hAnsiTheme="minorHAnsi" w:cstheme="minorHAnsi"/>
                <w:sz w:val="20"/>
                <w:szCs w:val="20"/>
              </w:rPr>
              <w:t>64</w:t>
            </w:r>
            <w:r w:rsidR="00DF7DDC" w:rsidRPr="0025795F">
              <w:rPr>
                <w:rFonts w:asciiTheme="minorHAnsi" w:hAnsiTheme="minorHAnsi" w:cstheme="minorHAnsi"/>
                <w:sz w:val="20"/>
                <w:szCs w:val="20"/>
              </w:rPr>
              <w:t>%</w:t>
            </w:r>
          </w:p>
        </w:tc>
      </w:tr>
    </w:tbl>
    <w:p w:rsidR="00EC43DD" w:rsidRDefault="00EC43DD" w:rsidP="00EC43DD">
      <w:pPr>
        <w:rPr>
          <w:sz w:val="18"/>
          <w:szCs w:val="18"/>
        </w:rPr>
      </w:pPr>
      <w:r w:rsidRPr="005C2085">
        <w:rPr>
          <w:sz w:val="18"/>
          <w:szCs w:val="18"/>
        </w:rPr>
        <w:t>*Due to rounding of percentages, some Area totals may not equal</w:t>
      </w:r>
      <w:r>
        <w:rPr>
          <w:sz w:val="18"/>
          <w:szCs w:val="18"/>
        </w:rPr>
        <w:t xml:space="preserve"> </w:t>
      </w:r>
      <w:r w:rsidRPr="005C2085">
        <w:rPr>
          <w:sz w:val="18"/>
          <w:szCs w:val="18"/>
        </w:rPr>
        <w:t>100%.</w:t>
      </w:r>
    </w:p>
    <w:p w:rsidR="009B1AE8" w:rsidRPr="00EA2D8F" w:rsidRDefault="00BD7480" w:rsidP="009B1AE8">
      <w:pPr>
        <w:rPr>
          <w:sz w:val="18"/>
          <w:szCs w:val="18"/>
        </w:rPr>
      </w:pPr>
      <w:r w:rsidRPr="00BD7480">
        <w:rPr>
          <w:sz w:val="18"/>
          <w:szCs w:val="18"/>
        </w:rPr>
        <w:t xml:space="preserve">** </w:t>
      </w:r>
      <w:r w:rsidR="001839B6">
        <w:rPr>
          <w:sz w:val="18"/>
          <w:szCs w:val="18"/>
        </w:rPr>
        <w:t xml:space="preserve">Accurately rounded percentages; </w:t>
      </w:r>
      <w:r w:rsidR="009B1AE8">
        <w:rPr>
          <w:sz w:val="18"/>
          <w:szCs w:val="18"/>
        </w:rPr>
        <w:t>areas with</w:t>
      </w:r>
      <w:r w:rsidR="009B1AE8" w:rsidRPr="00BD7480">
        <w:rPr>
          <w:sz w:val="18"/>
          <w:szCs w:val="18"/>
        </w:rPr>
        <w:t xml:space="preserve"> 70% Fair or above are in </w:t>
      </w:r>
      <w:r w:rsidR="009B1AE8" w:rsidRPr="00BD7480">
        <w:rPr>
          <w:b/>
          <w:sz w:val="18"/>
          <w:szCs w:val="18"/>
        </w:rPr>
        <w:t>bold</w:t>
      </w:r>
      <w:r w:rsidR="009B1AE8" w:rsidRPr="00BD7480">
        <w:rPr>
          <w:sz w:val="18"/>
          <w:szCs w:val="18"/>
        </w:rPr>
        <w:t>.</w:t>
      </w:r>
    </w:p>
    <w:p w:rsidR="0007732C" w:rsidRDefault="0007732C" w:rsidP="00EC43DD">
      <w:pPr>
        <w:rPr>
          <w:sz w:val="18"/>
          <w:szCs w:val="18"/>
        </w:rPr>
      </w:pPr>
    </w:p>
    <w:p w:rsidR="002F11C3" w:rsidRDefault="004F1ACA" w:rsidP="004F1ACA">
      <w:pPr>
        <w:pStyle w:val="Heading2"/>
      </w:pPr>
      <w:bookmarkStart w:id="23" w:name="_Toc467143020"/>
      <w:r>
        <w:lastRenderedPageBreak/>
        <w:t xml:space="preserve">Youth &amp; Family Progress </w:t>
      </w:r>
      <w:r w:rsidR="002F11C3">
        <w:t>Domain</w:t>
      </w:r>
      <w:bookmarkEnd w:id="23"/>
    </w:p>
    <w:p w:rsidR="002F11C3" w:rsidRDefault="002F11C3" w:rsidP="002F11C3">
      <w:pPr>
        <w:pStyle w:val="Heading3"/>
        <w:rPr>
          <w:rFonts w:asciiTheme="minorHAnsi" w:hAnsiTheme="minorHAnsi"/>
        </w:rPr>
      </w:pPr>
      <w:bookmarkStart w:id="24" w:name="_Toc467143021"/>
      <w:r w:rsidRPr="007F3A22">
        <w:rPr>
          <w:rFonts w:asciiTheme="minorHAnsi" w:hAnsiTheme="minorHAnsi"/>
        </w:rPr>
        <w:t>Domain Mean Scores</w:t>
      </w:r>
      <w:bookmarkEnd w:id="24"/>
    </w:p>
    <w:p w:rsidR="004F160C" w:rsidRDefault="003C599A">
      <w:r w:rsidRPr="004627DB">
        <w:rPr>
          <w:b/>
          <w:color w:val="5B9BD5" w:themeColor="accent1"/>
        </w:rPr>
        <w:t xml:space="preserve">Table </w:t>
      </w:r>
      <w:r w:rsidR="004627DB" w:rsidRPr="004627DB">
        <w:rPr>
          <w:b/>
          <w:color w:val="5B9BD5" w:themeColor="accent1"/>
        </w:rPr>
        <w:t>1</w:t>
      </w:r>
      <w:r w:rsidR="00C2310F">
        <w:rPr>
          <w:b/>
          <w:color w:val="5B9BD5" w:themeColor="accent1"/>
        </w:rPr>
        <w:t>7</w:t>
      </w:r>
      <w:r w:rsidR="00B64ED7" w:rsidRPr="00B64ED7">
        <w:t xml:space="preserve"> </w:t>
      </w:r>
      <w:r w:rsidRPr="004627DB">
        <w:t>sh</w:t>
      </w:r>
      <w:r w:rsidRPr="003C599A">
        <w:t>ows that overall mean scores for the Youth and Family Progress Domain ranged from 1.5 to 4.5, with an overall mean score of 3.1.</w:t>
      </w:r>
    </w:p>
    <w:p w:rsidR="00EC2716" w:rsidRDefault="00EC2716" w:rsidP="00F6519B">
      <w:pPr>
        <w:jc w:val="center"/>
        <w:rPr>
          <w:b/>
          <w:color w:val="5B9BD5" w:themeColor="accent1"/>
        </w:rPr>
      </w:pPr>
    </w:p>
    <w:p w:rsidR="00B411D0" w:rsidRDefault="003C599A" w:rsidP="00F6519B">
      <w:pPr>
        <w:jc w:val="center"/>
        <w:rPr>
          <w:b/>
          <w:color w:val="5B9BD5" w:themeColor="accent1"/>
        </w:rPr>
      </w:pPr>
      <w:r w:rsidRPr="004627DB">
        <w:rPr>
          <w:b/>
          <w:color w:val="5B9BD5" w:themeColor="accent1"/>
        </w:rPr>
        <w:t xml:space="preserve">Table </w:t>
      </w:r>
      <w:r w:rsidR="004627DB" w:rsidRPr="004627DB">
        <w:rPr>
          <w:b/>
          <w:color w:val="5B9BD5" w:themeColor="accent1"/>
        </w:rPr>
        <w:t>1</w:t>
      </w:r>
      <w:r w:rsidR="00C2310F">
        <w:rPr>
          <w:b/>
          <w:color w:val="5B9BD5" w:themeColor="accent1"/>
        </w:rPr>
        <w:t>7</w:t>
      </w:r>
      <w:r w:rsidRPr="004627DB">
        <w:rPr>
          <w:b/>
          <w:color w:val="5B9BD5" w:themeColor="accent1"/>
        </w:rPr>
        <w:t>: Youth &amp; Family Progress Domain Mean Scores</w:t>
      </w:r>
    </w:p>
    <w:tbl>
      <w:tblPr>
        <w:tblStyle w:val="MediumShading1-Accent11"/>
        <w:tblW w:w="0" w:type="auto"/>
        <w:jc w:val="center"/>
        <w:tblLook w:val="04A0" w:firstRow="1" w:lastRow="0" w:firstColumn="1" w:lastColumn="0" w:noHBand="0" w:noVBand="1"/>
      </w:tblPr>
      <w:tblGrid>
        <w:gridCol w:w="3697"/>
        <w:gridCol w:w="627"/>
        <w:gridCol w:w="669"/>
        <w:gridCol w:w="770"/>
        <w:gridCol w:w="1223"/>
      </w:tblGrid>
      <w:tr w:rsidR="003C599A" w:rsidRPr="00C7585A" w:rsidTr="00A83698">
        <w:trPr>
          <w:cnfStyle w:val="100000000000" w:firstRow="1" w:lastRow="0" w:firstColumn="0" w:lastColumn="0" w:oddVBand="0" w:evenVBand="0" w:oddHBand="0"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3697" w:type="dxa"/>
          </w:tcPr>
          <w:p w:rsidR="003C599A" w:rsidRPr="00C7585A" w:rsidRDefault="003C599A" w:rsidP="00A83698">
            <w:pPr>
              <w:rPr>
                <w:rFonts w:asciiTheme="minorHAnsi" w:hAnsiTheme="minorHAnsi"/>
                <w:b w:val="0"/>
                <w:bCs w:val="0"/>
                <w:color w:val="auto"/>
                <w:sz w:val="20"/>
                <w:szCs w:val="20"/>
              </w:rPr>
            </w:pPr>
            <w:r w:rsidRPr="00C7585A">
              <w:rPr>
                <w:rFonts w:asciiTheme="minorHAnsi" w:hAnsiTheme="minorHAnsi"/>
                <w:sz w:val="20"/>
                <w:szCs w:val="20"/>
              </w:rPr>
              <w:t>Domain</w:t>
            </w:r>
          </w:p>
        </w:tc>
        <w:tc>
          <w:tcPr>
            <w:tcW w:w="627" w:type="dxa"/>
          </w:tcPr>
          <w:p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Min</w:t>
            </w:r>
          </w:p>
        </w:tc>
        <w:tc>
          <w:tcPr>
            <w:tcW w:w="669" w:type="dxa"/>
          </w:tcPr>
          <w:p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Max</w:t>
            </w:r>
          </w:p>
        </w:tc>
        <w:tc>
          <w:tcPr>
            <w:tcW w:w="770" w:type="dxa"/>
          </w:tcPr>
          <w:p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Mean</w:t>
            </w:r>
          </w:p>
        </w:tc>
        <w:tc>
          <w:tcPr>
            <w:tcW w:w="1223" w:type="dxa"/>
          </w:tcPr>
          <w:p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C7585A">
              <w:rPr>
                <w:rFonts w:asciiTheme="minorHAnsi" w:hAnsiTheme="minorHAnsi"/>
                <w:sz w:val="20"/>
                <w:szCs w:val="20"/>
              </w:rPr>
              <w:t>Standard Deviation</w:t>
            </w:r>
          </w:p>
        </w:tc>
      </w:tr>
      <w:tr w:rsidR="003C599A" w:rsidRPr="00C7585A" w:rsidTr="00A83698">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3697" w:type="dxa"/>
          </w:tcPr>
          <w:p w:rsidR="003C599A" w:rsidRPr="00C7585A" w:rsidRDefault="003C599A" w:rsidP="00A83698">
            <w:pPr>
              <w:rPr>
                <w:rFonts w:asciiTheme="minorHAnsi" w:hAnsiTheme="minorHAnsi"/>
                <w:sz w:val="20"/>
                <w:szCs w:val="20"/>
              </w:rPr>
            </w:pPr>
            <w:r w:rsidRPr="00C7585A">
              <w:rPr>
                <w:rFonts w:asciiTheme="minorHAnsi" w:hAnsiTheme="minorHAnsi"/>
                <w:sz w:val="20"/>
                <w:szCs w:val="20"/>
              </w:rPr>
              <w:t>Domain 4: Youth/Family Progress</w:t>
            </w:r>
          </w:p>
          <w:p w:rsidR="003C599A" w:rsidRPr="00C7585A" w:rsidRDefault="003C599A" w:rsidP="00A83698">
            <w:pPr>
              <w:rPr>
                <w:rFonts w:asciiTheme="minorHAnsi" w:hAnsiTheme="minorHAnsi"/>
                <w:sz w:val="20"/>
                <w:szCs w:val="20"/>
              </w:rPr>
            </w:pPr>
          </w:p>
          <w:p w:rsidR="003C599A" w:rsidRPr="00C7585A" w:rsidRDefault="003C599A" w:rsidP="00A83698">
            <w:pPr>
              <w:rPr>
                <w:rFonts w:asciiTheme="minorHAnsi" w:hAnsiTheme="minorHAnsi"/>
                <w:b w:val="0"/>
                <w:sz w:val="20"/>
                <w:szCs w:val="20"/>
              </w:rPr>
            </w:pPr>
            <w:r w:rsidRPr="00C7585A">
              <w:rPr>
                <w:rFonts w:asciiTheme="minorHAnsi" w:hAnsiTheme="minorHAnsi"/>
                <w:b w:val="0"/>
                <w:sz w:val="20"/>
                <w:szCs w:val="20"/>
              </w:rPr>
              <w:t>-ICC</w:t>
            </w:r>
          </w:p>
          <w:p w:rsidR="003C599A" w:rsidRPr="00C7585A" w:rsidRDefault="003C599A" w:rsidP="00A83698">
            <w:pPr>
              <w:rPr>
                <w:rFonts w:asciiTheme="minorHAnsi" w:hAnsiTheme="minorHAnsi"/>
                <w:b w:val="0"/>
                <w:bCs w:val="0"/>
                <w:sz w:val="20"/>
                <w:szCs w:val="20"/>
              </w:rPr>
            </w:pPr>
          </w:p>
          <w:p w:rsidR="003C599A" w:rsidRPr="00C7585A" w:rsidRDefault="003C599A" w:rsidP="00A83698">
            <w:pPr>
              <w:rPr>
                <w:rFonts w:asciiTheme="minorHAnsi" w:hAnsiTheme="minorHAnsi"/>
                <w:sz w:val="20"/>
                <w:szCs w:val="20"/>
              </w:rPr>
            </w:pPr>
            <w:r w:rsidRPr="00C7585A">
              <w:rPr>
                <w:rFonts w:asciiTheme="minorHAnsi" w:hAnsiTheme="minorHAnsi"/>
                <w:b w:val="0"/>
                <w:sz w:val="20"/>
                <w:szCs w:val="20"/>
              </w:rPr>
              <w:t>-IHT</w:t>
            </w:r>
          </w:p>
        </w:tc>
        <w:tc>
          <w:tcPr>
            <w:tcW w:w="627" w:type="dxa"/>
          </w:tcPr>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1.5</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1.5</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sz w:val="20"/>
                <w:szCs w:val="20"/>
              </w:rPr>
              <w:t>1</w:t>
            </w:r>
            <w:r w:rsidRPr="00C7585A">
              <w:rPr>
                <w:rFonts w:asciiTheme="minorHAnsi" w:hAnsiTheme="minorHAnsi"/>
                <w:sz w:val="20"/>
                <w:szCs w:val="20"/>
              </w:rPr>
              <w:t>.5</w:t>
            </w:r>
          </w:p>
        </w:tc>
        <w:tc>
          <w:tcPr>
            <w:tcW w:w="669" w:type="dxa"/>
          </w:tcPr>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4.</w:t>
            </w:r>
            <w:r>
              <w:rPr>
                <w:rFonts w:asciiTheme="minorHAnsi" w:hAnsiTheme="minorHAnsi"/>
                <w:b/>
                <w:sz w:val="20"/>
                <w:szCs w:val="20"/>
              </w:rPr>
              <w:t>5</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4.0</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sz w:val="20"/>
                <w:szCs w:val="20"/>
              </w:rPr>
              <w:t>4.5</w:t>
            </w:r>
          </w:p>
        </w:tc>
        <w:tc>
          <w:tcPr>
            <w:tcW w:w="770" w:type="dxa"/>
          </w:tcPr>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3.</w:t>
            </w:r>
            <w:r>
              <w:rPr>
                <w:rFonts w:asciiTheme="minorHAnsi" w:hAnsiTheme="minorHAnsi"/>
                <w:b/>
                <w:sz w:val="20"/>
                <w:szCs w:val="20"/>
              </w:rPr>
              <w:t>1</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3.</w:t>
            </w:r>
            <w:r>
              <w:rPr>
                <w:rFonts w:asciiTheme="minorHAnsi" w:hAnsiTheme="minorHAnsi"/>
                <w:sz w:val="20"/>
                <w:szCs w:val="20"/>
              </w:rPr>
              <w:t>1</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sz w:val="20"/>
                <w:szCs w:val="20"/>
              </w:rPr>
              <w:t>3.</w:t>
            </w:r>
            <w:r w:rsidR="004F160C">
              <w:rPr>
                <w:rFonts w:asciiTheme="minorHAnsi" w:hAnsiTheme="minorHAnsi"/>
                <w:sz w:val="20"/>
                <w:szCs w:val="20"/>
              </w:rPr>
              <w:t>2</w:t>
            </w:r>
          </w:p>
        </w:tc>
        <w:tc>
          <w:tcPr>
            <w:tcW w:w="1223" w:type="dxa"/>
          </w:tcPr>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b/>
                <w:sz w:val="20"/>
                <w:szCs w:val="20"/>
              </w:rPr>
              <w:t>.7</w:t>
            </w:r>
            <w:r>
              <w:rPr>
                <w:rFonts w:asciiTheme="minorHAnsi" w:hAnsiTheme="minorHAnsi"/>
                <w:b/>
                <w:sz w:val="20"/>
                <w:szCs w:val="20"/>
              </w:rPr>
              <w:t>6</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585A">
              <w:rPr>
                <w:rFonts w:asciiTheme="minorHAnsi" w:hAnsiTheme="minorHAnsi"/>
                <w:sz w:val="20"/>
                <w:szCs w:val="20"/>
              </w:rPr>
              <w:t>.7</w:t>
            </w:r>
            <w:r>
              <w:rPr>
                <w:rFonts w:asciiTheme="minorHAnsi" w:hAnsiTheme="minorHAnsi"/>
                <w:sz w:val="20"/>
                <w:szCs w:val="20"/>
              </w:rPr>
              <w:t>2</w:t>
            </w: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3C599A" w:rsidRPr="00C7585A" w:rsidRDefault="003C599A"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7585A">
              <w:rPr>
                <w:rFonts w:asciiTheme="minorHAnsi" w:hAnsiTheme="minorHAnsi"/>
                <w:sz w:val="20"/>
                <w:szCs w:val="20"/>
              </w:rPr>
              <w:t>.</w:t>
            </w:r>
            <w:r>
              <w:rPr>
                <w:rFonts w:asciiTheme="minorHAnsi" w:hAnsiTheme="minorHAnsi"/>
                <w:sz w:val="20"/>
                <w:szCs w:val="20"/>
              </w:rPr>
              <w:t>81</w:t>
            </w:r>
          </w:p>
        </w:tc>
      </w:tr>
    </w:tbl>
    <w:p w:rsidR="003C599A" w:rsidRPr="00C7585A" w:rsidRDefault="003C599A" w:rsidP="003C599A"/>
    <w:p w:rsidR="00DA679F" w:rsidRDefault="003C599A" w:rsidP="00156DF1">
      <w:r w:rsidRPr="00C7585A">
        <w:rPr>
          <w:b/>
          <w:color w:val="5B9BD5" w:themeColor="accent1"/>
        </w:rPr>
        <w:t xml:space="preserve">Figure </w:t>
      </w:r>
      <w:r w:rsidR="00C34B70">
        <w:rPr>
          <w:b/>
          <w:color w:val="5B9BD5" w:themeColor="accent1"/>
        </w:rPr>
        <w:t>5</w:t>
      </w:r>
      <w:r w:rsidRPr="00C7585A">
        <w:t xml:space="preserve"> illustrates</w:t>
      </w:r>
      <w:r w:rsidR="00D1004D">
        <w:t xml:space="preserve"> the distribution of mean scores in the Progress Domain. </w:t>
      </w:r>
    </w:p>
    <w:p w:rsidR="003C599A" w:rsidRPr="00C34B70" w:rsidRDefault="003C599A" w:rsidP="003C599A">
      <w:pPr>
        <w:spacing w:before="160" w:after="80"/>
        <w:jc w:val="center"/>
        <w:rPr>
          <w:b/>
          <w:color w:val="5B9BD5" w:themeColor="accent1"/>
          <w:sz w:val="28"/>
        </w:rPr>
      </w:pPr>
      <w:r w:rsidRPr="00C34B70">
        <w:rPr>
          <w:b/>
          <w:color w:val="5B9BD5" w:themeColor="accent1"/>
          <w:szCs w:val="22"/>
        </w:rPr>
        <w:t>Figure 5: Youth &amp; Family Progress Mean Scores</w:t>
      </w:r>
    </w:p>
    <w:p w:rsidR="003C599A" w:rsidRDefault="001330B4" w:rsidP="003C599A">
      <w:pPr>
        <w:spacing w:before="160" w:after="80"/>
        <w:jc w:val="center"/>
        <w:rPr>
          <w:b/>
          <w:color w:val="5B9BD5" w:themeColor="accent1"/>
        </w:rPr>
      </w:pPr>
      <w:r>
        <w:rPr>
          <w:b/>
          <w:noProof/>
          <w:color w:val="5B9BD5" w:themeColor="accent1"/>
        </w:rPr>
        <mc:AlternateContent>
          <mc:Choice Requires="wps">
            <w:drawing>
              <wp:anchor distT="0" distB="0" distL="114300" distR="114300" simplePos="0" relativeHeight="251668480" behindDoc="0" locked="0" layoutInCell="1" allowOverlap="1" wp14:anchorId="6F577CFC" wp14:editId="0A62BFB8">
                <wp:simplePos x="0" y="0"/>
                <wp:positionH relativeFrom="column">
                  <wp:posOffset>4754880</wp:posOffset>
                </wp:positionH>
                <wp:positionV relativeFrom="paragraph">
                  <wp:posOffset>140970</wp:posOffset>
                </wp:positionV>
                <wp:extent cx="678180" cy="617220"/>
                <wp:effectExtent l="0" t="0" r="0" b="0"/>
                <wp:wrapNone/>
                <wp:docPr id="9" name="TextBox 1"/>
                <wp:cNvGraphicFramePr/>
                <a:graphic xmlns:a="http://schemas.openxmlformats.org/drawingml/2006/main">
                  <a:graphicData uri="http://schemas.microsoft.com/office/word/2010/wordprocessingShape">
                    <wps:wsp>
                      <wps:cNvSpPr txBox="1"/>
                      <wps:spPr>
                        <a:xfrm>
                          <a:off x="0" y="0"/>
                          <a:ext cx="678180" cy="617220"/>
                        </a:xfrm>
                        <a:prstGeom prst="rect">
                          <a:avLst/>
                        </a:prstGeom>
                      </wps:spPr>
                      <wps:txb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3.1</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.76</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wps:txbx>
                      <wps:bodyPr vertOverflow="clip" wrap="none" rtlCol="0"/>
                    </wps:wsp>
                  </a:graphicData>
                </a:graphic>
              </wp:anchor>
            </w:drawing>
          </mc:Choice>
          <mc:Fallback>
            <w:pict>
              <v:shape w14:anchorId="6F577CFC" id="_x0000_s1033" type="#_x0000_t202" style="position:absolute;left:0;text-align:left;margin-left:374.4pt;margin-top:11.1pt;width:53.4pt;height:48.6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" filled="f" stroked="f">
                <v:textbox>
                  <w:txbxContent>
                    <w:p w:rsidR="004F766B" w:rsidRDefault="004F766B" w:rsidP="004F766B">
                      <w:pPr>
                        <w:pStyle w:val="NormalWeb"/>
                        <w:spacing w:before="0" w:beforeAutospacing="0" w:after="0" w:afterAutospacing="0"/>
                      </w:pPr>
                      <w:r>
                        <w:rPr>
                          <w:rFonts w:asciiTheme="majorHAnsi" w:hAnsi="Calibri Light" w:cstheme="minorBidi"/>
                          <w:b/>
                          <w:bCs/>
                          <w:sz w:val="16"/>
                          <w:szCs w:val="16"/>
                        </w:rPr>
                        <w:t>Mean = 3.1</w:t>
                      </w:r>
                    </w:p>
                    <w:p w:rsidR="004F766B" w:rsidRDefault="004F766B" w:rsidP="004F766B">
                      <w:pPr>
                        <w:pStyle w:val="NormalWeb"/>
                        <w:spacing w:before="0" w:beforeAutospacing="0" w:after="0" w:afterAutospacing="0"/>
                      </w:pPr>
                      <w:r>
                        <w:rPr>
                          <w:rFonts w:asciiTheme="majorHAnsi" w:hAnsi="Calibri Light" w:cstheme="minorBidi"/>
                          <w:b/>
                          <w:bCs/>
                          <w:sz w:val="16"/>
                          <w:szCs w:val="16"/>
                        </w:rPr>
                        <w:t>SD = .76</w:t>
                      </w:r>
                    </w:p>
                    <w:p w:rsidR="004F766B" w:rsidRDefault="004F766B" w:rsidP="004F766B">
                      <w:pPr>
                        <w:pStyle w:val="NormalWeb"/>
                        <w:spacing w:before="0" w:beforeAutospacing="0" w:after="0" w:afterAutospacing="0"/>
                      </w:pPr>
                      <w:r>
                        <w:rPr>
                          <w:rFonts w:asciiTheme="majorHAnsi" w:hAnsi="Calibri Light" w:cstheme="minorBidi"/>
                          <w:b/>
                          <w:bCs/>
                          <w:sz w:val="16"/>
                          <w:szCs w:val="16"/>
                        </w:rPr>
                        <w:t>N = 120</w:t>
                      </w:r>
                    </w:p>
                  </w:txbxContent>
                </v:textbox>
              </v:shape>
            </w:pict>
          </mc:Fallback>
        </mc:AlternateContent>
      </w:r>
      <w:r w:rsidR="00F84A08">
        <w:rPr>
          <w:b/>
          <w:noProof/>
          <w:color w:val="5B9BD5" w:themeColor="accent1"/>
        </w:rPr>
        <w:drawing>
          <wp:inline distT="0" distB="0" distL="0" distR="0" wp14:anchorId="0961A62D" wp14:editId="0230C5E6">
            <wp:extent cx="4100513" cy="2600325"/>
            <wp:effectExtent l="19050" t="19050" r="14287" b="28575"/>
            <wp:docPr id="15" name="Picture 15" descr="C:\Users\jsimons\Desktop\MPRdata\progre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simons\Desktop\MPRdata\progress.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0513" cy="2600325"/>
                    </a:xfrm>
                    <a:prstGeom prst="rect">
                      <a:avLst/>
                    </a:prstGeom>
                    <a:noFill/>
                    <a:ln>
                      <a:solidFill>
                        <a:schemeClr val="accent1"/>
                      </a:solidFill>
                    </a:ln>
                  </pic:spPr>
                </pic:pic>
              </a:graphicData>
            </a:graphic>
          </wp:inline>
        </w:drawing>
      </w:r>
    </w:p>
    <w:p w:rsidR="002F11C3" w:rsidRPr="007F3A22" w:rsidRDefault="002F11C3" w:rsidP="00035138">
      <w:pPr>
        <w:pStyle w:val="Heading3"/>
        <w:spacing w:after="40"/>
        <w:rPr>
          <w:rFonts w:asciiTheme="minorHAnsi" w:hAnsiTheme="minorHAnsi"/>
        </w:rPr>
      </w:pPr>
      <w:bookmarkStart w:id="25" w:name="_Toc467143022"/>
      <w:r w:rsidRPr="007F3A22">
        <w:rPr>
          <w:rFonts w:asciiTheme="minorHAnsi" w:hAnsiTheme="minorHAnsi"/>
        </w:rPr>
        <w:t>Progress Area Mean Scores &amp; Frequencies</w:t>
      </w:r>
      <w:bookmarkEnd w:id="25"/>
      <w:r w:rsidRPr="007F3A22">
        <w:rPr>
          <w:rFonts w:asciiTheme="minorHAnsi" w:hAnsiTheme="minorHAnsi"/>
        </w:rPr>
        <w:t xml:space="preserve"> </w:t>
      </w:r>
    </w:p>
    <w:p w:rsidR="00A979CD" w:rsidRDefault="004627DB" w:rsidP="00A979CD">
      <w:r w:rsidRPr="004627DB">
        <w:rPr>
          <w:b/>
          <w:color w:val="5B9BD5" w:themeColor="accent1"/>
        </w:rPr>
        <w:t>Table 1</w:t>
      </w:r>
      <w:r w:rsidR="00C2310F">
        <w:rPr>
          <w:b/>
          <w:color w:val="5B9BD5" w:themeColor="accent1"/>
        </w:rPr>
        <w:t>8</w:t>
      </w:r>
      <w:r w:rsidR="003C599A" w:rsidRPr="004627DB">
        <w:rPr>
          <w:b/>
          <w:color w:val="5B9BD5" w:themeColor="accent1"/>
        </w:rPr>
        <w:t xml:space="preserve"> </w:t>
      </w:r>
      <w:r w:rsidR="003C599A" w:rsidRPr="004627DB">
        <w:t>s</w:t>
      </w:r>
      <w:r w:rsidR="003C599A" w:rsidRPr="003C599A">
        <w:t>ummarizes the mean scores and frequencies for the youth and family progress Areas in this Domain.</w:t>
      </w:r>
      <w:r w:rsidR="009B0130">
        <w:t xml:space="preserve"> Overall, youth progress was rated less favorably than family progress.</w:t>
      </w:r>
      <w:r w:rsidR="00A979CD" w:rsidRPr="00A979CD">
        <w:t xml:space="preserve"> </w:t>
      </w:r>
      <w:r w:rsidR="00A979CD">
        <w:t>For youth in ICC, 75% had Fair progress or better, while the proportion for youth in IHT was 76%. For families in ICC, 80% had Fair progress or better, while the proportion for families in IHT was 78%.</w:t>
      </w:r>
      <w:r w:rsidR="00D1004D">
        <w:t xml:space="preserve"> Of the 120 youth reviewed, four youth had worsening status in IHT, and three youth had worsening status in ICC.</w:t>
      </w:r>
    </w:p>
    <w:p w:rsidR="00A979CD" w:rsidRDefault="00A979CD" w:rsidP="00A979CD"/>
    <w:p w:rsidR="002715F9" w:rsidRDefault="00A979CD" w:rsidP="003C599A">
      <w:r>
        <w:t xml:space="preserve">While practice in ICC is usually somewhat superior, on average, to practice in IHT, youth and family progress does not differ greatly across the two services. </w:t>
      </w:r>
    </w:p>
    <w:p w:rsidR="002715F9" w:rsidRDefault="002715F9"/>
    <w:p w:rsidR="008B777E" w:rsidRDefault="008B777E" w:rsidP="00150616">
      <w:pPr>
        <w:jc w:val="center"/>
        <w:rPr>
          <w:b/>
          <w:color w:val="5B9BD5" w:themeColor="accent1"/>
        </w:rPr>
      </w:pPr>
    </w:p>
    <w:p w:rsidR="008B777E" w:rsidRDefault="008B777E" w:rsidP="00150616">
      <w:pPr>
        <w:jc w:val="center"/>
        <w:rPr>
          <w:b/>
          <w:color w:val="5B9BD5" w:themeColor="accent1"/>
        </w:rPr>
      </w:pPr>
    </w:p>
    <w:p w:rsidR="00496278" w:rsidRDefault="00496278" w:rsidP="00150616">
      <w:pPr>
        <w:jc w:val="center"/>
        <w:rPr>
          <w:b/>
          <w:color w:val="5B9BD5" w:themeColor="accent1"/>
        </w:rPr>
      </w:pPr>
    </w:p>
    <w:p w:rsidR="008B777E" w:rsidRDefault="008B777E" w:rsidP="00150616">
      <w:pPr>
        <w:jc w:val="center"/>
        <w:rPr>
          <w:b/>
          <w:color w:val="5B9BD5" w:themeColor="accent1"/>
        </w:rPr>
      </w:pPr>
    </w:p>
    <w:p w:rsidR="00B411D0" w:rsidRDefault="00C2310F" w:rsidP="00150616">
      <w:pPr>
        <w:jc w:val="center"/>
        <w:rPr>
          <w:b/>
          <w:color w:val="5B9BD5" w:themeColor="accent1"/>
        </w:rPr>
      </w:pPr>
      <w:r>
        <w:rPr>
          <w:b/>
          <w:color w:val="5B9BD5" w:themeColor="accent1"/>
        </w:rPr>
        <w:lastRenderedPageBreak/>
        <w:t>Table 18</w:t>
      </w:r>
      <w:r w:rsidR="00B87022" w:rsidRPr="00D85FE1">
        <w:rPr>
          <w:b/>
          <w:color w:val="5B9BD5" w:themeColor="accent1"/>
        </w:rPr>
        <w:t>: Youth &amp; Family Progress Area Mean Scores &amp; Frequencies</w:t>
      </w:r>
    </w:p>
    <w:tbl>
      <w:tblPr>
        <w:tblStyle w:val="MediumShading1-Accent11"/>
        <w:tblW w:w="10002" w:type="dxa"/>
        <w:tblInd w:w="18" w:type="dxa"/>
        <w:tblLayout w:type="fixed"/>
        <w:tblLook w:val="04A0" w:firstRow="1" w:lastRow="0" w:firstColumn="1" w:lastColumn="0" w:noHBand="0" w:noVBand="1"/>
      </w:tblPr>
      <w:tblGrid>
        <w:gridCol w:w="1987"/>
        <w:gridCol w:w="717"/>
        <w:gridCol w:w="1348"/>
        <w:gridCol w:w="1174"/>
        <w:gridCol w:w="1174"/>
        <w:gridCol w:w="1174"/>
        <w:gridCol w:w="1354"/>
        <w:gridCol w:w="1074"/>
      </w:tblGrid>
      <w:tr w:rsidR="00FF6C81" w:rsidRPr="00F6519B" w:rsidTr="006D483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93" w:type="pct"/>
          </w:tcPr>
          <w:p w:rsidR="00FF6C81" w:rsidRPr="00DF7DDC" w:rsidRDefault="00FF6C81" w:rsidP="00A83698">
            <w:pPr>
              <w:rPr>
                <w:rFonts w:asciiTheme="minorHAnsi" w:hAnsiTheme="minorHAnsi"/>
                <w:b w:val="0"/>
                <w:bCs w:val="0"/>
                <w:color w:val="auto"/>
                <w:sz w:val="20"/>
                <w:szCs w:val="20"/>
              </w:rPr>
            </w:pPr>
            <w:r w:rsidRPr="00DF7DDC">
              <w:rPr>
                <w:rFonts w:asciiTheme="minorHAnsi" w:hAnsiTheme="minorHAnsi"/>
                <w:sz w:val="20"/>
                <w:szCs w:val="20"/>
              </w:rPr>
              <w:t xml:space="preserve">Domain/Area </w:t>
            </w:r>
          </w:p>
        </w:tc>
        <w:tc>
          <w:tcPr>
            <w:tcW w:w="358" w:type="pct"/>
          </w:tcPr>
          <w:p w:rsidR="00FF6C81" w:rsidRPr="00F6519B" w:rsidRDefault="00FF6C81" w:rsidP="00A83698">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Mean</w:t>
            </w:r>
          </w:p>
        </w:tc>
        <w:tc>
          <w:tcPr>
            <w:tcW w:w="3112" w:type="pct"/>
            <w:gridSpan w:val="5"/>
          </w:tcPr>
          <w:p w:rsidR="00FF6C81" w:rsidRPr="00F6519B" w:rsidRDefault="00FF6C81"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F6519B">
              <w:rPr>
                <w:rFonts w:asciiTheme="minorHAnsi" w:hAnsiTheme="minorHAnsi"/>
                <w:sz w:val="20"/>
                <w:szCs w:val="20"/>
              </w:rPr>
              <w:t>Frequencies (n) %*</w:t>
            </w:r>
          </w:p>
        </w:tc>
        <w:tc>
          <w:tcPr>
            <w:tcW w:w="537" w:type="pct"/>
          </w:tcPr>
          <w:p w:rsidR="00FF6C81" w:rsidRPr="00F6519B" w:rsidRDefault="00FF6C81" w:rsidP="00A8369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FF6C81" w:rsidRPr="00F6519B" w:rsidTr="006D483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351" w:type="pct"/>
            <w:gridSpan w:val="2"/>
          </w:tcPr>
          <w:p w:rsidR="00FF6C81" w:rsidRPr="00F6519B" w:rsidRDefault="00FF6C81" w:rsidP="00A83698">
            <w:pPr>
              <w:rPr>
                <w:rFonts w:asciiTheme="minorHAnsi" w:hAnsiTheme="minorHAnsi"/>
                <w:sz w:val="20"/>
                <w:szCs w:val="20"/>
              </w:rPr>
            </w:pPr>
          </w:p>
          <w:p w:rsidR="00FF6C81" w:rsidRPr="00F6519B" w:rsidRDefault="00FF6C81" w:rsidP="00A83698">
            <w:pPr>
              <w:rPr>
                <w:rFonts w:asciiTheme="minorHAnsi" w:hAnsiTheme="minorHAnsi"/>
                <w:b w:val="0"/>
                <w:bCs w:val="0"/>
                <w:color w:val="44546A" w:themeColor="text2"/>
                <w:sz w:val="20"/>
                <w:szCs w:val="20"/>
              </w:rPr>
            </w:pPr>
          </w:p>
        </w:tc>
        <w:tc>
          <w:tcPr>
            <w:tcW w:w="674" w:type="pct"/>
          </w:tcPr>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Worsening or Declining Condition</w:t>
            </w:r>
          </w:p>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1</w:t>
            </w:r>
          </w:p>
        </w:tc>
        <w:tc>
          <w:tcPr>
            <w:tcW w:w="587" w:type="pct"/>
          </w:tcPr>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Little to No Progress</w:t>
            </w:r>
          </w:p>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2</w:t>
            </w:r>
          </w:p>
        </w:tc>
        <w:tc>
          <w:tcPr>
            <w:tcW w:w="587" w:type="pct"/>
          </w:tcPr>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Fair Progress</w:t>
            </w:r>
          </w:p>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3</w:t>
            </w:r>
          </w:p>
        </w:tc>
        <w:tc>
          <w:tcPr>
            <w:tcW w:w="587" w:type="pct"/>
          </w:tcPr>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Good</w:t>
            </w:r>
          </w:p>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Progress</w:t>
            </w:r>
          </w:p>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4</w:t>
            </w:r>
          </w:p>
        </w:tc>
        <w:tc>
          <w:tcPr>
            <w:tcW w:w="676" w:type="pct"/>
          </w:tcPr>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Exceptional Progress</w:t>
            </w:r>
          </w:p>
          <w:p w:rsidR="00FF6C81" w:rsidRPr="00F6519B" w:rsidRDefault="00FF6C81"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5</w:t>
            </w:r>
          </w:p>
        </w:tc>
        <w:tc>
          <w:tcPr>
            <w:tcW w:w="537" w:type="pct"/>
          </w:tcPr>
          <w:p w:rsidR="00FF6C81" w:rsidRPr="00F6519B" w:rsidRDefault="006D4835" w:rsidP="006D48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 xml:space="preserve">Percent </w:t>
            </w:r>
            <w:r w:rsidR="00FF6C81" w:rsidRPr="00F6519B">
              <w:rPr>
                <w:rFonts w:asciiTheme="minorHAnsi" w:hAnsiTheme="minorHAnsi"/>
                <w:b/>
                <w:sz w:val="20"/>
                <w:szCs w:val="20"/>
              </w:rPr>
              <w:t>Fair or above **</w:t>
            </w:r>
          </w:p>
        </w:tc>
      </w:tr>
      <w:tr w:rsidR="00FF6C81" w:rsidRPr="00F6519B" w:rsidTr="006D4835">
        <w:trPr>
          <w:cnfStyle w:val="000000010000" w:firstRow="0" w:lastRow="0" w:firstColumn="0" w:lastColumn="0" w:oddVBand="0" w:evenVBand="0" w:oddHBand="0" w:evenHBand="1"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993" w:type="pct"/>
          </w:tcPr>
          <w:p w:rsidR="00FF6C81" w:rsidRPr="00F6519B" w:rsidRDefault="00FF6C81" w:rsidP="00A83698">
            <w:pPr>
              <w:rPr>
                <w:rFonts w:asciiTheme="minorHAnsi" w:hAnsiTheme="minorHAnsi"/>
                <w:sz w:val="20"/>
                <w:szCs w:val="20"/>
              </w:rPr>
            </w:pPr>
            <w:r w:rsidRPr="00F6519B">
              <w:rPr>
                <w:rFonts w:asciiTheme="minorHAnsi" w:hAnsiTheme="minorHAnsi"/>
                <w:sz w:val="20"/>
                <w:szCs w:val="20"/>
              </w:rPr>
              <w:t>Youth Progress</w:t>
            </w:r>
          </w:p>
          <w:p w:rsidR="00FF6C81" w:rsidRPr="00F6519B" w:rsidRDefault="00FF6C81" w:rsidP="00A83698">
            <w:pPr>
              <w:rPr>
                <w:rFonts w:asciiTheme="minorHAnsi" w:hAnsiTheme="minorHAnsi"/>
                <w:sz w:val="20"/>
                <w:szCs w:val="20"/>
              </w:rPr>
            </w:pPr>
          </w:p>
          <w:p w:rsidR="00FF6C81" w:rsidRPr="00F6519B" w:rsidRDefault="00FF6C81" w:rsidP="00A83698">
            <w:pPr>
              <w:rPr>
                <w:rFonts w:asciiTheme="minorHAnsi" w:hAnsiTheme="minorHAnsi"/>
                <w:sz w:val="20"/>
                <w:szCs w:val="20"/>
              </w:rPr>
            </w:pPr>
            <w:r w:rsidRPr="00F6519B">
              <w:rPr>
                <w:rFonts w:asciiTheme="minorHAnsi" w:hAnsiTheme="minorHAnsi"/>
                <w:sz w:val="20"/>
                <w:szCs w:val="20"/>
              </w:rPr>
              <w:t>-ICC</w:t>
            </w:r>
          </w:p>
          <w:p w:rsidR="00FF6C81" w:rsidRPr="00F6519B" w:rsidRDefault="00FF6C81" w:rsidP="00A83698">
            <w:pPr>
              <w:rPr>
                <w:rFonts w:asciiTheme="minorHAnsi" w:hAnsiTheme="minorHAnsi"/>
                <w:sz w:val="20"/>
                <w:szCs w:val="20"/>
              </w:rPr>
            </w:pPr>
          </w:p>
          <w:p w:rsidR="00FF6C81" w:rsidRPr="00F6519B" w:rsidRDefault="00FF6C81" w:rsidP="00A83698">
            <w:pPr>
              <w:rPr>
                <w:rFonts w:asciiTheme="minorHAnsi" w:hAnsiTheme="minorHAnsi"/>
                <w:color w:val="0070C0"/>
                <w:sz w:val="20"/>
                <w:szCs w:val="20"/>
              </w:rPr>
            </w:pPr>
            <w:r w:rsidRPr="00F6519B">
              <w:rPr>
                <w:rFonts w:asciiTheme="minorHAnsi" w:hAnsiTheme="minorHAnsi"/>
                <w:sz w:val="20"/>
                <w:szCs w:val="20"/>
              </w:rPr>
              <w:t>-IHT</w:t>
            </w:r>
          </w:p>
        </w:tc>
        <w:tc>
          <w:tcPr>
            <w:tcW w:w="358" w:type="pct"/>
          </w:tcPr>
          <w:p w:rsidR="00FF6C81" w:rsidRPr="00F6519B" w:rsidRDefault="00FF6C81"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3.</w:t>
            </w:r>
            <w:r w:rsidR="00CC32A4">
              <w:rPr>
                <w:rFonts w:asciiTheme="minorHAnsi" w:hAnsiTheme="minorHAnsi"/>
                <w:b/>
                <w:sz w:val="20"/>
                <w:szCs w:val="20"/>
              </w:rPr>
              <w:t>1</w:t>
            </w:r>
          </w:p>
          <w:p w:rsidR="00FF6C81" w:rsidRPr="00F6519B" w:rsidRDefault="00FF6C81"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F6519B" w:rsidRDefault="00FF6C81"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3.0</w:t>
            </w:r>
          </w:p>
          <w:p w:rsidR="00FF6C81" w:rsidRPr="00F6519B" w:rsidRDefault="00FF6C81"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F6519B" w:rsidRDefault="00FF6C81" w:rsidP="00A83698">
            <w:pPr>
              <w:cnfStyle w:val="000000010000" w:firstRow="0" w:lastRow="0" w:firstColumn="0" w:lastColumn="0" w:oddVBand="0" w:evenVBand="0" w:oddHBand="0" w:evenHBand="1" w:firstRowFirstColumn="0" w:firstRowLastColumn="0" w:lastRowFirstColumn="0" w:lastRowLastColumn="0"/>
              <w:rPr>
                <w:rFonts w:asciiTheme="minorHAnsi" w:hAnsiTheme="minorHAnsi"/>
                <w:b/>
                <w:color w:val="0070C0"/>
                <w:sz w:val="20"/>
                <w:szCs w:val="20"/>
              </w:rPr>
            </w:pPr>
            <w:r w:rsidRPr="00F6519B">
              <w:rPr>
                <w:rFonts w:asciiTheme="minorHAnsi" w:hAnsiTheme="minorHAnsi"/>
                <w:sz w:val="20"/>
                <w:szCs w:val="20"/>
              </w:rPr>
              <w:t>3.1</w:t>
            </w:r>
          </w:p>
        </w:tc>
        <w:tc>
          <w:tcPr>
            <w:tcW w:w="674" w:type="pct"/>
          </w:tcPr>
          <w:p w:rsidR="00FF6C81"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(7) 6%</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 5%</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 7%</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587" w:type="pct"/>
          </w:tcPr>
          <w:p w:rsidR="00FF6C81"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(22) 18%</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(12) 20%</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(10) 17%</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587" w:type="pct"/>
          </w:tcPr>
          <w:p w:rsidR="00FF6C81"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(49) 41%</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(28) 46%</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(21) 36%</w:t>
            </w:r>
          </w:p>
        </w:tc>
        <w:tc>
          <w:tcPr>
            <w:tcW w:w="587" w:type="pct"/>
          </w:tcPr>
          <w:p w:rsidR="00FF6C81"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(42) 35%</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(18) 30%</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41%</w:t>
            </w:r>
          </w:p>
        </w:tc>
        <w:tc>
          <w:tcPr>
            <w:tcW w:w="676" w:type="pct"/>
          </w:tcPr>
          <w:p w:rsidR="00FF6C81" w:rsidRPr="00DF7DDC"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FF6C81" w:rsidRPr="00F6519B" w:rsidRDefault="00FF6C81"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c>
          <w:tcPr>
            <w:tcW w:w="537" w:type="pct"/>
          </w:tcPr>
          <w:p w:rsidR="00FF6C81" w:rsidRPr="009B1AE8"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9B1AE8">
              <w:rPr>
                <w:rFonts w:asciiTheme="minorHAnsi" w:hAnsiTheme="minorHAnsi" w:cstheme="minorHAnsi"/>
                <w:b/>
                <w:sz w:val="20"/>
                <w:szCs w:val="20"/>
              </w:rPr>
              <w:t>76%</w:t>
            </w:r>
          </w:p>
          <w:p w:rsidR="00281423" w:rsidRPr="009B1AE8" w:rsidRDefault="00281423"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rsidR="00281423" w:rsidRPr="009B1AE8"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9B1AE8">
              <w:rPr>
                <w:rFonts w:asciiTheme="minorHAnsi" w:hAnsiTheme="minorHAnsi" w:cstheme="minorHAnsi"/>
                <w:b/>
                <w:sz w:val="20"/>
                <w:szCs w:val="20"/>
              </w:rPr>
              <w:t>75</w:t>
            </w:r>
            <w:r w:rsidR="00DF7DDC" w:rsidRPr="009B1AE8">
              <w:rPr>
                <w:rFonts w:asciiTheme="minorHAnsi" w:hAnsiTheme="minorHAnsi" w:cstheme="minorHAnsi"/>
                <w:b/>
                <w:sz w:val="20"/>
                <w:szCs w:val="20"/>
              </w:rPr>
              <w:t>%</w:t>
            </w:r>
          </w:p>
          <w:p w:rsidR="00281423" w:rsidRPr="009B1AE8" w:rsidRDefault="00281423"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rsidR="00281423" w:rsidRPr="009B1AE8" w:rsidRDefault="00BD7480" w:rsidP="00A8369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9B1AE8">
              <w:rPr>
                <w:rFonts w:asciiTheme="minorHAnsi" w:hAnsiTheme="minorHAnsi" w:cstheme="minorHAnsi"/>
                <w:b/>
                <w:sz w:val="20"/>
                <w:szCs w:val="20"/>
              </w:rPr>
              <w:t>76</w:t>
            </w:r>
            <w:r w:rsidR="00DF7DDC" w:rsidRPr="009B1AE8">
              <w:rPr>
                <w:rFonts w:asciiTheme="minorHAnsi" w:hAnsiTheme="minorHAnsi" w:cstheme="minorHAnsi"/>
                <w:b/>
                <w:sz w:val="20"/>
                <w:szCs w:val="20"/>
              </w:rPr>
              <w:t>%</w:t>
            </w:r>
          </w:p>
        </w:tc>
      </w:tr>
      <w:tr w:rsidR="00FF6C81" w:rsidRPr="00F6519B" w:rsidTr="006D4835">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993" w:type="pct"/>
          </w:tcPr>
          <w:p w:rsidR="00FF6C81" w:rsidRPr="00F6519B" w:rsidRDefault="00FF6C81" w:rsidP="00A83698">
            <w:pPr>
              <w:rPr>
                <w:rFonts w:asciiTheme="minorHAnsi" w:hAnsiTheme="minorHAnsi"/>
                <w:sz w:val="20"/>
                <w:szCs w:val="20"/>
              </w:rPr>
            </w:pPr>
            <w:r w:rsidRPr="00F6519B">
              <w:rPr>
                <w:rFonts w:asciiTheme="minorHAnsi" w:hAnsiTheme="minorHAnsi"/>
                <w:sz w:val="20"/>
                <w:szCs w:val="20"/>
              </w:rPr>
              <w:t>Family Progress</w:t>
            </w:r>
          </w:p>
          <w:p w:rsidR="00FF6C81" w:rsidRPr="00F6519B" w:rsidRDefault="00FF6C81" w:rsidP="00A83698">
            <w:pPr>
              <w:rPr>
                <w:rFonts w:asciiTheme="minorHAnsi" w:hAnsiTheme="minorHAnsi"/>
                <w:sz w:val="20"/>
                <w:szCs w:val="20"/>
              </w:rPr>
            </w:pPr>
          </w:p>
          <w:p w:rsidR="00FF6C81" w:rsidRPr="00F6519B" w:rsidRDefault="00FF6C81" w:rsidP="00A83698">
            <w:pPr>
              <w:rPr>
                <w:rFonts w:asciiTheme="minorHAnsi" w:hAnsiTheme="minorHAnsi"/>
                <w:sz w:val="20"/>
                <w:szCs w:val="20"/>
              </w:rPr>
            </w:pPr>
            <w:r w:rsidRPr="00F6519B">
              <w:rPr>
                <w:rFonts w:asciiTheme="minorHAnsi" w:hAnsiTheme="minorHAnsi"/>
                <w:sz w:val="20"/>
                <w:szCs w:val="20"/>
              </w:rPr>
              <w:t>-ICC</w:t>
            </w:r>
          </w:p>
          <w:p w:rsidR="00FF6C81" w:rsidRPr="00F6519B" w:rsidRDefault="00FF6C81" w:rsidP="00A83698">
            <w:pPr>
              <w:rPr>
                <w:rFonts w:asciiTheme="minorHAnsi" w:hAnsiTheme="minorHAnsi"/>
                <w:sz w:val="20"/>
                <w:szCs w:val="20"/>
              </w:rPr>
            </w:pPr>
          </w:p>
          <w:p w:rsidR="00FF6C81" w:rsidRPr="00F6519B" w:rsidRDefault="00FF6C81" w:rsidP="00A83698">
            <w:pPr>
              <w:rPr>
                <w:rFonts w:asciiTheme="minorHAnsi" w:hAnsiTheme="minorHAnsi"/>
                <w:color w:val="0070C0"/>
                <w:sz w:val="20"/>
                <w:szCs w:val="20"/>
              </w:rPr>
            </w:pPr>
            <w:r w:rsidRPr="00F6519B">
              <w:rPr>
                <w:rFonts w:asciiTheme="minorHAnsi" w:hAnsiTheme="minorHAnsi"/>
                <w:sz w:val="20"/>
                <w:szCs w:val="20"/>
              </w:rPr>
              <w:t>-IHT</w:t>
            </w:r>
          </w:p>
        </w:tc>
        <w:tc>
          <w:tcPr>
            <w:tcW w:w="358" w:type="pct"/>
          </w:tcPr>
          <w:p w:rsidR="00FF6C81" w:rsidRPr="00F6519B" w:rsidRDefault="00FF6C81"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F6519B">
              <w:rPr>
                <w:rFonts w:asciiTheme="minorHAnsi" w:hAnsiTheme="minorHAnsi"/>
                <w:b/>
                <w:sz w:val="20"/>
                <w:szCs w:val="20"/>
              </w:rPr>
              <w:t>3.2</w:t>
            </w:r>
          </w:p>
          <w:p w:rsidR="00FF6C81" w:rsidRPr="00F6519B" w:rsidRDefault="00FF6C81"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F6519B" w:rsidRDefault="00FF6C81"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3.2</w:t>
            </w:r>
          </w:p>
          <w:p w:rsidR="00FF6C81" w:rsidRPr="00F6519B" w:rsidRDefault="00FF6C81"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F6519B" w:rsidRDefault="00FF6C81" w:rsidP="00A83698">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70C0"/>
                <w:sz w:val="20"/>
                <w:szCs w:val="20"/>
              </w:rPr>
            </w:pPr>
            <w:r w:rsidRPr="00F6519B">
              <w:rPr>
                <w:rFonts w:asciiTheme="minorHAnsi" w:hAnsiTheme="minorHAnsi"/>
                <w:sz w:val="20"/>
                <w:szCs w:val="20"/>
              </w:rPr>
              <w:t>3.2</w:t>
            </w:r>
          </w:p>
        </w:tc>
        <w:tc>
          <w:tcPr>
            <w:tcW w:w="674" w:type="pct"/>
          </w:tcPr>
          <w:p w:rsidR="00FF6C81"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tc>
        <w:tc>
          <w:tcPr>
            <w:tcW w:w="587" w:type="pct"/>
          </w:tcPr>
          <w:p w:rsidR="00FF6C81"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(25) 21%</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(12) 20%</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(13) 22%</w:t>
            </w:r>
          </w:p>
        </w:tc>
        <w:tc>
          <w:tcPr>
            <w:tcW w:w="587" w:type="pct"/>
          </w:tcPr>
          <w:p w:rsidR="00FF6C81"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(45) 38%</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(25) 41%</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(20) 34%</w:t>
            </w:r>
          </w:p>
        </w:tc>
        <w:tc>
          <w:tcPr>
            <w:tcW w:w="587" w:type="pct"/>
          </w:tcPr>
          <w:p w:rsidR="00FF6C81"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(49) 41%</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(24) 39%</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(25) 42%</w:t>
            </w:r>
          </w:p>
        </w:tc>
        <w:tc>
          <w:tcPr>
            <w:tcW w:w="676" w:type="pct"/>
          </w:tcPr>
          <w:p w:rsidR="00FF6C81" w:rsidRPr="00DF7DDC" w:rsidRDefault="00BD7480"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1%</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w:t>
            </w:r>
          </w:p>
          <w:p w:rsidR="00FF6C81" w:rsidRPr="00F6519B"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rsidR="00FF6C81" w:rsidRPr="00DF7DDC" w:rsidRDefault="00FF6C81"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6519B">
              <w:rPr>
                <w:rFonts w:asciiTheme="minorHAnsi" w:hAnsiTheme="minorHAnsi"/>
                <w:sz w:val="20"/>
                <w:szCs w:val="20"/>
              </w:rPr>
              <w:t>(1) 2%</w:t>
            </w:r>
          </w:p>
        </w:tc>
        <w:tc>
          <w:tcPr>
            <w:tcW w:w="537" w:type="pct"/>
          </w:tcPr>
          <w:p w:rsidR="00FF6C81" w:rsidRPr="009B1AE8" w:rsidRDefault="00281423"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9B1AE8">
              <w:rPr>
                <w:rFonts w:asciiTheme="minorHAnsi" w:hAnsiTheme="minorHAnsi" w:cstheme="minorHAnsi"/>
                <w:b/>
                <w:sz w:val="20"/>
                <w:szCs w:val="20"/>
              </w:rPr>
              <w:t>79%</w:t>
            </w:r>
          </w:p>
          <w:p w:rsidR="00281423" w:rsidRPr="009B1AE8" w:rsidRDefault="00281423"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rsidR="00281423" w:rsidRPr="009B1AE8" w:rsidRDefault="00281423"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9B1AE8">
              <w:rPr>
                <w:rFonts w:asciiTheme="minorHAnsi" w:hAnsiTheme="minorHAnsi" w:cstheme="minorHAnsi"/>
                <w:b/>
                <w:sz w:val="20"/>
                <w:szCs w:val="20"/>
              </w:rPr>
              <w:t>80</w:t>
            </w:r>
            <w:r w:rsidR="00DF7DDC" w:rsidRPr="009B1AE8">
              <w:rPr>
                <w:rFonts w:asciiTheme="minorHAnsi" w:hAnsiTheme="minorHAnsi" w:cstheme="minorHAnsi"/>
                <w:b/>
                <w:sz w:val="20"/>
                <w:szCs w:val="20"/>
              </w:rPr>
              <w:t>%</w:t>
            </w:r>
          </w:p>
          <w:p w:rsidR="00281423" w:rsidRPr="009B1AE8" w:rsidRDefault="00281423"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rsidR="00281423" w:rsidRPr="009B1AE8" w:rsidRDefault="00281423" w:rsidP="00A8369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9B1AE8">
              <w:rPr>
                <w:rFonts w:asciiTheme="minorHAnsi" w:hAnsiTheme="minorHAnsi" w:cstheme="minorHAnsi"/>
                <w:b/>
                <w:sz w:val="20"/>
                <w:szCs w:val="20"/>
              </w:rPr>
              <w:t>78</w:t>
            </w:r>
            <w:bookmarkStart w:id="26" w:name="_GoBack"/>
            <w:bookmarkEnd w:id="26"/>
            <w:r w:rsidR="00DF7DDC" w:rsidRPr="009B1AE8">
              <w:rPr>
                <w:rFonts w:asciiTheme="minorHAnsi" w:hAnsiTheme="minorHAnsi" w:cstheme="minorHAnsi"/>
                <w:b/>
                <w:sz w:val="20"/>
                <w:szCs w:val="20"/>
              </w:rPr>
              <w:t>%</w:t>
            </w:r>
          </w:p>
        </w:tc>
      </w:tr>
    </w:tbl>
    <w:p w:rsidR="00B87022" w:rsidRDefault="00B87022" w:rsidP="00B87022">
      <w:pPr>
        <w:rPr>
          <w:sz w:val="18"/>
          <w:szCs w:val="18"/>
        </w:rPr>
      </w:pPr>
      <w:r w:rsidRPr="005C2085">
        <w:rPr>
          <w:sz w:val="18"/>
          <w:szCs w:val="18"/>
        </w:rPr>
        <w:t>*Due to rounding of percentages, some Area totals may not equal</w:t>
      </w:r>
      <w:r>
        <w:rPr>
          <w:sz w:val="18"/>
          <w:szCs w:val="18"/>
        </w:rPr>
        <w:t xml:space="preserve"> </w:t>
      </w:r>
      <w:r w:rsidRPr="005C2085">
        <w:rPr>
          <w:sz w:val="18"/>
          <w:szCs w:val="18"/>
        </w:rPr>
        <w:t>100%.</w:t>
      </w:r>
    </w:p>
    <w:p w:rsidR="009B1AE8" w:rsidRPr="00EA2D8F" w:rsidRDefault="00FF6C81" w:rsidP="009B1AE8">
      <w:pPr>
        <w:rPr>
          <w:sz w:val="18"/>
          <w:szCs w:val="18"/>
        </w:rPr>
      </w:pPr>
      <w:r w:rsidRPr="006E1729">
        <w:rPr>
          <w:sz w:val="18"/>
          <w:szCs w:val="18"/>
        </w:rPr>
        <w:t xml:space="preserve">** </w:t>
      </w:r>
      <w:r w:rsidR="001839B6">
        <w:rPr>
          <w:sz w:val="18"/>
          <w:szCs w:val="18"/>
        </w:rPr>
        <w:t xml:space="preserve">Accurately rounded percentages; </w:t>
      </w:r>
      <w:r w:rsidR="009B1AE8">
        <w:rPr>
          <w:sz w:val="18"/>
          <w:szCs w:val="18"/>
        </w:rPr>
        <w:t>areas with</w:t>
      </w:r>
      <w:r w:rsidR="009B1AE8" w:rsidRPr="00BD7480">
        <w:rPr>
          <w:sz w:val="18"/>
          <w:szCs w:val="18"/>
        </w:rPr>
        <w:t xml:space="preserve"> 70% Fair or above are in </w:t>
      </w:r>
      <w:r w:rsidR="009B1AE8" w:rsidRPr="00BD7480">
        <w:rPr>
          <w:b/>
          <w:sz w:val="18"/>
          <w:szCs w:val="18"/>
        </w:rPr>
        <w:t>bold</w:t>
      </w:r>
      <w:r w:rsidR="009B1AE8" w:rsidRPr="00BD7480">
        <w:rPr>
          <w:sz w:val="18"/>
          <w:szCs w:val="18"/>
        </w:rPr>
        <w:t>.</w:t>
      </w:r>
    </w:p>
    <w:p w:rsidR="00FF6C81" w:rsidRPr="006E1729" w:rsidRDefault="00FF6C81" w:rsidP="00FF6C81">
      <w:pPr>
        <w:rPr>
          <w:sz w:val="18"/>
          <w:szCs w:val="18"/>
        </w:rPr>
      </w:pPr>
    </w:p>
    <w:p w:rsidR="002F11C3" w:rsidRDefault="002F11C3" w:rsidP="00496278">
      <w:pPr>
        <w:pStyle w:val="Heading2"/>
        <w:spacing w:before="120" w:after="60"/>
      </w:pPr>
      <w:bookmarkStart w:id="27" w:name="_Toc467143023"/>
      <w:r>
        <w:t>IHT Supplemental Question</w:t>
      </w:r>
      <w:r w:rsidR="002D3F04">
        <w:t xml:space="preserve"> Results</w:t>
      </w:r>
      <w:bookmarkEnd w:id="27"/>
    </w:p>
    <w:p w:rsidR="002F11C3" w:rsidRDefault="004627DB" w:rsidP="00035138">
      <w:pPr>
        <w:spacing w:before="120"/>
      </w:pPr>
      <w:r w:rsidRPr="004627DB">
        <w:rPr>
          <w:b/>
          <w:color w:val="5B9BD5" w:themeColor="accent1"/>
        </w:rPr>
        <w:t>Table 1</w:t>
      </w:r>
      <w:r w:rsidR="00C2310F">
        <w:rPr>
          <w:b/>
          <w:color w:val="5B9BD5" w:themeColor="accent1"/>
        </w:rPr>
        <w:t>9</w:t>
      </w:r>
      <w:r w:rsidR="00FC15E7">
        <w:rPr>
          <w:b/>
          <w:color w:val="5B9BD5" w:themeColor="accent1"/>
        </w:rPr>
        <w:t xml:space="preserve"> </w:t>
      </w:r>
      <w:r w:rsidR="00065CAC" w:rsidRPr="00065CAC">
        <w:t>on the next page</w:t>
      </w:r>
      <w:r w:rsidR="00065CAC">
        <w:rPr>
          <w:b/>
          <w:color w:val="5B9BD5" w:themeColor="accent1"/>
        </w:rPr>
        <w:t xml:space="preserve"> </w:t>
      </w:r>
      <w:r w:rsidR="00FC15E7" w:rsidRPr="00BA1EB5">
        <w:t>s</w:t>
      </w:r>
      <w:r w:rsidR="00FC15E7" w:rsidRPr="001227E6">
        <w:t>ummarizes responses to the eight supplemental questions added to the MPR protocol to ascertain whether care coordination delivered as part of the IHT service was adequate to the</w:t>
      </w:r>
      <w:r w:rsidR="00FC15E7">
        <w:t xml:space="preserve"> needs</w:t>
      </w:r>
      <w:r w:rsidR="002C03C5">
        <w:t xml:space="preserve"> and circumstances of the youth/</w:t>
      </w:r>
      <w:r w:rsidR="00FC15E7">
        <w:t>families</w:t>
      </w:r>
      <w:r w:rsidR="002C03C5">
        <w:t xml:space="preserve"> reviewed</w:t>
      </w:r>
      <w:r w:rsidR="00FC15E7" w:rsidRPr="001227E6">
        <w:t xml:space="preserve">. </w:t>
      </w:r>
      <w:r w:rsidR="00FC15E7">
        <w:t xml:space="preserve"> </w:t>
      </w:r>
      <w:r w:rsidR="00FC15E7" w:rsidRPr="001227E6">
        <w:t xml:space="preserve">As reported in questions 1 and 2, </w:t>
      </w:r>
      <w:r w:rsidR="00656069">
        <w:t>most</w:t>
      </w:r>
      <w:r w:rsidR="00585962">
        <w:t xml:space="preserve"> families</w:t>
      </w:r>
      <w:r w:rsidR="000543FF">
        <w:t>,</w:t>
      </w:r>
      <w:r w:rsidR="00585962">
        <w:t xml:space="preserve"> 64% and 69% respectively</w:t>
      </w:r>
      <w:r w:rsidR="000543FF">
        <w:t>,</w:t>
      </w:r>
      <w:r w:rsidR="00585962">
        <w:t xml:space="preserve"> </w:t>
      </w:r>
      <w:r w:rsidR="00FC15E7" w:rsidRPr="001227E6">
        <w:t xml:space="preserve">did not need a CSA Wraparound care planning team as a result of involvement with </w:t>
      </w:r>
      <w:r w:rsidR="00585962">
        <w:t>providers, state agency,</w:t>
      </w:r>
      <w:r w:rsidR="00FC15E7" w:rsidRPr="001227E6">
        <w:t xml:space="preserve"> special education</w:t>
      </w:r>
      <w:r w:rsidR="002C03C5">
        <w:t>,</w:t>
      </w:r>
      <w:r w:rsidR="00FC15E7" w:rsidRPr="001227E6">
        <w:t xml:space="preserve"> or a combination thereof. </w:t>
      </w:r>
      <w:r w:rsidR="00643EB9">
        <w:t xml:space="preserve">However, </w:t>
      </w:r>
      <w:r w:rsidR="000543FF">
        <w:t xml:space="preserve">reviewers either disagreed </w:t>
      </w:r>
      <w:r w:rsidR="00367B9C">
        <w:t xml:space="preserve">(n=18) </w:t>
      </w:r>
      <w:r w:rsidR="000543FF">
        <w:t xml:space="preserve">or disagreed </w:t>
      </w:r>
      <w:r w:rsidR="002C03C5">
        <w:t xml:space="preserve">very much </w:t>
      </w:r>
      <w:r w:rsidR="00367B9C">
        <w:t>(n=9)</w:t>
      </w:r>
      <w:r w:rsidR="000543FF">
        <w:t xml:space="preserve"> </w:t>
      </w:r>
      <w:r w:rsidR="002C03C5">
        <w:t xml:space="preserve">nearly </w:t>
      </w:r>
      <w:r w:rsidR="00643EB9">
        <w:t xml:space="preserve">half </w:t>
      </w:r>
      <w:r w:rsidR="000543FF">
        <w:t xml:space="preserve">the time </w:t>
      </w:r>
      <w:r w:rsidR="00643EB9">
        <w:t>(4</w:t>
      </w:r>
      <w:r w:rsidR="002C03C5">
        <w:t>6</w:t>
      </w:r>
      <w:r w:rsidR="00643EB9">
        <w:t xml:space="preserve">%) </w:t>
      </w:r>
      <w:r w:rsidR="000543FF">
        <w:t xml:space="preserve">that youth were receiving the </w:t>
      </w:r>
      <w:r w:rsidR="002C03C5">
        <w:t>amount</w:t>
      </w:r>
      <w:r w:rsidR="000543FF">
        <w:t xml:space="preserve"> and quality of care coordination</w:t>
      </w:r>
      <w:r w:rsidR="00367B9C">
        <w:t xml:space="preserve"> required</w:t>
      </w:r>
      <w:r w:rsidR="000543FF">
        <w:t xml:space="preserve">. </w:t>
      </w:r>
      <w:r w:rsidR="00A31FE7">
        <w:t xml:space="preserve">Results also </w:t>
      </w:r>
      <w:r w:rsidR="00643EB9">
        <w:t>demonstrated that 88% (n=52) of youth and families needed coordination with school</w:t>
      </w:r>
      <w:r w:rsidR="002C03C5">
        <w:t xml:space="preserve"> personnel, yet r</w:t>
      </w:r>
      <w:r w:rsidR="000543FF">
        <w:t xml:space="preserve">egular contact with the school occurred </w:t>
      </w:r>
      <w:r w:rsidR="002C03C5">
        <w:t xml:space="preserve">for only </w:t>
      </w:r>
      <w:r w:rsidR="000543FF">
        <w:t>40% (n=21) of the</w:t>
      </w:r>
      <w:r w:rsidR="002C03C5">
        <w:t>se youth/families</w:t>
      </w:r>
      <w:r w:rsidR="000543FF">
        <w:t>. For th</w:t>
      </w:r>
      <w:r w:rsidR="002C03C5">
        <w:t>e</w:t>
      </w:r>
      <w:r w:rsidR="00006F04">
        <w:t xml:space="preserve"> 71%</w:t>
      </w:r>
      <w:r w:rsidR="000543FF">
        <w:t xml:space="preserve"> (n=</w:t>
      </w:r>
      <w:r w:rsidR="00006F04">
        <w:t>42</w:t>
      </w:r>
      <w:r w:rsidR="00FC15E7">
        <w:t xml:space="preserve">) </w:t>
      </w:r>
      <w:r w:rsidR="002C03C5">
        <w:t xml:space="preserve">of youth reviewed who </w:t>
      </w:r>
      <w:r w:rsidR="00FC15E7">
        <w:t xml:space="preserve">required coordination with other </w:t>
      </w:r>
      <w:r w:rsidR="00006F04">
        <w:t xml:space="preserve">service </w:t>
      </w:r>
      <w:r w:rsidR="00FC15E7">
        <w:t xml:space="preserve">providers, </w:t>
      </w:r>
      <w:r w:rsidR="00006F04">
        <w:t xml:space="preserve">reviewers agreed </w:t>
      </w:r>
      <w:r w:rsidR="002C03C5">
        <w:t xml:space="preserve">only </w:t>
      </w:r>
      <w:r w:rsidR="00367B9C">
        <w:t>41%</w:t>
      </w:r>
      <w:r w:rsidR="00FC15E7">
        <w:t xml:space="preserve"> </w:t>
      </w:r>
      <w:r w:rsidR="00006F04">
        <w:t xml:space="preserve">of the time that regular contact </w:t>
      </w:r>
      <w:r w:rsidR="00367B9C">
        <w:t xml:space="preserve">occurred. </w:t>
      </w:r>
      <w:r w:rsidR="00A31FE7" w:rsidRPr="00783EC5">
        <w:t>Most of the youth reviewed</w:t>
      </w:r>
      <w:r w:rsidR="000543FF" w:rsidRPr="00783EC5">
        <w:t xml:space="preserve"> did not require care coordination with state agency staff </w:t>
      </w:r>
      <w:r w:rsidR="00A31FE7" w:rsidRPr="00783EC5">
        <w:t>(</w:t>
      </w:r>
      <w:r w:rsidR="000543FF" w:rsidRPr="00783EC5">
        <w:t xml:space="preserve">68% </w:t>
      </w:r>
      <w:r w:rsidR="00A31FE7" w:rsidRPr="00783EC5">
        <w:t xml:space="preserve">or </w:t>
      </w:r>
      <w:r w:rsidR="000543FF" w:rsidRPr="00783EC5">
        <w:t xml:space="preserve">n=40). </w:t>
      </w:r>
      <w:r w:rsidR="00783EC5" w:rsidRPr="00783EC5">
        <w:t>R</w:t>
      </w:r>
      <w:r w:rsidR="00896613" w:rsidRPr="00783EC5">
        <w:t xml:space="preserve">eviewers reported that </w:t>
      </w:r>
      <w:r w:rsidR="00783EC5" w:rsidRPr="00783EC5">
        <w:t xml:space="preserve">regular </w:t>
      </w:r>
      <w:r w:rsidR="00896613" w:rsidRPr="00783EC5">
        <w:t xml:space="preserve">contact occurred </w:t>
      </w:r>
      <w:r w:rsidR="00783EC5" w:rsidRPr="00783EC5">
        <w:t>for nearly half (</w:t>
      </w:r>
      <w:r w:rsidR="00896613" w:rsidRPr="00783EC5">
        <w:t>48%</w:t>
      </w:r>
      <w:r w:rsidR="00783EC5" w:rsidRPr="00783EC5">
        <w:t xml:space="preserve"> or </w:t>
      </w:r>
      <w:r w:rsidR="00896613" w:rsidRPr="00783EC5">
        <w:t>n=9)</w:t>
      </w:r>
      <w:r w:rsidR="00FC15E7" w:rsidRPr="00783EC5">
        <w:t xml:space="preserve"> </w:t>
      </w:r>
      <w:r w:rsidR="00896613" w:rsidRPr="00783EC5">
        <w:t>of the youth</w:t>
      </w:r>
      <w:r w:rsidR="00783EC5" w:rsidRPr="00783EC5">
        <w:t>/</w:t>
      </w:r>
      <w:r w:rsidR="00896613" w:rsidRPr="00783EC5">
        <w:t>families</w:t>
      </w:r>
      <w:r w:rsidR="00783EC5" w:rsidRPr="00783EC5">
        <w:t xml:space="preserve"> for whom it was indicated</w:t>
      </w:r>
      <w:r w:rsidR="00896613" w:rsidRPr="00783EC5">
        <w:t>.</w:t>
      </w:r>
      <w:r w:rsidR="00896613">
        <w:t xml:space="preserve"> </w:t>
      </w:r>
    </w:p>
    <w:p w:rsidR="002715F9" w:rsidRDefault="002715F9">
      <w:pPr>
        <w:rPr>
          <w:b/>
          <w:color w:val="5B9BD5" w:themeColor="accent1"/>
        </w:rPr>
      </w:pPr>
      <w:r>
        <w:rPr>
          <w:b/>
          <w:color w:val="5B9BD5" w:themeColor="accent1"/>
        </w:rPr>
        <w:br w:type="page"/>
      </w:r>
    </w:p>
    <w:p w:rsidR="001F5D59" w:rsidRPr="00BB1600" w:rsidRDefault="001F5D59" w:rsidP="00035138">
      <w:pPr>
        <w:spacing w:before="80" w:after="40"/>
        <w:jc w:val="center"/>
        <w:rPr>
          <w:b/>
          <w:color w:val="5B9BD5" w:themeColor="accent1"/>
        </w:rPr>
      </w:pPr>
      <w:r w:rsidRPr="004627DB">
        <w:rPr>
          <w:b/>
          <w:color w:val="5B9BD5" w:themeColor="accent1"/>
        </w:rPr>
        <w:lastRenderedPageBreak/>
        <w:t>Table</w:t>
      </w:r>
      <w:r w:rsidR="004627DB" w:rsidRPr="004627DB">
        <w:rPr>
          <w:b/>
          <w:color w:val="5B9BD5" w:themeColor="accent1"/>
        </w:rPr>
        <w:t xml:space="preserve"> 1</w:t>
      </w:r>
      <w:r w:rsidR="00C2310F">
        <w:rPr>
          <w:b/>
          <w:color w:val="5B9BD5" w:themeColor="accent1"/>
        </w:rPr>
        <w:t>9</w:t>
      </w:r>
      <w:r w:rsidRPr="004627DB">
        <w:rPr>
          <w:b/>
          <w:color w:val="5B9BD5" w:themeColor="accent1"/>
        </w:rPr>
        <w:t>: I</w:t>
      </w:r>
      <w:r w:rsidRPr="00B87022">
        <w:rPr>
          <w:b/>
          <w:color w:val="5B9BD5" w:themeColor="accent1"/>
        </w:rPr>
        <w:t>HT Supplemental Question Results</w:t>
      </w:r>
    </w:p>
    <w:tbl>
      <w:tblPr>
        <w:tblStyle w:val="MediumShading1-Accent11"/>
        <w:tblW w:w="1008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4A0" w:firstRow="1" w:lastRow="0" w:firstColumn="1" w:lastColumn="0" w:noHBand="0" w:noVBand="1"/>
      </w:tblPr>
      <w:tblGrid>
        <w:gridCol w:w="2512"/>
        <w:gridCol w:w="26"/>
        <w:gridCol w:w="1496"/>
        <w:gridCol w:w="34"/>
        <w:gridCol w:w="48"/>
        <w:gridCol w:w="1663"/>
        <w:gridCol w:w="22"/>
        <w:gridCol w:w="883"/>
        <w:gridCol w:w="802"/>
        <w:gridCol w:w="7"/>
        <w:gridCol w:w="851"/>
        <w:gridCol w:w="20"/>
        <w:gridCol w:w="1716"/>
      </w:tblGrid>
      <w:tr w:rsidR="001F5D59" w:rsidRPr="0099761D" w:rsidTr="00537C1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316" w:type="pct"/>
            <w:gridSpan w:val="8"/>
            <w:vMerge w:val="restart"/>
            <w:tcBorders>
              <w:top w:val="single" w:sz="12" w:space="0" w:color="0070C0"/>
              <w:left w:val="single" w:sz="8" w:space="0" w:color="0070C0"/>
              <w:bottom w:val="single" w:sz="2" w:space="0" w:color="0070C0"/>
              <w:right w:val="single" w:sz="2" w:space="0" w:color="0070C0"/>
            </w:tcBorders>
            <w:vAlign w:val="bottom"/>
          </w:tcPr>
          <w:p w:rsidR="001F5D59" w:rsidRPr="00E327FF" w:rsidRDefault="001F5D59" w:rsidP="00537C13">
            <w:pPr>
              <w:rPr>
                <w:rFonts w:asciiTheme="minorHAnsi" w:hAnsiTheme="minorHAnsi"/>
                <w:sz w:val="20"/>
                <w:szCs w:val="20"/>
              </w:rPr>
            </w:pPr>
            <w:r w:rsidRPr="00E327FF">
              <w:rPr>
                <w:rFonts w:asciiTheme="minorHAnsi" w:hAnsiTheme="minorHAnsi"/>
                <w:sz w:val="20"/>
                <w:szCs w:val="20"/>
              </w:rPr>
              <w:t>Question</w:t>
            </w:r>
          </w:p>
        </w:tc>
        <w:tc>
          <w:tcPr>
            <w:tcW w:w="1684" w:type="pct"/>
            <w:gridSpan w:val="5"/>
            <w:tcBorders>
              <w:top w:val="single" w:sz="12" w:space="0" w:color="0070C0"/>
              <w:left w:val="single" w:sz="2" w:space="0" w:color="0070C0"/>
              <w:bottom w:val="single" w:sz="2" w:space="0" w:color="0070C0"/>
              <w:right w:val="single" w:sz="8" w:space="0" w:color="0070C0"/>
            </w:tcBorders>
          </w:tcPr>
          <w:p w:rsidR="001F5D59" w:rsidRPr="00E327FF" w:rsidRDefault="001F5D59" w:rsidP="00537C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0"/>
                <w:szCs w:val="20"/>
              </w:rPr>
            </w:pPr>
            <w:r w:rsidRPr="00E327FF">
              <w:rPr>
                <w:rFonts w:asciiTheme="minorHAnsi" w:hAnsiTheme="minorHAnsi"/>
                <w:sz w:val="20"/>
                <w:szCs w:val="20"/>
              </w:rPr>
              <w:t>Results</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3316" w:type="pct"/>
            <w:gridSpan w:val="8"/>
            <w:vMerge/>
            <w:tcBorders>
              <w:top w:val="single" w:sz="2" w:space="0" w:color="0070C0"/>
              <w:left w:val="single" w:sz="8" w:space="0" w:color="0070C0"/>
              <w:bottom w:val="single" w:sz="2" w:space="0" w:color="0070C0"/>
              <w:right w:val="single" w:sz="2" w:space="0" w:color="0070C0"/>
            </w:tcBorders>
          </w:tcPr>
          <w:p w:rsidR="001F5D59" w:rsidRPr="00E327FF" w:rsidRDefault="001F5D59" w:rsidP="00537C13">
            <w:pPr>
              <w:rPr>
                <w:rFonts w:asciiTheme="minorHAnsi" w:hAnsiTheme="minorHAnsi"/>
                <w:sz w:val="20"/>
                <w:szCs w:val="20"/>
              </w:rPr>
            </w:pPr>
          </w:p>
        </w:tc>
        <w:tc>
          <w:tcPr>
            <w:tcW w:w="831" w:type="pct"/>
            <w:gridSpan w:val="4"/>
            <w:tcBorders>
              <w:top w:val="single" w:sz="2" w:space="0" w:color="0070C0"/>
              <w:left w:val="single" w:sz="2" w:space="0" w:color="0070C0"/>
              <w:bottom w:val="single" w:sz="2" w:space="0" w:color="0070C0"/>
              <w:right w:val="single" w:sz="2" w:space="0" w:color="0070C0"/>
            </w:tcBorders>
            <w:shd w:val="clear" w:color="auto" w:fill="5B9BD5" w:themeFill="accent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r w:rsidRPr="00E327FF">
              <w:rPr>
                <w:rFonts w:asciiTheme="minorHAnsi" w:hAnsiTheme="minorHAnsi"/>
                <w:b/>
                <w:color w:val="FFFFFF" w:themeColor="background1"/>
                <w:sz w:val="20"/>
                <w:szCs w:val="20"/>
              </w:rPr>
              <w:t>Response</w:t>
            </w:r>
          </w:p>
        </w:tc>
        <w:tc>
          <w:tcPr>
            <w:tcW w:w="852" w:type="pct"/>
            <w:tcBorders>
              <w:top w:val="single" w:sz="2" w:space="0" w:color="0070C0"/>
              <w:left w:val="single" w:sz="2" w:space="0" w:color="0070C0"/>
              <w:bottom w:val="single" w:sz="2" w:space="0" w:color="0070C0"/>
              <w:right w:val="single" w:sz="8" w:space="0" w:color="0070C0"/>
            </w:tcBorders>
            <w:shd w:val="clear" w:color="auto" w:fill="5B9BD5" w:themeFill="accent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20"/>
                <w:szCs w:val="20"/>
              </w:rPr>
            </w:pPr>
            <w:r w:rsidRPr="00E327FF">
              <w:rPr>
                <w:rFonts w:asciiTheme="minorHAnsi" w:hAnsiTheme="minorHAnsi"/>
                <w:b/>
                <w:color w:val="FFFFFF" w:themeColor="background1"/>
                <w:sz w:val="20"/>
                <w:szCs w:val="20"/>
              </w:rPr>
              <w:t>(n) %</w:t>
            </w:r>
          </w:p>
        </w:tc>
      </w:tr>
      <w:tr w:rsidR="001F5D59" w:rsidRPr="00687824" w:rsidTr="00537C13">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3316" w:type="pct"/>
            <w:gridSpan w:val="8"/>
            <w:tcBorders>
              <w:top w:val="single" w:sz="2" w:space="0" w:color="0070C0"/>
              <w:left w:val="single" w:sz="8" w:space="0" w:color="0070C0"/>
              <w:bottom w:val="single" w:sz="12" w:space="0" w:color="0070C0"/>
              <w:right w:val="single" w:sz="2" w:space="0" w:color="0070C0"/>
            </w:tcBorders>
          </w:tcPr>
          <w:p w:rsidR="001F5D59" w:rsidRPr="00E327FF" w:rsidRDefault="001F5D59" w:rsidP="00537C13">
            <w:pPr>
              <w:ind w:left="270" w:hanging="270"/>
              <w:rPr>
                <w:rFonts w:asciiTheme="minorHAnsi" w:hAnsiTheme="minorHAnsi"/>
                <w:sz w:val="20"/>
                <w:szCs w:val="20"/>
              </w:rPr>
            </w:pPr>
            <w:r w:rsidRPr="00E327FF">
              <w:rPr>
                <w:rFonts w:asciiTheme="minorHAnsi" w:hAnsiTheme="minorHAnsi"/>
                <w:sz w:val="20"/>
                <w:szCs w:val="20"/>
              </w:rPr>
              <w:t xml:space="preserve">1.  </w:t>
            </w:r>
            <w:r w:rsidRPr="00E327FF">
              <w:rPr>
                <w:rFonts w:asciiTheme="minorHAnsi" w:hAnsiTheme="minorHAnsi"/>
                <w:b w:val="0"/>
                <w:sz w:val="20"/>
                <w:szCs w:val="20"/>
              </w:rPr>
              <w:t>Youth needs or receives multiple services from the same or multiple providers AND needs a CSA Wraparound care planning team to coordinate services from multiple providers or state agencies, special education, or a combination thereof.</w:t>
            </w:r>
          </w:p>
        </w:tc>
        <w:tc>
          <w:tcPr>
            <w:tcW w:w="831" w:type="pct"/>
            <w:gridSpan w:val="4"/>
            <w:tcBorders>
              <w:top w:val="single" w:sz="2" w:space="0" w:color="0070C0"/>
              <w:left w:val="single" w:sz="2" w:space="0" w:color="0070C0"/>
              <w:bottom w:val="single" w:sz="12" w:space="0" w:color="0070C0"/>
              <w:right w:val="single" w:sz="2" w:space="0" w:color="0070C0"/>
            </w:tcBorders>
          </w:tcPr>
          <w:p w:rsidR="001F5D59" w:rsidRPr="00E327FF" w:rsidRDefault="00E57F82"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No</w:t>
            </w:r>
          </w:p>
        </w:tc>
        <w:tc>
          <w:tcPr>
            <w:tcW w:w="852" w:type="pct"/>
            <w:tcBorders>
              <w:top w:val="single" w:sz="2" w:space="0" w:color="0070C0"/>
              <w:left w:val="single" w:sz="2" w:space="0" w:color="0070C0"/>
              <w:bottom w:val="single" w:sz="12" w:space="0" w:color="0070C0"/>
              <w:right w:val="single" w:sz="8" w:space="0" w:color="0070C0"/>
            </w:tcBorders>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(38) 64%</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3316" w:type="pct"/>
            <w:gridSpan w:val="8"/>
            <w:tcBorders>
              <w:top w:val="single" w:sz="12" w:space="0" w:color="0070C0"/>
              <w:left w:val="single" w:sz="8" w:space="0" w:color="0070C0"/>
              <w:bottom w:val="single" w:sz="12" w:space="0" w:color="0070C0"/>
              <w:right w:val="single" w:sz="2" w:space="0" w:color="0070C0"/>
            </w:tcBorders>
          </w:tcPr>
          <w:p w:rsidR="001F5D59" w:rsidRPr="00E327FF" w:rsidRDefault="001F5D59" w:rsidP="00537C13">
            <w:pPr>
              <w:ind w:left="270" w:hanging="270"/>
              <w:rPr>
                <w:rFonts w:asciiTheme="minorHAnsi" w:hAnsiTheme="minorHAnsi"/>
                <w:sz w:val="20"/>
                <w:szCs w:val="20"/>
              </w:rPr>
            </w:pPr>
            <w:r w:rsidRPr="00E327FF">
              <w:rPr>
                <w:rFonts w:asciiTheme="minorHAnsi" w:hAnsiTheme="minorHAnsi"/>
                <w:sz w:val="20"/>
                <w:szCs w:val="20"/>
              </w:rPr>
              <w:t xml:space="preserve">2.  </w:t>
            </w:r>
            <w:r w:rsidRPr="00E327FF">
              <w:rPr>
                <w:rFonts w:asciiTheme="minorHAnsi" w:hAnsiTheme="minorHAnsi"/>
                <w:b w:val="0"/>
                <w:sz w:val="20"/>
                <w:szCs w:val="20"/>
              </w:rPr>
              <w:t>Youth needs or receives services from state agencies, special education, or a combination thereof AND needs a CSA Wraparound care planning team to coordinate services from multiple providers or state agencies, special education, or a combination thereof.</w:t>
            </w:r>
          </w:p>
        </w:tc>
        <w:tc>
          <w:tcPr>
            <w:tcW w:w="831" w:type="pct"/>
            <w:gridSpan w:val="4"/>
            <w:tcBorders>
              <w:top w:val="single" w:sz="12" w:space="0" w:color="0070C0"/>
              <w:left w:val="single" w:sz="2" w:space="0" w:color="0070C0"/>
              <w:bottom w:val="single" w:sz="12" w:space="0" w:color="0070C0"/>
              <w:right w:val="single" w:sz="2" w:space="0" w:color="0070C0"/>
            </w:tcBorders>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No</w:t>
            </w:r>
          </w:p>
        </w:tc>
        <w:tc>
          <w:tcPr>
            <w:tcW w:w="852" w:type="pct"/>
            <w:tcBorders>
              <w:top w:val="single" w:sz="12" w:space="0" w:color="0070C0"/>
              <w:left w:val="single" w:sz="2" w:space="0" w:color="0070C0"/>
              <w:bottom w:val="single" w:sz="12" w:space="0" w:color="0070C0"/>
              <w:right w:val="single" w:sz="8" w:space="0" w:color="0070C0"/>
            </w:tcBorders>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(41) 69%</w:t>
            </w:r>
          </w:p>
        </w:tc>
      </w:tr>
      <w:tr w:rsidR="001F5D59" w:rsidRPr="0099761D" w:rsidTr="00537C13">
        <w:trPr>
          <w:cnfStyle w:val="000000010000" w:firstRow="0" w:lastRow="0" w:firstColumn="0" w:lastColumn="0" w:oddVBand="0" w:evenVBand="0" w:oddHBand="0" w:evenHBand="1"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5000" w:type="pct"/>
            <w:gridSpan w:val="13"/>
            <w:tcBorders>
              <w:top w:val="single" w:sz="12" w:space="0" w:color="0070C0"/>
              <w:left w:val="single" w:sz="8" w:space="0" w:color="0070C0"/>
              <w:bottom w:val="nil"/>
              <w:right w:val="single" w:sz="8" w:space="0" w:color="0070C0"/>
            </w:tcBorders>
            <w:shd w:val="clear" w:color="auto" w:fill="FFFFFF" w:themeFill="background1"/>
          </w:tcPr>
          <w:p w:rsidR="001F5D59" w:rsidRPr="00E327FF" w:rsidRDefault="001F5D59" w:rsidP="00537C13">
            <w:pPr>
              <w:rPr>
                <w:rFonts w:asciiTheme="minorHAnsi" w:hAnsiTheme="minorHAnsi"/>
                <w:color w:val="0070C0"/>
                <w:sz w:val="20"/>
                <w:szCs w:val="20"/>
              </w:rPr>
            </w:pPr>
            <w:r w:rsidRPr="00E327FF">
              <w:rPr>
                <w:rFonts w:asciiTheme="minorHAnsi" w:hAnsiTheme="minorHAnsi"/>
                <w:sz w:val="20"/>
                <w:szCs w:val="20"/>
              </w:rPr>
              <w:t xml:space="preserve">3. </w:t>
            </w:r>
            <w:r w:rsidRPr="00E327FF">
              <w:rPr>
                <w:rFonts w:asciiTheme="minorHAnsi" w:hAnsiTheme="minorHAnsi"/>
                <w:b w:val="0"/>
                <w:sz w:val="20"/>
                <w:szCs w:val="20"/>
              </w:rPr>
              <w:t>Youth is receiving the amount and quality of care coordination his/her situation requires.</w:t>
            </w:r>
          </w:p>
        </w:tc>
      </w:tr>
      <w:tr w:rsidR="001F5D59" w:rsidRPr="0099761D" w:rsidTr="00035138">
        <w:trPr>
          <w:cnfStyle w:val="000000100000" w:firstRow="0" w:lastRow="0" w:firstColumn="0" w:lastColumn="0" w:oddVBand="0" w:evenVBand="0" w:oddHBand="1"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246" w:type="pct"/>
            <w:tcBorders>
              <w:top w:val="nil"/>
              <w:left w:val="single" w:sz="8" w:space="0" w:color="0070C0"/>
              <w:bottom w:val="single" w:sz="12" w:space="0" w:color="0070C0"/>
            </w:tcBorders>
            <w:shd w:val="clear" w:color="auto" w:fill="FFFFFF" w:themeFill="background1"/>
          </w:tcPr>
          <w:p w:rsidR="001F5D59" w:rsidRPr="00E327FF" w:rsidRDefault="001F5D59" w:rsidP="00537C13">
            <w:pPr>
              <w:jc w:val="center"/>
              <w:rPr>
                <w:rFonts w:asciiTheme="minorHAnsi" w:hAnsiTheme="minorHAnsi" w:cs="Tahoma"/>
                <w:b w:val="0"/>
                <w:sz w:val="20"/>
                <w:szCs w:val="20"/>
              </w:rPr>
            </w:pPr>
            <w:r w:rsidRPr="00E327FF">
              <w:rPr>
                <w:rFonts w:asciiTheme="minorHAnsi" w:hAnsiTheme="minorHAnsi"/>
                <w:sz w:val="20"/>
                <w:szCs w:val="20"/>
              </w:rPr>
              <w:t>Disagree Very Much</w:t>
            </w:r>
          </w:p>
          <w:p w:rsidR="001F5D59" w:rsidRPr="00E327FF" w:rsidRDefault="001F5D59" w:rsidP="00537C13">
            <w:pPr>
              <w:jc w:val="center"/>
              <w:rPr>
                <w:rFonts w:asciiTheme="minorHAnsi" w:hAnsiTheme="minorHAnsi" w:cs="Tahoma"/>
                <w:b w:val="0"/>
                <w:sz w:val="20"/>
                <w:szCs w:val="20"/>
              </w:rPr>
            </w:pPr>
            <w:r w:rsidRPr="00E327FF">
              <w:rPr>
                <w:rFonts w:asciiTheme="minorHAnsi" w:hAnsiTheme="minorHAnsi"/>
                <w:sz w:val="20"/>
                <w:szCs w:val="20"/>
              </w:rPr>
              <w:t>(n) %</w:t>
            </w:r>
          </w:p>
          <w:p w:rsidR="001F5D59" w:rsidRPr="00E327FF" w:rsidRDefault="001F5D59" w:rsidP="00537C13">
            <w:pPr>
              <w:rPr>
                <w:rFonts w:asciiTheme="minorHAnsi" w:hAnsiTheme="minorHAnsi"/>
                <w:b w:val="0"/>
                <w:bCs w:val="0"/>
                <w:sz w:val="20"/>
                <w:szCs w:val="20"/>
              </w:rPr>
            </w:pPr>
            <w:r w:rsidRPr="00E327FF">
              <w:rPr>
                <w:rFonts w:asciiTheme="minorHAnsi" w:hAnsiTheme="minorHAnsi"/>
                <w:b w:val="0"/>
                <w:bCs w:val="0"/>
                <w:sz w:val="20"/>
                <w:szCs w:val="20"/>
              </w:rPr>
              <w:t xml:space="preserve">                    (9) 15%</w:t>
            </w:r>
          </w:p>
        </w:tc>
        <w:tc>
          <w:tcPr>
            <w:tcW w:w="796" w:type="pct"/>
            <w:gridSpan w:val="4"/>
            <w:tcBorders>
              <w:top w:val="nil"/>
              <w:bottom w:val="single" w:sz="12" w:space="0" w:color="0070C0"/>
            </w:tcBorders>
            <w:shd w:val="clear" w:color="auto" w:fill="FFFFFF" w:themeFill="background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sz w:val="20"/>
                <w:szCs w:val="20"/>
              </w:rPr>
            </w:pPr>
            <w:r w:rsidRPr="00E327FF">
              <w:rPr>
                <w:rFonts w:asciiTheme="minorHAnsi" w:hAnsiTheme="minorHAnsi"/>
                <w:b/>
                <w:sz w:val="20"/>
                <w:szCs w:val="20"/>
              </w:rPr>
              <w:t>Disagree</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sz w:val="20"/>
                <w:szCs w:val="20"/>
              </w:rPr>
            </w:pPr>
            <w:r w:rsidRPr="00E327FF">
              <w:rPr>
                <w:rFonts w:asciiTheme="minorHAnsi" w:hAnsiTheme="minorHAnsi"/>
                <w:b/>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sidRPr="00E327FF">
              <w:rPr>
                <w:rFonts w:asciiTheme="minorHAnsi" w:hAnsiTheme="minorHAnsi"/>
                <w:bCs/>
                <w:sz w:val="20"/>
                <w:szCs w:val="20"/>
              </w:rPr>
              <w:t>(18) 31%</w:t>
            </w:r>
          </w:p>
        </w:tc>
        <w:tc>
          <w:tcPr>
            <w:tcW w:w="836" w:type="pct"/>
            <w:gridSpan w:val="2"/>
            <w:tcBorders>
              <w:top w:val="nil"/>
              <w:bottom w:val="single" w:sz="12" w:space="0" w:color="0070C0"/>
            </w:tcBorders>
            <w:shd w:val="clear" w:color="auto" w:fill="FFFFFF" w:themeFill="background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sz w:val="20"/>
                <w:szCs w:val="20"/>
              </w:rPr>
            </w:pPr>
            <w:r w:rsidRPr="00E327FF">
              <w:rPr>
                <w:rFonts w:asciiTheme="minorHAnsi" w:hAnsiTheme="minorHAnsi"/>
                <w:b/>
                <w:sz w:val="20"/>
                <w:szCs w:val="20"/>
              </w:rPr>
              <w:t>Neither</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sz w:val="20"/>
                <w:szCs w:val="20"/>
              </w:rPr>
            </w:pPr>
            <w:r w:rsidRPr="00E327FF">
              <w:rPr>
                <w:rFonts w:asciiTheme="minorHAnsi" w:hAnsiTheme="minorHAnsi"/>
                <w:b/>
                <w:sz w:val="20"/>
                <w:szCs w:val="20"/>
              </w:rPr>
              <w:t>(n) %</w:t>
            </w:r>
          </w:p>
          <w:p w:rsidR="001F5D59" w:rsidRPr="00E327FF" w:rsidRDefault="001F5D59"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sidRPr="00E327FF">
              <w:rPr>
                <w:rFonts w:asciiTheme="minorHAnsi" w:hAnsiTheme="minorHAnsi" w:cs="Tahoma"/>
                <w:sz w:val="20"/>
                <w:szCs w:val="20"/>
              </w:rPr>
              <w:t xml:space="preserve">      (10) 17%</w:t>
            </w:r>
          </w:p>
        </w:tc>
        <w:tc>
          <w:tcPr>
            <w:tcW w:w="836" w:type="pct"/>
            <w:gridSpan w:val="2"/>
            <w:tcBorders>
              <w:top w:val="nil"/>
              <w:bottom w:val="single" w:sz="12" w:space="0" w:color="0070C0"/>
            </w:tcBorders>
            <w:shd w:val="clear" w:color="auto" w:fill="FFFFFF" w:themeFill="background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sz w:val="20"/>
                <w:szCs w:val="20"/>
              </w:rPr>
            </w:pPr>
            <w:r w:rsidRPr="00E327FF">
              <w:rPr>
                <w:rFonts w:asciiTheme="minorHAnsi" w:hAnsiTheme="minorHAnsi"/>
                <w:b/>
                <w:sz w:val="20"/>
                <w:szCs w:val="20"/>
              </w:rPr>
              <w:t>Agree</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sz w:val="20"/>
                <w:szCs w:val="20"/>
              </w:rPr>
            </w:pPr>
            <w:r w:rsidRPr="00E327FF">
              <w:rPr>
                <w:rFonts w:asciiTheme="minorHAnsi" w:hAnsiTheme="minorHAnsi"/>
                <w:b/>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sidRPr="00E327FF">
              <w:rPr>
                <w:rFonts w:asciiTheme="minorHAnsi" w:hAnsiTheme="minorHAnsi" w:cs="Tahoma"/>
                <w:sz w:val="20"/>
                <w:szCs w:val="20"/>
              </w:rPr>
              <w:t>(18) 31%</w:t>
            </w:r>
          </w:p>
        </w:tc>
        <w:tc>
          <w:tcPr>
            <w:tcW w:w="1287" w:type="pct"/>
            <w:gridSpan w:val="4"/>
            <w:tcBorders>
              <w:top w:val="nil"/>
              <w:bottom w:val="single" w:sz="12" w:space="0" w:color="0070C0"/>
              <w:right w:val="single" w:sz="8" w:space="0" w:color="0070C0"/>
            </w:tcBorders>
            <w:shd w:val="clear" w:color="auto" w:fill="FFFFFF" w:themeFill="background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 w:val="20"/>
                <w:szCs w:val="20"/>
              </w:rPr>
            </w:pPr>
            <w:r w:rsidRPr="00E327FF">
              <w:rPr>
                <w:rFonts w:asciiTheme="minorHAnsi" w:hAnsiTheme="minorHAnsi" w:cs="Tahoma"/>
                <w:b/>
                <w:bCs/>
                <w:sz w:val="20"/>
                <w:szCs w:val="20"/>
              </w:rPr>
              <w:t>Agree Very Much</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 w:val="20"/>
                <w:szCs w:val="20"/>
              </w:rPr>
            </w:pPr>
            <w:r w:rsidRPr="00E327FF">
              <w:rPr>
                <w:rFonts w:asciiTheme="minorHAnsi" w:hAnsiTheme="minorHAnsi" w:cs="Tahoma"/>
                <w:b/>
                <w:bCs/>
                <w:sz w:val="20"/>
                <w:szCs w:val="20"/>
              </w:rPr>
              <w:t>(n) %</w:t>
            </w:r>
          </w:p>
          <w:p w:rsidR="001F5D59" w:rsidRPr="00035138"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sidRPr="00E327FF">
              <w:rPr>
                <w:rFonts w:asciiTheme="minorHAnsi" w:hAnsiTheme="minorHAnsi" w:cs="Tahoma"/>
                <w:sz w:val="20"/>
                <w:szCs w:val="20"/>
              </w:rPr>
              <w:t>(4) 7%</w:t>
            </w:r>
          </w:p>
        </w:tc>
      </w:tr>
      <w:tr w:rsidR="001F5D59" w:rsidRPr="0099761D" w:rsidTr="00537C13">
        <w:trPr>
          <w:cnfStyle w:val="000000010000" w:firstRow="0" w:lastRow="0" w:firstColumn="0" w:lastColumn="0" w:oddVBand="0" w:evenVBand="0" w:oddHBand="0" w:evenHBand="1"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316" w:type="pct"/>
            <w:gridSpan w:val="8"/>
            <w:tcBorders>
              <w:top w:val="single" w:sz="12" w:space="0" w:color="0070C0"/>
              <w:left w:val="single" w:sz="8" w:space="0" w:color="0070C0"/>
              <w:bottom w:val="single" w:sz="12" w:space="0" w:color="0070C0"/>
              <w:right w:val="single" w:sz="2" w:space="0" w:color="0070C0"/>
            </w:tcBorders>
            <w:shd w:val="clear" w:color="auto" w:fill="DEEAF6" w:themeFill="accent1" w:themeFillTint="33"/>
          </w:tcPr>
          <w:p w:rsidR="001F5D59" w:rsidRPr="00E327FF" w:rsidRDefault="001F5D59" w:rsidP="001F5D59">
            <w:pPr>
              <w:pStyle w:val="ListParagraph"/>
              <w:numPr>
                <w:ilvl w:val="0"/>
                <w:numId w:val="5"/>
              </w:numPr>
              <w:ind w:left="216" w:hanging="234"/>
              <w:rPr>
                <w:rFonts w:asciiTheme="minorHAnsi" w:hAnsiTheme="minorHAnsi"/>
                <w:b w:val="0"/>
                <w:bCs w:val="0"/>
                <w:sz w:val="20"/>
                <w:szCs w:val="20"/>
              </w:rPr>
            </w:pPr>
            <w:r w:rsidRPr="00E327FF">
              <w:rPr>
                <w:rFonts w:asciiTheme="minorHAnsi" w:hAnsiTheme="minorHAnsi"/>
                <w:b w:val="0"/>
                <w:sz w:val="20"/>
                <w:szCs w:val="20"/>
              </w:rPr>
              <w:t>Has the youth previously been enrolled in ICC?</w:t>
            </w:r>
          </w:p>
        </w:tc>
        <w:tc>
          <w:tcPr>
            <w:tcW w:w="831" w:type="pct"/>
            <w:gridSpan w:val="4"/>
            <w:tcBorders>
              <w:top w:val="single" w:sz="12" w:space="0" w:color="0070C0"/>
              <w:left w:val="single" w:sz="2" w:space="0" w:color="0070C0"/>
              <w:bottom w:val="single" w:sz="12" w:space="0" w:color="0070C0"/>
              <w:right w:val="single" w:sz="2" w:space="0" w:color="0070C0"/>
            </w:tcBorders>
            <w:shd w:val="clear" w:color="auto" w:fill="DEEAF6" w:themeFill="accent1" w:themeFillTint="33"/>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No</w:t>
            </w:r>
          </w:p>
        </w:tc>
        <w:tc>
          <w:tcPr>
            <w:tcW w:w="852" w:type="pct"/>
            <w:tcBorders>
              <w:top w:val="single" w:sz="12" w:space="0" w:color="0070C0"/>
              <w:left w:val="single" w:sz="2" w:space="0" w:color="0070C0"/>
              <w:bottom w:val="single" w:sz="12" w:space="0" w:color="0070C0"/>
              <w:right w:val="single" w:sz="8" w:space="0" w:color="0070C0"/>
            </w:tcBorders>
            <w:shd w:val="clear" w:color="auto" w:fill="DEEAF6" w:themeFill="accent1" w:themeFillTint="33"/>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(49) 83%</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3316" w:type="pct"/>
            <w:gridSpan w:val="8"/>
            <w:tcBorders>
              <w:top w:val="single" w:sz="12" w:space="0" w:color="0070C0"/>
              <w:left w:val="single" w:sz="8" w:space="0" w:color="0070C0"/>
              <w:bottom w:val="single" w:sz="2" w:space="0" w:color="0070C0"/>
              <w:right w:val="single" w:sz="2" w:space="0" w:color="0070C0"/>
            </w:tcBorders>
            <w:shd w:val="clear" w:color="auto" w:fill="FFFFFF" w:themeFill="background1"/>
          </w:tcPr>
          <w:p w:rsidR="001F5D59" w:rsidRPr="00E327FF" w:rsidRDefault="001F5D59" w:rsidP="00537C13">
            <w:pPr>
              <w:ind w:left="450" w:hanging="450"/>
              <w:rPr>
                <w:rFonts w:asciiTheme="minorHAnsi" w:hAnsiTheme="minorHAnsi"/>
                <w:b w:val="0"/>
                <w:sz w:val="20"/>
                <w:szCs w:val="20"/>
              </w:rPr>
            </w:pPr>
            <w:r w:rsidRPr="00E327FF">
              <w:rPr>
                <w:rFonts w:asciiTheme="minorHAnsi" w:hAnsiTheme="minorHAnsi"/>
                <w:sz w:val="20"/>
                <w:szCs w:val="20"/>
              </w:rPr>
              <w:t xml:space="preserve">5 a.) </w:t>
            </w:r>
            <w:r w:rsidRPr="00E327FF">
              <w:rPr>
                <w:rFonts w:asciiTheme="minorHAnsi" w:hAnsiTheme="minorHAnsi"/>
                <w:b w:val="0"/>
                <w:sz w:val="20"/>
                <w:szCs w:val="20"/>
              </w:rPr>
              <w:t>According to the CAREGIVER, has the IHT team ever discussed the option of ICC with the youth/family?*</w:t>
            </w:r>
          </w:p>
        </w:tc>
        <w:tc>
          <w:tcPr>
            <w:tcW w:w="831" w:type="pct"/>
            <w:gridSpan w:val="4"/>
            <w:tcBorders>
              <w:top w:val="single" w:sz="12" w:space="0" w:color="0070C0"/>
              <w:left w:val="single" w:sz="2" w:space="0" w:color="0070C0"/>
              <w:bottom w:val="single" w:sz="2" w:space="0" w:color="0070C0"/>
              <w:right w:val="single" w:sz="2" w:space="0" w:color="0070C0"/>
            </w:tcBorders>
            <w:shd w:val="clear" w:color="auto" w:fill="FFFFFF" w:themeFill="background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Yes</w:t>
            </w:r>
          </w:p>
        </w:tc>
        <w:tc>
          <w:tcPr>
            <w:tcW w:w="852" w:type="pct"/>
            <w:tcBorders>
              <w:top w:val="single" w:sz="12" w:space="0" w:color="0070C0"/>
              <w:left w:val="single" w:sz="2" w:space="0" w:color="0070C0"/>
              <w:bottom w:val="single" w:sz="2" w:space="0" w:color="0070C0"/>
              <w:right w:val="single" w:sz="8" w:space="0" w:color="0070C0"/>
            </w:tcBorders>
            <w:shd w:val="clear" w:color="auto" w:fill="FFFFFF" w:themeFill="background1"/>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(26) 50%</w:t>
            </w:r>
          </w:p>
        </w:tc>
      </w:tr>
      <w:tr w:rsidR="001F5D59" w:rsidRPr="0099761D" w:rsidTr="00537C13">
        <w:trPr>
          <w:cnfStyle w:val="000000010000" w:firstRow="0" w:lastRow="0" w:firstColumn="0" w:lastColumn="0" w:oddVBand="0" w:evenVBand="0" w:oddHBand="0" w:evenHBand="1"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3316" w:type="pct"/>
            <w:gridSpan w:val="8"/>
            <w:tcBorders>
              <w:top w:val="single" w:sz="2" w:space="0" w:color="0070C0"/>
              <w:left w:val="single" w:sz="8" w:space="0" w:color="0070C0"/>
              <w:bottom w:val="single" w:sz="12" w:space="0" w:color="0070C0"/>
              <w:right w:val="single" w:sz="2" w:space="0" w:color="0070C0"/>
            </w:tcBorders>
            <w:shd w:val="clear" w:color="auto" w:fill="FFFFFF" w:themeFill="background1"/>
          </w:tcPr>
          <w:p w:rsidR="001F5D59" w:rsidRPr="00E327FF" w:rsidRDefault="001F5D59" w:rsidP="00537C13">
            <w:pPr>
              <w:ind w:left="450" w:hanging="450"/>
              <w:rPr>
                <w:rFonts w:asciiTheme="minorHAnsi" w:hAnsiTheme="minorHAnsi"/>
                <w:sz w:val="20"/>
                <w:szCs w:val="20"/>
              </w:rPr>
            </w:pPr>
            <w:r w:rsidRPr="00E327FF">
              <w:rPr>
                <w:rFonts w:asciiTheme="minorHAnsi" w:hAnsiTheme="minorHAnsi"/>
                <w:sz w:val="20"/>
                <w:szCs w:val="20"/>
              </w:rPr>
              <w:t xml:space="preserve">5 b.) </w:t>
            </w:r>
            <w:r w:rsidRPr="00E327FF">
              <w:rPr>
                <w:rFonts w:asciiTheme="minorHAnsi" w:hAnsiTheme="minorHAnsi"/>
                <w:b w:val="0"/>
                <w:sz w:val="20"/>
                <w:szCs w:val="20"/>
              </w:rPr>
              <w:t>According to the IHT Clinician, has the team ever discussed the option of ICC with the youth/family?</w:t>
            </w:r>
            <w:r w:rsidR="004627DB">
              <w:rPr>
                <w:rFonts w:asciiTheme="minorHAnsi" w:hAnsiTheme="minorHAnsi"/>
                <w:b w:val="0"/>
                <w:sz w:val="20"/>
                <w:szCs w:val="20"/>
              </w:rPr>
              <w:t>*</w:t>
            </w:r>
          </w:p>
        </w:tc>
        <w:tc>
          <w:tcPr>
            <w:tcW w:w="831" w:type="pct"/>
            <w:gridSpan w:val="4"/>
            <w:tcBorders>
              <w:top w:val="single" w:sz="2" w:space="0" w:color="0070C0"/>
              <w:left w:val="single" w:sz="2" w:space="0" w:color="0070C0"/>
              <w:bottom w:val="single" w:sz="12" w:space="0" w:color="0070C0"/>
              <w:right w:val="single" w:sz="2"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Yes</w:t>
            </w:r>
          </w:p>
        </w:tc>
        <w:tc>
          <w:tcPr>
            <w:tcW w:w="852" w:type="pct"/>
            <w:tcBorders>
              <w:top w:val="single" w:sz="2" w:space="0" w:color="0070C0"/>
              <w:left w:val="single" w:sz="2" w:space="0" w:color="0070C0"/>
              <w:bottom w:val="single" w:sz="12" w:space="0" w:color="0070C0"/>
              <w:right w:val="single" w:sz="8"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(30) 58%</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316" w:type="pct"/>
            <w:gridSpan w:val="8"/>
            <w:tcBorders>
              <w:top w:val="single" w:sz="12" w:space="0" w:color="0070C0"/>
              <w:left w:val="single" w:sz="8" w:space="0" w:color="0070C0"/>
              <w:bottom w:val="single" w:sz="2" w:space="0" w:color="0070C0"/>
              <w:right w:val="single" w:sz="2" w:space="0" w:color="0070C0"/>
            </w:tcBorders>
            <w:shd w:val="clear" w:color="auto" w:fill="DEEAF6" w:themeFill="accent1" w:themeFillTint="33"/>
          </w:tcPr>
          <w:p w:rsidR="001F5D59" w:rsidRPr="00E327FF" w:rsidRDefault="001F5D59" w:rsidP="00537C13">
            <w:pPr>
              <w:ind w:left="450" w:hanging="450"/>
              <w:rPr>
                <w:rFonts w:asciiTheme="minorHAnsi" w:hAnsiTheme="minorHAnsi"/>
                <w:sz w:val="20"/>
                <w:szCs w:val="20"/>
              </w:rPr>
            </w:pPr>
            <w:r w:rsidRPr="00E327FF">
              <w:rPr>
                <w:rFonts w:asciiTheme="minorHAnsi" w:hAnsiTheme="minorHAnsi"/>
                <w:sz w:val="20"/>
                <w:szCs w:val="20"/>
              </w:rPr>
              <w:t xml:space="preserve">6 a.) </w:t>
            </w:r>
            <w:r w:rsidRPr="00E327FF">
              <w:rPr>
                <w:rFonts w:asciiTheme="minorHAnsi" w:hAnsiTheme="minorHAnsi"/>
                <w:b w:val="0"/>
                <w:sz w:val="20"/>
                <w:szCs w:val="20"/>
              </w:rPr>
              <w:t>Youth and family need the IHT provider to coordinate/ collaborate with school personnel.</w:t>
            </w:r>
          </w:p>
        </w:tc>
        <w:tc>
          <w:tcPr>
            <w:tcW w:w="831" w:type="pct"/>
            <w:gridSpan w:val="4"/>
            <w:tcBorders>
              <w:top w:val="single" w:sz="12" w:space="0" w:color="0070C0"/>
              <w:left w:val="single" w:sz="2" w:space="0" w:color="0070C0"/>
              <w:bottom w:val="single" w:sz="2" w:space="0" w:color="0070C0"/>
              <w:right w:val="single" w:sz="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Yes</w:t>
            </w:r>
          </w:p>
        </w:tc>
        <w:tc>
          <w:tcPr>
            <w:tcW w:w="852" w:type="pct"/>
            <w:tcBorders>
              <w:top w:val="single" w:sz="12" w:space="0" w:color="0070C0"/>
              <w:left w:val="single" w:sz="2" w:space="0" w:color="0070C0"/>
              <w:bottom w:val="single" w:sz="2" w:space="0" w:color="0070C0"/>
              <w:right w:val="single" w:sz="8"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(52) 88%</w:t>
            </w:r>
          </w:p>
        </w:tc>
      </w:tr>
      <w:tr w:rsidR="001F5D59" w:rsidRPr="0099761D" w:rsidTr="00537C13">
        <w:trPr>
          <w:cnfStyle w:val="000000010000" w:firstRow="0" w:lastRow="0" w:firstColumn="0" w:lastColumn="0" w:oddVBand="0" w:evenVBand="0" w:oddHBand="0" w:evenHBand="1"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000" w:type="pct"/>
            <w:gridSpan w:val="13"/>
            <w:tcBorders>
              <w:left w:val="single" w:sz="8" w:space="0" w:color="0070C0"/>
              <w:bottom w:val="nil"/>
              <w:right w:val="single" w:sz="8" w:space="0" w:color="0070C0"/>
            </w:tcBorders>
            <w:shd w:val="clear" w:color="auto" w:fill="DEEAF6" w:themeFill="accent1" w:themeFillTint="33"/>
          </w:tcPr>
          <w:p w:rsidR="001F5D59" w:rsidRPr="00E327FF" w:rsidRDefault="001F5D59" w:rsidP="00537C13">
            <w:pPr>
              <w:rPr>
                <w:rFonts w:asciiTheme="minorHAnsi" w:hAnsiTheme="minorHAnsi"/>
                <w:sz w:val="20"/>
                <w:szCs w:val="20"/>
              </w:rPr>
            </w:pPr>
            <w:r w:rsidRPr="00E327FF">
              <w:rPr>
                <w:rFonts w:asciiTheme="minorHAnsi" w:hAnsiTheme="minorHAnsi"/>
                <w:sz w:val="20"/>
                <w:szCs w:val="20"/>
              </w:rPr>
              <w:t xml:space="preserve">6 b.) </w:t>
            </w:r>
            <w:r w:rsidRPr="00E327FF">
              <w:rPr>
                <w:rFonts w:asciiTheme="minorHAnsi" w:hAnsiTheme="minorHAnsi"/>
                <w:b w:val="0"/>
                <w:sz w:val="20"/>
                <w:szCs w:val="20"/>
              </w:rPr>
              <w:t>If yes, the IHT is in regular contact with school personnel involved with the youth and family.*</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1246" w:type="pct"/>
            <w:tcBorders>
              <w:top w:val="nil"/>
              <w:left w:val="single" w:sz="8" w:space="0" w:color="0070C0"/>
              <w:bottom w:val="single" w:sz="12" w:space="0" w:color="0070C0"/>
            </w:tcBorders>
            <w:shd w:val="clear" w:color="auto" w:fill="DEEAF6" w:themeFill="accent1" w:themeFillTint="33"/>
          </w:tcPr>
          <w:p w:rsidR="001F5D59" w:rsidRPr="00E327FF" w:rsidRDefault="001F5D59" w:rsidP="00537C13">
            <w:pPr>
              <w:jc w:val="center"/>
              <w:rPr>
                <w:rFonts w:asciiTheme="minorHAnsi" w:hAnsiTheme="minorHAnsi"/>
                <w:b w:val="0"/>
                <w:sz w:val="20"/>
                <w:szCs w:val="20"/>
              </w:rPr>
            </w:pPr>
            <w:r w:rsidRPr="00E327FF">
              <w:rPr>
                <w:rFonts w:asciiTheme="minorHAnsi" w:hAnsiTheme="minorHAnsi"/>
                <w:sz w:val="20"/>
                <w:szCs w:val="20"/>
              </w:rPr>
              <w:t>Disagree Very Much</w:t>
            </w:r>
          </w:p>
          <w:p w:rsidR="001F5D59" w:rsidRPr="00E327FF" w:rsidRDefault="001F5D59" w:rsidP="00537C13">
            <w:pPr>
              <w:jc w:val="center"/>
              <w:rPr>
                <w:rFonts w:asciiTheme="minorHAnsi" w:hAnsiTheme="minorHAnsi"/>
                <w:sz w:val="20"/>
                <w:szCs w:val="20"/>
              </w:rPr>
            </w:pPr>
            <w:r w:rsidRPr="00E327FF">
              <w:rPr>
                <w:rFonts w:asciiTheme="minorHAnsi" w:hAnsiTheme="minorHAnsi"/>
                <w:sz w:val="20"/>
                <w:szCs w:val="20"/>
              </w:rPr>
              <w:t>(n) %</w:t>
            </w:r>
          </w:p>
          <w:p w:rsidR="001F5D59" w:rsidRPr="00E327FF" w:rsidRDefault="001F5D59" w:rsidP="00537C13">
            <w:pPr>
              <w:jc w:val="center"/>
              <w:rPr>
                <w:rFonts w:asciiTheme="minorHAnsi" w:hAnsiTheme="minorHAnsi"/>
                <w:b w:val="0"/>
                <w:sz w:val="20"/>
                <w:szCs w:val="20"/>
              </w:rPr>
            </w:pPr>
            <w:r w:rsidRPr="00E327FF">
              <w:rPr>
                <w:rFonts w:asciiTheme="minorHAnsi" w:hAnsiTheme="minorHAnsi"/>
                <w:b w:val="0"/>
                <w:sz w:val="20"/>
                <w:szCs w:val="20"/>
              </w:rPr>
              <w:t>(9) 17%</w:t>
            </w:r>
          </w:p>
        </w:tc>
        <w:tc>
          <w:tcPr>
            <w:tcW w:w="796" w:type="pct"/>
            <w:gridSpan w:val="4"/>
            <w:tcBorders>
              <w:top w:val="nil"/>
              <w:bottom w:val="single" w:sz="1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Disagree</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(15) 29%</w:t>
            </w:r>
          </w:p>
        </w:tc>
        <w:tc>
          <w:tcPr>
            <w:tcW w:w="836" w:type="pct"/>
            <w:gridSpan w:val="2"/>
            <w:tcBorders>
              <w:top w:val="nil"/>
              <w:bottom w:val="single" w:sz="1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Neither</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(7) 13%</w:t>
            </w:r>
          </w:p>
        </w:tc>
        <w:tc>
          <w:tcPr>
            <w:tcW w:w="836" w:type="pct"/>
            <w:gridSpan w:val="2"/>
            <w:tcBorders>
              <w:top w:val="nil"/>
              <w:bottom w:val="single" w:sz="1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Agree</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(21) 40%</w:t>
            </w:r>
          </w:p>
        </w:tc>
        <w:tc>
          <w:tcPr>
            <w:tcW w:w="1287" w:type="pct"/>
            <w:gridSpan w:val="4"/>
            <w:tcBorders>
              <w:top w:val="nil"/>
              <w:bottom w:val="single" w:sz="12" w:space="0" w:color="0070C0"/>
              <w:right w:val="single" w:sz="8"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sz w:val="20"/>
                <w:szCs w:val="20"/>
              </w:rPr>
              <w:t>Agree Very Much</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E327FF">
              <w:rPr>
                <w:rFonts w:asciiTheme="minorHAnsi" w:hAnsiTheme="minorHAnsi"/>
                <w:b/>
                <w:bCs/>
                <w:sz w:val="20"/>
                <w:szCs w:val="20"/>
              </w:rPr>
              <w:t xml:space="preserve">                        </w:t>
            </w:r>
            <w:r w:rsidRPr="00E327FF">
              <w:rPr>
                <w:rFonts w:asciiTheme="minorHAnsi" w:hAnsiTheme="minorHAnsi"/>
                <w:bCs/>
                <w:sz w:val="20"/>
                <w:szCs w:val="20"/>
              </w:rPr>
              <w:t>–</w:t>
            </w:r>
          </w:p>
        </w:tc>
      </w:tr>
      <w:tr w:rsidR="001F5D59" w:rsidRPr="0099761D" w:rsidTr="00537C13">
        <w:trPr>
          <w:cnfStyle w:val="000000010000" w:firstRow="0" w:lastRow="0" w:firstColumn="0" w:lastColumn="0" w:oddVBand="0" w:evenVBand="0" w:oddHBand="0" w:evenHBand="1" w:firstRowFirstColumn="0" w:firstRowLastColumn="0" w:lastRowFirstColumn="0" w:lastRowLastColumn="0"/>
          <w:trHeight w:val="627"/>
          <w:jc w:val="center"/>
        </w:trPr>
        <w:tc>
          <w:tcPr>
            <w:cnfStyle w:val="001000000000" w:firstRow="0" w:lastRow="0" w:firstColumn="1" w:lastColumn="0" w:oddVBand="0" w:evenVBand="0" w:oddHBand="0" w:evenHBand="0" w:firstRowFirstColumn="0" w:firstRowLastColumn="0" w:lastRowFirstColumn="0" w:lastRowLastColumn="0"/>
            <w:tcW w:w="3713" w:type="pct"/>
            <w:gridSpan w:val="9"/>
            <w:tcBorders>
              <w:top w:val="single" w:sz="12" w:space="0" w:color="0070C0"/>
              <w:left w:val="single" w:sz="8" w:space="0" w:color="0070C0"/>
              <w:bottom w:val="single" w:sz="2" w:space="0" w:color="0070C0"/>
              <w:right w:val="single" w:sz="2" w:space="0" w:color="0070C0"/>
            </w:tcBorders>
            <w:shd w:val="clear" w:color="auto" w:fill="FFFFFF" w:themeFill="background1"/>
          </w:tcPr>
          <w:p w:rsidR="001F5D59" w:rsidRPr="00E327FF" w:rsidRDefault="001F5D59" w:rsidP="00537C13">
            <w:pPr>
              <w:ind w:left="450" w:hanging="450"/>
              <w:rPr>
                <w:rFonts w:asciiTheme="minorHAnsi" w:hAnsiTheme="minorHAnsi"/>
                <w:b w:val="0"/>
                <w:bCs w:val="0"/>
                <w:sz w:val="20"/>
                <w:szCs w:val="20"/>
              </w:rPr>
            </w:pPr>
            <w:r w:rsidRPr="00E327FF">
              <w:rPr>
                <w:rFonts w:asciiTheme="minorHAnsi" w:hAnsiTheme="minorHAnsi"/>
                <w:sz w:val="20"/>
                <w:szCs w:val="20"/>
              </w:rPr>
              <w:t xml:space="preserve">7 a.) </w:t>
            </w:r>
            <w:r w:rsidRPr="00E327FF">
              <w:rPr>
                <w:rFonts w:asciiTheme="minorHAnsi" w:hAnsiTheme="minorHAnsi"/>
                <w:b w:val="0"/>
                <w:sz w:val="20"/>
                <w:szCs w:val="20"/>
              </w:rPr>
              <w:t>Youth and family need the IHT provider to coordinate/ collaborate with other service providers (e.g. TM, OP, psychiatry, etc.)</w:t>
            </w:r>
            <w:r w:rsidRPr="00E327FF">
              <w:rPr>
                <w:rFonts w:asciiTheme="minorHAnsi" w:hAnsiTheme="minorHAnsi"/>
                <w:b w:val="0"/>
                <w:sz w:val="20"/>
                <w:szCs w:val="20"/>
              </w:rPr>
              <w:tab/>
            </w:r>
          </w:p>
        </w:tc>
        <w:tc>
          <w:tcPr>
            <w:tcW w:w="435" w:type="pct"/>
            <w:gridSpan w:val="3"/>
            <w:tcBorders>
              <w:top w:val="single" w:sz="12" w:space="0" w:color="0070C0"/>
              <w:left w:val="single" w:sz="2" w:space="0" w:color="0070C0"/>
              <w:bottom w:val="single" w:sz="2" w:space="0" w:color="0070C0"/>
              <w:right w:val="single" w:sz="2"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Yes</w:t>
            </w:r>
          </w:p>
        </w:tc>
        <w:tc>
          <w:tcPr>
            <w:tcW w:w="852" w:type="pct"/>
            <w:tcBorders>
              <w:top w:val="single" w:sz="12" w:space="0" w:color="0070C0"/>
              <w:left w:val="single" w:sz="2" w:space="0" w:color="0070C0"/>
              <w:bottom w:val="single" w:sz="2" w:space="0" w:color="0070C0"/>
              <w:right w:val="single" w:sz="8"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(42) 71%</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5000" w:type="pct"/>
            <w:gridSpan w:val="13"/>
            <w:tcBorders>
              <w:top w:val="single" w:sz="2" w:space="0" w:color="0070C0"/>
              <w:left w:val="single" w:sz="8" w:space="0" w:color="0070C0"/>
              <w:bottom w:val="nil"/>
              <w:right w:val="single" w:sz="8" w:space="0" w:color="0070C0"/>
            </w:tcBorders>
            <w:shd w:val="clear" w:color="auto" w:fill="FFFFFF" w:themeFill="background1"/>
          </w:tcPr>
          <w:p w:rsidR="001F5D59" w:rsidRPr="00E327FF" w:rsidRDefault="001F5D59" w:rsidP="00537C13">
            <w:pPr>
              <w:ind w:left="450" w:hanging="450"/>
              <w:rPr>
                <w:rFonts w:asciiTheme="minorHAnsi" w:hAnsiTheme="minorHAnsi"/>
                <w:sz w:val="20"/>
                <w:szCs w:val="20"/>
              </w:rPr>
            </w:pPr>
            <w:r w:rsidRPr="00E327FF">
              <w:rPr>
                <w:rFonts w:asciiTheme="minorHAnsi" w:hAnsiTheme="minorHAnsi"/>
                <w:sz w:val="20"/>
                <w:szCs w:val="20"/>
              </w:rPr>
              <w:t xml:space="preserve">7 b.) </w:t>
            </w:r>
            <w:r w:rsidRPr="00E327FF">
              <w:rPr>
                <w:rFonts w:asciiTheme="minorHAnsi" w:hAnsiTheme="minorHAnsi"/>
                <w:b w:val="0"/>
                <w:sz w:val="20"/>
                <w:szCs w:val="20"/>
              </w:rPr>
              <w:t>If yes, the IHT is in regular contact with other providers (e.g. TM, OP, psychiatry, etc.) involved with the youth and family.*</w:t>
            </w:r>
          </w:p>
        </w:tc>
      </w:tr>
      <w:tr w:rsidR="001F5D59" w:rsidRPr="0099761D" w:rsidTr="00035138">
        <w:trPr>
          <w:cnfStyle w:val="000000010000" w:firstRow="0" w:lastRow="0" w:firstColumn="0" w:lastColumn="0" w:oddVBand="0" w:evenVBand="0" w:oddHBand="0" w:evenHBand="1"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259" w:type="pct"/>
            <w:gridSpan w:val="2"/>
            <w:tcBorders>
              <w:top w:val="nil"/>
              <w:left w:val="single" w:sz="8" w:space="0" w:color="0070C0"/>
              <w:bottom w:val="single" w:sz="12" w:space="0" w:color="0070C0"/>
            </w:tcBorders>
            <w:shd w:val="clear" w:color="auto" w:fill="FFFFFF" w:themeFill="background1"/>
          </w:tcPr>
          <w:p w:rsidR="001F5D59" w:rsidRPr="00E327FF" w:rsidRDefault="001F5D59" w:rsidP="00537C13">
            <w:pPr>
              <w:ind w:left="430" w:hanging="430"/>
              <w:jc w:val="center"/>
              <w:rPr>
                <w:rFonts w:asciiTheme="minorHAnsi" w:hAnsiTheme="minorHAnsi"/>
                <w:b w:val="0"/>
                <w:bCs w:val="0"/>
                <w:sz w:val="20"/>
                <w:szCs w:val="20"/>
              </w:rPr>
            </w:pPr>
            <w:r w:rsidRPr="00E327FF">
              <w:rPr>
                <w:rFonts w:asciiTheme="minorHAnsi" w:hAnsiTheme="minorHAnsi"/>
                <w:sz w:val="20"/>
                <w:szCs w:val="20"/>
              </w:rPr>
              <w:t>Disagree Very Much</w:t>
            </w:r>
          </w:p>
          <w:p w:rsidR="001F5D59" w:rsidRPr="00E327FF" w:rsidRDefault="001F5D59" w:rsidP="00537C13">
            <w:pPr>
              <w:jc w:val="center"/>
              <w:rPr>
                <w:rFonts w:asciiTheme="minorHAnsi" w:hAnsiTheme="minorHAnsi"/>
                <w:sz w:val="20"/>
                <w:szCs w:val="20"/>
              </w:rPr>
            </w:pPr>
            <w:r w:rsidRPr="00E327FF">
              <w:rPr>
                <w:rFonts w:asciiTheme="minorHAnsi" w:hAnsiTheme="minorHAnsi"/>
                <w:sz w:val="20"/>
                <w:szCs w:val="20"/>
              </w:rPr>
              <w:t>(n) %</w:t>
            </w:r>
          </w:p>
          <w:p w:rsidR="001F5D59" w:rsidRPr="00E327FF" w:rsidRDefault="001F5D59" w:rsidP="00537C13">
            <w:pPr>
              <w:jc w:val="center"/>
              <w:rPr>
                <w:rFonts w:asciiTheme="minorHAnsi" w:hAnsiTheme="minorHAnsi"/>
                <w:b w:val="0"/>
                <w:bCs w:val="0"/>
                <w:sz w:val="20"/>
                <w:szCs w:val="20"/>
              </w:rPr>
            </w:pPr>
            <w:r w:rsidRPr="00E327FF">
              <w:rPr>
                <w:rFonts w:asciiTheme="minorHAnsi" w:hAnsiTheme="minorHAnsi"/>
                <w:b w:val="0"/>
                <w:bCs w:val="0"/>
                <w:sz w:val="20"/>
                <w:szCs w:val="20"/>
              </w:rPr>
              <w:t>(4) 10%</w:t>
            </w:r>
          </w:p>
        </w:tc>
        <w:tc>
          <w:tcPr>
            <w:tcW w:w="759" w:type="pct"/>
            <w:gridSpan w:val="2"/>
            <w:tcBorders>
              <w:top w:val="nil"/>
              <w:bottom w:val="single" w:sz="12"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Disagree</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bCs/>
                <w:sz w:val="20"/>
                <w:szCs w:val="20"/>
              </w:rPr>
              <w:t>(14) 33%</w:t>
            </w:r>
          </w:p>
        </w:tc>
        <w:tc>
          <w:tcPr>
            <w:tcW w:w="849" w:type="pct"/>
            <w:gridSpan w:val="2"/>
            <w:tcBorders>
              <w:top w:val="nil"/>
              <w:bottom w:val="single" w:sz="12"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Neither</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(7) 17%</w:t>
            </w:r>
          </w:p>
        </w:tc>
        <w:tc>
          <w:tcPr>
            <w:tcW w:w="850" w:type="pct"/>
            <w:gridSpan w:val="4"/>
            <w:tcBorders>
              <w:top w:val="nil"/>
              <w:bottom w:val="single" w:sz="12"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Agree</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(15) 36%</w:t>
            </w:r>
          </w:p>
        </w:tc>
        <w:tc>
          <w:tcPr>
            <w:tcW w:w="1283" w:type="pct"/>
            <w:gridSpan w:val="3"/>
            <w:tcBorders>
              <w:top w:val="nil"/>
              <w:bottom w:val="single" w:sz="12" w:space="0" w:color="0070C0"/>
              <w:right w:val="single" w:sz="8" w:space="0" w:color="0070C0"/>
            </w:tcBorders>
            <w:shd w:val="clear" w:color="auto" w:fill="FFFFFF" w:themeFill="background1"/>
          </w:tcPr>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Agree Very Much</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(2) 5%</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713" w:type="pct"/>
            <w:gridSpan w:val="9"/>
            <w:tcBorders>
              <w:top w:val="single" w:sz="12" w:space="0" w:color="0070C0"/>
              <w:left w:val="single" w:sz="8" w:space="0" w:color="0070C0"/>
              <w:bottom w:val="single" w:sz="2" w:space="0" w:color="0070C0"/>
            </w:tcBorders>
            <w:shd w:val="clear" w:color="auto" w:fill="DEEAF6" w:themeFill="accent1" w:themeFillTint="33"/>
          </w:tcPr>
          <w:p w:rsidR="001F5D59" w:rsidRPr="00E327FF" w:rsidRDefault="001F5D59" w:rsidP="00537C13">
            <w:pPr>
              <w:ind w:left="450" w:hanging="450"/>
              <w:rPr>
                <w:rFonts w:asciiTheme="minorHAnsi" w:hAnsiTheme="minorHAnsi"/>
                <w:b w:val="0"/>
                <w:bCs w:val="0"/>
                <w:sz w:val="20"/>
                <w:szCs w:val="20"/>
              </w:rPr>
            </w:pPr>
            <w:r w:rsidRPr="00E327FF">
              <w:rPr>
                <w:rFonts w:asciiTheme="minorHAnsi" w:hAnsiTheme="minorHAnsi"/>
                <w:sz w:val="20"/>
                <w:szCs w:val="20"/>
              </w:rPr>
              <w:t xml:space="preserve">8 a.) </w:t>
            </w:r>
            <w:r w:rsidRPr="00E327FF">
              <w:rPr>
                <w:rFonts w:asciiTheme="minorHAnsi" w:hAnsiTheme="minorHAnsi"/>
                <w:b w:val="0"/>
                <w:sz w:val="20"/>
                <w:szCs w:val="20"/>
              </w:rPr>
              <w:t>Youth and family need the IHT provider to coordinate/collaborate with state agencies (e.g. DCF, DYS, DDS, etc.)</w:t>
            </w:r>
          </w:p>
        </w:tc>
        <w:tc>
          <w:tcPr>
            <w:tcW w:w="425" w:type="pct"/>
            <w:gridSpan w:val="2"/>
            <w:tcBorders>
              <w:top w:val="single" w:sz="12" w:space="0" w:color="0070C0"/>
              <w:bottom w:val="single" w:sz="2" w:space="0" w:color="0070C0"/>
              <w:right w:val="single" w:sz="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No</w:t>
            </w:r>
          </w:p>
        </w:tc>
        <w:tc>
          <w:tcPr>
            <w:tcW w:w="862" w:type="pct"/>
            <w:gridSpan w:val="2"/>
            <w:tcBorders>
              <w:top w:val="single" w:sz="12" w:space="0" w:color="0070C0"/>
              <w:left w:val="single" w:sz="2" w:space="0" w:color="0070C0"/>
              <w:bottom w:val="single" w:sz="2" w:space="0" w:color="0070C0"/>
              <w:right w:val="single" w:sz="8"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327FF">
              <w:rPr>
                <w:rFonts w:asciiTheme="minorHAnsi" w:hAnsiTheme="minorHAnsi"/>
                <w:sz w:val="20"/>
                <w:szCs w:val="20"/>
              </w:rPr>
              <w:t>(40) 68%</w:t>
            </w:r>
          </w:p>
        </w:tc>
      </w:tr>
      <w:tr w:rsidR="001F5D59" w:rsidRPr="0099761D" w:rsidTr="00537C13">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5000" w:type="pct"/>
            <w:gridSpan w:val="13"/>
            <w:tcBorders>
              <w:left w:val="single" w:sz="8" w:space="0" w:color="0070C0"/>
              <w:bottom w:val="nil"/>
              <w:right w:val="single" w:sz="8" w:space="0" w:color="0070C0"/>
            </w:tcBorders>
            <w:shd w:val="clear" w:color="auto" w:fill="DEEAF6" w:themeFill="accent1" w:themeFillTint="33"/>
          </w:tcPr>
          <w:p w:rsidR="001F5D59" w:rsidRPr="00E327FF" w:rsidRDefault="001F5D59" w:rsidP="00537C13">
            <w:pPr>
              <w:rPr>
                <w:rFonts w:asciiTheme="minorHAnsi" w:hAnsiTheme="minorHAnsi"/>
                <w:b w:val="0"/>
                <w:bCs w:val="0"/>
                <w:sz w:val="20"/>
                <w:szCs w:val="20"/>
              </w:rPr>
            </w:pPr>
            <w:r w:rsidRPr="00E327FF">
              <w:rPr>
                <w:rFonts w:asciiTheme="minorHAnsi" w:hAnsiTheme="minorHAnsi"/>
                <w:sz w:val="20"/>
                <w:szCs w:val="20"/>
              </w:rPr>
              <w:t xml:space="preserve">8 b.) </w:t>
            </w:r>
            <w:r w:rsidRPr="00E327FF">
              <w:rPr>
                <w:rFonts w:asciiTheme="minorHAnsi" w:hAnsiTheme="minorHAnsi"/>
                <w:b w:val="0"/>
                <w:sz w:val="20"/>
                <w:szCs w:val="20"/>
              </w:rPr>
              <w:t>If yes, the IHT is in regular contact with state agencies (e.g. DCF, DYS, DDS, etc.) involved with the youth and family.*</w:t>
            </w:r>
          </w:p>
        </w:tc>
      </w:tr>
      <w:tr w:rsidR="001F5D59" w:rsidRPr="0099761D" w:rsidTr="00537C13">
        <w:trPr>
          <w:cnfStyle w:val="000000100000" w:firstRow="0" w:lastRow="0" w:firstColumn="0" w:lastColumn="0" w:oddVBand="0" w:evenVBand="0" w:oddHBand="1" w:evenHBand="0" w:firstRowFirstColumn="0" w:firstRowLastColumn="0" w:lastRowFirstColumn="0" w:lastRowLastColumn="0"/>
          <w:trHeight w:val="819"/>
          <w:jc w:val="center"/>
        </w:trPr>
        <w:tc>
          <w:tcPr>
            <w:cnfStyle w:val="001000000000" w:firstRow="0" w:lastRow="0" w:firstColumn="1" w:lastColumn="0" w:oddVBand="0" w:evenVBand="0" w:oddHBand="0" w:evenHBand="0" w:firstRowFirstColumn="0" w:firstRowLastColumn="0" w:lastRowFirstColumn="0" w:lastRowLastColumn="0"/>
            <w:tcW w:w="1259" w:type="pct"/>
            <w:gridSpan w:val="2"/>
            <w:tcBorders>
              <w:top w:val="nil"/>
              <w:left w:val="single" w:sz="8" w:space="0" w:color="0070C0"/>
              <w:bottom w:val="single" w:sz="12" w:space="0" w:color="0070C0"/>
            </w:tcBorders>
            <w:shd w:val="clear" w:color="auto" w:fill="DEEAF6" w:themeFill="accent1" w:themeFillTint="33"/>
          </w:tcPr>
          <w:p w:rsidR="001F5D59" w:rsidRPr="00E327FF" w:rsidRDefault="001F5D59" w:rsidP="00537C13">
            <w:pPr>
              <w:jc w:val="center"/>
              <w:rPr>
                <w:rFonts w:asciiTheme="minorHAnsi" w:hAnsiTheme="minorHAnsi"/>
                <w:b w:val="0"/>
                <w:bCs w:val="0"/>
                <w:sz w:val="20"/>
                <w:szCs w:val="20"/>
              </w:rPr>
            </w:pPr>
            <w:r w:rsidRPr="00E327FF">
              <w:rPr>
                <w:rFonts w:asciiTheme="minorHAnsi" w:hAnsiTheme="minorHAnsi"/>
                <w:sz w:val="20"/>
                <w:szCs w:val="20"/>
              </w:rPr>
              <w:t>Disagree Very Much</w:t>
            </w:r>
          </w:p>
          <w:p w:rsidR="001F5D59" w:rsidRPr="00E327FF" w:rsidRDefault="001F5D59" w:rsidP="00537C13">
            <w:pPr>
              <w:jc w:val="center"/>
              <w:rPr>
                <w:rFonts w:asciiTheme="minorHAnsi" w:hAnsiTheme="minorHAnsi"/>
                <w:b w:val="0"/>
                <w:bCs w:val="0"/>
                <w:sz w:val="20"/>
                <w:szCs w:val="20"/>
              </w:rPr>
            </w:pPr>
            <w:r w:rsidRPr="00E327FF">
              <w:rPr>
                <w:rFonts w:asciiTheme="minorHAnsi" w:hAnsiTheme="minorHAnsi"/>
                <w:sz w:val="20"/>
                <w:szCs w:val="20"/>
              </w:rPr>
              <w:t>(n) %</w:t>
            </w:r>
          </w:p>
          <w:p w:rsidR="001F5D59" w:rsidRPr="00E327FF" w:rsidRDefault="001F5D59" w:rsidP="00537C13">
            <w:pPr>
              <w:rPr>
                <w:rFonts w:asciiTheme="minorHAnsi" w:hAnsiTheme="minorHAnsi"/>
                <w:b w:val="0"/>
                <w:bCs w:val="0"/>
                <w:sz w:val="20"/>
                <w:szCs w:val="20"/>
              </w:rPr>
            </w:pPr>
            <w:r w:rsidRPr="00E327FF">
              <w:rPr>
                <w:rFonts w:asciiTheme="minorHAnsi" w:hAnsiTheme="minorHAnsi"/>
                <w:b w:val="0"/>
                <w:bCs w:val="0"/>
                <w:sz w:val="20"/>
                <w:szCs w:val="20"/>
              </w:rPr>
              <w:t xml:space="preserve">                     (3) 16%</w:t>
            </w:r>
          </w:p>
        </w:tc>
        <w:tc>
          <w:tcPr>
            <w:tcW w:w="742" w:type="pct"/>
            <w:tcBorders>
              <w:top w:val="nil"/>
              <w:bottom w:val="single" w:sz="1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bCs/>
                <w:sz w:val="20"/>
                <w:szCs w:val="20"/>
              </w:rPr>
              <w:t>Disagree</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bCs/>
                <w:sz w:val="20"/>
                <w:szCs w:val="20"/>
              </w:rPr>
              <w:t>(n) %</w:t>
            </w:r>
          </w:p>
          <w:p w:rsidR="001F5D59" w:rsidRPr="00E327FF" w:rsidRDefault="001F5D59" w:rsidP="00537C13">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E327FF">
              <w:rPr>
                <w:rFonts w:asciiTheme="minorHAnsi" w:hAnsiTheme="minorHAnsi"/>
                <w:b/>
                <w:bCs/>
                <w:sz w:val="20"/>
                <w:szCs w:val="20"/>
              </w:rPr>
              <w:t xml:space="preserve">        </w:t>
            </w:r>
            <w:r w:rsidRPr="00E327FF">
              <w:rPr>
                <w:rFonts w:asciiTheme="minorHAnsi" w:hAnsiTheme="minorHAnsi"/>
                <w:bCs/>
                <w:sz w:val="20"/>
                <w:szCs w:val="20"/>
              </w:rPr>
              <w:t xml:space="preserve"> (2) 11%</w:t>
            </w:r>
          </w:p>
        </w:tc>
        <w:tc>
          <w:tcPr>
            <w:tcW w:w="866" w:type="pct"/>
            <w:gridSpan w:val="3"/>
            <w:tcBorders>
              <w:top w:val="nil"/>
              <w:bottom w:val="single" w:sz="1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bCs/>
                <w:sz w:val="20"/>
                <w:szCs w:val="20"/>
              </w:rPr>
              <w:t>Neither</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bCs/>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E327FF">
              <w:rPr>
                <w:rFonts w:asciiTheme="minorHAnsi" w:hAnsiTheme="minorHAnsi"/>
                <w:bCs/>
                <w:sz w:val="20"/>
                <w:szCs w:val="20"/>
              </w:rPr>
              <w:t>(5) 26%</w:t>
            </w:r>
          </w:p>
        </w:tc>
        <w:tc>
          <w:tcPr>
            <w:tcW w:w="850" w:type="pct"/>
            <w:gridSpan w:val="4"/>
            <w:tcBorders>
              <w:top w:val="nil"/>
              <w:bottom w:val="single" w:sz="12"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bCs/>
                <w:sz w:val="20"/>
                <w:szCs w:val="20"/>
              </w:rPr>
              <w:t>Agree</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bCs/>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E327FF">
              <w:rPr>
                <w:rFonts w:asciiTheme="minorHAnsi" w:hAnsiTheme="minorHAnsi"/>
                <w:bCs/>
                <w:sz w:val="20"/>
                <w:szCs w:val="20"/>
              </w:rPr>
              <w:t>(7) 37%</w:t>
            </w:r>
          </w:p>
        </w:tc>
        <w:tc>
          <w:tcPr>
            <w:tcW w:w="1283" w:type="pct"/>
            <w:gridSpan w:val="3"/>
            <w:tcBorders>
              <w:top w:val="nil"/>
              <w:bottom w:val="single" w:sz="12" w:space="0" w:color="0070C0"/>
              <w:right w:val="single" w:sz="8" w:space="0" w:color="0070C0"/>
            </w:tcBorders>
            <w:shd w:val="clear" w:color="auto" w:fill="DEEAF6" w:themeFill="accent1" w:themeFillTint="33"/>
          </w:tcPr>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E327FF">
              <w:rPr>
                <w:rFonts w:asciiTheme="minorHAnsi" w:hAnsiTheme="minorHAnsi"/>
                <w:b/>
                <w:sz w:val="20"/>
                <w:szCs w:val="20"/>
              </w:rPr>
              <w:t>Agree Very Much</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E327FF">
              <w:rPr>
                <w:rFonts w:asciiTheme="minorHAnsi" w:hAnsiTheme="minorHAnsi"/>
                <w:b/>
                <w:sz w:val="20"/>
                <w:szCs w:val="20"/>
              </w:rPr>
              <w:t>(n) %</w:t>
            </w:r>
          </w:p>
          <w:p w:rsidR="001F5D59" w:rsidRPr="00E327FF" w:rsidRDefault="001F5D59" w:rsidP="00537C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E327FF">
              <w:rPr>
                <w:rFonts w:asciiTheme="minorHAnsi" w:hAnsiTheme="minorHAnsi"/>
                <w:bCs/>
                <w:sz w:val="20"/>
                <w:szCs w:val="20"/>
              </w:rPr>
              <w:t>(2) 11%</w:t>
            </w:r>
          </w:p>
        </w:tc>
      </w:tr>
    </w:tbl>
    <w:p w:rsidR="001F5D59" w:rsidRPr="00BB1600" w:rsidRDefault="001F5D59" w:rsidP="00E327FF">
      <w:pPr>
        <w:ind w:left="360"/>
        <w:rPr>
          <w:sz w:val="18"/>
          <w:szCs w:val="18"/>
        </w:rPr>
      </w:pPr>
      <w:r w:rsidRPr="00BB1600">
        <w:rPr>
          <w:sz w:val="18"/>
          <w:szCs w:val="18"/>
        </w:rPr>
        <w:t>*"Not applicable" responses changed the n used for calculating these percentages.</w:t>
      </w:r>
    </w:p>
    <w:p w:rsidR="006D4835" w:rsidRDefault="006D4835" w:rsidP="001B1DF7">
      <w:pPr>
        <w:pStyle w:val="Heading2"/>
      </w:pPr>
      <w:bookmarkStart w:id="28" w:name="_Toc458596069"/>
    </w:p>
    <w:p w:rsidR="001B1DF7" w:rsidRDefault="001B1DF7" w:rsidP="001B1DF7">
      <w:pPr>
        <w:pStyle w:val="Heading2"/>
      </w:pPr>
      <w:bookmarkStart w:id="29" w:name="_Toc467143024"/>
      <w:r>
        <w:t>Key Themes from Summative Responses</w:t>
      </w:r>
      <w:bookmarkEnd w:id="28"/>
      <w:bookmarkEnd w:id="29"/>
      <w:r>
        <w:t xml:space="preserve"> </w:t>
      </w:r>
    </w:p>
    <w:p w:rsidR="00B448D0" w:rsidRDefault="001B1DA6" w:rsidP="00B448D0">
      <w:pPr>
        <w:spacing w:before="200"/>
      </w:pPr>
      <w:r>
        <w:t>Overall</w:t>
      </w:r>
      <w:r w:rsidR="00333823">
        <w:t>,</w:t>
      </w:r>
      <w:r w:rsidR="00061170">
        <w:t xml:space="preserve"> the results of </w:t>
      </w:r>
      <w:r w:rsidR="000E6493">
        <w:t xml:space="preserve">the FY16 MPR </w:t>
      </w:r>
      <w:r w:rsidR="00333823">
        <w:t>reviews</w:t>
      </w:r>
      <w:r w:rsidR="000E6493">
        <w:t xml:space="preserve"> i</w:t>
      </w:r>
      <w:r w:rsidR="00061170">
        <w:t>ndicate</w:t>
      </w:r>
      <w:r w:rsidR="00333823">
        <w:t>d</w:t>
      </w:r>
      <w:r w:rsidR="00061170">
        <w:t xml:space="preserve"> </w:t>
      </w:r>
      <w:r w:rsidR="00CC4D7A">
        <w:t xml:space="preserve">that youth experienced Fair </w:t>
      </w:r>
      <w:r w:rsidR="000E6493">
        <w:t xml:space="preserve">practice </w:t>
      </w:r>
      <w:r w:rsidR="00CC4D7A">
        <w:t>or better in 78% of practice instances (total = 1</w:t>
      </w:r>
      <w:r w:rsidR="008B777E">
        <w:t>,</w:t>
      </w:r>
      <w:r w:rsidR="00CC4D7A">
        <w:t xml:space="preserve">440 instances) </w:t>
      </w:r>
      <w:r w:rsidR="000E6493">
        <w:t xml:space="preserve">across both IHT and ICC services. </w:t>
      </w:r>
      <w:r w:rsidR="00CC4D7A">
        <w:t>Youth experienced Good or better practice in 43% of instances.</w:t>
      </w:r>
      <w:r w:rsidR="00DE5025">
        <w:t xml:space="preserve"> For ICC the percentage of practice Fair and above was 83%, while for IHT it was 73%.</w:t>
      </w:r>
    </w:p>
    <w:p w:rsidR="00B448D0" w:rsidRDefault="00061170" w:rsidP="00B448D0">
      <w:pPr>
        <w:spacing w:before="200"/>
      </w:pPr>
      <w:r w:rsidRPr="00014653">
        <w:lastRenderedPageBreak/>
        <w:t>The following</w:t>
      </w:r>
      <w:r>
        <w:t xml:space="preserve"> discussion considers the</w:t>
      </w:r>
      <w:r w:rsidRPr="00014653">
        <w:t xml:space="preserve"> quantitative </w:t>
      </w:r>
      <w:r>
        <w:t>data</w:t>
      </w:r>
      <w:r w:rsidR="00B448D0">
        <w:t xml:space="preserve"> summarized in earlier sections of this report along with qualitative data compiled from </w:t>
      </w:r>
      <w:r>
        <w:t>reviewer comments</w:t>
      </w:r>
      <w:r w:rsidR="000E6493">
        <w:t xml:space="preserve"> (</w:t>
      </w:r>
      <w:r w:rsidR="00B448D0">
        <w:t xml:space="preserve">See </w:t>
      </w:r>
      <w:r w:rsidR="000E6493" w:rsidRPr="00B448D0">
        <w:rPr>
          <w:b/>
          <w:color w:val="5B9BD5" w:themeColor="accent1"/>
        </w:rPr>
        <w:t>Appendix A</w:t>
      </w:r>
      <w:r w:rsidR="000E6493">
        <w:t>)</w:t>
      </w:r>
      <w:r>
        <w:t xml:space="preserve">, </w:t>
      </w:r>
      <w:r w:rsidR="00B448D0">
        <w:t>and</w:t>
      </w:r>
      <w:r>
        <w:t xml:space="preserve"> key </w:t>
      </w:r>
      <w:r w:rsidRPr="00014653">
        <w:t>themes from the five debrief</w:t>
      </w:r>
      <w:r>
        <w:t>ing</w:t>
      </w:r>
      <w:r w:rsidRPr="00014653">
        <w:t xml:space="preserve"> meetings </w:t>
      </w:r>
      <w:r w:rsidR="00B448D0">
        <w:t xml:space="preserve">held during </w:t>
      </w:r>
      <w:r w:rsidR="00333823">
        <w:t>each review round</w:t>
      </w:r>
      <w:r>
        <w:t>.</w:t>
      </w:r>
      <w:r w:rsidRPr="00014653">
        <w:t xml:space="preserve"> </w:t>
      </w:r>
      <w:r w:rsidR="00B448D0" w:rsidRPr="00014653">
        <w:t xml:space="preserve">Many of the findings </w:t>
      </w:r>
      <w:r w:rsidR="00B448D0">
        <w:t xml:space="preserve">in FY16 are consistent with previous years' quality reviews; </w:t>
      </w:r>
      <w:r w:rsidR="00385426">
        <w:t>a</w:t>
      </w:r>
      <w:r w:rsidR="00B448D0" w:rsidRPr="00014653">
        <w:t>reas of</w:t>
      </w:r>
      <w:r w:rsidR="00DE613E">
        <w:t xml:space="preserve"> </w:t>
      </w:r>
      <w:r w:rsidR="00B448D0">
        <w:t xml:space="preserve">strong </w:t>
      </w:r>
      <w:r w:rsidR="00DE613E">
        <w:t xml:space="preserve">past </w:t>
      </w:r>
      <w:r w:rsidR="00B448D0">
        <w:t>practice</w:t>
      </w:r>
      <w:r w:rsidR="00B448D0" w:rsidRPr="00014653">
        <w:t xml:space="preserve"> continue to hold</w:t>
      </w:r>
      <w:r w:rsidR="00DE613E">
        <w:t>,</w:t>
      </w:r>
      <w:r w:rsidR="00B448D0" w:rsidRPr="00014653">
        <w:t xml:space="preserve"> while</w:t>
      </w:r>
      <w:r w:rsidR="00B448D0">
        <w:t xml:space="preserve"> </w:t>
      </w:r>
      <w:r w:rsidR="00385426">
        <w:t xml:space="preserve">areas needing improvement </w:t>
      </w:r>
      <w:r w:rsidR="00DE613E">
        <w:t xml:space="preserve">in the past </w:t>
      </w:r>
      <w:r w:rsidR="00385426">
        <w:t>continue to present challenges.</w:t>
      </w:r>
      <w:r w:rsidR="00B448D0" w:rsidRPr="00014653">
        <w:t xml:space="preserve"> </w:t>
      </w:r>
    </w:p>
    <w:p w:rsidR="00B448D0" w:rsidRDefault="00B448D0" w:rsidP="00B448D0">
      <w:pPr>
        <w:spacing w:before="200"/>
      </w:pPr>
      <w:r>
        <w:t xml:space="preserve">Areas where practice </w:t>
      </w:r>
      <w:r w:rsidR="00DE613E">
        <w:t>was relatively strong</w:t>
      </w:r>
      <w:r w:rsidRPr="00014653">
        <w:t xml:space="preserve"> across</w:t>
      </w:r>
      <w:r>
        <w:t xml:space="preserve"> both IHT and ICC services are summarized below and reflect overall strengths of the CBHI service system.</w:t>
      </w:r>
    </w:p>
    <w:p w:rsidR="001B1DF7" w:rsidRPr="00302297" w:rsidRDefault="001B1DF7" w:rsidP="00302297">
      <w:pPr>
        <w:pStyle w:val="Heading3"/>
        <w:rPr>
          <w:rFonts w:asciiTheme="minorHAnsi" w:hAnsiTheme="minorHAnsi"/>
        </w:rPr>
      </w:pPr>
      <w:bookmarkStart w:id="30" w:name="_Toc458596070"/>
      <w:bookmarkStart w:id="31" w:name="_Toc467143025"/>
      <w:r w:rsidRPr="007F3A22">
        <w:rPr>
          <w:rFonts w:asciiTheme="minorHAnsi" w:hAnsiTheme="minorHAnsi"/>
        </w:rPr>
        <w:t>Practice Strengths</w:t>
      </w:r>
      <w:bookmarkEnd w:id="30"/>
      <w:bookmarkEnd w:id="31"/>
    </w:p>
    <w:p w:rsidR="001B1DF7" w:rsidRPr="00533DDA" w:rsidRDefault="00ED36F8" w:rsidP="001B1DF7">
      <w:pPr>
        <w:rPr>
          <w:b/>
          <w:i/>
        </w:rPr>
      </w:pPr>
      <w:r>
        <w:rPr>
          <w:b/>
          <w:i/>
        </w:rPr>
        <w:t xml:space="preserve">Youth and </w:t>
      </w:r>
      <w:r w:rsidR="001B1DF7" w:rsidRPr="00533DDA">
        <w:rPr>
          <w:b/>
          <w:i/>
        </w:rPr>
        <w:t>Family Engagement</w:t>
      </w:r>
    </w:p>
    <w:p w:rsidR="001B1DF7" w:rsidRDefault="001B1DF7" w:rsidP="001B1DF7">
      <w:r>
        <w:t>Acro</w:t>
      </w:r>
      <w:r w:rsidR="00867CCC">
        <w:t>ss programs and over time, the A</w:t>
      </w:r>
      <w:r>
        <w:t xml:space="preserve">rea of Family and Youth Engagement has demonstrated consistently strong practice. This indicates that providers both value and have the skills to build a relational foundation with youth and caregivers. Every family presents with unique strengths and challenges, yet staff have shown the capacity to build bridges – a critical first step in the course of care. Additional complexity within this Area arises when a youth has caregivers in multiple settings. This </w:t>
      </w:r>
      <w:r w:rsidR="00F16205">
        <w:t xml:space="preserve">often presents </w:t>
      </w:r>
      <w:r>
        <w:t>logistical obstacles and require</w:t>
      </w:r>
      <w:r w:rsidR="00F16205">
        <w:t>s</w:t>
      </w:r>
      <w:r>
        <w:t xml:space="preserve"> sophisticated clinical skills </w:t>
      </w:r>
      <w:r w:rsidR="00F16205">
        <w:t xml:space="preserve">in order </w:t>
      </w:r>
      <w:r>
        <w:t>to support</w:t>
      </w:r>
      <w:r w:rsidR="00F16205">
        <w:t xml:space="preserve"> youth and families with </w:t>
      </w:r>
      <w:r>
        <w:t xml:space="preserve">various compositions. </w:t>
      </w:r>
      <w:r w:rsidR="00E6512A">
        <w:t>R</w:t>
      </w:r>
      <w:r>
        <w:t>esults have begun to demonstrate a positive trend in the inclusion of caregivers across multiples homes.</w:t>
      </w:r>
      <w:r w:rsidR="001B1DA6">
        <w:t xml:space="preserve"> </w:t>
      </w:r>
      <w:r w:rsidR="001E77DC">
        <w:t>It is important to note that w</w:t>
      </w:r>
      <w:r w:rsidR="001B1DA6">
        <w:t xml:space="preserve">hile this component </w:t>
      </w:r>
      <w:r w:rsidR="001E77DC">
        <w:t xml:space="preserve">captures both caregiver and youth together, </w:t>
      </w:r>
      <w:r w:rsidR="00E6512A">
        <w:t xml:space="preserve">positive results are </w:t>
      </w:r>
      <w:r w:rsidR="001E77DC">
        <w:t xml:space="preserve">likely skewed toward the family as </w:t>
      </w:r>
      <w:r w:rsidR="00C72B2D">
        <w:t>all reviews included a caregiver interviewe</w:t>
      </w:r>
      <w:r w:rsidR="00B448D0">
        <w:t>e</w:t>
      </w:r>
      <w:r w:rsidR="00C72B2D">
        <w:t xml:space="preserve"> but only a small number of youth </w:t>
      </w:r>
      <w:r w:rsidR="00E6512A">
        <w:t xml:space="preserve">were </w:t>
      </w:r>
      <w:r w:rsidR="00C72B2D">
        <w:t>interview</w:t>
      </w:r>
      <w:r w:rsidR="00E6512A">
        <w:t>ed</w:t>
      </w:r>
      <w:r w:rsidR="00C72B2D">
        <w:t>.</w:t>
      </w:r>
      <w:r w:rsidR="00E6512A">
        <w:t xml:space="preserve"> Y</w:t>
      </w:r>
      <w:r w:rsidR="001E77DC">
        <w:t>o</w:t>
      </w:r>
      <w:r w:rsidR="00C72B2D">
        <w:t>uth participation has been</w:t>
      </w:r>
      <w:r w:rsidR="001E77DC">
        <w:t xml:space="preserve"> noted as a theme requiring further attention and development. </w:t>
      </w:r>
    </w:p>
    <w:p w:rsidR="001B1DF7" w:rsidRDefault="001B1DF7" w:rsidP="001B1DF7"/>
    <w:p w:rsidR="001B1DF7" w:rsidRPr="00533DDA" w:rsidRDefault="001B1DF7" w:rsidP="001B1DF7">
      <w:pPr>
        <w:rPr>
          <w:b/>
          <w:i/>
        </w:rPr>
      </w:pPr>
      <w:r w:rsidRPr="00BD4345">
        <w:rPr>
          <w:b/>
          <w:i/>
        </w:rPr>
        <w:t>Service Accessibility</w:t>
      </w:r>
    </w:p>
    <w:p w:rsidR="001B1DF7" w:rsidRDefault="00CD7944" w:rsidP="001B1DF7">
      <w:r>
        <w:t xml:space="preserve">Findings in the </w:t>
      </w:r>
      <w:r w:rsidR="001B1DF7">
        <w:t>Area of</w:t>
      </w:r>
      <w:r w:rsidR="0077302D">
        <w:t xml:space="preserve"> Service Accessibility continue</w:t>
      </w:r>
      <w:r w:rsidR="001B1DF7">
        <w:t xml:space="preserve"> to reveal that providers structure the work based upon the family’s needs. This would include the operational components of care such as meeting times and locations designed to best accommodate the family’s </w:t>
      </w:r>
      <w:r w:rsidR="0033598D">
        <w:t xml:space="preserve">needs and </w:t>
      </w:r>
      <w:r w:rsidR="001B1DF7">
        <w:t xml:space="preserve">preferences. Additionally, access was evident </w:t>
      </w:r>
      <w:r w:rsidR="001C6762">
        <w:t>regarding</w:t>
      </w:r>
      <w:r w:rsidR="001B1DF7">
        <w:t xml:space="preserve"> </w:t>
      </w:r>
      <w:r w:rsidR="001C6762">
        <w:t xml:space="preserve">the </w:t>
      </w:r>
      <w:r w:rsidR="001B1DF7">
        <w:t>family’s language needs such as document translation, bilingual</w:t>
      </w:r>
      <w:r w:rsidR="00DE613E">
        <w:t xml:space="preserve"> </w:t>
      </w:r>
      <w:r w:rsidR="001B1DF7">
        <w:t>/</w:t>
      </w:r>
      <w:r w:rsidR="00DE613E">
        <w:t xml:space="preserve"> </w:t>
      </w:r>
      <w:r w:rsidR="001B1DF7">
        <w:t>bicultural staff</w:t>
      </w:r>
      <w:r w:rsidR="00C72B2D">
        <w:t>,</w:t>
      </w:r>
      <w:r w:rsidR="001B1DF7">
        <w:t xml:space="preserve"> and interpreter services. This flexibility has also extended to the consideration of other providers by holding meetings in locations such as schools and outpatient clinics </w:t>
      </w:r>
      <w:r w:rsidR="001C6762">
        <w:t>to</w:t>
      </w:r>
      <w:r w:rsidR="001B1DF7">
        <w:t xml:space="preserve"> allow for</w:t>
      </w:r>
      <w:r w:rsidR="001D360F">
        <w:t xml:space="preserve"> greater</w:t>
      </w:r>
      <w:r w:rsidR="001B1DF7">
        <w:t xml:space="preserve"> participation.</w:t>
      </w:r>
      <w:r w:rsidR="00BD4345">
        <w:t xml:space="preserve"> </w:t>
      </w:r>
      <w:r w:rsidR="0023282B">
        <w:t xml:space="preserve">Findings </w:t>
      </w:r>
      <w:r w:rsidR="00BD4345">
        <w:t xml:space="preserve">in this </w:t>
      </w:r>
      <w:r w:rsidR="00CC5AC0">
        <w:t xml:space="preserve">Area should be considered in </w:t>
      </w:r>
      <w:r w:rsidR="00B87BF4">
        <w:t>light of these services</w:t>
      </w:r>
      <w:r w:rsidR="001C6762">
        <w:t xml:space="preserve"> being </w:t>
      </w:r>
      <w:r w:rsidR="00B87BF4">
        <w:t>design</w:t>
      </w:r>
      <w:r w:rsidR="001C6762">
        <w:t>ed</w:t>
      </w:r>
      <w:r w:rsidR="00B87BF4">
        <w:t xml:space="preserve"> to be delivered in the community. That being said, </w:t>
      </w:r>
      <w:r w:rsidR="001B1DF7">
        <w:t>the notion of delivering services that are accessible to families has taken hold.</w:t>
      </w:r>
      <w:r w:rsidR="001D360F">
        <w:t xml:space="preserve"> </w:t>
      </w:r>
    </w:p>
    <w:p w:rsidR="001B1DF7" w:rsidRDefault="001B1DF7" w:rsidP="001B1DF7"/>
    <w:p w:rsidR="001B1DF7" w:rsidRPr="00533DDA" w:rsidRDefault="0033598D" w:rsidP="001B1DF7">
      <w:pPr>
        <w:rPr>
          <w:b/>
          <w:i/>
        </w:rPr>
      </w:pPr>
      <w:r>
        <w:rPr>
          <w:b/>
          <w:i/>
        </w:rPr>
        <w:t>Family/</w:t>
      </w:r>
      <w:r w:rsidR="001B1DF7" w:rsidRPr="00533DDA">
        <w:rPr>
          <w:b/>
          <w:i/>
        </w:rPr>
        <w:t>Caregiver Progress</w:t>
      </w:r>
    </w:p>
    <w:p w:rsidR="001B1DF7" w:rsidRDefault="00E542B0" w:rsidP="001B1DF7">
      <w:r>
        <w:t xml:space="preserve">Within the Progress Domain, many of the scores and reviewers noted Good </w:t>
      </w:r>
      <w:r w:rsidR="0033598D">
        <w:t>progress for families/</w:t>
      </w:r>
      <w:r w:rsidR="005D4699">
        <w:t>caregiver</w:t>
      </w:r>
      <w:r w:rsidR="0033598D">
        <w:t xml:space="preserve">s. </w:t>
      </w:r>
      <w:r w:rsidR="001B1DF7">
        <w:t xml:space="preserve">This encompasses the caregiver’s own ability to cope with and manage youth’s behavior as well as improvements in the family’s overall quality of life. Parents continue to report that they feel supported, they are gaining skills, and </w:t>
      </w:r>
      <w:r w:rsidR="005D4699">
        <w:t xml:space="preserve">that they </w:t>
      </w:r>
      <w:r w:rsidR="001B1DF7">
        <w:t>have found the service</w:t>
      </w:r>
      <w:r w:rsidR="00AC1C25">
        <w:t>s</w:t>
      </w:r>
      <w:r w:rsidR="001B1DF7">
        <w:t xml:space="preserve"> to be helpful. One reviewer described a parent’s experience</w:t>
      </w:r>
      <w:r w:rsidR="005D4699">
        <w:t xml:space="preserve"> as</w:t>
      </w:r>
      <w:r w:rsidR="00DC14EB">
        <w:t xml:space="preserve"> follows:</w:t>
      </w:r>
      <w:r w:rsidR="00E43EC4">
        <w:t xml:space="preserve"> </w:t>
      </w:r>
      <w:r w:rsidR="001B1DF7">
        <w:t>“</w:t>
      </w:r>
      <w:r w:rsidR="001B1DF7" w:rsidRPr="00C41E7C">
        <w:t>Mom acknowledged that in the past she didn't know how to speak with providers but now she answers her phone and advocates for her child's needs.</w:t>
      </w:r>
      <w:r w:rsidR="001B1DF7">
        <w:t>”</w:t>
      </w:r>
      <w:bookmarkStart w:id="32" w:name="_Toc458596071"/>
      <w:r w:rsidR="005D4699">
        <w:t xml:space="preserve"> The advancement of caregiver skills is a critical component to sustained improvements for the family overall. </w:t>
      </w:r>
    </w:p>
    <w:p w:rsidR="001B1DF7" w:rsidRPr="007F3A22" w:rsidRDefault="001B1DF7" w:rsidP="001B1DF7">
      <w:pPr>
        <w:pStyle w:val="Heading3"/>
        <w:rPr>
          <w:rFonts w:asciiTheme="minorHAnsi" w:hAnsiTheme="minorHAnsi"/>
        </w:rPr>
      </w:pPr>
      <w:bookmarkStart w:id="33" w:name="_Toc467143026"/>
      <w:bookmarkEnd w:id="32"/>
      <w:r w:rsidRPr="007F3A22">
        <w:rPr>
          <w:rFonts w:asciiTheme="minorHAnsi" w:hAnsiTheme="minorHAnsi"/>
        </w:rPr>
        <w:t>Opportunities for Practice Improvement</w:t>
      </w:r>
      <w:bookmarkEnd w:id="33"/>
      <w:r w:rsidRPr="007F3A22">
        <w:rPr>
          <w:rFonts w:asciiTheme="minorHAnsi" w:hAnsiTheme="minorHAnsi"/>
        </w:rPr>
        <w:t xml:space="preserve"> </w:t>
      </w:r>
    </w:p>
    <w:p w:rsidR="001B1DF7" w:rsidRDefault="001B1DF7" w:rsidP="00302297">
      <w:r>
        <w:t>In addition</w:t>
      </w:r>
      <w:r w:rsidR="005D4699">
        <w:t xml:space="preserve"> to</w:t>
      </w:r>
      <w:r>
        <w:t xml:space="preserve"> </w:t>
      </w:r>
      <w:r w:rsidR="00971CD8">
        <w:t xml:space="preserve">identifying practice Areas where providers </w:t>
      </w:r>
      <w:r w:rsidR="00DE613E">
        <w:t>show relatively strong practice</w:t>
      </w:r>
      <w:r w:rsidR="00971CD8">
        <w:t xml:space="preserve">, </w:t>
      </w:r>
      <w:r>
        <w:t xml:space="preserve">the MPR also serves to identify Areas where practice </w:t>
      </w:r>
      <w:r w:rsidR="00DE613E">
        <w:t>is i</w:t>
      </w:r>
      <w:r w:rsidR="00A27884">
        <w:t>n need of improvement</w:t>
      </w:r>
      <w:r w:rsidR="005D4699">
        <w:t xml:space="preserve">. </w:t>
      </w:r>
      <w:r>
        <w:t xml:space="preserve">The following </w:t>
      </w:r>
      <w:r w:rsidR="00A27884">
        <w:t>summarizes t</w:t>
      </w:r>
      <w:r w:rsidR="00E25CC4">
        <w:t xml:space="preserve">he Areas identified as </w:t>
      </w:r>
      <w:r w:rsidR="00A27884">
        <w:t>presenting opportunities for practice improvement</w:t>
      </w:r>
      <w:r>
        <w:t>. The first two</w:t>
      </w:r>
      <w:r w:rsidR="00971CD8">
        <w:t xml:space="preserve"> Areas</w:t>
      </w:r>
      <w:r>
        <w:t xml:space="preserve">, Assessment and Transition, </w:t>
      </w:r>
      <w:r w:rsidR="00971CD8">
        <w:t xml:space="preserve">demonstrated </w:t>
      </w:r>
      <w:r>
        <w:t>inadequate practice across both IHT and ICC</w:t>
      </w:r>
      <w:r w:rsidR="00971CD8">
        <w:t xml:space="preserve"> services</w:t>
      </w:r>
      <w:r>
        <w:t xml:space="preserve">; </w:t>
      </w:r>
      <w:r w:rsidR="00971CD8">
        <w:t>s</w:t>
      </w:r>
      <w:r>
        <w:t xml:space="preserve">ubsequent Areas </w:t>
      </w:r>
      <w:r w:rsidR="00A27884">
        <w:t xml:space="preserve">discussed here as </w:t>
      </w:r>
      <w:r w:rsidR="00971CD8">
        <w:t xml:space="preserve">needing practice improvement </w:t>
      </w:r>
      <w:r>
        <w:t>are specific to IHT only.</w:t>
      </w:r>
    </w:p>
    <w:p w:rsidR="006B13A5" w:rsidRPr="00B51EDA" w:rsidRDefault="006B13A5" w:rsidP="001B1DF7"/>
    <w:p w:rsidR="001B1DF7" w:rsidRPr="00533DDA" w:rsidRDefault="001B1DF7" w:rsidP="001B1DF7">
      <w:pPr>
        <w:rPr>
          <w:b/>
          <w:i/>
        </w:rPr>
      </w:pPr>
      <w:r w:rsidRPr="00533DDA">
        <w:rPr>
          <w:b/>
          <w:i/>
        </w:rPr>
        <w:lastRenderedPageBreak/>
        <w:t>Assessment</w:t>
      </w:r>
    </w:p>
    <w:p w:rsidR="001B1DF7" w:rsidRDefault="007A24B4" w:rsidP="001B1DF7">
      <w:r>
        <w:t>Ratings</w:t>
      </w:r>
      <w:r w:rsidR="001B1DF7">
        <w:t>, reviewer comments, and debrief</w:t>
      </w:r>
      <w:r w:rsidR="00971CD8">
        <w:t>ing</w:t>
      </w:r>
      <w:r w:rsidR="001B1DF7">
        <w:t xml:space="preserve"> discussions all consistent</w:t>
      </w:r>
      <w:r w:rsidR="00971CD8">
        <w:t xml:space="preserve">ly </w:t>
      </w:r>
      <w:r w:rsidR="00E04693">
        <w:t>identified</w:t>
      </w:r>
      <w:r w:rsidR="00971CD8">
        <w:t xml:space="preserve"> </w:t>
      </w:r>
      <w:r w:rsidR="001B1DF7">
        <w:t>concern</w:t>
      </w:r>
      <w:r w:rsidR="00971CD8">
        <w:t>s</w:t>
      </w:r>
      <w:r w:rsidR="001B1DF7">
        <w:t xml:space="preserve"> </w:t>
      </w:r>
      <w:r w:rsidR="00E04693">
        <w:t>regarding</w:t>
      </w:r>
      <w:r w:rsidR="001B1DF7">
        <w:t xml:space="preserve"> the quality of the assessment</w:t>
      </w:r>
      <w:r w:rsidR="00A25D6D">
        <w:t>s</w:t>
      </w:r>
      <w:r w:rsidR="001B1DF7">
        <w:t xml:space="preserve">. </w:t>
      </w:r>
      <w:r w:rsidR="00A25D6D">
        <w:t xml:space="preserve">Assessment is understood to include the initial and ongoing process by which the clinician understands the youth and family which then informs the written comprehensive document. </w:t>
      </w:r>
      <w:r w:rsidR="00E04693">
        <w:t xml:space="preserve">Considering </w:t>
      </w:r>
      <w:r w:rsidR="001C6762">
        <w:t>all</w:t>
      </w:r>
      <w:r w:rsidR="00A25D6D">
        <w:t xml:space="preserve"> the components of care, a poor initial </w:t>
      </w:r>
      <w:r w:rsidR="001B1DF7">
        <w:t xml:space="preserve">assessment </w:t>
      </w:r>
      <w:r w:rsidR="00A25D6D">
        <w:t xml:space="preserve">is particularly problematic as it </w:t>
      </w:r>
      <w:r w:rsidR="001B1DF7">
        <w:t xml:space="preserve">sets in motion a </w:t>
      </w:r>
      <w:r w:rsidR="00A25D6D">
        <w:t xml:space="preserve">process </w:t>
      </w:r>
      <w:r w:rsidR="001B1DF7">
        <w:t xml:space="preserve">that is </w:t>
      </w:r>
      <w:r w:rsidR="001B1DF7" w:rsidRPr="000102CC">
        <w:t>impaired from the start and limited at best</w:t>
      </w:r>
      <w:r w:rsidR="00A25D6D">
        <w:t>. Particular components of the A</w:t>
      </w:r>
      <w:r w:rsidR="00971CD8" w:rsidRPr="000102CC">
        <w:t xml:space="preserve">ssessment that were noted as </w:t>
      </w:r>
      <w:r w:rsidR="001B1DF7" w:rsidRPr="000102CC">
        <w:t>weakness</w:t>
      </w:r>
      <w:r w:rsidR="00971CD8" w:rsidRPr="000102CC">
        <w:t>es</w:t>
      </w:r>
      <w:r w:rsidR="001B1DF7" w:rsidRPr="000102CC">
        <w:t xml:space="preserve"> includ</w:t>
      </w:r>
      <w:r w:rsidR="00971CD8" w:rsidRPr="000102CC">
        <w:t>ed</w:t>
      </w:r>
      <w:r w:rsidR="001B1DF7" w:rsidRPr="000102CC">
        <w:t xml:space="preserve"> clinical</w:t>
      </w:r>
      <w:r w:rsidR="001B1DF7">
        <w:t xml:space="preserve"> formulation, </w:t>
      </w:r>
      <w:r w:rsidR="00A25D6D">
        <w:t>t</w:t>
      </w:r>
      <w:r w:rsidR="001B1DF7">
        <w:t>rauma history</w:t>
      </w:r>
      <w:r w:rsidR="00A25D6D">
        <w:t xml:space="preserve">, </w:t>
      </w:r>
      <w:r w:rsidR="001B1DF7" w:rsidRPr="000102CC">
        <w:t>family/youth strengths,</w:t>
      </w:r>
      <w:r w:rsidR="00A25D6D">
        <w:t xml:space="preserve"> </w:t>
      </w:r>
      <w:r w:rsidR="00971CD8">
        <w:t>and c</w:t>
      </w:r>
      <w:r w:rsidR="001B1DF7">
        <w:t>ollaboration with other providers. Additionally, st</w:t>
      </w:r>
      <w:r w:rsidR="00A25D6D">
        <w:t>aff often demonstrated a diminished appreciation for the assessment process and its critical role in their capacity to deliver high quality care</w:t>
      </w:r>
      <w:r w:rsidR="001B1DF7">
        <w:t>.</w:t>
      </w:r>
    </w:p>
    <w:p w:rsidR="001B1DF7" w:rsidRDefault="001B1DF7" w:rsidP="001B1DF7"/>
    <w:p w:rsidR="001B1DF7" w:rsidRPr="00533DDA" w:rsidRDefault="001B1DF7" w:rsidP="001B1DF7">
      <w:pPr>
        <w:rPr>
          <w:b/>
          <w:i/>
        </w:rPr>
      </w:pPr>
      <w:r w:rsidRPr="00533DDA">
        <w:rPr>
          <w:b/>
          <w:i/>
        </w:rPr>
        <w:t>Transition</w:t>
      </w:r>
    </w:p>
    <w:p w:rsidR="001B1DF7" w:rsidRDefault="001B1DF7" w:rsidP="001B1DF7">
      <w:r>
        <w:t>A variety of changes, both anticipated and unexpected, invariably occur throughout the course of care. These junctures require prospective discussion, contingency planning, and coordination among families and providers alike</w:t>
      </w:r>
      <w:r w:rsidR="00676BBD">
        <w:t xml:space="preserve">. While </w:t>
      </w:r>
      <w:r w:rsidR="003970DC">
        <w:t>65</w:t>
      </w:r>
      <w:r w:rsidR="00C9690D">
        <w:t>% of families experienced</w:t>
      </w:r>
      <w:r w:rsidR="00676BBD">
        <w:t xml:space="preserve"> </w:t>
      </w:r>
      <w:r w:rsidR="003970DC">
        <w:t xml:space="preserve">Fair </w:t>
      </w:r>
      <w:r>
        <w:t xml:space="preserve">to </w:t>
      </w:r>
      <w:r w:rsidR="00676BBD">
        <w:t xml:space="preserve">Exemplary </w:t>
      </w:r>
      <w:r>
        <w:t>practice</w:t>
      </w:r>
      <w:r w:rsidR="003B0C03">
        <w:t xml:space="preserve"> identifie</w:t>
      </w:r>
      <w:r w:rsidR="00676BBD">
        <w:t xml:space="preserve">d through the reviews, </w:t>
      </w:r>
      <w:r w:rsidR="00C9690D">
        <w:t xml:space="preserve">35% </w:t>
      </w:r>
      <w:r>
        <w:t>of families experienced a fractured transition process</w:t>
      </w:r>
      <w:r w:rsidR="00C9690D">
        <w:t xml:space="preserve"> where care was Adverse or Poor</w:t>
      </w:r>
      <w:r>
        <w:t xml:space="preserve">. This included staff changes, movement from child to adult services, in/out </w:t>
      </w:r>
      <w:r w:rsidR="00676BBD">
        <w:t xml:space="preserve">of </w:t>
      </w:r>
      <w:r>
        <w:t>acute levels of care, and, most notably, termination from ser</w:t>
      </w:r>
      <w:r w:rsidR="00676BBD">
        <w:t>vices. During the interview</w:t>
      </w:r>
      <w:r w:rsidR="007A24B4">
        <w:t>s</w:t>
      </w:r>
      <w:r>
        <w:t xml:space="preserve">, it wasn’t uncommon for families to express concern and confusion </w:t>
      </w:r>
      <w:r w:rsidR="00676BBD">
        <w:t xml:space="preserve">to the reviewer </w:t>
      </w:r>
      <w:r>
        <w:t xml:space="preserve">as to when services might end. </w:t>
      </w:r>
      <w:r w:rsidR="00676BBD">
        <w:t xml:space="preserve">Similarly, </w:t>
      </w:r>
      <w:r>
        <w:t xml:space="preserve">reviewers encountered staff who reported that it is appropriate to only discuss transition with families when approaching the end of services. </w:t>
      </w:r>
      <w:r w:rsidR="003B0C03">
        <w:t>Further, s</w:t>
      </w:r>
      <w:r>
        <w:t>taff turnover was a pervasive theme and undoubtedly an ongoing frustration for both families and provider systems. While staff departures are difficult for all involved, it is possible to mitigate many of the unintended consequences with strategic and thoughtful planning</w:t>
      </w:r>
      <w:r w:rsidR="00AD6B2E">
        <w:t>, examples of such</w:t>
      </w:r>
      <w:r w:rsidR="00CC5AC0">
        <w:t xml:space="preserve"> are</w:t>
      </w:r>
      <w:r w:rsidR="00AD6B2E">
        <w:t xml:space="preserve"> included in </w:t>
      </w:r>
      <w:r w:rsidR="00AD6B2E" w:rsidRPr="00CB0413">
        <w:rPr>
          <w:b/>
          <w:color w:val="5B9BD5" w:themeColor="accent1"/>
        </w:rPr>
        <w:t>Appendix A</w:t>
      </w:r>
      <w:r>
        <w:t xml:space="preserve">.  </w:t>
      </w:r>
    </w:p>
    <w:p w:rsidR="001B1DF7" w:rsidRDefault="001B1DF7" w:rsidP="001B1DF7"/>
    <w:p w:rsidR="001B1DF7" w:rsidRPr="00533DDA" w:rsidRDefault="001B1DF7" w:rsidP="001B1DF7">
      <w:pPr>
        <w:rPr>
          <w:b/>
          <w:i/>
        </w:rPr>
      </w:pPr>
      <w:r w:rsidRPr="00533DDA">
        <w:rPr>
          <w:b/>
          <w:i/>
        </w:rPr>
        <w:t>IHT: Team Formation, Team Participation, and Care Coordination</w:t>
      </w:r>
    </w:p>
    <w:p w:rsidR="001B1DF7" w:rsidRDefault="001B1DF7" w:rsidP="001B1DF7">
      <w:r>
        <w:t>The</w:t>
      </w:r>
      <w:r w:rsidR="007A24B4">
        <w:t>se</w:t>
      </w:r>
      <w:r>
        <w:t xml:space="preserve"> three components</w:t>
      </w:r>
      <w:r w:rsidR="007A24B4">
        <w:t xml:space="preserve"> </w:t>
      </w:r>
      <w:r>
        <w:t>related to IHT’s function as a team facilitator</w:t>
      </w:r>
      <w:r w:rsidR="007A24B4">
        <w:t xml:space="preserve"> </w:t>
      </w:r>
      <w:r w:rsidR="00397C33">
        <w:t>should be a focus of improvement</w:t>
      </w:r>
      <w:r>
        <w:t>.</w:t>
      </w:r>
      <w:r w:rsidR="00397C33">
        <w:t xml:space="preserve"> All three were Fair or above less than 70% of the time.</w:t>
      </w:r>
      <w:r>
        <w:t xml:space="preserve"> Insufficient contact with both formal providers and natural supports was pervasive. In particular</w:t>
      </w:r>
      <w:r w:rsidR="003B18E4">
        <w:t>,</w:t>
      </w:r>
      <w:r>
        <w:t xml:space="preserve"> additional outreach and inclusion was indicated </w:t>
      </w:r>
      <w:r w:rsidR="003B18E4">
        <w:t xml:space="preserve">as being needed yet absent with regard to </w:t>
      </w:r>
      <w:r>
        <w:t>school</w:t>
      </w:r>
      <w:r w:rsidR="003B18E4">
        <w:t>s</w:t>
      </w:r>
      <w:r>
        <w:t>, the Department of Children and Families</w:t>
      </w:r>
      <w:r w:rsidR="002F08D0">
        <w:t xml:space="preserve"> (DCF)</w:t>
      </w:r>
      <w:r w:rsidR="003B18E4">
        <w:t>,</w:t>
      </w:r>
      <w:r>
        <w:t xml:space="preserve"> and prescribers of psychopharmacology. </w:t>
      </w:r>
      <w:r w:rsidR="00DF48FA">
        <w:t>It should be noted that a lack of contact with the providers managing the youth’s medication</w:t>
      </w:r>
      <w:r w:rsidR="007A24B4">
        <w:t>,</w:t>
      </w:r>
      <w:r w:rsidR="00DF48FA">
        <w:t xml:space="preserve"> such as primary care doctors or psychiatrists</w:t>
      </w:r>
      <w:r w:rsidR="007A24B4">
        <w:t>,</w:t>
      </w:r>
      <w:r w:rsidR="00DF48FA">
        <w:t xml:space="preserve"> was not exclusive to IHT as it was also problematic in the ICC reviews as well. </w:t>
      </w:r>
    </w:p>
    <w:p w:rsidR="001B1DF7" w:rsidRDefault="001B1DF7" w:rsidP="001B1DF7"/>
    <w:p w:rsidR="001B1DF7" w:rsidRPr="00533DDA" w:rsidRDefault="001B1DF7" w:rsidP="001B1DF7">
      <w:pPr>
        <w:rPr>
          <w:b/>
          <w:i/>
        </w:rPr>
      </w:pPr>
      <w:r w:rsidRPr="00533DDA">
        <w:rPr>
          <w:b/>
          <w:i/>
        </w:rPr>
        <w:t>IHT: Cultural Sensitivity and Responsiveness</w:t>
      </w:r>
    </w:p>
    <w:p w:rsidR="001B1DF7" w:rsidRDefault="001B1DF7" w:rsidP="001B1DF7">
      <w:r>
        <w:t xml:space="preserve">The MPR considers </w:t>
      </w:r>
      <w:r w:rsidR="003B18E4">
        <w:t xml:space="preserve">the extent to which providers understand and incorporate </w:t>
      </w:r>
      <w:r>
        <w:t>culture in the broad sense</w:t>
      </w:r>
      <w:r w:rsidR="003B18E4">
        <w:t>,</w:t>
      </w:r>
      <w:r>
        <w:t xml:space="preserve"> including such characteristics as the family’s belief, cultures, traditions, in addition to housing instability, history of victimization, </w:t>
      </w:r>
      <w:r w:rsidR="00D804D1">
        <w:t xml:space="preserve">and </w:t>
      </w:r>
      <w:r>
        <w:t xml:space="preserve">differing beliefs within the family. </w:t>
      </w:r>
      <w:r w:rsidR="003B18E4">
        <w:t xml:space="preserve">Many </w:t>
      </w:r>
      <w:r w:rsidR="007A24B4">
        <w:t xml:space="preserve">providers </w:t>
      </w:r>
      <w:r>
        <w:t>dismissed the importance of culture</w:t>
      </w:r>
      <w:r w:rsidR="003B18E4">
        <w:t>,</w:t>
      </w:r>
      <w:r>
        <w:t xml:space="preserve"> some struggled to respond</w:t>
      </w:r>
      <w:r w:rsidR="003B18E4">
        <w:t>,</w:t>
      </w:r>
      <w:r>
        <w:t xml:space="preserve"> and some reported that it had no bearing on the</w:t>
      </w:r>
      <w:r w:rsidR="007A24B4">
        <w:t>ir</w:t>
      </w:r>
      <w:r>
        <w:t xml:space="preserve"> work. In other instances, culture was seen with a very narrow lens, equating the notion of cult</w:t>
      </w:r>
      <w:r w:rsidR="00127FC1">
        <w:t xml:space="preserve">ure </w:t>
      </w:r>
      <w:r w:rsidR="002F08D0">
        <w:t>with</w:t>
      </w:r>
      <w:r w:rsidR="00127FC1">
        <w:t xml:space="preserve"> race alone.  Similar to the assessment process, a </w:t>
      </w:r>
      <w:r>
        <w:t>cultural discovery</w:t>
      </w:r>
      <w:r w:rsidR="00127FC1">
        <w:t xml:space="preserve"> with the family</w:t>
      </w:r>
      <w:r>
        <w:t xml:space="preserve"> requi</w:t>
      </w:r>
      <w:r w:rsidR="00127FC1">
        <w:t>res skillful facilitation</w:t>
      </w:r>
      <w:r>
        <w:t xml:space="preserve">; however, </w:t>
      </w:r>
      <w:r w:rsidR="00127FC1">
        <w:t xml:space="preserve">culture </w:t>
      </w:r>
      <w:r w:rsidR="00421544">
        <w:t xml:space="preserve">brings with it many </w:t>
      </w:r>
      <w:r>
        <w:t xml:space="preserve">layers of complexity. Staff must first appreciate, acknowledge, and understand their own culture and beliefs. Only then can they begin to explore how culture shapes the ways services are delivered and received.    </w:t>
      </w:r>
    </w:p>
    <w:p w:rsidR="006D4835" w:rsidRDefault="006D4835" w:rsidP="001B1DF7"/>
    <w:p w:rsidR="006D4835" w:rsidRDefault="006D4835" w:rsidP="001B1DF7"/>
    <w:p w:rsidR="001B1DF7" w:rsidRDefault="001B1DF7" w:rsidP="001B1DF7">
      <w:pPr>
        <w:pStyle w:val="Heading1"/>
        <w:numPr>
          <w:ilvl w:val="0"/>
          <w:numId w:val="0"/>
        </w:numPr>
      </w:pPr>
      <w:bookmarkStart w:id="34" w:name="_Toc458596072"/>
      <w:bookmarkStart w:id="35" w:name="_Toc467143027"/>
      <w:r>
        <w:lastRenderedPageBreak/>
        <w:t>Recommendations &amp; Next Steps</w:t>
      </w:r>
      <w:bookmarkEnd w:id="34"/>
      <w:bookmarkEnd w:id="35"/>
    </w:p>
    <w:p w:rsidR="003F17F8" w:rsidRDefault="003F17F8" w:rsidP="003F17F8">
      <w:pPr>
        <w:rPr>
          <w:rFonts w:ascii="Calibri" w:eastAsiaTheme="majorEastAsia" w:hAnsi="Calibri" w:cstheme="majorBidi"/>
          <w:b/>
          <w:bCs/>
          <w:color w:val="2E74B5" w:themeColor="accent1" w:themeShade="BF"/>
          <w:sz w:val="26"/>
          <w:szCs w:val="26"/>
        </w:rPr>
      </w:pPr>
    </w:p>
    <w:p w:rsidR="00791C30" w:rsidRPr="003F17F8" w:rsidRDefault="00E3557A" w:rsidP="003F17F8">
      <w:pPr>
        <w:rPr>
          <w:b/>
        </w:rPr>
      </w:pPr>
      <w:r w:rsidRPr="003F17F8">
        <w:rPr>
          <w:b/>
        </w:rPr>
        <w:t>Continue</w:t>
      </w:r>
      <w:r w:rsidR="00791C30" w:rsidRPr="003F17F8">
        <w:rPr>
          <w:b/>
        </w:rPr>
        <w:t xml:space="preserve">/Expand Provider Training &amp; Coaching to Support Practice Improvement </w:t>
      </w:r>
    </w:p>
    <w:p w:rsidR="00F455F5" w:rsidRPr="00F455F5" w:rsidRDefault="001C0DEF" w:rsidP="00D623D3">
      <w:pPr>
        <w:spacing w:before="60"/>
      </w:pPr>
      <w:r>
        <w:t xml:space="preserve">The Commonwealth </w:t>
      </w:r>
      <w:r w:rsidR="001B1DF7">
        <w:t xml:space="preserve">has demonstrated a commitment to continuous quality improvement </w:t>
      </w:r>
      <w:r w:rsidR="00367ED2">
        <w:t xml:space="preserve">by </w:t>
      </w:r>
      <w:r w:rsidR="001B1DF7">
        <w:t>sustaining pr</w:t>
      </w:r>
      <w:r w:rsidR="00367ED2">
        <w:t xml:space="preserve">evious training mechanisms and </w:t>
      </w:r>
      <w:r w:rsidR="001B1DF7">
        <w:t>add</w:t>
      </w:r>
      <w:r w:rsidR="00367ED2">
        <w:t>ing</w:t>
      </w:r>
      <w:r w:rsidR="001B1DF7">
        <w:t xml:space="preserve"> innovative new strategies</w:t>
      </w:r>
      <w:r w:rsidR="00367ED2">
        <w:t xml:space="preserve"> to support the </w:t>
      </w:r>
      <w:r>
        <w:t xml:space="preserve">CBHI </w:t>
      </w:r>
      <w:r w:rsidR="00B075DA">
        <w:t>service delivery system</w:t>
      </w:r>
      <w:r w:rsidR="00F455F5">
        <w:t xml:space="preserve"> over the past year</w:t>
      </w:r>
      <w:r w:rsidR="00B075DA">
        <w:t xml:space="preserve">. </w:t>
      </w:r>
      <w:r>
        <w:t xml:space="preserve">Many of the </w:t>
      </w:r>
      <w:r w:rsidR="0028187C">
        <w:t>trainings and other initiatives</w:t>
      </w:r>
      <w:r w:rsidR="00B075DA">
        <w:t xml:space="preserve"> currently underway</w:t>
      </w:r>
      <w:r>
        <w:t xml:space="preserve"> are closely </w:t>
      </w:r>
      <w:r w:rsidR="00B075DA">
        <w:t>align</w:t>
      </w:r>
      <w:r>
        <w:t xml:space="preserve">ed with the goal of supporting practice improvements </w:t>
      </w:r>
      <w:r w:rsidR="002F08D0">
        <w:t xml:space="preserve">in </w:t>
      </w:r>
      <w:r>
        <w:t xml:space="preserve">the areas identified as not meeting established standards and best practices during the FY16 MPR reviews, as well as </w:t>
      </w:r>
      <w:r w:rsidR="00F455F5">
        <w:t xml:space="preserve">during </w:t>
      </w:r>
      <w:r>
        <w:t xml:space="preserve">previous quality reviews. These </w:t>
      </w:r>
      <w:r w:rsidR="00F455F5">
        <w:t xml:space="preserve">initiatives, which are briefly summarized below, should continue to be supported and expanded upon in order to bring service delivery practice more in line with CBHI values and principles. </w:t>
      </w:r>
    </w:p>
    <w:p w:rsidR="00F455F5" w:rsidRDefault="00F455F5" w:rsidP="001B1DF7">
      <w:pPr>
        <w:rPr>
          <w:b/>
          <w:i/>
        </w:rPr>
      </w:pPr>
    </w:p>
    <w:p w:rsidR="0028187C" w:rsidRPr="00302297" w:rsidRDefault="0028187C" w:rsidP="001B1DF7">
      <w:pPr>
        <w:rPr>
          <w:b/>
          <w:i/>
        </w:rPr>
      </w:pPr>
      <w:r w:rsidRPr="00302297">
        <w:rPr>
          <w:b/>
          <w:i/>
        </w:rPr>
        <w:t>Wraparound Coaching</w:t>
      </w:r>
    </w:p>
    <w:p w:rsidR="00367ED2" w:rsidRDefault="001B1DF7" w:rsidP="001B1DF7">
      <w:r>
        <w:t>For the CSAs, the Wraparound training and coaching team continues to support fidelity to the model</w:t>
      </w:r>
      <w:r w:rsidR="00367ED2">
        <w:t xml:space="preserve"> for ICC</w:t>
      </w:r>
      <w:r>
        <w:t>. In the past year and moving forward, the ICC and F</w:t>
      </w:r>
      <w:r w:rsidR="00367ED2">
        <w:t>amily Partner</w:t>
      </w:r>
      <w:r>
        <w:t xml:space="preserve"> coaches will offer </w:t>
      </w:r>
      <w:r w:rsidRPr="00DC55C7">
        <w:t>Family Partner Leadership Forums, Regional CSA Meetings</w:t>
      </w:r>
      <w:r>
        <w:t>,</w:t>
      </w:r>
      <w:r w:rsidRPr="00DC55C7">
        <w:t xml:space="preserve"> and Individualized Coaching</w:t>
      </w:r>
      <w:r>
        <w:t>. In addition, coaches will facilitate Family Voice Forums at each CSA through</w:t>
      </w:r>
      <w:r w:rsidR="00367ED2">
        <w:t>out</w:t>
      </w:r>
      <w:r>
        <w:t xml:space="preserve"> the coming year. This will be an opportunity to hear from families about their experiences with the behavioral health system. </w:t>
      </w:r>
    </w:p>
    <w:p w:rsidR="001B1DF7" w:rsidRDefault="001B1DF7" w:rsidP="001B1DF7"/>
    <w:p w:rsidR="00517CD6" w:rsidRPr="00302297" w:rsidRDefault="00517CD6" w:rsidP="001B1DF7">
      <w:pPr>
        <w:rPr>
          <w:b/>
          <w:i/>
        </w:rPr>
      </w:pPr>
      <w:r w:rsidRPr="00302297">
        <w:rPr>
          <w:b/>
          <w:i/>
        </w:rPr>
        <w:t>IHT Practice Profile</w:t>
      </w:r>
    </w:p>
    <w:p w:rsidR="001B1DF7" w:rsidRDefault="005C0C13" w:rsidP="001B1DF7">
      <w:r>
        <w:t>CBHI</w:t>
      </w:r>
      <w:r w:rsidR="001B1DF7">
        <w:t xml:space="preserve">, in </w:t>
      </w:r>
      <w:r w:rsidR="00C252AB">
        <w:t>conjunction</w:t>
      </w:r>
      <w:r w:rsidR="001B1DF7">
        <w:t xml:space="preserve"> with the </w:t>
      </w:r>
      <w:r w:rsidR="00306CD1">
        <w:t xml:space="preserve">DMH </w:t>
      </w:r>
      <w:r w:rsidR="001B1DF7">
        <w:t xml:space="preserve">Children’s Behavioral Health Knowledge Center, has developed an IHT Practice Profile that identifies nine core components of IHT including: </w:t>
      </w:r>
    </w:p>
    <w:p w:rsidR="001B1DF7" w:rsidRPr="0040601B" w:rsidRDefault="001B1DF7" w:rsidP="0040601B">
      <w:pPr>
        <w:pStyle w:val="ListParagraph"/>
        <w:numPr>
          <w:ilvl w:val="0"/>
          <w:numId w:val="8"/>
        </w:numPr>
        <w:spacing w:after="200" w:line="276" w:lineRule="auto"/>
        <w:rPr>
          <w:b/>
        </w:rPr>
      </w:pPr>
      <w:r w:rsidRPr="0040601B">
        <w:rPr>
          <w:b/>
        </w:rPr>
        <w:t>Practicing Cultural Relevance</w:t>
      </w:r>
    </w:p>
    <w:p w:rsidR="001B1DF7" w:rsidRPr="0040601B" w:rsidRDefault="001B1DF7" w:rsidP="0040601B">
      <w:pPr>
        <w:pStyle w:val="ListParagraph"/>
        <w:numPr>
          <w:ilvl w:val="0"/>
          <w:numId w:val="8"/>
        </w:numPr>
        <w:spacing w:after="200" w:line="276" w:lineRule="auto"/>
      </w:pPr>
      <w:r w:rsidRPr="0040601B">
        <w:t>Engagement</w:t>
      </w:r>
    </w:p>
    <w:p w:rsidR="001B1DF7" w:rsidRPr="0040601B" w:rsidRDefault="001B1DF7" w:rsidP="0040601B">
      <w:pPr>
        <w:pStyle w:val="ListParagraph"/>
        <w:numPr>
          <w:ilvl w:val="0"/>
          <w:numId w:val="8"/>
        </w:numPr>
        <w:spacing w:after="200" w:line="276" w:lineRule="auto"/>
        <w:rPr>
          <w:b/>
        </w:rPr>
      </w:pPr>
      <w:r w:rsidRPr="0040601B">
        <w:rPr>
          <w:b/>
        </w:rPr>
        <w:t>Assessment and Clinical Understanding</w:t>
      </w:r>
    </w:p>
    <w:p w:rsidR="001B1DF7" w:rsidRPr="00E2058B" w:rsidRDefault="001B1DF7" w:rsidP="0040601B">
      <w:pPr>
        <w:pStyle w:val="ListParagraph"/>
        <w:numPr>
          <w:ilvl w:val="0"/>
          <w:numId w:val="8"/>
        </w:numPr>
        <w:spacing w:after="200" w:line="276" w:lineRule="auto"/>
      </w:pPr>
      <w:r w:rsidRPr="00E2058B">
        <w:t>Risk Assessment and Safety Planning</w:t>
      </w:r>
    </w:p>
    <w:p w:rsidR="001B1DF7" w:rsidRPr="00E2058B" w:rsidRDefault="001B1DF7" w:rsidP="0040601B">
      <w:pPr>
        <w:pStyle w:val="ListParagraph"/>
        <w:numPr>
          <w:ilvl w:val="0"/>
          <w:numId w:val="8"/>
        </w:numPr>
        <w:spacing w:after="200" w:line="276" w:lineRule="auto"/>
      </w:pPr>
      <w:r w:rsidRPr="00E2058B">
        <w:t>Collaborative Intervention Planning</w:t>
      </w:r>
    </w:p>
    <w:p w:rsidR="001B1DF7" w:rsidRPr="00E2058B" w:rsidRDefault="001B1DF7" w:rsidP="0040601B">
      <w:pPr>
        <w:pStyle w:val="ListParagraph"/>
        <w:numPr>
          <w:ilvl w:val="0"/>
          <w:numId w:val="8"/>
        </w:numPr>
        <w:spacing w:after="200" w:line="276" w:lineRule="auto"/>
      </w:pPr>
      <w:r w:rsidRPr="00E2058B">
        <w:t>Intensive Therapeutic Intervention</w:t>
      </w:r>
    </w:p>
    <w:p w:rsidR="001B1DF7" w:rsidRPr="00E2058B" w:rsidRDefault="001B1DF7" w:rsidP="0040601B">
      <w:pPr>
        <w:pStyle w:val="ListParagraph"/>
        <w:numPr>
          <w:ilvl w:val="0"/>
          <w:numId w:val="8"/>
        </w:numPr>
        <w:spacing w:after="200" w:line="276" w:lineRule="auto"/>
      </w:pPr>
      <w:r w:rsidRPr="0040601B">
        <w:rPr>
          <w:b/>
        </w:rPr>
        <w:t>Care Coordination and Collaboration</w:t>
      </w:r>
    </w:p>
    <w:p w:rsidR="001B1DF7" w:rsidRPr="00E2058B" w:rsidRDefault="001B1DF7" w:rsidP="0040601B">
      <w:pPr>
        <w:pStyle w:val="ListParagraph"/>
        <w:numPr>
          <w:ilvl w:val="0"/>
          <w:numId w:val="8"/>
        </w:numPr>
        <w:spacing w:after="200" w:line="276" w:lineRule="auto"/>
      </w:pPr>
      <w:r w:rsidRPr="00E2058B">
        <w:t>Engaging Natural Supports and Community Resources</w:t>
      </w:r>
    </w:p>
    <w:p w:rsidR="008E5886" w:rsidRPr="001B124E" w:rsidRDefault="001B1DF7" w:rsidP="001B1DF7">
      <w:pPr>
        <w:pStyle w:val="ListParagraph"/>
        <w:numPr>
          <w:ilvl w:val="0"/>
          <w:numId w:val="8"/>
        </w:numPr>
        <w:spacing w:after="200" w:line="276" w:lineRule="auto"/>
        <w:rPr>
          <w:b/>
        </w:rPr>
      </w:pPr>
      <w:r w:rsidRPr="0040601B">
        <w:rPr>
          <w:b/>
        </w:rPr>
        <w:t>Preparing to Exit</w:t>
      </w:r>
    </w:p>
    <w:p w:rsidR="008E5886" w:rsidRDefault="00D86996" w:rsidP="008E5886">
      <w:pPr>
        <w:pStyle w:val="Header"/>
        <w:rPr>
          <w:rFonts w:cs="Arial"/>
          <w:color w:val="FF0000"/>
        </w:rPr>
      </w:pPr>
      <w:r>
        <w:t>F</w:t>
      </w:r>
      <w:r w:rsidR="001B1DF7">
        <w:t>our of the competencies</w:t>
      </w:r>
      <w:r>
        <w:t>, indicated in bold above,</w:t>
      </w:r>
      <w:r w:rsidR="001B1DF7">
        <w:t xml:space="preserve"> directly relate to the areas </w:t>
      </w:r>
      <w:r w:rsidR="00367ED2">
        <w:t xml:space="preserve">identified in this report as needing practice improvement </w:t>
      </w:r>
      <w:r w:rsidR="001B1DF7">
        <w:t>(Assessment, Team Coordination (et. al), Cultural Sensitivity and Responsiveness, and Transition</w:t>
      </w:r>
      <w:r w:rsidR="00FE70BD">
        <w:t>)</w:t>
      </w:r>
      <w:r w:rsidR="001B1DF7">
        <w:t xml:space="preserve">. </w:t>
      </w:r>
      <w:r w:rsidR="008E5886">
        <w:t xml:space="preserve">The Practice Profile includes a detailed matrix for each item that </w:t>
      </w:r>
      <w:r>
        <w:t xml:space="preserve">rates </w:t>
      </w:r>
      <w:r w:rsidR="008E5886">
        <w:t xml:space="preserve">practice </w:t>
      </w:r>
      <w:r>
        <w:t>as either</w:t>
      </w:r>
      <w:r w:rsidR="00FE70BD">
        <w:t>:</w:t>
      </w:r>
      <w:r w:rsidR="008E5886" w:rsidRPr="00FC7CFD">
        <w:t xml:space="preserve"> </w:t>
      </w:r>
      <w:r w:rsidR="008E5886" w:rsidRPr="00FC7CFD">
        <w:rPr>
          <w:rFonts w:cs="Arial"/>
        </w:rPr>
        <w:t>Ideal</w:t>
      </w:r>
      <w:r>
        <w:rPr>
          <w:rFonts w:cs="Arial"/>
        </w:rPr>
        <w:t xml:space="preserve">, Developmental, or </w:t>
      </w:r>
      <w:r w:rsidR="008E5886" w:rsidRPr="00FC7CFD">
        <w:rPr>
          <w:rFonts w:cs="Arial"/>
        </w:rPr>
        <w:t xml:space="preserve">Unacceptable. </w:t>
      </w:r>
      <w:r w:rsidR="005C0C13">
        <w:rPr>
          <w:rFonts w:cs="Arial"/>
        </w:rPr>
        <w:t>CBHI</w:t>
      </w:r>
      <w:r w:rsidR="00630F87">
        <w:rPr>
          <w:rFonts w:cs="Arial"/>
        </w:rPr>
        <w:t xml:space="preserve"> is currently designing the activities to support the initial training and ongoing learning associated with th</w:t>
      </w:r>
      <w:r>
        <w:rPr>
          <w:rFonts w:cs="Arial"/>
        </w:rPr>
        <w:t>e Practice Profile</w:t>
      </w:r>
      <w:r w:rsidR="00630F87">
        <w:rPr>
          <w:rFonts w:cs="Arial"/>
        </w:rPr>
        <w:t xml:space="preserve">. While </w:t>
      </w:r>
      <w:r w:rsidR="00FE70BD">
        <w:rPr>
          <w:rFonts w:cs="Arial"/>
        </w:rPr>
        <w:t xml:space="preserve">it is anticipated that this resource will </w:t>
      </w:r>
      <w:r w:rsidR="00630F87">
        <w:rPr>
          <w:rFonts w:cs="Arial"/>
        </w:rPr>
        <w:t xml:space="preserve">have a significant impact on the quality of services, it remains in the early stages of implementation. It should also be noted that the IHT Practice Profile </w:t>
      </w:r>
      <w:r w:rsidR="008E5886" w:rsidRPr="00FC7CFD">
        <w:rPr>
          <w:rFonts w:cs="Arial"/>
        </w:rPr>
        <w:t xml:space="preserve">labels correspond to the Practice Indicators in the MPR. Ideal practice would be </w:t>
      </w:r>
      <w:r w:rsidR="00F7683C">
        <w:rPr>
          <w:rFonts w:cs="Arial"/>
        </w:rPr>
        <w:t>Exemplary/Best Practice, D</w:t>
      </w:r>
      <w:r w:rsidR="008E5886" w:rsidRPr="00FC7CFD">
        <w:rPr>
          <w:rFonts w:cs="Arial"/>
        </w:rPr>
        <w:t xml:space="preserve">evelopmental corresponds to ratings </w:t>
      </w:r>
      <w:r w:rsidR="00FC7CFD" w:rsidRPr="00FC7CFD">
        <w:rPr>
          <w:rFonts w:cs="Arial"/>
        </w:rPr>
        <w:t xml:space="preserve">in the Fair-Good range and </w:t>
      </w:r>
      <w:r w:rsidR="00F7683C">
        <w:rPr>
          <w:rFonts w:cs="Arial"/>
        </w:rPr>
        <w:t>Unacceptable P</w:t>
      </w:r>
      <w:r w:rsidR="008E5886" w:rsidRPr="00FC7CFD">
        <w:rPr>
          <w:rFonts w:cs="Arial"/>
        </w:rPr>
        <w:t xml:space="preserve">ractice </w:t>
      </w:r>
      <w:r w:rsidR="00FC7CFD" w:rsidRPr="00FC7CFD">
        <w:rPr>
          <w:rFonts w:cs="Arial"/>
        </w:rPr>
        <w:t xml:space="preserve">would be considered </w:t>
      </w:r>
      <w:r w:rsidR="008E5886" w:rsidRPr="00FC7CFD">
        <w:rPr>
          <w:rFonts w:cs="Arial"/>
        </w:rPr>
        <w:t>Poor or Adverse.</w:t>
      </w:r>
      <w:r w:rsidR="00630F87">
        <w:rPr>
          <w:rFonts w:cs="Arial"/>
        </w:rPr>
        <w:t xml:space="preserve"> This will be a useful tool for future analysis. </w:t>
      </w:r>
    </w:p>
    <w:p w:rsidR="001B1DF7" w:rsidRDefault="001B1DF7" w:rsidP="001B1DF7"/>
    <w:p w:rsidR="00517CD6" w:rsidRPr="00302297" w:rsidRDefault="00517CD6" w:rsidP="001B1DF7">
      <w:pPr>
        <w:rPr>
          <w:b/>
          <w:i/>
        </w:rPr>
      </w:pPr>
      <w:r w:rsidRPr="00302297">
        <w:rPr>
          <w:b/>
          <w:i/>
        </w:rPr>
        <w:t>Trauma Training</w:t>
      </w:r>
    </w:p>
    <w:p w:rsidR="001B1DF7" w:rsidRDefault="001B1DF7" w:rsidP="001B1DF7">
      <w:r>
        <w:t xml:space="preserve">Also in partnership with the Knowledge Center, </w:t>
      </w:r>
      <w:r w:rsidR="005C0C13">
        <w:t>CBHI</w:t>
      </w:r>
      <w:r>
        <w:t xml:space="preserve"> has begun to offer Attachment, Regulation and Competency (ARC) trainings to</w:t>
      </w:r>
      <w:r w:rsidR="005D53EF">
        <w:t xml:space="preserve"> 30</w:t>
      </w:r>
      <w:r>
        <w:t xml:space="preserve"> IHT and ICC providers across the state. </w:t>
      </w:r>
      <w:r w:rsidRPr="00736D1E">
        <w:t xml:space="preserve">The Trauma Center at the Justice </w:t>
      </w:r>
      <w:r w:rsidRPr="00736D1E">
        <w:lastRenderedPageBreak/>
        <w:t xml:space="preserve">Resource Institute (JRI) </w:t>
      </w:r>
      <w:r>
        <w:t>is delivering the in-person training content at three geographical cohorts. Additionally, the implementation also includes ongoing consultation and support to direct care workers as well as supervisors and senior leaders. As outlined previously, the identification and exploration of trauma with families was an area that needs further development</w:t>
      </w:r>
      <w:r w:rsidR="00D86996">
        <w:t>, particularly as it relates to Assessment</w:t>
      </w:r>
      <w:r>
        <w:t xml:space="preserve">. </w:t>
      </w:r>
      <w:r w:rsidR="00D86996">
        <w:t>T</w:t>
      </w:r>
      <w:r>
        <w:t xml:space="preserve">he ARC model provides a guiding framework for </w:t>
      </w:r>
      <w:r w:rsidRPr="00F22229">
        <w:t>thoughtful clin</w:t>
      </w:r>
      <w:r>
        <w:t>ical intervention with regard to complex trauma for</w:t>
      </w:r>
      <w:r w:rsidRPr="00F22229">
        <w:t xml:space="preserve"> youth</w:t>
      </w:r>
      <w:r w:rsidR="00517CD6">
        <w:t xml:space="preserve"> and their caregiving systems. This should serve to inform and improve the Assessment overall. </w:t>
      </w:r>
      <w:r>
        <w:t xml:space="preserve"> </w:t>
      </w:r>
    </w:p>
    <w:p w:rsidR="00517CD6" w:rsidRDefault="00517CD6" w:rsidP="001B1DF7"/>
    <w:p w:rsidR="00517CD6" w:rsidRPr="00302297" w:rsidRDefault="0047075B" w:rsidP="001B1DF7">
      <w:pPr>
        <w:rPr>
          <w:b/>
          <w:i/>
        </w:rPr>
      </w:pPr>
      <w:r w:rsidRPr="00302297">
        <w:rPr>
          <w:b/>
          <w:i/>
        </w:rPr>
        <w:t>Cultural Compe</w:t>
      </w:r>
      <w:r w:rsidR="00517CD6" w:rsidRPr="00302297">
        <w:rPr>
          <w:b/>
          <w:i/>
        </w:rPr>
        <w:t>tency</w:t>
      </w:r>
    </w:p>
    <w:p w:rsidR="001B1DF7" w:rsidRDefault="005C0C13" w:rsidP="001B1DF7">
      <w:r>
        <w:t>CBHI</w:t>
      </w:r>
      <w:r w:rsidR="001B1DF7">
        <w:t xml:space="preserve"> continues to support initiatives to bolster cultural competency as it relates to workforce development and also to enhance clinical practice. Led by Dr. Ken Hardy, </w:t>
      </w:r>
      <w:r w:rsidR="001B1DF7" w:rsidRPr="00DD014B">
        <w:rPr>
          <w:i/>
        </w:rPr>
        <w:t>Supervising Family Therapy, A Multicultural Perspective</w:t>
      </w:r>
      <w:r w:rsidR="001B1DF7">
        <w:t>, and</w:t>
      </w:r>
      <w:r w:rsidR="001B1DF7" w:rsidRPr="00DD014B">
        <w:rPr>
          <w:i/>
        </w:rPr>
        <w:t xml:space="preserve"> </w:t>
      </w:r>
      <w:r w:rsidR="001B1DF7" w:rsidRPr="0038178D">
        <w:rPr>
          <w:i/>
        </w:rPr>
        <w:t>Family Therapy</w:t>
      </w:r>
      <w:r w:rsidR="001B1DF7">
        <w:rPr>
          <w:i/>
        </w:rPr>
        <w:t>: The Hidden Wounds of Racial Trauma</w:t>
      </w:r>
      <w:r w:rsidR="001B1DF7">
        <w:t xml:space="preserve"> were deli</w:t>
      </w:r>
      <w:r w:rsidR="001B1DF7" w:rsidRPr="00DD014B">
        <w:t xml:space="preserve">vered </w:t>
      </w:r>
      <w:r w:rsidR="001B1DF7">
        <w:t xml:space="preserve">in three regional IHT cohorts this past year.  </w:t>
      </w:r>
      <w:r w:rsidR="001B1DF7" w:rsidRPr="00DD014B">
        <w:t xml:space="preserve">Dr. Hardy </w:t>
      </w:r>
      <w:r w:rsidR="001B1DF7">
        <w:t xml:space="preserve">will offer an additional training for IHT providers in the central region this fall. The delivery of culturally competent services is critically important yet an incredibly complicated endeavor. </w:t>
      </w:r>
      <w:r w:rsidR="001B1DF7">
        <w:rPr>
          <w:bCs/>
          <w:iCs/>
          <w:lang w:bidi="en-US"/>
        </w:rPr>
        <w:t xml:space="preserve">While these and other learning </w:t>
      </w:r>
      <w:r w:rsidR="00306CD1">
        <w:rPr>
          <w:bCs/>
          <w:iCs/>
          <w:lang w:bidi="en-US"/>
        </w:rPr>
        <w:t>opportunities provide a strong</w:t>
      </w:r>
      <w:r w:rsidR="001B1DF7">
        <w:rPr>
          <w:bCs/>
          <w:iCs/>
          <w:lang w:bidi="en-US"/>
        </w:rPr>
        <w:t xml:space="preserve"> knowledge base, </w:t>
      </w:r>
      <w:r w:rsidR="001B1DF7">
        <w:t xml:space="preserve">this work will </w:t>
      </w:r>
      <w:r w:rsidR="00306CD1">
        <w:t xml:space="preserve">need to </w:t>
      </w:r>
      <w:r w:rsidR="001B1DF7">
        <w:t xml:space="preserve">be continuous as issues of culture are extraordinarily complex.  </w:t>
      </w:r>
    </w:p>
    <w:p w:rsidR="001B1DF7" w:rsidRPr="00517CD6" w:rsidRDefault="001B1DF7" w:rsidP="001B1DF7">
      <w:pPr>
        <w:rPr>
          <w:i/>
        </w:rPr>
      </w:pPr>
    </w:p>
    <w:p w:rsidR="00517CD6" w:rsidRPr="00302297" w:rsidRDefault="00517CD6" w:rsidP="001B1DF7">
      <w:pPr>
        <w:rPr>
          <w:b/>
          <w:i/>
        </w:rPr>
      </w:pPr>
      <w:r w:rsidRPr="00302297">
        <w:rPr>
          <w:b/>
          <w:i/>
        </w:rPr>
        <w:t>Supervision Supports</w:t>
      </w:r>
    </w:p>
    <w:p w:rsidR="001B1DF7" w:rsidRDefault="00306CD1" w:rsidP="001B1DF7">
      <w:r>
        <w:t>Supervision is a key</w:t>
      </w:r>
      <w:r w:rsidR="001B1DF7">
        <w:t xml:space="preserve"> point in the service delivery system and change at this juncture can generate widespread improvements both for quality of care as well as staff satisfaction.  As such, </w:t>
      </w:r>
      <w:r w:rsidR="005C0C13">
        <w:t>CBHI</w:t>
      </w:r>
      <w:r>
        <w:t xml:space="preserve"> and the </w:t>
      </w:r>
      <w:r w:rsidR="001B1DF7">
        <w:t xml:space="preserve">Knowledge Center have embarked on two initiatives. The first, </w:t>
      </w:r>
      <w:r w:rsidR="001B1DF7">
        <w:rPr>
          <w:i/>
        </w:rPr>
        <w:t>Reflective Supervision Learning Community</w:t>
      </w:r>
      <w:r w:rsidR="00845611">
        <w:rPr>
          <w:i/>
        </w:rPr>
        <w:t>,</w:t>
      </w:r>
      <w:r w:rsidR="001B1DF7">
        <w:rPr>
          <w:i/>
        </w:rPr>
        <w:t xml:space="preserve"> </w:t>
      </w:r>
      <w:r w:rsidR="001B1DF7">
        <w:t xml:space="preserve">will serve to </w:t>
      </w:r>
      <w:r w:rsidR="001B1DF7" w:rsidRPr="00D410C3">
        <w:t xml:space="preserve">broaden and enhance </w:t>
      </w:r>
      <w:r w:rsidR="001B1DF7">
        <w:t xml:space="preserve">reflective </w:t>
      </w:r>
      <w:r w:rsidR="001B1DF7" w:rsidRPr="00D410C3">
        <w:t>practice within</w:t>
      </w:r>
      <w:r w:rsidR="005D53EF">
        <w:t xml:space="preserve"> </w:t>
      </w:r>
      <w:r w:rsidR="00D86996">
        <w:t>six</w:t>
      </w:r>
      <w:r w:rsidR="001B1DF7" w:rsidRPr="00D410C3">
        <w:t xml:space="preserve"> IHT</w:t>
      </w:r>
      <w:r w:rsidR="001B1DF7">
        <w:t xml:space="preserve"> programs. While this opportunity will bolster a multitude of service components, it targets </w:t>
      </w:r>
      <w:r w:rsidR="001B1DF7" w:rsidRPr="00090836">
        <w:t>trauma-informed care thr</w:t>
      </w:r>
      <w:r w:rsidR="001B1DF7">
        <w:t xml:space="preserve">ough its model of collaboration. The second initiative, </w:t>
      </w:r>
      <w:r w:rsidR="001B1DF7" w:rsidRPr="00F83446">
        <w:rPr>
          <w:i/>
        </w:rPr>
        <w:t>Yale Strengthening Supervision</w:t>
      </w:r>
      <w:r w:rsidR="001B1DF7">
        <w:rPr>
          <w:i/>
        </w:rPr>
        <w:t>,</w:t>
      </w:r>
      <w:r w:rsidR="001B1DF7">
        <w:t xml:space="preserve"> will focus on agency standards, policies, and procedures related to supervision</w:t>
      </w:r>
      <w:r w:rsidR="005D53EF">
        <w:t xml:space="preserve"> at four provider agencies</w:t>
      </w:r>
      <w:r w:rsidR="001B1DF7">
        <w:t>.  As a tiered-approach, it will include trai</w:t>
      </w:r>
      <w:r>
        <w:t>ning frontline supervisors, mid-</w:t>
      </w:r>
      <w:r w:rsidR="001B1DF7">
        <w:t>level managers</w:t>
      </w:r>
      <w:r w:rsidR="00845611">
        <w:t>,</w:t>
      </w:r>
      <w:r w:rsidR="001B1DF7">
        <w:t xml:space="preserve"> and also interface with senior leadership to effect agency-wide improvements.  </w:t>
      </w:r>
    </w:p>
    <w:p w:rsidR="001B1DF7" w:rsidRPr="00517CD6" w:rsidRDefault="001B1DF7" w:rsidP="001B1DF7">
      <w:pPr>
        <w:rPr>
          <w:i/>
        </w:rPr>
      </w:pPr>
    </w:p>
    <w:p w:rsidR="00517CD6" w:rsidRPr="00E6758A" w:rsidRDefault="00354619" w:rsidP="00354619">
      <w:pPr>
        <w:rPr>
          <w:b/>
          <w:i/>
        </w:rPr>
      </w:pPr>
      <w:r w:rsidRPr="00E6758A">
        <w:rPr>
          <w:b/>
          <w:i/>
        </w:rPr>
        <w:t xml:space="preserve">Support Practice Improvement in </w:t>
      </w:r>
      <w:r w:rsidR="00FB2FBF" w:rsidRPr="00E6758A">
        <w:rPr>
          <w:b/>
          <w:i/>
        </w:rPr>
        <w:t xml:space="preserve">the Areas of Assessment &amp; Transition </w:t>
      </w:r>
      <w:r w:rsidR="00E6758A" w:rsidRPr="00E6758A">
        <w:rPr>
          <w:b/>
          <w:i/>
        </w:rPr>
        <w:t>for ICC</w:t>
      </w:r>
    </w:p>
    <w:p w:rsidR="00845611" w:rsidRDefault="00B82208" w:rsidP="003C172B">
      <w:pPr>
        <w:spacing w:before="60"/>
      </w:pPr>
      <w:r>
        <w:t xml:space="preserve">Despite </w:t>
      </w:r>
      <w:r w:rsidR="001B1DF7">
        <w:t xml:space="preserve">the efforts noted above, the Areas of Assessment and Transition across CSAs remain unaddressed. TAC recommends several options </w:t>
      </w:r>
      <w:r>
        <w:t xml:space="preserve">that the state could consider </w:t>
      </w:r>
      <w:r w:rsidR="001B1DF7">
        <w:t xml:space="preserve">to </w:t>
      </w:r>
      <w:r w:rsidR="00306CD1">
        <w:t xml:space="preserve">bring practice </w:t>
      </w:r>
      <w:r>
        <w:t xml:space="preserve">in line with </w:t>
      </w:r>
      <w:r w:rsidR="00306CD1">
        <w:t>established standards</w:t>
      </w:r>
      <w:r>
        <w:t xml:space="preserve"> and best practices</w:t>
      </w:r>
      <w:r w:rsidR="001B1DF7">
        <w:t>. The first would be to develop a best practice guide</w:t>
      </w:r>
      <w:r w:rsidR="001B1DF7" w:rsidRPr="001A2AC6">
        <w:t xml:space="preserve"> </w:t>
      </w:r>
      <w:r w:rsidR="001B1DF7">
        <w:t xml:space="preserve">utilizing examples from the MPR </w:t>
      </w:r>
      <w:r w:rsidR="00845611">
        <w:t xml:space="preserve">qualitative </w:t>
      </w:r>
      <w:r w:rsidR="001B1DF7">
        <w:t>dat</w:t>
      </w:r>
      <w:r w:rsidR="00845611">
        <w:t>a. This would emphasize core competencies</w:t>
      </w:r>
      <w:r w:rsidR="001B1DF7">
        <w:t xml:space="preserve"> and also include creative strategies to overcome </w:t>
      </w:r>
      <w:r w:rsidR="00845611">
        <w:t xml:space="preserve">common </w:t>
      </w:r>
      <w:r w:rsidR="001B1DF7">
        <w:t xml:space="preserve">challenges. If useful, this </w:t>
      </w:r>
      <w:r w:rsidR="00306CD1">
        <w:t xml:space="preserve">tool </w:t>
      </w:r>
      <w:r w:rsidR="001B1DF7">
        <w:t>could also be expanded to highlight other promising practices identified by the MPR. In addition, Assessment and Transition could be targeted through the coaching model. The existing</w:t>
      </w:r>
      <w:r w:rsidR="00306CD1">
        <w:t xml:space="preserve"> structure offers </w:t>
      </w:r>
      <w:r w:rsidR="001B1DF7">
        <w:t>regional opportunities for sharing best practices as well as work</w:t>
      </w:r>
      <w:r w:rsidR="005B04E0">
        <w:t>ing</w:t>
      </w:r>
      <w:r w:rsidR="001B1DF7">
        <w:t xml:space="preserve"> 1:1 with each CSA. Since the Learning Collaborative model in FY15, CSAs have continued to promote the use of transition indicators for youth and families. </w:t>
      </w:r>
      <w:r w:rsidR="00306CD1">
        <w:t>It may be useful for these tools to be implemented more consistently and also expanded</w:t>
      </w:r>
      <w:r w:rsidR="005B04E0">
        <w:t xml:space="preserve"> in scope</w:t>
      </w:r>
      <w:r w:rsidR="00306CD1">
        <w:t xml:space="preserve"> to in</w:t>
      </w:r>
      <w:r w:rsidR="001B1DF7">
        <w:t xml:space="preserve">clude staff changes and shifts in life domains. </w:t>
      </w:r>
      <w:r w:rsidR="005B04E0">
        <w:t xml:space="preserve">Finally, once the IHT Practice Profile moves into full implementation, some components could be modified to support the CSAs. In particular, Assessment and Clinical Understanding could serve to bolster CSAs’ comprehensive assessments and the </w:t>
      </w:r>
      <w:r w:rsidR="00845611">
        <w:t>Stren</w:t>
      </w:r>
      <w:r w:rsidR="005B04E0">
        <w:t xml:space="preserve">gths, Needs, Cultural Discovery processes. </w:t>
      </w:r>
    </w:p>
    <w:p w:rsidR="00845611" w:rsidRDefault="00845611" w:rsidP="00043503"/>
    <w:p w:rsidR="006D4835" w:rsidRDefault="006D4835" w:rsidP="00043503"/>
    <w:p w:rsidR="00B65852" w:rsidRDefault="00B65852" w:rsidP="00043503"/>
    <w:p w:rsidR="00517CD6" w:rsidRDefault="00517CD6" w:rsidP="00517CD6">
      <w:pPr>
        <w:pStyle w:val="Heading1"/>
        <w:numPr>
          <w:ilvl w:val="0"/>
          <w:numId w:val="0"/>
        </w:numPr>
      </w:pPr>
      <w:bookmarkStart w:id="36" w:name="_Toc467143028"/>
      <w:r>
        <w:lastRenderedPageBreak/>
        <w:t>Appendix A</w:t>
      </w:r>
      <w:bookmarkEnd w:id="36"/>
    </w:p>
    <w:p w:rsidR="0032078D" w:rsidRDefault="00FC15E7" w:rsidP="00B82FB5">
      <w:pPr>
        <w:spacing w:before="240"/>
      </w:pPr>
      <w:r>
        <w:t xml:space="preserve">The </w:t>
      </w:r>
      <w:r w:rsidR="00FB2FBF">
        <w:t>t</w:t>
      </w:r>
      <w:r>
        <w:t xml:space="preserve">able </w:t>
      </w:r>
      <w:r w:rsidR="00224FDD">
        <w:t xml:space="preserve">below </w:t>
      </w:r>
      <w:r w:rsidR="00FB2FBF">
        <w:t xml:space="preserve">consists of </w:t>
      </w:r>
      <w:r w:rsidR="00482E19">
        <w:t>qualitative data c</w:t>
      </w:r>
      <w:r w:rsidR="00FB2FBF">
        <w:t>ompiled from MPR r</w:t>
      </w:r>
      <w:r w:rsidR="00517CD6">
        <w:t>eviewer comments</w:t>
      </w:r>
      <w:r w:rsidR="00224FDD">
        <w:t xml:space="preserve"> used to support their ratings</w:t>
      </w:r>
      <w:r w:rsidR="00517CD6">
        <w:t xml:space="preserve">. </w:t>
      </w:r>
      <w:r w:rsidR="00224FDD">
        <w:t>These comments serve to demonstrate the spectrum of quality from Exemplary or Good practice to Poor or Adverse. In several Areas, the examples of practice meeting or exceeding established standards and best practices should be understood as isolated instances, not necessarily indicative of larger trends. I</w:t>
      </w:r>
      <w:r w:rsidR="00224FDD" w:rsidRPr="00FB2FBF">
        <w:t>n other Areas, comments describ</w:t>
      </w:r>
      <w:r w:rsidR="00224FDD">
        <w:t>e</w:t>
      </w:r>
      <w:r w:rsidR="00224FDD" w:rsidRPr="00FB2FBF">
        <w:t xml:space="preserve"> practice not meeting established standards and best practices </w:t>
      </w:r>
      <w:r w:rsidR="00224FDD">
        <w:t xml:space="preserve">and </w:t>
      </w:r>
      <w:r w:rsidR="00224FDD" w:rsidRPr="00FB2FBF">
        <w:t>are examples of pervasive patterns.</w:t>
      </w:r>
      <w:r w:rsidR="00224FDD">
        <w:t xml:space="preserve"> These qualitative themes </w:t>
      </w:r>
      <w:r w:rsidR="008A06B7">
        <w:t>and reviewer comments provide</w:t>
      </w:r>
      <w:r w:rsidR="00224FDD">
        <w:t xml:space="preserve"> a rich look into the experiences of families, their perception of the services, and their assessment of their own progress. </w:t>
      </w:r>
      <w:r w:rsidR="00380F3F">
        <w:t>They also</w:t>
      </w:r>
      <w:r w:rsidR="008A06B7">
        <w:t xml:space="preserve"> </w:t>
      </w:r>
      <w:r w:rsidR="00224FDD">
        <w:t>highlight examples of provider ingenuity</w:t>
      </w:r>
      <w:r w:rsidR="00380F3F">
        <w:t>,</w:t>
      </w:r>
      <w:r w:rsidR="00224FDD">
        <w:t xml:space="preserve"> as well as the challenges to service delivery that persist in many areas. </w:t>
      </w:r>
    </w:p>
    <w:p w:rsidR="00FB2FBF" w:rsidRDefault="00FB2FBF" w:rsidP="00FB2FBF">
      <w:pPr>
        <w:jc w:val="center"/>
      </w:pPr>
    </w:p>
    <w:tbl>
      <w:tblPr>
        <w:tblStyle w:val="MediumShading1-Accent111"/>
        <w:tblW w:w="4616" w:type="pct"/>
        <w:jc w:val="center"/>
        <w:tblBorders>
          <w:insideV w:val="single" w:sz="8" w:space="0" w:color="7BA0CD"/>
        </w:tblBorders>
        <w:tblLayout w:type="fixed"/>
        <w:tblLook w:val="04A0" w:firstRow="1" w:lastRow="0" w:firstColumn="1" w:lastColumn="0" w:noHBand="0" w:noVBand="1"/>
      </w:tblPr>
      <w:tblGrid>
        <w:gridCol w:w="1465"/>
        <w:gridCol w:w="52"/>
        <w:gridCol w:w="607"/>
        <w:gridCol w:w="4130"/>
        <w:gridCol w:w="3698"/>
      </w:tblGrid>
      <w:tr w:rsidR="001506FD" w:rsidRPr="001506FD" w:rsidTr="00FB2FBF">
        <w:trPr>
          <w:cnfStyle w:val="100000000000" w:firstRow="1" w:lastRow="0" w:firstColumn="0" w:lastColumn="0" w:oddVBand="0" w:evenVBand="0" w:oddHBand="0" w:evenHBand="0" w:firstRowFirstColumn="0" w:firstRowLastColumn="0" w:lastRowFirstColumn="0" w:lastRowLastColumn="0"/>
          <w:trHeight w:val="241"/>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rsidR="001506FD" w:rsidRPr="00B03ECC" w:rsidRDefault="001506FD" w:rsidP="0032078D">
            <w:pPr>
              <w:widowControl w:val="0"/>
              <w:spacing w:after="30"/>
              <w:jc w:val="center"/>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Appendix </w:t>
            </w:r>
            <w:r w:rsidR="0032078D" w:rsidRPr="00B03ECC">
              <w:rPr>
                <w:rFonts w:asciiTheme="minorHAnsi" w:eastAsia="Calibri" w:hAnsiTheme="minorHAnsi" w:cs="Times New Roman"/>
                <w:sz w:val="18"/>
                <w:szCs w:val="18"/>
              </w:rPr>
              <w:t>A</w:t>
            </w:r>
            <w:r w:rsidRPr="00B03ECC">
              <w:rPr>
                <w:rFonts w:asciiTheme="minorHAnsi" w:eastAsia="Calibri" w:hAnsiTheme="minorHAnsi" w:cs="Times New Roman"/>
                <w:sz w:val="18"/>
                <w:szCs w:val="18"/>
              </w:rPr>
              <w:t>: Qualitative Comments by Reviewers by Domain/Area</w:t>
            </w:r>
          </w:p>
        </w:tc>
      </w:tr>
      <w:tr w:rsidR="001506FD" w:rsidRPr="001506FD" w:rsidTr="00FB2FBF">
        <w:trPr>
          <w:cnfStyle w:val="100000000000" w:firstRow="1" w:lastRow="0" w:firstColumn="0" w:lastColumn="0" w:oddVBand="0" w:evenVBand="0" w:oddHBand="0" w:evenHBand="0" w:firstRowFirstColumn="0" w:firstRowLastColumn="0" w:lastRowFirstColumn="0" w:lastRowLastColumn="0"/>
          <w:trHeight w:val="241"/>
          <w:tblHeader/>
          <w:jc w:val="center"/>
        </w:trPr>
        <w:tc>
          <w:tcPr>
            <w:cnfStyle w:val="001000000000" w:firstRow="0" w:lastRow="0" w:firstColumn="1" w:lastColumn="0" w:oddVBand="0" w:evenVBand="0" w:oddHBand="0" w:evenHBand="0" w:firstRowFirstColumn="0" w:firstRowLastColumn="0" w:lastRowFirstColumn="0" w:lastRowLastColumn="0"/>
            <w:tcW w:w="736" w:type="pct"/>
            <w:tcBorders>
              <w:top w:val="none" w:sz="0" w:space="0" w:color="auto"/>
              <w:left w:val="none" w:sz="0" w:space="0" w:color="auto"/>
              <w:bottom w:val="none" w:sz="0" w:space="0" w:color="auto"/>
              <w:right w:val="none" w:sz="0" w:space="0" w:color="auto"/>
            </w:tcBorders>
          </w:tcPr>
          <w:p w:rsidR="001506FD" w:rsidRPr="00B03ECC" w:rsidRDefault="001506FD" w:rsidP="001506FD">
            <w:pPr>
              <w:widowControl w:val="0"/>
              <w:jc w:val="both"/>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Domain/Area </w:t>
            </w:r>
          </w:p>
        </w:tc>
        <w:tc>
          <w:tcPr>
            <w:tcW w:w="331" w:type="pct"/>
            <w:gridSpan w:val="2"/>
            <w:tcBorders>
              <w:top w:val="none" w:sz="0" w:space="0" w:color="auto"/>
              <w:left w:val="none" w:sz="0" w:space="0" w:color="auto"/>
              <w:bottom w:val="none" w:sz="0" w:space="0" w:color="auto"/>
              <w:right w:val="none" w:sz="0" w:space="0" w:color="auto"/>
            </w:tcBorders>
          </w:tcPr>
          <w:p w:rsidR="001506FD" w:rsidRPr="00B03ECC" w:rsidRDefault="001506FD" w:rsidP="001506FD">
            <w:pPr>
              <w:widowControl w:val="0"/>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Mean</w:t>
            </w:r>
          </w:p>
        </w:tc>
        <w:tc>
          <w:tcPr>
            <w:tcW w:w="3933" w:type="pct"/>
            <w:gridSpan w:val="2"/>
            <w:tcBorders>
              <w:top w:val="none" w:sz="0" w:space="0" w:color="auto"/>
              <w:left w:val="none" w:sz="0" w:space="0" w:color="auto"/>
              <w:bottom w:val="none" w:sz="0" w:space="0" w:color="auto"/>
              <w:right w:val="none" w:sz="0" w:space="0" w:color="auto"/>
            </w:tcBorders>
          </w:tcPr>
          <w:p w:rsidR="001506FD" w:rsidRPr="00B03ECC" w:rsidRDefault="001506FD" w:rsidP="001506FD">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Qualitative Themes &amp; Selected Reviewer Comments</w:t>
            </w:r>
          </w:p>
        </w:tc>
      </w:tr>
      <w:tr w:rsidR="001506FD" w:rsidRPr="001506FD" w:rsidTr="00FB2FBF">
        <w:trPr>
          <w:cnfStyle w:val="100000000000" w:firstRow="1" w:lastRow="0" w:firstColumn="0" w:lastColumn="0" w:oddVBand="0" w:evenVBand="0" w:oddHBand="0" w:evenHBand="0" w:firstRowFirstColumn="0" w:firstRowLastColumn="0" w:lastRowFirstColumn="0" w:lastRowLastColumn="0"/>
          <w:trHeight w:val="268"/>
          <w:tblHeader/>
          <w:jc w:val="center"/>
        </w:trPr>
        <w:tc>
          <w:tcPr>
            <w:cnfStyle w:val="001000000000" w:firstRow="0" w:lastRow="0" w:firstColumn="1" w:lastColumn="0" w:oddVBand="0" w:evenVBand="0" w:oddHBand="0" w:evenHBand="0" w:firstRowFirstColumn="0" w:firstRowLastColumn="0" w:lastRowFirstColumn="0" w:lastRowLastColumn="0"/>
            <w:tcW w:w="1067" w:type="pct"/>
            <w:gridSpan w:val="3"/>
            <w:tcBorders>
              <w:top w:val="none" w:sz="0" w:space="0" w:color="auto"/>
              <w:left w:val="none" w:sz="0" w:space="0" w:color="auto"/>
              <w:right w:val="none" w:sz="0" w:space="0" w:color="auto"/>
            </w:tcBorders>
            <w:shd w:val="clear" w:color="auto" w:fill="C6D9F1"/>
          </w:tcPr>
          <w:p w:rsidR="001506FD" w:rsidRPr="00B03ECC" w:rsidRDefault="001506FD" w:rsidP="001506FD">
            <w:pPr>
              <w:widowControl w:val="0"/>
              <w:rPr>
                <w:rFonts w:asciiTheme="minorHAnsi" w:eastAsia="Calibri" w:hAnsiTheme="minorHAnsi" w:cs="Times New Roman"/>
                <w:sz w:val="18"/>
                <w:szCs w:val="18"/>
              </w:rPr>
            </w:pPr>
          </w:p>
        </w:tc>
        <w:tc>
          <w:tcPr>
            <w:tcW w:w="2075" w:type="pct"/>
            <w:tcBorders>
              <w:top w:val="none" w:sz="0" w:space="0" w:color="auto"/>
              <w:left w:val="none" w:sz="0" w:space="0" w:color="auto"/>
              <w:right w:val="none" w:sz="0" w:space="0" w:color="auto"/>
            </w:tcBorders>
            <w:shd w:val="clear" w:color="auto" w:fill="C6D9F1"/>
          </w:tcPr>
          <w:p w:rsidR="001506FD" w:rsidRPr="00B03ECC" w:rsidRDefault="001506FD" w:rsidP="001506FD">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color w:val="auto"/>
                <w:sz w:val="18"/>
                <w:szCs w:val="18"/>
              </w:rPr>
            </w:pPr>
            <w:r w:rsidRPr="00B03ECC">
              <w:rPr>
                <w:rFonts w:asciiTheme="minorHAnsi" w:eastAsia="Calibri" w:hAnsiTheme="minorHAnsi" w:cs="Times New Roman"/>
                <w:color w:val="auto"/>
                <w:sz w:val="18"/>
                <w:szCs w:val="18"/>
              </w:rPr>
              <w:t xml:space="preserve">Practice </w:t>
            </w:r>
            <w:r w:rsidR="00397C33">
              <w:rPr>
                <w:rFonts w:asciiTheme="minorHAnsi" w:eastAsia="Calibri" w:hAnsiTheme="minorHAnsi" w:cs="Times New Roman"/>
                <w:color w:val="auto"/>
                <w:sz w:val="18"/>
                <w:szCs w:val="18"/>
              </w:rPr>
              <w:t>Strengths</w:t>
            </w:r>
          </w:p>
        </w:tc>
        <w:tc>
          <w:tcPr>
            <w:tcW w:w="1858" w:type="pct"/>
            <w:tcBorders>
              <w:top w:val="none" w:sz="0" w:space="0" w:color="auto"/>
              <w:left w:val="none" w:sz="0" w:space="0" w:color="auto"/>
              <w:right w:val="none" w:sz="0" w:space="0" w:color="auto"/>
            </w:tcBorders>
            <w:shd w:val="clear" w:color="auto" w:fill="C6D9F1"/>
          </w:tcPr>
          <w:p w:rsidR="001506FD" w:rsidRPr="00B03ECC" w:rsidRDefault="001506FD" w:rsidP="001506FD">
            <w:pPr>
              <w:widowControl w:val="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color w:val="auto"/>
                <w:sz w:val="18"/>
                <w:szCs w:val="18"/>
              </w:rPr>
            </w:pPr>
            <w:r w:rsidRPr="00B03ECC">
              <w:rPr>
                <w:rFonts w:asciiTheme="minorHAnsi" w:eastAsia="Calibri" w:hAnsiTheme="minorHAnsi" w:cs="Times New Roman"/>
                <w:color w:val="auto"/>
                <w:sz w:val="18"/>
                <w:szCs w:val="18"/>
              </w:rPr>
              <w:t xml:space="preserve">Practice </w:t>
            </w:r>
            <w:r w:rsidR="00397C33">
              <w:rPr>
                <w:rFonts w:asciiTheme="minorHAnsi" w:eastAsia="Calibri" w:hAnsiTheme="minorHAnsi" w:cs="Times New Roman"/>
                <w:color w:val="auto"/>
                <w:sz w:val="18"/>
                <w:szCs w:val="18"/>
              </w:rPr>
              <w:t>Needing Improvement</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rsidR="001506FD" w:rsidRPr="00B03ECC" w:rsidRDefault="001506FD" w:rsidP="001506FD">
            <w:pPr>
              <w:widowControl w:val="0"/>
              <w:rPr>
                <w:rFonts w:asciiTheme="minorHAnsi" w:eastAsia="Calibri" w:hAnsiTheme="minorHAnsi" w:cs="Times New Roman"/>
                <w:sz w:val="18"/>
                <w:szCs w:val="18"/>
              </w:rPr>
            </w:pPr>
            <w:r w:rsidRPr="00B03ECC">
              <w:rPr>
                <w:rFonts w:asciiTheme="minorHAnsi" w:eastAsia="Calibri" w:hAnsiTheme="minorHAnsi" w:cs="Times New Roman"/>
                <w:sz w:val="18"/>
                <w:szCs w:val="18"/>
              </w:rPr>
              <w:t>Family Driven &amp; Youth Guided</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jc w:val="both"/>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Assessment</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3.0</w:t>
            </w:r>
          </w:p>
        </w:tc>
        <w:tc>
          <w:tcPr>
            <w:tcW w:w="2075" w:type="pct"/>
            <w:tcBorders>
              <w:left w:val="none" w:sz="0" w:space="0" w:color="auto"/>
              <w:righ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initial and ongoing assessment of this youth and family was incredibly thorough</w:t>
            </w:r>
            <w:r w:rsidR="00533DDA" w:rsidRPr="00B03ECC">
              <w:rPr>
                <w:rFonts w:asciiTheme="minorHAnsi" w:eastAsia="Calibri" w:hAnsiTheme="minorHAnsi" w:cs="Times New Roman"/>
                <w:sz w:val="18"/>
                <w:szCs w:val="18"/>
              </w:rPr>
              <w:t>,</w:t>
            </w:r>
            <w:r w:rsidRPr="00B03ECC">
              <w:rPr>
                <w:rFonts w:asciiTheme="minorHAnsi" w:eastAsia="Calibri" w:hAnsiTheme="minorHAnsi" w:cs="Times New Roman"/>
                <w:sz w:val="18"/>
                <w:szCs w:val="18"/>
              </w:rPr>
              <w:t xml:space="preserve"> both in depth and breath. Each area was thoughtfully explored and expressed in a strength-based, culturally competent manner. There was a commitment to a continuous and circular learning process that united the family, clinician and TT&amp;S in this shared growth experience.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initial assessment for this Youth was exceptionally thorough and thoughtful. All relevant sources of information were acknowledged and included. The CANS had clarifying narrative for every item. Strengths and cultural considerations were both documented fully for Youth and family. The whole assessment gave sufficient history and current observation to provide an overall picture of the family and clear reasoning behind the change in diagnosis.</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assessment offered a comprehensive report on history and current functioning. Most impressively, the ICC collected scads of reports to inform the process both initially and ongoing such as previous school's FBA, IHBS FBA, IEP, hospital discharge, speech and language assessment, previous ICC/FP files, and info from primary care doctor.  CA also explores the relationship and efficacy of past providers/placements. While the needs of this youth were plenty, the ICC appropriately honed in on the most critical calling for safety and stability through the development of a strong, skilled team.     </w:t>
            </w:r>
          </w:p>
        </w:tc>
        <w:tc>
          <w:tcPr>
            <w:tcW w:w="1858" w:type="pct"/>
            <w:tcBorders>
              <w:left w:val="none" w:sz="0" w:space="0" w:color="auto"/>
            </w:tcBorders>
          </w:tcPr>
          <w:p w:rsidR="00B064C2" w:rsidRPr="00B03ECC" w:rsidRDefault="00B064C2" w:rsidP="00B064C2">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Documentation was poor: assessment and CANS lacked depth, no strengths, no mention of family culture, lack of history, primarily problem focused, and no diagnostic formulation.</w:t>
            </w:r>
          </w:p>
          <w:p w:rsidR="00B064C2" w:rsidRPr="00B03ECC" w:rsidRDefault="00B064C2"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trike/>
                <w:sz w:val="18"/>
                <w:szCs w:val="18"/>
              </w:rPr>
            </w:pPr>
            <w:r w:rsidRPr="00B03ECC">
              <w:rPr>
                <w:rFonts w:asciiTheme="minorHAnsi" w:eastAsia="Calibri" w:hAnsiTheme="minorHAnsi" w:cs="Times New Roman"/>
                <w:sz w:val="18"/>
                <w:szCs w:val="18"/>
              </w:rPr>
              <w:t xml:space="preserve">The clinician accepted the diagnosis of autism from the parent. There was no evidence the clinician consulted with a licensed clinician or psychiatrist on the diagnosis. </w:t>
            </w:r>
          </w:p>
          <w:p w:rsidR="00B064C2" w:rsidRPr="00B03ECC" w:rsidRDefault="00B064C2"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B064C2"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Initial assessment noted that quality was limited due to poor initial engagement. Once the team was able to establish rapport, it would have been important to revisit the assessment process rather than view it as a static task. No outreach to other providers to obtain external assessments, treatment plans, etc. (example: school therapist with whom he had been working for 2 years).</w:t>
            </w:r>
          </w:p>
          <w:p w:rsidR="00B064C2" w:rsidRPr="00B03ECC" w:rsidRDefault="00B064C2"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trike/>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In particular, the area of trauma was insufficiently assessed, documented and considered in the course of treatment planning. This family's pervasive experience of trauma should have informed this work at all levels. This was a significant failure.  </w:t>
            </w:r>
          </w:p>
          <w:p w:rsidR="001506FD" w:rsidRPr="00B03ECC" w:rsidRDefault="001506FD" w:rsidP="001506FD">
            <w:pPr>
              <w:widowControl w:val="0"/>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Both the written documentation as well as the process of gathering the information was poor. The ICC did not request any external documentation from existing providers. </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Service Planning</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3.1</w:t>
            </w:r>
          </w:p>
        </w:tc>
        <w:tc>
          <w:tcPr>
            <w:tcW w:w="2075" w:type="pct"/>
            <w:tcBorders>
              <w:left w:val="none" w:sz="0" w:space="0" w:color="auto"/>
              <w:right w:val="none" w:sz="0" w:space="0" w:color="auto"/>
            </w:tcBorders>
          </w:tcPr>
          <w:p w:rsidR="006B5B64" w:rsidRPr="00B03ECC" w:rsidRDefault="006B5B64"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ICC/FP astutely engaged the caregiver actively in the service planning process. The team was responsive to the unpredictable and changing needs of this youth, containing crisis on a daily basis. The ICC utilized the OP and IHT Treatment Plans to generate consistent and focused goal planning and interventions.</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clinician's approach was astutely attuned to the lens of trauma, loss and instability for the children and multiple caregivers in this family system. This </w:t>
            </w:r>
            <w:r w:rsidRPr="00B03ECC">
              <w:rPr>
                <w:rFonts w:asciiTheme="minorHAnsi" w:eastAsia="Calibri" w:hAnsiTheme="minorHAnsi" w:cs="Times New Roman"/>
                <w:sz w:val="18"/>
                <w:szCs w:val="18"/>
              </w:rPr>
              <w:lastRenderedPageBreak/>
              <w:t>perspective served as the foundation for the service planning. The clinician outreached the youth's biological mother to discuss services and explore her interest in involvement. This is a critical step that can be overlooked when a caregiver is not in the home.</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Safety plan was reviewed at every CPT meeting and updated often and ICC would then send to MCI. The ICC generated a list of strengths for every member of the family in all domains such as spiritual, educational, etc. Needs were prioritized and assessed on a rating scale and corresponded with what was reflected in the CA and SNCD as well as the CANS.   </w:t>
            </w:r>
          </w:p>
          <w:p w:rsidR="006B5B64" w:rsidRPr="00B03ECC" w:rsidRDefault="006B5B64"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6B5B64" w:rsidRPr="00B03ECC" w:rsidRDefault="006B5B64"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ICP was thorough and updated. It included strengths of each team member. It also included measurement strategies defined as "first signs of success". </w:t>
            </w:r>
          </w:p>
        </w:tc>
        <w:tc>
          <w:tcPr>
            <w:tcW w:w="1858" w:type="pct"/>
            <w:tcBorders>
              <w:lef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 xml:space="preserve">Did not include youth or father in the planning process, strengths were not incorporated in the plan, plan did not change when child transitioned to father's care, no safety plan was found in the record.     </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caregivers had never seen a treatment plan, and each team member articulated different goals of the treatment process.</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 xml:space="preserve">The service plan was unable to flow from the needs identified in the comprehensive assessment, since the assessment recommended services (i.e. individual therapy, TM, </w:t>
            </w:r>
            <w:proofErr w:type="spellStart"/>
            <w:r w:rsidRPr="00B03ECC">
              <w:rPr>
                <w:rFonts w:asciiTheme="minorHAnsi" w:eastAsia="Calibri" w:hAnsiTheme="minorHAnsi" w:cs="Times New Roman"/>
                <w:sz w:val="18"/>
                <w:szCs w:val="18"/>
              </w:rPr>
              <w:t>neuropsych</w:t>
            </w:r>
            <w:proofErr w:type="spellEnd"/>
            <w:r w:rsidRPr="00B03ECC">
              <w:rPr>
                <w:rFonts w:asciiTheme="minorHAnsi" w:eastAsia="Calibri" w:hAnsiTheme="minorHAnsi" w:cs="Times New Roman"/>
                <w:sz w:val="18"/>
                <w:szCs w:val="18"/>
              </w:rPr>
              <w:t xml:space="preserve"> and OT </w:t>
            </w:r>
            <w:proofErr w:type="spellStart"/>
            <w:r w:rsidRPr="00B03ECC">
              <w:rPr>
                <w:rFonts w:asciiTheme="minorHAnsi" w:eastAsia="Calibri" w:hAnsiTheme="minorHAnsi" w:cs="Times New Roman"/>
                <w:sz w:val="18"/>
                <w:szCs w:val="18"/>
              </w:rPr>
              <w:t>evals</w:t>
            </w:r>
            <w:proofErr w:type="spellEnd"/>
            <w:r w:rsidRPr="00B03ECC">
              <w:rPr>
                <w:rFonts w:asciiTheme="minorHAnsi" w:eastAsia="Calibri" w:hAnsiTheme="minorHAnsi" w:cs="Times New Roman"/>
                <w:sz w:val="18"/>
                <w:szCs w:val="18"/>
              </w:rPr>
              <w:t>, etc.) and did not identify needs.</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tc>
      </w:tr>
      <w:tr w:rsidR="001506FD" w:rsidRPr="001506FD" w:rsidTr="00FB2F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lastRenderedPageBreak/>
              <w:t>Service Delivery</w:t>
            </w:r>
          </w:p>
        </w:tc>
        <w:tc>
          <w:tcPr>
            <w:tcW w:w="305" w:type="pct"/>
            <w:tcBorders>
              <w:left w:val="none" w:sz="0" w:space="0" w:color="auto"/>
              <w:right w:val="none" w:sz="0" w:space="0" w:color="auto"/>
            </w:tcBorders>
          </w:tcPr>
          <w:p w:rsidR="001506FD" w:rsidRPr="00B03ECC" w:rsidRDefault="001506FD" w:rsidP="00B65852">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B65852">
              <w:rPr>
                <w:rFonts w:asciiTheme="minorHAnsi" w:eastAsia="Calibri" w:hAnsiTheme="minorHAnsi" w:cs="Times New Roman"/>
                <w:color w:val="0070C0"/>
                <w:sz w:val="18"/>
                <w:szCs w:val="18"/>
              </w:rPr>
              <w:t>5</w:t>
            </w:r>
          </w:p>
        </w:tc>
        <w:tc>
          <w:tcPr>
            <w:tcW w:w="2075" w:type="pct"/>
            <w:tcBorders>
              <w:left w:val="none" w:sz="0" w:space="0" w:color="auto"/>
              <w:right w:val="none" w:sz="0" w:space="0" w:color="auto"/>
            </w:tcBorders>
          </w:tcPr>
          <w:p w:rsidR="00175460" w:rsidRPr="00B03ECC" w:rsidRDefault="00175460" w:rsidP="00175460">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At the first CPT meeting, the ICC noticed that the youth responded quite well to hearing his family identify his strengths. As such, the ICC then added this item to the weekly emails shared among the family and team to continue to bolster the youth.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clinician and TT&amp;S functioned as a singular unit delivering high quality in-home therapy. This team employed a variety of modalities including role playing, psychoeducation, telephonic coaching, and household structural support - all of which were responsive to the emerging needs of the family. The IHT team conducted consistent and thoughtful in-person sessions that included the entire family as well as subsets.</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75460"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clinician uses creative interventions that match the </w:t>
            </w:r>
            <w:proofErr w:type="gramStart"/>
            <w:r w:rsidRPr="00B03ECC">
              <w:rPr>
                <w:rFonts w:asciiTheme="minorHAnsi" w:eastAsia="Calibri" w:hAnsiTheme="minorHAnsi" w:cs="Times New Roman"/>
                <w:sz w:val="18"/>
                <w:szCs w:val="18"/>
              </w:rPr>
              <w:t>families</w:t>
            </w:r>
            <w:proofErr w:type="gramEnd"/>
            <w:r w:rsidRPr="00B03ECC">
              <w:rPr>
                <w:rFonts w:asciiTheme="minorHAnsi" w:eastAsia="Calibri" w:hAnsiTheme="minorHAnsi" w:cs="Times New Roman"/>
                <w:sz w:val="18"/>
                <w:szCs w:val="18"/>
              </w:rPr>
              <w:t xml:space="preserve"> strengths, interests and adapts to their changing needs. She has been successful with using art therapy to increase communication and strengthen the relationship between the mother, the youth and her sister. The IHT clinician, TM and parents are also using creative interventions with the local horse farm to help the youth self regulate.</w:t>
            </w:r>
          </w:p>
        </w:tc>
        <w:tc>
          <w:tcPr>
            <w:tcW w:w="1858" w:type="pct"/>
            <w:tcBorders>
              <w:lef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While the ICC was responsive when the youth was admitted to acute care, the overall intensity and frequency of contact was inadequate. The CPT meetings occurred approximately every 3 months and in-person contact with the caregiver appeared to be every 1-2 months. Brief phone or email check-ins occurred in between. This pattern of contact was incongruent with the family's needs.</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Safety assessment and planning is also an area that needs improvement. The ICC noted no safety concerns; however, IHT and the caregiver expressed ongoing safety concerns with regard to verbal and physical aggression between the siblings. Additionally, the caregiver is worried about the youth's cutting. The only safety plan on file was completed by a TM.  The ICC/FP seemed satisfied that if a crisis occurred, the caregiver would call emergency services and that was a sufficient safety plan.  </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Youth &amp; Family Engagement</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3.7</w:t>
            </w:r>
          </w:p>
        </w:tc>
        <w:tc>
          <w:tcPr>
            <w:tcW w:w="2075" w:type="pct"/>
            <w:tcBorders>
              <w:left w:val="none" w:sz="0" w:space="0" w:color="auto"/>
              <w:righ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IHT clinician's persistence and ongoing commitment to engaging youth and family allowed mother to feel supported. This also allowed mother to trust provider and be open to new providers such as ICC.</w:t>
            </w:r>
          </w:p>
          <w:p w:rsidR="00987922" w:rsidRPr="00B03ECC" w:rsidRDefault="00987922"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987922" w:rsidRPr="00B03ECC" w:rsidRDefault="00987922"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ICC and FP were incredibly thoughtful in their strategy to build rapport with this family. Their initial assessment outlined the caregiver's concerns with previous providers and other systems. They also considered the family's immigration status and were sensitive to those concerns. The ICC sought out ways to solicit participation from the youth and noted that he enjoyed contributing to the family vision and talking about one another's strengths.</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B03ECC">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ICC was persistent and creative with her </w:t>
            </w:r>
            <w:r w:rsidRPr="00B03ECC">
              <w:rPr>
                <w:rFonts w:asciiTheme="minorHAnsi" w:eastAsia="Calibri" w:hAnsiTheme="minorHAnsi" w:cs="Times New Roman"/>
                <w:sz w:val="18"/>
                <w:szCs w:val="18"/>
              </w:rPr>
              <w:lastRenderedPageBreak/>
              <w:t>engagement attempts. One of the long-term goals for the youth was to get a job. The ICC was able to develop a relationship with the youth while also providing her an opportunity to learn a new skill</w:t>
            </w:r>
            <w:r w:rsidR="00533DDA" w:rsidRPr="00B03ECC">
              <w:rPr>
                <w:rFonts w:asciiTheme="minorHAnsi" w:eastAsia="Calibri" w:hAnsiTheme="minorHAnsi" w:cs="Times New Roman"/>
                <w:sz w:val="18"/>
                <w:szCs w:val="18"/>
              </w:rPr>
              <w:t xml:space="preserve"> [relevant to the type of job youth was interested in</w:t>
            </w:r>
            <w:r w:rsidRPr="00B03ECC">
              <w:rPr>
                <w:rFonts w:asciiTheme="minorHAnsi" w:eastAsia="Calibri" w:hAnsiTheme="minorHAnsi" w:cs="Times New Roman"/>
                <w:sz w:val="18"/>
                <w:szCs w:val="18"/>
              </w:rPr>
              <w:t>.</w:t>
            </w:r>
            <w:r w:rsidR="00533DDA" w:rsidRPr="00B03ECC">
              <w:rPr>
                <w:rFonts w:asciiTheme="minorHAnsi" w:eastAsia="Calibri" w:hAnsiTheme="minorHAnsi" w:cs="Times New Roman"/>
                <w:sz w:val="18"/>
                <w:szCs w:val="18"/>
              </w:rPr>
              <w:t>]</w:t>
            </w:r>
            <w:r w:rsidR="00987922" w:rsidRPr="00B03ECC">
              <w:rPr>
                <w:rFonts w:asciiTheme="minorHAnsi" w:eastAsia="Calibri" w:hAnsiTheme="minorHAnsi" w:cs="Times New Roman"/>
                <w:sz w:val="18"/>
                <w:szCs w:val="18"/>
              </w:rPr>
              <w:t xml:space="preserve"> </w:t>
            </w:r>
          </w:p>
        </w:tc>
        <w:tc>
          <w:tcPr>
            <w:tcW w:w="1858" w:type="pct"/>
            <w:tcBorders>
              <w:lef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Youth and caregiver participated in meetings with CC and FP when they are able to meet.  However, they frequently cancelled, didn't seem to understand how interventions will help, and shared not feeling heard at times.</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Most significantly, the ICC never outreached the youth's father. Given his relationship with the youth and possible concerns with regard to the supervision at his home, this was a critical misstep.</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youth and family engagement did not meet expectations on this case.  The team has never met with the youth and just recently started to try to get him to join CPTs.  </w:t>
            </w:r>
            <w:r w:rsidRPr="00B03ECC">
              <w:rPr>
                <w:rFonts w:asciiTheme="minorHAnsi" w:eastAsia="Calibri" w:hAnsiTheme="minorHAnsi" w:cs="Times New Roman"/>
                <w:sz w:val="18"/>
                <w:szCs w:val="18"/>
              </w:rPr>
              <w:lastRenderedPageBreak/>
              <w:t>However, no effort has been put into making his voice heard, preparing him for meetings, and helping him further engage in this process.</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lastRenderedPageBreak/>
              <w:t>Team Formation</w:t>
            </w:r>
          </w:p>
        </w:tc>
        <w:tc>
          <w:tcPr>
            <w:tcW w:w="305" w:type="pct"/>
            <w:tcBorders>
              <w:left w:val="none" w:sz="0" w:space="0" w:color="auto"/>
              <w:right w:val="none" w:sz="0" w:space="0" w:color="auto"/>
            </w:tcBorders>
          </w:tcPr>
          <w:p w:rsidR="001506FD" w:rsidRPr="00B03ECC" w:rsidRDefault="0038548E" w:rsidP="001506FD">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Pr>
                <w:rFonts w:asciiTheme="minorHAnsi" w:eastAsia="Calibri" w:hAnsiTheme="minorHAnsi" w:cs="Times New Roman"/>
                <w:color w:val="0070C0"/>
                <w:sz w:val="18"/>
                <w:szCs w:val="18"/>
              </w:rPr>
              <w:t>3.0</w:t>
            </w:r>
          </w:p>
        </w:tc>
        <w:tc>
          <w:tcPr>
            <w:tcW w:w="2075" w:type="pct"/>
            <w:tcBorders>
              <w:left w:val="none" w:sz="0" w:space="0" w:color="auto"/>
              <w:bottom w:val="single" w:sz="8" w:space="0" w:color="7BA0CD"/>
              <w:righ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ICC made efforts to understand and accommodate team schedules so as to have the greatest meeting attendance and participation. OP provider noted how helpful this was in order to get provider buy-in to the process. Utilized team strengths as well as those of the family.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Team was made up of both formal providers (ICC, FP, TM, PM, IHT, psychiatrist) and Natural Supports (2 of the youth's friends).</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ICC was incredibly thoughtful in the development and ongoing participation of all team members. For example, the caregiver's partner traveled significantly for employment reasons and the OP therapist was often unable to attend due to a limited schedule. The ICC consistently brought their celebrations and concerns to the care planning process and utilized the absent partner form.  </w:t>
            </w:r>
          </w:p>
        </w:tc>
        <w:tc>
          <w:tcPr>
            <w:tcW w:w="1858" w:type="pct"/>
            <w:tcBorders>
              <w:left w:val="none" w:sz="0" w:space="0" w:color="auto"/>
              <w:bottom w:val="single" w:sz="8" w:space="0" w:color="7BA0CD"/>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There was no engagement of formal providers or natural supports in the service planning.  There is no indication in the file of meetings with DCF.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team didn't effectively coordinate with the protective service agency to obtain details or assessments of their services.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ICC and FP did not identify or explore engaging youth's previous foster mother, who child was still placed with for first few months of the case and who mother identified as a natural support.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AC1F3C"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No natural supports have been identified for the team, and there is minimal effort to develop or find out about natural supports (despite a teacher at school who is very connected to Youth, and family involvement in their local church).</w:t>
            </w:r>
          </w:p>
        </w:tc>
      </w:tr>
      <w:tr w:rsidR="00AC1F3C"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single" w:sz="8" w:space="0" w:color="7BA0CD"/>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Team Participation</w:t>
            </w:r>
          </w:p>
        </w:tc>
        <w:tc>
          <w:tcPr>
            <w:tcW w:w="305" w:type="pct"/>
            <w:tcBorders>
              <w:left w:val="single" w:sz="8" w:space="0" w:color="7BA0CD"/>
              <w:right w:val="single" w:sz="8" w:space="0" w:color="7BA0CD"/>
            </w:tcBorders>
          </w:tcPr>
          <w:p w:rsidR="001506FD" w:rsidRPr="00B03ECC" w:rsidRDefault="001506FD" w:rsidP="001506F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38548E">
              <w:rPr>
                <w:rFonts w:asciiTheme="minorHAnsi" w:eastAsia="Calibri" w:hAnsiTheme="minorHAnsi" w:cs="Times New Roman"/>
                <w:color w:val="0070C0"/>
                <w:sz w:val="18"/>
                <w:szCs w:val="18"/>
              </w:rPr>
              <w:t>1</w:t>
            </w:r>
          </w:p>
        </w:tc>
        <w:tc>
          <w:tcPr>
            <w:tcW w:w="2075" w:type="pct"/>
            <w:tcBorders>
              <w:left w:val="single" w:sz="8" w:space="0" w:color="7BA0CD"/>
              <w:right w:val="single" w:sz="8" w:space="0" w:color="7BA0CD"/>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Good collaboration between OP and IHT both in terms of family assessment as well as to inform treatment planning around a trauma-informed model of care.</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Care Plan meetings take place in early evening when parents return from work. DCF, PP Coach, ICC, FP and both parents always attend.   School is not able to attend due to the time and location but they have a task on the plan.  - ICC obtains updates from school guidance counselor prior to the CPT and then updates her following the CPT.</w:t>
            </w:r>
          </w:p>
        </w:tc>
        <w:tc>
          <w:tcPr>
            <w:tcW w:w="1858" w:type="pct"/>
            <w:tcBorders>
              <w:left w:val="single" w:sz="8" w:space="0" w:color="7BA0CD"/>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Didn't consult school when developing the plan, despite school concerns were indicated as a priority need at referral.</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ICC did not have any contact with the prescriber. In fact, the ICC could not give any identifying information about the prescriber. The caregiver reported that in this area "communication broke down".</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ICC did have regular contact with the school; however, they were not included in the care planning process. The ICC had infrequent contact with DCF and the worker was not invited to attend CPT meetings nor was she provided any ongoing information such as ICP, safety plan, successes/challenges, etc.  </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Care Coordination</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38548E">
              <w:rPr>
                <w:rFonts w:asciiTheme="minorHAnsi" w:eastAsia="Calibri" w:hAnsiTheme="minorHAnsi" w:cs="Times New Roman"/>
                <w:color w:val="0070C0"/>
                <w:sz w:val="18"/>
                <w:szCs w:val="18"/>
              </w:rPr>
              <w:t>2</w:t>
            </w:r>
          </w:p>
        </w:tc>
        <w:tc>
          <w:tcPr>
            <w:tcW w:w="2075" w:type="pct"/>
            <w:tcBorders>
              <w:left w:val="none" w:sz="0" w:space="0" w:color="auto"/>
              <w:righ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Family, IHT and OPT consistently reported that the team had excellent communication. ICC did a great job keeping everyone on the same page and ensuring that team members talked weekly. ICC also made sure that the OPT and psychiatrist kept in good communication (OPT was the designated team member to consult with psychiatrist).</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ICC was the point person for communication and communicated</w:t>
            </w:r>
            <w:r w:rsidR="00F16875" w:rsidRPr="00B03ECC">
              <w:rPr>
                <w:rFonts w:asciiTheme="minorHAnsi" w:eastAsia="Calibri" w:hAnsiTheme="minorHAnsi" w:cs="Times New Roman"/>
                <w:sz w:val="18"/>
                <w:szCs w:val="18"/>
              </w:rPr>
              <w:t xml:space="preserve"> weekly with all team members.</w:t>
            </w:r>
            <w:r w:rsidRPr="00B03ECC">
              <w:rPr>
                <w:rFonts w:asciiTheme="minorHAnsi" w:eastAsia="Calibri" w:hAnsiTheme="minorHAnsi" w:cs="Times New Roman"/>
                <w:sz w:val="18"/>
                <w:szCs w:val="18"/>
              </w:rPr>
              <w:t xml:space="preserve"> Youth reported that she loved having one person to go to and that would make sure e</w:t>
            </w:r>
            <w:r w:rsidR="00F16875" w:rsidRPr="00B03ECC">
              <w:rPr>
                <w:rFonts w:asciiTheme="minorHAnsi" w:eastAsia="Calibri" w:hAnsiTheme="minorHAnsi" w:cs="Times New Roman"/>
                <w:sz w:val="18"/>
                <w:szCs w:val="18"/>
              </w:rPr>
              <w:t>veryone was on the same page.</w:t>
            </w:r>
            <w:r w:rsidRPr="00B03ECC">
              <w:rPr>
                <w:rFonts w:asciiTheme="minorHAnsi" w:eastAsia="Calibri" w:hAnsiTheme="minorHAnsi" w:cs="Times New Roman"/>
                <w:sz w:val="18"/>
                <w:szCs w:val="18"/>
              </w:rPr>
              <w:t xml:space="preserve"> IHT and FP reported tha</w:t>
            </w:r>
            <w:r w:rsidR="00F16875" w:rsidRPr="00B03ECC">
              <w:rPr>
                <w:rFonts w:asciiTheme="minorHAnsi" w:eastAsia="Calibri" w:hAnsiTheme="minorHAnsi" w:cs="Times New Roman"/>
                <w:sz w:val="18"/>
                <w:szCs w:val="18"/>
              </w:rPr>
              <w:t>t communication was excellent.</w:t>
            </w:r>
            <w:r w:rsidRPr="00B03ECC">
              <w:rPr>
                <w:rFonts w:asciiTheme="minorHAnsi" w:eastAsia="Calibri" w:hAnsiTheme="minorHAnsi" w:cs="Times New Roman"/>
                <w:sz w:val="18"/>
                <w:szCs w:val="18"/>
              </w:rPr>
              <w:t xml:space="preserve"> IHT was in consistent contact with the p</w:t>
            </w:r>
            <w:r w:rsidR="00F16875" w:rsidRPr="00B03ECC">
              <w:rPr>
                <w:rFonts w:asciiTheme="minorHAnsi" w:eastAsia="Calibri" w:hAnsiTheme="minorHAnsi" w:cs="Times New Roman"/>
                <w:sz w:val="18"/>
                <w:szCs w:val="18"/>
              </w:rPr>
              <w:t>sychiatrist.</w:t>
            </w:r>
            <w:r w:rsidRPr="00B03ECC">
              <w:rPr>
                <w:rFonts w:asciiTheme="minorHAnsi" w:eastAsia="Calibri" w:hAnsiTheme="minorHAnsi" w:cs="Times New Roman"/>
                <w:sz w:val="18"/>
                <w:szCs w:val="18"/>
              </w:rPr>
              <w:t xml:space="preserve"> At the end of </w:t>
            </w:r>
            <w:proofErr w:type="gramStart"/>
            <w:r w:rsidRPr="00B03ECC">
              <w:rPr>
                <w:rFonts w:asciiTheme="minorHAnsi" w:eastAsia="Calibri" w:hAnsiTheme="minorHAnsi" w:cs="Times New Roman"/>
                <w:sz w:val="18"/>
                <w:szCs w:val="18"/>
              </w:rPr>
              <w:t>service</w:t>
            </w:r>
            <w:proofErr w:type="gramEnd"/>
            <w:r w:rsidRPr="00B03ECC">
              <w:rPr>
                <w:rFonts w:asciiTheme="minorHAnsi" w:eastAsia="Calibri" w:hAnsiTheme="minorHAnsi" w:cs="Times New Roman"/>
                <w:sz w:val="18"/>
                <w:szCs w:val="18"/>
              </w:rPr>
              <w:t xml:space="preserve"> the youth began to </w:t>
            </w:r>
            <w:r w:rsidRPr="00B03ECC">
              <w:rPr>
                <w:rFonts w:asciiTheme="minorHAnsi" w:eastAsia="Calibri" w:hAnsiTheme="minorHAnsi" w:cs="Times New Roman"/>
                <w:sz w:val="18"/>
                <w:szCs w:val="18"/>
              </w:rPr>
              <w:lastRenderedPageBreak/>
              <w:t>help the ICC coordinate.</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ICC held Care Plan meetings every month, at first with only the small group (family, ICC, FP, and therapist) but with a plan to add others as they came on board. This included both natural supports (especially Father) as well as formal supports. Since school was unwilling to participate in Care Plan meetings, the ICC and FP accompanied Mother to school meetings and addressed family vision and progress at home in the school meeting context.</w:t>
            </w:r>
          </w:p>
        </w:tc>
        <w:tc>
          <w:tcPr>
            <w:tcW w:w="1858" w:type="pct"/>
            <w:tcBorders>
              <w:lef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 xml:space="preserve">IHT clinician did not see it as her role as HUB to coordinate services and did not initiate contact with any providers, except telephone VM messages to the outpatient therapist.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When reviewing with all team members who was in charge of the care coordination the parent and TT&amp;S both reported the clinician and TT&amp;S were the point people. </w:t>
            </w:r>
            <w:proofErr w:type="gramStart"/>
            <w:r w:rsidRPr="00B03ECC">
              <w:rPr>
                <w:rFonts w:asciiTheme="minorHAnsi" w:eastAsia="Calibri" w:hAnsiTheme="minorHAnsi" w:cs="Times New Roman"/>
                <w:sz w:val="18"/>
                <w:szCs w:val="18"/>
              </w:rPr>
              <w:t>However</w:t>
            </w:r>
            <w:proofErr w:type="gramEnd"/>
            <w:r w:rsidRPr="00B03ECC">
              <w:rPr>
                <w:rFonts w:asciiTheme="minorHAnsi" w:eastAsia="Calibri" w:hAnsiTheme="minorHAnsi" w:cs="Times New Roman"/>
                <w:sz w:val="18"/>
                <w:szCs w:val="18"/>
              </w:rPr>
              <w:t xml:space="preserve"> the clinician indicated the TT&amp;S is the point person.</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clinician has not had any contact with prescriber, despite this youth being on five medications.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 xml:space="preserve">The youth is currently prescribed two medications and a PRN. The ICC was unsure if the youth was on medication. Other team members also had little to no information. The youth is overweight and pre-diabetic and mother is concerned this could be the result of his medications.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tc>
      </w:tr>
      <w:tr w:rsidR="001506FD"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lastRenderedPageBreak/>
              <w:t>Transition</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2.</w:t>
            </w:r>
            <w:r w:rsidR="0038548E">
              <w:rPr>
                <w:rFonts w:asciiTheme="minorHAnsi" w:eastAsia="Calibri" w:hAnsiTheme="minorHAnsi" w:cs="Times New Roman"/>
                <w:color w:val="0070C0"/>
                <w:sz w:val="18"/>
                <w:szCs w:val="18"/>
              </w:rPr>
              <w:t>9</w:t>
            </w:r>
          </w:p>
        </w:tc>
        <w:tc>
          <w:tcPr>
            <w:tcW w:w="2075" w:type="pct"/>
            <w:tcBorders>
              <w:left w:val="none" w:sz="0" w:space="0" w:color="auto"/>
              <w:righ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IHT clinician has done a great job talking about transition early in the process and has been working with the family on a transition plan that involves sustainable supports.</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Interventions focused on the impact of the youth's transition to and from visits with her father. A new plan was developed that minimized dysregulation. Transition indicators were used with the mother to assess her skills and ability to manage her daughter's mental health needs. The use of the indicators assisted the team in moving through the transition phase. Also, the transition phase was documented well in the ICP. </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Reviewer felt that there were many transitions on this case and they were all handled exceptionally.  The ICC transition went smooth with the new one shadowing the first one.  The change in IHT clinician went very well, since the previous IHT clinician became the youth's outpatient clinician and was able to stay on the team.  Any plans for changes in schools, including her return from hospitals were all planned for accordingly.  Also, the family's graduation from wraparound services once youth was on track for DMH placement was planned for and done gradually with providers phasing out of the family's life.</w:t>
            </w:r>
          </w:p>
        </w:tc>
        <w:tc>
          <w:tcPr>
            <w:tcW w:w="1858" w:type="pct"/>
            <w:tcBorders>
              <w:lef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A change in IHT team (both clinician and TT&amp;S) was done without any planning or notice to the youth/ family.  Youth is also in the process of changing schools, and IHT team has not done anything to assist with this transition especially with much needed educational advocacy and planning.</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family was totally unaware as to when services might end. Although the ICC crafted a thoughtful vision that appeared to be in the family's own voice, there was no connection made between the vision and graduation. When asked about when services might end, caregiver stated "your [reviewer] guess is as good as mine".</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According to the record, the gap in services between clinicians due to staff turnover was almost 2 months.  The previous clinician's last note with the family did not even mention she was leaving the position or prepared the family for such transition.  </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 </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rsidR="001506FD" w:rsidRPr="00B03ECC" w:rsidRDefault="001506FD" w:rsidP="001506FD">
            <w:pPr>
              <w:widowControl w:val="0"/>
              <w:rPr>
                <w:rFonts w:asciiTheme="minorHAnsi" w:eastAsia="Calibri" w:hAnsiTheme="minorHAnsi" w:cs="Times New Roman"/>
                <w:sz w:val="18"/>
                <w:szCs w:val="18"/>
              </w:rPr>
            </w:pPr>
          </w:p>
          <w:p w:rsidR="001506FD" w:rsidRPr="00B03ECC" w:rsidRDefault="001506FD" w:rsidP="001506FD">
            <w:pPr>
              <w:widowControl w:val="0"/>
              <w:rPr>
                <w:rFonts w:asciiTheme="minorHAnsi" w:eastAsia="Calibri" w:hAnsiTheme="minorHAnsi" w:cs="Times New Roman"/>
                <w:sz w:val="18"/>
                <w:szCs w:val="18"/>
              </w:rPr>
            </w:pPr>
            <w:r w:rsidRPr="00B03ECC">
              <w:rPr>
                <w:rFonts w:asciiTheme="minorHAnsi" w:eastAsia="Calibri" w:hAnsiTheme="minorHAnsi" w:cs="Times New Roman"/>
                <w:sz w:val="18"/>
                <w:szCs w:val="18"/>
              </w:rPr>
              <w:t>Community-Based</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Responsiveness</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38548E">
              <w:rPr>
                <w:rFonts w:asciiTheme="minorHAnsi" w:eastAsia="Calibri" w:hAnsiTheme="minorHAnsi" w:cs="Times New Roman"/>
                <w:color w:val="0070C0"/>
                <w:sz w:val="18"/>
                <w:szCs w:val="18"/>
              </w:rPr>
              <w:t>5</w:t>
            </w:r>
          </w:p>
        </w:tc>
        <w:tc>
          <w:tcPr>
            <w:tcW w:w="2075" w:type="pct"/>
            <w:tcBorders>
              <w:left w:val="none" w:sz="0" w:space="0" w:color="auto"/>
              <w:righ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This clinician was very responsive to the family when in need. He was flexible with scheduling sessions and available for support by phone. They were able to meet 2-3 times per week.</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team, and FP in particular, did excellent work assisting the parent on accessing a range of supports including: summer camp, school placement for sibling, applying for SSI, furniture, rent assistance, loss/grievance group after miscarriage, clothing/winter coats, and holiday gifts. Even better, the FP was proactive with identification of possible needs but also responsive to requests from caregiver. Finally, the FP cited the "do for, do with, cheer on" mantra and discussed the process to move the parent towards self-sufficiency.</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sz w:val="18"/>
                <w:szCs w:val="18"/>
              </w:rPr>
              <w:lastRenderedPageBreak/>
              <w:t>Very prompt response to the referral; Excellent advocacy skills on the part of the ICC to obtain testing quickly.</w:t>
            </w:r>
          </w:p>
        </w:tc>
        <w:tc>
          <w:tcPr>
            <w:tcW w:w="1858" w:type="pct"/>
            <w:tcBorders>
              <w:left w:val="none" w:sz="0" w:space="0" w:color="auto"/>
            </w:tcBorders>
          </w:tcPr>
          <w:p w:rsidR="001506FD" w:rsidRPr="00B03ECC" w:rsidRDefault="00533DDA" w:rsidP="00533DDA">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F</w:t>
            </w:r>
            <w:r w:rsidR="001506FD" w:rsidRPr="00B03ECC">
              <w:rPr>
                <w:rFonts w:asciiTheme="minorHAnsi" w:eastAsia="Calibri" w:hAnsiTheme="minorHAnsi" w:cs="Times New Roman"/>
                <w:sz w:val="18"/>
                <w:szCs w:val="18"/>
              </w:rPr>
              <w:t xml:space="preserve">amily and providers are in support of OP for this youth. Given her temperament and trauma history it may be a far more accessible option for her. It also would have been helpful to explore other community supports and resources for sustainability.  </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lastRenderedPageBreak/>
              <w:t>Service Accessibility</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38548E">
              <w:rPr>
                <w:rFonts w:asciiTheme="minorHAnsi" w:eastAsia="Calibri" w:hAnsiTheme="minorHAnsi" w:cs="Times New Roman"/>
                <w:color w:val="0070C0"/>
                <w:sz w:val="18"/>
                <w:szCs w:val="18"/>
              </w:rPr>
              <w:t>9</w:t>
            </w:r>
          </w:p>
        </w:tc>
        <w:tc>
          <w:tcPr>
            <w:tcW w:w="2075" w:type="pct"/>
            <w:tcBorders>
              <w:left w:val="none" w:sz="0" w:space="0" w:color="auto"/>
              <w:righ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Both fathers work full-time with stepfather at regular hours and Father with sometimes unpredictable hours. The record is full of times that Father had to change his work schedule on short notice and ICC rescheduled her own visits or even a whole CPT to accommodate the change.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ICC and FP were attentive to the language needs of the family. In addition, they were creative about finding ways to incorporate the caregiver's English lessons as a part of the service delivery process. For example, they gave the caregiver both the English and Spanish versions of the ICP so she could use the English version for practice. </w:t>
            </w:r>
          </w:p>
        </w:tc>
        <w:tc>
          <w:tcPr>
            <w:tcW w:w="1858" w:type="pct"/>
            <w:tcBorders>
              <w:lef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Did not engage father in the assessment, treatment plan or service delivery due to </w:t>
            </w:r>
            <w:r w:rsidR="003B591C" w:rsidRPr="00B03ECC">
              <w:rPr>
                <w:rFonts w:asciiTheme="minorHAnsi" w:eastAsia="Calibri" w:hAnsiTheme="minorHAnsi" w:cs="Times New Roman"/>
                <w:sz w:val="18"/>
                <w:szCs w:val="18"/>
              </w:rPr>
              <w:t>clinician’s</w:t>
            </w:r>
            <w:r w:rsidRPr="00B03ECC">
              <w:rPr>
                <w:rFonts w:asciiTheme="minorHAnsi" w:eastAsia="Calibri" w:hAnsiTheme="minorHAnsi" w:cs="Times New Roman"/>
                <w:sz w:val="18"/>
                <w:szCs w:val="18"/>
              </w:rPr>
              <w:t xml:space="preserve"> inability to meet after 4:30.</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preferred language of the family was CV Creole, but all documentation was done in English, safety plan included. </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Both parents said that they received the first service plan in Spanish because they asked for it, but do not recall receiving any future ones in Spanish.  </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rsidR="001506FD" w:rsidRPr="00B03ECC" w:rsidRDefault="001506FD" w:rsidP="001506FD">
            <w:pPr>
              <w:widowControl w:val="0"/>
              <w:rPr>
                <w:rFonts w:asciiTheme="minorHAnsi" w:eastAsia="Calibri" w:hAnsiTheme="minorHAnsi" w:cs="Times New Roman"/>
                <w:sz w:val="18"/>
                <w:szCs w:val="18"/>
              </w:rPr>
            </w:pPr>
          </w:p>
          <w:p w:rsidR="001506FD" w:rsidRPr="00B03ECC" w:rsidRDefault="001506FD" w:rsidP="001506FD">
            <w:pPr>
              <w:widowControl w:val="0"/>
              <w:rPr>
                <w:rFonts w:asciiTheme="minorHAnsi" w:eastAsia="Calibri" w:hAnsiTheme="minorHAnsi" w:cs="Times New Roman"/>
                <w:color w:val="1F497D"/>
                <w:sz w:val="18"/>
                <w:szCs w:val="18"/>
              </w:rPr>
            </w:pPr>
            <w:r w:rsidRPr="00B03ECC">
              <w:rPr>
                <w:rFonts w:asciiTheme="minorHAnsi" w:eastAsia="Calibri" w:hAnsiTheme="minorHAnsi" w:cs="Times New Roman"/>
                <w:sz w:val="18"/>
                <w:szCs w:val="18"/>
              </w:rPr>
              <w:t>Culturally Competent</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Cultural Awareness</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38548E">
              <w:rPr>
                <w:rFonts w:asciiTheme="minorHAnsi" w:eastAsia="Calibri" w:hAnsiTheme="minorHAnsi" w:cs="Times New Roman"/>
                <w:color w:val="0070C0"/>
                <w:sz w:val="18"/>
                <w:szCs w:val="18"/>
              </w:rPr>
              <w:t>2</w:t>
            </w:r>
          </w:p>
        </w:tc>
        <w:tc>
          <w:tcPr>
            <w:tcW w:w="2075" w:type="pct"/>
            <w:tcBorders>
              <w:left w:val="none" w:sz="0" w:space="0" w:color="auto"/>
              <w:righ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ICC was clearly able to describe the unique culture of this family and how the entire approach to care was impacted. It was evident that culture was embedded in the work and was an ongoing area of discussion with the team and family.  </w:t>
            </w:r>
          </w:p>
        </w:tc>
        <w:tc>
          <w:tcPr>
            <w:tcW w:w="1858" w:type="pct"/>
            <w:tcBorders>
              <w:lef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There was no evidence that the clinician explored family/ cultural/ religious beliefs or values- documented on Comprehensive assessment as "denied."</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ICC expressed that the culture for this family was not incorporated into the work because "most of it is the same for most clients".</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Both the IHT clinician and TT&amp;S worker struggled to describe the family's culture and values.  The TT&amp;S worker described the family's culture by stating "not a lot of significant cultural issues," "regular traditional values," and "nothing I have seen or identified."  </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Cultural Sensitivity &amp; Responsiveness</w:t>
            </w:r>
          </w:p>
        </w:tc>
        <w:tc>
          <w:tcPr>
            <w:tcW w:w="305" w:type="pct"/>
            <w:tcBorders>
              <w:left w:val="none" w:sz="0" w:space="0" w:color="auto"/>
              <w:right w:val="none" w:sz="0" w:space="0" w:color="auto"/>
            </w:tcBorders>
          </w:tcPr>
          <w:p w:rsidR="001506FD" w:rsidRPr="00B03ECC" w:rsidRDefault="0038548E" w:rsidP="001506FD">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Pr>
                <w:rFonts w:asciiTheme="minorHAnsi" w:eastAsia="Calibri" w:hAnsiTheme="minorHAnsi" w:cs="Times New Roman"/>
                <w:color w:val="0070C0"/>
                <w:sz w:val="18"/>
                <w:szCs w:val="18"/>
              </w:rPr>
              <w:t>3.0</w:t>
            </w:r>
          </w:p>
        </w:tc>
        <w:tc>
          <w:tcPr>
            <w:tcW w:w="2075" w:type="pct"/>
            <w:tcBorders>
              <w:left w:val="none" w:sz="0" w:space="0" w:color="auto"/>
              <w:righ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ICC and FP did very well with their cultural awareness of this family.  They have a great understanding of this family's values, beliefs and traditions.  An example of this is their understanding and support to the parents and their relationship.  </w:t>
            </w:r>
          </w:p>
          <w:p w:rsidR="00533DDA" w:rsidRPr="00B03ECC" w:rsidRDefault="00533DDA"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ICC/FP demonstrated an understanding of the impact of homeless, frequent moves, relationship disruptions, incidents of physical abuse, parent conflict and the parents' own family history</w:t>
            </w:r>
            <w:r w:rsidR="00904F46" w:rsidRPr="00B03ECC">
              <w:rPr>
                <w:rFonts w:asciiTheme="minorHAnsi" w:eastAsia="Calibri" w:hAnsiTheme="minorHAnsi" w:cs="Times New Roman"/>
                <w:sz w:val="18"/>
                <w:szCs w:val="18"/>
              </w:rPr>
              <w:t>.</w:t>
            </w:r>
          </w:p>
        </w:tc>
        <w:tc>
          <w:tcPr>
            <w:tcW w:w="1858" w:type="pct"/>
            <w:tcBorders>
              <w:lef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Cultural sensitivity and awareness was not explored as needed. Possible areas such as languages spoken in the home and extended family, early victimization, adoption, biological parents were largely left untold. In addition, differences between clinician and family as well as generationally across the family were also not explor</w:t>
            </w:r>
            <w:r w:rsidR="00904F46" w:rsidRPr="00B03ECC">
              <w:rPr>
                <w:rFonts w:asciiTheme="minorHAnsi" w:eastAsia="Calibri" w:hAnsiTheme="minorHAnsi" w:cs="Times New Roman"/>
                <w:sz w:val="18"/>
                <w:szCs w:val="18"/>
              </w:rPr>
              <w:t>ed and appeared to this reviewer</w:t>
            </w:r>
            <w:r w:rsidRPr="00B03ECC">
              <w:rPr>
                <w:rFonts w:asciiTheme="minorHAnsi" w:eastAsia="Calibri" w:hAnsiTheme="minorHAnsi" w:cs="Times New Roman"/>
                <w:sz w:val="18"/>
                <w:szCs w:val="18"/>
              </w:rPr>
              <w:t xml:space="preserve"> to be prominent and influential.</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Areas such as the father's move to the US, substance use, trauma, and discrimination based on race were largely untouched. </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rsidR="001506FD" w:rsidRPr="00B03ECC" w:rsidRDefault="001506FD" w:rsidP="001506FD">
            <w:pPr>
              <w:widowControl w:val="0"/>
              <w:rPr>
                <w:rFonts w:asciiTheme="minorHAnsi" w:eastAsia="Calibri" w:hAnsiTheme="minorHAnsi" w:cs="Times New Roman"/>
                <w:sz w:val="18"/>
                <w:szCs w:val="18"/>
              </w:rPr>
            </w:pPr>
          </w:p>
          <w:p w:rsidR="001506FD" w:rsidRPr="00B03ECC" w:rsidRDefault="001506FD" w:rsidP="0032078D">
            <w:pPr>
              <w:widowControl w:val="0"/>
              <w:rPr>
                <w:rFonts w:asciiTheme="minorHAnsi" w:eastAsia="Calibri" w:hAnsiTheme="minorHAnsi" w:cs="Times New Roman"/>
                <w:color w:val="1F497D"/>
                <w:sz w:val="18"/>
                <w:szCs w:val="18"/>
              </w:rPr>
            </w:pPr>
            <w:r w:rsidRPr="00B03ECC">
              <w:rPr>
                <w:rFonts w:asciiTheme="minorHAnsi" w:eastAsia="Calibri" w:hAnsiTheme="minorHAnsi" w:cs="Times New Roman"/>
                <w:sz w:val="18"/>
                <w:szCs w:val="18"/>
              </w:rPr>
              <w:t xml:space="preserve">Youth/Family Progress </w:t>
            </w:r>
          </w:p>
        </w:tc>
      </w:tr>
      <w:tr w:rsidR="001506FD" w:rsidRPr="001506FD" w:rsidTr="00FB2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Youth Progress</w:t>
            </w:r>
          </w:p>
        </w:tc>
        <w:tc>
          <w:tcPr>
            <w:tcW w:w="305" w:type="pct"/>
            <w:tcBorders>
              <w:left w:val="none" w:sz="0" w:space="0" w:color="auto"/>
              <w:right w:val="none" w:sz="0" w:space="0" w:color="auto"/>
            </w:tcBorders>
          </w:tcPr>
          <w:p w:rsidR="001506FD" w:rsidRPr="00B03ECC" w:rsidRDefault="001506FD" w:rsidP="00B65852">
            <w:pPr>
              <w:widowControl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w:t>
            </w:r>
            <w:r w:rsidR="00B65852">
              <w:rPr>
                <w:rFonts w:asciiTheme="minorHAnsi" w:eastAsia="Calibri" w:hAnsiTheme="minorHAnsi" w:cs="Times New Roman"/>
                <w:color w:val="0070C0"/>
                <w:sz w:val="18"/>
                <w:szCs w:val="18"/>
              </w:rPr>
              <w:t>1</w:t>
            </w:r>
          </w:p>
        </w:tc>
        <w:tc>
          <w:tcPr>
            <w:tcW w:w="2075" w:type="pct"/>
            <w:tcBorders>
              <w:left w:val="none" w:sz="0" w:space="0" w:color="auto"/>
              <w:righ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Mom indicated progress in the area of the youth learning coping skills and identifying his emotions better. Mom reported he was not able to describe his feelings and the IHT provider developed a point scale to utilize that was based on “Mine</w:t>
            </w:r>
            <w:r w:rsidR="00E51058" w:rsidRPr="00B03ECC">
              <w:rPr>
                <w:rFonts w:asciiTheme="minorHAnsi" w:eastAsia="Calibri" w:hAnsiTheme="minorHAnsi" w:cs="Times New Roman"/>
                <w:sz w:val="18"/>
                <w:szCs w:val="18"/>
              </w:rPr>
              <w:t>c</w:t>
            </w:r>
            <w:r w:rsidRPr="00B03ECC">
              <w:rPr>
                <w:rFonts w:asciiTheme="minorHAnsi" w:eastAsia="Calibri" w:hAnsiTheme="minorHAnsi" w:cs="Times New Roman"/>
                <w:sz w:val="18"/>
                <w:szCs w:val="18"/>
              </w:rPr>
              <w:t xml:space="preserve">raft” which is one of the child’s favorite things. She reported this allowed him to work with the IHT providers and has </w:t>
            </w:r>
            <w:r w:rsidRPr="00B03ECC">
              <w:rPr>
                <w:rFonts w:asciiTheme="minorHAnsi" w:eastAsia="Calibri" w:hAnsiTheme="minorHAnsi" w:cs="Times New Roman"/>
                <w:sz w:val="18"/>
                <w:szCs w:val="18"/>
              </w:rPr>
              <w:lastRenderedPageBreak/>
              <w:t>worked to allow him to express himself and tell people why he is feeling upset.</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Mother reports "she</w:t>
            </w:r>
            <w:r w:rsidR="00C67161" w:rsidRPr="00B03ECC">
              <w:rPr>
                <w:rFonts w:asciiTheme="minorHAnsi" w:eastAsia="Calibri" w:hAnsiTheme="minorHAnsi" w:cs="Times New Roman"/>
                <w:sz w:val="18"/>
                <w:szCs w:val="18"/>
              </w:rPr>
              <w:t xml:space="preserve"> [youth]</w:t>
            </w:r>
            <w:r w:rsidRPr="00B03ECC">
              <w:rPr>
                <w:rFonts w:asciiTheme="minorHAnsi" w:eastAsia="Calibri" w:hAnsiTheme="minorHAnsi" w:cs="Times New Roman"/>
                <w:sz w:val="18"/>
                <w:szCs w:val="18"/>
              </w:rPr>
              <w:t xml:space="preserve"> is able to go to school now for months at a time and not get into a fight or kicked off the bus, and she also leaves here each morning caring about her hygiene and personal appearance, she is a much happier girl".</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Both parents rated youth's ability to use his coping skills as exceptional, especially when it comes to anxiety.  He now knows that when he feels his chest hurt, that he needs to breathe, close his eyes, step away from the situation, etc.  The youth and parents all agree that there has been good progress in his emotional functioning at home as well as an increase in socializing with the family.  A noted change in youth's community and school life is that he now has his first friend that has even come over to the house a couple times.  </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Youth's mother was very satisfied with the progress the youth and family have made as a result of the IHT services. She reported that the youth is now in a small classroom with an IEP that meets her needs and is making great gains. She credits the support and advocacy by the IHT clinician for making that happen.</w:t>
            </w:r>
          </w:p>
        </w:tc>
        <w:tc>
          <w:tcPr>
            <w:tcW w:w="1858" w:type="pct"/>
            <w:tcBorders>
              <w:left w:val="none" w:sz="0" w:space="0" w:color="auto"/>
            </w:tcBorders>
          </w:tcPr>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lastRenderedPageBreak/>
              <w:t xml:space="preserve">Overall, there was little to no progress in any domain; despite solid efforts by the ICC and other team members. The ICC did note improvement in the youth's functioning at home evidenced by less conflict. However, the ICC expressed concern with regard to the family's overall connectedness and the youth's </w:t>
            </w:r>
            <w:r w:rsidRPr="00B03ECC">
              <w:rPr>
                <w:rFonts w:asciiTheme="minorHAnsi" w:eastAsia="Calibri" w:hAnsiTheme="minorHAnsi" w:cs="Times New Roman"/>
                <w:sz w:val="18"/>
                <w:szCs w:val="18"/>
              </w:rPr>
              <w:lastRenderedPageBreak/>
              <w:t>diminished sense of hope for the future.</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IHT clinicians were in agreement that the youth's explosive/aggressive episodes are significant and warrant a higher intensity of services than IHT can provide. Therefore, IHT referred the youth back to the Continuum.</w:t>
            </w: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Overall, reviewer has significant concerns regarding the lack of progress with this youth and family. Youth's poor academic performance is of serious concern and there was little attention as to the cause and pursuit of possible accommodations. </w:t>
            </w:r>
          </w:p>
        </w:tc>
      </w:tr>
      <w:tr w:rsidR="001506FD" w:rsidRPr="001506FD" w:rsidTr="00FB2F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 w:type="pct"/>
            <w:gridSpan w:val="2"/>
            <w:tcBorders>
              <w:right w:val="none" w:sz="0" w:space="0" w:color="auto"/>
            </w:tcBorders>
          </w:tcPr>
          <w:p w:rsidR="001506FD" w:rsidRPr="00B03ECC" w:rsidRDefault="001506FD" w:rsidP="001506FD">
            <w:pPr>
              <w:widowControl w:val="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lastRenderedPageBreak/>
              <w:t>Family Progress</w:t>
            </w:r>
          </w:p>
        </w:tc>
        <w:tc>
          <w:tcPr>
            <w:tcW w:w="305" w:type="pct"/>
            <w:tcBorders>
              <w:left w:val="none" w:sz="0" w:space="0" w:color="auto"/>
              <w:right w:val="none" w:sz="0" w:space="0" w:color="auto"/>
            </w:tcBorders>
          </w:tcPr>
          <w:p w:rsidR="001506FD" w:rsidRPr="00B03ECC" w:rsidRDefault="001506FD" w:rsidP="001506FD">
            <w:pPr>
              <w:widowControl w:val="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color w:val="0070C0"/>
                <w:sz w:val="18"/>
                <w:szCs w:val="18"/>
              </w:rPr>
            </w:pPr>
            <w:r w:rsidRPr="00B03ECC">
              <w:rPr>
                <w:rFonts w:asciiTheme="minorHAnsi" w:eastAsia="Calibri" w:hAnsiTheme="minorHAnsi" w:cs="Times New Roman"/>
                <w:color w:val="0070C0"/>
                <w:sz w:val="18"/>
                <w:szCs w:val="18"/>
              </w:rPr>
              <w:t>3.2</w:t>
            </w:r>
          </w:p>
        </w:tc>
        <w:tc>
          <w:tcPr>
            <w:tcW w:w="2075" w:type="pct"/>
            <w:tcBorders>
              <w:left w:val="none" w:sz="0" w:space="0" w:color="auto"/>
              <w:righ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Mother reports feeling less depressed and more empowered. Was able to get her citizenship and drivers license. Feels more supported and comfortable with decision she made to help her family.</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 xml:space="preserve">The youth's mother expressed that being involved with services was "one of the best decisions I could have made for my family". She noted that the work has been challenging and, at times, has felt as though there are too many providers but she sees good outcomes now. She reported that the team has given them tools to better understand their </w:t>
            </w:r>
            <w:r w:rsidR="00E51058" w:rsidRPr="00B03ECC">
              <w:rPr>
                <w:rFonts w:asciiTheme="minorHAnsi" w:eastAsia="Calibri" w:hAnsiTheme="minorHAnsi" w:cs="Times New Roman"/>
                <w:sz w:val="18"/>
                <w:szCs w:val="18"/>
              </w:rPr>
              <w:t>son’s</w:t>
            </w:r>
            <w:r w:rsidRPr="00B03ECC">
              <w:rPr>
                <w:rFonts w:asciiTheme="minorHAnsi" w:eastAsia="Calibri" w:hAnsiTheme="minorHAnsi" w:cs="Times New Roman"/>
                <w:sz w:val="18"/>
                <w:szCs w:val="18"/>
              </w:rPr>
              <w:t xml:space="preserve"> needs.</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Caregiver also shared that there was significant progress in her ability to manage the youth's behavior and the family's overall quality of life.  She said that everybody got better with this service.</w:t>
            </w:r>
          </w:p>
        </w:tc>
        <w:tc>
          <w:tcPr>
            <w:tcW w:w="1858" w:type="pct"/>
            <w:tcBorders>
              <w:left w:val="none" w:sz="0" w:space="0" w:color="auto"/>
            </w:tcBorders>
          </w:tcPr>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Youth continues to demonstrate concerning behaviors. It appears that treatment provided has been ineffective given ongoing concerns. A missed opportunity to strengthen parenting amongst all adults in the home.</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The clinician and the family have different views of the progress made. This is due to several factors including the lack of a therapeutic relationship and bond between the clinician and mother and the lack of service delivery for over a month by the IHT team. Mom reported struggles to engage because the clinician would "tell us what to do and just try things. She wouldn't give me ideas or options like my other clinician" and the clinician reported "I told her the things to do but she wouldn't follow through".</w:t>
            </w: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p>
          <w:p w:rsidR="001506FD" w:rsidRPr="00B03ECC" w:rsidRDefault="001506FD" w:rsidP="001506FD">
            <w:pPr>
              <w:widowControl w:val="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imes New Roman"/>
                <w:sz w:val="18"/>
                <w:szCs w:val="18"/>
              </w:rPr>
            </w:pPr>
            <w:r w:rsidRPr="00B03ECC">
              <w:rPr>
                <w:rFonts w:asciiTheme="minorHAnsi" w:eastAsia="Calibri" w:hAnsiTheme="minorHAnsi" w:cs="Times New Roman"/>
                <w:sz w:val="18"/>
                <w:szCs w:val="18"/>
              </w:rPr>
              <w:t>It doesn't appear to the reviewer that any significant progress has been made. The ICC/FP have successfully established a rapport with the family but beyond that, interventions have been limited. This youth and family have strengths that haven't fully been developed.</w:t>
            </w:r>
          </w:p>
        </w:tc>
      </w:tr>
    </w:tbl>
    <w:p w:rsidR="00043503" w:rsidRDefault="00043503" w:rsidP="00122D4C"/>
    <w:sectPr w:rsidR="00043503" w:rsidSect="00A140FD">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95F" w:rsidRDefault="0025795F" w:rsidP="00E354BB">
      <w:r>
        <w:separator/>
      </w:r>
    </w:p>
  </w:endnote>
  <w:endnote w:type="continuationSeparator" w:id="0">
    <w:p w:rsidR="0025795F" w:rsidRDefault="0025795F" w:rsidP="00E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52824"/>
      <w:docPartObj>
        <w:docPartGallery w:val="Page Numbers (Bottom of Page)"/>
        <w:docPartUnique/>
      </w:docPartObj>
    </w:sdtPr>
    <w:sdtEndPr>
      <w:rPr>
        <w:sz w:val="22"/>
        <w:szCs w:val="22"/>
      </w:rPr>
    </w:sdtEndPr>
    <w:sdtContent>
      <w:p w:rsidR="0025795F" w:rsidRPr="006512A1" w:rsidRDefault="0025795F">
        <w:pPr>
          <w:pStyle w:val="Footer"/>
          <w:jc w:val="right"/>
          <w:rPr>
            <w:sz w:val="22"/>
            <w:szCs w:val="22"/>
          </w:rPr>
        </w:pPr>
        <w:r w:rsidRPr="006512A1">
          <w:rPr>
            <w:sz w:val="22"/>
            <w:szCs w:val="22"/>
          </w:rPr>
          <w:fldChar w:fldCharType="begin"/>
        </w:r>
        <w:r w:rsidRPr="006512A1">
          <w:rPr>
            <w:sz w:val="22"/>
            <w:szCs w:val="22"/>
          </w:rPr>
          <w:instrText xml:space="preserve"> PAGE   \* MERGEFORMAT </w:instrText>
        </w:r>
        <w:r w:rsidRPr="006512A1">
          <w:rPr>
            <w:sz w:val="22"/>
            <w:szCs w:val="22"/>
          </w:rPr>
          <w:fldChar w:fldCharType="separate"/>
        </w:r>
        <w:r w:rsidR="000B13B4">
          <w:rPr>
            <w:noProof/>
            <w:sz w:val="22"/>
            <w:szCs w:val="22"/>
          </w:rPr>
          <w:t>32</w:t>
        </w:r>
        <w:r w:rsidRPr="006512A1">
          <w:rPr>
            <w:sz w:val="22"/>
            <w:szCs w:val="22"/>
          </w:rPr>
          <w:fldChar w:fldCharType="end"/>
        </w:r>
      </w:p>
    </w:sdtContent>
  </w:sdt>
  <w:p w:rsidR="0025795F" w:rsidRDefault="002579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95F" w:rsidRDefault="0025795F" w:rsidP="00E354BB">
      <w:r>
        <w:separator/>
      </w:r>
    </w:p>
  </w:footnote>
  <w:footnote w:type="continuationSeparator" w:id="0">
    <w:p w:rsidR="0025795F" w:rsidRDefault="0025795F" w:rsidP="00E354BB">
      <w:r>
        <w:continuationSeparator/>
      </w:r>
    </w:p>
  </w:footnote>
  <w:footnote w:id="1">
    <w:p w:rsidR="0025795F" w:rsidRPr="003F01EF" w:rsidRDefault="0025795F" w:rsidP="00F4065F">
      <w:pPr>
        <w:pStyle w:val="FootnoteText"/>
        <w:rPr>
          <w:sz w:val="18"/>
          <w:szCs w:val="18"/>
        </w:rPr>
      </w:pPr>
      <w:r w:rsidRPr="003F01EF">
        <w:rPr>
          <w:rStyle w:val="FootnoteReference"/>
          <w:sz w:val="18"/>
          <w:szCs w:val="18"/>
        </w:rPr>
        <w:footnoteRef/>
      </w:r>
      <w:r w:rsidRPr="003F01EF">
        <w:rPr>
          <w:sz w:val="18"/>
          <w:szCs w:val="18"/>
        </w:rPr>
        <w:t xml:space="preserve"> Three ICC reviews across 2 CSAs were incomplete.</w:t>
      </w:r>
    </w:p>
  </w:footnote>
  <w:footnote w:id="2">
    <w:p w:rsidR="0025795F" w:rsidRPr="003F01EF" w:rsidRDefault="0025795F" w:rsidP="00F72210">
      <w:pPr>
        <w:pStyle w:val="FootnoteText"/>
        <w:rPr>
          <w:sz w:val="18"/>
          <w:szCs w:val="18"/>
        </w:rPr>
      </w:pPr>
      <w:r>
        <w:rPr>
          <w:rStyle w:val="FootnoteReference"/>
          <w:sz w:val="18"/>
          <w:szCs w:val="18"/>
        </w:rPr>
        <w:t>2</w:t>
      </w:r>
      <w:r w:rsidRPr="003F01EF">
        <w:rPr>
          <w:sz w:val="18"/>
          <w:szCs w:val="18"/>
        </w:rPr>
        <w:t xml:space="preserve"> One IHT review was incomplete. </w:t>
      </w:r>
    </w:p>
  </w:footnote>
  <w:footnote w:id="3">
    <w:p w:rsidR="0025795F" w:rsidRPr="003F01EF" w:rsidRDefault="0025795F" w:rsidP="00F72210">
      <w:pPr>
        <w:pStyle w:val="FootnoteText"/>
        <w:rPr>
          <w:sz w:val="18"/>
          <w:szCs w:val="18"/>
        </w:rPr>
      </w:pPr>
      <w:r>
        <w:rPr>
          <w:rStyle w:val="FootnoteReference"/>
          <w:sz w:val="18"/>
          <w:szCs w:val="18"/>
        </w:rPr>
        <w:t>3</w:t>
      </w:r>
      <w:r w:rsidRPr="003F01EF">
        <w:rPr>
          <w:sz w:val="18"/>
          <w:szCs w:val="18"/>
        </w:rPr>
        <w:t xml:space="preserve"> One IHT provider was removed from the review process for having just 1 youth enrolled in IHT at the time of the sample.</w:t>
      </w:r>
    </w:p>
  </w:footnote>
  <w:footnote w:id="4">
    <w:p w:rsidR="0025795F" w:rsidRDefault="0025795F">
      <w:pPr>
        <w:pStyle w:val="FootnoteText"/>
      </w:pPr>
      <w:r>
        <w:rPr>
          <w:rStyle w:val="FootnoteReference"/>
        </w:rPr>
        <w:footnoteRef/>
      </w:r>
      <w:r>
        <w:t xml:space="preserve"> </w:t>
      </w:r>
      <w:r w:rsidRPr="00BB57D4">
        <w:rPr>
          <w:sz w:val="18"/>
        </w:rPr>
        <w:t>Each review must contain three interviews inclusive of the caregiver, primary clinician, and one additional interviewee</w:t>
      </w:r>
      <w:r>
        <w:rPr>
          <w:sz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FC4"/>
    <w:multiLevelType w:val="hybridMultilevel"/>
    <w:tmpl w:val="931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D4A43"/>
    <w:multiLevelType w:val="hybridMultilevel"/>
    <w:tmpl w:val="7C94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66B"/>
    <w:multiLevelType w:val="hybridMultilevel"/>
    <w:tmpl w:val="5B58944C"/>
    <w:lvl w:ilvl="0" w:tplc="DEECC3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17900"/>
    <w:multiLevelType w:val="hybridMultilevel"/>
    <w:tmpl w:val="BE4E52A2"/>
    <w:lvl w:ilvl="0" w:tplc="048837B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C7C78"/>
    <w:multiLevelType w:val="hybridMultilevel"/>
    <w:tmpl w:val="A6A0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A501B"/>
    <w:multiLevelType w:val="hybridMultilevel"/>
    <w:tmpl w:val="F49E12C0"/>
    <w:lvl w:ilvl="0" w:tplc="04090015">
      <w:start w:val="1"/>
      <w:numFmt w:val="upperLetter"/>
      <w:lvlText w:val="%1."/>
      <w:lvlJc w:val="left"/>
      <w:pPr>
        <w:ind w:left="540" w:hanging="360"/>
      </w:pPr>
    </w:lvl>
    <w:lvl w:ilvl="1" w:tplc="0409000F">
      <w:start w:val="1"/>
      <w:numFmt w:val="decimal"/>
      <w:lvlText w:val="%2."/>
      <w:lvlJc w:val="left"/>
      <w:pPr>
        <w:tabs>
          <w:tab w:val="num" w:pos="1350"/>
        </w:tabs>
        <w:ind w:left="1350" w:hanging="360"/>
      </w:pPr>
      <w:rPr>
        <w:rFonts w:hint="default"/>
        <w:b w:val="0"/>
        <w:i w:val="0"/>
      </w:rPr>
    </w:lvl>
    <w:lvl w:ilvl="2" w:tplc="A1665ADA">
      <w:start w:val="1"/>
      <w:numFmt w:val="lowerRoman"/>
      <w:lvlText w:val="%3."/>
      <w:lvlJc w:val="right"/>
      <w:pPr>
        <w:tabs>
          <w:tab w:val="num" w:pos="2070"/>
        </w:tabs>
        <w:ind w:left="2070" w:hanging="180"/>
      </w:pPr>
      <w:rPr>
        <w:i w:val="0"/>
        <w:color w:val="auto"/>
      </w:rPr>
    </w:lvl>
    <w:lvl w:ilvl="3" w:tplc="0409000F">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4E956976"/>
    <w:multiLevelType w:val="hybridMultilevel"/>
    <w:tmpl w:val="5FB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A2C2C"/>
    <w:multiLevelType w:val="hybridMultilevel"/>
    <w:tmpl w:val="7C8EF298"/>
    <w:lvl w:ilvl="0" w:tplc="371CB8F2">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A17755"/>
    <w:multiLevelType w:val="hybridMultilevel"/>
    <w:tmpl w:val="FED006E0"/>
    <w:lvl w:ilvl="0" w:tplc="04090001">
      <w:start w:val="1"/>
      <w:numFmt w:val="bullet"/>
      <w:lvlText w:val=""/>
      <w:lvlJc w:val="left"/>
      <w:pPr>
        <w:ind w:left="720" w:hanging="360"/>
      </w:pPr>
      <w:rPr>
        <w:rFonts w:ascii="Symbol" w:hAnsi="Symbo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D48B0"/>
    <w:multiLevelType w:val="multilevel"/>
    <w:tmpl w:val="FDDEB38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581300F"/>
    <w:multiLevelType w:val="hybridMultilevel"/>
    <w:tmpl w:val="8E2EFD90"/>
    <w:lvl w:ilvl="0" w:tplc="07FA6FBC">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0E0D"/>
    <w:multiLevelType w:val="hybridMultilevel"/>
    <w:tmpl w:val="5434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9"/>
  </w:num>
  <w:num w:numId="5">
    <w:abstractNumId w:val="3"/>
  </w:num>
  <w:num w:numId="6">
    <w:abstractNumId w:val="8"/>
  </w:num>
  <w:num w:numId="7">
    <w:abstractNumId w:val="5"/>
  </w:num>
  <w:num w:numId="8">
    <w:abstractNumId w:val="11"/>
  </w:num>
  <w:num w:numId="9">
    <w:abstractNumId w:val="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11"/>
    <w:rsid w:val="000015AE"/>
    <w:rsid w:val="00006F04"/>
    <w:rsid w:val="000102CC"/>
    <w:rsid w:val="00014C6E"/>
    <w:rsid w:val="00014CA1"/>
    <w:rsid w:val="000165E4"/>
    <w:rsid w:val="00017BA8"/>
    <w:rsid w:val="00025BC8"/>
    <w:rsid w:val="00035138"/>
    <w:rsid w:val="00036EB2"/>
    <w:rsid w:val="00037FF4"/>
    <w:rsid w:val="00043503"/>
    <w:rsid w:val="00054062"/>
    <w:rsid w:val="000543FF"/>
    <w:rsid w:val="00056B1A"/>
    <w:rsid w:val="00061170"/>
    <w:rsid w:val="0006156F"/>
    <w:rsid w:val="00065CAC"/>
    <w:rsid w:val="00065E62"/>
    <w:rsid w:val="00066214"/>
    <w:rsid w:val="000765A5"/>
    <w:rsid w:val="0007732C"/>
    <w:rsid w:val="00077D48"/>
    <w:rsid w:val="000845EB"/>
    <w:rsid w:val="00097B7D"/>
    <w:rsid w:val="000B13B4"/>
    <w:rsid w:val="000C0938"/>
    <w:rsid w:val="000C6A80"/>
    <w:rsid w:val="000D46BF"/>
    <w:rsid w:val="000D6618"/>
    <w:rsid w:val="000D77CD"/>
    <w:rsid w:val="000D7CD8"/>
    <w:rsid w:val="000E6493"/>
    <w:rsid w:val="001043FE"/>
    <w:rsid w:val="00121DBF"/>
    <w:rsid w:val="00122D4C"/>
    <w:rsid w:val="00127FC1"/>
    <w:rsid w:val="00130599"/>
    <w:rsid w:val="001330B4"/>
    <w:rsid w:val="001334EF"/>
    <w:rsid w:val="00140420"/>
    <w:rsid w:val="00143B73"/>
    <w:rsid w:val="00146287"/>
    <w:rsid w:val="001478A0"/>
    <w:rsid w:val="00150616"/>
    <w:rsid w:val="001506FD"/>
    <w:rsid w:val="00155F2C"/>
    <w:rsid w:val="00156B24"/>
    <w:rsid w:val="00156DF1"/>
    <w:rsid w:val="00175460"/>
    <w:rsid w:val="00175FA8"/>
    <w:rsid w:val="00181A56"/>
    <w:rsid w:val="001839B6"/>
    <w:rsid w:val="00183C05"/>
    <w:rsid w:val="001852D9"/>
    <w:rsid w:val="00187663"/>
    <w:rsid w:val="001946C3"/>
    <w:rsid w:val="00195EFC"/>
    <w:rsid w:val="001B0B9A"/>
    <w:rsid w:val="001B124E"/>
    <w:rsid w:val="001B1DA6"/>
    <w:rsid w:val="001B1DF7"/>
    <w:rsid w:val="001B57B9"/>
    <w:rsid w:val="001C0DEF"/>
    <w:rsid w:val="001C1430"/>
    <w:rsid w:val="001C6762"/>
    <w:rsid w:val="001D176F"/>
    <w:rsid w:val="001D2F1F"/>
    <w:rsid w:val="001D360F"/>
    <w:rsid w:val="001D4C11"/>
    <w:rsid w:val="001E5A81"/>
    <w:rsid w:val="001E77DC"/>
    <w:rsid w:val="001F4426"/>
    <w:rsid w:val="001F5D59"/>
    <w:rsid w:val="001F5DD0"/>
    <w:rsid w:val="0021405C"/>
    <w:rsid w:val="002175C1"/>
    <w:rsid w:val="00217757"/>
    <w:rsid w:val="00224FDD"/>
    <w:rsid w:val="00230239"/>
    <w:rsid w:val="0023282B"/>
    <w:rsid w:val="00236A89"/>
    <w:rsid w:val="00240197"/>
    <w:rsid w:val="00244024"/>
    <w:rsid w:val="0025781B"/>
    <w:rsid w:val="0025795F"/>
    <w:rsid w:val="002601AA"/>
    <w:rsid w:val="002603F6"/>
    <w:rsid w:val="002715F9"/>
    <w:rsid w:val="00273FE1"/>
    <w:rsid w:val="00281423"/>
    <w:rsid w:val="0028187C"/>
    <w:rsid w:val="00284AD6"/>
    <w:rsid w:val="00287289"/>
    <w:rsid w:val="00294525"/>
    <w:rsid w:val="002A302E"/>
    <w:rsid w:val="002A70F9"/>
    <w:rsid w:val="002C03C5"/>
    <w:rsid w:val="002C1481"/>
    <w:rsid w:val="002D3F04"/>
    <w:rsid w:val="002D799B"/>
    <w:rsid w:val="002E44EA"/>
    <w:rsid w:val="002F08D0"/>
    <w:rsid w:val="002F11C3"/>
    <w:rsid w:val="002F3C7F"/>
    <w:rsid w:val="00300A9B"/>
    <w:rsid w:val="00302297"/>
    <w:rsid w:val="00306CD1"/>
    <w:rsid w:val="00307BAC"/>
    <w:rsid w:val="00313418"/>
    <w:rsid w:val="0031670E"/>
    <w:rsid w:val="00316BAC"/>
    <w:rsid w:val="0032078D"/>
    <w:rsid w:val="003273DA"/>
    <w:rsid w:val="00333823"/>
    <w:rsid w:val="0033598D"/>
    <w:rsid w:val="00345E13"/>
    <w:rsid w:val="003468B7"/>
    <w:rsid w:val="0035308C"/>
    <w:rsid w:val="00353C7F"/>
    <w:rsid w:val="00354619"/>
    <w:rsid w:val="0035511B"/>
    <w:rsid w:val="00367654"/>
    <w:rsid w:val="00367B9C"/>
    <w:rsid w:val="00367ED2"/>
    <w:rsid w:val="00377873"/>
    <w:rsid w:val="003805C0"/>
    <w:rsid w:val="00380F3A"/>
    <w:rsid w:val="00380F3F"/>
    <w:rsid w:val="00384593"/>
    <w:rsid w:val="00385426"/>
    <w:rsid w:val="0038548E"/>
    <w:rsid w:val="00386D2B"/>
    <w:rsid w:val="00390EA8"/>
    <w:rsid w:val="003970DC"/>
    <w:rsid w:val="00397C33"/>
    <w:rsid w:val="003A585A"/>
    <w:rsid w:val="003A758A"/>
    <w:rsid w:val="003B0C03"/>
    <w:rsid w:val="003B18E4"/>
    <w:rsid w:val="003B591C"/>
    <w:rsid w:val="003C172B"/>
    <w:rsid w:val="003C599A"/>
    <w:rsid w:val="003C622B"/>
    <w:rsid w:val="003D0550"/>
    <w:rsid w:val="003E5830"/>
    <w:rsid w:val="003F01EF"/>
    <w:rsid w:val="003F17F8"/>
    <w:rsid w:val="0040601B"/>
    <w:rsid w:val="00407533"/>
    <w:rsid w:val="00410C5F"/>
    <w:rsid w:val="0041465F"/>
    <w:rsid w:val="00421544"/>
    <w:rsid w:val="00427E15"/>
    <w:rsid w:val="00433B53"/>
    <w:rsid w:val="00434983"/>
    <w:rsid w:val="004425F9"/>
    <w:rsid w:val="00456FCD"/>
    <w:rsid w:val="00457866"/>
    <w:rsid w:val="004627DB"/>
    <w:rsid w:val="00464541"/>
    <w:rsid w:val="00464AAC"/>
    <w:rsid w:val="0047075B"/>
    <w:rsid w:val="00473A8F"/>
    <w:rsid w:val="00482E19"/>
    <w:rsid w:val="004832B7"/>
    <w:rsid w:val="00496278"/>
    <w:rsid w:val="00497FA8"/>
    <w:rsid w:val="004B46EF"/>
    <w:rsid w:val="004C30E5"/>
    <w:rsid w:val="004C424F"/>
    <w:rsid w:val="004C5EB5"/>
    <w:rsid w:val="004D16AD"/>
    <w:rsid w:val="004D36C8"/>
    <w:rsid w:val="004D4981"/>
    <w:rsid w:val="004D4DCA"/>
    <w:rsid w:val="004E2DD8"/>
    <w:rsid w:val="004E40A8"/>
    <w:rsid w:val="004E668C"/>
    <w:rsid w:val="004F160C"/>
    <w:rsid w:val="004F16F2"/>
    <w:rsid w:val="004F1ACA"/>
    <w:rsid w:val="004F766B"/>
    <w:rsid w:val="00502EA9"/>
    <w:rsid w:val="00505D89"/>
    <w:rsid w:val="00515E7B"/>
    <w:rsid w:val="00517CD6"/>
    <w:rsid w:val="005229D7"/>
    <w:rsid w:val="00533DDA"/>
    <w:rsid w:val="005355A7"/>
    <w:rsid w:val="00537C13"/>
    <w:rsid w:val="005401C7"/>
    <w:rsid w:val="00541306"/>
    <w:rsid w:val="005432D4"/>
    <w:rsid w:val="00547295"/>
    <w:rsid w:val="00551B22"/>
    <w:rsid w:val="005531FF"/>
    <w:rsid w:val="00567665"/>
    <w:rsid w:val="00570637"/>
    <w:rsid w:val="0057196F"/>
    <w:rsid w:val="00580CFB"/>
    <w:rsid w:val="00581184"/>
    <w:rsid w:val="00585962"/>
    <w:rsid w:val="0058647D"/>
    <w:rsid w:val="00590EB2"/>
    <w:rsid w:val="00592D91"/>
    <w:rsid w:val="005977BC"/>
    <w:rsid w:val="005A4C24"/>
    <w:rsid w:val="005A4C7D"/>
    <w:rsid w:val="005B0190"/>
    <w:rsid w:val="005B04E0"/>
    <w:rsid w:val="005B27FE"/>
    <w:rsid w:val="005C0C13"/>
    <w:rsid w:val="005C4287"/>
    <w:rsid w:val="005C6D9C"/>
    <w:rsid w:val="005D25DA"/>
    <w:rsid w:val="005D4699"/>
    <w:rsid w:val="005D53EF"/>
    <w:rsid w:val="005E0BCC"/>
    <w:rsid w:val="005F7050"/>
    <w:rsid w:val="00601364"/>
    <w:rsid w:val="00604139"/>
    <w:rsid w:val="00607292"/>
    <w:rsid w:val="00613E90"/>
    <w:rsid w:val="00620524"/>
    <w:rsid w:val="00630972"/>
    <w:rsid w:val="00630F87"/>
    <w:rsid w:val="00632604"/>
    <w:rsid w:val="0063728A"/>
    <w:rsid w:val="00641AD3"/>
    <w:rsid w:val="00643EB9"/>
    <w:rsid w:val="00647E34"/>
    <w:rsid w:val="006512A1"/>
    <w:rsid w:val="00656069"/>
    <w:rsid w:val="006569DE"/>
    <w:rsid w:val="00657D96"/>
    <w:rsid w:val="00665A82"/>
    <w:rsid w:val="00666B15"/>
    <w:rsid w:val="0066774D"/>
    <w:rsid w:val="0067249C"/>
    <w:rsid w:val="00676BBD"/>
    <w:rsid w:val="00686C66"/>
    <w:rsid w:val="00690FC4"/>
    <w:rsid w:val="006A3E2D"/>
    <w:rsid w:val="006A4184"/>
    <w:rsid w:val="006B1338"/>
    <w:rsid w:val="006B13A5"/>
    <w:rsid w:val="006B5B64"/>
    <w:rsid w:val="006B60DE"/>
    <w:rsid w:val="006B7391"/>
    <w:rsid w:val="006C250B"/>
    <w:rsid w:val="006C492C"/>
    <w:rsid w:val="006D4835"/>
    <w:rsid w:val="006D5DD4"/>
    <w:rsid w:val="006D614C"/>
    <w:rsid w:val="006E6E74"/>
    <w:rsid w:val="006E7A9C"/>
    <w:rsid w:val="006F27FC"/>
    <w:rsid w:val="006F3F4F"/>
    <w:rsid w:val="006F4DCF"/>
    <w:rsid w:val="006F6430"/>
    <w:rsid w:val="00707176"/>
    <w:rsid w:val="0070771A"/>
    <w:rsid w:val="00712F85"/>
    <w:rsid w:val="007141EE"/>
    <w:rsid w:val="007169D1"/>
    <w:rsid w:val="007278AE"/>
    <w:rsid w:val="00730C61"/>
    <w:rsid w:val="007407E9"/>
    <w:rsid w:val="0076048B"/>
    <w:rsid w:val="007705C6"/>
    <w:rsid w:val="00772A17"/>
    <w:rsid w:val="0077302D"/>
    <w:rsid w:val="007739AF"/>
    <w:rsid w:val="00774D2A"/>
    <w:rsid w:val="00774FE2"/>
    <w:rsid w:val="0077575D"/>
    <w:rsid w:val="00783EC5"/>
    <w:rsid w:val="00791C30"/>
    <w:rsid w:val="007A24B4"/>
    <w:rsid w:val="007A261B"/>
    <w:rsid w:val="007B2463"/>
    <w:rsid w:val="007C356E"/>
    <w:rsid w:val="007C35AB"/>
    <w:rsid w:val="007C562F"/>
    <w:rsid w:val="007C7B6F"/>
    <w:rsid w:val="007D14AF"/>
    <w:rsid w:val="007D2453"/>
    <w:rsid w:val="007E2704"/>
    <w:rsid w:val="007F1401"/>
    <w:rsid w:val="007F3A22"/>
    <w:rsid w:val="00813049"/>
    <w:rsid w:val="00813305"/>
    <w:rsid w:val="00813B2E"/>
    <w:rsid w:val="00815541"/>
    <w:rsid w:val="00815814"/>
    <w:rsid w:val="008179B7"/>
    <w:rsid w:val="008422F1"/>
    <w:rsid w:val="00845611"/>
    <w:rsid w:val="00850424"/>
    <w:rsid w:val="008515C5"/>
    <w:rsid w:val="00863F52"/>
    <w:rsid w:val="0086592B"/>
    <w:rsid w:val="00867CCC"/>
    <w:rsid w:val="00872A2D"/>
    <w:rsid w:val="008755DF"/>
    <w:rsid w:val="0087585D"/>
    <w:rsid w:val="00877AF8"/>
    <w:rsid w:val="008832A1"/>
    <w:rsid w:val="00887B0E"/>
    <w:rsid w:val="00896613"/>
    <w:rsid w:val="008A06B7"/>
    <w:rsid w:val="008A50EA"/>
    <w:rsid w:val="008B777E"/>
    <w:rsid w:val="008B7ED8"/>
    <w:rsid w:val="008D064A"/>
    <w:rsid w:val="008D239F"/>
    <w:rsid w:val="008E5886"/>
    <w:rsid w:val="008F2233"/>
    <w:rsid w:val="009020A3"/>
    <w:rsid w:val="00903B8E"/>
    <w:rsid w:val="00904F46"/>
    <w:rsid w:val="009072CE"/>
    <w:rsid w:val="00913926"/>
    <w:rsid w:val="00931F3E"/>
    <w:rsid w:val="00935656"/>
    <w:rsid w:val="00943A9F"/>
    <w:rsid w:val="00960139"/>
    <w:rsid w:val="00962AB1"/>
    <w:rsid w:val="009665D3"/>
    <w:rsid w:val="00971BE2"/>
    <w:rsid w:val="00971CD8"/>
    <w:rsid w:val="00980506"/>
    <w:rsid w:val="00985289"/>
    <w:rsid w:val="00986094"/>
    <w:rsid w:val="00987380"/>
    <w:rsid w:val="00987922"/>
    <w:rsid w:val="0099476C"/>
    <w:rsid w:val="009A73F0"/>
    <w:rsid w:val="009B0130"/>
    <w:rsid w:val="009B1AE8"/>
    <w:rsid w:val="009C410B"/>
    <w:rsid w:val="009D262F"/>
    <w:rsid w:val="009E2549"/>
    <w:rsid w:val="009E537C"/>
    <w:rsid w:val="009E5531"/>
    <w:rsid w:val="009E681E"/>
    <w:rsid w:val="00A07F8F"/>
    <w:rsid w:val="00A11158"/>
    <w:rsid w:val="00A140FD"/>
    <w:rsid w:val="00A15E8F"/>
    <w:rsid w:val="00A25D6D"/>
    <w:rsid w:val="00A26153"/>
    <w:rsid w:val="00A27884"/>
    <w:rsid w:val="00A30735"/>
    <w:rsid w:val="00A31FE7"/>
    <w:rsid w:val="00A37F8F"/>
    <w:rsid w:val="00A4427B"/>
    <w:rsid w:val="00A5251E"/>
    <w:rsid w:val="00A70175"/>
    <w:rsid w:val="00A81767"/>
    <w:rsid w:val="00A81937"/>
    <w:rsid w:val="00A83698"/>
    <w:rsid w:val="00A91229"/>
    <w:rsid w:val="00A94F6E"/>
    <w:rsid w:val="00A979CD"/>
    <w:rsid w:val="00AA1AB0"/>
    <w:rsid w:val="00AA1F05"/>
    <w:rsid w:val="00AA31C9"/>
    <w:rsid w:val="00AA35A5"/>
    <w:rsid w:val="00AC1C25"/>
    <w:rsid w:val="00AC1F3C"/>
    <w:rsid w:val="00AD3501"/>
    <w:rsid w:val="00AD54E8"/>
    <w:rsid w:val="00AD59FA"/>
    <w:rsid w:val="00AD6B2E"/>
    <w:rsid w:val="00AE10A9"/>
    <w:rsid w:val="00AF66BC"/>
    <w:rsid w:val="00B02137"/>
    <w:rsid w:val="00B036A6"/>
    <w:rsid w:val="00B03ECC"/>
    <w:rsid w:val="00B064C2"/>
    <w:rsid w:val="00B075DA"/>
    <w:rsid w:val="00B100E6"/>
    <w:rsid w:val="00B105A2"/>
    <w:rsid w:val="00B1096C"/>
    <w:rsid w:val="00B15376"/>
    <w:rsid w:val="00B30F74"/>
    <w:rsid w:val="00B364D8"/>
    <w:rsid w:val="00B411D0"/>
    <w:rsid w:val="00B41DEA"/>
    <w:rsid w:val="00B448D0"/>
    <w:rsid w:val="00B57D0D"/>
    <w:rsid w:val="00B6046D"/>
    <w:rsid w:val="00B60879"/>
    <w:rsid w:val="00B64ED7"/>
    <w:rsid w:val="00B65852"/>
    <w:rsid w:val="00B67E30"/>
    <w:rsid w:val="00B72C64"/>
    <w:rsid w:val="00B77E95"/>
    <w:rsid w:val="00B82208"/>
    <w:rsid w:val="00B82FB5"/>
    <w:rsid w:val="00B87022"/>
    <w:rsid w:val="00B87BF4"/>
    <w:rsid w:val="00B929EA"/>
    <w:rsid w:val="00B9623E"/>
    <w:rsid w:val="00B968FC"/>
    <w:rsid w:val="00BA1EB5"/>
    <w:rsid w:val="00BA6971"/>
    <w:rsid w:val="00BB0039"/>
    <w:rsid w:val="00BB3C2C"/>
    <w:rsid w:val="00BB57D4"/>
    <w:rsid w:val="00BD4345"/>
    <w:rsid w:val="00BD7480"/>
    <w:rsid w:val="00BE3447"/>
    <w:rsid w:val="00BE4894"/>
    <w:rsid w:val="00C015B6"/>
    <w:rsid w:val="00C03961"/>
    <w:rsid w:val="00C05C2E"/>
    <w:rsid w:val="00C1074E"/>
    <w:rsid w:val="00C2310F"/>
    <w:rsid w:val="00C252AB"/>
    <w:rsid w:val="00C25828"/>
    <w:rsid w:val="00C32CB4"/>
    <w:rsid w:val="00C34B70"/>
    <w:rsid w:val="00C3723F"/>
    <w:rsid w:val="00C44EF4"/>
    <w:rsid w:val="00C645D6"/>
    <w:rsid w:val="00C652DD"/>
    <w:rsid w:val="00C67161"/>
    <w:rsid w:val="00C715E8"/>
    <w:rsid w:val="00C72B2D"/>
    <w:rsid w:val="00C82174"/>
    <w:rsid w:val="00C83394"/>
    <w:rsid w:val="00C85DEC"/>
    <w:rsid w:val="00C87BF4"/>
    <w:rsid w:val="00C9690D"/>
    <w:rsid w:val="00CA0A13"/>
    <w:rsid w:val="00CB0413"/>
    <w:rsid w:val="00CC32A4"/>
    <w:rsid w:val="00CC336E"/>
    <w:rsid w:val="00CC3FC6"/>
    <w:rsid w:val="00CC3FDB"/>
    <w:rsid w:val="00CC4D7A"/>
    <w:rsid w:val="00CC5AC0"/>
    <w:rsid w:val="00CC600D"/>
    <w:rsid w:val="00CD1202"/>
    <w:rsid w:val="00CD5104"/>
    <w:rsid w:val="00CD5869"/>
    <w:rsid w:val="00CD7944"/>
    <w:rsid w:val="00CE2AE7"/>
    <w:rsid w:val="00CF3BD6"/>
    <w:rsid w:val="00CF40FD"/>
    <w:rsid w:val="00CF4131"/>
    <w:rsid w:val="00CF6AB0"/>
    <w:rsid w:val="00D04575"/>
    <w:rsid w:val="00D06A66"/>
    <w:rsid w:val="00D1004D"/>
    <w:rsid w:val="00D16C52"/>
    <w:rsid w:val="00D26494"/>
    <w:rsid w:val="00D30971"/>
    <w:rsid w:val="00D32683"/>
    <w:rsid w:val="00D35C24"/>
    <w:rsid w:val="00D37F21"/>
    <w:rsid w:val="00D50956"/>
    <w:rsid w:val="00D5333A"/>
    <w:rsid w:val="00D61227"/>
    <w:rsid w:val="00D623D3"/>
    <w:rsid w:val="00D77D6E"/>
    <w:rsid w:val="00D804D1"/>
    <w:rsid w:val="00D838F0"/>
    <w:rsid w:val="00D86996"/>
    <w:rsid w:val="00D86F9E"/>
    <w:rsid w:val="00D976BD"/>
    <w:rsid w:val="00DA5E19"/>
    <w:rsid w:val="00DA679F"/>
    <w:rsid w:val="00DA6D17"/>
    <w:rsid w:val="00DA757D"/>
    <w:rsid w:val="00DA79D6"/>
    <w:rsid w:val="00DB028F"/>
    <w:rsid w:val="00DB57FE"/>
    <w:rsid w:val="00DB7D52"/>
    <w:rsid w:val="00DC14EB"/>
    <w:rsid w:val="00DD091E"/>
    <w:rsid w:val="00DD6104"/>
    <w:rsid w:val="00DD7755"/>
    <w:rsid w:val="00DE2AAB"/>
    <w:rsid w:val="00DE5025"/>
    <w:rsid w:val="00DE613E"/>
    <w:rsid w:val="00DF0CCF"/>
    <w:rsid w:val="00DF0D54"/>
    <w:rsid w:val="00DF48FA"/>
    <w:rsid w:val="00DF7DDC"/>
    <w:rsid w:val="00E04693"/>
    <w:rsid w:val="00E20148"/>
    <w:rsid w:val="00E2045B"/>
    <w:rsid w:val="00E21AB6"/>
    <w:rsid w:val="00E25615"/>
    <w:rsid w:val="00E25CC4"/>
    <w:rsid w:val="00E31B1B"/>
    <w:rsid w:val="00E327FF"/>
    <w:rsid w:val="00E34B9D"/>
    <w:rsid w:val="00E354BB"/>
    <w:rsid w:val="00E3557A"/>
    <w:rsid w:val="00E41BC5"/>
    <w:rsid w:val="00E43EC4"/>
    <w:rsid w:val="00E50446"/>
    <w:rsid w:val="00E50FC6"/>
    <w:rsid w:val="00E51058"/>
    <w:rsid w:val="00E51109"/>
    <w:rsid w:val="00E542B0"/>
    <w:rsid w:val="00E5645A"/>
    <w:rsid w:val="00E57F82"/>
    <w:rsid w:val="00E6077B"/>
    <w:rsid w:val="00E6512A"/>
    <w:rsid w:val="00E6758A"/>
    <w:rsid w:val="00E72988"/>
    <w:rsid w:val="00E755AE"/>
    <w:rsid w:val="00E85896"/>
    <w:rsid w:val="00E949F5"/>
    <w:rsid w:val="00EA10CE"/>
    <w:rsid w:val="00EA2D8F"/>
    <w:rsid w:val="00EA6F34"/>
    <w:rsid w:val="00EA75A0"/>
    <w:rsid w:val="00EB11B9"/>
    <w:rsid w:val="00EB4FC4"/>
    <w:rsid w:val="00EB7AEB"/>
    <w:rsid w:val="00EC2716"/>
    <w:rsid w:val="00EC43DD"/>
    <w:rsid w:val="00ED111E"/>
    <w:rsid w:val="00ED36F8"/>
    <w:rsid w:val="00ED6653"/>
    <w:rsid w:val="00ED6A43"/>
    <w:rsid w:val="00EE3CF8"/>
    <w:rsid w:val="00EE3D0D"/>
    <w:rsid w:val="00EE4B08"/>
    <w:rsid w:val="00EE4E34"/>
    <w:rsid w:val="00EE7981"/>
    <w:rsid w:val="00EF3DE7"/>
    <w:rsid w:val="00F06038"/>
    <w:rsid w:val="00F1548A"/>
    <w:rsid w:val="00F16205"/>
    <w:rsid w:val="00F16875"/>
    <w:rsid w:val="00F17F3A"/>
    <w:rsid w:val="00F20241"/>
    <w:rsid w:val="00F2121D"/>
    <w:rsid w:val="00F238B1"/>
    <w:rsid w:val="00F30591"/>
    <w:rsid w:val="00F35D78"/>
    <w:rsid w:val="00F4065F"/>
    <w:rsid w:val="00F40F0C"/>
    <w:rsid w:val="00F43E15"/>
    <w:rsid w:val="00F455F5"/>
    <w:rsid w:val="00F53F58"/>
    <w:rsid w:val="00F5667E"/>
    <w:rsid w:val="00F6016A"/>
    <w:rsid w:val="00F6519B"/>
    <w:rsid w:val="00F65653"/>
    <w:rsid w:val="00F6586B"/>
    <w:rsid w:val="00F7040F"/>
    <w:rsid w:val="00F72210"/>
    <w:rsid w:val="00F7683C"/>
    <w:rsid w:val="00F817D3"/>
    <w:rsid w:val="00F84A08"/>
    <w:rsid w:val="00F9645A"/>
    <w:rsid w:val="00F97BA0"/>
    <w:rsid w:val="00FA0CD8"/>
    <w:rsid w:val="00FB2FBF"/>
    <w:rsid w:val="00FB44FB"/>
    <w:rsid w:val="00FB4763"/>
    <w:rsid w:val="00FB612A"/>
    <w:rsid w:val="00FC15E7"/>
    <w:rsid w:val="00FC6294"/>
    <w:rsid w:val="00FC6D19"/>
    <w:rsid w:val="00FC7CFD"/>
    <w:rsid w:val="00FE592D"/>
    <w:rsid w:val="00FE6EA0"/>
    <w:rsid w:val="00FE70BD"/>
    <w:rsid w:val="00FF162E"/>
    <w:rsid w:val="00FF44BF"/>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E94FFDE"/>
  <w15:docId w15:val="{343ED3BC-6DE9-4B17-9867-271B4BA5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8A0"/>
  </w:style>
  <w:style w:type="paragraph" w:styleId="Heading1">
    <w:name w:val="heading 1"/>
    <w:basedOn w:val="Normal"/>
    <w:next w:val="Normal"/>
    <w:link w:val="Heading1Char"/>
    <w:uiPriority w:val="9"/>
    <w:qFormat/>
    <w:rsid w:val="00E354BB"/>
    <w:pPr>
      <w:keepNext/>
      <w:keepLines/>
      <w:numPr>
        <w:numId w:val="1"/>
      </w:numPr>
      <w:shd w:val="clear" w:color="auto" w:fill="3D5488"/>
      <w:spacing w:before="240"/>
      <w:outlineLvl w:val="0"/>
    </w:pPr>
    <w:rPr>
      <w:rFonts w:ascii="Calibri" w:eastAsiaTheme="majorEastAsia" w:hAnsi="Calibri" w:cstheme="majorBidi"/>
      <w:b/>
      <w:bCs/>
      <w:color w:val="FFFFFF" w:themeColor="background1"/>
      <w:sz w:val="32"/>
      <w:szCs w:val="32"/>
    </w:rPr>
  </w:style>
  <w:style w:type="paragraph" w:styleId="Heading2">
    <w:name w:val="heading 2"/>
    <w:basedOn w:val="Normal"/>
    <w:next w:val="Normal"/>
    <w:link w:val="Heading2Char"/>
    <w:uiPriority w:val="9"/>
    <w:unhideWhenUsed/>
    <w:qFormat/>
    <w:rsid w:val="004F1ACA"/>
    <w:pPr>
      <w:keepNext/>
      <w:keepLines/>
      <w:pBdr>
        <w:bottom w:val="single" w:sz="8" w:space="1" w:color="4472C4" w:themeColor="accent5"/>
      </w:pBdr>
      <w:spacing w:before="40"/>
      <w:outlineLvl w:val="1"/>
    </w:pPr>
    <w:rPr>
      <w:rFonts w:ascii="Calibri" w:eastAsiaTheme="majorEastAsia" w:hAnsi="Calibr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5432D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6D19"/>
    <w:rPr>
      <w:rFonts w:eastAsiaTheme="minorEastAsia"/>
      <w:sz w:val="22"/>
      <w:szCs w:val="22"/>
      <w:lang w:eastAsia="zh-CN"/>
    </w:rPr>
  </w:style>
  <w:style w:type="character" w:customStyle="1" w:styleId="NoSpacingChar">
    <w:name w:val="No Spacing Char"/>
    <w:basedOn w:val="DefaultParagraphFont"/>
    <w:link w:val="NoSpacing"/>
    <w:uiPriority w:val="1"/>
    <w:rsid w:val="00FC6D19"/>
    <w:rPr>
      <w:rFonts w:eastAsiaTheme="minorEastAsia"/>
      <w:sz w:val="22"/>
      <w:szCs w:val="22"/>
      <w:lang w:eastAsia="zh-CN"/>
    </w:rPr>
  </w:style>
  <w:style w:type="character" w:customStyle="1" w:styleId="Heading1Char">
    <w:name w:val="Heading 1 Char"/>
    <w:basedOn w:val="DefaultParagraphFont"/>
    <w:link w:val="Heading1"/>
    <w:uiPriority w:val="9"/>
    <w:rsid w:val="00E354BB"/>
    <w:rPr>
      <w:rFonts w:ascii="Calibri" w:eastAsiaTheme="majorEastAsia" w:hAnsi="Calibri" w:cstheme="majorBidi"/>
      <w:b/>
      <w:bCs/>
      <w:color w:val="FFFFFF" w:themeColor="background1"/>
      <w:sz w:val="32"/>
      <w:szCs w:val="32"/>
      <w:shd w:val="clear" w:color="auto" w:fill="3D5488"/>
    </w:rPr>
  </w:style>
  <w:style w:type="character" w:customStyle="1" w:styleId="Heading2Char">
    <w:name w:val="Heading 2 Char"/>
    <w:basedOn w:val="DefaultParagraphFont"/>
    <w:link w:val="Heading2"/>
    <w:uiPriority w:val="9"/>
    <w:rsid w:val="005D25DA"/>
    <w:rPr>
      <w:rFonts w:ascii="Calibri" w:eastAsiaTheme="majorEastAsia" w:hAnsi="Calibri" w:cstheme="majorBidi"/>
      <w:b/>
      <w:bCs/>
      <w:color w:val="2E74B5" w:themeColor="accent1" w:themeShade="BF"/>
      <w:sz w:val="26"/>
      <w:szCs w:val="26"/>
    </w:rPr>
  </w:style>
  <w:style w:type="paragraph" w:styleId="TOCHeading">
    <w:name w:val="TOC Heading"/>
    <w:basedOn w:val="Heading1"/>
    <w:next w:val="Normal"/>
    <w:uiPriority w:val="39"/>
    <w:unhideWhenUsed/>
    <w:qFormat/>
    <w:rsid w:val="00E50446"/>
    <w:pPr>
      <w:numPr>
        <w:numId w:val="0"/>
      </w:numPr>
      <w:shd w:val="clear" w:color="auto" w:fill="auto"/>
      <w:spacing w:before="480" w:line="276" w:lineRule="auto"/>
      <w:outlineLvl w:val="9"/>
    </w:pPr>
    <w:rPr>
      <w:rFonts w:asciiTheme="majorHAnsi" w:hAnsiTheme="majorHAnsi"/>
      <w:color w:val="2E74B5" w:themeColor="accent1" w:themeShade="BF"/>
      <w:sz w:val="28"/>
      <w:szCs w:val="28"/>
    </w:rPr>
  </w:style>
  <w:style w:type="paragraph" w:styleId="TOC1">
    <w:name w:val="toc 1"/>
    <w:basedOn w:val="Normal"/>
    <w:next w:val="Normal"/>
    <w:autoRedefine/>
    <w:uiPriority w:val="39"/>
    <w:unhideWhenUsed/>
    <w:rsid w:val="00E50446"/>
    <w:pPr>
      <w:spacing w:before="120"/>
    </w:pPr>
    <w:rPr>
      <w:b/>
      <w:bCs/>
    </w:rPr>
  </w:style>
  <w:style w:type="paragraph" w:styleId="TOC2">
    <w:name w:val="toc 2"/>
    <w:basedOn w:val="Normal"/>
    <w:next w:val="Normal"/>
    <w:autoRedefine/>
    <w:uiPriority w:val="39"/>
    <w:unhideWhenUsed/>
    <w:rsid w:val="00E50446"/>
    <w:pPr>
      <w:ind w:left="240"/>
    </w:pPr>
    <w:rPr>
      <w:b/>
      <w:bCs/>
      <w:sz w:val="22"/>
      <w:szCs w:val="22"/>
    </w:rPr>
  </w:style>
  <w:style w:type="paragraph" w:styleId="TOC3">
    <w:name w:val="toc 3"/>
    <w:basedOn w:val="Normal"/>
    <w:next w:val="Normal"/>
    <w:autoRedefine/>
    <w:uiPriority w:val="39"/>
    <w:unhideWhenUsed/>
    <w:rsid w:val="00E50446"/>
    <w:pPr>
      <w:ind w:left="480"/>
    </w:pPr>
    <w:rPr>
      <w:sz w:val="22"/>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uiPriority w:val="34"/>
    <w:qFormat/>
    <w:rsid w:val="00774D2A"/>
    <w:pPr>
      <w:numPr>
        <w:numId w:val="3"/>
      </w:numPr>
      <w:contextualSpacing/>
    </w:pPr>
  </w:style>
  <w:style w:type="character" w:styleId="Hyperlink">
    <w:name w:val="Hyperlink"/>
    <w:basedOn w:val="DefaultParagraphFont"/>
    <w:uiPriority w:val="99"/>
    <w:unhideWhenUsed/>
    <w:rsid w:val="00A11158"/>
    <w:rPr>
      <w:color w:val="0563C1" w:themeColor="hyperlink"/>
      <w:u w:val="single"/>
    </w:rPr>
  </w:style>
  <w:style w:type="paragraph" w:styleId="BalloonText">
    <w:name w:val="Balloon Text"/>
    <w:basedOn w:val="Normal"/>
    <w:link w:val="BalloonTextChar"/>
    <w:uiPriority w:val="99"/>
    <w:semiHidden/>
    <w:unhideWhenUsed/>
    <w:rsid w:val="00C015B6"/>
    <w:rPr>
      <w:rFonts w:ascii="Tahoma" w:hAnsi="Tahoma" w:cs="Tahoma"/>
      <w:sz w:val="16"/>
      <w:szCs w:val="16"/>
    </w:rPr>
  </w:style>
  <w:style w:type="character" w:customStyle="1" w:styleId="BalloonTextChar">
    <w:name w:val="Balloon Text Char"/>
    <w:basedOn w:val="DefaultParagraphFont"/>
    <w:link w:val="BalloonText"/>
    <w:uiPriority w:val="99"/>
    <w:semiHidden/>
    <w:rsid w:val="00C015B6"/>
    <w:rPr>
      <w:rFonts w:ascii="Tahoma" w:hAnsi="Tahoma" w:cs="Tahoma"/>
      <w:sz w:val="16"/>
      <w:szCs w:val="16"/>
    </w:rPr>
  </w:style>
  <w:style w:type="character" w:customStyle="1" w:styleId="Heading3Char">
    <w:name w:val="Heading 3 Char"/>
    <w:basedOn w:val="DefaultParagraphFont"/>
    <w:link w:val="Heading3"/>
    <w:uiPriority w:val="9"/>
    <w:rsid w:val="005432D4"/>
    <w:rPr>
      <w:rFonts w:asciiTheme="majorHAnsi" w:eastAsiaTheme="majorEastAsia" w:hAnsiTheme="majorHAnsi" w:cstheme="majorBidi"/>
      <w:b/>
      <w:bCs/>
      <w:color w:val="5B9BD5" w:themeColor="accent1"/>
    </w:rPr>
  </w:style>
  <w:style w:type="table" w:customStyle="1" w:styleId="MediumShading1-Accent11">
    <w:name w:val="Medium Shading 1 - Accent 11"/>
    <w:basedOn w:val="TableNormal"/>
    <w:uiPriority w:val="63"/>
    <w:rsid w:val="001F5D59"/>
    <w:rPr>
      <w:rFonts w:ascii="Cambria" w:hAnsi="Cambria"/>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CD5104"/>
    <w:rPr>
      <w:sz w:val="20"/>
      <w:szCs w:val="20"/>
    </w:rPr>
  </w:style>
  <w:style w:type="character" w:customStyle="1" w:styleId="FootnoteTextChar">
    <w:name w:val="Footnote Text Char"/>
    <w:basedOn w:val="DefaultParagraphFont"/>
    <w:link w:val="FootnoteText"/>
    <w:uiPriority w:val="99"/>
    <w:semiHidden/>
    <w:rsid w:val="00CD5104"/>
    <w:rPr>
      <w:sz w:val="20"/>
      <w:szCs w:val="20"/>
    </w:rPr>
  </w:style>
  <w:style w:type="character" w:styleId="FootnoteReference">
    <w:name w:val="footnote reference"/>
    <w:basedOn w:val="DefaultParagraphFont"/>
    <w:uiPriority w:val="99"/>
    <w:semiHidden/>
    <w:unhideWhenUsed/>
    <w:rsid w:val="00CD5104"/>
    <w:rPr>
      <w:vertAlign w:val="superscript"/>
    </w:rPr>
  </w:style>
  <w:style w:type="table" w:customStyle="1" w:styleId="MediumShading1-Accent12">
    <w:name w:val="Medium Shading 1 - Accent 12"/>
    <w:basedOn w:val="TableNormal"/>
    <w:uiPriority w:val="63"/>
    <w:rsid w:val="00CD5104"/>
    <w:rPr>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Default">
    <w:name w:val="Default"/>
    <w:rsid w:val="00CD5104"/>
    <w:pPr>
      <w:autoSpaceDE w:val="0"/>
      <w:autoSpaceDN w:val="0"/>
      <w:adjustRightInd w:val="0"/>
    </w:pPr>
    <w:rPr>
      <w:rFonts w:ascii="Arial" w:hAnsi="Arial" w:cs="Arial"/>
      <w:color w:val="000000"/>
    </w:rPr>
  </w:style>
  <w:style w:type="paragraph" w:customStyle="1" w:styleId="Body2">
    <w:name w:val="Body2"/>
    <w:basedOn w:val="BodyTextIndent"/>
    <w:rsid w:val="00CD5104"/>
  </w:style>
  <w:style w:type="paragraph" w:styleId="BodyTextIndent">
    <w:name w:val="Body Text Indent"/>
    <w:basedOn w:val="Normal"/>
    <w:link w:val="BodyTextIndentChar"/>
    <w:uiPriority w:val="99"/>
    <w:semiHidden/>
    <w:unhideWhenUsed/>
    <w:rsid w:val="00CD5104"/>
    <w:pPr>
      <w:spacing w:after="120"/>
      <w:ind w:left="360"/>
    </w:pPr>
  </w:style>
  <w:style w:type="character" w:customStyle="1" w:styleId="BodyTextIndentChar">
    <w:name w:val="Body Text Indent Char"/>
    <w:basedOn w:val="DefaultParagraphFont"/>
    <w:link w:val="BodyTextIndent"/>
    <w:uiPriority w:val="99"/>
    <w:semiHidden/>
    <w:rsid w:val="00CD5104"/>
  </w:style>
  <w:style w:type="table" w:styleId="TableGrid">
    <w:name w:val="Table Grid"/>
    <w:basedOn w:val="TableNormal"/>
    <w:uiPriority w:val="39"/>
    <w:rsid w:val="00A1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A140F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Grid-Accent11">
    <w:name w:val="Light Grid - Accent 11"/>
    <w:basedOn w:val="TableNormal"/>
    <w:uiPriority w:val="62"/>
    <w:rsid w:val="00380F3A"/>
    <w:rPr>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5">
    <w:name w:val="Light List Accent 5"/>
    <w:basedOn w:val="TableNormal"/>
    <w:uiPriority w:val="61"/>
    <w:rsid w:val="00380F3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MediumShading2-Accent11">
    <w:name w:val="Medium Shading 2 - Accent 11"/>
    <w:basedOn w:val="TableNormal"/>
    <w:uiPriority w:val="64"/>
    <w:rsid w:val="003805C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155F2C"/>
    <w:rPr>
      <w:sz w:val="16"/>
      <w:szCs w:val="16"/>
    </w:rPr>
  </w:style>
  <w:style w:type="paragraph" w:styleId="CommentText">
    <w:name w:val="annotation text"/>
    <w:basedOn w:val="Normal"/>
    <w:link w:val="CommentTextChar"/>
    <w:uiPriority w:val="99"/>
    <w:semiHidden/>
    <w:unhideWhenUsed/>
    <w:rsid w:val="00155F2C"/>
    <w:rPr>
      <w:sz w:val="20"/>
      <w:szCs w:val="20"/>
    </w:rPr>
  </w:style>
  <w:style w:type="character" w:customStyle="1" w:styleId="CommentTextChar">
    <w:name w:val="Comment Text Char"/>
    <w:basedOn w:val="DefaultParagraphFont"/>
    <w:link w:val="CommentText"/>
    <w:uiPriority w:val="99"/>
    <w:semiHidden/>
    <w:rsid w:val="00155F2C"/>
    <w:rPr>
      <w:sz w:val="20"/>
      <w:szCs w:val="20"/>
    </w:rPr>
  </w:style>
  <w:style w:type="paragraph" w:styleId="CommentSubject">
    <w:name w:val="annotation subject"/>
    <w:basedOn w:val="CommentText"/>
    <w:next w:val="CommentText"/>
    <w:link w:val="CommentSubjectChar"/>
    <w:uiPriority w:val="99"/>
    <w:semiHidden/>
    <w:unhideWhenUsed/>
    <w:rsid w:val="00155F2C"/>
    <w:rPr>
      <w:b/>
      <w:bCs/>
    </w:rPr>
  </w:style>
  <w:style w:type="character" w:customStyle="1" w:styleId="CommentSubjectChar">
    <w:name w:val="Comment Subject Char"/>
    <w:basedOn w:val="CommentTextChar"/>
    <w:link w:val="CommentSubject"/>
    <w:uiPriority w:val="99"/>
    <w:semiHidden/>
    <w:rsid w:val="00155F2C"/>
    <w:rPr>
      <w:b/>
      <w:bCs/>
      <w:sz w:val="20"/>
      <w:szCs w:val="20"/>
    </w:rPr>
  </w:style>
  <w:style w:type="paragraph" w:styleId="Header">
    <w:name w:val="header"/>
    <w:basedOn w:val="Normal"/>
    <w:link w:val="HeaderChar"/>
    <w:uiPriority w:val="99"/>
    <w:unhideWhenUsed/>
    <w:rsid w:val="006512A1"/>
    <w:pPr>
      <w:tabs>
        <w:tab w:val="center" w:pos="4680"/>
        <w:tab w:val="right" w:pos="9360"/>
      </w:tabs>
    </w:pPr>
  </w:style>
  <w:style w:type="character" w:customStyle="1" w:styleId="HeaderChar">
    <w:name w:val="Header Char"/>
    <w:basedOn w:val="DefaultParagraphFont"/>
    <w:link w:val="Header"/>
    <w:uiPriority w:val="99"/>
    <w:rsid w:val="006512A1"/>
  </w:style>
  <w:style w:type="paragraph" w:styleId="Footer">
    <w:name w:val="footer"/>
    <w:basedOn w:val="Normal"/>
    <w:link w:val="FooterChar"/>
    <w:uiPriority w:val="99"/>
    <w:unhideWhenUsed/>
    <w:rsid w:val="006512A1"/>
    <w:pPr>
      <w:tabs>
        <w:tab w:val="center" w:pos="4680"/>
        <w:tab w:val="right" w:pos="9360"/>
      </w:tabs>
    </w:pPr>
  </w:style>
  <w:style w:type="character" w:customStyle="1" w:styleId="FooterChar">
    <w:name w:val="Footer Char"/>
    <w:basedOn w:val="DefaultParagraphFont"/>
    <w:link w:val="Footer"/>
    <w:uiPriority w:val="99"/>
    <w:rsid w:val="006512A1"/>
  </w:style>
  <w:style w:type="character" w:styleId="IntenseEmphasis">
    <w:name w:val="Intense Emphasis"/>
    <w:basedOn w:val="DefaultParagraphFont"/>
    <w:uiPriority w:val="21"/>
    <w:qFormat/>
    <w:rsid w:val="003C599A"/>
    <w:rPr>
      <w:b/>
      <w:bCs/>
      <w:i/>
      <w:iCs/>
      <w:color w:val="5B9BD5" w:themeColor="accent1"/>
    </w:rPr>
  </w:style>
  <w:style w:type="table" w:customStyle="1" w:styleId="MediumShading1-Accent111">
    <w:name w:val="Medium Shading 1 - Accent 111"/>
    <w:basedOn w:val="TableNormal"/>
    <w:uiPriority w:val="63"/>
    <w:rsid w:val="001506FD"/>
    <w:rPr>
      <w:rFonts w:ascii="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E20148"/>
    <w:pPr>
      <w:widowControl w:val="0"/>
      <w:spacing w:after="200"/>
    </w:pPr>
    <w:rPr>
      <w:rFonts w:ascii="Cambria" w:hAnsi="Cambria"/>
      <w:b/>
      <w:bCs/>
      <w:color w:val="5B9BD5" w:themeColor="accent1"/>
      <w:sz w:val="18"/>
      <w:szCs w:val="18"/>
    </w:rPr>
  </w:style>
  <w:style w:type="paragraph" w:styleId="Revision">
    <w:name w:val="Revision"/>
    <w:hidden/>
    <w:uiPriority w:val="99"/>
    <w:semiHidden/>
    <w:rsid w:val="00FC6294"/>
  </w:style>
  <w:style w:type="paragraph" w:styleId="NormalWeb">
    <w:name w:val="Normal (Web)"/>
    <w:basedOn w:val="Normal"/>
    <w:uiPriority w:val="99"/>
    <w:semiHidden/>
    <w:unhideWhenUsed/>
    <w:rsid w:val="004F766B"/>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2237">
      <w:bodyDiv w:val="1"/>
      <w:marLeft w:val="0"/>
      <w:marRight w:val="0"/>
      <w:marTop w:val="0"/>
      <w:marBottom w:val="0"/>
      <w:divBdr>
        <w:top w:val="none" w:sz="0" w:space="0" w:color="auto"/>
        <w:left w:val="none" w:sz="0" w:space="0" w:color="auto"/>
        <w:bottom w:val="none" w:sz="0" w:space="0" w:color="auto"/>
        <w:right w:val="none" w:sz="0" w:space="0" w:color="auto"/>
      </w:divBdr>
    </w:div>
    <w:div w:id="771777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www.random.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BFCB27-5AED-4E7D-97B2-9D668AE0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14033</Words>
  <Characters>79993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Massachusetts Practice Review (MPR)</vt:lpstr>
    </vt:vector>
  </TitlesOfParts>
  <Company>TAC</Company>
  <LinksUpToDate>false</LinksUpToDate>
  <CharactersWithSpaces>93839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Practice Review (MPR)</dc:title>
  <dc:subject>FY 16 Year-End Summary Report</dc:subject>
  <dc:creator>Prepared by:</dc:creator>
  <cp:lastModifiedBy>Amy Horton</cp:lastModifiedBy>
  <cp:revision>5</cp:revision>
  <cp:lastPrinted>2016-11-17T14:56:00Z</cp:lastPrinted>
  <dcterms:created xsi:type="dcterms:W3CDTF">2016-11-17T15:42:00Z</dcterms:created>
  <dcterms:modified xsi:type="dcterms:W3CDTF">2016-11-17T15:49:00Z</dcterms:modified>
</cp:coreProperties>
</file>