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820461880"/>
        <w:docPartObj>
          <w:docPartGallery w:val="Cover Pages"/>
          <w:docPartUnique/>
        </w:docPartObj>
      </w:sdtPr>
      <w:sdtEndPr/>
      <w:sdtContent>
        <w:p w14:paraId="3C7C35E5" w14:textId="435EC196" w:rsidR="009C4F4D" w:rsidRDefault="009C4F4D" w:rsidP="009C4F4D">
          <w:pPr>
            <w:shd w:val="clear" w:color="auto" w:fill="7BA79D" w:themeFill="accent5"/>
          </w:pPr>
          <w:r w:rsidRPr="00B86148">
            <w:rPr>
              <w:noProof/>
              <w:shd w:val="clear" w:color="auto" w:fill="EAB290" w:themeFill="accent2" w:themeFillTint="99"/>
            </w:rPr>
            <w:drawing>
              <wp:inline distT="0" distB="0" distL="0" distR="0" wp14:anchorId="23D28C13" wp14:editId="5F54860C">
                <wp:extent cx="6871335" cy="5392902"/>
                <wp:effectExtent l="0" t="0" r="1206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drianadepalma/Downloads/shutterstock_335934017.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35"/>
                        <a:stretch/>
                      </pic:blipFill>
                      <pic:spPr bwMode="auto">
                        <a:xfrm>
                          <a:off x="0" y="0"/>
                          <a:ext cx="6874419" cy="5395322"/>
                        </a:xfrm>
                        <a:prstGeom prst="rect">
                          <a:avLst/>
                        </a:prstGeom>
                        <a:noFill/>
                        <a:ln>
                          <a:noFill/>
                        </a:ln>
                        <a:extLst>
                          <a:ext uri="{53640926-AAD7-44D8-BBD7-CCE9431645EC}">
                            <a14:shadowObscured xmlns:a14="http://schemas.microsoft.com/office/drawing/2010/main"/>
                          </a:ext>
                        </a:extLst>
                      </pic:spPr>
                    </pic:pic>
                  </a:graphicData>
                </a:graphic>
              </wp:inline>
            </w:drawing>
          </w:r>
        </w:p>
        <w:p w14:paraId="042C576E" w14:textId="14034EF1" w:rsidR="009C4F4D" w:rsidRPr="00E15706" w:rsidRDefault="00CB78CE" w:rsidP="00830EC3">
          <w:pPr>
            <w:pBdr>
              <w:bottom w:val="single" w:sz="12" w:space="1" w:color="DD8047" w:themeColor="accent2"/>
            </w:pBdr>
            <w:shd w:val="clear" w:color="auto" w:fill="A17B36" w:themeFill="background2" w:themeFillShade="80"/>
            <w:jc w:val="center"/>
            <w:rPr>
              <w:b/>
              <w:sz w:val="36"/>
            </w:rPr>
          </w:pPr>
          <w:r>
            <w:rPr>
              <w:b/>
              <w:sz w:val="36"/>
            </w:rPr>
            <w:t>FISCAL YEAR 2019</w:t>
          </w:r>
        </w:p>
        <w:p w14:paraId="3422C425" w14:textId="77777777" w:rsidR="009C4F4D" w:rsidRPr="009E64B1" w:rsidRDefault="009C4F4D" w:rsidP="00830EC3">
          <w:pPr>
            <w:pBdr>
              <w:bottom w:val="single" w:sz="12" w:space="1" w:color="DD8047" w:themeColor="accent2"/>
            </w:pBdr>
            <w:shd w:val="clear" w:color="auto" w:fill="A17B36" w:themeFill="background2" w:themeFillShade="80"/>
            <w:jc w:val="center"/>
            <w:rPr>
              <w:b/>
              <w:color w:val="FFFFFF" w:themeColor="background1"/>
              <w:sz w:val="44"/>
            </w:rPr>
          </w:pPr>
          <w:r w:rsidRPr="009E64B1">
            <w:rPr>
              <w:b/>
              <w:color w:val="FFFFFF" w:themeColor="background1"/>
              <w:sz w:val="44"/>
            </w:rPr>
            <w:t>MASSACHUSETTS PRACTICE REVIEW (MPR)</w:t>
          </w:r>
        </w:p>
        <w:p w14:paraId="34CB8739" w14:textId="77777777" w:rsidR="009C4F4D" w:rsidRPr="00DF6892" w:rsidRDefault="00CF13A1" w:rsidP="00830EC3">
          <w:pPr>
            <w:pBdr>
              <w:bottom w:val="single" w:sz="12" w:space="1" w:color="DD8047" w:themeColor="accent2"/>
            </w:pBdr>
            <w:shd w:val="clear" w:color="auto" w:fill="A17B36" w:themeFill="background2" w:themeFillShade="80"/>
            <w:tabs>
              <w:tab w:val="center" w:pos="5400"/>
              <w:tab w:val="left" w:pos="9930"/>
            </w:tabs>
            <w:jc w:val="left"/>
            <w:rPr>
              <w:b/>
              <w:color w:val="FFFFFF" w:themeColor="background1"/>
              <w:sz w:val="44"/>
            </w:rPr>
          </w:pPr>
          <w:r w:rsidRPr="009E64B1">
            <w:rPr>
              <w:b/>
              <w:color w:val="FFFFFF" w:themeColor="background1"/>
              <w:sz w:val="44"/>
            </w:rPr>
            <w:tab/>
          </w:r>
          <w:r w:rsidR="009C4F4D" w:rsidRPr="009E64B1">
            <w:rPr>
              <w:b/>
              <w:color w:val="FFFFFF" w:themeColor="background1"/>
              <w:sz w:val="44"/>
            </w:rPr>
            <w:t>PRACTICE SUMMARY REPORT</w:t>
          </w:r>
          <w:r>
            <w:rPr>
              <w:b/>
              <w:color w:val="FFFFFF" w:themeColor="background1"/>
              <w:sz w:val="44"/>
            </w:rPr>
            <w:tab/>
          </w:r>
        </w:p>
        <w:p w14:paraId="7F0F6FFE" w14:textId="77777777" w:rsidR="009C4F4D" w:rsidRDefault="009C4F4D"/>
        <w:p w14:paraId="0E485EC2" w14:textId="77777777" w:rsidR="00072CED" w:rsidRDefault="00072CED"/>
        <w:p w14:paraId="0967F925" w14:textId="77777777" w:rsidR="00072CED" w:rsidRDefault="00072CED"/>
        <w:p w14:paraId="74CDAA8C" w14:textId="77777777" w:rsidR="00FC6D19" w:rsidRDefault="009C4F4D">
          <w:r>
            <w:tab/>
          </w:r>
          <w:r>
            <w:tab/>
          </w:r>
          <w:r>
            <w:tab/>
          </w:r>
        </w:p>
        <w:p w14:paraId="1114C036" w14:textId="4FBCDF48" w:rsidR="00072CED" w:rsidRDefault="00072CED" w:rsidP="00E82430">
          <w:pPr>
            <w:jc w:val="center"/>
          </w:pPr>
          <w:r w:rsidRPr="00581A71">
            <w:rPr>
              <w:noProof/>
            </w:rPr>
            <w:drawing>
              <wp:inline distT="0" distB="0" distL="0" distR="0" wp14:anchorId="48A76FB2" wp14:editId="5A74EABC">
                <wp:extent cx="2183347" cy="648269"/>
                <wp:effectExtent l="0" t="0" r="7620" b="0"/>
                <wp:docPr id="1" name="Picture 1" descr="S:\Wraparound Coaching\FY17\IHT Practice Profile\MassHealt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raparound Coaching\FY17\IHT Practice Profile\MassHealth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6774" cy="667102"/>
                        </a:xfrm>
                        <a:prstGeom prst="rect">
                          <a:avLst/>
                        </a:prstGeom>
                        <a:noFill/>
                        <a:ln>
                          <a:noFill/>
                        </a:ln>
                      </pic:spPr>
                    </pic:pic>
                  </a:graphicData>
                </a:graphic>
              </wp:inline>
            </w:drawing>
          </w:r>
        </w:p>
      </w:sdtContent>
    </w:sdt>
    <w:p w14:paraId="641E9B20" w14:textId="77777777" w:rsidR="00B9623E" w:rsidRDefault="00581A71" w:rsidP="00072CED">
      <w:r>
        <w:rPr>
          <w:noProof/>
        </w:rPr>
        <w:t xml:space="preserve">  </w:t>
      </w:r>
      <w:r w:rsidR="00B9623E">
        <w:br w:type="page"/>
      </w:r>
    </w:p>
    <w:sdt>
      <w:sdtPr>
        <w:rPr>
          <w:rFonts w:asciiTheme="minorHAnsi" w:eastAsiaTheme="minorHAnsi" w:hAnsiTheme="minorHAnsi" w:cstheme="minorBidi"/>
          <w:b w:val="0"/>
          <w:bCs w:val="0"/>
          <w:color w:val="auto"/>
          <w:sz w:val="24"/>
          <w:szCs w:val="24"/>
        </w:rPr>
        <w:id w:val="-633178380"/>
        <w:docPartObj>
          <w:docPartGallery w:val="Table of Contents"/>
          <w:docPartUnique/>
        </w:docPartObj>
      </w:sdtPr>
      <w:sdtEndPr>
        <w:rPr>
          <w:noProof/>
        </w:rPr>
      </w:sdtEndPr>
      <w:sdtContent>
        <w:p w14:paraId="05320DB8" w14:textId="77777777" w:rsidR="00E50446" w:rsidRPr="00EE5FD6" w:rsidRDefault="00E50446" w:rsidP="009C768F">
          <w:pPr>
            <w:pStyle w:val="TOCHeading"/>
            <w:tabs>
              <w:tab w:val="left" w:pos="9998"/>
            </w:tabs>
            <w:rPr>
              <w:rFonts w:ascii="Gill Sans MT" w:hAnsi="Gill Sans MT"/>
              <w:color w:val="B85A22" w:themeColor="accent2" w:themeShade="BF"/>
              <w:sz w:val="32"/>
              <w:szCs w:val="32"/>
            </w:rPr>
          </w:pPr>
          <w:r w:rsidRPr="00EE5FD6">
            <w:rPr>
              <w:rFonts w:ascii="Gill Sans MT" w:hAnsi="Gill Sans MT"/>
              <w:color w:val="B85A22" w:themeColor="accent2" w:themeShade="BF"/>
              <w:sz w:val="32"/>
              <w:szCs w:val="32"/>
            </w:rPr>
            <w:t xml:space="preserve">Table of </w:t>
          </w:r>
          <w:r w:rsidRPr="00F66F58">
            <w:rPr>
              <w:rFonts w:ascii="Gill Sans MT" w:hAnsi="Gill Sans MT"/>
              <w:color w:val="B85A22" w:themeColor="accent2" w:themeShade="BF"/>
              <w:sz w:val="32"/>
              <w:szCs w:val="32"/>
            </w:rPr>
            <w:t>Contents</w:t>
          </w:r>
          <w:r w:rsidR="009C768F">
            <w:rPr>
              <w:rFonts w:ascii="Gill Sans MT" w:hAnsi="Gill Sans MT"/>
              <w:color w:val="B85A22" w:themeColor="accent2" w:themeShade="BF"/>
              <w:sz w:val="32"/>
              <w:szCs w:val="32"/>
            </w:rPr>
            <w:tab/>
          </w:r>
        </w:p>
        <w:p w14:paraId="17829DA6" w14:textId="7A2E6D65" w:rsidR="00BA462C" w:rsidRDefault="00FE6EA0">
          <w:pPr>
            <w:pStyle w:val="TOC1"/>
            <w:rPr>
              <w:rFonts w:eastAsiaTheme="minorEastAsia"/>
              <w:b w:val="0"/>
              <w:bCs w:val="0"/>
              <w:noProof/>
              <w:sz w:val="22"/>
              <w:szCs w:val="22"/>
            </w:rPr>
          </w:pPr>
          <w:r w:rsidRPr="003D5DA0">
            <w:rPr>
              <w:color w:val="BFBFBF" w:themeColor="background1" w:themeShade="BF"/>
            </w:rPr>
            <w:fldChar w:fldCharType="begin"/>
          </w:r>
          <w:r w:rsidR="00E50446" w:rsidRPr="003D5DA0">
            <w:rPr>
              <w:color w:val="BFBFBF" w:themeColor="background1" w:themeShade="BF"/>
            </w:rPr>
            <w:instrText xml:space="preserve"> TOC \o "1-3" \h \z \u </w:instrText>
          </w:r>
          <w:r w:rsidRPr="003D5DA0">
            <w:rPr>
              <w:color w:val="BFBFBF" w:themeColor="background1" w:themeShade="BF"/>
            </w:rPr>
            <w:fldChar w:fldCharType="separate"/>
          </w:r>
          <w:hyperlink w:anchor="_Toc22632468" w:history="1">
            <w:r w:rsidR="00BA462C" w:rsidRPr="00D048D3">
              <w:rPr>
                <w:rStyle w:val="Hyperlink"/>
                <w:noProof/>
              </w:rPr>
              <w:t>Introduction</w:t>
            </w:r>
            <w:r w:rsidR="00BA462C">
              <w:rPr>
                <w:noProof/>
                <w:webHidden/>
              </w:rPr>
              <w:tab/>
            </w:r>
            <w:r w:rsidR="00BA462C">
              <w:rPr>
                <w:noProof/>
                <w:webHidden/>
              </w:rPr>
              <w:fldChar w:fldCharType="begin"/>
            </w:r>
            <w:r w:rsidR="00BA462C">
              <w:rPr>
                <w:noProof/>
                <w:webHidden/>
              </w:rPr>
              <w:instrText xml:space="preserve"> PAGEREF _Toc22632468 \h </w:instrText>
            </w:r>
            <w:r w:rsidR="00BA462C">
              <w:rPr>
                <w:noProof/>
                <w:webHidden/>
              </w:rPr>
            </w:r>
            <w:r w:rsidR="00BA462C">
              <w:rPr>
                <w:noProof/>
                <w:webHidden/>
              </w:rPr>
              <w:fldChar w:fldCharType="separate"/>
            </w:r>
            <w:r w:rsidR="00BA462C">
              <w:rPr>
                <w:noProof/>
                <w:webHidden/>
              </w:rPr>
              <w:t>2</w:t>
            </w:r>
            <w:r w:rsidR="00BA462C">
              <w:rPr>
                <w:noProof/>
                <w:webHidden/>
              </w:rPr>
              <w:fldChar w:fldCharType="end"/>
            </w:r>
          </w:hyperlink>
        </w:p>
        <w:p w14:paraId="08E69478" w14:textId="0275E70D" w:rsidR="00BA462C" w:rsidRDefault="00F97048">
          <w:pPr>
            <w:pStyle w:val="TOC1"/>
            <w:rPr>
              <w:rFonts w:eastAsiaTheme="minorEastAsia"/>
              <w:b w:val="0"/>
              <w:bCs w:val="0"/>
              <w:noProof/>
              <w:sz w:val="22"/>
              <w:szCs w:val="22"/>
            </w:rPr>
          </w:pPr>
          <w:hyperlink w:anchor="_Toc22632469" w:history="1">
            <w:r w:rsidR="00BA462C" w:rsidRPr="00D048D3">
              <w:rPr>
                <w:rStyle w:val="Hyperlink"/>
                <w:noProof/>
              </w:rPr>
              <w:t>MPR Protocol Description &amp; Methodology</w:t>
            </w:r>
            <w:r w:rsidR="00BA462C">
              <w:rPr>
                <w:noProof/>
                <w:webHidden/>
              </w:rPr>
              <w:tab/>
            </w:r>
            <w:r w:rsidR="00BA462C">
              <w:rPr>
                <w:noProof/>
                <w:webHidden/>
              </w:rPr>
              <w:fldChar w:fldCharType="begin"/>
            </w:r>
            <w:r w:rsidR="00BA462C">
              <w:rPr>
                <w:noProof/>
                <w:webHidden/>
              </w:rPr>
              <w:instrText xml:space="preserve"> PAGEREF _Toc22632469 \h </w:instrText>
            </w:r>
            <w:r w:rsidR="00BA462C">
              <w:rPr>
                <w:noProof/>
                <w:webHidden/>
              </w:rPr>
            </w:r>
            <w:r w:rsidR="00BA462C">
              <w:rPr>
                <w:noProof/>
                <w:webHidden/>
              </w:rPr>
              <w:fldChar w:fldCharType="separate"/>
            </w:r>
            <w:r w:rsidR="00BA462C">
              <w:rPr>
                <w:noProof/>
                <w:webHidden/>
              </w:rPr>
              <w:t>2</w:t>
            </w:r>
            <w:r w:rsidR="00BA462C">
              <w:rPr>
                <w:noProof/>
                <w:webHidden/>
              </w:rPr>
              <w:fldChar w:fldCharType="end"/>
            </w:r>
          </w:hyperlink>
        </w:p>
        <w:p w14:paraId="10DA64B0" w14:textId="45F2D498" w:rsidR="00BA462C" w:rsidRDefault="00F97048">
          <w:pPr>
            <w:pStyle w:val="TOC2"/>
            <w:tabs>
              <w:tab w:val="right" w:leader="dot" w:pos="10790"/>
            </w:tabs>
            <w:rPr>
              <w:rFonts w:eastAsiaTheme="minorEastAsia"/>
              <w:b w:val="0"/>
              <w:bCs w:val="0"/>
              <w:noProof/>
            </w:rPr>
          </w:pPr>
          <w:hyperlink w:anchor="_Toc22632470" w:history="1">
            <w:r w:rsidR="00BA462C" w:rsidRPr="00D048D3">
              <w:rPr>
                <w:rStyle w:val="Hyperlink"/>
                <w:noProof/>
              </w:rPr>
              <w:t>Protocol Description</w:t>
            </w:r>
            <w:r w:rsidR="00BA462C">
              <w:rPr>
                <w:noProof/>
                <w:webHidden/>
              </w:rPr>
              <w:tab/>
            </w:r>
            <w:r w:rsidR="00BA462C">
              <w:rPr>
                <w:noProof/>
                <w:webHidden/>
              </w:rPr>
              <w:fldChar w:fldCharType="begin"/>
            </w:r>
            <w:r w:rsidR="00BA462C">
              <w:rPr>
                <w:noProof/>
                <w:webHidden/>
              </w:rPr>
              <w:instrText xml:space="preserve"> PAGEREF _Toc22632470 \h </w:instrText>
            </w:r>
            <w:r w:rsidR="00BA462C">
              <w:rPr>
                <w:noProof/>
                <w:webHidden/>
              </w:rPr>
            </w:r>
            <w:r w:rsidR="00BA462C">
              <w:rPr>
                <w:noProof/>
                <w:webHidden/>
              </w:rPr>
              <w:fldChar w:fldCharType="separate"/>
            </w:r>
            <w:r w:rsidR="00BA462C">
              <w:rPr>
                <w:noProof/>
                <w:webHidden/>
              </w:rPr>
              <w:t>2</w:t>
            </w:r>
            <w:r w:rsidR="00BA462C">
              <w:rPr>
                <w:noProof/>
                <w:webHidden/>
              </w:rPr>
              <w:fldChar w:fldCharType="end"/>
            </w:r>
          </w:hyperlink>
        </w:p>
        <w:p w14:paraId="2555640B" w14:textId="6AC89315" w:rsidR="00BA462C" w:rsidRDefault="00F97048">
          <w:pPr>
            <w:pStyle w:val="TOC2"/>
            <w:tabs>
              <w:tab w:val="right" w:leader="dot" w:pos="10790"/>
            </w:tabs>
            <w:rPr>
              <w:rFonts w:eastAsiaTheme="minorEastAsia"/>
              <w:b w:val="0"/>
              <w:bCs w:val="0"/>
              <w:noProof/>
            </w:rPr>
          </w:pPr>
          <w:hyperlink w:anchor="_Toc22632471" w:history="1">
            <w:r w:rsidR="00BA462C" w:rsidRPr="00D048D3">
              <w:rPr>
                <w:rStyle w:val="Hyperlink"/>
                <w:noProof/>
              </w:rPr>
              <w:t>Practice Domains/Areas</w:t>
            </w:r>
            <w:r w:rsidR="00BA462C">
              <w:rPr>
                <w:noProof/>
                <w:webHidden/>
              </w:rPr>
              <w:tab/>
            </w:r>
            <w:r w:rsidR="00BA462C">
              <w:rPr>
                <w:noProof/>
                <w:webHidden/>
              </w:rPr>
              <w:fldChar w:fldCharType="begin"/>
            </w:r>
            <w:r w:rsidR="00BA462C">
              <w:rPr>
                <w:noProof/>
                <w:webHidden/>
              </w:rPr>
              <w:instrText xml:space="preserve"> PAGEREF _Toc22632471 \h </w:instrText>
            </w:r>
            <w:r w:rsidR="00BA462C">
              <w:rPr>
                <w:noProof/>
                <w:webHidden/>
              </w:rPr>
            </w:r>
            <w:r w:rsidR="00BA462C">
              <w:rPr>
                <w:noProof/>
                <w:webHidden/>
              </w:rPr>
              <w:fldChar w:fldCharType="separate"/>
            </w:r>
            <w:r w:rsidR="00BA462C">
              <w:rPr>
                <w:noProof/>
                <w:webHidden/>
              </w:rPr>
              <w:t>2</w:t>
            </w:r>
            <w:r w:rsidR="00BA462C">
              <w:rPr>
                <w:noProof/>
                <w:webHidden/>
              </w:rPr>
              <w:fldChar w:fldCharType="end"/>
            </w:r>
          </w:hyperlink>
        </w:p>
        <w:p w14:paraId="57EBC500" w14:textId="220121AC" w:rsidR="00BA462C" w:rsidRDefault="00F97048">
          <w:pPr>
            <w:pStyle w:val="TOC3"/>
            <w:rPr>
              <w:rFonts w:eastAsiaTheme="minorEastAsia"/>
              <w:noProof/>
            </w:rPr>
          </w:pPr>
          <w:hyperlink w:anchor="_Toc22632472" w:history="1">
            <w:r w:rsidR="00BA462C" w:rsidRPr="00D048D3">
              <w:rPr>
                <w:rStyle w:val="Hyperlink"/>
                <w:noProof/>
              </w:rPr>
              <w:t>Table 1: MPR Practice Domains/Areas &amp; Reviewer Scoring Prompts</w:t>
            </w:r>
            <w:r w:rsidR="00BA462C">
              <w:rPr>
                <w:noProof/>
                <w:webHidden/>
              </w:rPr>
              <w:tab/>
            </w:r>
            <w:r w:rsidR="00BA462C">
              <w:rPr>
                <w:noProof/>
                <w:webHidden/>
              </w:rPr>
              <w:fldChar w:fldCharType="begin"/>
            </w:r>
            <w:r w:rsidR="00BA462C">
              <w:rPr>
                <w:noProof/>
                <w:webHidden/>
              </w:rPr>
              <w:instrText xml:space="preserve"> PAGEREF _Toc22632472 \h </w:instrText>
            </w:r>
            <w:r w:rsidR="00BA462C">
              <w:rPr>
                <w:noProof/>
                <w:webHidden/>
              </w:rPr>
            </w:r>
            <w:r w:rsidR="00BA462C">
              <w:rPr>
                <w:noProof/>
                <w:webHidden/>
              </w:rPr>
              <w:fldChar w:fldCharType="separate"/>
            </w:r>
            <w:r w:rsidR="00BA462C">
              <w:rPr>
                <w:noProof/>
                <w:webHidden/>
              </w:rPr>
              <w:t>2</w:t>
            </w:r>
            <w:r w:rsidR="00BA462C">
              <w:rPr>
                <w:noProof/>
                <w:webHidden/>
              </w:rPr>
              <w:fldChar w:fldCharType="end"/>
            </w:r>
          </w:hyperlink>
        </w:p>
        <w:p w14:paraId="0AF16406" w14:textId="5D9F717C" w:rsidR="00BA462C" w:rsidRDefault="00F97048">
          <w:pPr>
            <w:pStyle w:val="TOC2"/>
            <w:tabs>
              <w:tab w:val="right" w:leader="dot" w:pos="10790"/>
            </w:tabs>
            <w:rPr>
              <w:rFonts w:eastAsiaTheme="minorEastAsia"/>
              <w:b w:val="0"/>
              <w:bCs w:val="0"/>
              <w:noProof/>
            </w:rPr>
          </w:pPr>
          <w:hyperlink w:anchor="_Toc22632473" w:history="1">
            <w:r w:rsidR="00BA462C" w:rsidRPr="00D048D3">
              <w:rPr>
                <w:rStyle w:val="Hyperlink"/>
                <w:noProof/>
              </w:rPr>
              <w:t>Practice Indicator Rating Scale</w:t>
            </w:r>
            <w:r w:rsidR="00BA462C">
              <w:rPr>
                <w:noProof/>
                <w:webHidden/>
              </w:rPr>
              <w:tab/>
            </w:r>
            <w:r w:rsidR="00BA462C">
              <w:rPr>
                <w:noProof/>
                <w:webHidden/>
              </w:rPr>
              <w:fldChar w:fldCharType="begin"/>
            </w:r>
            <w:r w:rsidR="00BA462C">
              <w:rPr>
                <w:noProof/>
                <w:webHidden/>
              </w:rPr>
              <w:instrText xml:space="preserve"> PAGEREF _Toc22632473 \h </w:instrText>
            </w:r>
            <w:r w:rsidR="00BA462C">
              <w:rPr>
                <w:noProof/>
                <w:webHidden/>
              </w:rPr>
            </w:r>
            <w:r w:rsidR="00BA462C">
              <w:rPr>
                <w:noProof/>
                <w:webHidden/>
              </w:rPr>
              <w:fldChar w:fldCharType="separate"/>
            </w:r>
            <w:r w:rsidR="00BA462C">
              <w:rPr>
                <w:noProof/>
                <w:webHidden/>
              </w:rPr>
              <w:t>4</w:t>
            </w:r>
            <w:r w:rsidR="00BA462C">
              <w:rPr>
                <w:noProof/>
                <w:webHidden/>
              </w:rPr>
              <w:fldChar w:fldCharType="end"/>
            </w:r>
          </w:hyperlink>
        </w:p>
        <w:p w14:paraId="6996F78B" w14:textId="2747B056" w:rsidR="00BA462C" w:rsidRDefault="00F97048">
          <w:pPr>
            <w:pStyle w:val="TOC3"/>
            <w:rPr>
              <w:rFonts w:eastAsiaTheme="minorEastAsia"/>
              <w:noProof/>
            </w:rPr>
          </w:pPr>
          <w:hyperlink w:anchor="_Toc22632474" w:history="1">
            <w:r w:rsidR="00BA462C" w:rsidRPr="00D048D3">
              <w:rPr>
                <w:rStyle w:val="Hyperlink"/>
                <w:noProof/>
              </w:rPr>
              <w:t>Table 2: MPR Practice Rating Scale &amp; Indicators (Domains 1-3)</w:t>
            </w:r>
            <w:r w:rsidR="00BA462C">
              <w:rPr>
                <w:noProof/>
                <w:webHidden/>
              </w:rPr>
              <w:tab/>
            </w:r>
            <w:r w:rsidR="00BA462C">
              <w:rPr>
                <w:noProof/>
                <w:webHidden/>
              </w:rPr>
              <w:fldChar w:fldCharType="begin"/>
            </w:r>
            <w:r w:rsidR="00BA462C">
              <w:rPr>
                <w:noProof/>
                <w:webHidden/>
              </w:rPr>
              <w:instrText xml:space="preserve"> PAGEREF _Toc22632474 \h </w:instrText>
            </w:r>
            <w:r w:rsidR="00BA462C">
              <w:rPr>
                <w:noProof/>
                <w:webHidden/>
              </w:rPr>
            </w:r>
            <w:r w:rsidR="00BA462C">
              <w:rPr>
                <w:noProof/>
                <w:webHidden/>
              </w:rPr>
              <w:fldChar w:fldCharType="separate"/>
            </w:r>
            <w:r w:rsidR="00BA462C">
              <w:rPr>
                <w:noProof/>
                <w:webHidden/>
              </w:rPr>
              <w:t>4</w:t>
            </w:r>
            <w:r w:rsidR="00BA462C">
              <w:rPr>
                <w:noProof/>
                <w:webHidden/>
              </w:rPr>
              <w:fldChar w:fldCharType="end"/>
            </w:r>
          </w:hyperlink>
        </w:p>
        <w:p w14:paraId="5FA386A1" w14:textId="30EFFAAA" w:rsidR="00BA462C" w:rsidRDefault="00F97048">
          <w:pPr>
            <w:pStyle w:val="TOC2"/>
            <w:tabs>
              <w:tab w:val="right" w:leader="dot" w:pos="10790"/>
            </w:tabs>
            <w:rPr>
              <w:rFonts w:eastAsiaTheme="minorEastAsia"/>
              <w:b w:val="0"/>
              <w:bCs w:val="0"/>
              <w:noProof/>
            </w:rPr>
          </w:pPr>
          <w:hyperlink w:anchor="_Toc22632475" w:history="1">
            <w:r w:rsidR="00BA462C" w:rsidRPr="00D048D3">
              <w:rPr>
                <w:rStyle w:val="Hyperlink"/>
                <w:noProof/>
              </w:rPr>
              <w:t>Progress Domain/Areas</w:t>
            </w:r>
            <w:r w:rsidR="00BA462C">
              <w:rPr>
                <w:noProof/>
                <w:webHidden/>
              </w:rPr>
              <w:tab/>
            </w:r>
            <w:r w:rsidR="00BA462C">
              <w:rPr>
                <w:noProof/>
                <w:webHidden/>
              </w:rPr>
              <w:fldChar w:fldCharType="begin"/>
            </w:r>
            <w:r w:rsidR="00BA462C">
              <w:rPr>
                <w:noProof/>
                <w:webHidden/>
              </w:rPr>
              <w:instrText xml:space="preserve"> PAGEREF _Toc22632475 \h </w:instrText>
            </w:r>
            <w:r w:rsidR="00BA462C">
              <w:rPr>
                <w:noProof/>
                <w:webHidden/>
              </w:rPr>
            </w:r>
            <w:r w:rsidR="00BA462C">
              <w:rPr>
                <w:noProof/>
                <w:webHidden/>
              </w:rPr>
              <w:fldChar w:fldCharType="separate"/>
            </w:r>
            <w:r w:rsidR="00BA462C">
              <w:rPr>
                <w:noProof/>
                <w:webHidden/>
              </w:rPr>
              <w:t>4</w:t>
            </w:r>
            <w:r w:rsidR="00BA462C">
              <w:rPr>
                <w:noProof/>
                <w:webHidden/>
              </w:rPr>
              <w:fldChar w:fldCharType="end"/>
            </w:r>
          </w:hyperlink>
        </w:p>
        <w:p w14:paraId="1F70C75A" w14:textId="27E6638E" w:rsidR="00BA462C" w:rsidRDefault="00F97048">
          <w:pPr>
            <w:pStyle w:val="TOC3"/>
            <w:rPr>
              <w:rFonts w:eastAsiaTheme="minorEastAsia"/>
              <w:noProof/>
            </w:rPr>
          </w:pPr>
          <w:hyperlink w:anchor="_Toc22632476" w:history="1">
            <w:r w:rsidR="00BA462C" w:rsidRPr="00D048D3">
              <w:rPr>
                <w:rStyle w:val="Hyperlink"/>
                <w:noProof/>
              </w:rPr>
              <w:t>Table 3: MPR Progress Domain/Areas &amp; Reviewer Scoring Prompts</w:t>
            </w:r>
            <w:r w:rsidR="00BA462C">
              <w:rPr>
                <w:noProof/>
                <w:webHidden/>
              </w:rPr>
              <w:tab/>
            </w:r>
            <w:r w:rsidR="00BA462C">
              <w:rPr>
                <w:noProof/>
                <w:webHidden/>
              </w:rPr>
              <w:fldChar w:fldCharType="begin"/>
            </w:r>
            <w:r w:rsidR="00BA462C">
              <w:rPr>
                <w:noProof/>
                <w:webHidden/>
              </w:rPr>
              <w:instrText xml:space="preserve"> PAGEREF _Toc22632476 \h </w:instrText>
            </w:r>
            <w:r w:rsidR="00BA462C">
              <w:rPr>
                <w:noProof/>
                <w:webHidden/>
              </w:rPr>
            </w:r>
            <w:r w:rsidR="00BA462C">
              <w:rPr>
                <w:noProof/>
                <w:webHidden/>
              </w:rPr>
              <w:fldChar w:fldCharType="separate"/>
            </w:r>
            <w:r w:rsidR="00BA462C">
              <w:rPr>
                <w:noProof/>
                <w:webHidden/>
              </w:rPr>
              <w:t>4</w:t>
            </w:r>
            <w:r w:rsidR="00BA462C">
              <w:rPr>
                <w:noProof/>
                <w:webHidden/>
              </w:rPr>
              <w:fldChar w:fldCharType="end"/>
            </w:r>
          </w:hyperlink>
        </w:p>
        <w:p w14:paraId="449C7AA6" w14:textId="4335B400" w:rsidR="00BA462C" w:rsidRDefault="00F97048">
          <w:pPr>
            <w:pStyle w:val="TOC2"/>
            <w:tabs>
              <w:tab w:val="right" w:leader="dot" w:pos="10790"/>
            </w:tabs>
            <w:rPr>
              <w:rFonts w:eastAsiaTheme="minorEastAsia"/>
              <w:b w:val="0"/>
              <w:bCs w:val="0"/>
              <w:noProof/>
            </w:rPr>
          </w:pPr>
          <w:hyperlink w:anchor="_Toc22632477" w:history="1">
            <w:r w:rsidR="00BA462C" w:rsidRPr="00D048D3">
              <w:rPr>
                <w:rStyle w:val="Hyperlink"/>
                <w:noProof/>
              </w:rPr>
              <w:t>Progress Indicator Rating Scale</w:t>
            </w:r>
            <w:r w:rsidR="00BA462C">
              <w:rPr>
                <w:noProof/>
                <w:webHidden/>
              </w:rPr>
              <w:tab/>
            </w:r>
            <w:r w:rsidR="00BA462C">
              <w:rPr>
                <w:noProof/>
                <w:webHidden/>
              </w:rPr>
              <w:fldChar w:fldCharType="begin"/>
            </w:r>
            <w:r w:rsidR="00BA462C">
              <w:rPr>
                <w:noProof/>
                <w:webHidden/>
              </w:rPr>
              <w:instrText xml:space="preserve"> PAGEREF _Toc22632477 \h </w:instrText>
            </w:r>
            <w:r w:rsidR="00BA462C">
              <w:rPr>
                <w:noProof/>
                <w:webHidden/>
              </w:rPr>
            </w:r>
            <w:r w:rsidR="00BA462C">
              <w:rPr>
                <w:noProof/>
                <w:webHidden/>
              </w:rPr>
              <w:fldChar w:fldCharType="separate"/>
            </w:r>
            <w:r w:rsidR="00BA462C">
              <w:rPr>
                <w:noProof/>
                <w:webHidden/>
              </w:rPr>
              <w:t>4</w:t>
            </w:r>
            <w:r w:rsidR="00BA462C">
              <w:rPr>
                <w:noProof/>
                <w:webHidden/>
              </w:rPr>
              <w:fldChar w:fldCharType="end"/>
            </w:r>
          </w:hyperlink>
        </w:p>
        <w:p w14:paraId="4219F990" w14:textId="7144884E" w:rsidR="00BA462C" w:rsidRDefault="00F97048">
          <w:pPr>
            <w:pStyle w:val="TOC3"/>
            <w:rPr>
              <w:rFonts w:eastAsiaTheme="minorEastAsia"/>
              <w:noProof/>
            </w:rPr>
          </w:pPr>
          <w:hyperlink w:anchor="_Toc22632478" w:history="1">
            <w:r w:rsidR="00BA462C" w:rsidRPr="00D048D3">
              <w:rPr>
                <w:rStyle w:val="Hyperlink"/>
                <w:noProof/>
              </w:rPr>
              <w:t>Table 4: MPR Progress Rating Scale &amp; Indicators (Domain 4)</w:t>
            </w:r>
            <w:r w:rsidR="00BA462C">
              <w:rPr>
                <w:noProof/>
                <w:webHidden/>
              </w:rPr>
              <w:tab/>
            </w:r>
            <w:r w:rsidR="00BA462C">
              <w:rPr>
                <w:noProof/>
                <w:webHidden/>
              </w:rPr>
              <w:fldChar w:fldCharType="begin"/>
            </w:r>
            <w:r w:rsidR="00BA462C">
              <w:rPr>
                <w:noProof/>
                <w:webHidden/>
              </w:rPr>
              <w:instrText xml:space="preserve"> PAGEREF _Toc22632478 \h </w:instrText>
            </w:r>
            <w:r w:rsidR="00BA462C">
              <w:rPr>
                <w:noProof/>
                <w:webHidden/>
              </w:rPr>
            </w:r>
            <w:r w:rsidR="00BA462C">
              <w:rPr>
                <w:noProof/>
                <w:webHidden/>
              </w:rPr>
              <w:fldChar w:fldCharType="separate"/>
            </w:r>
            <w:r w:rsidR="00BA462C">
              <w:rPr>
                <w:noProof/>
                <w:webHidden/>
              </w:rPr>
              <w:t>4</w:t>
            </w:r>
            <w:r w:rsidR="00BA462C">
              <w:rPr>
                <w:noProof/>
                <w:webHidden/>
              </w:rPr>
              <w:fldChar w:fldCharType="end"/>
            </w:r>
          </w:hyperlink>
        </w:p>
        <w:p w14:paraId="7987D92F" w14:textId="61C74727" w:rsidR="00BA462C" w:rsidRDefault="00F97048">
          <w:pPr>
            <w:pStyle w:val="TOC2"/>
            <w:tabs>
              <w:tab w:val="right" w:leader="dot" w:pos="10790"/>
            </w:tabs>
            <w:rPr>
              <w:rFonts w:eastAsiaTheme="minorEastAsia"/>
              <w:b w:val="0"/>
              <w:bCs w:val="0"/>
              <w:noProof/>
            </w:rPr>
          </w:pPr>
          <w:hyperlink w:anchor="_Toc22632479" w:history="1">
            <w:r w:rsidR="00BA462C" w:rsidRPr="00D048D3">
              <w:rPr>
                <w:rStyle w:val="Hyperlink"/>
                <w:noProof/>
              </w:rPr>
              <w:t>MPR Methodology</w:t>
            </w:r>
            <w:r w:rsidR="00BA462C">
              <w:rPr>
                <w:noProof/>
                <w:webHidden/>
              </w:rPr>
              <w:tab/>
            </w:r>
            <w:r w:rsidR="00BA462C">
              <w:rPr>
                <w:noProof/>
                <w:webHidden/>
              </w:rPr>
              <w:fldChar w:fldCharType="begin"/>
            </w:r>
            <w:r w:rsidR="00BA462C">
              <w:rPr>
                <w:noProof/>
                <w:webHidden/>
              </w:rPr>
              <w:instrText xml:space="preserve"> PAGEREF _Toc22632479 \h </w:instrText>
            </w:r>
            <w:r w:rsidR="00BA462C">
              <w:rPr>
                <w:noProof/>
                <w:webHidden/>
              </w:rPr>
            </w:r>
            <w:r w:rsidR="00BA462C">
              <w:rPr>
                <w:noProof/>
                <w:webHidden/>
              </w:rPr>
              <w:fldChar w:fldCharType="separate"/>
            </w:r>
            <w:r w:rsidR="00BA462C">
              <w:rPr>
                <w:noProof/>
                <w:webHidden/>
              </w:rPr>
              <w:t>5</w:t>
            </w:r>
            <w:r w:rsidR="00BA462C">
              <w:rPr>
                <w:noProof/>
                <w:webHidden/>
              </w:rPr>
              <w:fldChar w:fldCharType="end"/>
            </w:r>
          </w:hyperlink>
        </w:p>
        <w:p w14:paraId="6BA3D20A" w14:textId="146520D9" w:rsidR="00BA462C" w:rsidRDefault="00F97048">
          <w:pPr>
            <w:pStyle w:val="TOC3"/>
            <w:rPr>
              <w:rFonts w:eastAsiaTheme="minorEastAsia"/>
              <w:noProof/>
            </w:rPr>
          </w:pPr>
          <w:hyperlink w:anchor="_Toc22632480" w:history="1">
            <w:r w:rsidR="00BA462C" w:rsidRPr="00D048D3">
              <w:rPr>
                <w:rStyle w:val="Hyperlink"/>
                <w:noProof/>
              </w:rPr>
              <w:t>Review Team</w:t>
            </w:r>
            <w:r w:rsidR="00BA462C">
              <w:rPr>
                <w:noProof/>
                <w:webHidden/>
              </w:rPr>
              <w:tab/>
            </w:r>
            <w:r w:rsidR="00BA462C">
              <w:rPr>
                <w:noProof/>
                <w:webHidden/>
              </w:rPr>
              <w:fldChar w:fldCharType="begin"/>
            </w:r>
            <w:r w:rsidR="00BA462C">
              <w:rPr>
                <w:noProof/>
                <w:webHidden/>
              </w:rPr>
              <w:instrText xml:space="preserve"> PAGEREF _Toc22632480 \h </w:instrText>
            </w:r>
            <w:r w:rsidR="00BA462C">
              <w:rPr>
                <w:noProof/>
                <w:webHidden/>
              </w:rPr>
            </w:r>
            <w:r w:rsidR="00BA462C">
              <w:rPr>
                <w:noProof/>
                <w:webHidden/>
              </w:rPr>
              <w:fldChar w:fldCharType="separate"/>
            </w:r>
            <w:r w:rsidR="00BA462C">
              <w:rPr>
                <w:noProof/>
                <w:webHidden/>
              </w:rPr>
              <w:t>5</w:t>
            </w:r>
            <w:r w:rsidR="00BA462C">
              <w:rPr>
                <w:noProof/>
                <w:webHidden/>
              </w:rPr>
              <w:fldChar w:fldCharType="end"/>
            </w:r>
          </w:hyperlink>
        </w:p>
        <w:p w14:paraId="06BDAE1E" w14:textId="73240174" w:rsidR="00BA462C" w:rsidRDefault="00F97048">
          <w:pPr>
            <w:pStyle w:val="TOC3"/>
            <w:rPr>
              <w:rFonts w:eastAsiaTheme="minorEastAsia"/>
              <w:noProof/>
            </w:rPr>
          </w:pPr>
          <w:hyperlink w:anchor="_Toc22632481" w:history="1">
            <w:r w:rsidR="00BA462C" w:rsidRPr="00D048D3">
              <w:rPr>
                <w:rStyle w:val="Hyperlink"/>
                <w:noProof/>
              </w:rPr>
              <w:t>FY 19 Provider Sampling &amp; Selection</w:t>
            </w:r>
            <w:r w:rsidR="00BA462C">
              <w:rPr>
                <w:noProof/>
                <w:webHidden/>
              </w:rPr>
              <w:tab/>
            </w:r>
            <w:r w:rsidR="00BA462C">
              <w:rPr>
                <w:noProof/>
                <w:webHidden/>
              </w:rPr>
              <w:fldChar w:fldCharType="begin"/>
            </w:r>
            <w:r w:rsidR="00BA462C">
              <w:rPr>
                <w:noProof/>
                <w:webHidden/>
              </w:rPr>
              <w:instrText xml:space="preserve"> PAGEREF _Toc22632481 \h </w:instrText>
            </w:r>
            <w:r w:rsidR="00BA462C">
              <w:rPr>
                <w:noProof/>
                <w:webHidden/>
              </w:rPr>
            </w:r>
            <w:r w:rsidR="00BA462C">
              <w:rPr>
                <w:noProof/>
                <w:webHidden/>
              </w:rPr>
              <w:fldChar w:fldCharType="separate"/>
            </w:r>
            <w:r w:rsidR="00BA462C">
              <w:rPr>
                <w:noProof/>
                <w:webHidden/>
              </w:rPr>
              <w:t>5</w:t>
            </w:r>
            <w:r w:rsidR="00BA462C">
              <w:rPr>
                <w:noProof/>
                <w:webHidden/>
              </w:rPr>
              <w:fldChar w:fldCharType="end"/>
            </w:r>
          </w:hyperlink>
        </w:p>
        <w:p w14:paraId="35CD5857" w14:textId="1D69424D" w:rsidR="00BA462C" w:rsidRDefault="00F97048">
          <w:pPr>
            <w:pStyle w:val="TOC3"/>
            <w:rPr>
              <w:rFonts w:eastAsiaTheme="minorEastAsia"/>
              <w:noProof/>
            </w:rPr>
          </w:pPr>
          <w:hyperlink w:anchor="_Toc22632482" w:history="1">
            <w:r w:rsidR="00BA462C" w:rsidRPr="00D048D3">
              <w:rPr>
                <w:rStyle w:val="Hyperlink"/>
                <w:noProof/>
              </w:rPr>
              <w:t>Youth Sampling, Consent &amp; Interview Process</w:t>
            </w:r>
            <w:r w:rsidR="00BA462C">
              <w:rPr>
                <w:noProof/>
                <w:webHidden/>
              </w:rPr>
              <w:tab/>
            </w:r>
            <w:r w:rsidR="00BA462C">
              <w:rPr>
                <w:noProof/>
                <w:webHidden/>
              </w:rPr>
              <w:fldChar w:fldCharType="begin"/>
            </w:r>
            <w:r w:rsidR="00BA462C">
              <w:rPr>
                <w:noProof/>
                <w:webHidden/>
              </w:rPr>
              <w:instrText xml:space="preserve"> PAGEREF _Toc22632482 \h </w:instrText>
            </w:r>
            <w:r w:rsidR="00BA462C">
              <w:rPr>
                <w:noProof/>
                <w:webHidden/>
              </w:rPr>
            </w:r>
            <w:r w:rsidR="00BA462C">
              <w:rPr>
                <w:noProof/>
                <w:webHidden/>
              </w:rPr>
              <w:fldChar w:fldCharType="separate"/>
            </w:r>
            <w:r w:rsidR="00BA462C">
              <w:rPr>
                <w:noProof/>
                <w:webHidden/>
              </w:rPr>
              <w:t>5</w:t>
            </w:r>
            <w:r w:rsidR="00BA462C">
              <w:rPr>
                <w:noProof/>
                <w:webHidden/>
              </w:rPr>
              <w:fldChar w:fldCharType="end"/>
            </w:r>
          </w:hyperlink>
        </w:p>
        <w:p w14:paraId="21C2D83A" w14:textId="74C07AF0" w:rsidR="00BA462C" w:rsidRDefault="00F97048">
          <w:pPr>
            <w:pStyle w:val="TOC3"/>
            <w:rPr>
              <w:rFonts w:eastAsiaTheme="minorEastAsia"/>
              <w:noProof/>
            </w:rPr>
          </w:pPr>
          <w:hyperlink w:anchor="_Toc22632483" w:history="1">
            <w:r w:rsidR="00BA462C" w:rsidRPr="00D048D3">
              <w:rPr>
                <w:rStyle w:val="Hyperlink"/>
                <w:noProof/>
              </w:rPr>
              <w:t>Review Debriefings &amp; Data Management/Analysis</w:t>
            </w:r>
            <w:r w:rsidR="00BA462C">
              <w:rPr>
                <w:noProof/>
                <w:webHidden/>
              </w:rPr>
              <w:tab/>
            </w:r>
            <w:r w:rsidR="00BA462C">
              <w:rPr>
                <w:noProof/>
                <w:webHidden/>
              </w:rPr>
              <w:fldChar w:fldCharType="begin"/>
            </w:r>
            <w:r w:rsidR="00BA462C">
              <w:rPr>
                <w:noProof/>
                <w:webHidden/>
              </w:rPr>
              <w:instrText xml:space="preserve"> PAGEREF _Toc22632483 \h </w:instrText>
            </w:r>
            <w:r w:rsidR="00BA462C">
              <w:rPr>
                <w:noProof/>
                <w:webHidden/>
              </w:rPr>
            </w:r>
            <w:r w:rsidR="00BA462C">
              <w:rPr>
                <w:noProof/>
                <w:webHidden/>
              </w:rPr>
              <w:fldChar w:fldCharType="separate"/>
            </w:r>
            <w:r w:rsidR="00BA462C">
              <w:rPr>
                <w:noProof/>
                <w:webHidden/>
              </w:rPr>
              <w:t>5</w:t>
            </w:r>
            <w:r w:rsidR="00BA462C">
              <w:rPr>
                <w:noProof/>
                <w:webHidden/>
              </w:rPr>
              <w:fldChar w:fldCharType="end"/>
            </w:r>
          </w:hyperlink>
        </w:p>
        <w:p w14:paraId="4AEDDBA6" w14:textId="283072CD" w:rsidR="00BA462C" w:rsidRDefault="00F97048">
          <w:pPr>
            <w:pStyle w:val="TOC1"/>
            <w:rPr>
              <w:rFonts w:eastAsiaTheme="minorEastAsia"/>
              <w:b w:val="0"/>
              <w:bCs w:val="0"/>
              <w:noProof/>
              <w:sz w:val="22"/>
              <w:szCs w:val="22"/>
            </w:rPr>
          </w:pPr>
          <w:hyperlink w:anchor="_Toc22632484" w:history="1">
            <w:r w:rsidR="00BA462C" w:rsidRPr="00D048D3">
              <w:rPr>
                <w:rStyle w:val="Hyperlink"/>
                <w:noProof/>
              </w:rPr>
              <w:t>Quantitative Results</w:t>
            </w:r>
            <w:r w:rsidR="00BA462C">
              <w:rPr>
                <w:noProof/>
                <w:webHidden/>
              </w:rPr>
              <w:tab/>
            </w:r>
            <w:r w:rsidR="00BA462C">
              <w:rPr>
                <w:noProof/>
                <w:webHidden/>
              </w:rPr>
              <w:fldChar w:fldCharType="begin"/>
            </w:r>
            <w:r w:rsidR="00BA462C">
              <w:rPr>
                <w:noProof/>
                <w:webHidden/>
              </w:rPr>
              <w:instrText xml:space="preserve"> PAGEREF _Toc22632484 \h </w:instrText>
            </w:r>
            <w:r w:rsidR="00BA462C">
              <w:rPr>
                <w:noProof/>
                <w:webHidden/>
              </w:rPr>
            </w:r>
            <w:r w:rsidR="00BA462C">
              <w:rPr>
                <w:noProof/>
                <w:webHidden/>
              </w:rPr>
              <w:fldChar w:fldCharType="separate"/>
            </w:r>
            <w:r w:rsidR="00BA462C">
              <w:rPr>
                <w:noProof/>
                <w:webHidden/>
              </w:rPr>
              <w:t>6</w:t>
            </w:r>
            <w:r w:rsidR="00BA462C">
              <w:rPr>
                <w:noProof/>
                <w:webHidden/>
              </w:rPr>
              <w:fldChar w:fldCharType="end"/>
            </w:r>
          </w:hyperlink>
        </w:p>
        <w:p w14:paraId="22103A16" w14:textId="6C7F1D8C" w:rsidR="00BA462C" w:rsidRDefault="00F97048">
          <w:pPr>
            <w:pStyle w:val="TOC2"/>
            <w:tabs>
              <w:tab w:val="right" w:leader="dot" w:pos="10790"/>
            </w:tabs>
            <w:rPr>
              <w:rFonts w:eastAsiaTheme="minorEastAsia"/>
              <w:b w:val="0"/>
              <w:bCs w:val="0"/>
              <w:noProof/>
            </w:rPr>
          </w:pPr>
          <w:hyperlink w:anchor="_Toc22632485" w:history="1">
            <w:r w:rsidR="00BA462C" w:rsidRPr="00D048D3">
              <w:rPr>
                <w:rStyle w:val="Hyperlink"/>
                <w:noProof/>
              </w:rPr>
              <w:t>Select Demographic Characteristics</w:t>
            </w:r>
            <w:r w:rsidR="00BA462C">
              <w:rPr>
                <w:noProof/>
                <w:webHidden/>
              </w:rPr>
              <w:tab/>
            </w:r>
            <w:r w:rsidR="00BA462C">
              <w:rPr>
                <w:noProof/>
                <w:webHidden/>
              </w:rPr>
              <w:fldChar w:fldCharType="begin"/>
            </w:r>
            <w:r w:rsidR="00BA462C">
              <w:rPr>
                <w:noProof/>
                <w:webHidden/>
              </w:rPr>
              <w:instrText xml:space="preserve"> PAGEREF _Toc22632485 \h </w:instrText>
            </w:r>
            <w:r w:rsidR="00BA462C">
              <w:rPr>
                <w:noProof/>
                <w:webHidden/>
              </w:rPr>
            </w:r>
            <w:r w:rsidR="00BA462C">
              <w:rPr>
                <w:noProof/>
                <w:webHidden/>
              </w:rPr>
              <w:fldChar w:fldCharType="separate"/>
            </w:r>
            <w:r w:rsidR="00BA462C">
              <w:rPr>
                <w:noProof/>
                <w:webHidden/>
              </w:rPr>
              <w:t>6</w:t>
            </w:r>
            <w:r w:rsidR="00BA462C">
              <w:rPr>
                <w:noProof/>
                <w:webHidden/>
              </w:rPr>
              <w:fldChar w:fldCharType="end"/>
            </w:r>
          </w:hyperlink>
        </w:p>
        <w:p w14:paraId="63911C1B" w14:textId="6EE4CD42" w:rsidR="00BA462C" w:rsidRDefault="00F97048">
          <w:pPr>
            <w:pStyle w:val="TOC3"/>
            <w:rPr>
              <w:rFonts w:eastAsiaTheme="minorEastAsia"/>
              <w:noProof/>
            </w:rPr>
          </w:pPr>
          <w:hyperlink w:anchor="_Toc22632486" w:history="1">
            <w:r w:rsidR="00BA462C" w:rsidRPr="00D048D3">
              <w:rPr>
                <w:rStyle w:val="Hyperlink"/>
                <w:noProof/>
              </w:rPr>
              <w:t>Table 5: Demographics of Youth/Families Reviewed</w:t>
            </w:r>
            <w:r w:rsidR="00BA462C">
              <w:rPr>
                <w:noProof/>
                <w:webHidden/>
              </w:rPr>
              <w:tab/>
            </w:r>
            <w:r w:rsidR="00BA462C">
              <w:rPr>
                <w:noProof/>
                <w:webHidden/>
              </w:rPr>
              <w:fldChar w:fldCharType="begin"/>
            </w:r>
            <w:r w:rsidR="00BA462C">
              <w:rPr>
                <w:noProof/>
                <w:webHidden/>
              </w:rPr>
              <w:instrText xml:space="preserve"> PAGEREF _Toc22632486 \h </w:instrText>
            </w:r>
            <w:r w:rsidR="00BA462C">
              <w:rPr>
                <w:noProof/>
                <w:webHidden/>
              </w:rPr>
            </w:r>
            <w:r w:rsidR="00BA462C">
              <w:rPr>
                <w:noProof/>
                <w:webHidden/>
              </w:rPr>
              <w:fldChar w:fldCharType="separate"/>
            </w:r>
            <w:r w:rsidR="00BA462C">
              <w:rPr>
                <w:noProof/>
                <w:webHidden/>
              </w:rPr>
              <w:t>6</w:t>
            </w:r>
            <w:r w:rsidR="00BA462C">
              <w:rPr>
                <w:noProof/>
                <w:webHidden/>
              </w:rPr>
              <w:fldChar w:fldCharType="end"/>
            </w:r>
          </w:hyperlink>
        </w:p>
        <w:p w14:paraId="50F027E7" w14:textId="06AC9FFB" w:rsidR="00BA462C" w:rsidRDefault="00F97048">
          <w:pPr>
            <w:pStyle w:val="TOC3"/>
            <w:rPr>
              <w:rFonts w:eastAsiaTheme="minorEastAsia"/>
              <w:noProof/>
            </w:rPr>
          </w:pPr>
          <w:hyperlink w:anchor="_Toc22632487" w:history="1">
            <w:r w:rsidR="00BA462C" w:rsidRPr="00D048D3">
              <w:rPr>
                <w:rStyle w:val="Hyperlink"/>
                <w:noProof/>
              </w:rPr>
              <w:t>Practice Domain Results</w:t>
            </w:r>
            <w:r w:rsidR="00BA462C">
              <w:rPr>
                <w:noProof/>
                <w:webHidden/>
              </w:rPr>
              <w:tab/>
            </w:r>
            <w:r w:rsidR="00BA462C">
              <w:rPr>
                <w:noProof/>
                <w:webHidden/>
              </w:rPr>
              <w:fldChar w:fldCharType="begin"/>
            </w:r>
            <w:r w:rsidR="00BA462C">
              <w:rPr>
                <w:noProof/>
                <w:webHidden/>
              </w:rPr>
              <w:instrText xml:space="preserve"> PAGEREF _Toc22632487 \h </w:instrText>
            </w:r>
            <w:r w:rsidR="00BA462C">
              <w:rPr>
                <w:noProof/>
                <w:webHidden/>
              </w:rPr>
            </w:r>
            <w:r w:rsidR="00BA462C">
              <w:rPr>
                <w:noProof/>
                <w:webHidden/>
              </w:rPr>
              <w:fldChar w:fldCharType="separate"/>
            </w:r>
            <w:r w:rsidR="00BA462C">
              <w:rPr>
                <w:noProof/>
                <w:webHidden/>
              </w:rPr>
              <w:t>7</w:t>
            </w:r>
            <w:r w:rsidR="00BA462C">
              <w:rPr>
                <w:noProof/>
                <w:webHidden/>
              </w:rPr>
              <w:fldChar w:fldCharType="end"/>
            </w:r>
          </w:hyperlink>
        </w:p>
        <w:p w14:paraId="28379892" w14:textId="15E55A2E" w:rsidR="00BA462C" w:rsidRDefault="00F97048">
          <w:pPr>
            <w:pStyle w:val="TOC3"/>
            <w:rPr>
              <w:rFonts w:eastAsiaTheme="minorEastAsia"/>
              <w:noProof/>
            </w:rPr>
          </w:pPr>
          <w:hyperlink w:anchor="_Toc22632488" w:history="1">
            <w:r w:rsidR="00BA462C" w:rsidRPr="00D048D3">
              <w:rPr>
                <w:rStyle w:val="Hyperlink"/>
                <w:noProof/>
              </w:rPr>
              <w:t>Table 6: MPR Practice Mean Scores – By Domain</w:t>
            </w:r>
            <w:r w:rsidR="00BA462C">
              <w:rPr>
                <w:noProof/>
                <w:webHidden/>
              </w:rPr>
              <w:tab/>
            </w:r>
            <w:r w:rsidR="00BA462C">
              <w:rPr>
                <w:noProof/>
                <w:webHidden/>
              </w:rPr>
              <w:fldChar w:fldCharType="begin"/>
            </w:r>
            <w:r w:rsidR="00BA462C">
              <w:rPr>
                <w:noProof/>
                <w:webHidden/>
              </w:rPr>
              <w:instrText xml:space="preserve"> PAGEREF _Toc22632488 \h </w:instrText>
            </w:r>
            <w:r w:rsidR="00BA462C">
              <w:rPr>
                <w:noProof/>
                <w:webHidden/>
              </w:rPr>
            </w:r>
            <w:r w:rsidR="00BA462C">
              <w:rPr>
                <w:noProof/>
                <w:webHidden/>
              </w:rPr>
              <w:fldChar w:fldCharType="separate"/>
            </w:r>
            <w:r w:rsidR="00BA462C">
              <w:rPr>
                <w:noProof/>
                <w:webHidden/>
              </w:rPr>
              <w:t>7</w:t>
            </w:r>
            <w:r w:rsidR="00BA462C">
              <w:rPr>
                <w:noProof/>
                <w:webHidden/>
              </w:rPr>
              <w:fldChar w:fldCharType="end"/>
            </w:r>
          </w:hyperlink>
        </w:p>
        <w:p w14:paraId="77E4CFBC" w14:textId="4622A24B" w:rsidR="00BA462C" w:rsidRDefault="00F97048">
          <w:pPr>
            <w:pStyle w:val="TOC3"/>
            <w:rPr>
              <w:rFonts w:eastAsiaTheme="minorEastAsia"/>
              <w:noProof/>
            </w:rPr>
          </w:pPr>
          <w:hyperlink w:anchor="_Toc22632489" w:history="1">
            <w:r w:rsidR="00BA462C" w:rsidRPr="00D048D3">
              <w:rPr>
                <w:rStyle w:val="Hyperlink"/>
                <w:noProof/>
              </w:rPr>
              <w:t>Table 7: Family Driven &amp; Youth Guided - Area Mean Scores &amp; Frequencies</w:t>
            </w:r>
            <w:r w:rsidR="00BA462C">
              <w:rPr>
                <w:noProof/>
                <w:webHidden/>
              </w:rPr>
              <w:tab/>
            </w:r>
            <w:r w:rsidR="00BA462C">
              <w:rPr>
                <w:noProof/>
                <w:webHidden/>
              </w:rPr>
              <w:fldChar w:fldCharType="begin"/>
            </w:r>
            <w:r w:rsidR="00BA462C">
              <w:rPr>
                <w:noProof/>
                <w:webHidden/>
              </w:rPr>
              <w:instrText xml:space="preserve"> PAGEREF _Toc22632489 \h </w:instrText>
            </w:r>
            <w:r w:rsidR="00BA462C">
              <w:rPr>
                <w:noProof/>
                <w:webHidden/>
              </w:rPr>
            </w:r>
            <w:r w:rsidR="00BA462C">
              <w:rPr>
                <w:noProof/>
                <w:webHidden/>
              </w:rPr>
              <w:fldChar w:fldCharType="separate"/>
            </w:r>
            <w:r w:rsidR="00BA462C">
              <w:rPr>
                <w:noProof/>
                <w:webHidden/>
              </w:rPr>
              <w:t>7</w:t>
            </w:r>
            <w:r w:rsidR="00BA462C">
              <w:rPr>
                <w:noProof/>
                <w:webHidden/>
              </w:rPr>
              <w:fldChar w:fldCharType="end"/>
            </w:r>
          </w:hyperlink>
        </w:p>
        <w:p w14:paraId="20025011" w14:textId="13D7A6A8" w:rsidR="00BA462C" w:rsidRDefault="00F97048">
          <w:pPr>
            <w:pStyle w:val="TOC3"/>
            <w:rPr>
              <w:rFonts w:eastAsiaTheme="minorEastAsia"/>
              <w:noProof/>
            </w:rPr>
          </w:pPr>
          <w:hyperlink w:anchor="_Toc22632490" w:history="1">
            <w:r w:rsidR="00BA462C" w:rsidRPr="00D048D3">
              <w:rPr>
                <w:rStyle w:val="Hyperlink"/>
                <w:noProof/>
              </w:rPr>
              <w:t>Table 8: Community-Based - Area Mean Scores &amp; Frequencies</w:t>
            </w:r>
            <w:r w:rsidR="00BA462C">
              <w:rPr>
                <w:noProof/>
                <w:webHidden/>
              </w:rPr>
              <w:tab/>
            </w:r>
            <w:r w:rsidR="00BA462C">
              <w:rPr>
                <w:noProof/>
                <w:webHidden/>
              </w:rPr>
              <w:fldChar w:fldCharType="begin"/>
            </w:r>
            <w:r w:rsidR="00BA462C">
              <w:rPr>
                <w:noProof/>
                <w:webHidden/>
              </w:rPr>
              <w:instrText xml:space="preserve"> PAGEREF _Toc22632490 \h </w:instrText>
            </w:r>
            <w:r w:rsidR="00BA462C">
              <w:rPr>
                <w:noProof/>
                <w:webHidden/>
              </w:rPr>
            </w:r>
            <w:r w:rsidR="00BA462C">
              <w:rPr>
                <w:noProof/>
                <w:webHidden/>
              </w:rPr>
              <w:fldChar w:fldCharType="separate"/>
            </w:r>
            <w:r w:rsidR="00BA462C">
              <w:rPr>
                <w:noProof/>
                <w:webHidden/>
              </w:rPr>
              <w:t>8</w:t>
            </w:r>
            <w:r w:rsidR="00BA462C">
              <w:rPr>
                <w:noProof/>
                <w:webHidden/>
              </w:rPr>
              <w:fldChar w:fldCharType="end"/>
            </w:r>
          </w:hyperlink>
        </w:p>
        <w:p w14:paraId="13C65DE4" w14:textId="0322345B" w:rsidR="00BA462C" w:rsidRDefault="00F97048">
          <w:pPr>
            <w:pStyle w:val="TOC3"/>
            <w:rPr>
              <w:rFonts w:eastAsiaTheme="minorEastAsia"/>
              <w:noProof/>
            </w:rPr>
          </w:pPr>
          <w:hyperlink w:anchor="_Toc22632491" w:history="1">
            <w:r w:rsidR="00BA462C" w:rsidRPr="00D048D3">
              <w:rPr>
                <w:rStyle w:val="Hyperlink"/>
                <w:noProof/>
              </w:rPr>
              <w:t>Table 9: Culturally Competent - Area Mean Scores &amp; Frequencies</w:t>
            </w:r>
            <w:r w:rsidR="00BA462C">
              <w:rPr>
                <w:noProof/>
                <w:webHidden/>
              </w:rPr>
              <w:tab/>
            </w:r>
            <w:r w:rsidR="00BA462C">
              <w:rPr>
                <w:noProof/>
                <w:webHidden/>
              </w:rPr>
              <w:fldChar w:fldCharType="begin"/>
            </w:r>
            <w:r w:rsidR="00BA462C">
              <w:rPr>
                <w:noProof/>
                <w:webHidden/>
              </w:rPr>
              <w:instrText xml:space="preserve"> PAGEREF _Toc22632491 \h </w:instrText>
            </w:r>
            <w:r w:rsidR="00BA462C">
              <w:rPr>
                <w:noProof/>
                <w:webHidden/>
              </w:rPr>
            </w:r>
            <w:r w:rsidR="00BA462C">
              <w:rPr>
                <w:noProof/>
                <w:webHidden/>
              </w:rPr>
              <w:fldChar w:fldCharType="separate"/>
            </w:r>
            <w:r w:rsidR="00BA462C">
              <w:rPr>
                <w:noProof/>
                <w:webHidden/>
              </w:rPr>
              <w:t>9</w:t>
            </w:r>
            <w:r w:rsidR="00BA462C">
              <w:rPr>
                <w:noProof/>
                <w:webHidden/>
              </w:rPr>
              <w:fldChar w:fldCharType="end"/>
            </w:r>
          </w:hyperlink>
        </w:p>
        <w:p w14:paraId="3C0CB2C5" w14:textId="70B47985" w:rsidR="00BA462C" w:rsidRDefault="00F97048">
          <w:pPr>
            <w:pStyle w:val="TOC2"/>
            <w:tabs>
              <w:tab w:val="right" w:leader="dot" w:pos="10790"/>
            </w:tabs>
            <w:rPr>
              <w:rFonts w:eastAsiaTheme="minorEastAsia"/>
              <w:b w:val="0"/>
              <w:bCs w:val="0"/>
              <w:noProof/>
            </w:rPr>
          </w:pPr>
          <w:hyperlink w:anchor="_Toc22632492" w:history="1">
            <w:r w:rsidR="00BA462C" w:rsidRPr="00D048D3">
              <w:rPr>
                <w:rStyle w:val="Hyperlink"/>
                <w:noProof/>
              </w:rPr>
              <w:t>Youth &amp; Family Progress Domain Results</w:t>
            </w:r>
            <w:r w:rsidR="00BA462C">
              <w:rPr>
                <w:noProof/>
                <w:webHidden/>
              </w:rPr>
              <w:tab/>
            </w:r>
            <w:r w:rsidR="00BA462C">
              <w:rPr>
                <w:noProof/>
                <w:webHidden/>
              </w:rPr>
              <w:fldChar w:fldCharType="begin"/>
            </w:r>
            <w:r w:rsidR="00BA462C">
              <w:rPr>
                <w:noProof/>
                <w:webHidden/>
              </w:rPr>
              <w:instrText xml:space="preserve"> PAGEREF _Toc22632492 \h </w:instrText>
            </w:r>
            <w:r w:rsidR="00BA462C">
              <w:rPr>
                <w:noProof/>
                <w:webHidden/>
              </w:rPr>
            </w:r>
            <w:r w:rsidR="00BA462C">
              <w:rPr>
                <w:noProof/>
                <w:webHidden/>
              </w:rPr>
              <w:fldChar w:fldCharType="separate"/>
            </w:r>
            <w:r w:rsidR="00BA462C">
              <w:rPr>
                <w:noProof/>
                <w:webHidden/>
              </w:rPr>
              <w:t>9</w:t>
            </w:r>
            <w:r w:rsidR="00BA462C">
              <w:rPr>
                <w:noProof/>
                <w:webHidden/>
              </w:rPr>
              <w:fldChar w:fldCharType="end"/>
            </w:r>
          </w:hyperlink>
        </w:p>
        <w:p w14:paraId="4E32F938" w14:textId="5BCB3143" w:rsidR="00BA462C" w:rsidRDefault="00F97048">
          <w:pPr>
            <w:pStyle w:val="TOC3"/>
            <w:rPr>
              <w:rFonts w:eastAsiaTheme="minorEastAsia"/>
              <w:noProof/>
            </w:rPr>
          </w:pPr>
          <w:hyperlink w:anchor="_Toc22632493" w:history="1">
            <w:r w:rsidR="00BA462C" w:rsidRPr="00D048D3">
              <w:rPr>
                <w:rStyle w:val="Hyperlink"/>
                <w:noProof/>
              </w:rPr>
              <w:t>Table 10: Youth &amp; Family Progress Domain Mean Scores</w:t>
            </w:r>
            <w:r w:rsidR="00BA462C">
              <w:rPr>
                <w:noProof/>
                <w:webHidden/>
              </w:rPr>
              <w:tab/>
            </w:r>
            <w:r w:rsidR="00BA462C">
              <w:rPr>
                <w:noProof/>
                <w:webHidden/>
              </w:rPr>
              <w:fldChar w:fldCharType="begin"/>
            </w:r>
            <w:r w:rsidR="00BA462C">
              <w:rPr>
                <w:noProof/>
                <w:webHidden/>
              </w:rPr>
              <w:instrText xml:space="preserve"> PAGEREF _Toc22632493 \h </w:instrText>
            </w:r>
            <w:r w:rsidR="00BA462C">
              <w:rPr>
                <w:noProof/>
                <w:webHidden/>
              </w:rPr>
            </w:r>
            <w:r w:rsidR="00BA462C">
              <w:rPr>
                <w:noProof/>
                <w:webHidden/>
              </w:rPr>
              <w:fldChar w:fldCharType="separate"/>
            </w:r>
            <w:r w:rsidR="00BA462C">
              <w:rPr>
                <w:noProof/>
                <w:webHidden/>
              </w:rPr>
              <w:t>9</w:t>
            </w:r>
            <w:r w:rsidR="00BA462C">
              <w:rPr>
                <w:noProof/>
                <w:webHidden/>
              </w:rPr>
              <w:fldChar w:fldCharType="end"/>
            </w:r>
          </w:hyperlink>
        </w:p>
        <w:p w14:paraId="148FC864" w14:textId="7A42D142" w:rsidR="00BA462C" w:rsidRDefault="00F97048">
          <w:pPr>
            <w:pStyle w:val="TOC3"/>
            <w:rPr>
              <w:rFonts w:eastAsiaTheme="minorEastAsia"/>
              <w:noProof/>
            </w:rPr>
          </w:pPr>
          <w:hyperlink w:anchor="_Toc22632494" w:history="1">
            <w:r w:rsidR="00BA462C" w:rsidRPr="00D048D3">
              <w:rPr>
                <w:rStyle w:val="Hyperlink"/>
                <w:noProof/>
              </w:rPr>
              <w:t>Table 11: Youth &amp; Family Progress - Area Mean Scores &amp; Frequencies</w:t>
            </w:r>
            <w:r w:rsidR="00BA462C">
              <w:rPr>
                <w:noProof/>
                <w:webHidden/>
              </w:rPr>
              <w:tab/>
            </w:r>
            <w:r w:rsidR="00BA462C">
              <w:rPr>
                <w:noProof/>
                <w:webHidden/>
              </w:rPr>
              <w:fldChar w:fldCharType="begin"/>
            </w:r>
            <w:r w:rsidR="00BA462C">
              <w:rPr>
                <w:noProof/>
                <w:webHidden/>
              </w:rPr>
              <w:instrText xml:space="preserve"> PAGEREF _Toc22632494 \h </w:instrText>
            </w:r>
            <w:r w:rsidR="00BA462C">
              <w:rPr>
                <w:noProof/>
                <w:webHidden/>
              </w:rPr>
            </w:r>
            <w:r w:rsidR="00BA462C">
              <w:rPr>
                <w:noProof/>
                <w:webHidden/>
              </w:rPr>
              <w:fldChar w:fldCharType="separate"/>
            </w:r>
            <w:r w:rsidR="00BA462C">
              <w:rPr>
                <w:noProof/>
                <w:webHidden/>
              </w:rPr>
              <w:t>9</w:t>
            </w:r>
            <w:r w:rsidR="00BA462C">
              <w:rPr>
                <w:noProof/>
                <w:webHidden/>
              </w:rPr>
              <w:fldChar w:fldCharType="end"/>
            </w:r>
          </w:hyperlink>
        </w:p>
        <w:p w14:paraId="6B075F25" w14:textId="6666061A" w:rsidR="00BA462C" w:rsidRDefault="00F97048">
          <w:pPr>
            <w:pStyle w:val="TOC2"/>
            <w:tabs>
              <w:tab w:val="right" w:leader="dot" w:pos="10790"/>
            </w:tabs>
            <w:rPr>
              <w:rFonts w:eastAsiaTheme="minorEastAsia"/>
              <w:b w:val="0"/>
              <w:bCs w:val="0"/>
              <w:noProof/>
            </w:rPr>
          </w:pPr>
          <w:hyperlink w:anchor="_Toc22632495" w:history="1">
            <w:r w:rsidR="00BA462C" w:rsidRPr="00D048D3">
              <w:rPr>
                <w:rStyle w:val="Hyperlink"/>
                <w:noProof/>
              </w:rPr>
              <w:t>IHT Supplemental Question Results</w:t>
            </w:r>
            <w:r w:rsidR="00BA462C">
              <w:rPr>
                <w:noProof/>
                <w:webHidden/>
              </w:rPr>
              <w:tab/>
            </w:r>
            <w:r w:rsidR="00BA462C">
              <w:rPr>
                <w:noProof/>
                <w:webHidden/>
              </w:rPr>
              <w:fldChar w:fldCharType="begin"/>
            </w:r>
            <w:r w:rsidR="00BA462C">
              <w:rPr>
                <w:noProof/>
                <w:webHidden/>
              </w:rPr>
              <w:instrText xml:space="preserve"> PAGEREF _Toc22632495 \h </w:instrText>
            </w:r>
            <w:r w:rsidR="00BA462C">
              <w:rPr>
                <w:noProof/>
                <w:webHidden/>
              </w:rPr>
            </w:r>
            <w:r w:rsidR="00BA462C">
              <w:rPr>
                <w:noProof/>
                <w:webHidden/>
              </w:rPr>
              <w:fldChar w:fldCharType="separate"/>
            </w:r>
            <w:r w:rsidR="00BA462C">
              <w:rPr>
                <w:noProof/>
                <w:webHidden/>
              </w:rPr>
              <w:t>10</w:t>
            </w:r>
            <w:r w:rsidR="00BA462C">
              <w:rPr>
                <w:noProof/>
                <w:webHidden/>
              </w:rPr>
              <w:fldChar w:fldCharType="end"/>
            </w:r>
          </w:hyperlink>
        </w:p>
        <w:p w14:paraId="14D9FED6" w14:textId="5D4536DF" w:rsidR="00BA462C" w:rsidRDefault="00F97048">
          <w:pPr>
            <w:pStyle w:val="TOC3"/>
            <w:rPr>
              <w:rFonts w:eastAsiaTheme="minorEastAsia"/>
              <w:noProof/>
            </w:rPr>
          </w:pPr>
          <w:hyperlink w:anchor="_Toc22632496" w:history="1">
            <w:r w:rsidR="00BA462C" w:rsidRPr="00D048D3">
              <w:rPr>
                <w:rStyle w:val="Hyperlink"/>
                <w:noProof/>
              </w:rPr>
              <w:t>Table 12: IHT Supplemental Question Results</w:t>
            </w:r>
            <w:r w:rsidR="00BA462C">
              <w:rPr>
                <w:noProof/>
                <w:webHidden/>
              </w:rPr>
              <w:tab/>
            </w:r>
            <w:r w:rsidR="00BA462C">
              <w:rPr>
                <w:noProof/>
                <w:webHidden/>
              </w:rPr>
              <w:fldChar w:fldCharType="begin"/>
            </w:r>
            <w:r w:rsidR="00BA462C">
              <w:rPr>
                <w:noProof/>
                <w:webHidden/>
              </w:rPr>
              <w:instrText xml:space="preserve"> PAGEREF _Toc22632496 \h </w:instrText>
            </w:r>
            <w:r w:rsidR="00BA462C">
              <w:rPr>
                <w:noProof/>
                <w:webHidden/>
              </w:rPr>
            </w:r>
            <w:r w:rsidR="00BA462C">
              <w:rPr>
                <w:noProof/>
                <w:webHidden/>
              </w:rPr>
              <w:fldChar w:fldCharType="separate"/>
            </w:r>
            <w:r w:rsidR="00BA462C">
              <w:rPr>
                <w:noProof/>
                <w:webHidden/>
              </w:rPr>
              <w:t>10</w:t>
            </w:r>
            <w:r w:rsidR="00BA462C">
              <w:rPr>
                <w:noProof/>
                <w:webHidden/>
              </w:rPr>
              <w:fldChar w:fldCharType="end"/>
            </w:r>
          </w:hyperlink>
        </w:p>
        <w:p w14:paraId="0A121CE8" w14:textId="55A56793" w:rsidR="00BA462C" w:rsidRDefault="00F97048">
          <w:pPr>
            <w:pStyle w:val="TOC1"/>
            <w:rPr>
              <w:rFonts w:eastAsiaTheme="minorEastAsia"/>
              <w:b w:val="0"/>
              <w:bCs w:val="0"/>
              <w:noProof/>
              <w:sz w:val="22"/>
              <w:szCs w:val="22"/>
            </w:rPr>
          </w:pPr>
          <w:hyperlink w:anchor="_Toc22632497" w:history="1">
            <w:r w:rsidR="00BA462C" w:rsidRPr="00D048D3">
              <w:rPr>
                <w:rStyle w:val="Hyperlink"/>
                <w:noProof/>
              </w:rPr>
              <w:t>Qualitative Results</w:t>
            </w:r>
            <w:r w:rsidR="00BA462C">
              <w:rPr>
                <w:noProof/>
                <w:webHidden/>
              </w:rPr>
              <w:tab/>
            </w:r>
            <w:r w:rsidR="00BA462C">
              <w:rPr>
                <w:noProof/>
                <w:webHidden/>
              </w:rPr>
              <w:fldChar w:fldCharType="begin"/>
            </w:r>
            <w:r w:rsidR="00BA462C">
              <w:rPr>
                <w:noProof/>
                <w:webHidden/>
              </w:rPr>
              <w:instrText xml:space="preserve"> PAGEREF _Toc22632497 \h </w:instrText>
            </w:r>
            <w:r w:rsidR="00BA462C">
              <w:rPr>
                <w:noProof/>
                <w:webHidden/>
              </w:rPr>
            </w:r>
            <w:r w:rsidR="00BA462C">
              <w:rPr>
                <w:noProof/>
                <w:webHidden/>
              </w:rPr>
              <w:fldChar w:fldCharType="separate"/>
            </w:r>
            <w:r w:rsidR="00BA462C">
              <w:rPr>
                <w:noProof/>
                <w:webHidden/>
              </w:rPr>
              <w:t>11</w:t>
            </w:r>
            <w:r w:rsidR="00BA462C">
              <w:rPr>
                <w:noProof/>
                <w:webHidden/>
              </w:rPr>
              <w:fldChar w:fldCharType="end"/>
            </w:r>
          </w:hyperlink>
        </w:p>
        <w:p w14:paraId="73EB967E" w14:textId="46577398" w:rsidR="00BA462C" w:rsidRDefault="00F97048">
          <w:pPr>
            <w:pStyle w:val="TOC3"/>
            <w:rPr>
              <w:rFonts w:eastAsiaTheme="minorEastAsia"/>
              <w:noProof/>
            </w:rPr>
          </w:pPr>
          <w:hyperlink w:anchor="_Toc22632498" w:history="1">
            <w:r w:rsidR="00BA462C" w:rsidRPr="00D048D3">
              <w:rPr>
                <w:rStyle w:val="Hyperlink"/>
                <w:noProof/>
              </w:rPr>
              <w:t>Table 13: Reviewer Comments</w:t>
            </w:r>
            <w:r w:rsidR="00BA462C">
              <w:rPr>
                <w:noProof/>
                <w:webHidden/>
              </w:rPr>
              <w:tab/>
            </w:r>
            <w:r w:rsidR="00BA462C">
              <w:rPr>
                <w:noProof/>
                <w:webHidden/>
              </w:rPr>
              <w:fldChar w:fldCharType="begin"/>
            </w:r>
            <w:r w:rsidR="00BA462C">
              <w:rPr>
                <w:noProof/>
                <w:webHidden/>
              </w:rPr>
              <w:instrText xml:space="preserve"> PAGEREF _Toc22632498 \h </w:instrText>
            </w:r>
            <w:r w:rsidR="00BA462C">
              <w:rPr>
                <w:noProof/>
                <w:webHidden/>
              </w:rPr>
            </w:r>
            <w:r w:rsidR="00BA462C">
              <w:rPr>
                <w:noProof/>
                <w:webHidden/>
              </w:rPr>
              <w:fldChar w:fldCharType="separate"/>
            </w:r>
            <w:r w:rsidR="00BA462C">
              <w:rPr>
                <w:noProof/>
                <w:webHidden/>
              </w:rPr>
              <w:t>11</w:t>
            </w:r>
            <w:r w:rsidR="00BA462C">
              <w:rPr>
                <w:noProof/>
                <w:webHidden/>
              </w:rPr>
              <w:fldChar w:fldCharType="end"/>
            </w:r>
          </w:hyperlink>
        </w:p>
        <w:p w14:paraId="7806B2A3" w14:textId="62775848" w:rsidR="00E50446" w:rsidRDefault="00FE6EA0" w:rsidP="005E2112">
          <w:pPr>
            <w:spacing w:before="120"/>
          </w:pPr>
          <w:r w:rsidRPr="003D5DA0">
            <w:rPr>
              <w:b/>
              <w:bCs/>
              <w:noProof/>
              <w:color w:val="BFBFBF" w:themeColor="background1" w:themeShade="BF"/>
            </w:rPr>
            <w:fldChar w:fldCharType="end"/>
          </w:r>
        </w:p>
      </w:sdtContent>
    </w:sdt>
    <w:p w14:paraId="3400141F" w14:textId="77777777" w:rsidR="002C3E6A" w:rsidRDefault="002C3E6A" w:rsidP="002C3E6A">
      <w:pPr>
        <w:pStyle w:val="Heading1"/>
      </w:pPr>
      <w:r>
        <w:br w:type="page"/>
      </w:r>
    </w:p>
    <w:p w14:paraId="0210BB50" w14:textId="77777777" w:rsidR="00AA31C9" w:rsidRDefault="00DD0DCF" w:rsidP="00AA0899">
      <w:pPr>
        <w:pStyle w:val="Heading1"/>
      </w:pPr>
      <w:bookmarkStart w:id="1" w:name="_Toc22632468"/>
      <w:r w:rsidRPr="00BF4405">
        <w:lastRenderedPageBreak/>
        <w:t>Introduction</w:t>
      </w:r>
      <w:bookmarkEnd w:id="1"/>
    </w:p>
    <w:p w14:paraId="40DE06D9" w14:textId="6B9F5530" w:rsidR="008A79BA" w:rsidRDefault="00104CAC" w:rsidP="008A79BA">
      <w:pPr>
        <w:rPr>
          <w:rFonts w:eastAsia="Palatino Linotype" w:cs="Times New Roman"/>
        </w:rPr>
      </w:pPr>
      <w:r w:rsidRPr="000C6A80">
        <w:t xml:space="preserve">The MPR </w:t>
      </w:r>
      <w:r>
        <w:t xml:space="preserve">is a qualitative case review tool that is implemented by trained reviewers who examine the clinical record and </w:t>
      </w:r>
      <w:r w:rsidRPr="000C6A80">
        <w:t>interview</w:t>
      </w:r>
      <w:r>
        <w:t xml:space="preserve"> </w:t>
      </w:r>
      <w:r w:rsidRPr="000C6A80">
        <w:t xml:space="preserve">multiple stakeholders, including the </w:t>
      </w:r>
      <w:r>
        <w:t xml:space="preserve">CBHI service provider, </w:t>
      </w:r>
      <w:r w:rsidRPr="000C6A80">
        <w:t xml:space="preserve">the </w:t>
      </w:r>
      <w:r w:rsidR="00CF09A5">
        <w:t>Caregiver</w:t>
      </w:r>
      <w:r w:rsidRPr="000C6A80">
        <w:t xml:space="preserve">, the youth (if over 12), and other formal providers </w:t>
      </w:r>
      <w:r>
        <w:t xml:space="preserve">who work with the </w:t>
      </w:r>
      <w:r w:rsidRPr="000C6A80">
        <w:t xml:space="preserve">youth and family. </w:t>
      </w:r>
      <w:r w:rsidR="00BC5DFE">
        <w:rPr>
          <w:rFonts w:eastAsia="Palatino Linotype" w:cs="Times New Roman"/>
        </w:rPr>
        <w:t>MPR reviews are specifically focused on In-Home Therapy (IHT) and Intensive Care Coordination (ICC) services.</w:t>
      </w:r>
      <w:r w:rsidR="00BC5DFE">
        <w:t xml:space="preserve"> </w:t>
      </w:r>
    </w:p>
    <w:p w14:paraId="20B97A3E" w14:textId="2AA64CA9" w:rsidR="006312BB" w:rsidRDefault="006312BB" w:rsidP="00F11362"/>
    <w:p w14:paraId="5D093AD1" w14:textId="153BF8C9" w:rsidR="00BC5DFE" w:rsidRDefault="00BC5DFE" w:rsidP="00F11362">
      <w:pPr>
        <w:rPr>
          <w:rFonts w:ascii="Calibri" w:eastAsia="Calibri" w:hAnsi="Calibri" w:cs="Times New Roman"/>
        </w:rPr>
      </w:pPr>
      <w:r>
        <w:rPr>
          <w:rFonts w:ascii="Calibri" w:eastAsia="Calibri" w:hAnsi="Calibri" w:cs="Times New Roman"/>
        </w:rPr>
        <w:t>The</w:t>
      </w:r>
      <w:r w:rsidR="008A79BA">
        <w:rPr>
          <w:rFonts w:ascii="Calibri" w:eastAsia="Calibri" w:hAnsi="Calibri" w:cs="Times New Roman"/>
        </w:rPr>
        <w:t xml:space="preserve"> MPR reviews are one of the many sources used to </w:t>
      </w:r>
      <w:r w:rsidR="00A14110">
        <w:rPr>
          <w:rFonts w:ascii="Calibri" w:eastAsia="Calibri" w:hAnsi="Calibri" w:cs="Times New Roman"/>
        </w:rPr>
        <w:t xml:space="preserve">assist the </w:t>
      </w:r>
      <w:r>
        <w:rPr>
          <w:rFonts w:ascii="Calibri" w:eastAsia="Calibri" w:hAnsi="Calibri" w:cs="Times New Roman"/>
        </w:rPr>
        <w:t xml:space="preserve">Commonwealth and MassHealth to identify service delivery challenges experienced by providers and </w:t>
      </w:r>
      <w:r w:rsidR="008A79BA">
        <w:rPr>
          <w:rFonts w:ascii="Calibri" w:eastAsia="Calibri" w:hAnsi="Calibri" w:cs="Times New Roman"/>
        </w:rPr>
        <w:t xml:space="preserve">ways to achieve </w:t>
      </w:r>
      <w:r>
        <w:rPr>
          <w:rFonts w:ascii="Calibri" w:eastAsia="Calibri" w:hAnsi="Calibri" w:cs="Times New Roman"/>
        </w:rPr>
        <w:t xml:space="preserve">the standards of care established for CBHI services. </w:t>
      </w:r>
      <w:r w:rsidR="0092166C">
        <w:rPr>
          <w:rFonts w:ascii="Calibri" w:eastAsia="Calibri" w:hAnsi="Calibri" w:cs="Times New Roman"/>
        </w:rPr>
        <w:t xml:space="preserve">The MPR data </w:t>
      </w:r>
      <w:r w:rsidR="00733B46">
        <w:rPr>
          <w:rFonts w:ascii="Calibri" w:eastAsia="Calibri" w:hAnsi="Calibri" w:cs="Times New Roman"/>
        </w:rPr>
        <w:t xml:space="preserve">is </w:t>
      </w:r>
      <w:r w:rsidR="0092166C">
        <w:rPr>
          <w:rFonts w:ascii="Calibri" w:eastAsia="Calibri" w:hAnsi="Calibri" w:cs="Times New Roman"/>
        </w:rPr>
        <w:t xml:space="preserve">useful </w:t>
      </w:r>
      <w:r w:rsidR="00733B46">
        <w:rPr>
          <w:rFonts w:ascii="Calibri" w:eastAsia="Calibri" w:hAnsi="Calibri" w:cs="Times New Roman"/>
        </w:rPr>
        <w:t>for the purpose of</w:t>
      </w:r>
      <w:r w:rsidR="00733B46" w:rsidRPr="00733B46">
        <w:t xml:space="preserve"> identifying areas for targeted and general provider improvement efforts</w:t>
      </w:r>
      <w:r>
        <w:rPr>
          <w:rFonts w:ascii="Calibri" w:eastAsia="Calibri" w:hAnsi="Calibri" w:cs="Times New Roman"/>
        </w:rPr>
        <w:t xml:space="preserve">. </w:t>
      </w:r>
    </w:p>
    <w:p w14:paraId="23153542" w14:textId="77777777" w:rsidR="00BC5DFE" w:rsidRDefault="00BC5DFE" w:rsidP="00DB0B66">
      <w:pPr>
        <w:rPr>
          <w:rFonts w:eastAsia="Palatino Linotype" w:cs="Times New Roman"/>
        </w:rPr>
      </w:pPr>
    </w:p>
    <w:p w14:paraId="37716774" w14:textId="77777777" w:rsidR="008422F1" w:rsidRPr="002848E8" w:rsidRDefault="000E3D2E" w:rsidP="000A2194">
      <w:pPr>
        <w:pStyle w:val="Heading1"/>
        <w:spacing w:after="120"/>
      </w:pPr>
      <w:bookmarkStart w:id="2" w:name="_Toc22632469"/>
      <w:r w:rsidRPr="002848E8">
        <w:t>MPR</w:t>
      </w:r>
      <w:r w:rsidR="002E6617">
        <w:rPr>
          <w:rStyle w:val="CommentReference"/>
          <w:rFonts w:asciiTheme="minorHAnsi" w:eastAsiaTheme="minorHAnsi" w:hAnsiTheme="minorHAnsi" w:cstheme="minorBidi"/>
          <w:b w:val="0"/>
          <w:bCs w:val="0"/>
          <w:color w:val="auto"/>
        </w:rPr>
        <w:t xml:space="preserve"> </w:t>
      </w:r>
      <w:r w:rsidRPr="002848E8">
        <w:t>Protoc</w:t>
      </w:r>
      <w:r w:rsidR="00955A48" w:rsidRPr="002848E8">
        <w:t>o</w:t>
      </w:r>
      <w:r w:rsidRPr="002848E8">
        <w:t xml:space="preserve">l </w:t>
      </w:r>
      <w:r w:rsidR="00011327" w:rsidRPr="002848E8">
        <w:t xml:space="preserve">Description &amp; </w:t>
      </w:r>
      <w:r w:rsidR="00981C4F" w:rsidRPr="002848E8">
        <w:t>Methodology</w:t>
      </w:r>
      <w:bookmarkEnd w:id="2"/>
    </w:p>
    <w:p w14:paraId="149A8DA8" w14:textId="77777777" w:rsidR="00EA5AB4" w:rsidRPr="002848E8" w:rsidRDefault="00EA5AB4" w:rsidP="000A2194">
      <w:pPr>
        <w:pStyle w:val="Heading2"/>
        <w:spacing w:after="40"/>
      </w:pPr>
      <w:bookmarkStart w:id="3" w:name="_Toc491863246"/>
      <w:bookmarkStart w:id="4" w:name="_Toc22632470"/>
      <w:r w:rsidRPr="002848E8">
        <w:t>Protocol Description</w:t>
      </w:r>
      <w:bookmarkEnd w:id="3"/>
      <w:bookmarkEnd w:id="4"/>
    </w:p>
    <w:p w14:paraId="08392892" w14:textId="2A029775" w:rsidR="008D2485" w:rsidRDefault="00407533" w:rsidP="004C200E">
      <w:pPr>
        <w:rPr>
          <w:rFonts w:eastAsia="Calibri" w:cs="Times New Roman"/>
        </w:rPr>
      </w:pPr>
      <w:r w:rsidRPr="000C6A80">
        <w:t xml:space="preserve">The MPR </w:t>
      </w:r>
      <w:r w:rsidR="004425F9">
        <w:t>is a qualitative case review t</w:t>
      </w:r>
      <w:r w:rsidR="00F72210">
        <w:t>ool that is used to guide evaluation</w:t>
      </w:r>
      <w:r w:rsidR="004425F9">
        <w:t xml:space="preserve"> of the clinical record and </w:t>
      </w:r>
      <w:r w:rsidR="004425F9" w:rsidRPr="000C6A80">
        <w:t>interview</w:t>
      </w:r>
      <w:r w:rsidR="004425F9">
        <w:t>s</w:t>
      </w:r>
      <w:r w:rsidR="004425F9" w:rsidRPr="000C6A80">
        <w:t xml:space="preserve"> </w:t>
      </w:r>
      <w:r w:rsidR="004425F9">
        <w:t xml:space="preserve">with </w:t>
      </w:r>
      <w:r w:rsidR="004425F9" w:rsidRPr="000C6A80">
        <w:t xml:space="preserve">multiple stakeholders. </w:t>
      </w:r>
      <w:r w:rsidR="00F72210">
        <w:t>Trained reviewers use the MPR</w:t>
      </w:r>
      <w:r w:rsidR="004425F9">
        <w:t xml:space="preserve"> protocol to elicit specific information on 12 Areas of </w:t>
      </w:r>
      <w:r w:rsidR="00F72210">
        <w:t>practice</w:t>
      </w:r>
      <w:r w:rsidR="00A7366A">
        <w:t xml:space="preserve"> quality</w:t>
      </w:r>
      <w:r w:rsidR="00F72210">
        <w:t xml:space="preserve"> </w:t>
      </w:r>
      <w:r w:rsidR="00E259ED">
        <w:t>(Areas of</w:t>
      </w:r>
      <w:r w:rsidR="00A7366A">
        <w:t xml:space="preserve"> Practice</w:t>
      </w:r>
      <w:r w:rsidR="00E259ED">
        <w:t xml:space="preserve">) </w:t>
      </w:r>
      <w:r w:rsidR="00F72210">
        <w:t>and 2 A</w:t>
      </w:r>
      <w:r w:rsidR="004425F9">
        <w:t>reas</w:t>
      </w:r>
      <w:r w:rsidR="009E537C">
        <w:t xml:space="preserve"> that</w:t>
      </w:r>
      <w:r w:rsidR="004425F9" w:rsidRPr="000C6A80">
        <w:rPr>
          <w:rFonts w:eastAsia="Calibri" w:cs="Times New Roman"/>
        </w:rPr>
        <w:t xml:space="preserve"> </w:t>
      </w:r>
      <w:r w:rsidR="00D35C24">
        <w:rPr>
          <w:rFonts w:eastAsia="Calibri" w:cs="Times New Roman"/>
        </w:rPr>
        <w:t>examine</w:t>
      </w:r>
      <w:r w:rsidR="004425F9" w:rsidRPr="000C6A80">
        <w:rPr>
          <w:rFonts w:eastAsia="Calibri" w:cs="Times New Roman"/>
        </w:rPr>
        <w:t xml:space="preserve"> </w:t>
      </w:r>
      <w:r w:rsidR="00E259ED">
        <w:rPr>
          <w:rFonts w:eastAsia="Calibri" w:cs="Times New Roman"/>
        </w:rPr>
        <w:t xml:space="preserve">the progress of a </w:t>
      </w:r>
      <w:r w:rsidR="004425F9" w:rsidRPr="000C6A80">
        <w:rPr>
          <w:rFonts w:eastAsia="Calibri" w:cs="Times New Roman"/>
        </w:rPr>
        <w:t xml:space="preserve">youth and </w:t>
      </w:r>
      <w:r w:rsidR="00E259ED">
        <w:rPr>
          <w:rFonts w:eastAsia="Calibri" w:cs="Times New Roman"/>
        </w:rPr>
        <w:t xml:space="preserve">their </w:t>
      </w:r>
      <w:r w:rsidR="004425F9" w:rsidRPr="000C6A80">
        <w:rPr>
          <w:rFonts w:eastAsia="Calibri" w:cs="Times New Roman"/>
        </w:rPr>
        <w:t xml:space="preserve">family since enrollment in </w:t>
      </w:r>
      <w:r w:rsidR="00217757">
        <w:rPr>
          <w:rFonts w:eastAsia="Calibri" w:cs="Times New Roman"/>
        </w:rPr>
        <w:t>IHT or ICC service</w:t>
      </w:r>
      <w:r w:rsidR="00A37F8F">
        <w:rPr>
          <w:rFonts w:eastAsia="Calibri" w:cs="Times New Roman"/>
        </w:rPr>
        <w:t>s</w:t>
      </w:r>
      <w:r w:rsidR="00E259ED">
        <w:rPr>
          <w:rFonts w:eastAsia="Calibri" w:cs="Times New Roman"/>
        </w:rPr>
        <w:t xml:space="preserve"> (Areas of Progress)</w:t>
      </w:r>
      <w:r w:rsidR="004425F9" w:rsidRPr="000C6A80">
        <w:rPr>
          <w:rFonts w:eastAsia="Calibri" w:cs="Times New Roman"/>
        </w:rPr>
        <w:t>.</w:t>
      </w:r>
      <w:r w:rsidR="004425F9">
        <w:rPr>
          <w:rFonts w:eastAsia="Calibri" w:cs="Times New Roman"/>
        </w:rPr>
        <w:t xml:space="preserve"> </w:t>
      </w:r>
    </w:p>
    <w:p w14:paraId="13D627E8" w14:textId="77777777" w:rsidR="008D2485" w:rsidRDefault="008D2485" w:rsidP="004C200E">
      <w:pPr>
        <w:rPr>
          <w:rFonts w:eastAsia="Calibri" w:cs="Times New Roman"/>
        </w:rPr>
      </w:pPr>
    </w:p>
    <w:p w14:paraId="19C5B1F8" w14:textId="3D38E17A" w:rsidR="00F6424B" w:rsidRDefault="004425F9" w:rsidP="004C200E">
      <w:r w:rsidRPr="000C6A80">
        <w:t>By triangulating responses from</w:t>
      </w:r>
      <w:r w:rsidR="00217757">
        <w:t xml:space="preserve"> the record review and</w:t>
      </w:r>
      <w:r w:rsidRPr="000C6A80">
        <w:t xml:space="preserve"> </w:t>
      </w:r>
      <w:r w:rsidR="00217757">
        <w:t xml:space="preserve">other </w:t>
      </w:r>
      <w:r w:rsidRPr="000C6A80">
        <w:t>informants,</w:t>
      </w:r>
      <w:r>
        <w:t xml:space="preserve"> MPR reviewer</w:t>
      </w:r>
      <w:r w:rsidR="00217757">
        <w:t>s</w:t>
      </w:r>
      <w:r>
        <w:t xml:space="preserve"> </w:t>
      </w:r>
      <w:r w:rsidR="00407533" w:rsidRPr="000C6A80">
        <w:t>obtain a comprehensive picture of services delivered</w:t>
      </w:r>
      <w:r w:rsidR="00E259ED">
        <w:t xml:space="preserve"> for </w:t>
      </w:r>
      <w:r w:rsidR="00E7286C">
        <w:t xml:space="preserve">the sampled </w:t>
      </w:r>
      <w:r w:rsidR="00A7366A">
        <w:t>families</w:t>
      </w:r>
      <w:r w:rsidR="00E7286C">
        <w:t xml:space="preserve"> </w:t>
      </w:r>
      <w:r w:rsidR="00407533" w:rsidRPr="000C6A80">
        <w:t>at the practice level</w:t>
      </w:r>
      <w:r w:rsidR="00E7286C">
        <w:t>. R</w:t>
      </w:r>
      <w:r w:rsidR="00E259ED">
        <w:t>eviewers are</w:t>
      </w:r>
      <w:r w:rsidR="00217757">
        <w:t xml:space="preserve"> </w:t>
      </w:r>
      <w:r w:rsidR="00580669">
        <w:t>then</w:t>
      </w:r>
      <w:r w:rsidR="00217757">
        <w:t xml:space="preserve"> a</w:t>
      </w:r>
      <w:r w:rsidR="00F72210">
        <w:t xml:space="preserve">sked to rate each of the </w:t>
      </w:r>
      <w:r w:rsidR="00217757">
        <w:t>Areas by assigning a numerical score</w:t>
      </w:r>
      <w:r w:rsidR="00217757" w:rsidRPr="00217757">
        <w:t xml:space="preserve"> </w:t>
      </w:r>
      <w:r w:rsidR="00217757">
        <w:t xml:space="preserve">that reflects the </w:t>
      </w:r>
      <w:r w:rsidR="00217757" w:rsidRPr="000C6A80">
        <w:t>extent to which practice is meeting established standards and best practice</w:t>
      </w:r>
      <w:r w:rsidR="00217757">
        <w:t xml:space="preserve"> for the service.</w:t>
      </w:r>
      <w:r w:rsidR="00E259ED">
        <w:t xml:space="preserve"> Quotes, specific examples, and other q</w:t>
      </w:r>
      <w:r w:rsidR="00217757">
        <w:t>ualitative information</w:t>
      </w:r>
      <w:r w:rsidR="00E259ED">
        <w:t xml:space="preserve"> may </w:t>
      </w:r>
      <w:r w:rsidR="00B07682">
        <w:t xml:space="preserve">also </w:t>
      </w:r>
      <w:r w:rsidR="00E259ED">
        <w:t>be</w:t>
      </w:r>
      <w:r w:rsidR="00217757">
        <w:t xml:space="preserve"> recorded by reviewers</w:t>
      </w:r>
      <w:r w:rsidR="00F72210">
        <w:t xml:space="preserve"> to support the</w:t>
      </w:r>
      <w:r w:rsidR="00E259ED">
        <w:t>ir</w:t>
      </w:r>
      <w:r w:rsidR="00F72210">
        <w:t xml:space="preserve"> numerical ratings</w:t>
      </w:r>
      <w:r w:rsidR="00613E90">
        <w:t xml:space="preserve">. </w:t>
      </w:r>
    </w:p>
    <w:p w14:paraId="385425FE" w14:textId="77777777" w:rsidR="00977E84" w:rsidRDefault="00977E84" w:rsidP="00283716">
      <w:pPr>
        <w:pStyle w:val="Heading2"/>
        <w:spacing w:before="240" w:after="40"/>
      </w:pPr>
    </w:p>
    <w:p w14:paraId="504943E5" w14:textId="1A39D95B" w:rsidR="005432D4" w:rsidRPr="006A150E" w:rsidRDefault="005432D4" w:rsidP="00283716">
      <w:pPr>
        <w:pStyle w:val="Heading2"/>
        <w:spacing w:before="240" w:after="40"/>
      </w:pPr>
      <w:bookmarkStart w:id="5" w:name="_Toc22632471"/>
      <w:r w:rsidRPr="006A150E">
        <w:t>Practice Domains/Areas</w:t>
      </w:r>
      <w:bookmarkEnd w:id="5"/>
    </w:p>
    <w:p w14:paraId="25BE8900" w14:textId="375904DC" w:rsidR="005432D4" w:rsidRDefault="009020A3" w:rsidP="008179B7">
      <w:r w:rsidRPr="006A150E">
        <w:rPr>
          <w:b/>
          <w:color w:val="716767" w:themeColor="accent6" w:themeShade="BF"/>
        </w:rPr>
        <w:t xml:space="preserve">Table </w:t>
      </w:r>
      <w:r w:rsidR="00011327" w:rsidRPr="006A150E">
        <w:rPr>
          <w:b/>
          <w:color w:val="716767" w:themeColor="accent6" w:themeShade="BF"/>
        </w:rPr>
        <w:t>1</w:t>
      </w:r>
      <w:r w:rsidR="00D26494" w:rsidRPr="006A150E">
        <w:rPr>
          <w:b/>
          <w:color w:val="716767" w:themeColor="accent6" w:themeShade="BF"/>
        </w:rPr>
        <w:t xml:space="preserve"> </w:t>
      </w:r>
      <w:r w:rsidR="00D26494">
        <w:t>summarizes the</w:t>
      </w:r>
      <w:r w:rsidR="00B07682">
        <w:t xml:space="preserve"> factors, </w:t>
      </w:r>
      <w:r w:rsidR="00B07682">
        <w:rPr>
          <w:rFonts w:eastAsia="Calibri" w:cs="Times New Roman"/>
        </w:rPr>
        <w:t xml:space="preserve">prompts, and considerations for each of the 12 Areas of </w:t>
      </w:r>
      <w:r w:rsidR="002C3F6A">
        <w:rPr>
          <w:rFonts w:eastAsia="Calibri" w:cs="Times New Roman"/>
        </w:rPr>
        <w:t>Practice</w:t>
      </w:r>
      <w:r w:rsidR="00B07682">
        <w:rPr>
          <w:rFonts w:eastAsia="Calibri" w:cs="Times New Roman"/>
        </w:rPr>
        <w:t xml:space="preserve"> </w:t>
      </w:r>
      <w:r w:rsidR="00E7286C">
        <w:rPr>
          <w:rFonts w:eastAsia="Calibri" w:cs="Times New Roman"/>
        </w:rPr>
        <w:t xml:space="preserve">used </w:t>
      </w:r>
      <w:r w:rsidR="00B07682">
        <w:rPr>
          <w:rFonts w:eastAsia="Calibri" w:cs="Times New Roman"/>
        </w:rPr>
        <w:t>to guide reviewers</w:t>
      </w:r>
      <w:r w:rsidR="00B07682" w:rsidRPr="00A37F8F">
        <w:rPr>
          <w:rFonts w:eastAsia="Calibri" w:cs="Times New Roman"/>
        </w:rPr>
        <w:t xml:space="preserve"> </w:t>
      </w:r>
      <w:r w:rsidR="00B07682">
        <w:rPr>
          <w:rFonts w:eastAsia="Calibri" w:cs="Times New Roman"/>
        </w:rPr>
        <w:t>in</w:t>
      </w:r>
      <w:r w:rsidR="00B07682" w:rsidRPr="000C6A80">
        <w:rPr>
          <w:rFonts w:eastAsia="Calibri" w:cs="Times New Roman"/>
        </w:rPr>
        <w:t xml:space="preserve"> scoring</w:t>
      </w:r>
      <w:r w:rsidR="00B07682" w:rsidRPr="00DD4967" w:rsidDel="00E259ED">
        <w:t xml:space="preserve"> </w:t>
      </w:r>
      <w:r w:rsidR="00D26494">
        <w:t xml:space="preserve">across the 3 </w:t>
      </w:r>
      <w:r w:rsidR="00A37F8F">
        <w:t>MPR P</w:t>
      </w:r>
      <w:r w:rsidR="00D26494">
        <w:t>ractice Domains</w:t>
      </w:r>
      <w:r w:rsidR="002C3F6A">
        <w:t>, as described below</w:t>
      </w:r>
      <w:r w:rsidR="00217757" w:rsidRPr="000C6A80">
        <w:rPr>
          <w:rFonts w:eastAsia="Calibri" w:cs="Times New Roman"/>
        </w:rPr>
        <w:t>.</w:t>
      </w:r>
    </w:p>
    <w:p w14:paraId="199A928E" w14:textId="77777777" w:rsidR="00771DC9" w:rsidRPr="000A2194" w:rsidRDefault="009020A3" w:rsidP="00091E69">
      <w:pPr>
        <w:pStyle w:val="Heading3"/>
        <w:rPr>
          <w:rStyle w:val="Strong"/>
          <w:b/>
        </w:rPr>
      </w:pPr>
      <w:bookmarkStart w:id="6" w:name="_Toc22632472"/>
      <w:r w:rsidRPr="000A2194">
        <w:rPr>
          <w:rStyle w:val="Strong"/>
          <w:b/>
        </w:rPr>
        <w:t xml:space="preserve">Table </w:t>
      </w:r>
      <w:r w:rsidR="00011327" w:rsidRPr="000A2194">
        <w:rPr>
          <w:rStyle w:val="Strong"/>
          <w:b/>
        </w:rPr>
        <w:t>1</w:t>
      </w:r>
      <w:r w:rsidR="00287289" w:rsidRPr="000A2194">
        <w:rPr>
          <w:rStyle w:val="Strong"/>
          <w:b/>
        </w:rPr>
        <w:t>: MPR Practice Domains/Areas &amp; Reviewer Scoring Prompts</w:t>
      </w:r>
      <w:bookmarkEnd w:id="6"/>
    </w:p>
    <w:tbl>
      <w:tblPr>
        <w:tblStyle w:val="GridTable5Dark-Accent21"/>
        <w:tblW w:w="0" w:type="auto"/>
        <w:tblLook w:val="04A0" w:firstRow="1" w:lastRow="0" w:firstColumn="1" w:lastColumn="0" w:noHBand="0" w:noVBand="1"/>
      </w:tblPr>
      <w:tblGrid>
        <w:gridCol w:w="2515"/>
        <w:gridCol w:w="8275"/>
      </w:tblGrid>
      <w:tr w:rsidR="00771DC9" w14:paraId="049BEC8D" w14:textId="77777777" w:rsidTr="005806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59F504FC" w14:textId="77777777" w:rsidR="00771DC9" w:rsidRPr="00283716" w:rsidRDefault="00771DC9" w:rsidP="00D07DE0">
            <w:pPr>
              <w:spacing w:before="120" w:after="120"/>
              <w:jc w:val="left"/>
              <w:rPr>
                <w:b w:val="0"/>
                <w:bCs w:val="0"/>
                <w:sz w:val="22"/>
                <w:szCs w:val="22"/>
              </w:rPr>
            </w:pPr>
            <w:r w:rsidRPr="00283716">
              <w:rPr>
                <w:sz w:val="22"/>
                <w:szCs w:val="22"/>
              </w:rPr>
              <w:t>Practice Domain/Area:</w:t>
            </w:r>
          </w:p>
        </w:tc>
        <w:tc>
          <w:tcPr>
            <w:tcW w:w="8275" w:type="dxa"/>
            <w:vAlign w:val="center"/>
          </w:tcPr>
          <w:p w14:paraId="27CD289E" w14:textId="77777777" w:rsidR="00771DC9" w:rsidRPr="00DA7A61" w:rsidRDefault="00771DC9" w:rsidP="00D07DE0">
            <w:pPr>
              <w:spacing w:before="120" w:after="120"/>
              <w:jc w:val="left"/>
              <w:cnfStyle w:val="100000000000" w:firstRow="1" w:lastRow="0" w:firstColumn="0" w:lastColumn="0" w:oddVBand="0" w:evenVBand="0" w:oddHBand="0" w:evenHBand="0" w:firstRowFirstColumn="0" w:firstRowLastColumn="0" w:lastRowFirstColumn="0" w:lastRowLastColumn="0"/>
              <w:rPr>
                <w:sz w:val="22"/>
                <w:szCs w:val="22"/>
              </w:rPr>
            </w:pPr>
            <w:r w:rsidRPr="00DA7A61">
              <w:rPr>
                <w:sz w:val="22"/>
                <w:szCs w:val="22"/>
              </w:rPr>
              <w:t>Domain 1: Family-Driven &amp; Youth-Guided</w:t>
            </w:r>
          </w:p>
        </w:tc>
      </w:tr>
      <w:tr w:rsidR="00771DC9" w14:paraId="12DC0FA0" w14:textId="77777777" w:rsidTr="00D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6CCE84B5" w14:textId="77777777" w:rsidR="00771DC9" w:rsidRPr="00D10944" w:rsidRDefault="00771DC9" w:rsidP="00D07DE0">
            <w:pPr>
              <w:spacing w:before="120" w:after="120"/>
              <w:jc w:val="left"/>
              <w:rPr>
                <w:sz w:val="22"/>
                <w:szCs w:val="22"/>
              </w:rPr>
            </w:pPr>
            <w:r w:rsidRPr="00D10944">
              <w:rPr>
                <w:sz w:val="22"/>
                <w:szCs w:val="22"/>
              </w:rPr>
              <w:t>Area 1: Assessment</w:t>
            </w:r>
          </w:p>
        </w:tc>
        <w:tc>
          <w:tcPr>
            <w:tcW w:w="8275" w:type="dxa"/>
            <w:vAlign w:val="center"/>
          </w:tcPr>
          <w:p w14:paraId="49C60964" w14:textId="77777777" w:rsidR="00771DC9" w:rsidRPr="00715026" w:rsidRDefault="00771DC9" w:rsidP="00D07DE0">
            <w:pPr>
              <w:pStyle w:val="ListParagraph"/>
              <w:numPr>
                <w:ilvl w:val="0"/>
                <w:numId w:val="6"/>
              </w:numPr>
              <w:ind w:left="252" w:hanging="25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Relevant data/information about the youth and family was diligently gathered through both initial and ongoing processes.</w:t>
            </w:r>
          </w:p>
          <w:p w14:paraId="4D63220F" w14:textId="77777777" w:rsidR="00771DC9" w:rsidRPr="00715026" w:rsidRDefault="00771DC9" w:rsidP="00D07DE0">
            <w:pPr>
              <w:pStyle w:val="ListParagraph"/>
              <w:numPr>
                <w:ilvl w:val="0"/>
                <w:numId w:val="6"/>
              </w:numPr>
              <w:ind w:left="252" w:hanging="25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The needs of the youth and family have been appropriately identified and prioritized across a full range of life domains.</w:t>
            </w:r>
          </w:p>
          <w:p w14:paraId="6F1E8664" w14:textId="77777777" w:rsidR="00771DC9" w:rsidRPr="00715026" w:rsidRDefault="00771DC9" w:rsidP="00D07DE0">
            <w:pPr>
              <w:pStyle w:val="ListParagraph"/>
              <w:numPr>
                <w:ilvl w:val="0"/>
                <w:numId w:val="6"/>
              </w:numPr>
              <w:ind w:left="252" w:hanging="25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Actionable strengths of the youth and family have been identified and documented.</w:t>
            </w:r>
          </w:p>
          <w:p w14:paraId="0116AE95" w14:textId="77777777" w:rsidR="00771DC9" w:rsidRPr="00715026" w:rsidRDefault="00771DC9" w:rsidP="00D07DE0">
            <w:pPr>
              <w:pStyle w:val="ListParagraph"/>
              <w:numPr>
                <w:ilvl w:val="0"/>
                <w:numId w:val="6"/>
              </w:numPr>
              <w:ind w:left="252" w:hanging="25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The provider has explored natural supports with the family.</w:t>
            </w:r>
          </w:p>
          <w:p w14:paraId="5E342E2B" w14:textId="77777777" w:rsidR="00771DC9" w:rsidRPr="00715026" w:rsidRDefault="00771DC9" w:rsidP="00D07DE0">
            <w:pPr>
              <w:pStyle w:val="ListParagraph"/>
              <w:numPr>
                <w:ilvl w:val="0"/>
                <w:numId w:val="6"/>
              </w:numPr>
              <w:ind w:left="252" w:hanging="25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The written assessment provides a clear understanding of the youth and family.</w:t>
            </w:r>
          </w:p>
        </w:tc>
      </w:tr>
      <w:tr w:rsidR="00771DC9" w14:paraId="323CE6A6" w14:textId="77777777" w:rsidTr="00D07DE0">
        <w:tc>
          <w:tcPr>
            <w:cnfStyle w:val="001000000000" w:firstRow="0" w:lastRow="0" w:firstColumn="1" w:lastColumn="0" w:oddVBand="0" w:evenVBand="0" w:oddHBand="0" w:evenHBand="0" w:firstRowFirstColumn="0" w:firstRowLastColumn="0" w:lastRowFirstColumn="0" w:lastRowLastColumn="0"/>
            <w:tcW w:w="2515" w:type="dxa"/>
            <w:vAlign w:val="center"/>
          </w:tcPr>
          <w:p w14:paraId="1F503090" w14:textId="77777777" w:rsidR="00771DC9" w:rsidRPr="00D10944" w:rsidRDefault="00771DC9" w:rsidP="00D07DE0">
            <w:pPr>
              <w:spacing w:before="120" w:after="120"/>
              <w:jc w:val="left"/>
              <w:rPr>
                <w:sz w:val="22"/>
                <w:szCs w:val="22"/>
              </w:rPr>
            </w:pPr>
            <w:r w:rsidRPr="00D10944">
              <w:rPr>
                <w:sz w:val="22"/>
                <w:szCs w:val="22"/>
              </w:rPr>
              <w:t>Area 2: Service Planning</w:t>
            </w:r>
          </w:p>
        </w:tc>
        <w:tc>
          <w:tcPr>
            <w:tcW w:w="8275" w:type="dxa"/>
            <w:vAlign w:val="center"/>
          </w:tcPr>
          <w:p w14:paraId="6263CA12" w14:textId="77777777" w:rsidR="00771DC9" w:rsidRPr="00715026" w:rsidRDefault="00771DC9" w:rsidP="00D07DE0">
            <w:pPr>
              <w:pStyle w:val="ListParagraph"/>
              <w:numPr>
                <w:ilvl w:val="0"/>
                <w:numId w:val="6"/>
              </w:numPr>
              <w:ind w:left="252" w:hanging="252"/>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The provider actively engages and includes the youth and family in the service planning process.</w:t>
            </w:r>
          </w:p>
          <w:p w14:paraId="294BF280" w14:textId="77777777" w:rsidR="00771DC9" w:rsidRPr="00715026" w:rsidRDefault="00771DC9" w:rsidP="00D07DE0">
            <w:pPr>
              <w:pStyle w:val="ListParagraph"/>
              <w:numPr>
                <w:ilvl w:val="0"/>
                <w:numId w:val="6"/>
              </w:numPr>
              <w:ind w:left="252" w:hanging="252"/>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The service plan goals logically follow from the needs and strengths identified in the comprehensive assessment.</w:t>
            </w:r>
          </w:p>
          <w:p w14:paraId="61A2E9CC" w14:textId="77777777" w:rsidR="00771DC9" w:rsidRPr="00715026" w:rsidRDefault="00771DC9" w:rsidP="00D07DE0">
            <w:pPr>
              <w:pStyle w:val="ListParagraph"/>
              <w:numPr>
                <w:ilvl w:val="0"/>
                <w:numId w:val="6"/>
              </w:numPr>
              <w:ind w:left="252" w:hanging="252"/>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Service plans and services are responsive to the emerging and changing needs of the youth and family.</w:t>
            </w:r>
          </w:p>
          <w:p w14:paraId="41F01405" w14:textId="77777777" w:rsidR="00771DC9" w:rsidRPr="00715026" w:rsidRDefault="00771DC9" w:rsidP="00D07DE0">
            <w:pPr>
              <w:pStyle w:val="ListParagraph"/>
              <w:numPr>
                <w:ilvl w:val="0"/>
                <w:numId w:val="6"/>
              </w:numPr>
              <w:ind w:left="252" w:hanging="252"/>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 xml:space="preserve">An effective risk management/safety plan is in place for the youth/family. </w:t>
            </w:r>
          </w:p>
        </w:tc>
      </w:tr>
      <w:tr w:rsidR="00771DC9" w14:paraId="41E2200F" w14:textId="77777777" w:rsidTr="00D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6569382F" w14:textId="77777777" w:rsidR="00771DC9" w:rsidRPr="00D10944" w:rsidRDefault="00771DC9" w:rsidP="00D07DE0">
            <w:pPr>
              <w:spacing w:before="120" w:after="120"/>
              <w:jc w:val="left"/>
              <w:rPr>
                <w:sz w:val="22"/>
                <w:szCs w:val="22"/>
              </w:rPr>
            </w:pPr>
            <w:r w:rsidRPr="00D10944">
              <w:rPr>
                <w:sz w:val="22"/>
                <w:szCs w:val="22"/>
              </w:rPr>
              <w:lastRenderedPageBreak/>
              <w:t>Area 3: Service Delivery</w:t>
            </w:r>
          </w:p>
        </w:tc>
        <w:tc>
          <w:tcPr>
            <w:tcW w:w="8275" w:type="dxa"/>
            <w:vAlign w:val="center"/>
          </w:tcPr>
          <w:p w14:paraId="109D40AA" w14:textId="77777777" w:rsidR="00771DC9" w:rsidRPr="00715026" w:rsidRDefault="00771DC9" w:rsidP="00D07DE0">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The interventions provided to the youth and family match their needs and strengths.</w:t>
            </w:r>
          </w:p>
          <w:p w14:paraId="7BC66836" w14:textId="77777777" w:rsidR="00771DC9" w:rsidRPr="00715026" w:rsidRDefault="00771DC9" w:rsidP="00D07DE0">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The provider incorporates the youth’s and family’s actionable strengths into the service delivery process.</w:t>
            </w:r>
          </w:p>
          <w:p w14:paraId="0598D123" w14:textId="77777777" w:rsidR="00771DC9" w:rsidRPr="00715026" w:rsidRDefault="00771DC9" w:rsidP="00D07DE0">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The intensity of the services/supports provided to the youth and family match their needs.</w:t>
            </w:r>
          </w:p>
          <w:p w14:paraId="529BE662" w14:textId="77777777" w:rsidR="00771DC9" w:rsidRPr="00715026" w:rsidRDefault="00771DC9" w:rsidP="00D07DE0">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Service providers assist the youth and family in understanding the provider agency and the service(s) in which they are participating.</w:t>
            </w:r>
          </w:p>
        </w:tc>
      </w:tr>
      <w:tr w:rsidR="00771DC9" w14:paraId="5B530020" w14:textId="77777777" w:rsidTr="00D07DE0">
        <w:tc>
          <w:tcPr>
            <w:cnfStyle w:val="001000000000" w:firstRow="0" w:lastRow="0" w:firstColumn="1" w:lastColumn="0" w:oddVBand="0" w:evenVBand="0" w:oddHBand="0" w:evenHBand="0" w:firstRowFirstColumn="0" w:firstRowLastColumn="0" w:lastRowFirstColumn="0" w:lastRowLastColumn="0"/>
            <w:tcW w:w="2515" w:type="dxa"/>
            <w:vAlign w:val="center"/>
          </w:tcPr>
          <w:p w14:paraId="1AF4ACDA" w14:textId="77777777" w:rsidR="00771DC9" w:rsidRPr="00D10944" w:rsidRDefault="00771DC9" w:rsidP="00D07DE0">
            <w:pPr>
              <w:spacing w:before="120" w:after="120"/>
              <w:jc w:val="left"/>
              <w:rPr>
                <w:sz w:val="22"/>
                <w:szCs w:val="22"/>
              </w:rPr>
            </w:pPr>
            <w:r w:rsidRPr="00D10944">
              <w:rPr>
                <w:sz w:val="22"/>
                <w:szCs w:val="22"/>
              </w:rPr>
              <w:t xml:space="preserve">Area 4: Youth &amp; </w:t>
            </w:r>
            <w:r w:rsidR="002648C2" w:rsidRPr="00D10944">
              <w:rPr>
                <w:sz w:val="22"/>
                <w:szCs w:val="22"/>
              </w:rPr>
              <w:br/>
            </w:r>
            <w:r w:rsidRPr="00D10944">
              <w:rPr>
                <w:sz w:val="22"/>
                <w:szCs w:val="22"/>
              </w:rPr>
              <w:t>Family Engagement</w:t>
            </w:r>
          </w:p>
        </w:tc>
        <w:tc>
          <w:tcPr>
            <w:tcW w:w="8275" w:type="dxa"/>
            <w:vAlign w:val="center"/>
          </w:tcPr>
          <w:p w14:paraId="3797F306" w14:textId="77777777" w:rsidR="00771DC9" w:rsidRPr="00715026" w:rsidRDefault="00771DC9" w:rsidP="00D07DE0">
            <w:pPr>
              <w:pStyle w:val="ListParagraph"/>
              <w:numPr>
                <w:ilvl w:val="0"/>
                <w:numId w:val="6"/>
              </w:numPr>
              <w:ind w:left="342" w:hanging="342"/>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The provider actively engages the youth and family in the ongoing service delivery process.</w:t>
            </w:r>
          </w:p>
        </w:tc>
      </w:tr>
      <w:tr w:rsidR="00E2667E" w14:paraId="1042A6D6" w14:textId="77777777" w:rsidTr="00E26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1A38A864" w14:textId="77777777" w:rsidR="00E2667E" w:rsidRPr="00D10944" w:rsidRDefault="00E2667E" w:rsidP="00E2667E">
            <w:pPr>
              <w:spacing w:before="120" w:after="120"/>
              <w:jc w:val="left"/>
              <w:rPr>
                <w:sz w:val="22"/>
                <w:szCs w:val="22"/>
              </w:rPr>
            </w:pPr>
            <w:r w:rsidRPr="00D10944">
              <w:rPr>
                <w:sz w:val="22"/>
                <w:szCs w:val="22"/>
              </w:rPr>
              <w:t>Area 5: Team Formation</w:t>
            </w:r>
          </w:p>
        </w:tc>
        <w:tc>
          <w:tcPr>
            <w:tcW w:w="8275" w:type="dxa"/>
          </w:tcPr>
          <w:p w14:paraId="0AA0B2DD" w14:textId="77777777" w:rsidR="008010E8" w:rsidRDefault="00E2667E" w:rsidP="00E2667E">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provider identifies,</w:t>
            </w:r>
            <w:r w:rsidRPr="00212FEC">
              <w:rPr>
                <w:sz w:val="20"/>
                <w:szCs w:val="20"/>
              </w:rPr>
              <w:t xml:space="preserve"> </w:t>
            </w:r>
            <w:r>
              <w:rPr>
                <w:sz w:val="20"/>
                <w:szCs w:val="20"/>
              </w:rPr>
              <w:t>outreaches, and engages</w:t>
            </w:r>
            <w:r w:rsidRPr="00212FEC">
              <w:rPr>
                <w:sz w:val="20"/>
                <w:szCs w:val="20"/>
              </w:rPr>
              <w:t xml:space="preserve"> </w:t>
            </w:r>
            <w:r w:rsidRPr="00421252">
              <w:rPr>
                <w:sz w:val="20"/>
                <w:szCs w:val="20"/>
              </w:rPr>
              <w:t>formal providers, including prescriber (if applicable),</w:t>
            </w:r>
            <w:r w:rsidRPr="002C3F6A">
              <w:rPr>
                <w:sz w:val="20"/>
                <w:szCs w:val="20"/>
              </w:rPr>
              <w:t xml:space="preserve"> </w:t>
            </w:r>
            <w:r w:rsidRPr="00212FEC">
              <w:rPr>
                <w:sz w:val="20"/>
                <w:szCs w:val="20"/>
              </w:rPr>
              <w:t>in the</w:t>
            </w:r>
            <w:r>
              <w:rPr>
                <w:sz w:val="20"/>
                <w:szCs w:val="20"/>
              </w:rPr>
              <w:t xml:space="preserve"> initial </w:t>
            </w:r>
            <w:r w:rsidRPr="00212FEC">
              <w:rPr>
                <w:sz w:val="20"/>
                <w:szCs w:val="20"/>
              </w:rPr>
              <w:t xml:space="preserve">service planning </w:t>
            </w:r>
            <w:r>
              <w:rPr>
                <w:sz w:val="20"/>
                <w:szCs w:val="20"/>
              </w:rPr>
              <w:t>process</w:t>
            </w:r>
            <w:r w:rsidRPr="00212FEC">
              <w:rPr>
                <w:sz w:val="20"/>
                <w:szCs w:val="20"/>
              </w:rPr>
              <w:t>.</w:t>
            </w:r>
          </w:p>
          <w:p w14:paraId="51FA740B" w14:textId="77777777" w:rsidR="00E2667E" w:rsidRPr="00715026" w:rsidRDefault="00E2667E" w:rsidP="00E2667E">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sidRPr="00212FEC">
              <w:rPr>
                <w:sz w:val="20"/>
                <w:szCs w:val="20"/>
              </w:rPr>
              <w:t xml:space="preserve">The provider </w:t>
            </w:r>
            <w:r>
              <w:rPr>
                <w:sz w:val="20"/>
                <w:szCs w:val="20"/>
              </w:rPr>
              <w:t xml:space="preserve">identifies, outreaches, and </w:t>
            </w:r>
            <w:r w:rsidRPr="00212FEC">
              <w:rPr>
                <w:sz w:val="20"/>
                <w:szCs w:val="20"/>
              </w:rPr>
              <w:t xml:space="preserve">engages </w:t>
            </w:r>
            <w:r w:rsidRPr="00421252">
              <w:rPr>
                <w:sz w:val="20"/>
                <w:szCs w:val="20"/>
              </w:rPr>
              <w:t>natural supports</w:t>
            </w:r>
            <w:r w:rsidRPr="00212FEC">
              <w:rPr>
                <w:sz w:val="20"/>
                <w:szCs w:val="20"/>
              </w:rPr>
              <w:t xml:space="preserve"> in the</w:t>
            </w:r>
            <w:r>
              <w:rPr>
                <w:sz w:val="20"/>
                <w:szCs w:val="20"/>
              </w:rPr>
              <w:t xml:space="preserve"> initial</w:t>
            </w:r>
            <w:r w:rsidRPr="00212FEC">
              <w:rPr>
                <w:sz w:val="20"/>
                <w:szCs w:val="20"/>
              </w:rPr>
              <w:t xml:space="preserve"> service planning process. </w:t>
            </w:r>
          </w:p>
        </w:tc>
      </w:tr>
      <w:tr w:rsidR="00E2667E" w14:paraId="4CC826E4" w14:textId="77777777" w:rsidTr="00D07DE0">
        <w:tc>
          <w:tcPr>
            <w:cnfStyle w:val="001000000000" w:firstRow="0" w:lastRow="0" w:firstColumn="1" w:lastColumn="0" w:oddVBand="0" w:evenVBand="0" w:oddHBand="0" w:evenHBand="0" w:firstRowFirstColumn="0" w:firstRowLastColumn="0" w:lastRowFirstColumn="0" w:lastRowLastColumn="0"/>
            <w:tcW w:w="2515" w:type="dxa"/>
            <w:vAlign w:val="center"/>
          </w:tcPr>
          <w:p w14:paraId="6807153D" w14:textId="77777777" w:rsidR="00E2667E" w:rsidRPr="00D10944" w:rsidRDefault="00E2667E" w:rsidP="00E2667E">
            <w:pPr>
              <w:spacing w:before="120" w:after="120"/>
              <w:jc w:val="left"/>
              <w:rPr>
                <w:sz w:val="22"/>
                <w:szCs w:val="22"/>
              </w:rPr>
            </w:pPr>
            <w:r w:rsidRPr="00D10944">
              <w:rPr>
                <w:sz w:val="22"/>
                <w:szCs w:val="22"/>
              </w:rPr>
              <w:t>Area 6: Team Participation</w:t>
            </w:r>
          </w:p>
        </w:tc>
        <w:tc>
          <w:tcPr>
            <w:tcW w:w="8275" w:type="dxa"/>
            <w:vAlign w:val="center"/>
          </w:tcPr>
          <w:p w14:paraId="72C6B985" w14:textId="77777777" w:rsidR="00E2667E" w:rsidRPr="00715026" w:rsidRDefault="00E2667E" w:rsidP="00E2667E">
            <w:pPr>
              <w:pStyle w:val="ListParagraph"/>
              <w:numPr>
                <w:ilvl w:val="0"/>
                <w:numId w:val="6"/>
              </w:numPr>
              <w:ind w:left="342" w:hanging="342"/>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provider actively engages a team including school personnel, other</w:t>
            </w:r>
            <w:r w:rsidRPr="00212FEC">
              <w:rPr>
                <w:sz w:val="20"/>
                <w:szCs w:val="20"/>
              </w:rPr>
              <w:t xml:space="preserve"> agencies</w:t>
            </w:r>
            <w:r>
              <w:rPr>
                <w:sz w:val="20"/>
                <w:szCs w:val="20"/>
              </w:rPr>
              <w:t xml:space="preserve">, and natural supports </w:t>
            </w:r>
            <w:r w:rsidRPr="00212FEC">
              <w:rPr>
                <w:sz w:val="20"/>
                <w:szCs w:val="20"/>
              </w:rPr>
              <w:t xml:space="preserve">in </w:t>
            </w:r>
            <w:r>
              <w:rPr>
                <w:sz w:val="20"/>
                <w:szCs w:val="20"/>
              </w:rPr>
              <w:t xml:space="preserve">the ongoing effort to plan and deliver </w:t>
            </w:r>
            <w:r w:rsidRPr="00212FEC">
              <w:rPr>
                <w:sz w:val="20"/>
                <w:szCs w:val="20"/>
              </w:rPr>
              <w:t>service</w:t>
            </w:r>
            <w:r>
              <w:rPr>
                <w:sz w:val="20"/>
                <w:szCs w:val="20"/>
              </w:rPr>
              <w:t>s</w:t>
            </w:r>
            <w:r w:rsidRPr="00212FEC">
              <w:rPr>
                <w:sz w:val="20"/>
                <w:szCs w:val="20"/>
              </w:rPr>
              <w:t>.</w:t>
            </w:r>
          </w:p>
        </w:tc>
      </w:tr>
      <w:tr w:rsidR="00E2667E" w14:paraId="101A45ED" w14:textId="77777777" w:rsidTr="00D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588D12B" w14:textId="77777777" w:rsidR="00E2667E" w:rsidRPr="00D10944" w:rsidRDefault="00E2667E" w:rsidP="00E2667E">
            <w:pPr>
              <w:spacing w:before="120" w:after="120"/>
              <w:jc w:val="left"/>
              <w:rPr>
                <w:sz w:val="22"/>
                <w:szCs w:val="22"/>
              </w:rPr>
            </w:pPr>
            <w:r w:rsidRPr="00D10944">
              <w:rPr>
                <w:sz w:val="22"/>
                <w:szCs w:val="22"/>
              </w:rPr>
              <w:t>Area 7: Care Coordination</w:t>
            </w:r>
          </w:p>
        </w:tc>
        <w:tc>
          <w:tcPr>
            <w:tcW w:w="8275" w:type="dxa"/>
            <w:vAlign w:val="center"/>
          </w:tcPr>
          <w:p w14:paraId="5CCD3E61" w14:textId="77777777" w:rsidR="00E2667E" w:rsidRPr="00715026" w:rsidRDefault="00E2667E" w:rsidP="00E2667E">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The provider (i.e. IHT clinician, ICC) successfully coordinates service planning and the delivery of services and supports.</w:t>
            </w:r>
          </w:p>
          <w:p w14:paraId="48DEEE52" w14:textId="77777777" w:rsidR="00E2667E" w:rsidRPr="00715026" w:rsidRDefault="00E2667E" w:rsidP="00E2667E">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The youth is receiving the amount and quality of care coordination his/her situation requires.</w:t>
            </w:r>
          </w:p>
          <w:p w14:paraId="2B69ACE3" w14:textId="77777777" w:rsidR="00E2667E" w:rsidRPr="00715026" w:rsidRDefault="00E2667E" w:rsidP="00E2667E">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The provider facilitates ongoing, effective communication among all team members, including formal service providers, natural supports (if desired by the family), and family members including the youth.</w:t>
            </w:r>
          </w:p>
        </w:tc>
      </w:tr>
      <w:tr w:rsidR="00E2667E" w14:paraId="5272B7F8" w14:textId="77777777" w:rsidTr="009E7286">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FFFFFF" w:themeColor="background1"/>
            </w:tcBorders>
            <w:vAlign w:val="center"/>
          </w:tcPr>
          <w:p w14:paraId="5AF9572F" w14:textId="77777777" w:rsidR="00E2667E" w:rsidRPr="00D10944" w:rsidRDefault="00E2667E" w:rsidP="00E2667E">
            <w:pPr>
              <w:spacing w:before="120" w:after="120"/>
              <w:jc w:val="left"/>
              <w:rPr>
                <w:sz w:val="22"/>
                <w:szCs w:val="22"/>
              </w:rPr>
            </w:pPr>
            <w:r w:rsidRPr="00D10944">
              <w:rPr>
                <w:sz w:val="22"/>
                <w:szCs w:val="22"/>
              </w:rPr>
              <w:t>Area 8: Transition</w:t>
            </w:r>
          </w:p>
        </w:tc>
        <w:tc>
          <w:tcPr>
            <w:tcW w:w="8275" w:type="dxa"/>
            <w:tcBorders>
              <w:bottom w:val="single" w:sz="4" w:space="0" w:color="FFFFFF" w:themeColor="background1"/>
            </w:tcBorders>
            <w:vAlign w:val="center"/>
          </w:tcPr>
          <w:p w14:paraId="2A9287DB" w14:textId="77777777" w:rsidR="00E2667E" w:rsidRPr="00715026" w:rsidRDefault="00E2667E" w:rsidP="00E2667E">
            <w:pPr>
              <w:pStyle w:val="ListParagraph"/>
              <w:numPr>
                <w:ilvl w:val="0"/>
                <w:numId w:val="6"/>
              </w:numPr>
              <w:ind w:left="342" w:hanging="342"/>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Care transitions and life transitions (e.g. from youth to adult system, from one provider to another, from one service to another, from hospital to home, etc.) are anticipated, planned for, and well-coordinated.</w:t>
            </w:r>
          </w:p>
        </w:tc>
      </w:tr>
      <w:tr w:rsidR="00E2667E" w14:paraId="743F0FD9" w14:textId="77777777" w:rsidTr="009E7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Borders>
              <w:right w:val="nil"/>
            </w:tcBorders>
          </w:tcPr>
          <w:p w14:paraId="16089603" w14:textId="77777777" w:rsidR="00E2667E" w:rsidRPr="00D10944" w:rsidRDefault="00E2667E" w:rsidP="00E2667E">
            <w:pPr>
              <w:spacing w:before="120" w:after="120"/>
              <w:jc w:val="left"/>
              <w:rPr>
                <w:sz w:val="22"/>
                <w:szCs w:val="22"/>
              </w:rPr>
            </w:pPr>
          </w:p>
        </w:tc>
        <w:tc>
          <w:tcPr>
            <w:tcW w:w="8275" w:type="dxa"/>
            <w:tcBorders>
              <w:left w:val="nil"/>
            </w:tcBorders>
            <w:shd w:val="clear" w:color="auto" w:fill="DD8047" w:themeFill="accent2"/>
            <w:vAlign w:val="center"/>
          </w:tcPr>
          <w:p w14:paraId="626FC0A9" w14:textId="77777777" w:rsidR="00E2667E" w:rsidRPr="00D07DE0" w:rsidRDefault="00E2667E" w:rsidP="00E2667E">
            <w:pPr>
              <w:jc w:val="left"/>
              <w:cnfStyle w:val="000000100000" w:firstRow="0" w:lastRow="0" w:firstColumn="0" w:lastColumn="0" w:oddVBand="0" w:evenVBand="0" w:oddHBand="1" w:evenHBand="0" w:firstRowFirstColumn="0" w:firstRowLastColumn="0" w:lastRowFirstColumn="0" w:lastRowLastColumn="0"/>
              <w:rPr>
                <w:b/>
                <w:sz w:val="20"/>
                <w:szCs w:val="20"/>
              </w:rPr>
            </w:pPr>
            <w:r w:rsidRPr="00D07DE0">
              <w:rPr>
                <w:b/>
                <w:color w:val="FFFFFF" w:themeColor="background1"/>
                <w:sz w:val="22"/>
                <w:szCs w:val="20"/>
              </w:rPr>
              <w:t>Domain 2: Community-Based</w:t>
            </w:r>
          </w:p>
        </w:tc>
      </w:tr>
      <w:tr w:rsidR="00E2667E" w14:paraId="34EBCD29" w14:textId="77777777" w:rsidTr="002648C2">
        <w:tc>
          <w:tcPr>
            <w:cnfStyle w:val="001000000000" w:firstRow="0" w:lastRow="0" w:firstColumn="1" w:lastColumn="0" w:oddVBand="0" w:evenVBand="0" w:oddHBand="0" w:evenHBand="0" w:firstRowFirstColumn="0" w:firstRowLastColumn="0" w:lastRowFirstColumn="0" w:lastRowLastColumn="0"/>
            <w:tcW w:w="2515" w:type="dxa"/>
          </w:tcPr>
          <w:p w14:paraId="324FECB9" w14:textId="77777777" w:rsidR="00E2667E" w:rsidRPr="00D10944" w:rsidRDefault="00E2667E" w:rsidP="00E2667E">
            <w:pPr>
              <w:spacing w:before="120" w:after="120"/>
              <w:jc w:val="left"/>
              <w:rPr>
                <w:sz w:val="22"/>
                <w:szCs w:val="22"/>
              </w:rPr>
            </w:pPr>
            <w:r w:rsidRPr="00D10944">
              <w:rPr>
                <w:sz w:val="22"/>
                <w:szCs w:val="22"/>
              </w:rPr>
              <w:t>Area 9: Responsiveness</w:t>
            </w:r>
          </w:p>
        </w:tc>
        <w:tc>
          <w:tcPr>
            <w:tcW w:w="8275" w:type="dxa"/>
          </w:tcPr>
          <w:p w14:paraId="3F393678" w14:textId="77777777" w:rsidR="00E2667E" w:rsidRPr="00715026" w:rsidRDefault="00E2667E" w:rsidP="00E2667E">
            <w:pPr>
              <w:pStyle w:val="ListParagraph"/>
              <w:numPr>
                <w:ilvl w:val="0"/>
                <w:numId w:val="6"/>
              </w:numPr>
              <w:ind w:left="342" w:hanging="342"/>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The provider responded to the referral (for its own service) in a timely and appropriate way.</w:t>
            </w:r>
          </w:p>
          <w:p w14:paraId="10EB7B74" w14:textId="77777777" w:rsidR="00E2667E" w:rsidRPr="00715026" w:rsidRDefault="00E2667E" w:rsidP="00E2667E">
            <w:pPr>
              <w:pStyle w:val="ListParagraph"/>
              <w:numPr>
                <w:ilvl w:val="0"/>
                <w:numId w:val="6"/>
              </w:numPr>
              <w:ind w:left="342" w:hanging="342"/>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The provider made appropriate service referrals (for other services/supports) in a timely manner</w:t>
            </w:r>
            <w:r w:rsidRPr="00715026" w:rsidDel="00774747">
              <w:rPr>
                <w:sz w:val="20"/>
                <w:szCs w:val="20"/>
              </w:rPr>
              <w:t xml:space="preserve"> </w:t>
            </w:r>
            <w:r w:rsidRPr="00715026">
              <w:rPr>
                <w:sz w:val="20"/>
                <w:szCs w:val="20"/>
              </w:rPr>
              <w:t xml:space="preserve">and engaged in follow-up efforts as necessary to ensure linkage with the identified services and supports.  </w:t>
            </w:r>
          </w:p>
        </w:tc>
      </w:tr>
      <w:tr w:rsidR="00E2667E" w14:paraId="43F00D27" w14:textId="77777777" w:rsidTr="009E7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FFFFFF" w:themeColor="background1"/>
            </w:tcBorders>
          </w:tcPr>
          <w:p w14:paraId="552A6453" w14:textId="44E93DA6" w:rsidR="00E2667E" w:rsidRPr="00D10944" w:rsidRDefault="00E2667E" w:rsidP="00C51FAB">
            <w:pPr>
              <w:spacing w:before="120" w:after="120"/>
              <w:jc w:val="left"/>
              <w:rPr>
                <w:sz w:val="22"/>
                <w:szCs w:val="22"/>
              </w:rPr>
            </w:pPr>
            <w:r w:rsidRPr="00D10944">
              <w:rPr>
                <w:sz w:val="22"/>
                <w:szCs w:val="22"/>
              </w:rPr>
              <w:t xml:space="preserve">Area 10: </w:t>
            </w:r>
            <w:r w:rsidR="002C3F6A">
              <w:rPr>
                <w:sz w:val="22"/>
                <w:szCs w:val="22"/>
              </w:rPr>
              <w:t xml:space="preserve">Service </w:t>
            </w:r>
            <w:r w:rsidR="00C51FAB">
              <w:rPr>
                <w:sz w:val="22"/>
                <w:szCs w:val="22"/>
              </w:rPr>
              <w:t>Accessibility</w:t>
            </w:r>
          </w:p>
        </w:tc>
        <w:tc>
          <w:tcPr>
            <w:tcW w:w="8275" w:type="dxa"/>
            <w:tcBorders>
              <w:bottom w:val="single" w:sz="4" w:space="0" w:color="FFFFFF" w:themeColor="background1"/>
            </w:tcBorders>
          </w:tcPr>
          <w:p w14:paraId="5657BA77" w14:textId="77777777" w:rsidR="00E2667E" w:rsidRPr="00715026" w:rsidRDefault="00E2667E" w:rsidP="00E2667E">
            <w:pPr>
              <w:pStyle w:val="ListParagraph"/>
              <w:numPr>
                <w:ilvl w:val="0"/>
                <w:numId w:val="6"/>
              </w:numPr>
              <w:ind w:left="342" w:hanging="342"/>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Services are scheduled at convenient times for the youth and family.</w:t>
            </w:r>
          </w:p>
          <w:p w14:paraId="7E9939CC" w14:textId="77777777" w:rsidR="00E2667E" w:rsidRPr="00715026" w:rsidRDefault="00E2667E" w:rsidP="00E2667E">
            <w:pPr>
              <w:pStyle w:val="ListParagraph"/>
              <w:numPr>
                <w:ilvl w:val="0"/>
                <w:numId w:val="6"/>
              </w:numPr>
              <w:ind w:left="342" w:hanging="342"/>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Services are provided in the location of the youth and family’s preference.</w:t>
            </w:r>
          </w:p>
          <w:p w14:paraId="574B4DC1" w14:textId="77777777" w:rsidR="00E2667E" w:rsidRPr="00715026" w:rsidRDefault="00E2667E" w:rsidP="00E2667E">
            <w:pPr>
              <w:pStyle w:val="ListParagraph"/>
              <w:numPr>
                <w:ilvl w:val="0"/>
                <w:numId w:val="6"/>
              </w:numPr>
              <w:ind w:left="342" w:hanging="342"/>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Service providers verbally communicate in the preferred language of the youth/family.</w:t>
            </w:r>
          </w:p>
          <w:p w14:paraId="7EF2CEAF" w14:textId="77777777" w:rsidR="00E2667E" w:rsidRPr="00715026" w:rsidRDefault="00E2667E" w:rsidP="00E2667E">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Written documentation regarding services/planning is provided in the preferred language of the youth/family.</w:t>
            </w:r>
          </w:p>
        </w:tc>
      </w:tr>
      <w:tr w:rsidR="00E2667E" w14:paraId="17C70B8B" w14:textId="77777777" w:rsidTr="009E7286">
        <w:tc>
          <w:tcPr>
            <w:cnfStyle w:val="001000000000" w:firstRow="0" w:lastRow="0" w:firstColumn="1" w:lastColumn="0" w:oddVBand="0" w:evenVBand="0" w:oddHBand="0" w:evenHBand="0" w:firstRowFirstColumn="0" w:firstRowLastColumn="0" w:lastRowFirstColumn="0" w:lastRowLastColumn="0"/>
            <w:tcW w:w="2515" w:type="dxa"/>
            <w:tcBorders>
              <w:right w:val="nil"/>
            </w:tcBorders>
          </w:tcPr>
          <w:p w14:paraId="6B357B7D" w14:textId="77777777" w:rsidR="00E2667E" w:rsidRPr="00D10944" w:rsidRDefault="00E2667E" w:rsidP="00E2667E">
            <w:pPr>
              <w:spacing w:before="120" w:after="120"/>
              <w:jc w:val="left"/>
              <w:rPr>
                <w:b w:val="0"/>
                <w:sz w:val="22"/>
                <w:szCs w:val="22"/>
              </w:rPr>
            </w:pPr>
          </w:p>
        </w:tc>
        <w:tc>
          <w:tcPr>
            <w:tcW w:w="8275" w:type="dxa"/>
            <w:tcBorders>
              <w:left w:val="nil"/>
            </w:tcBorders>
            <w:shd w:val="clear" w:color="auto" w:fill="DD8047" w:themeFill="accent2"/>
            <w:vAlign w:val="center"/>
          </w:tcPr>
          <w:p w14:paraId="7DCF60F1" w14:textId="77777777" w:rsidR="00E2667E" w:rsidRPr="00715026" w:rsidRDefault="00E2667E" w:rsidP="00E2667E">
            <w:pPr>
              <w:jc w:val="left"/>
              <w:cnfStyle w:val="000000000000" w:firstRow="0" w:lastRow="0" w:firstColumn="0" w:lastColumn="0" w:oddVBand="0" w:evenVBand="0" w:oddHBand="0" w:evenHBand="0" w:firstRowFirstColumn="0" w:firstRowLastColumn="0" w:lastRowFirstColumn="0" w:lastRowLastColumn="0"/>
              <w:rPr>
                <w:b/>
                <w:color w:val="FFFFFF" w:themeColor="background1"/>
                <w:sz w:val="22"/>
                <w:szCs w:val="20"/>
              </w:rPr>
            </w:pPr>
            <w:r>
              <w:rPr>
                <w:b/>
                <w:color w:val="FFFFFF" w:themeColor="background1"/>
                <w:sz w:val="22"/>
                <w:szCs w:val="20"/>
              </w:rPr>
              <w:t>Domain 3: Culturally Competent</w:t>
            </w:r>
          </w:p>
        </w:tc>
      </w:tr>
      <w:tr w:rsidR="00E2667E" w14:paraId="11693C5E" w14:textId="77777777" w:rsidTr="00264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4A128F10" w14:textId="77777777" w:rsidR="00E2667E" w:rsidRPr="00D10944" w:rsidRDefault="00E2667E" w:rsidP="00E2667E">
            <w:pPr>
              <w:spacing w:before="120" w:after="120"/>
              <w:jc w:val="left"/>
              <w:rPr>
                <w:sz w:val="22"/>
                <w:szCs w:val="22"/>
              </w:rPr>
            </w:pPr>
            <w:r w:rsidRPr="00D10944">
              <w:rPr>
                <w:sz w:val="22"/>
                <w:szCs w:val="22"/>
              </w:rPr>
              <w:t>Area 11: Cultural Awareness</w:t>
            </w:r>
          </w:p>
        </w:tc>
        <w:tc>
          <w:tcPr>
            <w:tcW w:w="8275" w:type="dxa"/>
          </w:tcPr>
          <w:p w14:paraId="45074229" w14:textId="77777777" w:rsidR="00E2667E" w:rsidRPr="00715026" w:rsidRDefault="00E2667E" w:rsidP="00E2667E">
            <w:pPr>
              <w:pStyle w:val="ListParagraph"/>
              <w:numPr>
                <w:ilvl w:val="0"/>
                <w:numId w:val="6"/>
              </w:numPr>
              <w:ind w:left="360"/>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The service provider has explored and can describe the family’s beliefs, culture, traditions, and identity.</w:t>
            </w:r>
          </w:p>
          <w:p w14:paraId="42820792" w14:textId="77777777" w:rsidR="00E2667E" w:rsidRPr="00715026" w:rsidRDefault="00E2667E" w:rsidP="00E2667E">
            <w:pPr>
              <w:pStyle w:val="ListParagraph"/>
              <w:numPr>
                <w:ilvl w:val="0"/>
                <w:numId w:val="6"/>
              </w:numPr>
              <w:ind w:left="360"/>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Cultural differences and similarities between the provider and the youth/ family have been acknowledged and discussed, as they relate to the plan for working together.</w:t>
            </w:r>
          </w:p>
        </w:tc>
      </w:tr>
      <w:tr w:rsidR="00E2667E" w14:paraId="727B5799" w14:textId="77777777" w:rsidTr="00715026">
        <w:trPr>
          <w:trHeight w:val="77"/>
        </w:trPr>
        <w:tc>
          <w:tcPr>
            <w:cnfStyle w:val="001000000000" w:firstRow="0" w:lastRow="0" w:firstColumn="1" w:lastColumn="0" w:oddVBand="0" w:evenVBand="0" w:oddHBand="0" w:evenHBand="0" w:firstRowFirstColumn="0" w:firstRowLastColumn="0" w:lastRowFirstColumn="0" w:lastRowLastColumn="0"/>
            <w:tcW w:w="2515" w:type="dxa"/>
          </w:tcPr>
          <w:p w14:paraId="0D3D8AD7" w14:textId="77777777" w:rsidR="00E2667E" w:rsidRPr="00D10944" w:rsidRDefault="00E2667E" w:rsidP="00E2667E">
            <w:pPr>
              <w:spacing w:before="120" w:after="120"/>
              <w:jc w:val="left"/>
              <w:rPr>
                <w:sz w:val="22"/>
                <w:szCs w:val="22"/>
              </w:rPr>
            </w:pPr>
            <w:r w:rsidRPr="00D10944">
              <w:rPr>
                <w:sz w:val="22"/>
                <w:szCs w:val="22"/>
              </w:rPr>
              <w:t>Area 12: Cultural Sensitivity &amp; Responsiveness</w:t>
            </w:r>
          </w:p>
        </w:tc>
        <w:tc>
          <w:tcPr>
            <w:tcW w:w="8275" w:type="dxa"/>
          </w:tcPr>
          <w:p w14:paraId="0D03FF6C" w14:textId="77777777" w:rsidR="00E2667E" w:rsidRPr="00715026" w:rsidRDefault="00E2667E" w:rsidP="00E2667E">
            <w:pPr>
              <w:pStyle w:val="ListParagraph"/>
              <w:numPr>
                <w:ilvl w:val="0"/>
                <w:numId w:val="6"/>
              </w:numPr>
              <w:ind w:left="360"/>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The provider has acted on/incorporated knowledge of the family’s culture into the work.</w:t>
            </w:r>
          </w:p>
          <w:p w14:paraId="6D6A973E" w14:textId="77777777" w:rsidR="00E2667E" w:rsidRPr="00715026" w:rsidRDefault="00E2667E" w:rsidP="00E2667E">
            <w:pPr>
              <w:pStyle w:val="ListParagraph"/>
              <w:numPr>
                <w:ilvl w:val="0"/>
                <w:numId w:val="6"/>
              </w:numPr>
              <w:ind w:left="360"/>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The provider has explored any youth or family history of migration, moves, or dislocation. If the youth or family has experienced stressful migration, moves, or dislocation, then those events inform the assessment of family’s strengths and needs and the treatment/care plan.</w:t>
            </w:r>
          </w:p>
          <w:p w14:paraId="2D390A87" w14:textId="77777777" w:rsidR="00E2667E" w:rsidRPr="00715026" w:rsidRDefault="00E2667E" w:rsidP="00E2667E">
            <w:pPr>
              <w:pStyle w:val="ListParagraph"/>
              <w:numPr>
                <w:ilvl w:val="0"/>
                <w:numId w:val="6"/>
              </w:numPr>
              <w:ind w:left="360"/>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The provider has explored any youth or family history of discrimination and victimization. If the youth or family has experienced discrimination or victimization, then the provider ensures that the treatment process is sensitive/responsive to the family’s experience.</w:t>
            </w:r>
          </w:p>
          <w:p w14:paraId="0055B131" w14:textId="77777777" w:rsidR="00E2667E" w:rsidRPr="00715026" w:rsidRDefault="00E2667E" w:rsidP="00E2667E">
            <w:pPr>
              <w:pStyle w:val="ListParagraph"/>
              <w:numPr>
                <w:ilvl w:val="0"/>
                <w:numId w:val="6"/>
              </w:numPr>
              <w:ind w:left="360"/>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The provider has explored cultural differences within the family (e.g. intergenerational issues or due to couples having different backgrounds) and has incorporated this information into the understanding of the youth and family’s strengths and needs and the care/treatment plan.</w:t>
            </w:r>
          </w:p>
        </w:tc>
      </w:tr>
    </w:tbl>
    <w:p w14:paraId="25CD549A" w14:textId="77777777" w:rsidR="00977E84" w:rsidRDefault="00977E84" w:rsidP="00D10944">
      <w:pPr>
        <w:pStyle w:val="Heading2"/>
        <w:spacing w:before="120" w:after="40"/>
      </w:pPr>
    </w:p>
    <w:p w14:paraId="00DC8EA2" w14:textId="2CC28539" w:rsidR="00B364D8" w:rsidRPr="006A150E" w:rsidRDefault="00B364D8" w:rsidP="00D10944">
      <w:pPr>
        <w:pStyle w:val="Heading2"/>
        <w:spacing w:before="120" w:after="40"/>
      </w:pPr>
      <w:bookmarkStart w:id="7" w:name="_Toc22632473"/>
      <w:r w:rsidRPr="006A150E">
        <w:t>Practice Indicator Rating Scale</w:t>
      </w:r>
      <w:bookmarkEnd w:id="7"/>
    </w:p>
    <w:p w14:paraId="28589D11" w14:textId="211BA64D" w:rsidR="00B364D8" w:rsidRPr="006A150E" w:rsidRDefault="009E6F70" w:rsidP="008179B7">
      <w:pPr>
        <w:rPr>
          <w:color w:val="716767" w:themeColor="accent6" w:themeShade="BF"/>
        </w:rPr>
      </w:pPr>
      <w:r w:rsidRPr="00421252">
        <w:rPr>
          <w:b/>
        </w:rPr>
        <w:t>Table 2</w:t>
      </w:r>
      <w:r>
        <w:rPr>
          <w:b/>
        </w:rPr>
        <w:t xml:space="preserve"> </w:t>
      </w:r>
      <w:r>
        <w:t>shows the scoring for the</w:t>
      </w:r>
      <w:r w:rsidR="00580669">
        <w:t xml:space="preserve"> 12 MPR</w:t>
      </w:r>
      <w:r w:rsidR="00B364D8">
        <w:t xml:space="preserve"> Areas</w:t>
      </w:r>
      <w:r>
        <w:t xml:space="preserve"> of </w:t>
      </w:r>
      <w:r w:rsidR="002C3F6A">
        <w:t>Practice</w:t>
      </w:r>
      <w:r w:rsidR="00B364D8">
        <w:t xml:space="preserve"> </w:t>
      </w:r>
      <w:r>
        <w:t>on a</w:t>
      </w:r>
      <w:r w:rsidR="00B364D8">
        <w:t xml:space="preserve"> 5-point rating scale</w:t>
      </w:r>
      <w:r w:rsidR="00B364D8" w:rsidRPr="006A150E">
        <w:rPr>
          <w:color w:val="716767" w:themeColor="accent6" w:themeShade="BF"/>
        </w:rPr>
        <w:t>.</w:t>
      </w:r>
    </w:p>
    <w:p w14:paraId="6A8E6233" w14:textId="77777777" w:rsidR="00B364D8" w:rsidRPr="00D10944" w:rsidRDefault="009020A3" w:rsidP="00283716">
      <w:pPr>
        <w:pStyle w:val="Heading3"/>
        <w:spacing w:before="120"/>
        <w:rPr>
          <w:rStyle w:val="Strong"/>
          <w:b/>
        </w:rPr>
      </w:pPr>
      <w:bookmarkStart w:id="8" w:name="_Toc22632474"/>
      <w:r w:rsidRPr="00D10944">
        <w:rPr>
          <w:rStyle w:val="Strong"/>
          <w:b/>
        </w:rPr>
        <w:t xml:space="preserve">Table </w:t>
      </w:r>
      <w:r w:rsidR="00011327" w:rsidRPr="00D10944">
        <w:rPr>
          <w:rStyle w:val="Strong"/>
          <w:b/>
        </w:rPr>
        <w:t>2</w:t>
      </w:r>
      <w:r w:rsidR="00B364D8" w:rsidRPr="00D10944">
        <w:rPr>
          <w:rStyle w:val="Strong"/>
          <w:b/>
        </w:rPr>
        <w:t>: MPR Practice Rating Scale &amp; Indicators (Domains 1-3)</w:t>
      </w:r>
      <w:bookmarkEnd w:id="8"/>
    </w:p>
    <w:tbl>
      <w:tblPr>
        <w:tblStyle w:val="GridTable4-Accent21"/>
        <w:tblW w:w="0" w:type="auto"/>
        <w:tblInd w:w="5" w:type="dxa"/>
        <w:tblLook w:val="04A0" w:firstRow="1" w:lastRow="0" w:firstColumn="1" w:lastColumn="0" w:noHBand="0" w:noVBand="1"/>
      </w:tblPr>
      <w:tblGrid>
        <w:gridCol w:w="2690"/>
        <w:gridCol w:w="2070"/>
        <w:gridCol w:w="1980"/>
        <w:gridCol w:w="2070"/>
        <w:gridCol w:w="1970"/>
      </w:tblGrid>
      <w:tr w:rsidR="00B364D8" w:rsidRPr="00F817D3" w14:paraId="0CCF0ACA" w14:textId="77777777" w:rsidTr="00283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dxa"/>
          </w:tcPr>
          <w:p w14:paraId="735A3FBD" w14:textId="77777777" w:rsidR="00B364D8" w:rsidRPr="009E537C" w:rsidRDefault="00B364D8" w:rsidP="00D35C24">
            <w:r w:rsidRPr="009E537C">
              <w:t>Adverse Practice</w:t>
            </w:r>
          </w:p>
        </w:tc>
        <w:tc>
          <w:tcPr>
            <w:tcW w:w="2070" w:type="dxa"/>
          </w:tcPr>
          <w:p w14:paraId="684C2BE5" w14:textId="77777777" w:rsidR="00B364D8" w:rsidRPr="009E537C" w:rsidRDefault="00B364D8" w:rsidP="00D35C24">
            <w:pPr>
              <w:ind w:right="-153"/>
              <w:cnfStyle w:val="100000000000" w:firstRow="1" w:lastRow="0" w:firstColumn="0" w:lastColumn="0" w:oddVBand="0" w:evenVBand="0" w:oddHBand="0" w:evenHBand="0" w:firstRowFirstColumn="0" w:firstRowLastColumn="0" w:lastRowFirstColumn="0" w:lastRowLastColumn="0"/>
            </w:pPr>
            <w:r w:rsidRPr="009E537C">
              <w:t>Poor Practice</w:t>
            </w:r>
          </w:p>
        </w:tc>
        <w:tc>
          <w:tcPr>
            <w:tcW w:w="1980" w:type="dxa"/>
          </w:tcPr>
          <w:p w14:paraId="4D3CE24F" w14:textId="77777777" w:rsidR="00B364D8" w:rsidRPr="009E537C" w:rsidRDefault="00B364D8" w:rsidP="00D35C24">
            <w:pPr>
              <w:cnfStyle w:val="100000000000" w:firstRow="1" w:lastRow="0" w:firstColumn="0" w:lastColumn="0" w:oddVBand="0" w:evenVBand="0" w:oddHBand="0" w:evenHBand="0" w:firstRowFirstColumn="0" w:firstRowLastColumn="0" w:lastRowFirstColumn="0" w:lastRowLastColumn="0"/>
            </w:pPr>
            <w:r w:rsidRPr="009E537C">
              <w:t>Fair Practice</w:t>
            </w:r>
          </w:p>
        </w:tc>
        <w:tc>
          <w:tcPr>
            <w:tcW w:w="2070" w:type="dxa"/>
          </w:tcPr>
          <w:p w14:paraId="33C2BCAD" w14:textId="77777777" w:rsidR="00B364D8" w:rsidRPr="009E537C" w:rsidRDefault="00B364D8" w:rsidP="00D35C24">
            <w:pPr>
              <w:cnfStyle w:val="100000000000" w:firstRow="1" w:lastRow="0" w:firstColumn="0" w:lastColumn="0" w:oddVBand="0" w:evenVBand="0" w:oddHBand="0" w:evenHBand="0" w:firstRowFirstColumn="0" w:firstRowLastColumn="0" w:lastRowFirstColumn="0" w:lastRowLastColumn="0"/>
            </w:pPr>
            <w:r w:rsidRPr="009E537C">
              <w:t>Good Practice</w:t>
            </w:r>
          </w:p>
        </w:tc>
        <w:tc>
          <w:tcPr>
            <w:tcW w:w="1970" w:type="dxa"/>
          </w:tcPr>
          <w:p w14:paraId="50CD19BB" w14:textId="77777777" w:rsidR="00B364D8" w:rsidRPr="009E537C" w:rsidRDefault="00B364D8" w:rsidP="008179B7">
            <w:pPr>
              <w:cnfStyle w:val="100000000000" w:firstRow="1" w:lastRow="0" w:firstColumn="0" w:lastColumn="0" w:oddVBand="0" w:evenVBand="0" w:oddHBand="0" w:evenHBand="0" w:firstRowFirstColumn="0" w:firstRowLastColumn="0" w:lastRowFirstColumn="0" w:lastRowLastColumn="0"/>
            </w:pPr>
            <w:r w:rsidRPr="009E537C">
              <w:t>Exemplary/</w:t>
            </w:r>
          </w:p>
          <w:p w14:paraId="6760EF73" w14:textId="77777777" w:rsidR="00B364D8" w:rsidRPr="009E537C" w:rsidRDefault="00B364D8" w:rsidP="008179B7">
            <w:pPr>
              <w:cnfStyle w:val="100000000000" w:firstRow="1" w:lastRow="0" w:firstColumn="0" w:lastColumn="0" w:oddVBand="0" w:evenVBand="0" w:oddHBand="0" w:evenHBand="0" w:firstRowFirstColumn="0" w:firstRowLastColumn="0" w:lastRowFirstColumn="0" w:lastRowLastColumn="0"/>
            </w:pPr>
            <w:r w:rsidRPr="009E537C">
              <w:t>Best Practice</w:t>
            </w:r>
          </w:p>
        </w:tc>
      </w:tr>
      <w:tr w:rsidR="00B364D8" w:rsidRPr="00F817D3" w14:paraId="0B60B650" w14:textId="77777777" w:rsidTr="002837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dxa"/>
          </w:tcPr>
          <w:p w14:paraId="7DDD8C18" w14:textId="77777777" w:rsidR="00B364D8" w:rsidRPr="00D10944" w:rsidRDefault="00B364D8" w:rsidP="008179B7">
            <w:pPr>
              <w:rPr>
                <w:sz w:val="22"/>
                <w:szCs w:val="22"/>
              </w:rPr>
            </w:pPr>
            <w:r w:rsidRPr="00D10944">
              <w:rPr>
                <w:sz w:val="22"/>
                <w:szCs w:val="22"/>
              </w:rPr>
              <w:t>1</w:t>
            </w:r>
          </w:p>
        </w:tc>
        <w:tc>
          <w:tcPr>
            <w:tcW w:w="2070" w:type="dxa"/>
          </w:tcPr>
          <w:p w14:paraId="37547512" w14:textId="77777777" w:rsidR="00B364D8" w:rsidRPr="00D10944" w:rsidRDefault="00B364D8" w:rsidP="008179B7">
            <w:pPr>
              <w:cnfStyle w:val="000000100000" w:firstRow="0" w:lastRow="0" w:firstColumn="0" w:lastColumn="0" w:oddVBand="0" w:evenVBand="0" w:oddHBand="1" w:evenHBand="0" w:firstRowFirstColumn="0" w:firstRowLastColumn="0" w:lastRowFirstColumn="0" w:lastRowLastColumn="0"/>
              <w:rPr>
                <w:b/>
                <w:sz w:val="22"/>
                <w:szCs w:val="22"/>
              </w:rPr>
            </w:pPr>
            <w:r w:rsidRPr="00D10944">
              <w:rPr>
                <w:b/>
                <w:sz w:val="22"/>
                <w:szCs w:val="22"/>
              </w:rPr>
              <w:t>2</w:t>
            </w:r>
          </w:p>
        </w:tc>
        <w:tc>
          <w:tcPr>
            <w:tcW w:w="1980" w:type="dxa"/>
          </w:tcPr>
          <w:p w14:paraId="3E1C1339" w14:textId="77777777" w:rsidR="00B364D8" w:rsidRPr="00D10944" w:rsidRDefault="00B364D8" w:rsidP="008179B7">
            <w:pPr>
              <w:cnfStyle w:val="000000100000" w:firstRow="0" w:lastRow="0" w:firstColumn="0" w:lastColumn="0" w:oddVBand="0" w:evenVBand="0" w:oddHBand="1" w:evenHBand="0" w:firstRowFirstColumn="0" w:firstRowLastColumn="0" w:lastRowFirstColumn="0" w:lastRowLastColumn="0"/>
              <w:rPr>
                <w:b/>
                <w:sz w:val="22"/>
                <w:szCs w:val="22"/>
              </w:rPr>
            </w:pPr>
            <w:r w:rsidRPr="00D10944">
              <w:rPr>
                <w:b/>
                <w:sz w:val="22"/>
                <w:szCs w:val="22"/>
              </w:rPr>
              <w:t>3</w:t>
            </w:r>
          </w:p>
        </w:tc>
        <w:tc>
          <w:tcPr>
            <w:tcW w:w="2070" w:type="dxa"/>
          </w:tcPr>
          <w:p w14:paraId="561A49D2" w14:textId="77777777" w:rsidR="00B364D8" w:rsidRPr="00D10944" w:rsidRDefault="00B364D8" w:rsidP="008179B7">
            <w:pPr>
              <w:cnfStyle w:val="000000100000" w:firstRow="0" w:lastRow="0" w:firstColumn="0" w:lastColumn="0" w:oddVBand="0" w:evenVBand="0" w:oddHBand="1" w:evenHBand="0" w:firstRowFirstColumn="0" w:firstRowLastColumn="0" w:lastRowFirstColumn="0" w:lastRowLastColumn="0"/>
              <w:rPr>
                <w:b/>
                <w:sz w:val="22"/>
                <w:szCs w:val="22"/>
              </w:rPr>
            </w:pPr>
            <w:r w:rsidRPr="00D10944">
              <w:rPr>
                <w:b/>
                <w:sz w:val="22"/>
                <w:szCs w:val="22"/>
              </w:rPr>
              <w:t>4</w:t>
            </w:r>
          </w:p>
        </w:tc>
        <w:tc>
          <w:tcPr>
            <w:tcW w:w="1970" w:type="dxa"/>
          </w:tcPr>
          <w:p w14:paraId="498EEE81" w14:textId="77777777" w:rsidR="00B364D8" w:rsidRPr="00D10944" w:rsidRDefault="00B364D8" w:rsidP="008179B7">
            <w:pPr>
              <w:cnfStyle w:val="000000100000" w:firstRow="0" w:lastRow="0" w:firstColumn="0" w:lastColumn="0" w:oddVBand="0" w:evenVBand="0" w:oddHBand="1" w:evenHBand="0" w:firstRowFirstColumn="0" w:firstRowLastColumn="0" w:lastRowFirstColumn="0" w:lastRowLastColumn="0"/>
              <w:rPr>
                <w:b/>
                <w:sz w:val="22"/>
                <w:szCs w:val="22"/>
              </w:rPr>
            </w:pPr>
            <w:r w:rsidRPr="00D10944">
              <w:rPr>
                <w:b/>
                <w:sz w:val="22"/>
                <w:szCs w:val="22"/>
              </w:rPr>
              <w:t>5</w:t>
            </w:r>
          </w:p>
        </w:tc>
      </w:tr>
      <w:tr w:rsidR="00B364D8" w:rsidRPr="00F817D3" w14:paraId="36A0691C" w14:textId="77777777" w:rsidTr="00283716">
        <w:trPr>
          <w:trHeight w:val="75"/>
        </w:trPr>
        <w:tc>
          <w:tcPr>
            <w:cnfStyle w:val="001000000000" w:firstRow="0" w:lastRow="0" w:firstColumn="1" w:lastColumn="0" w:oddVBand="0" w:evenVBand="0" w:oddHBand="0" w:evenHBand="0" w:firstRowFirstColumn="0" w:firstRowLastColumn="0" w:lastRowFirstColumn="0" w:lastRowLastColumn="0"/>
            <w:tcW w:w="2690" w:type="dxa"/>
          </w:tcPr>
          <w:p w14:paraId="183EE0AC" w14:textId="77777777" w:rsidR="00B364D8" w:rsidRPr="00D10944" w:rsidRDefault="00B364D8" w:rsidP="007C701B">
            <w:pPr>
              <w:jc w:val="left"/>
              <w:rPr>
                <w:b w:val="0"/>
                <w:sz w:val="20"/>
                <w:szCs w:val="20"/>
              </w:rPr>
            </w:pPr>
            <w:r w:rsidRPr="00D10944">
              <w:rPr>
                <w:b w:val="0"/>
                <w:sz w:val="20"/>
                <w:szCs w:val="20"/>
              </w:rPr>
              <w:t xml:space="preserve">Practice is either absent or wrong, and possibly harmful - or </w:t>
            </w:r>
            <w:r w:rsidR="00502EA9" w:rsidRPr="00D10944">
              <w:rPr>
                <w:b w:val="0"/>
                <w:sz w:val="20"/>
                <w:szCs w:val="20"/>
              </w:rPr>
              <w:t xml:space="preserve">- </w:t>
            </w:r>
            <w:r w:rsidRPr="00D10944">
              <w:rPr>
                <w:b w:val="0"/>
                <w:sz w:val="20"/>
                <w:szCs w:val="20"/>
              </w:rPr>
              <w:t>practices used may be inappropriate, contraindicated, or performed inappropriately or harmfully</w:t>
            </w:r>
          </w:p>
        </w:tc>
        <w:tc>
          <w:tcPr>
            <w:tcW w:w="2070" w:type="dxa"/>
          </w:tcPr>
          <w:p w14:paraId="3F3DF682" w14:textId="77777777" w:rsidR="00B364D8" w:rsidRPr="00D10944" w:rsidRDefault="00B364D8" w:rsidP="007C701B">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D10944">
              <w:rPr>
                <w:sz w:val="20"/>
                <w:szCs w:val="20"/>
              </w:rPr>
              <w:t>Does not meet minimal established standards of practice</w:t>
            </w:r>
          </w:p>
          <w:p w14:paraId="4726B2C4" w14:textId="77777777" w:rsidR="00B364D8" w:rsidRPr="00D10944" w:rsidRDefault="00B364D8" w:rsidP="007C701B">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980" w:type="dxa"/>
          </w:tcPr>
          <w:p w14:paraId="32A4E55E" w14:textId="77777777" w:rsidR="00B364D8" w:rsidRPr="00D10944" w:rsidRDefault="00B364D8" w:rsidP="007C701B">
            <w:pPr>
              <w:jc w:val="left"/>
              <w:cnfStyle w:val="000000000000" w:firstRow="0" w:lastRow="0" w:firstColumn="0" w:lastColumn="0" w:oddVBand="0" w:evenVBand="0" w:oddHBand="0" w:evenHBand="0" w:firstRowFirstColumn="0" w:firstRowLastColumn="0" w:lastRowFirstColumn="0" w:lastRowLastColumn="0"/>
              <w:rPr>
                <w:sz w:val="20"/>
                <w:szCs w:val="20"/>
              </w:rPr>
            </w:pPr>
            <w:r w:rsidRPr="00D10944">
              <w:rPr>
                <w:sz w:val="20"/>
                <w:szCs w:val="20"/>
              </w:rPr>
              <w:t>Does not consistently meet established standards and best practices</w:t>
            </w:r>
          </w:p>
          <w:p w14:paraId="7B000AA8" w14:textId="77777777" w:rsidR="00B364D8" w:rsidRPr="00D10944" w:rsidRDefault="00B364D8" w:rsidP="007C701B">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070" w:type="dxa"/>
          </w:tcPr>
          <w:p w14:paraId="4BA5C21F" w14:textId="77777777" w:rsidR="00B364D8" w:rsidRPr="00D10944" w:rsidRDefault="00B364D8" w:rsidP="007C701B">
            <w:pPr>
              <w:jc w:val="left"/>
              <w:cnfStyle w:val="000000000000" w:firstRow="0" w:lastRow="0" w:firstColumn="0" w:lastColumn="0" w:oddVBand="0" w:evenVBand="0" w:oddHBand="0" w:evenHBand="0" w:firstRowFirstColumn="0" w:firstRowLastColumn="0" w:lastRowFirstColumn="0" w:lastRowLastColumn="0"/>
              <w:rPr>
                <w:sz w:val="20"/>
                <w:szCs w:val="20"/>
              </w:rPr>
            </w:pPr>
            <w:r w:rsidRPr="00D10944">
              <w:rPr>
                <w:sz w:val="20"/>
                <w:szCs w:val="20"/>
              </w:rPr>
              <w:t>Consistently meets established standards and best practices</w:t>
            </w:r>
          </w:p>
          <w:p w14:paraId="3114F91A" w14:textId="77777777" w:rsidR="00B364D8" w:rsidRPr="00D10944" w:rsidRDefault="00B364D8" w:rsidP="007C701B">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970" w:type="dxa"/>
          </w:tcPr>
          <w:p w14:paraId="0CA52C1F" w14:textId="77777777" w:rsidR="00B364D8" w:rsidRPr="00D10944" w:rsidRDefault="00B364D8" w:rsidP="007C701B">
            <w:pPr>
              <w:jc w:val="left"/>
              <w:cnfStyle w:val="000000000000" w:firstRow="0" w:lastRow="0" w:firstColumn="0" w:lastColumn="0" w:oddVBand="0" w:evenVBand="0" w:oddHBand="0" w:evenHBand="0" w:firstRowFirstColumn="0" w:firstRowLastColumn="0" w:lastRowFirstColumn="0" w:lastRowLastColumn="0"/>
              <w:rPr>
                <w:sz w:val="20"/>
                <w:szCs w:val="20"/>
              </w:rPr>
            </w:pPr>
            <w:r w:rsidRPr="00D10944">
              <w:rPr>
                <w:rFonts w:cs="Arial"/>
                <w:sz w:val="20"/>
                <w:szCs w:val="20"/>
              </w:rPr>
              <w:t>Consistently exceeds established standards and best practices</w:t>
            </w:r>
          </w:p>
          <w:p w14:paraId="379A544A" w14:textId="77777777" w:rsidR="00B364D8" w:rsidRPr="00D10944" w:rsidRDefault="00B364D8" w:rsidP="007C701B">
            <w:pPr>
              <w:jc w:val="left"/>
              <w:cnfStyle w:val="000000000000" w:firstRow="0" w:lastRow="0" w:firstColumn="0" w:lastColumn="0" w:oddVBand="0" w:evenVBand="0" w:oddHBand="0" w:evenHBand="0" w:firstRowFirstColumn="0" w:firstRowLastColumn="0" w:lastRowFirstColumn="0" w:lastRowLastColumn="0"/>
              <w:rPr>
                <w:sz w:val="20"/>
                <w:szCs w:val="20"/>
              </w:rPr>
            </w:pPr>
          </w:p>
        </w:tc>
      </w:tr>
    </w:tbl>
    <w:p w14:paraId="42ED22ED" w14:textId="77777777" w:rsidR="00091E69" w:rsidRDefault="00091E69" w:rsidP="00091E69">
      <w:pPr>
        <w:pStyle w:val="Heading2"/>
      </w:pPr>
    </w:p>
    <w:p w14:paraId="1E61AA14" w14:textId="77777777" w:rsidR="005432D4" w:rsidRPr="006A150E" w:rsidRDefault="005432D4" w:rsidP="00D10944">
      <w:pPr>
        <w:pStyle w:val="Heading2"/>
        <w:spacing w:after="40"/>
      </w:pPr>
      <w:bookmarkStart w:id="9" w:name="_Toc22632475"/>
      <w:r w:rsidRPr="006A150E">
        <w:t>Progress Domain/Areas</w:t>
      </w:r>
      <w:bookmarkEnd w:id="9"/>
    </w:p>
    <w:p w14:paraId="23C67BC9" w14:textId="5CD85B75" w:rsidR="00B364D8" w:rsidRDefault="009E6F70" w:rsidP="008179B7">
      <w:r w:rsidRPr="004517EB">
        <w:rPr>
          <w:b/>
        </w:rPr>
        <w:t>Table 3</w:t>
      </w:r>
      <w:r>
        <w:t xml:space="preserve"> summarizes the factors, </w:t>
      </w:r>
      <w:r>
        <w:rPr>
          <w:rFonts w:eastAsia="Calibri" w:cs="Times New Roman"/>
        </w:rPr>
        <w:t>prompts, and considerations for each of the 2 Areas of Progress</w:t>
      </w:r>
      <w:r w:rsidR="00E7286C">
        <w:rPr>
          <w:rFonts w:eastAsia="Calibri" w:cs="Times New Roman"/>
        </w:rPr>
        <w:t xml:space="preserve"> used</w:t>
      </w:r>
      <w:r>
        <w:rPr>
          <w:rFonts w:eastAsia="Calibri" w:cs="Times New Roman"/>
        </w:rPr>
        <w:t xml:space="preserve"> to guide reviewers</w:t>
      </w:r>
      <w:r w:rsidRPr="00A37F8F">
        <w:rPr>
          <w:rFonts w:eastAsia="Calibri" w:cs="Times New Roman"/>
        </w:rPr>
        <w:t xml:space="preserve"> </w:t>
      </w:r>
      <w:r>
        <w:rPr>
          <w:rFonts w:eastAsia="Calibri" w:cs="Times New Roman"/>
        </w:rPr>
        <w:t>in</w:t>
      </w:r>
      <w:r w:rsidRPr="000C6A80">
        <w:rPr>
          <w:rFonts w:eastAsia="Calibri" w:cs="Times New Roman"/>
        </w:rPr>
        <w:t xml:space="preserve"> scoring</w:t>
      </w:r>
      <w:r w:rsidRPr="00DD4967" w:rsidDel="00E259ED">
        <w:t xml:space="preserve"> </w:t>
      </w:r>
      <w:r>
        <w:t>across the MPR Progress Domain</w:t>
      </w:r>
      <w:r w:rsidR="002C3F6A">
        <w:t>, as described below</w:t>
      </w:r>
      <w:r w:rsidR="00334616">
        <w:t>.</w:t>
      </w:r>
      <w:r>
        <w:t xml:space="preserve"> </w:t>
      </w:r>
      <w:r w:rsidR="00407533" w:rsidRPr="00B364D8">
        <w:t>R</w:t>
      </w:r>
      <w:r w:rsidR="00D10944">
        <w:t xml:space="preserve">eviewers are also asked to rate two </w:t>
      </w:r>
      <w:r w:rsidR="00407533" w:rsidRPr="00B364D8">
        <w:t xml:space="preserve">Areas concerning child/youth and family progress to determine the extent to which improvements have been realized in relation to specific skill development, functioning, well-being, and quality of life. </w:t>
      </w:r>
    </w:p>
    <w:p w14:paraId="1087A28B" w14:textId="77777777" w:rsidR="00A6758D" w:rsidRPr="00D10944" w:rsidRDefault="00C2310F" w:rsidP="00091E69">
      <w:pPr>
        <w:pStyle w:val="Heading3"/>
        <w:rPr>
          <w:rStyle w:val="Strong"/>
          <w:b/>
        </w:rPr>
      </w:pPr>
      <w:bookmarkStart w:id="10" w:name="_Toc22632476"/>
      <w:r w:rsidRPr="00D10944">
        <w:rPr>
          <w:rStyle w:val="Strong"/>
          <w:b/>
        </w:rPr>
        <w:t xml:space="preserve">Table </w:t>
      </w:r>
      <w:r w:rsidR="00011327" w:rsidRPr="00D10944">
        <w:rPr>
          <w:rStyle w:val="Strong"/>
          <w:b/>
        </w:rPr>
        <w:t>3</w:t>
      </w:r>
      <w:r w:rsidR="00B364D8" w:rsidRPr="00D10944">
        <w:rPr>
          <w:rStyle w:val="Strong"/>
          <w:b/>
        </w:rPr>
        <w:t>: MPR Progress Domain/Areas &amp; Reviewer Scoring Prompts</w:t>
      </w:r>
      <w:bookmarkEnd w:id="10"/>
    </w:p>
    <w:tbl>
      <w:tblPr>
        <w:tblStyle w:val="GridTable5Dark-Accent21"/>
        <w:tblW w:w="0" w:type="auto"/>
        <w:tblLook w:val="04A0" w:firstRow="1" w:lastRow="0" w:firstColumn="1" w:lastColumn="0" w:noHBand="0" w:noVBand="1"/>
      </w:tblPr>
      <w:tblGrid>
        <w:gridCol w:w="2515"/>
        <w:gridCol w:w="8275"/>
      </w:tblGrid>
      <w:tr w:rsidR="00A6758D" w14:paraId="64212480" w14:textId="77777777" w:rsidTr="009C7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E735DC7" w14:textId="77777777" w:rsidR="00A6758D" w:rsidRPr="00771DC9" w:rsidRDefault="00A6758D" w:rsidP="009C768F">
            <w:pPr>
              <w:spacing w:before="120" w:after="120"/>
              <w:jc w:val="left"/>
              <w:rPr>
                <w:b w:val="0"/>
                <w:bCs w:val="0"/>
              </w:rPr>
            </w:pPr>
            <w:r>
              <w:t>Progress Domain</w:t>
            </w:r>
          </w:p>
        </w:tc>
        <w:tc>
          <w:tcPr>
            <w:tcW w:w="8275" w:type="dxa"/>
            <w:vAlign w:val="center"/>
          </w:tcPr>
          <w:p w14:paraId="6AE1665E" w14:textId="77777777" w:rsidR="00A6758D" w:rsidRPr="00771DC9" w:rsidRDefault="00A6758D" w:rsidP="00A6758D">
            <w:pPr>
              <w:spacing w:before="120" w:after="120"/>
              <w:jc w:val="left"/>
              <w:cnfStyle w:val="100000000000" w:firstRow="1" w:lastRow="0" w:firstColumn="0" w:lastColumn="0" w:oddVBand="0" w:evenVBand="0" w:oddHBand="0" w:evenHBand="0" w:firstRowFirstColumn="0" w:firstRowLastColumn="0" w:lastRowFirstColumn="0" w:lastRowLastColumn="0"/>
            </w:pPr>
            <w:r>
              <w:t>Domain 4: Youth &amp; Family Progress</w:t>
            </w:r>
          </w:p>
        </w:tc>
      </w:tr>
      <w:tr w:rsidR="00A6758D" w14:paraId="7316E8A8" w14:textId="77777777" w:rsidTr="009C7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6682222E" w14:textId="77777777" w:rsidR="00A6758D" w:rsidRPr="00D10944" w:rsidRDefault="00A6758D" w:rsidP="00A6758D">
            <w:pPr>
              <w:spacing w:before="120" w:after="120"/>
              <w:jc w:val="left"/>
              <w:rPr>
                <w:sz w:val="22"/>
                <w:szCs w:val="22"/>
              </w:rPr>
            </w:pPr>
            <w:r w:rsidRPr="00D10944">
              <w:rPr>
                <w:sz w:val="22"/>
                <w:szCs w:val="22"/>
              </w:rPr>
              <w:t>Area 13: Youth Progress</w:t>
            </w:r>
          </w:p>
        </w:tc>
        <w:tc>
          <w:tcPr>
            <w:tcW w:w="8275" w:type="dxa"/>
            <w:vAlign w:val="center"/>
          </w:tcPr>
          <w:p w14:paraId="29663D31" w14:textId="77777777" w:rsidR="00A6758D" w:rsidRPr="00A6758D" w:rsidRDefault="00A6758D" w:rsidP="00A6758D">
            <w:pPr>
              <w:numPr>
                <w:ilvl w:val="0"/>
                <w:numId w:val="6"/>
              </w:numPr>
              <w:ind w:left="360"/>
              <w:jc w:val="left"/>
              <w:cnfStyle w:val="000000100000" w:firstRow="0" w:lastRow="0" w:firstColumn="0" w:lastColumn="0" w:oddVBand="0" w:evenVBand="0" w:oddHBand="1" w:evenHBand="0" w:firstRowFirstColumn="0" w:firstRowLastColumn="0" w:lastRowFirstColumn="0" w:lastRowLastColumn="0"/>
              <w:rPr>
                <w:sz w:val="20"/>
                <w:szCs w:val="20"/>
              </w:rPr>
            </w:pPr>
            <w:r w:rsidRPr="00A6758D">
              <w:rPr>
                <w:sz w:val="20"/>
                <w:szCs w:val="20"/>
              </w:rPr>
              <w:t>Since the youth’s enrollment in the service being reviewed, he/she has developed improved coping or self-management skills.</w:t>
            </w:r>
          </w:p>
          <w:p w14:paraId="52464BA7" w14:textId="77777777" w:rsidR="00A6758D" w:rsidRPr="00A6758D" w:rsidRDefault="00A6758D" w:rsidP="00A6758D">
            <w:pPr>
              <w:numPr>
                <w:ilvl w:val="0"/>
                <w:numId w:val="6"/>
              </w:numPr>
              <w:ind w:left="360"/>
              <w:jc w:val="left"/>
              <w:cnfStyle w:val="000000100000" w:firstRow="0" w:lastRow="0" w:firstColumn="0" w:lastColumn="0" w:oddVBand="0" w:evenVBand="0" w:oddHBand="1" w:evenHBand="0" w:firstRowFirstColumn="0" w:firstRowLastColumn="0" w:lastRowFirstColumn="0" w:lastRowLastColumn="0"/>
              <w:rPr>
                <w:sz w:val="20"/>
                <w:szCs w:val="20"/>
              </w:rPr>
            </w:pPr>
            <w:r w:rsidRPr="00A6758D">
              <w:rPr>
                <w:sz w:val="20"/>
                <w:szCs w:val="20"/>
              </w:rPr>
              <w:t>Since the youth’s enrollment in the service being reviewed, he/she has made progress in their social and/or emotional functioning at school.</w:t>
            </w:r>
          </w:p>
          <w:p w14:paraId="6DD1311D" w14:textId="77777777" w:rsidR="00A6758D" w:rsidRPr="00A6758D" w:rsidRDefault="00A6758D" w:rsidP="00A6758D">
            <w:pPr>
              <w:numPr>
                <w:ilvl w:val="0"/>
                <w:numId w:val="6"/>
              </w:numPr>
              <w:ind w:left="360"/>
              <w:jc w:val="left"/>
              <w:cnfStyle w:val="000000100000" w:firstRow="0" w:lastRow="0" w:firstColumn="0" w:lastColumn="0" w:oddVBand="0" w:evenVBand="0" w:oddHBand="1" w:evenHBand="0" w:firstRowFirstColumn="0" w:firstRowLastColumn="0" w:lastRowFirstColumn="0" w:lastRowLastColumn="0"/>
              <w:rPr>
                <w:sz w:val="20"/>
                <w:szCs w:val="20"/>
              </w:rPr>
            </w:pPr>
            <w:r w:rsidRPr="00A6758D">
              <w:rPr>
                <w:sz w:val="20"/>
                <w:szCs w:val="20"/>
              </w:rPr>
              <w:t xml:space="preserve">Since the youth’s enrollment in the service being reviewed, he/she has made progress in their social and/or emotional functioning in the community. </w:t>
            </w:r>
          </w:p>
          <w:p w14:paraId="0D561183" w14:textId="77777777" w:rsidR="00A6758D" w:rsidRPr="00A6758D" w:rsidRDefault="00A6758D" w:rsidP="00A6758D">
            <w:pPr>
              <w:numPr>
                <w:ilvl w:val="0"/>
                <w:numId w:val="6"/>
              </w:numPr>
              <w:ind w:left="360"/>
              <w:jc w:val="left"/>
              <w:cnfStyle w:val="000000100000" w:firstRow="0" w:lastRow="0" w:firstColumn="0" w:lastColumn="0" w:oddVBand="0" w:evenVBand="0" w:oddHBand="1" w:evenHBand="0" w:firstRowFirstColumn="0" w:firstRowLastColumn="0" w:lastRowFirstColumn="0" w:lastRowLastColumn="0"/>
              <w:rPr>
                <w:sz w:val="20"/>
                <w:szCs w:val="20"/>
              </w:rPr>
            </w:pPr>
            <w:r w:rsidRPr="00A6758D">
              <w:rPr>
                <w:sz w:val="20"/>
                <w:szCs w:val="20"/>
              </w:rPr>
              <w:t xml:space="preserve">Since the youth’s enrollment in the service being reviewed, he/she has made progress in their social and/or emotional functioning at home. </w:t>
            </w:r>
          </w:p>
          <w:p w14:paraId="39EA7853" w14:textId="77777777" w:rsidR="00A6758D" w:rsidRPr="00A6758D" w:rsidRDefault="00A6758D" w:rsidP="00A6758D">
            <w:pPr>
              <w:numPr>
                <w:ilvl w:val="0"/>
                <w:numId w:val="6"/>
              </w:numPr>
              <w:ind w:left="360"/>
              <w:jc w:val="left"/>
              <w:cnfStyle w:val="000000100000" w:firstRow="0" w:lastRow="0" w:firstColumn="0" w:lastColumn="0" w:oddVBand="0" w:evenVBand="0" w:oddHBand="1" w:evenHBand="0" w:firstRowFirstColumn="0" w:firstRowLastColumn="0" w:lastRowFirstColumn="0" w:lastRowLastColumn="0"/>
              <w:rPr>
                <w:b/>
                <w:sz w:val="20"/>
                <w:szCs w:val="20"/>
              </w:rPr>
            </w:pPr>
            <w:r w:rsidRPr="00A6758D">
              <w:rPr>
                <w:sz w:val="20"/>
                <w:szCs w:val="20"/>
              </w:rPr>
              <w:t>Since the youth’s enrollment in the service being reviewed, there has been improvement in the youth’s overall well-being and quality of life.</w:t>
            </w:r>
          </w:p>
        </w:tc>
      </w:tr>
      <w:tr w:rsidR="00A6758D" w14:paraId="15E14ACD" w14:textId="77777777" w:rsidTr="009C768F">
        <w:tc>
          <w:tcPr>
            <w:cnfStyle w:val="001000000000" w:firstRow="0" w:lastRow="0" w:firstColumn="1" w:lastColumn="0" w:oddVBand="0" w:evenVBand="0" w:oddHBand="0" w:evenHBand="0" w:firstRowFirstColumn="0" w:firstRowLastColumn="0" w:lastRowFirstColumn="0" w:lastRowLastColumn="0"/>
            <w:tcW w:w="2515" w:type="dxa"/>
            <w:vAlign w:val="center"/>
          </w:tcPr>
          <w:p w14:paraId="50E8736F" w14:textId="77777777" w:rsidR="00A6758D" w:rsidRPr="00D10944" w:rsidRDefault="00A6758D" w:rsidP="00A6758D">
            <w:pPr>
              <w:spacing w:before="120" w:after="120"/>
              <w:jc w:val="left"/>
              <w:rPr>
                <w:sz w:val="22"/>
                <w:szCs w:val="22"/>
              </w:rPr>
            </w:pPr>
            <w:r w:rsidRPr="00D10944">
              <w:rPr>
                <w:sz w:val="22"/>
                <w:szCs w:val="22"/>
              </w:rPr>
              <w:t>Area 14: Family Progress</w:t>
            </w:r>
          </w:p>
        </w:tc>
        <w:tc>
          <w:tcPr>
            <w:tcW w:w="8275" w:type="dxa"/>
            <w:vAlign w:val="center"/>
          </w:tcPr>
          <w:p w14:paraId="00A153A7" w14:textId="78AB283A" w:rsidR="00A6758D" w:rsidRPr="00A6758D" w:rsidRDefault="00A6758D" w:rsidP="00A6758D">
            <w:pPr>
              <w:numPr>
                <w:ilvl w:val="0"/>
                <w:numId w:val="6"/>
              </w:numPr>
              <w:ind w:left="360"/>
              <w:jc w:val="left"/>
              <w:cnfStyle w:val="000000000000" w:firstRow="0" w:lastRow="0" w:firstColumn="0" w:lastColumn="0" w:oddVBand="0" w:evenVBand="0" w:oddHBand="0" w:evenHBand="0" w:firstRowFirstColumn="0" w:firstRowLastColumn="0" w:lastRowFirstColumn="0" w:lastRowLastColumn="0"/>
              <w:rPr>
                <w:sz w:val="20"/>
                <w:szCs w:val="20"/>
              </w:rPr>
            </w:pPr>
            <w:r w:rsidRPr="00A6758D">
              <w:rPr>
                <w:sz w:val="20"/>
                <w:szCs w:val="20"/>
              </w:rPr>
              <w:t>Since the family’s enrollment in the service being reviewed, the parent/</w:t>
            </w:r>
            <w:r w:rsidR="00CF09A5">
              <w:rPr>
                <w:sz w:val="20"/>
                <w:szCs w:val="20"/>
              </w:rPr>
              <w:t>Caregiver</w:t>
            </w:r>
            <w:r w:rsidRPr="00A6758D">
              <w:rPr>
                <w:sz w:val="20"/>
                <w:szCs w:val="20"/>
              </w:rPr>
              <w:t xml:space="preserve"> has made progress in their ability to cope with/manage their youth’s behavior.</w:t>
            </w:r>
          </w:p>
          <w:p w14:paraId="4812D77A" w14:textId="77777777" w:rsidR="00A6758D" w:rsidRPr="00715026" w:rsidRDefault="00A6758D" w:rsidP="00A6758D">
            <w:pPr>
              <w:pStyle w:val="ListParagraph"/>
              <w:numPr>
                <w:ilvl w:val="0"/>
                <w:numId w:val="6"/>
              </w:numPr>
              <w:ind w:left="342" w:hanging="342"/>
              <w:jc w:val="left"/>
              <w:cnfStyle w:val="000000000000" w:firstRow="0" w:lastRow="0" w:firstColumn="0" w:lastColumn="0" w:oddVBand="0" w:evenVBand="0" w:oddHBand="0" w:evenHBand="0" w:firstRowFirstColumn="0" w:firstRowLastColumn="0" w:lastRowFirstColumn="0" w:lastRowLastColumn="0"/>
              <w:rPr>
                <w:sz w:val="20"/>
                <w:szCs w:val="20"/>
              </w:rPr>
            </w:pPr>
            <w:r w:rsidRPr="00A6758D">
              <w:rPr>
                <w:sz w:val="20"/>
                <w:szCs w:val="20"/>
              </w:rPr>
              <w:t>Since the family’s enrollment in the service being reviewed, there has been improvement in the family’s overall well-being and quality of life.</w:t>
            </w:r>
          </w:p>
        </w:tc>
      </w:tr>
    </w:tbl>
    <w:p w14:paraId="7EFF537D" w14:textId="77777777" w:rsidR="00091E69" w:rsidRDefault="00091E69" w:rsidP="00091E69">
      <w:pPr>
        <w:pStyle w:val="Heading2"/>
      </w:pPr>
    </w:p>
    <w:p w14:paraId="2432EB62" w14:textId="77777777" w:rsidR="008832A1" w:rsidRPr="006A150E" w:rsidRDefault="00B364D8" w:rsidP="00D10944">
      <w:pPr>
        <w:pStyle w:val="Heading2"/>
        <w:spacing w:after="40"/>
      </w:pPr>
      <w:bookmarkStart w:id="11" w:name="_Toc22632477"/>
      <w:r w:rsidRPr="006A150E">
        <w:t>Pr</w:t>
      </w:r>
      <w:r w:rsidR="00B929EA" w:rsidRPr="006A150E">
        <w:t>ogress</w:t>
      </w:r>
      <w:r w:rsidRPr="006A150E">
        <w:t xml:space="preserve"> </w:t>
      </w:r>
      <w:r w:rsidR="009E5531" w:rsidRPr="006A150E">
        <w:t xml:space="preserve">Indicator </w:t>
      </w:r>
      <w:r w:rsidR="008832A1" w:rsidRPr="006A150E">
        <w:t>Rating Scale</w:t>
      </w:r>
      <w:bookmarkEnd w:id="11"/>
    </w:p>
    <w:p w14:paraId="507CC393" w14:textId="788D44FE" w:rsidR="00F817D3" w:rsidRPr="006A150E" w:rsidRDefault="009E6F70" w:rsidP="00502EA9">
      <w:pPr>
        <w:rPr>
          <w:b/>
          <w:color w:val="716767" w:themeColor="accent6" w:themeShade="BF"/>
          <w:highlight w:val="yellow"/>
        </w:rPr>
      </w:pPr>
      <w:r>
        <w:rPr>
          <w:b/>
        </w:rPr>
        <w:t xml:space="preserve">Table 4 </w:t>
      </w:r>
      <w:r>
        <w:t xml:space="preserve">shows the scoring for the 2 Areas of Progress on a 5-point rating scale. </w:t>
      </w:r>
    </w:p>
    <w:p w14:paraId="5D67C859" w14:textId="77777777" w:rsidR="00F817D3" w:rsidRPr="00D10944" w:rsidRDefault="004627DB" w:rsidP="00091E69">
      <w:pPr>
        <w:pStyle w:val="Heading3"/>
        <w:rPr>
          <w:rStyle w:val="Strong"/>
          <w:b/>
        </w:rPr>
      </w:pPr>
      <w:bookmarkStart w:id="12" w:name="_Toc22632478"/>
      <w:r w:rsidRPr="00D10944">
        <w:rPr>
          <w:rStyle w:val="Strong"/>
          <w:b/>
        </w:rPr>
        <w:t xml:space="preserve">Table </w:t>
      </w:r>
      <w:r w:rsidR="004E1EF8" w:rsidRPr="00D10944">
        <w:rPr>
          <w:rStyle w:val="Strong"/>
          <w:b/>
        </w:rPr>
        <w:t>4</w:t>
      </w:r>
      <w:r w:rsidR="00F817D3" w:rsidRPr="00D10944">
        <w:rPr>
          <w:rStyle w:val="Strong"/>
          <w:b/>
        </w:rPr>
        <w:t>: MPR Pr</w:t>
      </w:r>
      <w:r w:rsidR="00B929EA" w:rsidRPr="00D10944">
        <w:rPr>
          <w:rStyle w:val="Strong"/>
          <w:b/>
        </w:rPr>
        <w:t>ogress</w:t>
      </w:r>
      <w:r w:rsidR="00F817D3" w:rsidRPr="00D10944">
        <w:rPr>
          <w:rStyle w:val="Strong"/>
          <w:b/>
        </w:rPr>
        <w:t xml:space="preserve"> </w:t>
      </w:r>
      <w:r w:rsidR="00F43E15" w:rsidRPr="00D10944">
        <w:rPr>
          <w:rStyle w:val="Strong"/>
          <w:b/>
        </w:rPr>
        <w:t>Rating Scale &amp; Indicators (Domain</w:t>
      </w:r>
      <w:r w:rsidR="00B929EA" w:rsidRPr="00D10944">
        <w:rPr>
          <w:rStyle w:val="Strong"/>
          <w:b/>
        </w:rPr>
        <w:t xml:space="preserve"> 4</w:t>
      </w:r>
      <w:r w:rsidR="00F43E15" w:rsidRPr="00D10944">
        <w:rPr>
          <w:rStyle w:val="Strong"/>
          <w:b/>
        </w:rPr>
        <w:t>)</w:t>
      </w:r>
      <w:bookmarkEnd w:id="12"/>
    </w:p>
    <w:tbl>
      <w:tblPr>
        <w:tblStyle w:val="GridTable4-Accent21"/>
        <w:tblW w:w="0" w:type="auto"/>
        <w:jc w:val="center"/>
        <w:tblLook w:val="04A0" w:firstRow="1" w:lastRow="0" w:firstColumn="1" w:lastColumn="0" w:noHBand="0" w:noVBand="1"/>
      </w:tblPr>
      <w:tblGrid>
        <w:gridCol w:w="2250"/>
        <w:gridCol w:w="1748"/>
        <w:gridCol w:w="1350"/>
        <w:gridCol w:w="1440"/>
        <w:gridCol w:w="1595"/>
      </w:tblGrid>
      <w:tr w:rsidR="00F817D3" w:rsidRPr="00F817D3" w14:paraId="354CF1F3" w14:textId="77777777" w:rsidTr="00091E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Pr>
          <w:p w14:paraId="717DF863" w14:textId="77777777" w:rsidR="00B929EA" w:rsidRDefault="00B929EA" w:rsidP="00B929EA">
            <w:pPr>
              <w:jc w:val="center"/>
            </w:pPr>
            <w:r>
              <w:t xml:space="preserve">Worsening or </w:t>
            </w:r>
          </w:p>
          <w:p w14:paraId="08AEEA0D" w14:textId="77777777" w:rsidR="00F817D3" w:rsidRPr="00F817D3" w:rsidRDefault="00B929EA" w:rsidP="00B929EA">
            <w:pPr>
              <w:jc w:val="center"/>
            </w:pPr>
            <w:r>
              <w:t>Declining Condition</w:t>
            </w:r>
          </w:p>
        </w:tc>
        <w:tc>
          <w:tcPr>
            <w:tcW w:w="1748" w:type="dxa"/>
          </w:tcPr>
          <w:p w14:paraId="3955A068" w14:textId="77777777" w:rsidR="00B929EA" w:rsidRDefault="00B929EA" w:rsidP="00B929EA">
            <w:pPr>
              <w:ind w:right="-153"/>
              <w:jc w:val="center"/>
              <w:cnfStyle w:val="100000000000" w:firstRow="1" w:lastRow="0" w:firstColumn="0" w:lastColumn="0" w:oddVBand="0" w:evenVBand="0" w:oddHBand="0" w:evenHBand="0" w:firstRowFirstColumn="0" w:firstRowLastColumn="0" w:lastRowFirstColumn="0" w:lastRowLastColumn="0"/>
            </w:pPr>
            <w:r>
              <w:t xml:space="preserve">Little to </w:t>
            </w:r>
          </w:p>
          <w:p w14:paraId="24F78BA7" w14:textId="77777777" w:rsidR="00F817D3" w:rsidRPr="00F817D3" w:rsidRDefault="00B929EA" w:rsidP="00B929EA">
            <w:pPr>
              <w:ind w:right="-153"/>
              <w:jc w:val="center"/>
              <w:cnfStyle w:val="100000000000" w:firstRow="1" w:lastRow="0" w:firstColumn="0" w:lastColumn="0" w:oddVBand="0" w:evenVBand="0" w:oddHBand="0" w:evenHBand="0" w:firstRowFirstColumn="0" w:firstRowLastColumn="0" w:lastRowFirstColumn="0" w:lastRowLastColumn="0"/>
            </w:pPr>
            <w:r>
              <w:t>No Progress</w:t>
            </w:r>
          </w:p>
        </w:tc>
        <w:tc>
          <w:tcPr>
            <w:tcW w:w="1350" w:type="dxa"/>
          </w:tcPr>
          <w:p w14:paraId="47B53F4A" w14:textId="77777777" w:rsidR="00F817D3" w:rsidRPr="00F817D3" w:rsidRDefault="00F817D3" w:rsidP="00B929EA">
            <w:pPr>
              <w:jc w:val="center"/>
              <w:cnfStyle w:val="100000000000" w:firstRow="1" w:lastRow="0" w:firstColumn="0" w:lastColumn="0" w:oddVBand="0" w:evenVBand="0" w:oddHBand="0" w:evenHBand="0" w:firstRowFirstColumn="0" w:firstRowLastColumn="0" w:lastRowFirstColumn="0" w:lastRowLastColumn="0"/>
            </w:pPr>
            <w:r w:rsidRPr="00F817D3">
              <w:t>Fair Pr</w:t>
            </w:r>
            <w:r w:rsidR="00B929EA">
              <w:t>ogress</w:t>
            </w:r>
          </w:p>
        </w:tc>
        <w:tc>
          <w:tcPr>
            <w:tcW w:w="1440" w:type="dxa"/>
          </w:tcPr>
          <w:p w14:paraId="0F49C783" w14:textId="77777777" w:rsidR="00F817D3" w:rsidRPr="00F817D3" w:rsidRDefault="00F817D3" w:rsidP="00B929EA">
            <w:pPr>
              <w:jc w:val="center"/>
              <w:cnfStyle w:val="100000000000" w:firstRow="1" w:lastRow="0" w:firstColumn="0" w:lastColumn="0" w:oddVBand="0" w:evenVBand="0" w:oddHBand="0" w:evenHBand="0" w:firstRowFirstColumn="0" w:firstRowLastColumn="0" w:lastRowFirstColumn="0" w:lastRowLastColumn="0"/>
            </w:pPr>
            <w:r w:rsidRPr="00F817D3">
              <w:t>Good Pr</w:t>
            </w:r>
            <w:r w:rsidR="00B929EA">
              <w:t>ogress</w:t>
            </w:r>
          </w:p>
        </w:tc>
        <w:tc>
          <w:tcPr>
            <w:tcW w:w="1595" w:type="dxa"/>
          </w:tcPr>
          <w:p w14:paraId="1C77A6F6" w14:textId="77777777" w:rsidR="00F817D3" w:rsidRPr="00F817D3" w:rsidRDefault="00F817D3" w:rsidP="00B929EA">
            <w:pPr>
              <w:jc w:val="center"/>
              <w:cnfStyle w:val="100000000000" w:firstRow="1" w:lastRow="0" w:firstColumn="0" w:lastColumn="0" w:oddVBand="0" w:evenVBand="0" w:oddHBand="0" w:evenHBand="0" w:firstRowFirstColumn="0" w:firstRowLastColumn="0" w:lastRowFirstColumn="0" w:lastRowLastColumn="0"/>
            </w:pPr>
            <w:r w:rsidRPr="00F817D3">
              <w:t>Ex</w:t>
            </w:r>
            <w:r w:rsidR="00B929EA">
              <w:t>ceptional Progress</w:t>
            </w:r>
          </w:p>
        </w:tc>
      </w:tr>
      <w:tr w:rsidR="00F817D3" w:rsidRPr="00F817D3" w14:paraId="5547B2BA" w14:textId="77777777" w:rsidTr="00091E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Pr>
          <w:p w14:paraId="63EAD529" w14:textId="77777777" w:rsidR="00F817D3" w:rsidRPr="00F56D73" w:rsidRDefault="00F817D3" w:rsidP="007B2463">
            <w:pPr>
              <w:jc w:val="center"/>
              <w:rPr>
                <w:sz w:val="22"/>
                <w:szCs w:val="22"/>
              </w:rPr>
            </w:pPr>
            <w:r w:rsidRPr="00F56D73">
              <w:rPr>
                <w:sz w:val="22"/>
                <w:szCs w:val="22"/>
              </w:rPr>
              <w:t>1</w:t>
            </w:r>
          </w:p>
        </w:tc>
        <w:tc>
          <w:tcPr>
            <w:tcW w:w="1748" w:type="dxa"/>
          </w:tcPr>
          <w:p w14:paraId="43007696" w14:textId="77777777" w:rsidR="00F817D3" w:rsidRPr="00F56D73" w:rsidRDefault="00F817D3" w:rsidP="007B2463">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56D73">
              <w:rPr>
                <w:b/>
                <w:sz w:val="22"/>
                <w:szCs w:val="22"/>
              </w:rPr>
              <w:t>2</w:t>
            </w:r>
          </w:p>
        </w:tc>
        <w:tc>
          <w:tcPr>
            <w:tcW w:w="1350" w:type="dxa"/>
          </w:tcPr>
          <w:p w14:paraId="03D23987" w14:textId="77777777" w:rsidR="00F817D3" w:rsidRPr="00F56D73" w:rsidRDefault="00F817D3" w:rsidP="007B2463">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56D73">
              <w:rPr>
                <w:b/>
                <w:sz w:val="22"/>
                <w:szCs w:val="22"/>
              </w:rPr>
              <w:t>3</w:t>
            </w:r>
          </w:p>
        </w:tc>
        <w:tc>
          <w:tcPr>
            <w:tcW w:w="1440" w:type="dxa"/>
          </w:tcPr>
          <w:p w14:paraId="32F5AC23" w14:textId="77777777" w:rsidR="00F817D3" w:rsidRPr="00F56D73" w:rsidRDefault="00F817D3" w:rsidP="007B2463">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56D73">
              <w:rPr>
                <w:b/>
                <w:sz w:val="22"/>
                <w:szCs w:val="22"/>
              </w:rPr>
              <w:t>4</w:t>
            </w:r>
          </w:p>
        </w:tc>
        <w:tc>
          <w:tcPr>
            <w:tcW w:w="1595" w:type="dxa"/>
          </w:tcPr>
          <w:p w14:paraId="15D9881E" w14:textId="77777777" w:rsidR="00F817D3" w:rsidRPr="00F56D73" w:rsidRDefault="00F817D3" w:rsidP="007B2463">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56D73">
              <w:rPr>
                <w:b/>
                <w:sz w:val="22"/>
                <w:szCs w:val="22"/>
              </w:rPr>
              <w:t>5</w:t>
            </w:r>
          </w:p>
        </w:tc>
      </w:tr>
    </w:tbl>
    <w:p w14:paraId="4A074089" w14:textId="77777777" w:rsidR="00CD28C2" w:rsidRDefault="00CD28C2" w:rsidP="005432D4"/>
    <w:p w14:paraId="5E30115F" w14:textId="77777777" w:rsidR="008422F1" w:rsidRPr="006A150E" w:rsidRDefault="00011327" w:rsidP="00BB5469">
      <w:pPr>
        <w:pStyle w:val="Heading2"/>
        <w:spacing w:before="240" w:after="40"/>
      </w:pPr>
      <w:bookmarkStart w:id="13" w:name="_Toc22632479"/>
      <w:r w:rsidRPr="006A150E">
        <w:lastRenderedPageBreak/>
        <w:t>MPR Methodology</w:t>
      </w:r>
      <w:bookmarkEnd w:id="13"/>
    </w:p>
    <w:p w14:paraId="751761FE" w14:textId="77777777" w:rsidR="004E1EF8" w:rsidRPr="00D10944" w:rsidRDefault="004E1EF8" w:rsidP="00F56D73">
      <w:pPr>
        <w:pStyle w:val="Heading3"/>
        <w:spacing w:after="20"/>
        <w:jc w:val="left"/>
      </w:pPr>
      <w:bookmarkStart w:id="14" w:name="_Toc491863257"/>
      <w:bookmarkStart w:id="15" w:name="_Toc22632480"/>
      <w:r w:rsidRPr="00D10944">
        <w:t>Review Team</w:t>
      </w:r>
      <w:bookmarkEnd w:id="14"/>
      <w:bookmarkEnd w:id="15"/>
    </w:p>
    <w:p w14:paraId="1D17507A" w14:textId="2A005A46" w:rsidR="00955A48" w:rsidRDefault="001E0B5E" w:rsidP="008832A1">
      <w:r>
        <w:t>The</w:t>
      </w:r>
      <w:r w:rsidR="004E1EF8">
        <w:t xml:space="preserve"> Technical Assistance Collaborative, Inc. (TAC), </w:t>
      </w:r>
      <w:r>
        <w:t xml:space="preserve">MassHealth’s MPR review contractor, </w:t>
      </w:r>
      <w:r w:rsidR="004E1EF8">
        <w:t>recruit</w:t>
      </w:r>
      <w:r>
        <w:t>s</w:t>
      </w:r>
      <w:r w:rsidR="004E1EF8">
        <w:t xml:space="preserve"> and maintains a </w:t>
      </w:r>
      <w:r w:rsidR="00F17F3A">
        <w:rPr>
          <w:color w:val="000000"/>
          <w:spacing w:val="-4"/>
        </w:rPr>
        <w:t xml:space="preserve">core </w:t>
      </w:r>
      <w:r w:rsidR="00551B22" w:rsidRPr="00F17F3A">
        <w:rPr>
          <w:color w:val="000000"/>
          <w:spacing w:val="-4"/>
        </w:rPr>
        <w:t xml:space="preserve">team of qualified </w:t>
      </w:r>
      <w:r w:rsidR="004E1EF8">
        <w:rPr>
          <w:color w:val="000000"/>
          <w:spacing w:val="-4"/>
        </w:rPr>
        <w:t xml:space="preserve">MPR </w:t>
      </w:r>
      <w:r w:rsidR="00551B22" w:rsidRPr="00F17F3A">
        <w:rPr>
          <w:color w:val="000000"/>
          <w:spacing w:val="-4"/>
        </w:rPr>
        <w:t xml:space="preserve">reviewers </w:t>
      </w:r>
      <w:r w:rsidR="00F17F3A">
        <w:rPr>
          <w:color w:val="000000"/>
          <w:spacing w:val="-4"/>
        </w:rPr>
        <w:t xml:space="preserve">with </w:t>
      </w:r>
      <w:r w:rsidR="00551B22" w:rsidRPr="00F17F3A">
        <w:rPr>
          <w:color w:val="000000"/>
          <w:spacing w:val="-4"/>
        </w:rPr>
        <w:t xml:space="preserve">strong clinical understanding, </w:t>
      </w:r>
      <w:r w:rsidR="00F17F3A">
        <w:rPr>
          <w:color w:val="000000"/>
          <w:spacing w:val="-4"/>
        </w:rPr>
        <w:t xml:space="preserve">and </w:t>
      </w:r>
      <w:r w:rsidR="00551B22" w:rsidRPr="00F17F3A">
        <w:rPr>
          <w:color w:val="000000"/>
          <w:spacing w:val="-4"/>
        </w:rPr>
        <w:t>appreciation for System of Care (SOC) principles and the design of MassHealth’s CBHI service system, a</w:t>
      </w:r>
      <w:r w:rsidR="00F17F3A">
        <w:rPr>
          <w:color w:val="000000"/>
          <w:spacing w:val="-4"/>
        </w:rPr>
        <w:t xml:space="preserve">s well as </w:t>
      </w:r>
      <w:r w:rsidR="004C5EB5">
        <w:rPr>
          <w:color w:val="000000"/>
          <w:spacing w:val="-4"/>
        </w:rPr>
        <w:t>sound</w:t>
      </w:r>
      <w:r w:rsidR="00F17F3A">
        <w:rPr>
          <w:color w:val="000000"/>
          <w:spacing w:val="-4"/>
        </w:rPr>
        <w:t xml:space="preserve"> </w:t>
      </w:r>
      <w:r w:rsidR="00551B22" w:rsidRPr="00F17F3A">
        <w:rPr>
          <w:color w:val="000000"/>
          <w:spacing w:val="-4"/>
        </w:rPr>
        <w:t xml:space="preserve">interviewing skills. </w:t>
      </w:r>
      <w:r w:rsidR="00C45C0D">
        <w:t>Training for reviewers</w:t>
      </w:r>
      <w:r w:rsidR="00630972" w:rsidRPr="00E34B9D">
        <w:t xml:space="preserve"> consist</w:t>
      </w:r>
      <w:r w:rsidR="004E1EF8">
        <w:t>s</w:t>
      </w:r>
      <w:r w:rsidR="00630972" w:rsidRPr="00E34B9D">
        <w:t xml:space="preserve"> of didactic presentation, role playing, and experiential scoring. </w:t>
      </w:r>
      <w:r w:rsidR="006A150E">
        <w:t>R</w:t>
      </w:r>
      <w:r w:rsidR="00C45C0D">
        <w:t xml:space="preserve">eviewers </w:t>
      </w:r>
      <w:r>
        <w:t xml:space="preserve">also </w:t>
      </w:r>
      <w:r w:rsidR="00C45C0D">
        <w:t xml:space="preserve">have the opportunity to shadow one another for ongoing learning and development. </w:t>
      </w:r>
    </w:p>
    <w:p w14:paraId="22770DE5" w14:textId="133A8D5E" w:rsidR="00955A48" w:rsidRDefault="0025134A" w:rsidP="00F56D73">
      <w:pPr>
        <w:pStyle w:val="Heading3"/>
        <w:spacing w:after="20"/>
        <w:jc w:val="left"/>
      </w:pPr>
      <w:bookmarkStart w:id="16" w:name="_Toc491863258"/>
      <w:bookmarkStart w:id="17" w:name="_Toc22632481"/>
      <w:r>
        <w:t>FY 19</w:t>
      </w:r>
      <w:r w:rsidR="006C5E7B">
        <w:t xml:space="preserve"> </w:t>
      </w:r>
      <w:r w:rsidR="004E1EF8">
        <w:t>Provider Sampling &amp; Selection</w:t>
      </w:r>
      <w:bookmarkEnd w:id="16"/>
      <w:bookmarkEnd w:id="17"/>
    </w:p>
    <w:p w14:paraId="4C5CDF29" w14:textId="29D1203A" w:rsidR="00906775" w:rsidRPr="005B7C3D" w:rsidRDefault="00906775" w:rsidP="00906775">
      <w:r w:rsidRPr="005B7C3D">
        <w:t xml:space="preserve">The Commonwealth </w:t>
      </w:r>
      <w:r w:rsidR="00A14110" w:rsidRPr="005B7C3D">
        <w:t>conduct</w:t>
      </w:r>
      <w:r w:rsidR="00A14110">
        <w:t>s</w:t>
      </w:r>
      <w:r w:rsidR="00A14110" w:rsidRPr="005B7C3D">
        <w:t xml:space="preserve"> </w:t>
      </w:r>
      <w:r w:rsidR="00BE657A">
        <w:t>at least 120 MPR reviews of IHT and ICC</w:t>
      </w:r>
      <w:r w:rsidRPr="005B7C3D">
        <w:t xml:space="preserve"> services </w:t>
      </w:r>
      <w:r w:rsidRPr="00F876BC">
        <w:t xml:space="preserve">annually. </w:t>
      </w:r>
      <w:r w:rsidR="00BE657A" w:rsidRPr="00F876BC">
        <w:t xml:space="preserve">Two MPR reviews are conducted </w:t>
      </w:r>
      <w:r w:rsidR="00497D9C" w:rsidRPr="00F876BC">
        <w:t>from each of the 32 CSA</w:t>
      </w:r>
      <w:r w:rsidR="001E0B5E" w:rsidRPr="00F876BC">
        <w:t>s</w:t>
      </w:r>
      <w:r w:rsidR="00497D9C" w:rsidRPr="00F876BC">
        <w:t xml:space="preserve"> (64 reviews in total).</w:t>
      </w:r>
      <w:r w:rsidR="003428A5" w:rsidRPr="00F876BC">
        <w:t xml:space="preserve"> In FY 201</w:t>
      </w:r>
      <w:r w:rsidR="0025134A">
        <w:t xml:space="preserve">9, </w:t>
      </w:r>
      <w:r w:rsidR="00A96B12" w:rsidRPr="00F876BC">
        <w:t>61</w:t>
      </w:r>
      <w:r w:rsidR="003428A5" w:rsidRPr="00F876BC">
        <w:t xml:space="preserve"> ICC reviews were completed.</w:t>
      </w:r>
      <w:r w:rsidR="00497D9C" w:rsidRPr="00F876BC">
        <w:t xml:space="preserve"> </w:t>
      </w:r>
      <w:r w:rsidR="00F876BC" w:rsidRPr="00F876BC">
        <w:t>For IHT, 25</w:t>
      </w:r>
      <w:r w:rsidR="00BE657A" w:rsidRPr="00F876BC">
        <w:t xml:space="preserve"> p</w:t>
      </w:r>
      <w:r w:rsidR="00C071EB" w:rsidRPr="00F876BC">
        <w:t xml:space="preserve">rovider sites </w:t>
      </w:r>
      <w:r w:rsidR="00CD28C2" w:rsidRPr="00F876BC">
        <w:t xml:space="preserve">out of </w:t>
      </w:r>
      <w:r w:rsidR="00F876BC" w:rsidRPr="00F876BC">
        <w:t>164</w:t>
      </w:r>
      <w:r w:rsidR="00CD28C2" w:rsidRPr="00F876BC">
        <w:t xml:space="preserve"> sites statewide</w:t>
      </w:r>
      <w:r w:rsidR="000E7A5C" w:rsidRPr="00F876BC">
        <w:t xml:space="preserve"> </w:t>
      </w:r>
      <w:r w:rsidR="00C071EB" w:rsidRPr="00F876BC">
        <w:t xml:space="preserve">(63 reviews in total) </w:t>
      </w:r>
      <w:r w:rsidR="00C071EB" w:rsidRPr="00A96B12">
        <w:t>were</w:t>
      </w:r>
      <w:r w:rsidR="002C3F6A" w:rsidRPr="00A96B12">
        <w:t xml:space="preserve"> sampled</w:t>
      </w:r>
      <w:r w:rsidR="00A96B12">
        <w:t xml:space="preserve"> in FY 2019</w:t>
      </w:r>
      <w:r w:rsidR="00A96B12" w:rsidRPr="00A96B12">
        <w:t>, with 62</w:t>
      </w:r>
      <w:r w:rsidR="002C3F6A" w:rsidRPr="00A96B12">
        <w:t xml:space="preserve"> IHT reviews completed</w:t>
      </w:r>
      <w:r w:rsidR="00497D9C" w:rsidRPr="00A96B12">
        <w:t xml:space="preserve">. </w:t>
      </w:r>
      <w:r w:rsidR="00BE657A" w:rsidRPr="00A96B12">
        <w:t>IHT provider selection and s</w:t>
      </w:r>
      <w:r w:rsidR="00497D9C" w:rsidRPr="00A96B12">
        <w:t>tratific</w:t>
      </w:r>
      <w:r w:rsidR="00BE657A" w:rsidRPr="00A96B12">
        <w:t>ation is based on both capacity</w:t>
      </w:r>
      <w:r w:rsidR="00CB1A73">
        <w:t xml:space="preserve"> and location.</w:t>
      </w:r>
      <w:r w:rsidR="00497D9C" w:rsidRPr="00A96B12">
        <w:t xml:space="preserve"> </w:t>
      </w:r>
      <w:r w:rsidR="00BE657A" w:rsidRPr="00A96B12">
        <w:t xml:space="preserve">That is, </w:t>
      </w:r>
      <w:r w:rsidRPr="00A96B12">
        <w:t>all of the state’s IHT providers are sorted by their total capacity and location prior</w:t>
      </w:r>
      <w:r w:rsidRPr="005B7C3D">
        <w:t xml:space="preserve"> to being randomly sampled. Providers are stratified in this way to ensure that high volume providers have more reviews completed than low volume providers, and that reviews aren't concentrated in one area of the state.</w:t>
      </w:r>
    </w:p>
    <w:p w14:paraId="21EA00FD" w14:textId="77777777" w:rsidR="00906775" w:rsidRPr="005B7C3D" w:rsidRDefault="00906775" w:rsidP="00F56D73">
      <w:pPr>
        <w:pStyle w:val="Heading3"/>
        <w:spacing w:after="20"/>
        <w:jc w:val="left"/>
      </w:pPr>
      <w:bookmarkStart w:id="18" w:name="_Toc491863259"/>
      <w:bookmarkStart w:id="19" w:name="_Toc22632482"/>
      <w:r w:rsidRPr="005B7C3D">
        <w:t>Youth Sampling, Consent &amp; Interview Process</w:t>
      </w:r>
      <w:bookmarkEnd w:id="18"/>
      <w:bookmarkEnd w:id="19"/>
    </w:p>
    <w:p w14:paraId="29349C44" w14:textId="51B6401D" w:rsidR="00906775" w:rsidRPr="005C78C4" w:rsidRDefault="00906775" w:rsidP="005C78C4">
      <w:r w:rsidRPr="005B7C3D">
        <w:t xml:space="preserve">Once </w:t>
      </w:r>
      <w:r w:rsidR="001E0B5E">
        <w:t xml:space="preserve">the </w:t>
      </w:r>
      <w:r w:rsidRPr="005B7C3D">
        <w:t xml:space="preserve">provider </w:t>
      </w:r>
      <w:r w:rsidR="00497D9C">
        <w:t>sites were determined</w:t>
      </w:r>
      <w:r w:rsidR="00A24EA1">
        <w:t xml:space="preserve"> as described above, </w:t>
      </w:r>
      <w:r>
        <w:t xml:space="preserve">enrolled youth </w:t>
      </w:r>
      <w:r w:rsidR="00497D9C">
        <w:t xml:space="preserve">at those sites </w:t>
      </w:r>
      <w:r w:rsidRPr="005B7C3D">
        <w:t>are randomly selected to participate.</w:t>
      </w:r>
      <w:r>
        <w:t xml:space="preserve"> </w:t>
      </w:r>
      <w:r w:rsidR="001E0B5E">
        <w:t>Youth who are concurrently enrolled in ICC are ineligible for</w:t>
      </w:r>
      <w:r w:rsidR="00B874D6">
        <w:t xml:space="preserve"> an</w:t>
      </w:r>
      <w:r w:rsidR="001E0B5E">
        <w:t xml:space="preserve"> IHT MPR review</w:t>
      </w:r>
      <w:r w:rsidR="00A24EA1">
        <w:t xml:space="preserve"> in order to evaluate IHT as a “hub” of care coordination for that youth</w:t>
      </w:r>
      <w:r w:rsidR="005C78C4">
        <w:t xml:space="preserve">. </w:t>
      </w:r>
      <w:r w:rsidRPr="005B7C3D">
        <w:t>Providers are trained on the MPR process, obtaining informed consent</w:t>
      </w:r>
      <w:r w:rsidR="00A24EA1">
        <w:t xml:space="preserve"> of participants</w:t>
      </w:r>
      <w:r w:rsidRPr="005B7C3D">
        <w:t xml:space="preserve">, </w:t>
      </w:r>
      <w:r w:rsidR="00A24EA1">
        <w:t xml:space="preserve">and </w:t>
      </w:r>
      <w:r w:rsidRPr="005B7C3D">
        <w:t>MPR scheduling procedures</w:t>
      </w:r>
      <w:r w:rsidR="00A24EA1">
        <w:t>.</w:t>
      </w:r>
      <w:r w:rsidR="005C78C4">
        <w:t xml:space="preserve"> </w:t>
      </w:r>
    </w:p>
    <w:p w14:paraId="6F3642E4" w14:textId="77777777" w:rsidR="006C5E7B" w:rsidRDefault="006C5E7B" w:rsidP="004E1EF8"/>
    <w:p w14:paraId="0FB113CD" w14:textId="19EA49A1" w:rsidR="001E0B5E" w:rsidRDefault="001E0B5E" w:rsidP="004E1EF8">
      <w:r>
        <w:t>After obtaining</w:t>
      </w:r>
      <w:r w:rsidR="00E7286C">
        <w:t xml:space="preserve"> informed consent to participate, </w:t>
      </w:r>
      <w:r w:rsidR="00A073B3">
        <w:t xml:space="preserve">the </w:t>
      </w:r>
      <w:r w:rsidR="0092166C">
        <w:t>reviewers</w:t>
      </w:r>
      <w:r w:rsidR="00A073B3">
        <w:t xml:space="preserve"> </w:t>
      </w:r>
      <w:r>
        <w:t>review the c</w:t>
      </w:r>
      <w:r w:rsidR="00FC52C1">
        <w:t>linical</w:t>
      </w:r>
      <w:r>
        <w:t xml:space="preserve"> record at the provider agency, and </w:t>
      </w:r>
      <w:r w:rsidR="003428A5">
        <w:t>interview</w:t>
      </w:r>
      <w:r w:rsidR="00E7286C">
        <w:t xml:space="preserve"> </w:t>
      </w:r>
      <w:r w:rsidR="004E1EF8" w:rsidRPr="00311136">
        <w:t>key informants</w:t>
      </w:r>
      <w:r w:rsidR="00E7286C">
        <w:t>, including</w:t>
      </w:r>
      <w:r w:rsidR="004E1EF8" w:rsidRPr="00311136">
        <w:t>: 1) the parent</w:t>
      </w:r>
      <w:r w:rsidR="00E7286C">
        <w:t xml:space="preserve"> or </w:t>
      </w:r>
      <w:r w:rsidR="00CF09A5">
        <w:t>Caregiver</w:t>
      </w:r>
      <w:r w:rsidR="004E1EF8" w:rsidRPr="00311136">
        <w:t>; 2) the youth</w:t>
      </w:r>
      <w:r w:rsidR="004E1EF8">
        <w:t>,</w:t>
      </w:r>
      <w:r w:rsidR="004E1EF8" w:rsidRPr="00311136">
        <w:t xml:space="preserve"> if 12 or older; 3) the </w:t>
      </w:r>
      <w:r w:rsidR="00FC52C1">
        <w:t>In-Home Therapist (</w:t>
      </w:r>
      <w:r w:rsidR="004E1EF8" w:rsidRPr="00311136">
        <w:t>IHT</w:t>
      </w:r>
      <w:r w:rsidR="00FC52C1">
        <w:t>)</w:t>
      </w:r>
      <w:r w:rsidR="00E7286C">
        <w:t xml:space="preserve"> or </w:t>
      </w:r>
      <w:r w:rsidR="00C51FAB">
        <w:t>Intensive Care Coordinator (ICC)</w:t>
      </w:r>
      <w:r w:rsidR="004E1EF8" w:rsidRPr="00311136">
        <w:t>; and 4) up to 3 additiona</w:t>
      </w:r>
      <w:r>
        <w:t>l service</w:t>
      </w:r>
      <w:r w:rsidR="004E1EF8" w:rsidRPr="00311136">
        <w:t xml:space="preserve"> providers familiar with the care provided to the youth (e.g. family partner, DCF worker, outpatient therapist, etc.)</w:t>
      </w:r>
      <w:r w:rsidR="006A2932">
        <w:t>.</w:t>
      </w:r>
      <w:r w:rsidR="004E1EF8" w:rsidRPr="00311136">
        <w:t xml:space="preserve"> </w:t>
      </w:r>
      <w:r w:rsidR="0092166C">
        <w:t xml:space="preserve">An </w:t>
      </w:r>
      <w:r w:rsidR="004E1EF8" w:rsidRPr="00311136">
        <w:t xml:space="preserve">MPR </w:t>
      </w:r>
      <w:r w:rsidR="00EB40F6">
        <w:t xml:space="preserve">review is </w:t>
      </w:r>
      <w:r w:rsidR="004E1EF8" w:rsidRPr="00311136">
        <w:t>considered valid</w:t>
      </w:r>
      <w:r w:rsidR="00EB40F6">
        <w:t xml:space="preserve"> only if</w:t>
      </w:r>
      <w:r w:rsidR="00C51FAB">
        <w:t xml:space="preserve"> </w:t>
      </w:r>
      <w:r>
        <w:t xml:space="preserve">the record review and at least three additional interviews are completed. </w:t>
      </w:r>
      <w:r w:rsidR="00EB40F6">
        <w:t xml:space="preserve"> </w:t>
      </w:r>
    </w:p>
    <w:p w14:paraId="424111F2" w14:textId="1A507A99" w:rsidR="004E1EF8" w:rsidRPr="00311136" w:rsidRDefault="004E1EF8" w:rsidP="004E1EF8"/>
    <w:p w14:paraId="555A5924" w14:textId="452C2139" w:rsidR="006C5E7B" w:rsidRPr="000F713B" w:rsidRDefault="000F713B" w:rsidP="00D10944">
      <w:pPr>
        <w:pStyle w:val="Heading3"/>
        <w:spacing w:after="20"/>
        <w:jc w:val="left"/>
      </w:pPr>
      <w:bookmarkStart w:id="20" w:name="_Toc491863261"/>
      <w:bookmarkStart w:id="21" w:name="_Toc22632483"/>
      <w:r>
        <w:t xml:space="preserve">Review Debriefings &amp; </w:t>
      </w:r>
      <w:r w:rsidRPr="000F713B">
        <w:t xml:space="preserve">Data </w:t>
      </w:r>
      <w:r>
        <w:t>Management/</w:t>
      </w:r>
      <w:r w:rsidRPr="000F713B">
        <w:t>Analysis</w:t>
      </w:r>
      <w:bookmarkEnd w:id="20"/>
      <w:bookmarkEnd w:id="21"/>
    </w:p>
    <w:p w14:paraId="061A9DF6" w14:textId="3DFA855A" w:rsidR="000F713B" w:rsidRDefault="000F713B" w:rsidP="000F713B">
      <w:pPr>
        <w:rPr>
          <w:spacing w:val="-4"/>
          <w:szCs w:val="22"/>
        </w:rPr>
      </w:pPr>
      <w:r>
        <w:rPr>
          <w:color w:val="000000"/>
          <w:spacing w:val="-4"/>
          <w:szCs w:val="22"/>
        </w:rPr>
        <w:t xml:space="preserve">Monthly meetings are facilitated during MPR review months, during which </w:t>
      </w:r>
      <w:r w:rsidR="006C5E7B" w:rsidRPr="00311136">
        <w:rPr>
          <w:color w:val="000000"/>
          <w:spacing w:val="-4"/>
          <w:szCs w:val="22"/>
        </w:rPr>
        <w:t xml:space="preserve">reviewers join MassHealth, TAC, </w:t>
      </w:r>
      <w:r w:rsidR="00F02BD5">
        <w:rPr>
          <w:color w:val="000000"/>
          <w:spacing w:val="-4"/>
          <w:szCs w:val="22"/>
        </w:rPr>
        <w:t>managed care entity’s</w:t>
      </w:r>
      <w:r w:rsidR="00F02BD5" w:rsidRPr="00311136">
        <w:rPr>
          <w:color w:val="000000"/>
          <w:spacing w:val="-4"/>
          <w:szCs w:val="22"/>
        </w:rPr>
        <w:t xml:space="preserve"> </w:t>
      </w:r>
      <w:r w:rsidR="006C5E7B" w:rsidRPr="00311136">
        <w:rPr>
          <w:color w:val="000000"/>
          <w:spacing w:val="-4"/>
          <w:szCs w:val="22"/>
        </w:rPr>
        <w:t xml:space="preserve">representatives, the </w:t>
      </w:r>
      <w:r w:rsidR="006C5E7B" w:rsidRPr="00666B15">
        <w:rPr>
          <w:i/>
          <w:color w:val="000000"/>
          <w:spacing w:val="-4"/>
          <w:szCs w:val="22"/>
        </w:rPr>
        <w:t xml:space="preserve">Rosie D. </w:t>
      </w:r>
      <w:r w:rsidR="006C5E7B" w:rsidRPr="00311136">
        <w:rPr>
          <w:color w:val="000000"/>
          <w:spacing w:val="-4"/>
          <w:szCs w:val="22"/>
        </w:rPr>
        <w:t xml:space="preserve">Court Monitor, and other system partners to debrief </w:t>
      </w:r>
      <w:r w:rsidR="006C5E7B">
        <w:rPr>
          <w:color w:val="000000"/>
          <w:spacing w:val="-4"/>
          <w:szCs w:val="22"/>
        </w:rPr>
        <w:t xml:space="preserve">on </w:t>
      </w:r>
      <w:r w:rsidR="001E0B5E">
        <w:rPr>
          <w:color w:val="000000"/>
          <w:spacing w:val="-4"/>
          <w:szCs w:val="22"/>
        </w:rPr>
        <w:t>the review findings</w:t>
      </w:r>
      <w:r w:rsidR="006C5E7B" w:rsidRPr="00311136">
        <w:rPr>
          <w:color w:val="000000"/>
          <w:spacing w:val="-4"/>
          <w:szCs w:val="22"/>
        </w:rPr>
        <w:t xml:space="preserve">. </w:t>
      </w:r>
      <w:r>
        <w:rPr>
          <w:color w:val="000000"/>
          <w:spacing w:val="-4"/>
          <w:szCs w:val="22"/>
        </w:rPr>
        <w:t>Re</w:t>
      </w:r>
      <w:r w:rsidR="006C5E7B" w:rsidRPr="00311136">
        <w:rPr>
          <w:spacing w:val="-4"/>
          <w:szCs w:val="22"/>
        </w:rPr>
        <w:t>levant historical, demographic, diagnostic, and service history</w:t>
      </w:r>
      <w:r>
        <w:rPr>
          <w:spacing w:val="-4"/>
          <w:szCs w:val="22"/>
        </w:rPr>
        <w:t xml:space="preserve"> of </w:t>
      </w:r>
      <w:r w:rsidR="00FC52C1">
        <w:rPr>
          <w:spacing w:val="-4"/>
          <w:szCs w:val="22"/>
        </w:rPr>
        <w:t>each</w:t>
      </w:r>
      <w:r>
        <w:rPr>
          <w:spacing w:val="-4"/>
          <w:szCs w:val="22"/>
        </w:rPr>
        <w:t xml:space="preserve"> youth/family are presented</w:t>
      </w:r>
      <w:r w:rsidR="006C5E7B" w:rsidRPr="00311136">
        <w:rPr>
          <w:spacing w:val="-4"/>
          <w:szCs w:val="22"/>
        </w:rPr>
        <w:t xml:space="preserve">, </w:t>
      </w:r>
      <w:r>
        <w:rPr>
          <w:spacing w:val="-4"/>
          <w:szCs w:val="22"/>
        </w:rPr>
        <w:t xml:space="preserve">followed by </w:t>
      </w:r>
      <w:r w:rsidR="006C5E7B" w:rsidRPr="00311136">
        <w:rPr>
          <w:spacing w:val="-4"/>
          <w:szCs w:val="22"/>
        </w:rPr>
        <w:t xml:space="preserve">in-depth discussion regarding practice strengths/challenges, </w:t>
      </w:r>
      <w:r w:rsidR="00FC52C1">
        <w:rPr>
          <w:spacing w:val="-4"/>
          <w:szCs w:val="22"/>
        </w:rPr>
        <w:t>and youth/family</w:t>
      </w:r>
      <w:r w:rsidR="006C5E7B" w:rsidRPr="00311136">
        <w:rPr>
          <w:spacing w:val="-4"/>
          <w:szCs w:val="22"/>
        </w:rPr>
        <w:t xml:space="preserve"> satisfaction with services and progress. </w:t>
      </w:r>
      <w:r>
        <w:rPr>
          <w:spacing w:val="-4"/>
          <w:szCs w:val="22"/>
        </w:rPr>
        <w:t xml:space="preserve">Reviews are </w:t>
      </w:r>
      <w:r w:rsidR="006C5E7B">
        <w:rPr>
          <w:spacing w:val="-4"/>
          <w:szCs w:val="22"/>
        </w:rPr>
        <w:t xml:space="preserve">scored </w:t>
      </w:r>
      <w:r w:rsidR="006C5E7B" w:rsidRPr="00311136">
        <w:rPr>
          <w:spacing w:val="-4"/>
          <w:szCs w:val="22"/>
        </w:rPr>
        <w:t>in advance, enabl</w:t>
      </w:r>
      <w:r>
        <w:rPr>
          <w:spacing w:val="-4"/>
          <w:szCs w:val="22"/>
        </w:rPr>
        <w:t>ing</w:t>
      </w:r>
      <w:r w:rsidR="006C5E7B" w:rsidRPr="00311136">
        <w:rPr>
          <w:spacing w:val="-4"/>
          <w:szCs w:val="22"/>
        </w:rPr>
        <w:t xml:space="preserve"> </w:t>
      </w:r>
      <w:r>
        <w:rPr>
          <w:spacing w:val="-4"/>
          <w:szCs w:val="22"/>
        </w:rPr>
        <w:t>a review of scoring accuracy based on the information presented</w:t>
      </w:r>
      <w:r w:rsidR="006C5E7B" w:rsidRPr="00311136">
        <w:rPr>
          <w:spacing w:val="-4"/>
          <w:szCs w:val="22"/>
        </w:rPr>
        <w:t xml:space="preserve">. </w:t>
      </w:r>
    </w:p>
    <w:p w14:paraId="462A9EB7" w14:textId="77777777" w:rsidR="000F713B" w:rsidRDefault="000F713B" w:rsidP="000F713B">
      <w:pPr>
        <w:rPr>
          <w:spacing w:val="-4"/>
          <w:szCs w:val="22"/>
        </w:rPr>
      </w:pPr>
    </w:p>
    <w:p w14:paraId="6C179CBB" w14:textId="3ED12E62" w:rsidR="0049433A" w:rsidRDefault="001A7A40" w:rsidP="00C75985">
      <w:r>
        <w:t xml:space="preserve">The reviewers enter the </w:t>
      </w:r>
      <w:r w:rsidR="000F713B">
        <w:t>MPR data into a HIPAA-compliant database</w:t>
      </w:r>
      <w:r w:rsidR="001E0B5E">
        <w:t>. TAC</w:t>
      </w:r>
      <w:r w:rsidR="000F713B">
        <w:t xml:space="preserve"> </w:t>
      </w:r>
      <w:r w:rsidR="001E0B5E">
        <w:t xml:space="preserve">then </w:t>
      </w:r>
      <w:r w:rsidR="000F713B">
        <w:t>extrac</w:t>
      </w:r>
      <w:r w:rsidR="001E0B5E">
        <w:t>ts</w:t>
      </w:r>
      <w:r w:rsidR="000F713B">
        <w:t xml:space="preserve"> and analy</w:t>
      </w:r>
      <w:r w:rsidR="001E0B5E">
        <w:t>zes</w:t>
      </w:r>
      <w:r w:rsidR="000F713B">
        <w:t xml:space="preserve"> </w:t>
      </w:r>
      <w:r w:rsidR="001E0B5E">
        <w:t xml:space="preserve">the IHT and ICC </w:t>
      </w:r>
      <w:r w:rsidR="000F713B">
        <w:t>review</w:t>
      </w:r>
      <w:r w:rsidR="001E0B5E">
        <w:t>s</w:t>
      </w:r>
      <w:r w:rsidR="000F713B">
        <w:t xml:space="preserve"> </w:t>
      </w:r>
      <w:r>
        <w:t>separately</w:t>
      </w:r>
      <w:r w:rsidR="001E0B5E">
        <w:t xml:space="preserve">, and then holistically. </w:t>
      </w:r>
      <w:r w:rsidR="00952111">
        <w:t>That data is used to produce provider-level reports</w:t>
      </w:r>
      <w:r>
        <w:t xml:space="preserve"> that include a rating for each A</w:t>
      </w:r>
      <w:r w:rsidR="00952111">
        <w:t xml:space="preserve">rea </w:t>
      </w:r>
      <w:r>
        <w:t xml:space="preserve">of </w:t>
      </w:r>
      <w:r w:rsidR="00FC52C1">
        <w:t>Practice</w:t>
      </w:r>
      <w:r>
        <w:t xml:space="preserve"> and Area of Progress, </w:t>
      </w:r>
      <w:r w:rsidR="00952111">
        <w:t xml:space="preserve">as well as qualitative comments offering feedback on components of the work as well as </w:t>
      </w:r>
      <w:r w:rsidR="00B4232B">
        <w:t>performance</w:t>
      </w:r>
      <w:r w:rsidR="00952111">
        <w:t xml:space="preserve">. These reports are produced </w:t>
      </w:r>
      <w:r w:rsidR="00F4240D">
        <w:t>following each</w:t>
      </w:r>
      <w:r>
        <w:t xml:space="preserve"> monthly</w:t>
      </w:r>
      <w:r w:rsidR="00F4240D">
        <w:t xml:space="preserve"> debrief </w:t>
      </w:r>
      <w:r>
        <w:t>resulting in timely feedback for</w:t>
      </w:r>
      <w:r w:rsidR="00952111">
        <w:t xml:space="preserve"> providers. </w:t>
      </w:r>
    </w:p>
    <w:p w14:paraId="60E4B25C" w14:textId="77777777" w:rsidR="00C75985" w:rsidRDefault="00C75985" w:rsidP="00C75985"/>
    <w:p w14:paraId="409B5A26" w14:textId="77777777" w:rsidR="008832A1" w:rsidRPr="00402EDB" w:rsidRDefault="00F6424B" w:rsidP="00D10944">
      <w:pPr>
        <w:pStyle w:val="Heading1"/>
      </w:pPr>
      <w:bookmarkStart w:id="22" w:name="_Toc22632484"/>
      <w:r w:rsidRPr="00402EDB">
        <w:lastRenderedPageBreak/>
        <w:t>Quant</w:t>
      </w:r>
      <w:r w:rsidR="00EB05FF" w:rsidRPr="00402EDB">
        <w:t>itative Results</w:t>
      </w:r>
      <w:bookmarkEnd w:id="22"/>
    </w:p>
    <w:p w14:paraId="22DE3EC5" w14:textId="77777777" w:rsidR="00F77385" w:rsidRPr="00402EDB" w:rsidRDefault="00F77385" w:rsidP="00D10944">
      <w:pPr>
        <w:pStyle w:val="Heading2"/>
      </w:pPr>
      <w:bookmarkStart w:id="23" w:name="_Toc22632485"/>
      <w:r w:rsidRPr="00402EDB">
        <w:t>Select Demographic Characteristics</w:t>
      </w:r>
      <w:bookmarkEnd w:id="23"/>
    </w:p>
    <w:p w14:paraId="431AD2AC" w14:textId="15F96E2B" w:rsidR="00E20148" w:rsidRDefault="004627DB" w:rsidP="00C202ED">
      <w:pPr>
        <w:pStyle w:val="Heading3"/>
        <w:rPr>
          <w:rStyle w:val="Strong"/>
          <w:b/>
        </w:rPr>
      </w:pPr>
      <w:bookmarkStart w:id="24" w:name="_Toc22632486"/>
      <w:r w:rsidRPr="00283716">
        <w:rPr>
          <w:rStyle w:val="Strong"/>
          <w:b/>
        </w:rPr>
        <w:t xml:space="preserve">Table </w:t>
      </w:r>
      <w:r w:rsidR="00A4205B">
        <w:rPr>
          <w:rStyle w:val="Strong"/>
          <w:b/>
        </w:rPr>
        <w:t>5</w:t>
      </w:r>
      <w:r w:rsidRPr="00283716">
        <w:rPr>
          <w:rStyle w:val="Strong"/>
          <w:b/>
        </w:rPr>
        <w:t>: Demographic</w:t>
      </w:r>
      <w:r w:rsidR="008D2485" w:rsidRPr="00283716">
        <w:rPr>
          <w:rStyle w:val="Strong"/>
          <w:b/>
        </w:rPr>
        <w:t>s of Youth/Families Reviewed</w:t>
      </w:r>
      <w:bookmarkEnd w:id="24"/>
    </w:p>
    <w:tbl>
      <w:tblPr>
        <w:tblStyle w:val="GridTable5Dark-Accent21"/>
        <w:tblW w:w="10795" w:type="dxa"/>
        <w:tblLayout w:type="fixed"/>
        <w:tblLook w:val="04A0" w:firstRow="1" w:lastRow="0" w:firstColumn="1" w:lastColumn="0" w:noHBand="0" w:noVBand="1"/>
      </w:tblPr>
      <w:tblGrid>
        <w:gridCol w:w="1764"/>
        <w:gridCol w:w="1980"/>
        <w:gridCol w:w="810"/>
        <w:gridCol w:w="774"/>
        <w:gridCol w:w="1656"/>
        <w:gridCol w:w="2371"/>
        <w:gridCol w:w="720"/>
        <w:gridCol w:w="720"/>
      </w:tblGrid>
      <w:tr w:rsidR="004C0F4E" w:rsidRPr="000D1DF9" w14:paraId="61250ADD" w14:textId="77777777" w:rsidTr="00A96B12">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0795" w:type="dxa"/>
            <w:gridSpan w:val="8"/>
            <w:tcBorders>
              <w:top w:val="none" w:sz="0" w:space="0" w:color="auto"/>
              <w:left w:val="none" w:sz="0" w:space="0" w:color="auto"/>
              <w:right w:val="none" w:sz="0" w:space="0" w:color="auto"/>
            </w:tcBorders>
          </w:tcPr>
          <w:p w14:paraId="7710F8C8" w14:textId="77777777" w:rsidR="004C0F4E" w:rsidRPr="009B1E9F" w:rsidRDefault="004C0F4E" w:rsidP="004C0F4E">
            <w:pPr>
              <w:ind w:left="3672"/>
              <w:rPr>
                <w:b w:val="0"/>
                <w:color w:val="FFFFFF"/>
                <w:sz w:val="20"/>
                <w:szCs w:val="20"/>
              </w:rPr>
            </w:pPr>
            <w:r w:rsidRPr="009B1E9F">
              <w:rPr>
                <w:bCs w:val="0"/>
                <w:color w:val="FFFFFF"/>
                <w:sz w:val="20"/>
                <w:szCs w:val="20"/>
              </w:rPr>
              <w:t xml:space="preserve">      (n)            %                                                                                                   </w:t>
            </w:r>
            <w:r>
              <w:rPr>
                <w:bCs w:val="0"/>
                <w:color w:val="FFFFFF"/>
                <w:sz w:val="20"/>
                <w:szCs w:val="20"/>
              </w:rPr>
              <w:t xml:space="preserve">   </w:t>
            </w:r>
            <w:r w:rsidRPr="009B1E9F">
              <w:rPr>
                <w:bCs w:val="0"/>
                <w:color w:val="FFFFFF"/>
                <w:sz w:val="20"/>
                <w:szCs w:val="20"/>
              </w:rPr>
              <w:t xml:space="preserve">(n)          %                                       </w:t>
            </w:r>
          </w:p>
        </w:tc>
      </w:tr>
      <w:tr w:rsidR="004C0F4E" w:rsidRPr="000D1DF9" w14:paraId="60A78024" w14:textId="77777777" w:rsidTr="00A96B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val="restart"/>
          </w:tcPr>
          <w:p w14:paraId="651EA403" w14:textId="77777777" w:rsidR="004C0F4E" w:rsidRPr="000D1DF9" w:rsidRDefault="004C0F4E" w:rsidP="004C0F4E">
            <w:pPr>
              <w:jc w:val="left"/>
              <w:rPr>
                <w:sz w:val="20"/>
              </w:rPr>
            </w:pPr>
            <w:r w:rsidRPr="000D1DF9">
              <w:rPr>
                <w:rFonts w:cs="Times New Roman"/>
                <w:w w:val="0"/>
                <w:sz w:val="20"/>
              </w:rPr>
              <w:t>Status of Case at Time of Review</w:t>
            </w:r>
          </w:p>
        </w:tc>
        <w:tc>
          <w:tcPr>
            <w:tcW w:w="1980" w:type="dxa"/>
          </w:tcPr>
          <w:p w14:paraId="6386FE39"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0D1DF9">
              <w:rPr>
                <w:sz w:val="20"/>
              </w:rPr>
              <w:t>Open</w:t>
            </w:r>
          </w:p>
        </w:tc>
        <w:tc>
          <w:tcPr>
            <w:tcW w:w="810" w:type="dxa"/>
          </w:tcPr>
          <w:p w14:paraId="4CD3C991" w14:textId="624B9498" w:rsidR="004C0F4E" w:rsidRPr="000D1DF9" w:rsidRDefault="00A96B12"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119</w:t>
            </w:r>
          </w:p>
        </w:tc>
        <w:tc>
          <w:tcPr>
            <w:tcW w:w="774" w:type="dxa"/>
          </w:tcPr>
          <w:p w14:paraId="73E898FD" w14:textId="6F110683" w:rsidR="004C0F4E" w:rsidRPr="000D1DF9" w:rsidRDefault="003A4193"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9</w:t>
            </w:r>
            <w:r w:rsidR="00A96B12">
              <w:rPr>
                <w:sz w:val="20"/>
              </w:rPr>
              <w:t>7%</w:t>
            </w:r>
          </w:p>
        </w:tc>
        <w:tc>
          <w:tcPr>
            <w:tcW w:w="1656" w:type="dxa"/>
            <w:vMerge w:val="restart"/>
            <w:shd w:val="clear" w:color="auto" w:fill="DD8047" w:themeFill="accent2"/>
          </w:tcPr>
          <w:p w14:paraId="3D420F88" w14:textId="77777777" w:rsidR="004C0F4E" w:rsidRPr="003972CA" w:rsidRDefault="004C0F4E" w:rsidP="004C0F4E">
            <w:pPr>
              <w:jc w:val="left"/>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sidRPr="003972CA">
              <w:rPr>
                <w:b/>
                <w:color w:val="FFFFFF" w:themeColor="background1"/>
                <w:sz w:val="20"/>
              </w:rPr>
              <w:t>Gender</w:t>
            </w:r>
          </w:p>
        </w:tc>
        <w:tc>
          <w:tcPr>
            <w:tcW w:w="2371" w:type="dxa"/>
          </w:tcPr>
          <w:p w14:paraId="2A5AA45B"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0D1DF9">
              <w:rPr>
                <w:sz w:val="20"/>
              </w:rPr>
              <w:t>Male</w:t>
            </w:r>
          </w:p>
        </w:tc>
        <w:tc>
          <w:tcPr>
            <w:tcW w:w="720" w:type="dxa"/>
          </w:tcPr>
          <w:p w14:paraId="726009A0" w14:textId="58DEFB12" w:rsidR="004C0F4E" w:rsidRPr="000D1DF9" w:rsidRDefault="00A96B12"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78</w:t>
            </w:r>
          </w:p>
        </w:tc>
        <w:tc>
          <w:tcPr>
            <w:tcW w:w="720" w:type="dxa"/>
          </w:tcPr>
          <w:p w14:paraId="695E45C5" w14:textId="202AFCFD" w:rsidR="004C0F4E" w:rsidRPr="000D1DF9" w:rsidRDefault="00504E94" w:rsidP="00504E94">
            <w:pPr>
              <w:jc w:val="center"/>
              <w:cnfStyle w:val="000000100000" w:firstRow="0" w:lastRow="0" w:firstColumn="0" w:lastColumn="0" w:oddVBand="0" w:evenVBand="0" w:oddHBand="1" w:evenHBand="0" w:firstRowFirstColumn="0" w:firstRowLastColumn="0" w:lastRowFirstColumn="0" w:lastRowLastColumn="0"/>
              <w:rPr>
                <w:sz w:val="20"/>
              </w:rPr>
            </w:pPr>
            <w:r>
              <w:rPr>
                <w:sz w:val="20"/>
              </w:rPr>
              <w:t>63</w:t>
            </w:r>
            <w:r w:rsidR="00A96B12">
              <w:rPr>
                <w:sz w:val="20"/>
              </w:rPr>
              <w:t>%</w:t>
            </w:r>
          </w:p>
        </w:tc>
      </w:tr>
      <w:tr w:rsidR="004C0F4E" w:rsidRPr="000D1DF9" w14:paraId="011B7F83" w14:textId="77777777" w:rsidTr="00A96B12">
        <w:trPr>
          <w:trHeight w:val="70"/>
        </w:trPr>
        <w:tc>
          <w:tcPr>
            <w:cnfStyle w:val="001000000000" w:firstRow="0" w:lastRow="0" w:firstColumn="1" w:lastColumn="0" w:oddVBand="0" w:evenVBand="0" w:oddHBand="0" w:evenHBand="0" w:firstRowFirstColumn="0" w:firstRowLastColumn="0" w:lastRowFirstColumn="0" w:lastRowLastColumn="0"/>
            <w:tcW w:w="1764" w:type="dxa"/>
            <w:vMerge/>
          </w:tcPr>
          <w:p w14:paraId="14EBBC4C" w14:textId="77777777" w:rsidR="004C0F4E" w:rsidRPr="000D1DF9" w:rsidRDefault="004C0F4E" w:rsidP="004C0F4E">
            <w:pPr>
              <w:jc w:val="left"/>
              <w:rPr>
                <w:sz w:val="20"/>
              </w:rPr>
            </w:pPr>
          </w:p>
        </w:tc>
        <w:tc>
          <w:tcPr>
            <w:tcW w:w="1980" w:type="dxa"/>
            <w:vMerge w:val="restart"/>
          </w:tcPr>
          <w:p w14:paraId="32A37392"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0D1DF9">
              <w:rPr>
                <w:sz w:val="20"/>
              </w:rPr>
              <w:t>Closed</w:t>
            </w:r>
          </w:p>
        </w:tc>
        <w:tc>
          <w:tcPr>
            <w:tcW w:w="810" w:type="dxa"/>
            <w:vMerge w:val="restart"/>
          </w:tcPr>
          <w:p w14:paraId="43957836" w14:textId="66C4C64E" w:rsidR="004C0F4E" w:rsidRPr="000D1DF9" w:rsidRDefault="00A96B12"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4</w:t>
            </w:r>
          </w:p>
        </w:tc>
        <w:tc>
          <w:tcPr>
            <w:tcW w:w="774" w:type="dxa"/>
            <w:vMerge w:val="restart"/>
          </w:tcPr>
          <w:p w14:paraId="58319718" w14:textId="13EEC379" w:rsidR="004C0F4E" w:rsidRPr="000D1DF9" w:rsidRDefault="003A4193" w:rsidP="003A4193">
            <w:pPr>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r w:rsidR="00A96B12">
              <w:rPr>
                <w:sz w:val="20"/>
              </w:rPr>
              <w:t>%</w:t>
            </w:r>
          </w:p>
        </w:tc>
        <w:tc>
          <w:tcPr>
            <w:tcW w:w="1656" w:type="dxa"/>
            <w:vMerge/>
            <w:shd w:val="clear" w:color="auto" w:fill="DD8047" w:themeFill="accent2"/>
          </w:tcPr>
          <w:p w14:paraId="017E47A5" w14:textId="77777777" w:rsidR="004C0F4E" w:rsidRPr="003972CA" w:rsidRDefault="004C0F4E" w:rsidP="004C0F4E">
            <w:pPr>
              <w:jc w:val="left"/>
              <w:cnfStyle w:val="000000000000" w:firstRow="0" w:lastRow="0" w:firstColumn="0" w:lastColumn="0" w:oddVBand="0" w:evenVBand="0" w:oddHBand="0" w:evenHBand="0" w:firstRowFirstColumn="0" w:firstRowLastColumn="0" w:lastRowFirstColumn="0" w:lastRowLastColumn="0"/>
              <w:rPr>
                <w:color w:val="FFFFFF" w:themeColor="background1"/>
                <w:sz w:val="20"/>
              </w:rPr>
            </w:pPr>
          </w:p>
        </w:tc>
        <w:tc>
          <w:tcPr>
            <w:tcW w:w="2371" w:type="dxa"/>
          </w:tcPr>
          <w:p w14:paraId="648F22D6"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0D1DF9">
              <w:rPr>
                <w:sz w:val="20"/>
              </w:rPr>
              <w:t>Female</w:t>
            </w:r>
          </w:p>
        </w:tc>
        <w:tc>
          <w:tcPr>
            <w:tcW w:w="720" w:type="dxa"/>
          </w:tcPr>
          <w:p w14:paraId="623857CA" w14:textId="1F3A0059" w:rsidR="004C0F4E" w:rsidRPr="000D1DF9" w:rsidRDefault="00A96B12"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43</w:t>
            </w:r>
          </w:p>
        </w:tc>
        <w:tc>
          <w:tcPr>
            <w:tcW w:w="720" w:type="dxa"/>
          </w:tcPr>
          <w:p w14:paraId="268CC2D7" w14:textId="0635BB19" w:rsidR="004C0F4E" w:rsidRPr="000D1DF9" w:rsidRDefault="00504E94"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35</w:t>
            </w:r>
            <w:r w:rsidR="00A96B12">
              <w:rPr>
                <w:sz w:val="20"/>
              </w:rPr>
              <w:t>%</w:t>
            </w:r>
          </w:p>
        </w:tc>
      </w:tr>
      <w:tr w:rsidR="004C0F4E" w:rsidRPr="000D1DF9" w14:paraId="08378DE4" w14:textId="77777777" w:rsidTr="00A96B1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64" w:type="dxa"/>
            <w:vMerge/>
          </w:tcPr>
          <w:p w14:paraId="16F76A0F" w14:textId="77777777" w:rsidR="004C0F4E" w:rsidRPr="000D1DF9" w:rsidRDefault="004C0F4E" w:rsidP="004C0F4E">
            <w:pPr>
              <w:jc w:val="left"/>
              <w:rPr>
                <w:sz w:val="20"/>
              </w:rPr>
            </w:pPr>
          </w:p>
        </w:tc>
        <w:tc>
          <w:tcPr>
            <w:tcW w:w="1980" w:type="dxa"/>
            <w:vMerge/>
          </w:tcPr>
          <w:p w14:paraId="2CAC6E09"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p>
        </w:tc>
        <w:tc>
          <w:tcPr>
            <w:tcW w:w="810" w:type="dxa"/>
            <w:vMerge/>
          </w:tcPr>
          <w:p w14:paraId="6E06112B" w14:textId="77777777" w:rsidR="004C0F4E"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p>
        </w:tc>
        <w:tc>
          <w:tcPr>
            <w:tcW w:w="774" w:type="dxa"/>
            <w:vMerge/>
          </w:tcPr>
          <w:p w14:paraId="79CD8229" w14:textId="77777777" w:rsidR="004C0F4E"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p>
        </w:tc>
        <w:tc>
          <w:tcPr>
            <w:tcW w:w="1656" w:type="dxa"/>
            <w:vMerge/>
            <w:shd w:val="clear" w:color="auto" w:fill="DD8047" w:themeFill="accent2"/>
          </w:tcPr>
          <w:p w14:paraId="5C0757E7" w14:textId="77777777" w:rsidR="004C0F4E" w:rsidRPr="003972CA" w:rsidRDefault="004C0F4E" w:rsidP="004C0F4E">
            <w:pPr>
              <w:jc w:val="left"/>
              <w:cnfStyle w:val="000000100000" w:firstRow="0" w:lastRow="0" w:firstColumn="0" w:lastColumn="0" w:oddVBand="0" w:evenVBand="0" w:oddHBand="1" w:evenHBand="0" w:firstRowFirstColumn="0" w:firstRowLastColumn="0" w:lastRowFirstColumn="0" w:lastRowLastColumn="0"/>
              <w:rPr>
                <w:color w:val="FFFFFF" w:themeColor="background1"/>
                <w:sz w:val="20"/>
              </w:rPr>
            </w:pPr>
          </w:p>
        </w:tc>
        <w:tc>
          <w:tcPr>
            <w:tcW w:w="2371" w:type="dxa"/>
          </w:tcPr>
          <w:p w14:paraId="20C4203F" w14:textId="77777777" w:rsidR="004C0F4E" w:rsidRPr="00634097"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634097">
              <w:rPr>
                <w:sz w:val="20"/>
              </w:rPr>
              <w:t>Other</w:t>
            </w:r>
          </w:p>
        </w:tc>
        <w:tc>
          <w:tcPr>
            <w:tcW w:w="720" w:type="dxa"/>
          </w:tcPr>
          <w:p w14:paraId="1F15D6DF" w14:textId="6D274C97" w:rsidR="004C0F4E" w:rsidRPr="00634097" w:rsidRDefault="00A96B12"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p>
        </w:tc>
        <w:tc>
          <w:tcPr>
            <w:tcW w:w="720" w:type="dxa"/>
          </w:tcPr>
          <w:p w14:paraId="23E0F584" w14:textId="483C2E21" w:rsidR="004C0F4E" w:rsidRPr="00634097" w:rsidRDefault="00504E94"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r w:rsidR="00A96B12">
              <w:rPr>
                <w:sz w:val="20"/>
              </w:rPr>
              <w:t>%</w:t>
            </w:r>
          </w:p>
        </w:tc>
      </w:tr>
      <w:tr w:rsidR="004C0F4E" w:rsidRPr="000D1DF9" w14:paraId="6F5E8128" w14:textId="77777777" w:rsidTr="00A96B12">
        <w:trPr>
          <w:trHeight w:val="20"/>
        </w:trPr>
        <w:tc>
          <w:tcPr>
            <w:cnfStyle w:val="001000000000" w:firstRow="0" w:lastRow="0" w:firstColumn="1" w:lastColumn="0" w:oddVBand="0" w:evenVBand="0" w:oddHBand="0" w:evenHBand="0" w:firstRowFirstColumn="0" w:firstRowLastColumn="0" w:lastRowFirstColumn="0" w:lastRowLastColumn="0"/>
            <w:tcW w:w="1764" w:type="dxa"/>
            <w:vMerge w:val="restart"/>
          </w:tcPr>
          <w:p w14:paraId="564B1B80" w14:textId="77777777" w:rsidR="004C0F4E" w:rsidRPr="000D1DF9" w:rsidRDefault="004C0F4E" w:rsidP="004C0F4E">
            <w:pPr>
              <w:jc w:val="left"/>
              <w:rPr>
                <w:sz w:val="20"/>
              </w:rPr>
            </w:pPr>
            <w:r w:rsidRPr="000D1DF9">
              <w:rPr>
                <w:sz w:val="20"/>
              </w:rPr>
              <w:t>Age of Youth</w:t>
            </w:r>
          </w:p>
        </w:tc>
        <w:tc>
          <w:tcPr>
            <w:tcW w:w="1980" w:type="dxa"/>
          </w:tcPr>
          <w:p w14:paraId="1A6AD5C5"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0D1DF9">
              <w:rPr>
                <w:sz w:val="20"/>
              </w:rPr>
              <w:t>0-4 years</w:t>
            </w:r>
          </w:p>
        </w:tc>
        <w:tc>
          <w:tcPr>
            <w:tcW w:w="810" w:type="dxa"/>
          </w:tcPr>
          <w:p w14:paraId="0F9798FF" w14:textId="6DFE5942" w:rsidR="004C0F4E" w:rsidRPr="000D1DF9" w:rsidRDefault="00A96B12"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w:t>
            </w:r>
          </w:p>
        </w:tc>
        <w:tc>
          <w:tcPr>
            <w:tcW w:w="774" w:type="dxa"/>
          </w:tcPr>
          <w:p w14:paraId="45D52B7A" w14:textId="32A58901" w:rsidR="004C0F4E" w:rsidRPr="000D1DF9" w:rsidRDefault="00A96B12"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w:t>
            </w:r>
          </w:p>
        </w:tc>
        <w:tc>
          <w:tcPr>
            <w:tcW w:w="1656" w:type="dxa"/>
            <w:vMerge w:val="restart"/>
            <w:shd w:val="clear" w:color="auto" w:fill="DD8047" w:themeFill="accent2"/>
          </w:tcPr>
          <w:p w14:paraId="1DF1D40B" w14:textId="77777777" w:rsidR="004C0F4E" w:rsidRPr="003972CA" w:rsidRDefault="004C0F4E" w:rsidP="004C0F4E">
            <w:pPr>
              <w:jc w:val="left"/>
              <w:cnfStyle w:val="000000000000" w:firstRow="0" w:lastRow="0" w:firstColumn="0" w:lastColumn="0" w:oddVBand="0" w:evenVBand="0" w:oddHBand="0" w:evenHBand="0" w:firstRowFirstColumn="0" w:firstRowLastColumn="0" w:lastRowFirstColumn="0" w:lastRowLastColumn="0"/>
              <w:rPr>
                <w:b/>
                <w:color w:val="FFFFFF" w:themeColor="background1"/>
                <w:sz w:val="20"/>
              </w:rPr>
            </w:pPr>
            <w:r w:rsidRPr="003972CA">
              <w:rPr>
                <w:b/>
                <w:color w:val="FFFFFF" w:themeColor="background1"/>
                <w:sz w:val="20"/>
              </w:rPr>
              <w:t>Race/Ethnicity</w:t>
            </w:r>
          </w:p>
        </w:tc>
        <w:tc>
          <w:tcPr>
            <w:tcW w:w="2371" w:type="dxa"/>
          </w:tcPr>
          <w:p w14:paraId="616072F9"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0D1DF9">
              <w:rPr>
                <w:sz w:val="20"/>
              </w:rPr>
              <w:t>White</w:t>
            </w:r>
          </w:p>
        </w:tc>
        <w:tc>
          <w:tcPr>
            <w:tcW w:w="720" w:type="dxa"/>
          </w:tcPr>
          <w:p w14:paraId="4C27B783" w14:textId="2375718C" w:rsidR="004C0F4E" w:rsidRPr="000D1DF9" w:rsidRDefault="00A96B12"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53</w:t>
            </w:r>
          </w:p>
        </w:tc>
        <w:tc>
          <w:tcPr>
            <w:tcW w:w="720" w:type="dxa"/>
          </w:tcPr>
          <w:p w14:paraId="2AB7FC80" w14:textId="2F9C31DE" w:rsidR="004C0F4E" w:rsidRPr="000D1DF9" w:rsidRDefault="00504E94"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43</w:t>
            </w:r>
            <w:r w:rsidR="00A96B12">
              <w:rPr>
                <w:sz w:val="20"/>
              </w:rPr>
              <w:t>%</w:t>
            </w:r>
          </w:p>
        </w:tc>
      </w:tr>
      <w:tr w:rsidR="004C0F4E" w:rsidRPr="000D1DF9" w14:paraId="785122AA" w14:textId="77777777" w:rsidTr="00A96B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178DC063" w14:textId="77777777" w:rsidR="004C0F4E" w:rsidRPr="000D1DF9" w:rsidRDefault="004C0F4E" w:rsidP="004C0F4E">
            <w:pPr>
              <w:jc w:val="left"/>
              <w:rPr>
                <w:sz w:val="20"/>
              </w:rPr>
            </w:pPr>
          </w:p>
        </w:tc>
        <w:tc>
          <w:tcPr>
            <w:tcW w:w="1980" w:type="dxa"/>
          </w:tcPr>
          <w:p w14:paraId="341A5C53"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0D1DF9">
              <w:rPr>
                <w:sz w:val="20"/>
              </w:rPr>
              <w:t>5-9 years</w:t>
            </w:r>
          </w:p>
        </w:tc>
        <w:tc>
          <w:tcPr>
            <w:tcW w:w="810" w:type="dxa"/>
          </w:tcPr>
          <w:p w14:paraId="7254A521" w14:textId="52003AA9" w:rsidR="004C0F4E" w:rsidRPr="000D1DF9" w:rsidRDefault="00A96B12"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49</w:t>
            </w:r>
          </w:p>
        </w:tc>
        <w:tc>
          <w:tcPr>
            <w:tcW w:w="774" w:type="dxa"/>
          </w:tcPr>
          <w:p w14:paraId="344FE00B" w14:textId="219F9679" w:rsidR="004C0F4E" w:rsidRPr="000D1DF9" w:rsidRDefault="00504E94"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40</w:t>
            </w:r>
            <w:r w:rsidR="00A96B12">
              <w:rPr>
                <w:sz w:val="20"/>
              </w:rPr>
              <w:t>%</w:t>
            </w:r>
          </w:p>
        </w:tc>
        <w:tc>
          <w:tcPr>
            <w:tcW w:w="1656" w:type="dxa"/>
            <w:vMerge/>
            <w:shd w:val="clear" w:color="auto" w:fill="DD8047" w:themeFill="accent2"/>
          </w:tcPr>
          <w:p w14:paraId="7752E5FA" w14:textId="77777777" w:rsidR="004C0F4E" w:rsidRPr="003972CA" w:rsidRDefault="004C0F4E" w:rsidP="004C0F4E">
            <w:pPr>
              <w:jc w:val="left"/>
              <w:cnfStyle w:val="000000100000" w:firstRow="0" w:lastRow="0" w:firstColumn="0" w:lastColumn="0" w:oddVBand="0" w:evenVBand="0" w:oddHBand="1" w:evenHBand="0" w:firstRowFirstColumn="0" w:firstRowLastColumn="0" w:lastRowFirstColumn="0" w:lastRowLastColumn="0"/>
              <w:rPr>
                <w:color w:val="FFFFFF" w:themeColor="background1"/>
                <w:sz w:val="20"/>
              </w:rPr>
            </w:pPr>
          </w:p>
        </w:tc>
        <w:tc>
          <w:tcPr>
            <w:tcW w:w="2371" w:type="dxa"/>
          </w:tcPr>
          <w:p w14:paraId="424D9BCF"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0D1DF9">
              <w:rPr>
                <w:sz w:val="20"/>
              </w:rPr>
              <w:t>Latino/Hispanic</w:t>
            </w:r>
          </w:p>
        </w:tc>
        <w:tc>
          <w:tcPr>
            <w:tcW w:w="720" w:type="dxa"/>
          </w:tcPr>
          <w:p w14:paraId="365F34EF" w14:textId="662A784E" w:rsidR="004C0F4E" w:rsidRPr="000D1DF9" w:rsidRDefault="00A96B12"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32</w:t>
            </w:r>
          </w:p>
        </w:tc>
        <w:tc>
          <w:tcPr>
            <w:tcW w:w="720" w:type="dxa"/>
          </w:tcPr>
          <w:p w14:paraId="7D7E7B67" w14:textId="09471D00" w:rsidR="004C0F4E" w:rsidRPr="000D1DF9" w:rsidRDefault="00504E94" w:rsidP="00504E94">
            <w:pPr>
              <w:jc w:val="center"/>
              <w:cnfStyle w:val="000000100000" w:firstRow="0" w:lastRow="0" w:firstColumn="0" w:lastColumn="0" w:oddVBand="0" w:evenVBand="0" w:oddHBand="1" w:evenHBand="0" w:firstRowFirstColumn="0" w:firstRowLastColumn="0" w:lastRowFirstColumn="0" w:lastRowLastColumn="0"/>
              <w:rPr>
                <w:sz w:val="20"/>
              </w:rPr>
            </w:pPr>
            <w:r>
              <w:rPr>
                <w:sz w:val="20"/>
              </w:rPr>
              <w:t>26</w:t>
            </w:r>
            <w:r w:rsidR="00A96B12">
              <w:rPr>
                <w:sz w:val="20"/>
              </w:rPr>
              <w:t>%</w:t>
            </w:r>
          </w:p>
        </w:tc>
      </w:tr>
      <w:tr w:rsidR="004C0F4E" w:rsidRPr="000D1DF9" w14:paraId="3AC764B5" w14:textId="77777777" w:rsidTr="00A96B12">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5BABC486" w14:textId="77777777" w:rsidR="004C0F4E" w:rsidRPr="000D1DF9" w:rsidRDefault="004C0F4E" w:rsidP="004C0F4E">
            <w:pPr>
              <w:jc w:val="left"/>
              <w:rPr>
                <w:sz w:val="20"/>
              </w:rPr>
            </w:pPr>
          </w:p>
        </w:tc>
        <w:tc>
          <w:tcPr>
            <w:tcW w:w="1980" w:type="dxa"/>
          </w:tcPr>
          <w:p w14:paraId="679F30C1"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0D1DF9">
              <w:rPr>
                <w:sz w:val="20"/>
              </w:rPr>
              <w:t>10-13 years</w:t>
            </w:r>
          </w:p>
        </w:tc>
        <w:tc>
          <w:tcPr>
            <w:tcW w:w="810" w:type="dxa"/>
          </w:tcPr>
          <w:p w14:paraId="611E416A" w14:textId="2FACC514" w:rsidR="004C0F4E" w:rsidRPr="000D1DF9" w:rsidRDefault="00A96B12"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35</w:t>
            </w:r>
          </w:p>
        </w:tc>
        <w:tc>
          <w:tcPr>
            <w:tcW w:w="774" w:type="dxa"/>
          </w:tcPr>
          <w:p w14:paraId="60C06F86" w14:textId="0B0EC369" w:rsidR="004C0F4E" w:rsidRPr="000D1DF9" w:rsidRDefault="00504E94"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28</w:t>
            </w:r>
            <w:r w:rsidR="00A96B12">
              <w:rPr>
                <w:sz w:val="20"/>
              </w:rPr>
              <w:t>%</w:t>
            </w:r>
          </w:p>
        </w:tc>
        <w:tc>
          <w:tcPr>
            <w:tcW w:w="1656" w:type="dxa"/>
            <w:vMerge/>
            <w:shd w:val="clear" w:color="auto" w:fill="DD8047" w:themeFill="accent2"/>
          </w:tcPr>
          <w:p w14:paraId="518356B9" w14:textId="77777777" w:rsidR="004C0F4E" w:rsidRPr="003972CA" w:rsidRDefault="004C0F4E" w:rsidP="004C0F4E">
            <w:pPr>
              <w:jc w:val="left"/>
              <w:cnfStyle w:val="000000000000" w:firstRow="0" w:lastRow="0" w:firstColumn="0" w:lastColumn="0" w:oddVBand="0" w:evenVBand="0" w:oddHBand="0" w:evenHBand="0" w:firstRowFirstColumn="0" w:firstRowLastColumn="0" w:lastRowFirstColumn="0" w:lastRowLastColumn="0"/>
              <w:rPr>
                <w:color w:val="FFFFFF" w:themeColor="background1"/>
                <w:sz w:val="20"/>
              </w:rPr>
            </w:pPr>
          </w:p>
        </w:tc>
        <w:tc>
          <w:tcPr>
            <w:tcW w:w="2371" w:type="dxa"/>
          </w:tcPr>
          <w:p w14:paraId="36A2D864"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Pr>
                <w:sz w:val="20"/>
              </w:rPr>
              <w:t>African-American/Black</w:t>
            </w:r>
          </w:p>
        </w:tc>
        <w:tc>
          <w:tcPr>
            <w:tcW w:w="720" w:type="dxa"/>
          </w:tcPr>
          <w:p w14:paraId="20543E5C" w14:textId="0DE61E17" w:rsidR="004C0F4E" w:rsidRPr="000D1DF9" w:rsidRDefault="00A96B12"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15</w:t>
            </w:r>
          </w:p>
        </w:tc>
        <w:tc>
          <w:tcPr>
            <w:tcW w:w="720" w:type="dxa"/>
          </w:tcPr>
          <w:p w14:paraId="5AE91494" w14:textId="0CF76402" w:rsidR="004C0F4E" w:rsidRPr="000D1DF9" w:rsidRDefault="00504E94" w:rsidP="00504E94">
            <w:pPr>
              <w:jc w:val="center"/>
              <w:cnfStyle w:val="000000000000" w:firstRow="0" w:lastRow="0" w:firstColumn="0" w:lastColumn="0" w:oddVBand="0" w:evenVBand="0" w:oddHBand="0" w:evenHBand="0" w:firstRowFirstColumn="0" w:firstRowLastColumn="0" w:lastRowFirstColumn="0" w:lastRowLastColumn="0"/>
              <w:rPr>
                <w:sz w:val="20"/>
              </w:rPr>
            </w:pPr>
            <w:r>
              <w:rPr>
                <w:sz w:val="20"/>
              </w:rPr>
              <w:t>12</w:t>
            </w:r>
            <w:r w:rsidR="00A96B12">
              <w:rPr>
                <w:sz w:val="20"/>
              </w:rPr>
              <w:t>%</w:t>
            </w:r>
          </w:p>
        </w:tc>
      </w:tr>
      <w:tr w:rsidR="004C0F4E" w:rsidRPr="000D1DF9" w14:paraId="19DBDAA0" w14:textId="77777777" w:rsidTr="00A96B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0E6F3FA9" w14:textId="77777777" w:rsidR="004C0F4E" w:rsidRPr="000D1DF9" w:rsidRDefault="004C0F4E" w:rsidP="004C0F4E">
            <w:pPr>
              <w:jc w:val="left"/>
              <w:rPr>
                <w:sz w:val="20"/>
              </w:rPr>
            </w:pPr>
          </w:p>
        </w:tc>
        <w:tc>
          <w:tcPr>
            <w:tcW w:w="1980" w:type="dxa"/>
          </w:tcPr>
          <w:p w14:paraId="5CE9E9F2"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0D1DF9">
              <w:rPr>
                <w:sz w:val="20"/>
              </w:rPr>
              <w:t>14-17 years</w:t>
            </w:r>
          </w:p>
        </w:tc>
        <w:tc>
          <w:tcPr>
            <w:tcW w:w="810" w:type="dxa"/>
          </w:tcPr>
          <w:p w14:paraId="14C0C18F" w14:textId="1D69E325" w:rsidR="004C0F4E" w:rsidRPr="000D1DF9" w:rsidRDefault="00A96B12"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29</w:t>
            </w:r>
          </w:p>
        </w:tc>
        <w:tc>
          <w:tcPr>
            <w:tcW w:w="774" w:type="dxa"/>
          </w:tcPr>
          <w:p w14:paraId="41CE39DB" w14:textId="0BB1169D" w:rsidR="004C0F4E" w:rsidRPr="000D1DF9" w:rsidRDefault="00504E94"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24</w:t>
            </w:r>
            <w:r w:rsidR="00A96B12">
              <w:rPr>
                <w:sz w:val="20"/>
              </w:rPr>
              <w:t>%</w:t>
            </w:r>
          </w:p>
        </w:tc>
        <w:tc>
          <w:tcPr>
            <w:tcW w:w="1656" w:type="dxa"/>
            <w:vMerge/>
            <w:shd w:val="clear" w:color="auto" w:fill="DD8047" w:themeFill="accent2"/>
          </w:tcPr>
          <w:p w14:paraId="1F8E5529" w14:textId="77777777" w:rsidR="004C0F4E" w:rsidRPr="003972CA" w:rsidRDefault="004C0F4E" w:rsidP="004C0F4E">
            <w:pPr>
              <w:jc w:val="left"/>
              <w:cnfStyle w:val="000000100000" w:firstRow="0" w:lastRow="0" w:firstColumn="0" w:lastColumn="0" w:oddVBand="0" w:evenVBand="0" w:oddHBand="1" w:evenHBand="0" w:firstRowFirstColumn="0" w:firstRowLastColumn="0" w:lastRowFirstColumn="0" w:lastRowLastColumn="0"/>
              <w:rPr>
                <w:color w:val="FFFFFF" w:themeColor="background1"/>
                <w:sz w:val="20"/>
              </w:rPr>
            </w:pPr>
          </w:p>
        </w:tc>
        <w:tc>
          <w:tcPr>
            <w:tcW w:w="2371" w:type="dxa"/>
          </w:tcPr>
          <w:p w14:paraId="3265CE20"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456569">
              <w:rPr>
                <w:sz w:val="20"/>
              </w:rPr>
              <w:t>Biracial/Mixed</w:t>
            </w:r>
          </w:p>
        </w:tc>
        <w:tc>
          <w:tcPr>
            <w:tcW w:w="720" w:type="dxa"/>
          </w:tcPr>
          <w:p w14:paraId="06A17F5D" w14:textId="6B58A9EA" w:rsidR="004C0F4E" w:rsidRPr="000D1DF9" w:rsidRDefault="00A96B12"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15</w:t>
            </w:r>
          </w:p>
        </w:tc>
        <w:tc>
          <w:tcPr>
            <w:tcW w:w="720" w:type="dxa"/>
          </w:tcPr>
          <w:p w14:paraId="7C9FCF2D" w14:textId="70B27696" w:rsidR="004C0F4E" w:rsidRPr="000D1DF9" w:rsidRDefault="00504E94"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12</w:t>
            </w:r>
            <w:r w:rsidR="00A96B12">
              <w:rPr>
                <w:sz w:val="20"/>
              </w:rPr>
              <w:t>%</w:t>
            </w:r>
          </w:p>
        </w:tc>
      </w:tr>
      <w:tr w:rsidR="004C0F4E" w:rsidRPr="000D1DF9" w14:paraId="4FD1775B" w14:textId="77777777" w:rsidTr="00A96B12">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225EE78C" w14:textId="77777777" w:rsidR="004C0F4E" w:rsidRPr="000D1DF9" w:rsidRDefault="004C0F4E" w:rsidP="004C0F4E">
            <w:pPr>
              <w:jc w:val="left"/>
              <w:rPr>
                <w:sz w:val="20"/>
              </w:rPr>
            </w:pPr>
          </w:p>
        </w:tc>
        <w:tc>
          <w:tcPr>
            <w:tcW w:w="1980" w:type="dxa"/>
          </w:tcPr>
          <w:p w14:paraId="2DE59AE9"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0D1DF9">
              <w:rPr>
                <w:sz w:val="20"/>
              </w:rPr>
              <w:t>18-21 years</w:t>
            </w:r>
          </w:p>
        </w:tc>
        <w:tc>
          <w:tcPr>
            <w:tcW w:w="810" w:type="dxa"/>
          </w:tcPr>
          <w:p w14:paraId="5C74A732" w14:textId="1275BB8A" w:rsidR="004C0F4E" w:rsidRPr="000D1DF9" w:rsidRDefault="00A96B12"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10</w:t>
            </w:r>
          </w:p>
        </w:tc>
        <w:tc>
          <w:tcPr>
            <w:tcW w:w="774" w:type="dxa"/>
          </w:tcPr>
          <w:p w14:paraId="023F1F1B" w14:textId="44F81C3B" w:rsidR="004C0F4E" w:rsidRPr="000D1DF9" w:rsidRDefault="00504E94"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8</w:t>
            </w:r>
            <w:r w:rsidR="00A96B12">
              <w:rPr>
                <w:sz w:val="20"/>
              </w:rPr>
              <w:t>%</w:t>
            </w:r>
          </w:p>
        </w:tc>
        <w:tc>
          <w:tcPr>
            <w:tcW w:w="1656" w:type="dxa"/>
            <w:vMerge/>
            <w:shd w:val="clear" w:color="auto" w:fill="DD8047" w:themeFill="accent2"/>
          </w:tcPr>
          <w:p w14:paraId="4A98FE8A" w14:textId="77777777" w:rsidR="004C0F4E" w:rsidRPr="003972CA" w:rsidRDefault="004C0F4E" w:rsidP="004C0F4E">
            <w:pPr>
              <w:jc w:val="left"/>
              <w:cnfStyle w:val="000000000000" w:firstRow="0" w:lastRow="0" w:firstColumn="0" w:lastColumn="0" w:oddVBand="0" w:evenVBand="0" w:oddHBand="0" w:evenHBand="0" w:firstRowFirstColumn="0" w:firstRowLastColumn="0" w:lastRowFirstColumn="0" w:lastRowLastColumn="0"/>
              <w:rPr>
                <w:color w:val="FFFFFF" w:themeColor="background1"/>
                <w:sz w:val="20"/>
              </w:rPr>
            </w:pPr>
          </w:p>
        </w:tc>
        <w:tc>
          <w:tcPr>
            <w:tcW w:w="2371" w:type="dxa"/>
          </w:tcPr>
          <w:p w14:paraId="6A69C2A8" w14:textId="77777777" w:rsidR="004C0F4E" w:rsidRPr="00907D21"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907D21">
              <w:rPr>
                <w:sz w:val="20"/>
              </w:rPr>
              <w:t>Other</w:t>
            </w:r>
          </w:p>
        </w:tc>
        <w:tc>
          <w:tcPr>
            <w:tcW w:w="720" w:type="dxa"/>
          </w:tcPr>
          <w:p w14:paraId="765DA5A8" w14:textId="27DFE441" w:rsidR="004C0F4E" w:rsidRPr="00907D21" w:rsidRDefault="00A96B12"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5</w:t>
            </w:r>
          </w:p>
        </w:tc>
        <w:tc>
          <w:tcPr>
            <w:tcW w:w="720" w:type="dxa"/>
          </w:tcPr>
          <w:p w14:paraId="01A91D30" w14:textId="2B9911EB" w:rsidR="004C0F4E" w:rsidRPr="00907D21" w:rsidRDefault="00504E94"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4</w:t>
            </w:r>
            <w:r w:rsidR="00A96B12">
              <w:rPr>
                <w:sz w:val="20"/>
              </w:rPr>
              <w:t>%</w:t>
            </w:r>
          </w:p>
        </w:tc>
      </w:tr>
      <w:tr w:rsidR="004C0F4E" w:rsidRPr="000D1DF9" w14:paraId="0E252FFB" w14:textId="77777777" w:rsidTr="00A96B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val="restart"/>
          </w:tcPr>
          <w:p w14:paraId="31DCAB63" w14:textId="77777777" w:rsidR="004C0F4E" w:rsidRPr="000D1DF9" w:rsidRDefault="004C0F4E" w:rsidP="004C0F4E">
            <w:pPr>
              <w:jc w:val="left"/>
              <w:rPr>
                <w:sz w:val="20"/>
              </w:rPr>
            </w:pPr>
            <w:r w:rsidRPr="000D1DF9">
              <w:rPr>
                <w:sz w:val="20"/>
              </w:rPr>
              <w:t>&gt;1 Behavioral Health Condition</w:t>
            </w:r>
          </w:p>
        </w:tc>
        <w:tc>
          <w:tcPr>
            <w:tcW w:w="1980" w:type="dxa"/>
          </w:tcPr>
          <w:p w14:paraId="79A7C549"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0D1DF9">
              <w:rPr>
                <w:sz w:val="20"/>
              </w:rPr>
              <w:t>Yes</w:t>
            </w:r>
          </w:p>
        </w:tc>
        <w:tc>
          <w:tcPr>
            <w:tcW w:w="810" w:type="dxa"/>
          </w:tcPr>
          <w:p w14:paraId="344876EF" w14:textId="6BE79FE0" w:rsidR="004C0F4E" w:rsidRPr="000D1DF9" w:rsidRDefault="00486318"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85</w:t>
            </w:r>
          </w:p>
        </w:tc>
        <w:tc>
          <w:tcPr>
            <w:tcW w:w="774" w:type="dxa"/>
          </w:tcPr>
          <w:p w14:paraId="5B077A93" w14:textId="67AA8E77" w:rsidR="004C0F4E" w:rsidRPr="000D1DF9" w:rsidRDefault="00486318"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69</w:t>
            </w:r>
            <w:r w:rsidR="00421F73">
              <w:rPr>
                <w:sz w:val="20"/>
              </w:rPr>
              <w:t>%</w:t>
            </w:r>
          </w:p>
        </w:tc>
        <w:tc>
          <w:tcPr>
            <w:tcW w:w="1656" w:type="dxa"/>
            <w:vMerge/>
            <w:shd w:val="clear" w:color="auto" w:fill="DD8047" w:themeFill="accent2"/>
          </w:tcPr>
          <w:p w14:paraId="48F64BBE" w14:textId="77777777" w:rsidR="004C0F4E" w:rsidRPr="003972CA" w:rsidRDefault="004C0F4E" w:rsidP="004C0F4E">
            <w:pPr>
              <w:jc w:val="left"/>
              <w:cnfStyle w:val="000000100000" w:firstRow="0" w:lastRow="0" w:firstColumn="0" w:lastColumn="0" w:oddVBand="0" w:evenVBand="0" w:oddHBand="1" w:evenHBand="0" w:firstRowFirstColumn="0" w:firstRowLastColumn="0" w:lastRowFirstColumn="0" w:lastRowLastColumn="0"/>
              <w:rPr>
                <w:color w:val="FFFFFF" w:themeColor="background1"/>
                <w:sz w:val="20"/>
              </w:rPr>
            </w:pPr>
          </w:p>
        </w:tc>
        <w:tc>
          <w:tcPr>
            <w:tcW w:w="2371" w:type="dxa"/>
          </w:tcPr>
          <w:p w14:paraId="2BC498E8"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Pr>
                <w:sz w:val="20"/>
              </w:rPr>
              <w:t>Asian</w:t>
            </w:r>
          </w:p>
        </w:tc>
        <w:tc>
          <w:tcPr>
            <w:tcW w:w="720" w:type="dxa"/>
          </w:tcPr>
          <w:p w14:paraId="302AD0CD" w14:textId="0CB4AEFE" w:rsidR="004C0F4E" w:rsidRPr="000D1DF9" w:rsidRDefault="00A96B12"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20" w:type="dxa"/>
          </w:tcPr>
          <w:p w14:paraId="75991E1D" w14:textId="602B914E" w:rsidR="004C0F4E" w:rsidRPr="000D1DF9" w:rsidRDefault="00504E94"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r w:rsidR="00A96B12">
              <w:rPr>
                <w:sz w:val="20"/>
              </w:rPr>
              <w:t>%</w:t>
            </w:r>
          </w:p>
        </w:tc>
      </w:tr>
      <w:tr w:rsidR="0060313C" w:rsidRPr="000D1DF9" w14:paraId="2102A0E7" w14:textId="77777777" w:rsidTr="00A96B12">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43AE63F6" w14:textId="77777777" w:rsidR="0060313C" w:rsidRPr="000D1DF9" w:rsidRDefault="0060313C" w:rsidP="004C0F4E">
            <w:pPr>
              <w:jc w:val="left"/>
              <w:rPr>
                <w:sz w:val="20"/>
              </w:rPr>
            </w:pPr>
          </w:p>
        </w:tc>
        <w:tc>
          <w:tcPr>
            <w:tcW w:w="1980" w:type="dxa"/>
          </w:tcPr>
          <w:p w14:paraId="143D9B8D" w14:textId="77777777" w:rsidR="0060313C" w:rsidRPr="000D1DF9" w:rsidRDefault="0060313C" w:rsidP="004C0F4E">
            <w:pPr>
              <w:jc w:val="left"/>
              <w:cnfStyle w:val="000000000000" w:firstRow="0" w:lastRow="0" w:firstColumn="0" w:lastColumn="0" w:oddVBand="0" w:evenVBand="0" w:oddHBand="0" w:evenHBand="0" w:firstRowFirstColumn="0" w:firstRowLastColumn="0" w:lastRowFirstColumn="0" w:lastRowLastColumn="0"/>
              <w:rPr>
                <w:sz w:val="20"/>
              </w:rPr>
            </w:pPr>
            <w:r w:rsidRPr="000D1DF9">
              <w:rPr>
                <w:sz w:val="20"/>
              </w:rPr>
              <w:t>No</w:t>
            </w:r>
          </w:p>
        </w:tc>
        <w:tc>
          <w:tcPr>
            <w:tcW w:w="810" w:type="dxa"/>
          </w:tcPr>
          <w:p w14:paraId="1A853921" w14:textId="5E7E7915" w:rsidR="0060313C" w:rsidRPr="000D1DF9" w:rsidRDefault="00486318"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38</w:t>
            </w:r>
          </w:p>
        </w:tc>
        <w:tc>
          <w:tcPr>
            <w:tcW w:w="774" w:type="dxa"/>
          </w:tcPr>
          <w:p w14:paraId="03ED76B7" w14:textId="2E5643A0" w:rsidR="0060313C" w:rsidRPr="000D1DF9" w:rsidRDefault="00486318"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31</w:t>
            </w:r>
            <w:r w:rsidR="0060313C">
              <w:rPr>
                <w:sz w:val="20"/>
              </w:rPr>
              <w:t>%</w:t>
            </w:r>
          </w:p>
        </w:tc>
        <w:tc>
          <w:tcPr>
            <w:tcW w:w="1656" w:type="dxa"/>
            <w:vMerge w:val="restart"/>
            <w:shd w:val="clear" w:color="auto" w:fill="DD8047" w:themeFill="accent2"/>
          </w:tcPr>
          <w:p w14:paraId="47F00825" w14:textId="77777777" w:rsidR="0060313C" w:rsidRPr="00065559" w:rsidRDefault="0060313C" w:rsidP="004C0F4E">
            <w:pPr>
              <w:jc w:val="left"/>
              <w:cnfStyle w:val="000000000000" w:firstRow="0" w:lastRow="0" w:firstColumn="0" w:lastColumn="0" w:oddVBand="0" w:evenVBand="0" w:oddHBand="0" w:evenHBand="0" w:firstRowFirstColumn="0" w:firstRowLastColumn="0" w:lastRowFirstColumn="0" w:lastRowLastColumn="0"/>
              <w:rPr>
                <w:b/>
                <w:color w:val="FFFFFF" w:themeColor="background1"/>
                <w:sz w:val="20"/>
              </w:rPr>
            </w:pPr>
            <w:r w:rsidRPr="00065559">
              <w:rPr>
                <w:b/>
                <w:color w:val="FFFFFF" w:themeColor="background1"/>
                <w:sz w:val="20"/>
              </w:rPr>
              <w:t>Interventions (Current)</w:t>
            </w:r>
          </w:p>
        </w:tc>
        <w:tc>
          <w:tcPr>
            <w:tcW w:w="2371" w:type="dxa"/>
          </w:tcPr>
          <w:p w14:paraId="5E756016" w14:textId="77777777" w:rsidR="0060313C" w:rsidRPr="000D1DF9" w:rsidRDefault="0060313C"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456569">
              <w:rPr>
                <w:rFonts w:cs="Times New Roman"/>
                <w:w w:val="0"/>
                <w:sz w:val="20"/>
              </w:rPr>
              <w:t>In-Home Therapy (IHT)</w:t>
            </w:r>
          </w:p>
        </w:tc>
        <w:tc>
          <w:tcPr>
            <w:tcW w:w="720" w:type="dxa"/>
          </w:tcPr>
          <w:p w14:paraId="57F4145E" w14:textId="13B782A2" w:rsidR="0060313C" w:rsidRPr="000D1DF9" w:rsidRDefault="0060313C"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85</w:t>
            </w:r>
          </w:p>
        </w:tc>
        <w:tc>
          <w:tcPr>
            <w:tcW w:w="720" w:type="dxa"/>
          </w:tcPr>
          <w:p w14:paraId="49BE34F6" w14:textId="4F036065" w:rsidR="0060313C" w:rsidRPr="000D1DF9" w:rsidRDefault="0060313C"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69%</w:t>
            </w:r>
          </w:p>
        </w:tc>
      </w:tr>
      <w:tr w:rsidR="0060313C" w:rsidRPr="000D1DF9" w14:paraId="4714C5DB" w14:textId="77777777" w:rsidTr="00A96B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val="restart"/>
          </w:tcPr>
          <w:p w14:paraId="7CE38818" w14:textId="77777777" w:rsidR="0060313C" w:rsidRPr="000D1DF9" w:rsidRDefault="0060313C" w:rsidP="004C0F4E">
            <w:pPr>
              <w:jc w:val="left"/>
              <w:rPr>
                <w:b w:val="0"/>
                <w:bCs w:val="0"/>
                <w:sz w:val="20"/>
              </w:rPr>
            </w:pPr>
            <w:r>
              <w:rPr>
                <w:sz w:val="20"/>
              </w:rPr>
              <w:t>Behavioral Health Conditions</w:t>
            </w:r>
          </w:p>
          <w:p w14:paraId="3FE8FA2E" w14:textId="77777777" w:rsidR="0060313C" w:rsidRPr="000D1DF9" w:rsidRDefault="0060313C" w:rsidP="004C0F4E">
            <w:pPr>
              <w:jc w:val="left"/>
              <w:rPr>
                <w:sz w:val="20"/>
              </w:rPr>
            </w:pPr>
          </w:p>
        </w:tc>
        <w:tc>
          <w:tcPr>
            <w:tcW w:w="1980" w:type="dxa"/>
          </w:tcPr>
          <w:p w14:paraId="67D27B1E" w14:textId="77777777" w:rsidR="0060313C" w:rsidRPr="000D1DF9" w:rsidRDefault="0060313C" w:rsidP="004C0F4E">
            <w:pPr>
              <w:jc w:val="left"/>
              <w:cnfStyle w:val="000000100000" w:firstRow="0" w:lastRow="0" w:firstColumn="0" w:lastColumn="0" w:oddVBand="0" w:evenVBand="0" w:oddHBand="1" w:evenHBand="0" w:firstRowFirstColumn="0" w:firstRowLastColumn="0" w:lastRowFirstColumn="0" w:lastRowLastColumn="0"/>
              <w:rPr>
                <w:sz w:val="20"/>
              </w:rPr>
            </w:pPr>
            <w:r w:rsidRPr="00FA3EC6">
              <w:rPr>
                <w:sz w:val="20"/>
              </w:rPr>
              <w:t>ADD/ADHD</w:t>
            </w:r>
          </w:p>
        </w:tc>
        <w:tc>
          <w:tcPr>
            <w:tcW w:w="810" w:type="dxa"/>
          </w:tcPr>
          <w:p w14:paraId="10CA27E3" w14:textId="624AC413" w:rsidR="0060313C" w:rsidRPr="000D1DF9" w:rsidRDefault="0060313C"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63</w:t>
            </w:r>
          </w:p>
        </w:tc>
        <w:tc>
          <w:tcPr>
            <w:tcW w:w="774" w:type="dxa"/>
          </w:tcPr>
          <w:p w14:paraId="3668D7DA" w14:textId="794E9A49" w:rsidR="0060313C" w:rsidRPr="000D1DF9" w:rsidRDefault="0060313C"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51%</w:t>
            </w:r>
          </w:p>
        </w:tc>
        <w:tc>
          <w:tcPr>
            <w:tcW w:w="1656" w:type="dxa"/>
            <w:vMerge/>
            <w:shd w:val="clear" w:color="auto" w:fill="DD8047" w:themeFill="accent2"/>
          </w:tcPr>
          <w:p w14:paraId="6F2D9C5C" w14:textId="77777777" w:rsidR="0060313C" w:rsidRPr="003972CA" w:rsidRDefault="0060313C" w:rsidP="004C0F4E">
            <w:pPr>
              <w:jc w:val="left"/>
              <w:cnfStyle w:val="000000100000" w:firstRow="0" w:lastRow="0" w:firstColumn="0" w:lastColumn="0" w:oddVBand="0" w:evenVBand="0" w:oddHBand="1" w:evenHBand="0" w:firstRowFirstColumn="0" w:firstRowLastColumn="0" w:lastRowFirstColumn="0" w:lastRowLastColumn="0"/>
              <w:rPr>
                <w:color w:val="FFFFFF" w:themeColor="background1"/>
                <w:sz w:val="20"/>
              </w:rPr>
            </w:pPr>
          </w:p>
        </w:tc>
        <w:tc>
          <w:tcPr>
            <w:tcW w:w="2371" w:type="dxa"/>
          </w:tcPr>
          <w:p w14:paraId="43D47147" w14:textId="77777777" w:rsidR="0060313C" w:rsidRPr="000D1DF9" w:rsidRDefault="0060313C"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456569">
              <w:rPr>
                <w:rFonts w:cs="Times New Roman"/>
                <w:w w:val="0"/>
                <w:sz w:val="20"/>
              </w:rPr>
              <w:t>Psychopharmacology</w:t>
            </w:r>
          </w:p>
        </w:tc>
        <w:tc>
          <w:tcPr>
            <w:tcW w:w="720" w:type="dxa"/>
          </w:tcPr>
          <w:p w14:paraId="480A945F" w14:textId="7799ED5C" w:rsidR="0060313C" w:rsidRDefault="0060313C"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68</w:t>
            </w:r>
          </w:p>
        </w:tc>
        <w:tc>
          <w:tcPr>
            <w:tcW w:w="720" w:type="dxa"/>
          </w:tcPr>
          <w:p w14:paraId="58EAE9B6" w14:textId="243AF4E4" w:rsidR="0060313C" w:rsidRDefault="0060313C"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55%</w:t>
            </w:r>
          </w:p>
        </w:tc>
      </w:tr>
      <w:tr w:rsidR="0060313C" w:rsidRPr="000D1DF9" w14:paraId="01AC7907" w14:textId="77777777" w:rsidTr="00A96B12">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02F73B21" w14:textId="77777777" w:rsidR="0060313C" w:rsidRPr="000D1DF9" w:rsidRDefault="0060313C" w:rsidP="00191A77">
            <w:pPr>
              <w:jc w:val="left"/>
              <w:rPr>
                <w:sz w:val="20"/>
              </w:rPr>
            </w:pPr>
          </w:p>
        </w:tc>
        <w:tc>
          <w:tcPr>
            <w:tcW w:w="1980" w:type="dxa"/>
          </w:tcPr>
          <w:p w14:paraId="61A408EC" w14:textId="07778B87" w:rsidR="0060313C" w:rsidRPr="000D1DF9" w:rsidRDefault="0060313C" w:rsidP="00191A77">
            <w:pPr>
              <w:jc w:val="left"/>
              <w:cnfStyle w:val="000000000000" w:firstRow="0" w:lastRow="0" w:firstColumn="0" w:lastColumn="0" w:oddVBand="0" w:evenVBand="0" w:oddHBand="0" w:evenHBand="0" w:firstRowFirstColumn="0" w:firstRowLastColumn="0" w:lastRowFirstColumn="0" w:lastRowLastColumn="0"/>
              <w:rPr>
                <w:sz w:val="20"/>
              </w:rPr>
            </w:pPr>
            <w:r w:rsidRPr="000D1DF9">
              <w:rPr>
                <w:sz w:val="20"/>
              </w:rPr>
              <w:t>Anxiety Disorder</w:t>
            </w:r>
          </w:p>
        </w:tc>
        <w:tc>
          <w:tcPr>
            <w:tcW w:w="810" w:type="dxa"/>
          </w:tcPr>
          <w:p w14:paraId="6CF73ED2" w14:textId="152A782F" w:rsidR="0060313C" w:rsidRPr="000D1DF9" w:rsidRDefault="008D3DE3" w:rsidP="00191A77">
            <w:pPr>
              <w:jc w:val="center"/>
              <w:cnfStyle w:val="000000000000" w:firstRow="0" w:lastRow="0" w:firstColumn="0" w:lastColumn="0" w:oddVBand="0" w:evenVBand="0" w:oddHBand="0" w:evenHBand="0" w:firstRowFirstColumn="0" w:firstRowLastColumn="0" w:lastRowFirstColumn="0" w:lastRowLastColumn="0"/>
              <w:rPr>
                <w:sz w:val="20"/>
              </w:rPr>
            </w:pPr>
            <w:r>
              <w:rPr>
                <w:sz w:val="20"/>
              </w:rPr>
              <w:t>46</w:t>
            </w:r>
          </w:p>
        </w:tc>
        <w:tc>
          <w:tcPr>
            <w:tcW w:w="774" w:type="dxa"/>
          </w:tcPr>
          <w:p w14:paraId="6431DD25" w14:textId="2A48971F" w:rsidR="0060313C" w:rsidRPr="000D1DF9" w:rsidRDefault="0060313C" w:rsidP="00191A77">
            <w:pPr>
              <w:jc w:val="center"/>
              <w:cnfStyle w:val="000000000000" w:firstRow="0" w:lastRow="0" w:firstColumn="0" w:lastColumn="0" w:oddVBand="0" w:evenVBand="0" w:oddHBand="0" w:evenHBand="0" w:firstRowFirstColumn="0" w:firstRowLastColumn="0" w:lastRowFirstColumn="0" w:lastRowLastColumn="0"/>
              <w:rPr>
                <w:sz w:val="20"/>
              </w:rPr>
            </w:pPr>
            <w:r>
              <w:rPr>
                <w:sz w:val="20"/>
              </w:rPr>
              <w:t>37%</w:t>
            </w:r>
          </w:p>
        </w:tc>
        <w:tc>
          <w:tcPr>
            <w:tcW w:w="1656" w:type="dxa"/>
            <w:vMerge/>
            <w:shd w:val="clear" w:color="auto" w:fill="DD8047" w:themeFill="accent2"/>
          </w:tcPr>
          <w:p w14:paraId="67FDD325" w14:textId="77777777" w:rsidR="0060313C" w:rsidRPr="000D1DF9" w:rsidRDefault="0060313C" w:rsidP="00191A77">
            <w:pPr>
              <w:jc w:val="left"/>
              <w:cnfStyle w:val="000000000000" w:firstRow="0" w:lastRow="0" w:firstColumn="0" w:lastColumn="0" w:oddVBand="0" w:evenVBand="0" w:oddHBand="0" w:evenHBand="0" w:firstRowFirstColumn="0" w:firstRowLastColumn="0" w:lastRowFirstColumn="0" w:lastRowLastColumn="0"/>
              <w:rPr>
                <w:b/>
                <w:sz w:val="20"/>
              </w:rPr>
            </w:pPr>
          </w:p>
        </w:tc>
        <w:tc>
          <w:tcPr>
            <w:tcW w:w="2371" w:type="dxa"/>
          </w:tcPr>
          <w:p w14:paraId="0F9A1234" w14:textId="77777777" w:rsidR="0060313C" w:rsidRPr="000D1DF9" w:rsidRDefault="0060313C" w:rsidP="00191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456569">
              <w:rPr>
                <w:rFonts w:cs="Times New Roman"/>
                <w:w w:val="0"/>
                <w:sz w:val="20"/>
              </w:rPr>
              <w:t>Individual Counseling</w:t>
            </w:r>
          </w:p>
        </w:tc>
        <w:tc>
          <w:tcPr>
            <w:tcW w:w="720" w:type="dxa"/>
          </w:tcPr>
          <w:p w14:paraId="24B90D9D" w14:textId="1FC687D2" w:rsidR="0060313C" w:rsidRPr="000D1DF9" w:rsidRDefault="0060313C" w:rsidP="00191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67</w:t>
            </w:r>
          </w:p>
        </w:tc>
        <w:tc>
          <w:tcPr>
            <w:tcW w:w="720" w:type="dxa"/>
          </w:tcPr>
          <w:p w14:paraId="6A4C06C4" w14:textId="14E4F2C3" w:rsidR="0060313C" w:rsidRPr="000D1DF9" w:rsidRDefault="0060313C" w:rsidP="00F37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54%</w:t>
            </w:r>
          </w:p>
        </w:tc>
      </w:tr>
      <w:tr w:rsidR="0060313C" w:rsidRPr="000D1DF9" w14:paraId="3D264E90" w14:textId="77777777" w:rsidTr="00A96B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50ABC3A1" w14:textId="77777777" w:rsidR="0060313C" w:rsidRPr="000D1DF9" w:rsidRDefault="0060313C" w:rsidP="00191A77">
            <w:pPr>
              <w:jc w:val="left"/>
              <w:rPr>
                <w:sz w:val="20"/>
              </w:rPr>
            </w:pPr>
          </w:p>
        </w:tc>
        <w:tc>
          <w:tcPr>
            <w:tcW w:w="1980" w:type="dxa"/>
          </w:tcPr>
          <w:p w14:paraId="687CD945" w14:textId="15F6D579" w:rsidR="0060313C" w:rsidRPr="000D1DF9" w:rsidRDefault="0060313C" w:rsidP="00191A77">
            <w:pPr>
              <w:jc w:val="left"/>
              <w:cnfStyle w:val="000000100000" w:firstRow="0" w:lastRow="0" w:firstColumn="0" w:lastColumn="0" w:oddVBand="0" w:evenVBand="0" w:oddHBand="1" w:evenHBand="0" w:firstRowFirstColumn="0" w:firstRowLastColumn="0" w:lastRowFirstColumn="0" w:lastRowLastColumn="0"/>
              <w:rPr>
                <w:sz w:val="20"/>
              </w:rPr>
            </w:pPr>
            <w:r w:rsidRPr="008729AC">
              <w:rPr>
                <w:sz w:val="20"/>
              </w:rPr>
              <w:t>T</w:t>
            </w:r>
            <w:r>
              <w:rPr>
                <w:sz w:val="20"/>
              </w:rPr>
              <w:t>rauma/Stressor-related disorder</w:t>
            </w:r>
          </w:p>
        </w:tc>
        <w:tc>
          <w:tcPr>
            <w:tcW w:w="810" w:type="dxa"/>
          </w:tcPr>
          <w:p w14:paraId="18A81E7C" w14:textId="0D3C3BF0" w:rsidR="0060313C" w:rsidRPr="000D1DF9" w:rsidRDefault="00486318" w:rsidP="00191A77">
            <w:pPr>
              <w:jc w:val="center"/>
              <w:cnfStyle w:val="000000100000" w:firstRow="0" w:lastRow="0" w:firstColumn="0" w:lastColumn="0" w:oddVBand="0" w:evenVBand="0" w:oddHBand="1" w:evenHBand="0" w:firstRowFirstColumn="0" w:firstRowLastColumn="0" w:lastRowFirstColumn="0" w:lastRowLastColumn="0"/>
              <w:rPr>
                <w:sz w:val="20"/>
              </w:rPr>
            </w:pPr>
            <w:r>
              <w:rPr>
                <w:sz w:val="20"/>
              </w:rPr>
              <w:t>45</w:t>
            </w:r>
          </w:p>
        </w:tc>
        <w:tc>
          <w:tcPr>
            <w:tcW w:w="774" w:type="dxa"/>
          </w:tcPr>
          <w:p w14:paraId="04A63C8A" w14:textId="19F6BCA2" w:rsidR="0060313C" w:rsidRPr="000D1DF9" w:rsidRDefault="00486318" w:rsidP="008D3DE3">
            <w:pPr>
              <w:jc w:val="center"/>
              <w:cnfStyle w:val="000000100000" w:firstRow="0" w:lastRow="0" w:firstColumn="0" w:lastColumn="0" w:oddVBand="0" w:evenVBand="0" w:oddHBand="1" w:evenHBand="0" w:firstRowFirstColumn="0" w:firstRowLastColumn="0" w:lastRowFirstColumn="0" w:lastRowLastColumn="0"/>
              <w:rPr>
                <w:sz w:val="20"/>
              </w:rPr>
            </w:pPr>
            <w:r>
              <w:rPr>
                <w:sz w:val="20"/>
              </w:rPr>
              <w:t>37</w:t>
            </w:r>
            <w:r w:rsidR="0060313C">
              <w:rPr>
                <w:sz w:val="20"/>
              </w:rPr>
              <w:t>%</w:t>
            </w:r>
          </w:p>
        </w:tc>
        <w:tc>
          <w:tcPr>
            <w:tcW w:w="1656" w:type="dxa"/>
            <w:vMerge/>
            <w:shd w:val="clear" w:color="auto" w:fill="DD8047" w:themeFill="accent2"/>
          </w:tcPr>
          <w:p w14:paraId="786D242A" w14:textId="77777777" w:rsidR="0060313C" w:rsidRPr="000D1DF9" w:rsidRDefault="0060313C" w:rsidP="00191A77">
            <w:pPr>
              <w:jc w:val="left"/>
              <w:cnfStyle w:val="000000100000" w:firstRow="0" w:lastRow="0" w:firstColumn="0" w:lastColumn="0" w:oddVBand="0" w:evenVBand="0" w:oddHBand="1" w:evenHBand="0" w:firstRowFirstColumn="0" w:firstRowLastColumn="0" w:lastRowFirstColumn="0" w:lastRowLastColumn="0"/>
              <w:rPr>
                <w:b/>
                <w:sz w:val="20"/>
              </w:rPr>
            </w:pPr>
          </w:p>
        </w:tc>
        <w:tc>
          <w:tcPr>
            <w:tcW w:w="2371" w:type="dxa"/>
          </w:tcPr>
          <w:p w14:paraId="0E115BA4" w14:textId="5093B1FD" w:rsidR="0060313C" w:rsidRPr="000D1DF9" w:rsidRDefault="0060313C" w:rsidP="00191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456569">
              <w:rPr>
                <w:rFonts w:cs="Times New Roman"/>
                <w:w w:val="0"/>
                <w:sz w:val="20"/>
              </w:rPr>
              <w:t>Intensive Care Coordination (ICC)</w:t>
            </w:r>
          </w:p>
        </w:tc>
        <w:tc>
          <w:tcPr>
            <w:tcW w:w="720" w:type="dxa"/>
          </w:tcPr>
          <w:p w14:paraId="4AF56A22" w14:textId="4D20092E" w:rsidR="0060313C" w:rsidRPr="000D1DF9" w:rsidRDefault="0060313C" w:rsidP="00191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61</w:t>
            </w:r>
          </w:p>
        </w:tc>
        <w:tc>
          <w:tcPr>
            <w:tcW w:w="720" w:type="dxa"/>
          </w:tcPr>
          <w:p w14:paraId="43F58619" w14:textId="610D147B" w:rsidR="0060313C" w:rsidRPr="000D1DF9" w:rsidRDefault="0060313C" w:rsidP="00191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50%</w:t>
            </w:r>
          </w:p>
        </w:tc>
      </w:tr>
      <w:tr w:rsidR="0060313C" w:rsidRPr="000D1DF9" w14:paraId="4344183A" w14:textId="77777777" w:rsidTr="00A96B12">
        <w:trPr>
          <w:trHeight w:val="70"/>
        </w:trPr>
        <w:tc>
          <w:tcPr>
            <w:cnfStyle w:val="001000000000" w:firstRow="0" w:lastRow="0" w:firstColumn="1" w:lastColumn="0" w:oddVBand="0" w:evenVBand="0" w:oddHBand="0" w:evenHBand="0" w:firstRowFirstColumn="0" w:firstRowLastColumn="0" w:lastRowFirstColumn="0" w:lastRowLastColumn="0"/>
            <w:tcW w:w="1764" w:type="dxa"/>
            <w:vMerge/>
          </w:tcPr>
          <w:p w14:paraId="01A0D038" w14:textId="77777777" w:rsidR="0060313C" w:rsidRPr="000D1DF9" w:rsidRDefault="0060313C" w:rsidP="00DF3B30">
            <w:pPr>
              <w:jc w:val="left"/>
              <w:rPr>
                <w:sz w:val="20"/>
              </w:rPr>
            </w:pPr>
          </w:p>
        </w:tc>
        <w:tc>
          <w:tcPr>
            <w:tcW w:w="1980" w:type="dxa"/>
          </w:tcPr>
          <w:p w14:paraId="1160A906" w14:textId="4E7F0281" w:rsidR="0060313C" w:rsidRPr="000D1DF9" w:rsidRDefault="0060313C" w:rsidP="00DF3B30">
            <w:pPr>
              <w:jc w:val="left"/>
              <w:cnfStyle w:val="000000000000" w:firstRow="0" w:lastRow="0" w:firstColumn="0" w:lastColumn="0" w:oddVBand="0" w:evenVBand="0" w:oddHBand="0" w:evenHBand="0" w:firstRowFirstColumn="0" w:firstRowLastColumn="0" w:lastRowFirstColumn="0" w:lastRowLastColumn="0"/>
              <w:rPr>
                <w:sz w:val="20"/>
              </w:rPr>
            </w:pPr>
            <w:r w:rsidRPr="00FA3EC6">
              <w:rPr>
                <w:sz w:val="20"/>
              </w:rPr>
              <w:t>Mood Disorder</w:t>
            </w:r>
          </w:p>
        </w:tc>
        <w:tc>
          <w:tcPr>
            <w:tcW w:w="810" w:type="dxa"/>
          </w:tcPr>
          <w:p w14:paraId="4440F2E5" w14:textId="798FF091" w:rsidR="0060313C" w:rsidRPr="000D1DF9" w:rsidRDefault="0060313C" w:rsidP="00DF3B30">
            <w:pPr>
              <w:jc w:val="center"/>
              <w:cnfStyle w:val="000000000000" w:firstRow="0" w:lastRow="0" w:firstColumn="0" w:lastColumn="0" w:oddVBand="0" w:evenVBand="0" w:oddHBand="0" w:evenHBand="0" w:firstRowFirstColumn="0" w:firstRowLastColumn="0" w:lastRowFirstColumn="0" w:lastRowLastColumn="0"/>
              <w:rPr>
                <w:sz w:val="20"/>
              </w:rPr>
            </w:pPr>
            <w:r>
              <w:rPr>
                <w:sz w:val="20"/>
              </w:rPr>
              <w:t>34</w:t>
            </w:r>
          </w:p>
        </w:tc>
        <w:tc>
          <w:tcPr>
            <w:tcW w:w="774" w:type="dxa"/>
          </w:tcPr>
          <w:p w14:paraId="0AB30483" w14:textId="220CE57C" w:rsidR="0060313C" w:rsidRPr="000D1DF9" w:rsidRDefault="0060313C" w:rsidP="00DF3B30">
            <w:pPr>
              <w:jc w:val="center"/>
              <w:cnfStyle w:val="000000000000" w:firstRow="0" w:lastRow="0" w:firstColumn="0" w:lastColumn="0" w:oddVBand="0" w:evenVBand="0" w:oddHBand="0" w:evenHBand="0" w:firstRowFirstColumn="0" w:firstRowLastColumn="0" w:lastRowFirstColumn="0" w:lastRowLastColumn="0"/>
              <w:rPr>
                <w:sz w:val="20"/>
              </w:rPr>
            </w:pPr>
            <w:r>
              <w:rPr>
                <w:sz w:val="20"/>
              </w:rPr>
              <w:t>28%</w:t>
            </w:r>
          </w:p>
        </w:tc>
        <w:tc>
          <w:tcPr>
            <w:tcW w:w="1656" w:type="dxa"/>
            <w:vMerge/>
            <w:shd w:val="clear" w:color="auto" w:fill="DD8047" w:themeFill="accent2"/>
          </w:tcPr>
          <w:p w14:paraId="10C0D223" w14:textId="77777777" w:rsidR="0060313C" w:rsidRPr="000D1DF9" w:rsidRDefault="0060313C" w:rsidP="00DF3B30">
            <w:pPr>
              <w:jc w:val="left"/>
              <w:cnfStyle w:val="000000000000" w:firstRow="0" w:lastRow="0" w:firstColumn="0" w:lastColumn="0" w:oddVBand="0" w:evenVBand="0" w:oddHBand="0" w:evenHBand="0" w:firstRowFirstColumn="0" w:firstRowLastColumn="0" w:lastRowFirstColumn="0" w:lastRowLastColumn="0"/>
              <w:rPr>
                <w:sz w:val="20"/>
              </w:rPr>
            </w:pPr>
          </w:p>
        </w:tc>
        <w:tc>
          <w:tcPr>
            <w:tcW w:w="2371" w:type="dxa"/>
          </w:tcPr>
          <w:p w14:paraId="504A3333" w14:textId="1071FC42" w:rsidR="0060313C" w:rsidRPr="000D1DF9" w:rsidRDefault="0060313C" w:rsidP="00DF3B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0D1DF9">
              <w:rPr>
                <w:rFonts w:cs="Times New Roman"/>
                <w:w w:val="0"/>
                <w:sz w:val="20"/>
              </w:rPr>
              <w:t>Therapeutic Training &amp; Support</w:t>
            </w:r>
          </w:p>
        </w:tc>
        <w:tc>
          <w:tcPr>
            <w:tcW w:w="720" w:type="dxa"/>
          </w:tcPr>
          <w:p w14:paraId="499B04FE" w14:textId="7FE7326F" w:rsidR="0060313C" w:rsidRPr="000D1DF9" w:rsidRDefault="0060313C" w:rsidP="00DF3B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60</w:t>
            </w:r>
          </w:p>
        </w:tc>
        <w:tc>
          <w:tcPr>
            <w:tcW w:w="720" w:type="dxa"/>
          </w:tcPr>
          <w:p w14:paraId="5B1B5977" w14:textId="6386D0F2" w:rsidR="0060313C" w:rsidRPr="000D1DF9" w:rsidRDefault="0060313C" w:rsidP="00DF3B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49%</w:t>
            </w:r>
          </w:p>
        </w:tc>
      </w:tr>
      <w:tr w:rsidR="0060313C" w:rsidRPr="000D1DF9" w14:paraId="550EA56D" w14:textId="77777777" w:rsidTr="00A96B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2662356D" w14:textId="77777777" w:rsidR="0060313C" w:rsidRPr="000D1DF9" w:rsidRDefault="0060313C" w:rsidP="00DF3B30">
            <w:pPr>
              <w:jc w:val="left"/>
              <w:rPr>
                <w:sz w:val="20"/>
              </w:rPr>
            </w:pPr>
          </w:p>
        </w:tc>
        <w:tc>
          <w:tcPr>
            <w:tcW w:w="1980" w:type="dxa"/>
          </w:tcPr>
          <w:p w14:paraId="20A84D99" w14:textId="6288F269" w:rsidR="0060313C" w:rsidRPr="000D1DF9" w:rsidRDefault="0060313C" w:rsidP="00DF3B30">
            <w:pPr>
              <w:jc w:val="left"/>
              <w:cnfStyle w:val="000000100000" w:firstRow="0" w:lastRow="0" w:firstColumn="0" w:lastColumn="0" w:oddVBand="0" w:evenVBand="0" w:oddHBand="1" w:evenHBand="0" w:firstRowFirstColumn="0" w:firstRowLastColumn="0" w:lastRowFirstColumn="0" w:lastRowLastColumn="0"/>
              <w:rPr>
                <w:sz w:val="20"/>
              </w:rPr>
            </w:pPr>
            <w:r w:rsidRPr="000D1DF9">
              <w:rPr>
                <w:sz w:val="20"/>
              </w:rPr>
              <w:t xml:space="preserve">Anger/Impulse Control </w:t>
            </w:r>
          </w:p>
        </w:tc>
        <w:tc>
          <w:tcPr>
            <w:tcW w:w="810" w:type="dxa"/>
          </w:tcPr>
          <w:p w14:paraId="73B5A67E" w14:textId="3AC88C6C" w:rsidR="0060313C" w:rsidRPr="000D1DF9" w:rsidRDefault="0060313C" w:rsidP="00DF3B30">
            <w:pPr>
              <w:jc w:val="center"/>
              <w:cnfStyle w:val="000000100000" w:firstRow="0" w:lastRow="0" w:firstColumn="0" w:lastColumn="0" w:oddVBand="0" w:evenVBand="0" w:oddHBand="1" w:evenHBand="0" w:firstRowFirstColumn="0" w:firstRowLastColumn="0" w:lastRowFirstColumn="0" w:lastRowLastColumn="0"/>
              <w:rPr>
                <w:sz w:val="20"/>
              </w:rPr>
            </w:pPr>
            <w:r>
              <w:rPr>
                <w:sz w:val="20"/>
              </w:rPr>
              <w:t>26</w:t>
            </w:r>
          </w:p>
        </w:tc>
        <w:tc>
          <w:tcPr>
            <w:tcW w:w="774" w:type="dxa"/>
          </w:tcPr>
          <w:p w14:paraId="1AC12DA8" w14:textId="3ABFE2C0" w:rsidR="0060313C" w:rsidRPr="000D1DF9" w:rsidRDefault="0060313C" w:rsidP="00DF3B30">
            <w:pPr>
              <w:jc w:val="center"/>
              <w:cnfStyle w:val="000000100000" w:firstRow="0" w:lastRow="0" w:firstColumn="0" w:lastColumn="0" w:oddVBand="0" w:evenVBand="0" w:oddHBand="1" w:evenHBand="0" w:firstRowFirstColumn="0" w:firstRowLastColumn="0" w:lastRowFirstColumn="0" w:lastRowLastColumn="0"/>
              <w:rPr>
                <w:sz w:val="20"/>
              </w:rPr>
            </w:pPr>
            <w:r>
              <w:rPr>
                <w:sz w:val="20"/>
              </w:rPr>
              <w:t>21%</w:t>
            </w:r>
          </w:p>
        </w:tc>
        <w:tc>
          <w:tcPr>
            <w:tcW w:w="1656" w:type="dxa"/>
            <w:vMerge/>
            <w:shd w:val="clear" w:color="auto" w:fill="DD8047" w:themeFill="accent2"/>
          </w:tcPr>
          <w:p w14:paraId="00013F81" w14:textId="77777777" w:rsidR="0060313C" w:rsidRPr="00B41BF5" w:rsidRDefault="0060313C" w:rsidP="00DF3B30">
            <w:pPr>
              <w:jc w:val="left"/>
              <w:cnfStyle w:val="000000100000" w:firstRow="0" w:lastRow="0" w:firstColumn="0" w:lastColumn="0" w:oddVBand="0" w:evenVBand="0" w:oddHBand="1" w:evenHBand="0" w:firstRowFirstColumn="0" w:firstRowLastColumn="0" w:lastRowFirstColumn="0" w:lastRowLastColumn="0"/>
              <w:rPr>
                <w:color w:val="FFFFFF" w:themeColor="background1"/>
                <w:sz w:val="20"/>
              </w:rPr>
            </w:pPr>
          </w:p>
        </w:tc>
        <w:tc>
          <w:tcPr>
            <w:tcW w:w="2371" w:type="dxa"/>
          </w:tcPr>
          <w:p w14:paraId="4AEDF78D" w14:textId="63E7742C" w:rsidR="0060313C" w:rsidRPr="000D1DF9" w:rsidRDefault="0060313C" w:rsidP="00DF3B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0D1DF9">
              <w:rPr>
                <w:rFonts w:cs="Times New Roman"/>
                <w:w w:val="0"/>
                <w:sz w:val="20"/>
              </w:rPr>
              <w:t>Therapeutic Mentoring</w:t>
            </w:r>
          </w:p>
        </w:tc>
        <w:tc>
          <w:tcPr>
            <w:tcW w:w="720" w:type="dxa"/>
          </w:tcPr>
          <w:p w14:paraId="263EC533" w14:textId="0CC70882" w:rsidR="0060313C" w:rsidRPr="000D1DF9" w:rsidRDefault="00486318" w:rsidP="00DF3B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58</w:t>
            </w:r>
          </w:p>
        </w:tc>
        <w:tc>
          <w:tcPr>
            <w:tcW w:w="720" w:type="dxa"/>
          </w:tcPr>
          <w:p w14:paraId="51200939" w14:textId="21298E82" w:rsidR="0060313C" w:rsidRPr="000D1DF9" w:rsidRDefault="0060313C" w:rsidP="004863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4</w:t>
            </w:r>
            <w:r w:rsidR="00486318">
              <w:rPr>
                <w:rFonts w:cs="Times New Roman"/>
                <w:w w:val="0"/>
                <w:sz w:val="20"/>
              </w:rPr>
              <w:t>7</w:t>
            </w:r>
            <w:r>
              <w:rPr>
                <w:rFonts w:cs="Times New Roman"/>
                <w:w w:val="0"/>
                <w:sz w:val="20"/>
              </w:rPr>
              <w:t>%</w:t>
            </w:r>
          </w:p>
        </w:tc>
      </w:tr>
      <w:tr w:rsidR="0060313C" w:rsidRPr="000D1DF9" w14:paraId="1D2392DF" w14:textId="77777777" w:rsidTr="00A96B12">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2DED18A5" w14:textId="77777777" w:rsidR="0060313C" w:rsidRPr="000D1DF9" w:rsidRDefault="0060313C" w:rsidP="00DF3B30">
            <w:pPr>
              <w:jc w:val="left"/>
              <w:rPr>
                <w:sz w:val="20"/>
              </w:rPr>
            </w:pPr>
          </w:p>
        </w:tc>
        <w:tc>
          <w:tcPr>
            <w:tcW w:w="1980" w:type="dxa"/>
          </w:tcPr>
          <w:p w14:paraId="7BD747CE" w14:textId="73D9B1E3" w:rsidR="0060313C" w:rsidRPr="000D1DF9" w:rsidRDefault="0060313C" w:rsidP="00DF3B30">
            <w:pPr>
              <w:jc w:val="left"/>
              <w:cnfStyle w:val="000000000000" w:firstRow="0" w:lastRow="0" w:firstColumn="0" w:lastColumn="0" w:oddVBand="0" w:evenVBand="0" w:oddHBand="0" w:evenHBand="0" w:firstRowFirstColumn="0" w:firstRowLastColumn="0" w:lastRowFirstColumn="0" w:lastRowLastColumn="0"/>
              <w:rPr>
                <w:sz w:val="20"/>
              </w:rPr>
            </w:pPr>
            <w:r w:rsidRPr="000D1DF9">
              <w:rPr>
                <w:sz w:val="20"/>
              </w:rPr>
              <w:t>Disruptive Behavior Disorder</w:t>
            </w:r>
          </w:p>
        </w:tc>
        <w:tc>
          <w:tcPr>
            <w:tcW w:w="810" w:type="dxa"/>
          </w:tcPr>
          <w:p w14:paraId="0CEAB030" w14:textId="018A544B" w:rsidR="0060313C" w:rsidRPr="000D1DF9" w:rsidRDefault="0060313C" w:rsidP="00DF3B30">
            <w:pPr>
              <w:jc w:val="center"/>
              <w:cnfStyle w:val="000000000000" w:firstRow="0" w:lastRow="0" w:firstColumn="0" w:lastColumn="0" w:oddVBand="0" w:evenVBand="0" w:oddHBand="0" w:evenHBand="0" w:firstRowFirstColumn="0" w:firstRowLastColumn="0" w:lastRowFirstColumn="0" w:lastRowLastColumn="0"/>
              <w:rPr>
                <w:sz w:val="20"/>
              </w:rPr>
            </w:pPr>
            <w:r>
              <w:rPr>
                <w:sz w:val="20"/>
              </w:rPr>
              <w:t>25</w:t>
            </w:r>
          </w:p>
        </w:tc>
        <w:tc>
          <w:tcPr>
            <w:tcW w:w="774" w:type="dxa"/>
          </w:tcPr>
          <w:p w14:paraId="2275C8C7" w14:textId="32D07A6B" w:rsidR="0060313C" w:rsidRPr="000D1DF9" w:rsidRDefault="0060313C" w:rsidP="00DF3B30">
            <w:pPr>
              <w:jc w:val="center"/>
              <w:cnfStyle w:val="000000000000" w:firstRow="0" w:lastRow="0" w:firstColumn="0" w:lastColumn="0" w:oddVBand="0" w:evenVBand="0" w:oddHBand="0" w:evenHBand="0" w:firstRowFirstColumn="0" w:firstRowLastColumn="0" w:lastRowFirstColumn="0" w:lastRowLastColumn="0"/>
              <w:rPr>
                <w:sz w:val="20"/>
              </w:rPr>
            </w:pPr>
            <w:r>
              <w:rPr>
                <w:sz w:val="20"/>
              </w:rPr>
              <w:t>20%</w:t>
            </w:r>
          </w:p>
        </w:tc>
        <w:tc>
          <w:tcPr>
            <w:tcW w:w="1656" w:type="dxa"/>
            <w:vMerge/>
            <w:shd w:val="clear" w:color="auto" w:fill="DD8047" w:themeFill="accent2"/>
          </w:tcPr>
          <w:p w14:paraId="1BA43BA2" w14:textId="77777777" w:rsidR="0060313C" w:rsidRPr="000D1DF9" w:rsidRDefault="0060313C" w:rsidP="00DF3B30">
            <w:pPr>
              <w:jc w:val="left"/>
              <w:cnfStyle w:val="000000000000" w:firstRow="0" w:lastRow="0" w:firstColumn="0" w:lastColumn="0" w:oddVBand="0" w:evenVBand="0" w:oddHBand="0" w:evenHBand="0" w:firstRowFirstColumn="0" w:firstRowLastColumn="0" w:lastRowFirstColumn="0" w:lastRowLastColumn="0"/>
              <w:rPr>
                <w:sz w:val="20"/>
              </w:rPr>
            </w:pPr>
          </w:p>
        </w:tc>
        <w:tc>
          <w:tcPr>
            <w:tcW w:w="2371" w:type="dxa"/>
          </w:tcPr>
          <w:p w14:paraId="06907851" w14:textId="277586C5" w:rsidR="0060313C" w:rsidRPr="000D1DF9" w:rsidRDefault="0060313C" w:rsidP="00DF3B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456569">
              <w:rPr>
                <w:rFonts w:cs="Times New Roman"/>
                <w:w w:val="0"/>
                <w:sz w:val="20"/>
              </w:rPr>
              <w:t>FS&amp;T (Family Partner</w:t>
            </w:r>
            <w:r>
              <w:rPr>
                <w:rFonts w:cs="Times New Roman"/>
                <w:w w:val="0"/>
                <w:sz w:val="20"/>
              </w:rPr>
              <w:t>)</w:t>
            </w:r>
          </w:p>
        </w:tc>
        <w:tc>
          <w:tcPr>
            <w:tcW w:w="720" w:type="dxa"/>
          </w:tcPr>
          <w:p w14:paraId="6F647352" w14:textId="62BFF0A2" w:rsidR="0060313C" w:rsidRPr="000D1DF9" w:rsidRDefault="0060313C" w:rsidP="00DF3B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53</w:t>
            </w:r>
          </w:p>
        </w:tc>
        <w:tc>
          <w:tcPr>
            <w:tcW w:w="720" w:type="dxa"/>
          </w:tcPr>
          <w:p w14:paraId="7BA8FDF5" w14:textId="787F521C" w:rsidR="0060313C" w:rsidRPr="000D1DF9" w:rsidRDefault="0060313C" w:rsidP="00DF3B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43%</w:t>
            </w:r>
          </w:p>
        </w:tc>
      </w:tr>
      <w:tr w:rsidR="0060313C" w:rsidRPr="000D1DF9" w14:paraId="1032BFBC" w14:textId="77777777" w:rsidTr="00A96B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78C63A04" w14:textId="77777777" w:rsidR="0060313C" w:rsidRPr="000D1DF9" w:rsidRDefault="0060313C" w:rsidP="00DF3B30">
            <w:pPr>
              <w:jc w:val="left"/>
              <w:rPr>
                <w:sz w:val="20"/>
              </w:rPr>
            </w:pPr>
          </w:p>
        </w:tc>
        <w:tc>
          <w:tcPr>
            <w:tcW w:w="1980" w:type="dxa"/>
          </w:tcPr>
          <w:p w14:paraId="67ACB6D1" w14:textId="02F5250E" w:rsidR="0060313C" w:rsidRPr="000D1DF9" w:rsidRDefault="0060313C" w:rsidP="00DF3B30">
            <w:pPr>
              <w:jc w:val="left"/>
              <w:cnfStyle w:val="000000100000" w:firstRow="0" w:lastRow="0" w:firstColumn="0" w:lastColumn="0" w:oddVBand="0" w:evenVBand="0" w:oddHBand="1" w:evenHBand="0" w:firstRowFirstColumn="0" w:firstRowLastColumn="0" w:lastRowFirstColumn="0" w:lastRowLastColumn="0"/>
              <w:rPr>
                <w:sz w:val="20"/>
              </w:rPr>
            </w:pPr>
            <w:r w:rsidRPr="000D1DF9">
              <w:rPr>
                <w:sz w:val="20"/>
              </w:rPr>
              <w:t>Autism/Autism Spectrum Disorder</w:t>
            </w:r>
          </w:p>
        </w:tc>
        <w:tc>
          <w:tcPr>
            <w:tcW w:w="810" w:type="dxa"/>
          </w:tcPr>
          <w:p w14:paraId="67EE6A6E" w14:textId="119B4253" w:rsidR="0060313C" w:rsidRPr="000D1DF9" w:rsidRDefault="0060313C" w:rsidP="00DF3B30">
            <w:pPr>
              <w:jc w:val="center"/>
              <w:cnfStyle w:val="000000100000" w:firstRow="0" w:lastRow="0" w:firstColumn="0" w:lastColumn="0" w:oddVBand="0" w:evenVBand="0" w:oddHBand="1" w:evenHBand="0" w:firstRowFirstColumn="0" w:firstRowLastColumn="0" w:lastRowFirstColumn="0" w:lastRowLastColumn="0"/>
              <w:rPr>
                <w:sz w:val="20"/>
              </w:rPr>
            </w:pPr>
            <w:r>
              <w:rPr>
                <w:sz w:val="20"/>
              </w:rPr>
              <w:t>17</w:t>
            </w:r>
          </w:p>
        </w:tc>
        <w:tc>
          <w:tcPr>
            <w:tcW w:w="774" w:type="dxa"/>
          </w:tcPr>
          <w:p w14:paraId="4075FD7D" w14:textId="0C4C16C7" w:rsidR="0060313C" w:rsidRPr="000D1DF9" w:rsidRDefault="0060313C" w:rsidP="00DF3B30">
            <w:pPr>
              <w:jc w:val="center"/>
              <w:cnfStyle w:val="000000100000" w:firstRow="0" w:lastRow="0" w:firstColumn="0" w:lastColumn="0" w:oddVBand="0" w:evenVBand="0" w:oddHBand="1" w:evenHBand="0" w:firstRowFirstColumn="0" w:firstRowLastColumn="0" w:lastRowFirstColumn="0" w:lastRowLastColumn="0"/>
              <w:rPr>
                <w:sz w:val="20"/>
              </w:rPr>
            </w:pPr>
            <w:r>
              <w:rPr>
                <w:sz w:val="20"/>
              </w:rPr>
              <w:t>14%</w:t>
            </w:r>
          </w:p>
        </w:tc>
        <w:tc>
          <w:tcPr>
            <w:tcW w:w="1656" w:type="dxa"/>
            <w:vMerge/>
            <w:shd w:val="clear" w:color="auto" w:fill="DD8047" w:themeFill="accent2"/>
          </w:tcPr>
          <w:p w14:paraId="098A8419" w14:textId="77777777" w:rsidR="0060313C" w:rsidRPr="000D1DF9" w:rsidRDefault="0060313C" w:rsidP="00DF3B30">
            <w:pPr>
              <w:jc w:val="left"/>
              <w:cnfStyle w:val="000000100000" w:firstRow="0" w:lastRow="0" w:firstColumn="0" w:lastColumn="0" w:oddVBand="0" w:evenVBand="0" w:oddHBand="1" w:evenHBand="0" w:firstRowFirstColumn="0" w:firstRowLastColumn="0" w:lastRowFirstColumn="0" w:lastRowLastColumn="0"/>
              <w:rPr>
                <w:sz w:val="20"/>
              </w:rPr>
            </w:pPr>
          </w:p>
        </w:tc>
        <w:tc>
          <w:tcPr>
            <w:tcW w:w="2371" w:type="dxa"/>
          </w:tcPr>
          <w:p w14:paraId="21FA64D6" w14:textId="77777777" w:rsidR="0060313C" w:rsidRPr="00E35C36" w:rsidRDefault="0060313C" w:rsidP="00DF3B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highlight w:val="yellow"/>
              </w:rPr>
            </w:pPr>
            <w:r w:rsidRPr="00456569">
              <w:rPr>
                <w:rFonts w:cs="Times New Roman"/>
                <w:w w:val="0"/>
                <w:sz w:val="20"/>
              </w:rPr>
              <w:t>Recreation activities</w:t>
            </w:r>
          </w:p>
        </w:tc>
        <w:tc>
          <w:tcPr>
            <w:tcW w:w="720" w:type="dxa"/>
          </w:tcPr>
          <w:p w14:paraId="1DFB3099" w14:textId="69C43326" w:rsidR="0060313C" w:rsidRPr="002F61C0" w:rsidRDefault="0060313C" w:rsidP="00DF3B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20</w:t>
            </w:r>
          </w:p>
        </w:tc>
        <w:tc>
          <w:tcPr>
            <w:tcW w:w="720" w:type="dxa"/>
          </w:tcPr>
          <w:p w14:paraId="488422AA" w14:textId="439C07C4" w:rsidR="0060313C" w:rsidRPr="002F61C0" w:rsidRDefault="0060313C" w:rsidP="00DF3B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16</w:t>
            </w:r>
            <w:r w:rsidRPr="002F61C0">
              <w:rPr>
                <w:rFonts w:cs="Times New Roman"/>
                <w:w w:val="0"/>
                <w:sz w:val="20"/>
              </w:rPr>
              <w:t>%</w:t>
            </w:r>
          </w:p>
        </w:tc>
      </w:tr>
      <w:tr w:rsidR="0060313C" w:rsidRPr="000D1DF9" w14:paraId="4D0A3B6F" w14:textId="77777777" w:rsidTr="00A96B12">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05F238F6" w14:textId="77777777" w:rsidR="0060313C" w:rsidRPr="000D1DF9" w:rsidRDefault="0060313C" w:rsidP="00DF3B30">
            <w:pPr>
              <w:jc w:val="left"/>
              <w:rPr>
                <w:sz w:val="20"/>
              </w:rPr>
            </w:pPr>
          </w:p>
        </w:tc>
        <w:tc>
          <w:tcPr>
            <w:tcW w:w="1980" w:type="dxa"/>
          </w:tcPr>
          <w:p w14:paraId="387FE88B" w14:textId="1E23C4B3" w:rsidR="0060313C" w:rsidRPr="000D1DF9" w:rsidRDefault="0060313C" w:rsidP="00DF3B30">
            <w:pPr>
              <w:jc w:val="left"/>
              <w:cnfStyle w:val="000000000000" w:firstRow="0" w:lastRow="0" w:firstColumn="0" w:lastColumn="0" w:oddVBand="0" w:evenVBand="0" w:oddHBand="0" w:evenHBand="0" w:firstRowFirstColumn="0" w:firstRowLastColumn="0" w:lastRowFirstColumn="0" w:lastRowLastColumn="0"/>
              <w:rPr>
                <w:sz w:val="20"/>
              </w:rPr>
            </w:pPr>
            <w:r w:rsidRPr="000D1DF9">
              <w:rPr>
                <w:sz w:val="20"/>
              </w:rPr>
              <w:t>Learning Disorder</w:t>
            </w:r>
          </w:p>
        </w:tc>
        <w:tc>
          <w:tcPr>
            <w:tcW w:w="810" w:type="dxa"/>
          </w:tcPr>
          <w:p w14:paraId="1E08F8A9" w14:textId="5D3DC418" w:rsidR="0060313C" w:rsidRPr="000D1DF9" w:rsidRDefault="0060313C" w:rsidP="00DF3B30">
            <w:pPr>
              <w:jc w:val="center"/>
              <w:cnfStyle w:val="000000000000" w:firstRow="0" w:lastRow="0" w:firstColumn="0" w:lastColumn="0" w:oddVBand="0" w:evenVBand="0" w:oddHBand="0" w:evenHBand="0" w:firstRowFirstColumn="0" w:firstRowLastColumn="0" w:lastRowFirstColumn="0" w:lastRowLastColumn="0"/>
              <w:rPr>
                <w:sz w:val="20"/>
              </w:rPr>
            </w:pPr>
            <w:r>
              <w:rPr>
                <w:sz w:val="20"/>
              </w:rPr>
              <w:t>11</w:t>
            </w:r>
          </w:p>
        </w:tc>
        <w:tc>
          <w:tcPr>
            <w:tcW w:w="774" w:type="dxa"/>
          </w:tcPr>
          <w:p w14:paraId="59382EE7" w14:textId="2598A7FC" w:rsidR="0060313C" w:rsidRPr="000D1DF9" w:rsidRDefault="0060313C" w:rsidP="00DF3B30">
            <w:pPr>
              <w:jc w:val="center"/>
              <w:cnfStyle w:val="000000000000" w:firstRow="0" w:lastRow="0" w:firstColumn="0" w:lastColumn="0" w:oddVBand="0" w:evenVBand="0" w:oddHBand="0" w:evenHBand="0" w:firstRowFirstColumn="0" w:firstRowLastColumn="0" w:lastRowFirstColumn="0" w:lastRowLastColumn="0"/>
              <w:rPr>
                <w:sz w:val="20"/>
              </w:rPr>
            </w:pPr>
            <w:r>
              <w:rPr>
                <w:sz w:val="20"/>
              </w:rPr>
              <w:t>9%</w:t>
            </w:r>
          </w:p>
        </w:tc>
        <w:tc>
          <w:tcPr>
            <w:tcW w:w="1656" w:type="dxa"/>
            <w:vMerge/>
            <w:shd w:val="clear" w:color="auto" w:fill="DD8047" w:themeFill="accent2"/>
          </w:tcPr>
          <w:p w14:paraId="5B6C4702" w14:textId="77777777" w:rsidR="0060313C" w:rsidRPr="000D1DF9" w:rsidRDefault="0060313C" w:rsidP="00DF3B30">
            <w:pPr>
              <w:jc w:val="left"/>
              <w:cnfStyle w:val="000000000000" w:firstRow="0" w:lastRow="0" w:firstColumn="0" w:lastColumn="0" w:oddVBand="0" w:evenVBand="0" w:oddHBand="0" w:evenHBand="0" w:firstRowFirstColumn="0" w:firstRowLastColumn="0" w:lastRowFirstColumn="0" w:lastRowLastColumn="0"/>
              <w:rPr>
                <w:sz w:val="20"/>
              </w:rPr>
            </w:pPr>
          </w:p>
        </w:tc>
        <w:tc>
          <w:tcPr>
            <w:tcW w:w="2371" w:type="dxa"/>
          </w:tcPr>
          <w:p w14:paraId="63ECF190" w14:textId="77777777" w:rsidR="0060313C" w:rsidRPr="000D1DF9" w:rsidRDefault="0060313C" w:rsidP="00DF3B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0D1DF9">
              <w:rPr>
                <w:rFonts w:cs="Times New Roman"/>
                <w:w w:val="0"/>
                <w:sz w:val="20"/>
              </w:rPr>
              <w:t>In- Home Behavioral Services (IHBS)</w:t>
            </w:r>
          </w:p>
        </w:tc>
        <w:tc>
          <w:tcPr>
            <w:tcW w:w="720" w:type="dxa"/>
          </w:tcPr>
          <w:p w14:paraId="13FC195A" w14:textId="119AAC4A" w:rsidR="0060313C" w:rsidRPr="000D1DF9" w:rsidRDefault="0060313C" w:rsidP="00DF3B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13</w:t>
            </w:r>
          </w:p>
        </w:tc>
        <w:tc>
          <w:tcPr>
            <w:tcW w:w="720" w:type="dxa"/>
          </w:tcPr>
          <w:p w14:paraId="496544B9" w14:textId="12965CF5" w:rsidR="0060313C" w:rsidRPr="000D1DF9" w:rsidRDefault="0060313C" w:rsidP="00DF3B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11%</w:t>
            </w:r>
          </w:p>
        </w:tc>
      </w:tr>
      <w:tr w:rsidR="0060313C" w:rsidRPr="000D1DF9" w14:paraId="32C437B8" w14:textId="77777777" w:rsidTr="00A96B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1C96DD14" w14:textId="77777777" w:rsidR="0060313C" w:rsidRPr="000D1DF9" w:rsidRDefault="0060313C" w:rsidP="0060313C">
            <w:pPr>
              <w:jc w:val="left"/>
              <w:rPr>
                <w:sz w:val="20"/>
              </w:rPr>
            </w:pPr>
          </w:p>
        </w:tc>
        <w:tc>
          <w:tcPr>
            <w:tcW w:w="1980" w:type="dxa"/>
          </w:tcPr>
          <w:p w14:paraId="62AC143E" w14:textId="64C846A6" w:rsidR="0060313C" w:rsidRPr="00E35C36" w:rsidRDefault="0060313C" w:rsidP="0060313C">
            <w:pPr>
              <w:jc w:val="left"/>
              <w:cnfStyle w:val="000000100000" w:firstRow="0" w:lastRow="0" w:firstColumn="0" w:lastColumn="0" w:oddVBand="0" w:evenVBand="0" w:oddHBand="1" w:evenHBand="0" w:firstRowFirstColumn="0" w:firstRowLastColumn="0" w:lastRowFirstColumn="0" w:lastRowLastColumn="0"/>
              <w:rPr>
                <w:sz w:val="20"/>
                <w:highlight w:val="yellow"/>
              </w:rPr>
            </w:pPr>
            <w:r w:rsidRPr="00FA3EC6">
              <w:rPr>
                <w:sz w:val="20"/>
              </w:rPr>
              <w:t>Communication Disorder</w:t>
            </w:r>
          </w:p>
        </w:tc>
        <w:tc>
          <w:tcPr>
            <w:tcW w:w="810" w:type="dxa"/>
          </w:tcPr>
          <w:p w14:paraId="7E916F67" w14:textId="724B2AB0" w:rsidR="0060313C" w:rsidRPr="00907D21" w:rsidRDefault="0060313C" w:rsidP="0060313C">
            <w:pPr>
              <w:jc w:val="center"/>
              <w:cnfStyle w:val="000000100000" w:firstRow="0" w:lastRow="0" w:firstColumn="0" w:lastColumn="0" w:oddVBand="0" w:evenVBand="0" w:oddHBand="1" w:evenHBand="0" w:firstRowFirstColumn="0" w:firstRowLastColumn="0" w:lastRowFirstColumn="0" w:lastRowLastColumn="0"/>
              <w:rPr>
                <w:sz w:val="20"/>
              </w:rPr>
            </w:pPr>
            <w:r>
              <w:rPr>
                <w:sz w:val="20"/>
              </w:rPr>
              <w:t>8</w:t>
            </w:r>
          </w:p>
        </w:tc>
        <w:tc>
          <w:tcPr>
            <w:tcW w:w="774" w:type="dxa"/>
          </w:tcPr>
          <w:p w14:paraId="2C6BBD4D" w14:textId="48B1A0B7" w:rsidR="0060313C" w:rsidRPr="00907D21" w:rsidRDefault="0060313C" w:rsidP="0060313C">
            <w:pPr>
              <w:jc w:val="center"/>
              <w:cnfStyle w:val="000000100000" w:firstRow="0" w:lastRow="0" w:firstColumn="0" w:lastColumn="0" w:oddVBand="0" w:evenVBand="0" w:oddHBand="1" w:evenHBand="0" w:firstRowFirstColumn="0" w:firstRowLastColumn="0" w:lastRowFirstColumn="0" w:lastRowLastColumn="0"/>
              <w:rPr>
                <w:sz w:val="20"/>
              </w:rPr>
            </w:pPr>
            <w:r>
              <w:rPr>
                <w:sz w:val="20"/>
              </w:rPr>
              <w:t>7%</w:t>
            </w:r>
          </w:p>
        </w:tc>
        <w:tc>
          <w:tcPr>
            <w:tcW w:w="1656" w:type="dxa"/>
            <w:vMerge/>
            <w:shd w:val="clear" w:color="auto" w:fill="DD8047" w:themeFill="accent2"/>
          </w:tcPr>
          <w:p w14:paraId="3C4A089E" w14:textId="77777777" w:rsidR="0060313C" w:rsidRPr="000D1DF9" w:rsidRDefault="0060313C" w:rsidP="0060313C">
            <w:pPr>
              <w:jc w:val="left"/>
              <w:cnfStyle w:val="000000100000" w:firstRow="0" w:lastRow="0" w:firstColumn="0" w:lastColumn="0" w:oddVBand="0" w:evenVBand="0" w:oddHBand="1" w:evenHBand="0" w:firstRowFirstColumn="0" w:firstRowLastColumn="0" w:lastRowFirstColumn="0" w:lastRowLastColumn="0"/>
              <w:rPr>
                <w:sz w:val="20"/>
              </w:rPr>
            </w:pPr>
          </w:p>
        </w:tc>
        <w:tc>
          <w:tcPr>
            <w:tcW w:w="2371" w:type="dxa"/>
          </w:tcPr>
          <w:p w14:paraId="7F396079" w14:textId="02EF48C9" w:rsidR="0060313C" w:rsidRPr="00907D21"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Group Counseling</w:t>
            </w:r>
          </w:p>
        </w:tc>
        <w:tc>
          <w:tcPr>
            <w:tcW w:w="720" w:type="dxa"/>
          </w:tcPr>
          <w:p w14:paraId="5737024F" w14:textId="1CEAF08A" w:rsidR="0060313C" w:rsidRPr="002F61C0" w:rsidRDefault="00486318"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highlight w:val="yellow"/>
              </w:rPr>
            </w:pPr>
            <w:r>
              <w:rPr>
                <w:rFonts w:cs="Times New Roman"/>
                <w:w w:val="0"/>
                <w:sz w:val="20"/>
              </w:rPr>
              <w:t>4</w:t>
            </w:r>
          </w:p>
        </w:tc>
        <w:tc>
          <w:tcPr>
            <w:tcW w:w="720" w:type="dxa"/>
          </w:tcPr>
          <w:p w14:paraId="74607061" w14:textId="09FE00A5" w:rsidR="0060313C" w:rsidRPr="002F61C0" w:rsidRDefault="00486318"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highlight w:val="yellow"/>
              </w:rPr>
            </w:pPr>
            <w:r>
              <w:rPr>
                <w:rFonts w:cs="Times New Roman"/>
                <w:w w:val="0"/>
                <w:sz w:val="20"/>
              </w:rPr>
              <w:t>3</w:t>
            </w:r>
            <w:r w:rsidR="0060313C">
              <w:rPr>
                <w:rFonts w:cs="Times New Roman"/>
                <w:w w:val="0"/>
                <w:sz w:val="20"/>
              </w:rPr>
              <w:t>%</w:t>
            </w:r>
          </w:p>
        </w:tc>
      </w:tr>
      <w:tr w:rsidR="0060313C" w:rsidRPr="000D1DF9" w14:paraId="7A316A1E" w14:textId="77777777" w:rsidTr="00A96B12">
        <w:trPr>
          <w:trHeight w:val="70"/>
        </w:trPr>
        <w:tc>
          <w:tcPr>
            <w:cnfStyle w:val="001000000000" w:firstRow="0" w:lastRow="0" w:firstColumn="1" w:lastColumn="0" w:oddVBand="0" w:evenVBand="0" w:oddHBand="0" w:evenHBand="0" w:firstRowFirstColumn="0" w:firstRowLastColumn="0" w:lastRowFirstColumn="0" w:lastRowLastColumn="0"/>
            <w:tcW w:w="1764" w:type="dxa"/>
            <w:vMerge/>
          </w:tcPr>
          <w:p w14:paraId="2C9A58B3" w14:textId="77777777" w:rsidR="0060313C" w:rsidRPr="000D1DF9" w:rsidRDefault="0060313C" w:rsidP="0060313C">
            <w:pPr>
              <w:jc w:val="left"/>
              <w:rPr>
                <w:sz w:val="20"/>
              </w:rPr>
            </w:pPr>
          </w:p>
        </w:tc>
        <w:tc>
          <w:tcPr>
            <w:tcW w:w="1980" w:type="dxa"/>
          </w:tcPr>
          <w:p w14:paraId="3849901D" w14:textId="739F6F5D" w:rsidR="0060313C" w:rsidRPr="000D1DF9" w:rsidRDefault="0060313C" w:rsidP="0060313C">
            <w:pPr>
              <w:jc w:val="left"/>
              <w:cnfStyle w:val="000000000000" w:firstRow="0" w:lastRow="0" w:firstColumn="0" w:lastColumn="0" w:oddVBand="0" w:evenVBand="0" w:oddHBand="0" w:evenHBand="0" w:firstRowFirstColumn="0" w:firstRowLastColumn="0" w:lastRowFirstColumn="0" w:lastRowLastColumn="0"/>
              <w:rPr>
                <w:sz w:val="20"/>
              </w:rPr>
            </w:pPr>
            <w:r w:rsidRPr="00907D21">
              <w:rPr>
                <w:sz w:val="20"/>
              </w:rPr>
              <w:t>Other</w:t>
            </w:r>
          </w:p>
        </w:tc>
        <w:tc>
          <w:tcPr>
            <w:tcW w:w="810" w:type="dxa"/>
          </w:tcPr>
          <w:p w14:paraId="792A6E24" w14:textId="4EF528F1" w:rsidR="0060313C" w:rsidRPr="00486318" w:rsidRDefault="00486318" w:rsidP="0060313C">
            <w:pPr>
              <w:jc w:val="center"/>
              <w:cnfStyle w:val="000000000000" w:firstRow="0" w:lastRow="0" w:firstColumn="0" w:lastColumn="0" w:oddVBand="0" w:evenVBand="0" w:oddHBand="0" w:evenHBand="0" w:firstRowFirstColumn="0" w:firstRowLastColumn="0" w:lastRowFirstColumn="0" w:lastRowLastColumn="0"/>
              <w:rPr>
                <w:sz w:val="20"/>
              </w:rPr>
            </w:pPr>
            <w:r w:rsidRPr="00486318">
              <w:rPr>
                <w:sz w:val="20"/>
              </w:rPr>
              <w:t>3</w:t>
            </w:r>
          </w:p>
        </w:tc>
        <w:tc>
          <w:tcPr>
            <w:tcW w:w="774" w:type="dxa"/>
          </w:tcPr>
          <w:p w14:paraId="6BD05176" w14:textId="5C660A95" w:rsidR="0060313C" w:rsidRPr="00486318" w:rsidRDefault="00486318" w:rsidP="0060313C">
            <w:pPr>
              <w:jc w:val="center"/>
              <w:cnfStyle w:val="000000000000" w:firstRow="0" w:lastRow="0" w:firstColumn="0" w:lastColumn="0" w:oddVBand="0" w:evenVBand="0" w:oddHBand="0" w:evenHBand="0" w:firstRowFirstColumn="0" w:firstRowLastColumn="0" w:lastRowFirstColumn="0" w:lastRowLastColumn="0"/>
              <w:rPr>
                <w:sz w:val="20"/>
              </w:rPr>
            </w:pPr>
            <w:r w:rsidRPr="00486318">
              <w:rPr>
                <w:sz w:val="20"/>
              </w:rPr>
              <w:t>2</w:t>
            </w:r>
            <w:r w:rsidR="0060313C" w:rsidRPr="00486318">
              <w:rPr>
                <w:sz w:val="20"/>
              </w:rPr>
              <w:t>%</w:t>
            </w:r>
          </w:p>
        </w:tc>
        <w:tc>
          <w:tcPr>
            <w:tcW w:w="1656" w:type="dxa"/>
            <w:vMerge/>
            <w:shd w:val="clear" w:color="auto" w:fill="DD8047" w:themeFill="accent2"/>
          </w:tcPr>
          <w:p w14:paraId="31D21BC5" w14:textId="77777777" w:rsidR="0060313C" w:rsidRPr="000D1DF9" w:rsidRDefault="0060313C" w:rsidP="0060313C">
            <w:pPr>
              <w:jc w:val="left"/>
              <w:cnfStyle w:val="000000000000" w:firstRow="0" w:lastRow="0" w:firstColumn="0" w:lastColumn="0" w:oddVBand="0" w:evenVBand="0" w:oddHBand="0" w:evenHBand="0" w:firstRowFirstColumn="0" w:firstRowLastColumn="0" w:lastRowFirstColumn="0" w:lastRowLastColumn="0"/>
              <w:rPr>
                <w:sz w:val="20"/>
              </w:rPr>
            </w:pPr>
          </w:p>
        </w:tc>
        <w:tc>
          <w:tcPr>
            <w:tcW w:w="2371" w:type="dxa"/>
          </w:tcPr>
          <w:p w14:paraId="648030CD" w14:textId="094708FF" w:rsidR="0060313C" w:rsidRPr="000D1DF9"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Family Counseling</w:t>
            </w:r>
          </w:p>
        </w:tc>
        <w:tc>
          <w:tcPr>
            <w:tcW w:w="720" w:type="dxa"/>
          </w:tcPr>
          <w:p w14:paraId="24DD1951" w14:textId="0530D1F8" w:rsidR="0060313C" w:rsidRPr="000D1DF9"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2</w:t>
            </w:r>
          </w:p>
        </w:tc>
        <w:tc>
          <w:tcPr>
            <w:tcW w:w="720" w:type="dxa"/>
          </w:tcPr>
          <w:p w14:paraId="51210108" w14:textId="3CF3BFF8" w:rsidR="0060313C" w:rsidRPr="00F35D78"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2%</w:t>
            </w:r>
          </w:p>
        </w:tc>
      </w:tr>
      <w:tr w:rsidR="0060313C" w:rsidRPr="000D1DF9" w14:paraId="0773F944" w14:textId="77777777" w:rsidTr="00A96B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54C0F569" w14:textId="77777777" w:rsidR="0060313C" w:rsidRPr="000D1DF9" w:rsidRDefault="0060313C" w:rsidP="0060313C">
            <w:pPr>
              <w:jc w:val="left"/>
              <w:rPr>
                <w:sz w:val="20"/>
              </w:rPr>
            </w:pPr>
          </w:p>
        </w:tc>
        <w:tc>
          <w:tcPr>
            <w:tcW w:w="1980" w:type="dxa"/>
          </w:tcPr>
          <w:p w14:paraId="0993A85F" w14:textId="22557411" w:rsidR="0060313C" w:rsidRPr="000D1DF9" w:rsidRDefault="0060313C" w:rsidP="0060313C">
            <w:pPr>
              <w:jc w:val="left"/>
              <w:cnfStyle w:val="000000100000" w:firstRow="0" w:lastRow="0" w:firstColumn="0" w:lastColumn="0" w:oddVBand="0" w:evenVBand="0" w:oddHBand="1" w:evenHBand="0" w:firstRowFirstColumn="0" w:firstRowLastColumn="0" w:lastRowFirstColumn="0" w:lastRowLastColumn="0"/>
              <w:rPr>
                <w:sz w:val="20"/>
              </w:rPr>
            </w:pPr>
            <w:r w:rsidRPr="000D1DF9">
              <w:rPr>
                <w:sz w:val="20"/>
              </w:rPr>
              <w:t>Intellectual Disability</w:t>
            </w:r>
          </w:p>
        </w:tc>
        <w:tc>
          <w:tcPr>
            <w:tcW w:w="810" w:type="dxa"/>
          </w:tcPr>
          <w:p w14:paraId="00AEF538" w14:textId="43526959" w:rsidR="0060313C" w:rsidRPr="000D1DF9" w:rsidRDefault="0060313C" w:rsidP="0060313C">
            <w:pPr>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74" w:type="dxa"/>
          </w:tcPr>
          <w:p w14:paraId="53021B5E" w14:textId="4BA04583" w:rsidR="0060313C" w:rsidRPr="000D1DF9" w:rsidRDefault="0060313C" w:rsidP="0060313C">
            <w:pPr>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p>
        </w:tc>
        <w:tc>
          <w:tcPr>
            <w:tcW w:w="1656" w:type="dxa"/>
            <w:vMerge/>
            <w:shd w:val="clear" w:color="auto" w:fill="DD8047" w:themeFill="accent2"/>
          </w:tcPr>
          <w:p w14:paraId="12E0BD91" w14:textId="77777777" w:rsidR="0060313C" w:rsidRPr="000D1DF9" w:rsidRDefault="0060313C" w:rsidP="0060313C">
            <w:pPr>
              <w:jc w:val="left"/>
              <w:cnfStyle w:val="000000100000" w:firstRow="0" w:lastRow="0" w:firstColumn="0" w:lastColumn="0" w:oddVBand="0" w:evenVBand="0" w:oddHBand="1" w:evenHBand="0" w:firstRowFirstColumn="0" w:firstRowLastColumn="0" w:lastRowFirstColumn="0" w:lastRowLastColumn="0"/>
              <w:rPr>
                <w:sz w:val="20"/>
              </w:rPr>
            </w:pPr>
          </w:p>
        </w:tc>
        <w:tc>
          <w:tcPr>
            <w:tcW w:w="2371" w:type="dxa"/>
          </w:tcPr>
          <w:p w14:paraId="52D52F81" w14:textId="4A169195" w:rsidR="0060313C" w:rsidRPr="000D1DF9"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907D21">
              <w:rPr>
                <w:rFonts w:cs="Times New Roman"/>
                <w:w w:val="0"/>
                <w:sz w:val="20"/>
              </w:rPr>
              <w:t>Other</w:t>
            </w:r>
          </w:p>
        </w:tc>
        <w:tc>
          <w:tcPr>
            <w:tcW w:w="720" w:type="dxa"/>
          </w:tcPr>
          <w:p w14:paraId="578C3ACF" w14:textId="5EDBEC5A" w:rsidR="0060313C" w:rsidRPr="0060313C"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60313C">
              <w:rPr>
                <w:rFonts w:cs="Times New Roman"/>
                <w:w w:val="0"/>
                <w:sz w:val="20"/>
              </w:rPr>
              <w:t>2</w:t>
            </w:r>
          </w:p>
        </w:tc>
        <w:tc>
          <w:tcPr>
            <w:tcW w:w="720" w:type="dxa"/>
          </w:tcPr>
          <w:p w14:paraId="39B8F3F6" w14:textId="36070FC3" w:rsidR="0060313C" w:rsidRPr="0060313C"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60313C">
              <w:rPr>
                <w:rFonts w:cs="Times New Roman"/>
                <w:w w:val="0"/>
                <w:sz w:val="20"/>
              </w:rPr>
              <w:t>2%</w:t>
            </w:r>
          </w:p>
        </w:tc>
      </w:tr>
      <w:tr w:rsidR="0060313C" w:rsidRPr="000D1DF9" w14:paraId="530D3540" w14:textId="77777777" w:rsidTr="00A96B12">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072E5177" w14:textId="77777777" w:rsidR="0060313C" w:rsidRPr="000D1DF9" w:rsidRDefault="0060313C" w:rsidP="0060313C">
            <w:pPr>
              <w:jc w:val="left"/>
              <w:rPr>
                <w:sz w:val="20"/>
              </w:rPr>
            </w:pPr>
          </w:p>
        </w:tc>
        <w:tc>
          <w:tcPr>
            <w:tcW w:w="1980" w:type="dxa"/>
          </w:tcPr>
          <w:p w14:paraId="16F7F8B5" w14:textId="051D0708" w:rsidR="0060313C" w:rsidRPr="00907D21" w:rsidRDefault="0060313C" w:rsidP="0060313C">
            <w:pPr>
              <w:jc w:val="left"/>
              <w:cnfStyle w:val="000000000000" w:firstRow="0" w:lastRow="0" w:firstColumn="0" w:lastColumn="0" w:oddVBand="0" w:evenVBand="0" w:oddHBand="0" w:evenHBand="0" w:firstRowFirstColumn="0" w:firstRowLastColumn="0" w:lastRowFirstColumn="0" w:lastRowLastColumn="0"/>
              <w:rPr>
                <w:sz w:val="20"/>
              </w:rPr>
            </w:pPr>
            <w:r>
              <w:rPr>
                <w:sz w:val="20"/>
              </w:rPr>
              <w:t>Thought disorder</w:t>
            </w:r>
          </w:p>
        </w:tc>
        <w:tc>
          <w:tcPr>
            <w:tcW w:w="810" w:type="dxa"/>
          </w:tcPr>
          <w:p w14:paraId="420CED41" w14:textId="45A372CE" w:rsidR="0060313C" w:rsidRPr="00421F73" w:rsidRDefault="0060313C" w:rsidP="0060313C">
            <w:pPr>
              <w:jc w:val="center"/>
              <w:cnfStyle w:val="000000000000" w:firstRow="0" w:lastRow="0" w:firstColumn="0" w:lastColumn="0" w:oddVBand="0" w:evenVBand="0" w:oddHBand="0" w:evenHBand="0" w:firstRowFirstColumn="0" w:firstRowLastColumn="0" w:lastRowFirstColumn="0" w:lastRowLastColumn="0"/>
              <w:rPr>
                <w:sz w:val="20"/>
                <w:highlight w:val="yellow"/>
              </w:rPr>
            </w:pPr>
            <w:r>
              <w:rPr>
                <w:sz w:val="20"/>
              </w:rPr>
              <w:t>1</w:t>
            </w:r>
          </w:p>
        </w:tc>
        <w:tc>
          <w:tcPr>
            <w:tcW w:w="774" w:type="dxa"/>
          </w:tcPr>
          <w:p w14:paraId="04F6A49E" w14:textId="2A782BD1" w:rsidR="0060313C" w:rsidRPr="00421F73" w:rsidRDefault="0060313C" w:rsidP="0060313C">
            <w:pPr>
              <w:jc w:val="center"/>
              <w:cnfStyle w:val="000000000000" w:firstRow="0" w:lastRow="0" w:firstColumn="0" w:lastColumn="0" w:oddVBand="0" w:evenVBand="0" w:oddHBand="0" w:evenHBand="0" w:firstRowFirstColumn="0" w:firstRowLastColumn="0" w:lastRowFirstColumn="0" w:lastRowLastColumn="0"/>
              <w:rPr>
                <w:sz w:val="20"/>
                <w:highlight w:val="yellow"/>
              </w:rPr>
            </w:pPr>
            <w:r>
              <w:rPr>
                <w:sz w:val="20"/>
              </w:rPr>
              <w:t>1%</w:t>
            </w:r>
          </w:p>
        </w:tc>
        <w:tc>
          <w:tcPr>
            <w:tcW w:w="1656" w:type="dxa"/>
            <w:vMerge/>
            <w:shd w:val="clear" w:color="auto" w:fill="DD8047" w:themeFill="accent2"/>
          </w:tcPr>
          <w:p w14:paraId="0515F840" w14:textId="77777777" w:rsidR="0060313C" w:rsidRPr="000D1DF9" w:rsidRDefault="0060313C" w:rsidP="0060313C">
            <w:pPr>
              <w:jc w:val="left"/>
              <w:cnfStyle w:val="000000000000" w:firstRow="0" w:lastRow="0" w:firstColumn="0" w:lastColumn="0" w:oddVBand="0" w:evenVBand="0" w:oddHBand="0" w:evenHBand="0" w:firstRowFirstColumn="0" w:firstRowLastColumn="0" w:lastRowFirstColumn="0" w:lastRowLastColumn="0"/>
              <w:rPr>
                <w:sz w:val="20"/>
              </w:rPr>
            </w:pPr>
          </w:p>
        </w:tc>
        <w:tc>
          <w:tcPr>
            <w:tcW w:w="2371" w:type="dxa"/>
          </w:tcPr>
          <w:p w14:paraId="36E1613A" w14:textId="6E8C16F1" w:rsidR="0060313C" w:rsidRPr="000D1DF9"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B41BF5">
              <w:rPr>
                <w:rFonts w:cs="Times New Roman"/>
                <w:w w:val="0"/>
                <w:sz w:val="20"/>
              </w:rPr>
              <w:t>Mobile Crisis Intervention</w:t>
            </w:r>
          </w:p>
        </w:tc>
        <w:tc>
          <w:tcPr>
            <w:tcW w:w="720" w:type="dxa"/>
          </w:tcPr>
          <w:p w14:paraId="7F5BCDD3" w14:textId="0F5907FA" w:rsidR="0060313C" w:rsidRPr="000D1DF9"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1</w:t>
            </w:r>
          </w:p>
        </w:tc>
        <w:tc>
          <w:tcPr>
            <w:tcW w:w="720" w:type="dxa"/>
          </w:tcPr>
          <w:p w14:paraId="7FF41D19" w14:textId="6593AF00" w:rsidR="0060313C" w:rsidRPr="000D1DF9"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1%</w:t>
            </w:r>
          </w:p>
        </w:tc>
      </w:tr>
      <w:tr w:rsidR="0060313C" w:rsidRPr="000D1DF9" w14:paraId="42F58C0C" w14:textId="77777777" w:rsidTr="006031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val="restart"/>
          </w:tcPr>
          <w:p w14:paraId="3CC0CB1E" w14:textId="77777777" w:rsidR="0060313C" w:rsidRPr="00907D21" w:rsidRDefault="0060313C" w:rsidP="0060313C">
            <w:pPr>
              <w:jc w:val="left"/>
              <w:rPr>
                <w:sz w:val="20"/>
              </w:rPr>
            </w:pPr>
            <w:r w:rsidRPr="00907D21">
              <w:rPr>
                <w:sz w:val="20"/>
              </w:rPr>
              <w:t>Service System Use (Current)</w:t>
            </w:r>
          </w:p>
        </w:tc>
        <w:tc>
          <w:tcPr>
            <w:tcW w:w="1980" w:type="dxa"/>
          </w:tcPr>
          <w:p w14:paraId="4B3D02D5" w14:textId="77777777" w:rsidR="0060313C" w:rsidRPr="00907D21"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907D21">
              <w:rPr>
                <w:rFonts w:cs="Times New Roman"/>
                <w:w w:val="0"/>
                <w:sz w:val="20"/>
              </w:rPr>
              <w:t>Special Education</w:t>
            </w:r>
          </w:p>
        </w:tc>
        <w:tc>
          <w:tcPr>
            <w:tcW w:w="810" w:type="dxa"/>
          </w:tcPr>
          <w:p w14:paraId="7EA28369" w14:textId="6112CB85" w:rsidR="0060313C" w:rsidRPr="000D1DF9"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86</w:t>
            </w:r>
          </w:p>
        </w:tc>
        <w:tc>
          <w:tcPr>
            <w:tcW w:w="774" w:type="dxa"/>
          </w:tcPr>
          <w:p w14:paraId="3B9851C6" w14:textId="287CBFFA" w:rsidR="0060313C" w:rsidRPr="000D1DF9"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70%</w:t>
            </w:r>
          </w:p>
        </w:tc>
        <w:tc>
          <w:tcPr>
            <w:tcW w:w="1656" w:type="dxa"/>
            <w:vMerge/>
            <w:tcBorders>
              <w:bottom w:val="single" w:sz="4" w:space="0" w:color="FFFFFF" w:themeColor="background1"/>
            </w:tcBorders>
            <w:shd w:val="clear" w:color="auto" w:fill="DD8047" w:themeFill="accent2"/>
          </w:tcPr>
          <w:p w14:paraId="5D85F1DE" w14:textId="77777777" w:rsidR="0060313C" w:rsidRPr="000D1DF9" w:rsidRDefault="0060313C" w:rsidP="0060313C">
            <w:pPr>
              <w:jc w:val="left"/>
              <w:cnfStyle w:val="000000100000" w:firstRow="0" w:lastRow="0" w:firstColumn="0" w:lastColumn="0" w:oddVBand="0" w:evenVBand="0" w:oddHBand="1" w:evenHBand="0" w:firstRowFirstColumn="0" w:firstRowLastColumn="0" w:lastRowFirstColumn="0" w:lastRowLastColumn="0"/>
              <w:rPr>
                <w:sz w:val="20"/>
              </w:rPr>
            </w:pPr>
          </w:p>
        </w:tc>
        <w:tc>
          <w:tcPr>
            <w:tcW w:w="2371" w:type="dxa"/>
          </w:tcPr>
          <w:p w14:paraId="769CC2CA" w14:textId="2EFF09AD" w:rsidR="0060313C"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B41BF5">
              <w:rPr>
                <w:rFonts w:cs="Times New Roman"/>
                <w:w w:val="0"/>
                <w:sz w:val="20"/>
              </w:rPr>
              <w:t>Peer Mentor</w:t>
            </w:r>
          </w:p>
        </w:tc>
        <w:tc>
          <w:tcPr>
            <w:tcW w:w="720" w:type="dxa"/>
          </w:tcPr>
          <w:p w14:paraId="76E9A3DC" w14:textId="0922FB5B" w:rsidR="0060313C"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c>
          <w:tcPr>
            <w:tcW w:w="720" w:type="dxa"/>
          </w:tcPr>
          <w:p w14:paraId="7C401F16" w14:textId="1E118CCE" w:rsidR="0060313C"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r>
      <w:tr w:rsidR="0060313C" w:rsidRPr="000D1DF9" w14:paraId="5A648CD3" w14:textId="77777777" w:rsidTr="0060313C">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610A8857" w14:textId="77777777" w:rsidR="0060313C" w:rsidRPr="00907D21" w:rsidRDefault="0060313C" w:rsidP="0060313C">
            <w:pPr>
              <w:jc w:val="left"/>
              <w:rPr>
                <w:sz w:val="20"/>
              </w:rPr>
            </w:pPr>
          </w:p>
        </w:tc>
        <w:tc>
          <w:tcPr>
            <w:tcW w:w="1980" w:type="dxa"/>
          </w:tcPr>
          <w:p w14:paraId="6C1D6598" w14:textId="77777777" w:rsidR="0060313C" w:rsidRPr="00907D21"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907D21">
              <w:rPr>
                <w:rFonts w:cs="Times New Roman"/>
                <w:w w:val="0"/>
                <w:sz w:val="20"/>
              </w:rPr>
              <w:t>DCF</w:t>
            </w:r>
          </w:p>
        </w:tc>
        <w:tc>
          <w:tcPr>
            <w:tcW w:w="810" w:type="dxa"/>
          </w:tcPr>
          <w:p w14:paraId="3ECF58F4" w14:textId="1B93AA2A" w:rsidR="0060313C" w:rsidRPr="000D1DF9"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34</w:t>
            </w:r>
          </w:p>
        </w:tc>
        <w:tc>
          <w:tcPr>
            <w:tcW w:w="774" w:type="dxa"/>
          </w:tcPr>
          <w:p w14:paraId="33944F4D" w14:textId="3BFFAB24" w:rsidR="0060313C" w:rsidRPr="000D1DF9"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28%</w:t>
            </w:r>
          </w:p>
        </w:tc>
        <w:tc>
          <w:tcPr>
            <w:tcW w:w="1656" w:type="dxa"/>
            <w:vMerge w:val="restart"/>
            <w:tcBorders>
              <w:top w:val="single" w:sz="4" w:space="0" w:color="FFFFFF" w:themeColor="background1"/>
            </w:tcBorders>
            <w:shd w:val="clear" w:color="auto" w:fill="DD8047" w:themeFill="accent2"/>
          </w:tcPr>
          <w:p w14:paraId="5BB2FB76" w14:textId="48213832" w:rsidR="0060313C" w:rsidRPr="000D1DF9" w:rsidRDefault="0060313C" w:rsidP="0060313C">
            <w:pPr>
              <w:jc w:val="left"/>
              <w:cnfStyle w:val="000000000000" w:firstRow="0" w:lastRow="0" w:firstColumn="0" w:lastColumn="0" w:oddVBand="0" w:evenVBand="0" w:oddHBand="0" w:evenHBand="0" w:firstRowFirstColumn="0" w:firstRowLastColumn="0" w:lastRowFirstColumn="0" w:lastRowLastColumn="0"/>
              <w:rPr>
                <w:sz w:val="20"/>
              </w:rPr>
            </w:pPr>
            <w:r w:rsidRPr="003972CA">
              <w:rPr>
                <w:b/>
                <w:color w:val="FFFFFF" w:themeColor="background1"/>
                <w:sz w:val="20"/>
              </w:rPr>
              <w:t>DCF Involved (Past Year)*</w:t>
            </w:r>
          </w:p>
        </w:tc>
        <w:tc>
          <w:tcPr>
            <w:tcW w:w="2371" w:type="dxa"/>
          </w:tcPr>
          <w:p w14:paraId="7C65CA6F" w14:textId="2F041AA3" w:rsidR="0060313C"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No</w:t>
            </w:r>
          </w:p>
        </w:tc>
        <w:tc>
          <w:tcPr>
            <w:tcW w:w="720" w:type="dxa"/>
          </w:tcPr>
          <w:p w14:paraId="68140C18" w14:textId="4B7EA9C5" w:rsidR="0060313C" w:rsidRPr="00DF3B30"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highlight w:val="yellow"/>
              </w:rPr>
            </w:pPr>
            <w:r>
              <w:rPr>
                <w:rFonts w:cs="Times New Roman"/>
                <w:w w:val="0"/>
                <w:sz w:val="20"/>
              </w:rPr>
              <w:t>73</w:t>
            </w:r>
          </w:p>
        </w:tc>
        <w:tc>
          <w:tcPr>
            <w:tcW w:w="720" w:type="dxa"/>
          </w:tcPr>
          <w:p w14:paraId="6420D3A7" w14:textId="5543BA24" w:rsidR="0060313C" w:rsidRPr="00DF3B30"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highlight w:val="yellow"/>
              </w:rPr>
            </w:pPr>
            <w:r>
              <w:rPr>
                <w:rFonts w:cs="Times New Roman"/>
                <w:w w:val="0"/>
                <w:sz w:val="20"/>
              </w:rPr>
              <w:t>82%</w:t>
            </w:r>
          </w:p>
        </w:tc>
      </w:tr>
      <w:tr w:rsidR="0060313C" w:rsidRPr="000D1DF9" w14:paraId="59B564E8" w14:textId="77777777" w:rsidTr="00A96B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5E7B6EB7" w14:textId="77777777" w:rsidR="0060313C" w:rsidRPr="00907D21" w:rsidRDefault="0060313C" w:rsidP="0060313C">
            <w:pPr>
              <w:jc w:val="left"/>
              <w:rPr>
                <w:sz w:val="20"/>
              </w:rPr>
            </w:pPr>
          </w:p>
        </w:tc>
        <w:tc>
          <w:tcPr>
            <w:tcW w:w="1980" w:type="dxa"/>
          </w:tcPr>
          <w:p w14:paraId="40534A2E" w14:textId="0C58AF70" w:rsidR="0060313C" w:rsidRPr="00907D21"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DMH</w:t>
            </w:r>
          </w:p>
        </w:tc>
        <w:tc>
          <w:tcPr>
            <w:tcW w:w="810" w:type="dxa"/>
          </w:tcPr>
          <w:p w14:paraId="5651AF89" w14:textId="414F0F03" w:rsidR="0060313C" w:rsidRPr="000D1DF9"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9</w:t>
            </w:r>
          </w:p>
        </w:tc>
        <w:tc>
          <w:tcPr>
            <w:tcW w:w="774" w:type="dxa"/>
          </w:tcPr>
          <w:p w14:paraId="16C7F908" w14:textId="10FFD031" w:rsidR="0060313C" w:rsidRPr="000D1DF9"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7%</w:t>
            </w:r>
          </w:p>
        </w:tc>
        <w:tc>
          <w:tcPr>
            <w:tcW w:w="1656" w:type="dxa"/>
            <w:vMerge/>
            <w:shd w:val="clear" w:color="auto" w:fill="DD8047" w:themeFill="accent2"/>
          </w:tcPr>
          <w:p w14:paraId="10A96EB7" w14:textId="77777777" w:rsidR="0060313C" w:rsidRPr="000D1DF9" w:rsidRDefault="0060313C" w:rsidP="0060313C">
            <w:pPr>
              <w:jc w:val="left"/>
              <w:cnfStyle w:val="000000100000" w:firstRow="0" w:lastRow="0" w:firstColumn="0" w:lastColumn="0" w:oddVBand="0" w:evenVBand="0" w:oddHBand="1" w:evenHBand="0" w:firstRowFirstColumn="0" w:firstRowLastColumn="0" w:lastRowFirstColumn="0" w:lastRowLastColumn="0"/>
              <w:rPr>
                <w:sz w:val="20"/>
              </w:rPr>
            </w:pPr>
          </w:p>
        </w:tc>
        <w:tc>
          <w:tcPr>
            <w:tcW w:w="2371" w:type="dxa"/>
          </w:tcPr>
          <w:p w14:paraId="4F092EE8" w14:textId="2248CD2C" w:rsidR="0060313C" w:rsidRPr="00B41BF5"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Yes</w:t>
            </w:r>
          </w:p>
        </w:tc>
        <w:tc>
          <w:tcPr>
            <w:tcW w:w="720" w:type="dxa"/>
          </w:tcPr>
          <w:p w14:paraId="2E595E9D" w14:textId="5DF3DF82" w:rsidR="0060313C" w:rsidRPr="00DF3B30"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0"/>
                <w:highlight w:val="yellow"/>
              </w:rPr>
            </w:pPr>
            <w:r>
              <w:rPr>
                <w:rFonts w:cs="Times New Roman"/>
                <w:w w:val="0"/>
                <w:sz w:val="20"/>
              </w:rPr>
              <w:t>16</w:t>
            </w:r>
          </w:p>
        </w:tc>
        <w:tc>
          <w:tcPr>
            <w:tcW w:w="720" w:type="dxa"/>
          </w:tcPr>
          <w:p w14:paraId="358F68D4" w14:textId="6FD265DA" w:rsidR="0060313C" w:rsidRPr="00DF3B30"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0"/>
                <w:highlight w:val="yellow"/>
              </w:rPr>
            </w:pPr>
            <w:r>
              <w:rPr>
                <w:rFonts w:cs="Times New Roman"/>
                <w:w w:val="0"/>
                <w:sz w:val="20"/>
              </w:rPr>
              <w:t>18%</w:t>
            </w:r>
          </w:p>
        </w:tc>
      </w:tr>
      <w:tr w:rsidR="0060313C" w:rsidRPr="000D1DF9" w14:paraId="5F19D13F" w14:textId="77777777" w:rsidTr="0060313C">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1EECF498" w14:textId="77777777" w:rsidR="0060313C" w:rsidRPr="00907D21" w:rsidRDefault="0060313C" w:rsidP="0060313C">
            <w:pPr>
              <w:jc w:val="left"/>
              <w:rPr>
                <w:sz w:val="20"/>
              </w:rPr>
            </w:pPr>
          </w:p>
        </w:tc>
        <w:tc>
          <w:tcPr>
            <w:tcW w:w="1980" w:type="dxa"/>
          </w:tcPr>
          <w:p w14:paraId="03703CAB" w14:textId="0F1FBBBA" w:rsidR="0060313C" w:rsidRPr="00907D21"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907D21">
              <w:rPr>
                <w:rFonts w:cs="Times New Roman"/>
                <w:w w:val="0"/>
                <w:sz w:val="20"/>
              </w:rPr>
              <w:t>DDS</w:t>
            </w:r>
          </w:p>
        </w:tc>
        <w:tc>
          <w:tcPr>
            <w:tcW w:w="810" w:type="dxa"/>
          </w:tcPr>
          <w:p w14:paraId="03D4309C" w14:textId="4F717FA6" w:rsidR="0060313C" w:rsidRPr="00421F73"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highlight w:val="yellow"/>
              </w:rPr>
            </w:pPr>
            <w:r>
              <w:rPr>
                <w:rFonts w:cs="Times New Roman"/>
                <w:w w:val="0"/>
                <w:sz w:val="20"/>
              </w:rPr>
              <w:t>6</w:t>
            </w:r>
          </w:p>
        </w:tc>
        <w:tc>
          <w:tcPr>
            <w:tcW w:w="774" w:type="dxa"/>
          </w:tcPr>
          <w:p w14:paraId="7E5984E5" w14:textId="503ADC2B" w:rsidR="0060313C" w:rsidRPr="00421F73"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highlight w:val="yellow"/>
              </w:rPr>
            </w:pPr>
            <w:r>
              <w:rPr>
                <w:rFonts w:cs="Times New Roman"/>
                <w:w w:val="0"/>
                <w:sz w:val="20"/>
              </w:rPr>
              <w:t>5%</w:t>
            </w:r>
          </w:p>
        </w:tc>
        <w:tc>
          <w:tcPr>
            <w:tcW w:w="5467" w:type="dxa"/>
            <w:gridSpan w:val="4"/>
            <w:vMerge w:val="restart"/>
          </w:tcPr>
          <w:p w14:paraId="359CE56A" w14:textId="20AFD087" w:rsidR="0060313C" w:rsidRPr="00311AC8"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2C03C5">
              <w:rPr>
                <w:sz w:val="18"/>
                <w:szCs w:val="18"/>
              </w:rPr>
              <w:t>*Exclud</w:t>
            </w:r>
            <w:r>
              <w:rPr>
                <w:sz w:val="18"/>
                <w:szCs w:val="18"/>
              </w:rPr>
              <w:t>es</w:t>
            </w:r>
            <w:r w:rsidRPr="002C03C5">
              <w:rPr>
                <w:sz w:val="18"/>
                <w:szCs w:val="18"/>
              </w:rPr>
              <w:t xml:space="preserve"> those with current DCF involvement</w:t>
            </w:r>
          </w:p>
        </w:tc>
      </w:tr>
      <w:tr w:rsidR="0060313C" w:rsidRPr="000D1DF9" w14:paraId="40DE4E12" w14:textId="77777777" w:rsidTr="006031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7C7D517F" w14:textId="77777777" w:rsidR="0060313C" w:rsidRPr="000D1DF9" w:rsidRDefault="0060313C" w:rsidP="0060313C">
            <w:pPr>
              <w:rPr>
                <w:sz w:val="20"/>
              </w:rPr>
            </w:pPr>
          </w:p>
        </w:tc>
        <w:tc>
          <w:tcPr>
            <w:tcW w:w="1980" w:type="dxa"/>
          </w:tcPr>
          <w:p w14:paraId="6EAC7FC0" w14:textId="283BC2B2" w:rsidR="0060313C" w:rsidRPr="000D1DF9"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A02E88">
              <w:rPr>
                <w:rFonts w:cs="Times New Roman"/>
                <w:w w:val="0"/>
                <w:sz w:val="20"/>
              </w:rPr>
              <w:t>Child Requiring Assistance (CRA)</w:t>
            </w:r>
          </w:p>
        </w:tc>
        <w:tc>
          <w:tcPr>
            <w:tcW w:w="810" w:type="dxa"/>
          </w:tcPr>
          <w:p w14:paraId="6AADEA73" w14:textId="17A8F7F7" w:rsidR="0060313C"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3</w:t>
            </w:r>
          </w:p>
        </w:tc>
        <w:tc>
          <w:tcPr>
            <w:tcW w:w="774" w:type="dxa"/>
          </w:tcPr>
          <w:p w14:paraId="2D0827CD" w14:textId="483D7547" w:rsidR="0060313C"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2%</w:t>
            </w:r>
          </w:p>
        </w:tc>
        <w:tc>
          <w:tcPr>
            <w:tcW w:w="5467" w:type="dxa"/>
            <w:gridSpan w:val="4"/>
            <w:vMerge/>
          </w:tcPr>
          <w:p w14:paraId="4FE5E064" w14:textId="629F9F51" w:rsidR="0060313C" w:rsidRPr="000D1DF9"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p>
        </w:tc>
      </w:tr>
      <w:tr w:rsidR="0060313C" w:rsidRPr="000D1DF9" w14:paraId="4304FD7A" w14:textId="77777777" w:rsidTr="00A96B12">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2B65D80A" w14:textId="77777777" w:rsidR="0060313C" w:rsidRPr="000D1DF9" w:rsidRDefault="0060313C" w:rsidP="0060313C">
            <w:pPr>
              <w:rPr>
                <w:sz w:val="20"/>
              </w:rPr>
            </w:pPr>
          </w:p>
        </w:tc>
        <w:tc>
          <w:tcPr>
            <w:tcW w:w="1980" w:type="dxa"/>
          </w:tcPr>
          <w:p w14:paraId="7D1DC6C1" w14:textId="56930E58" w:rsidR="0060313C" w:rsidRPr="000D1DF9"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Probation</w:t>
            </w:r>
          </w:p>
        </w:tc>
        <w:tc>
          <w:tcPr>
            <w:tcW w:w="810" w:type="dxa"/>
          </w:tcPr>
          <w:p w14:paraId="7A5ED31F" w14:textId="2DF1E8C1" w:rsidR="0060313C" w:rsidRPr="00F37AD6"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F37AD6">
              <w:rPr>
                <w:rFonts w:cs="Times New Roman"/>
                <w:w w:val="0"/>
                <w:sz w:val="20"/>
              </w:rPr>
              <w:t>2</w:t>
            </w:r>
          </w:p>
        </w:tc>
        <w:tc>
          <w:tcPr>
            <w:tcW w:w="774" w:type="dxa"/>
          </w:tcPr>
          <w:p w14:paraId="22D63397" w14:textId="7EE4AB42" w:rsidR="0060313C" w:rsidRPr="00F37AD6"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F37AD6">
              <w:rPr>
                <w:rFonts w:cs="Times New Roman"/>
                <w:w w:val="0"/>
                <w:sz w:val="20"/>
              </w:rPr>
              <w:t>2%</w:t>
            </w:r>
          </w:p>
        </w:tc>
        <w:tc>
          <w:tcPr>
            <w:tcW w:w="5467" w:type="dxa"/>
            <w:gridSpan w:val="4"/>
            <w:vMerge/>
          </w:tcPr>
          <w:p w14:paraId="0E85EDEB" w14:textId="769206FC" w:rsidR="0060313C" w:rsidRPr="00311AC8"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p>
        </w:tc>
      </w:tr>
      <w:tr w:rsidR="0060313C" w:rsidRPr="000D1DF9" w14:paraId="5849EB4F" w14:textId="77777777" w:rsidTr="00A96B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317D187F" w14:textId="77777777" w:rsidR="0060313C" w:rsidRPr="000D1DF9" w:rsidRDefault="0060313C" w:rsidP="0060313C">
            <w:pPr>
              <w:rPr>
                <w:sz w:val="20"/>
              </w:rPr>
            </w:pPr>
          </w:p>
        </w:tc>
        <w:tc>
          <w:tcPr>
            <w:tcW w:w="1980" w:type="dxa"/>
          </w:tcPr>
          <w:p w14:paraId="27219E8C" w14:textId="002F0F5F" w:rsidR="0060313C" w:rsidRPr="000D1DF9"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Other</w:t>
            </w:r>
          </w:p>
        </w:tc>
        <w:tc>
          <w:tcPr>
            <w:tcW w:w="810" w:type="dxa"/>
          </w:tcPr>
          <w:p w14:paraId="4FCC359A" w14:textId="58F29C6B" w:rsidR="0060313C" w:rsidRPr="00C10EBF"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1</w:t>
            </w:r>
          </w:p>
        </w:tc>
        <w:tc>
          <w:tcPr>
            <w:tcW w:w="774" w:type="dxa"/>
          </w:tcPr>
          <w:p w14:paraId="68313F7E" w14:textId="5EE31A91" w:rsidR="0060313C" w:rsidRPr="00C10EBF"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1%</w:t>
            </w:r>
          </w:p>
        </w:tc>
        <w:tc>
          <w:tcPr>
            <w:tcW w:w="5467" w:type="dxa"/>
            <w:gridSpan w:val="4"/>
            <w:vMerge/>
          </w:tcPr>
          <w:p w14:paraId="445DA9DA" w14:textId="77777777" w:rsidR="0060313C" w:rsidRPr="000D1DF9" w:rsidRDefault="0060313C" w:rsidP="00603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p>
        </w:tc>
      </w:tr>
    </w:tbl>
    <w:p w14:paraId="4BA838EB" w14:textId="323F74DF" w:rsidR="00BD4C56" w:rsidRDefault="00BD4C56" w:rsidP="00BD4C56">
      <w:pPr>
        <w:rPr>
          <w:rFonts w:ascii="Gill Sans" w:eastAsiaTheme="majorEastAsia" w:hAnsi="Gill Sans" w:cstheme="majorBidi"/>
          <w:b/>
          <w:bCs/>
          <w:color w:val="716767" w:themeColor="accent6" w:themeShade="BF"/>
          <w:sz w:val="22"/>
        </w:rPr>
      </w:pPr>
      <w:bookmarkStart w:id="25" w:name="_Toc491863262"/>
    </w:p>
    <w:p w14:paraId="47735B10" w14:textId="5961716D" w:rsidR="00977E84" w:rsidRDefault="00977E84" w:rsidP="00BD4C56">
      <w:pPr>
        <w:rPr>
          <w:rFonts w:ascii="Gill Sans" w:eastAsiaTheme="majorEastAsia" w:hAnsi="Gill Sans" w:cstheme="majorBidi"/>
          <w:b/>
          <w:bCs/>
          <w:color w:val="716767" w:themeColor="accent6" w:themeShade="BF"/>
          <w:sz w:val="22"/>
        </w:rPr>
      </w:pPr>
    </w:p>
    <w:p w14:paraId="0A493B64" w14:textId="678C925D" w:rsidR="00977E84" w:rsidRDefault="00977E84" w:rsidP="00BD4C56">
      <w:pPr>
        <w:rPr>
          <w:rFonts w:ascii="Gill Sans" w:eastAsiaTheme="majorEastAsia" w:hAnsi="Gill Sans" w:cstheme="majorBidi"/>
          <w:b/>
          <w:bCs/>
          <w:color w:val="716767" w:themeColor="accent6" w:themeShade="BF"/>
          <w:sz w:val="22"/>
        </w:rPr>
      </w:pPr>
    </w:p>
    <w:p w14:paraId="16D7D55A" w14:textId="4FFDD327" w:rsidR="00977E84" w:rsidRDefault="00977E84" w:rsidP="00BD4C56">
      <w:pPr>
        <w:rPr>
          <w:rFonts w:ascii="Gill Sans" w:eastAsiaTheme="majorEastAsia" w:hAnsi="Gill Sans" w:cstheme="majorBidi"/>
          <w:b/>
          <w:bCs/>
          <w:color w:val="716767" w:themeColor="accent6" w:themeShade="BF"/>
          <w:sz w:val="22"/>
        </w:rPr>
      </w:pPr>
    </w:p>
    <w:p w14:paraId="579A631F" w14:textId="2162DA47" w:rsidR="00977E84" w:rsidRDefault="00977E84" w:rsidP="00BD4C56">
      <w:pPr>
        <w:rPr>
          <w:rFonts w:ascii="Gill Sans" w:eastAsiaTheme="majorEastAsia" w:hAnsi="Gill Sans" w:cstheme="majorBidi"/>
          <w:b/>
          <w:bCs/>
          <w:color w:val="716767" w:themeColor="accent6" w:themeShade="BF"/>
          <w:sz w:val="22"/>
        </w:rPr>
      </w:pPr>
    </w:p>
    <w:p w14:paraId="685CAB95" w14:textId="77777777" w:rsidR="00977E84" w:rsidRPr="00BD4C56" w:rsidRDefault="00977E84" w:rsidP="00BD4C56"/>
    <w:p w14:paraId="322EFB22" w14:textId="77777777" w:rsidR="00977E84" w:rsidRDefault="00977E84" w:rsidP="00644543">
      <w:pPr>
        <w:pStyle w:val="Heading3"/>
        <w:jc w:val="both"/>
        <w:rPr>
          <w:color w:val="716767" w:themeColor="accent6" w:themeShade="BF"/>
        </w:rPr>
      </w:pPr>
    </w:p>
    <w:p w14:paraId="11C49AF9" w14:textId="1646B8DF" w:rsidR="002F11C3" w:rsidRPr="00644543" w:rsidRDefault="00EB05FF" w:rsidP="00644543">
      <w:pPr>
        <w:pStyle w:val="Heading3"/>
        <w:jc w:val="both"/>
        <w:rPr>
          <w:rFonts w:asciiTheme="minorHAnsi" w:hAnsiTheme="minorHAnsi"/>
        </w:rPr>
      </w:pPr>
      <w:bookmarkStart w:id="26" w:name="_Toc22632487"/>
      <w:r w:rsidRPr="00644543">
        <w:rPr>
          <w:color w:val="716767" w:themeColor="accent6" w:themeShade="BF"/>
        </w:rPr>
        <w:t xml:space="preserve">Practice </w:t>
      </w:r>
      <w:r w:rsidR="00F77385" w:rsidRPr="00644543">
        <w:rPr>
          <w:color w:val="716767" w:themeColor="accent6" w:themeShade="BF"/>
        </w:rPr>
        <w:t>Domain Results</w:t>
      </w:r>
      <w:bookmarkEnd w:id="25"/>
      <w:bookmarkEnd w:id="26"/>
    </w:p>
    <w:p w14:paraId="0AB268D3" w14:textId="6371D6DD" w:rsidR="00F77385" w:rsidRPr="00F77385" w:rsidRDefault="001A7A40" w:rsidP="004C58E0">
      <w:r>
        <w:t>Areas o</w:t>
      </w:r>
      <w:r w:rsidR="0024667B">
        <w:t>f Practice</w:t>
      </w:r>
      <w:r>
        <w:t xml:space="preserve"> scoring is described above in </w:t>
      </w:r>
      <w:r>
        <w:rPr>
          <w:b/>
        </w:rPr>
        <w:t xml:space="preserve">Table </w:t>
      </w:r>
      <w:r w:rsidRPr="001A7A40">
        <w:rPr>
          <w:b/>
        </w:rPr>
        <w:t>2</w:t>
      </w:r>
      <w:r>
        <w:t xml:space="preserve">. </w:t>
      </w:r>
      <w:r w:rsidR="0049433A">
        <w:rPr>
          <w:b/>
          <w:color w:val="716767" w:themeColor="accent6" w:themeShade="BF"/>
        </w:rPr>
        <w:t xml:space="preserve">Table </w:t>
      </w:r>
      <w:r w:rsidR="00A4205B">
        <w:rPr>
          <w:b/>
          <w:color w:val="716767" w:themeColor="accent6" w:themeShade="BF"/>
        </w:rPr>
        <w:t>6</w:t>
      </w:r>
      <w:r w:rsidR="00F77385" w:rsidRPr="00402EDB">
        <w:rPr>
          <w:b/>
          <w:color w:val="716767" w:themeColor="accent6" w:themeShade="BF"/>
        </w:rPr>
        <w:t xml:space="preserve"> </w:t>
      </w:r>
      <w:r w:rsidR="00F77385" w:rsidRPr="00F77385">
        <w:t xml:space="preserve">summarizes </w:t>
      </w:r>
      <w:r>
        <w:t>the Areas o</w:t>
      </w:r>
      <w:r w:rsidR="00A61C53">
        <w:t>f Practice</w:t>
      </w:r>
      <w:r>
        <w:t xml:space="preserve"> </w:t>
      </w:r>
      <w:r w:rsidR="00F77385" w:rsidRPr="00F77385">
        <w:t>Domain me</w:t>
      </w:r>
      <w:r w:rsidR="00473C74">
        <w:t>an scores</w:t>
      </w:r>
      <w:r w:rsidR="00E05F53">
        <w:t>.</w:t>
      </w:r>
    </w:p>
    <w:p w14:paraId="796C2D02" w14:textId="6764A82B" w:rsidR="00B1096C" w:rsidRPr="00283716" w:rsidRDefault="004627DB" w:rsidP="009B1E9F">
      <w:pPr>
        <w:pStyle w:val="Heading3"/>
        <w:spacing w:before="120"/>
        <w:rPr>
          <w:rStyle w:val="Strong"/>
          <w:b/>
        </w:rPr>
      </w:pPr>
      <w:bookmarkStart w:id="27" w:name="_Toc22632488"/>
      <w:r w:rsidRPr="00283716">
        <w:rPr>
          <w:rStyle w:val="Strong"/>
          <w:b/>
        </w:rPr>
        <w:t xml:space="preserve">Table </w:t>
      </w:r>
      <w:r w:rsidR="00A4205B">
        <w:rPr>
          <w:rStyle w:val="Strong"/>
          <w:b/>
        </w:rPr>
        <w:t>6</w:t>
      </w:r>
      <w:r w:rsidR="00B1096C" w:rsidRPr="00283716">
        <w:rPr>
          <w:rStyle w:val="Strong"/>
          <w:b/>
        </w:rPr>
        <w:t xml:space="preserve">: </w:t>
      </w:r>
      <w:r w:rsidR="00F77385" w:rsidRPr="00283716">
        <w:rPr>
          <w:rStyle w:val="Strong"/>
          <w:b/>
        </w:rPr>
        <w:t xml:space="preserve">MPR Practice Mean Scores – </w:t>
      </w:r>
      <w:r w:rsidR="001A7A40">
        <w:rPr>
          <w:rStyle w:val="Strong"/>
          <w:b/>
        </w:rPr>
        <w:t>By</w:t>
      </w:r>
      <w:r w:rsidR="00F77385" w:rsidRPr="00283716">
        <w:rPr>
          <w:rStyle w:val="Strong"/>
          <w:b/>
        </w:rPr>
        <w:t xml:space="preserve"> Domain</w:t>
      </w:r>
      <w:bookmarkEnd w:id="27"/>
      <w:r w:rsidR="00F77385" w:rsidRPr="00283716">
        <w:rPr>
          <w:rStyle w:val="Strong"/>
          <w:b/>
        </w:rPr>
        <w:t xml:space="preserve"> </w:t>
      </w:r>
    </w:p>
    <w:tbl>
      <w:tblPr>
        <w:tblStyle w:val="GridTable4-Accent21"/>
        <w:tblW w:w="7915" w:type="dxa"/>
        <w:jc w:val="center"/>
        <w:tblLayout w:type="fixed"/>
        <w:tblLook w:val="04A0" w:firstRow="1" w:lastRow="0" w:firstColumn="1" w:lastColumn="0" w:noHBand="0" w:noVBand="1"/>
      </w:tblPr>
      <w:tblGrid>
        <w:gridCol w:w="4522"/>
        <w:gridCol w:w="627"/>
        <w:gridCol w:w="696"/>
        <w:gridCol w:w="810"/>
        <w:gridCol w:w="1260"/>
      </w:tblGrid>
      <w:tr w:rsidR="00B1096C" w:rsidRPr="00D62215" w14:paraId="71731AFF" w14:textId="77777777" w:rsidTr="001E1B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22" w:type="dxa"/>
          </w:tcPr>
          <w:p w14:paraId="46079512" w14:textId="77777777" w:rsidR="00B1096C" w:rsidRPr="00AF66BC" w:rsidRDefault="00B1096C" w:rsidP="00537C13">
            <w:pPr>
              <w:rPr>
                <w:b w:val="0"/>
                <w:bCs w:val="0"/>
                <w:color w:val="auto"/>
              </w:rPr>
            </w:pPr>
            <w:r w:rsidRPr="00AF66BC">
              <w:t>Domain</w:t>
            </w:r>
          </w:p>
        </w:tc>
        <w:tc>
          <w:tcPr>
            <w:tcW w:w="627" w:type="dxa"/>
          </w:tcPr>
          <w:p w14:paraId="2BEEAA62" w14:textId="77777777" w:rsidR="00B1096C" w:rsidRPr="00AF66BC" w:rsidRDefault="00B1096C" w:rsidP="00537C13">
            <w:pPr>
              <w:cnfStyle w:val="100000000000" w:firstRow="1" w:lastRow="0" w:firstColumn="0" w:lastColumn="0" w:oddVBand="0" w:evenVBand="0" w:oddHBand="0" w:evenHBand="0" w:firstRowFirstColumn="0" w:firstRowLastColumn="0" w:lastRowFirstColumn="0" w:lastRowLastColumn="0"/>
              <w:rPr>
                <w:b w:val="0"/>
                <w:bCs w:val="0"/>
                <w:color w:val="auto"/>
              </w:rPr>
            </w:pPr>
            <w:r w:rsidRPr="00AF66BC">
              <w:t>Min</w:t>
            </w:r>
          </w:p>
        </w:tc>
        <w:tc>
          <w:tcPr>
            <w:tcW w:w="696" w:type="dxa"/>
          </w:tcPr>
          <w:p w14:paraId="7E0B3914" w14:textId="77777777" w:rsidR="00B1096C" w:rsidRPr="00AF66BC" w:rsidRDefault="00B1096C" w:rsidP="00537C13">
            <w:pPr>
              <w:cnfStyle w:val="100000000000" w:firstRow="1" w:lastRow="0" w:firstColumn="0" w:lastColumn="0" w:oddVBand="0" w:evenVBand="0" w:oddHBand="0" w:evenHBand="0" w:firstRowFirstColumn="0" w:firstRowLastColumn="0" w:lastRowFirstColumn="0" w:lastRowLastColumn="0"/>
              <w:rPr>
                <w:b w:val="0"/>
                <w:bCs w:val="0"/>
                <w:color w:val="auto"/>
              </w:rPr>
            </w:pPr>
            <w:r w:rsidRPr="00AF66BC">
              <w:t>Max</w:t>
            </w:r>
          </w:p>
        </w:tc>
        <w:tc>
          <w:tcPr>
            <w:tcW w:w="810" w:type="dxa"/>
          </w:tcPr>
          <w:p w14:paraId="0F99BF69" w14:textId="77777777" w:rsidR="00B1096C" w:rsidRPr="00AF66BC" w:rsidRDefault="00B1096C" w:rsidP="00537C13">
            <w:pPr>
              <w:cnfStyle w:val="100000000000" w:firstRow="1" w:lastRow="0" w:firstColumn="0" w:lastColumn="0" w:oddVBand="0" w:evenVBand="0" w:oddHBand="0" w:evenHBand="0" w:firstRowFirstColumn="0" w:firstRowLastColumn="0" w:lastRowFirstColumn="0" w:lastRowLastColumn="0"/>
              <w:rPr>
                <w:b w:val="0"/>
                <w:bCs w:val="0"/>
                <w:color w:val="auto"/>
              </w:rPr>
            </w:pPr>
            <w:r w:rsidRPr="00AF66BC">
              <w:t>Mean</w:t>
            </w:r>
          </w:p>
        </w:tc>
        <w:tc>
          <w:tcPr>
            <w:tcW w:w="1260" w:type="dxa"/>
          </w:tcPr>
          <w:p w14:paraId="1850DE76" w14:textId="77777777" w:rsidR="00B1096C" w:rsidRPr="00AF66BC" w:rsidRDefault="00B1096C" w:rsidP="00537C13">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F66BC">
              <w:t>Standard Deviation</w:t>
            </w:r>
          </w:p>
        </w:tc>
      </w:tr>
      <w:tr w:rsidR="00B1096C" w:rsidRPr="00D62215" w14:paraId="6D2D24D3" w14:textId="77777777" w:rsidTr="001E1B37">
        <w:trPr>
          <w:cnfStyle w:val="000000100000" w:firstRow="0" w:lastRow="0" w:firstColumn="0" w:lastColumn="0" w:oddVBand="0" w:evenVBand="0" w:oddHBand="1" w:evenHBand="0" w:firstRowFirstColumn="0" w:firstRowLastColumn="0" w:lastRowFirstColumn="0" w:lastRowLastColumn="0"/>
          <w:trHeight w:val="835"/>
          <w:jc w:val="center"/>
        </w:trPr>
        <w:tc>
          <w:tcPr>
            <w:cnfStyle w:val="001000000000" w:firstRow="0" w:lastRow="0" w:firstColumn="1" w:lastColumn="0" w:oddVBand="0" w:evenVBand="0" w:oddHBand="0" w:evenHBand="0" w:firstRowFirstColumn="0" w:firstRowLastColumn="0" w:lastRowFirstColumn="0" w:lastRowLastColumn="0"/>
            <w:tcW w:w="4522" w:type="dxa"/>
          </w:tcPr>
          <w:p w14:paraId="67DFA970" w14:textId="77777777" w:rsidR="00B1096C" w:rsidRPr="00AF66BC" w:rsidRDefault="00B1096C" w:rsidP="00537C13">
            <w:pPr>
              <w:rPr>
                <w:b w:val="0"/>
                <w:bCs w:val="0"/>
              </w:rPr>
            </w:pPr>
            <w:r w:rsidRPr="00AF66BC">
              <w:t>Practice Overall</w:t>
            </w:r>
          </w:p>
          <w:p w14:paraId="0A7410D2" w14:textId="77777777" w:rsidR="00B1096C" w:rsidRPr="00AF66BC" w:rsidRDefault="00B1096C" w:rsidP="00537C13">
            <w:pPr>
              <w:rPr>
                <w:b w:val="0"/>
                <w:bCs w:val="0"/>
              </w:rPr>
            </w:pPr>
            <w:r w:rsidRPr="00AF66BC">
              <w:rPr>
                <w:b w:val="0"/>
              </w:rPr>
              <w:t>-ICC</w:t>
            </w:r>
          </w:p>
          <w:p w14:paraId="21B607AE" w14:textId="77777777" w:rsidR="00B1096C" w:rsidRPr="00AF66BC" w:rsidRDefault="00B1096C" w:rsidP="00537C13">
            <w:pPr>
              <w:rPr>
                <w:b w:val="0"/>
                <w:bCs w:val="0"/>
              </w:rPr>
            </w:pPr>
            <w:r w:rsidRPr="00AF66BC">
              <w:rPr>
                <w:b w:val="0"/>
              </w:rPr>
              <w:t>-IHT</w:t>
            </w:r>
          </w:p>
        </w:tc>
        <w:tc>
          <w:tcPr>
            <w:tcW w:w="627" w:type="dxa"/>
          </w:tcPr>
          <w:p w14:paraId="16016109" w14:textId="3BBBEDC3" w:rsidR="007E5C02" w:rsidRPr="00CA1F5A" w:rsidRDefault="00CA1F5A" w:rsidP="00DA1660">
            <w:pPr>
              <w:tabs>
                <w:tab w:val="center" w:pos="205"/>
              </w:tabs>
              <w:cnfStyle w:val="000000100000" w:firstRow="0" w:lastRow="0" w:firstColumn="0" w:lastColumn="0" w:oddVBand="0" w:evenVBand="0" w:oddHBand="1" w:evenHBand="0" w:firstRowFirstColumn="0" w:firstRowLastColumn="0" w:lastRowFirstColumn="0" w:lastRowLastColumn="0"/>
              <w:rPr>
                <w:b/>
              </w:rPr>
            </w:pPr>
            <w:r w:rsidRPr="00CA1F5A">
              <w:rPr>
                <w:b/>
              </w:rPr>
              <w:t>1.7</w:t>
            </w:r>
          </w:p>
          <w:p w14:paraId="60A6BD7A" w14:textId="5BCEBAB1" w:rsidR="00800738" w:rsidRPr="00800738" w:rsidRDefault="00990739" w:rsidP="00DA1660">
            <w:pPr>
              <w:tabs>
                <w:tab w:val="center" w:pos="205"/>
              </w:tabs>
              <w:cnfStyle w:val="000000100000" w:firstRow="0" w:lastRow="0" w:firstColumn="0" w:lastColumn="0" w:oddVBand="0" w:evenVBand="0" w:oddHBand="1" w:evenHBand="0" w:firstRowFirstColumn="0" w:firstRowLastColumn="0" w:lastRowFirstColumn="0" w:lastRowLastColumn="0"/>
            </w:pPr>
            <w:r>
              <w:t>1.7</w:t>
            </w:r>
          </w:p>
          <w:p w14:paraId="6A5E16AA" w14:textId="544172C7" w:rsidR="00800738" w:rsidRPr="00800738" w:rsidRDefault="00800738" w:rsidP="00DA1660">
            <w:pPr>
              <w:tabs>
                <w:tab w:val="center" w:pos="205"/>
              </w:tabs>
              <w:cnfStyle w:val="000000100000" w:firstRow="0" w:lastRow="0" w:firstColumn="0" w:lastColumn="0" w:oddVBand="0" w:evenVBand="0" w:oddHBand="1" w:evenHBand="0" w:firstRowFirstColumn="0" w:firstRowLastColumn="0" w:lastRowFirstColumn="0" w:lastRowLastColumn="0"/>
            </w:pPr>
            <w:r w:rsidRPr="00800738">
              <w:t>2.1</w:t>
            </w:r>
          </w:p>
        </w:tc>
        <w:tc>
          <w:tcPr>
            <w:tcW w:w="696" w:type="dxa"/>
          </w:tcPr>
          <w:p w14:paraId="514BD5A0" w14:textId="52576FC5" w:rsidR="007E5C02" w:rsidRPr="00CA1F5A" w:rsidRDefault="00CA1F5A" w:rsidP="00537C13">
            <w:pPr>
              <w:jc w:val="center"/>
              <w:cnfStyle w:val="000000100000" w:firstRow="0" w:lastRow="0" w:firstColumn="0" w:lastColumn="0" w:oddVBand="0" w:evenVBand="0" w:oddHBand="1" w:evenHBand="0" w:firstRowFirstColumn="0" w:firstRowLastColumn="0" w:lastRowFirstColumn="0" w:lastRowLastColumn="0"/>
              <w:rPr>
                <w:b/>
              </w:rPr>
            </w:pPr>
            <w:r w:rsidRPr="00CA1F5A">
              <w:rPr>
                <w:b/>
              </w:rPr>
              <w:t>4.5</w:t>
            </w:r>
          </w:p>
          <w:p w14:paraId="7EABEA8D" w14:textId="0B713F8D" w:rsidR="00800738" w:rsidRPr="00800738" w:rsidRDefault="00990739" w:rsidP="00537C13">
            <w:pPr>
              <w:jc w:val="center"/>
              <w:cnfStyle w:val="000000100000" w:firstRow="0" w:lastRow="0" w:firstColumn="0" w:lastColumn="0" w:oddVBand="0" w:evenVBand="0" w:oddHBand="1" w:evenHBand="0" w:firstRowFirstColumn="0" w:firstRowLastColumn="0" w:lastRowFirstColumn="0" w:lastRowLastColumn="0"/>
            </w:pPr>
            <w:r>
              <w:t>4.5</w:t>
            </w:r>
          </w:p>
          <w:p w14:paraId="41DF36F2" w14:textId="02C47C13" w:rsidR="00800738" w:rsidRPr="00800738" w:rsidRDefault="00800738" w:rsidP="00537C13">
            <w:pPr>
              <w:jc w:val="center"/>
              <w:cnfStyle w:val="000000100000" w:firstRow="0" w:lastRow="0" w:firstColumn="0" w:lastColumn="0" w:oddVBand="0" w:evenVBand="0" w:oddHBand="1" w:evenHBand="0" w:firstRowFirstColumn="0" w:firstRowLastColumn="0" w:lastRowFirstColumn="0" w:lastRowLastColumn="0"/>
            </w:pPr>
            <w:r w:rsidRPr="00800738">
              <w:t>4.4</w:t>
            </w:r>
          </w:p>
        </w:tc>
        <w:tc>
          <w:tcPr>
            <w:tcW w:w="810" w:type="dxa"/>
          </w:tcPr>
          <w:p w14:paraId="382F8C60" w14:textId="6207B68F" w:rsidR="007E5C02" w:rsidRPr="00CA1F5A" w:rsidRDefault="00CA1F5A" w:rsidP="00537C13">
            <w:pPr>
              <w:jc w:val="center"/>
              <w:cnfStyle w:val="000000100000" w:firstRow="0" w:lastRow="0" w:firstColumn="0" w:lastColumn="0" w:oddVBand="0" w:evenVBand="0" w:oddHBand="1" w:evenHBand="0" w:firstRowFirstColumn="0" w:firstRowLastColumn="0" w:lastRowFirstColumn="0" w:lastRowLastColumn="0"/>
              <w:rPr>
                <w:b/>
              </w:rPr>
            </w:pPr>
            <w:r w:rsidRPr="00CA1F5A">
              <w:rPr>
                <w:b/>
              </w:rPr>
              <w:t>3.4</w:t>
            </w:r>
          </w:p>
          <w:p w14:paraId="051A1DAA" w14:textId="21FBDD32" w:rsidR="00800738" w:rsidRPr="00800738" w:rsidRDefault="00990739" w:rsidP="00537C13">
            <w:pPr>
              <w:jc w:val="center"/>
              <w:cnfStyle w:val="000000100000" w:firstRow="0" w:lastRow="0" w:firstColumn="0" w:lastColumn="0" w:oddVBand="0" w:evenVBand="0" w:oddHBand="1" w:evenHBand="0" w:firstRowFirstColumn="0" w:firstRowLastColumn="0" w:lastRowFirstColumn="0" w:lastRowLastColumn="0"/>
            </w:pPr>
            <w:r>
              <w:t>3.3</w:t>
            </w:r>
          </w:p>
          <w:p w14:paraId="3F66A2F8" w14:textId="0B7863D4" w:rsidR="00800738" w:rsidRPr="00800738" w:rsidRDefault="00800738" w:rsidP="00537C13">
            <w:pPr>
              <w:jc w:val="center"/>
              <w:cnfStyle w:val="000000100000" w:firstRow="0" w:lastRow="0" w:firstColumn="0" w:lastColumn="0" w:oddVBand="0" w:evenVBand="0" w:oddHBand="1" w:evenHBand="0" w:firstRowFirstColumn="0" w:firstRowLastColumn="0" w:lastRowFirstColumn="0" w:lastRowLastColumn="0"/>
            </w:pPr>
            <w:r w:rsidRPr="00800738">
              <w:t>3.4</w:t>
            </w:r>
          </w:p>
        </w:tc>
        <w:tc>
          <w:tcPr>
            <w:tcW w:w="1260" w:type="dxa"/>
          </w:tcPr>
          <w:p w14:paraId="56B18223" w14:textId="1BFB31FF" w:rsidR="007E5C02" w:rsidRPr="00CA1F5A" w:rsidRDefault="00CA1F5A" w:rsidP="00537C13">
            <w:pPr>
              <w:jc w:val="center"/>
              <w:cnfStyle w:val="000000100000" w:firstRow="0" w:lastRow="0" w:firstColumn="0" w:lastColumn="0" w:oddVBand="0" w:evenVBand="0" w:oddHBand="1" w:evenHBand="0" w:firstRowFirstColumn="0" w:firstRowLastColumn="0" w:lastRowFirstColumn="0" w:lastRowLastColumn="0"/>
              <w:rPr>
                <w:b/>
              </w:rPr>
            </w:pPr>
            <w:r>
              <w:rPr>
                <w:b/>
              </w:rPr>
              <w:t>0.63</w:t>
            </w:r>
          </w:p>
          <w:p w14:paraId="481CCE95" w14:textId="5CC65C58" w:rsidR="00800738" w:rsidRPr="00800738" w:rsidRDefault="00990739" w:rsidP="00537C13">
            <w:pPr>
              <w:jc w:val="center"/>
              <w:cnfStyle w:val="000000100000" w:firstRow="0" w:lastRow="0" w:firstColumn="0" w:lastColumn="0" w:oddVBand="0" w:evenVBand="0" w:oddHBand="1" w:evenHBand="0" w:firstRowFirstColumn="0" w:firstRowLastColumn="0" w:lastRowFirstColumn="0" w:lastRowLastColumn="0"/>
            </w:pPr>
            <w:r>
              <w:t>0.65</w:t>
            </w:r>
          </w:p>
          <w:p w14:paraId="3690D44B" w14:textId="1498D41C" w:rsidR="00800738" w:rsidRPr="00800738" w:rsidRDefault="00800738" w:rsidP="00537C13">
            <w:pPr>
              <w:jc w:val="center"/>
              <w:cnfStyle w:val="000000100000" w:firstRow="0" w:lastRow="0" w:firstColumn="0" w:lastColumn="0" w:oddVBand="0" w:evenVBand="0" w:oddHBand="1" w:evenHBand="0" w:firstRowFirstColumn="0" w:firstRowLastColumn="0" w:lastRowFirstColumn="0" w:lastRowLastColumn="0"/>
            </w:pPr>
            <w:r w:rsidRPr="00800738">
              <w:t>0.63</w:t>
            </w:r>
          </w:p>
        </w:tc>
      </w:tr>
      <w:tr w:rsidR="00B1096C" w:rsidRPr="00D62215" w14:paraId="66ED1784" w14:textId="77777777" w:rsidTr="001E1B37">
        <w:trPr>
          <w:trHeight w:val="864"/>
          <w:jc w:val="center"/>
        </w:trPr>
        <w:tc>
          <w:tcPr>
            <w:cnfStyle w:val="001000000000" w:firstRow="0" w:lastRow="0" w:firstColumn="1" w:lastColumn="0" w:oddVBand="0" w:evenVBand="0" w:oddHBand="0" w:evenHBand="0" w:firstRowFirstColumn="0" w:firstRowLastColumn="0" w:lastRowFirstColumn="0" w:lastRowLastColumn="0"/>
            <w:tcW w:w="4522" w:type="dxa"/>
          </w:tcPr>
          <w:p w14:paraId="77EA9BD9" w14:textId="77777777" w:rsidR="00B1096C" w:rsidRPr="00AF66BC" w:rsidRDefault="00B1096C" w:rsidP="00537C13">
            <w:r w:rsidRPr="00AF66BC">
              <w:t>Domain</w:t>
            </w:r>
            <w:r w:rsidR="0049433A">
              <w:t xml:space="preserve"> </w:t>
            </w:r>
            <w:r w:rsidRPr="00AF66BC">
              <w:t>1: Family Driven &amp; Youth Guided</w:t>
            </w:r>
          </w:p>
          <w:p w14:paraId="7E69D4EE" w14:textId="77777777" w:rsidR="00B1096C" w:rsidRPr="00AF66BC" w:rsidRDefault="00B1096C" w:rsidP="00537C13">
            <w:pPr>
              <w:rPr>
                <w:b w:val="0"/>
                <w:bCs w:val="0"/>
              </w:rPr>
            </w:pPr>
            <w:r w:rsidRPr="00AF66BC">
              <w:rPr>
                <w:b w:val="0"/>
              </w:rPr>
              <w:t>-ICC</w:t>
            </w:r>
          </w:p>
          <w:p w14:paraId="3D1AAD77" w14:textId="77777777" w:rsidR="00B1096C" w:rsidRPr="00AF66BC" w:rsidRDefault="00B1096C" w:rsidP="00537C13">
            <w:r w:rsidRPr="00AF66BC">
              <w:rPr>
                <w:b w:val="0"/>
              </w:rPr>
              <w:t>-IHT</w:t>
            </w:r>
          </w:p>
        </w:tc>
        <w:tc>
          <w:tcPr>
            <w:tcW w:w="627" w:type="dxa"/>
          </w:tcPr>
          <w:p w14:paraId="122D27CF" w14:textId="0FB98C53" w:rsidR="007E5C02" w:rsidRPr="00CA1F5A" w:rsidRDefault="00CA1F5A" w:rsidP="007E5C02">
            <w:pPr>
              <w:jc w:val="center"/>
              <w:cnfStyle w:val="000000000000" w:firstRow="0" w:lastRow="0" w:firstColumn="0" w:lastColumn="0" w:oddVBand="0" w:evenVBand="0" w:oddHBand="0" w:evenHBand="0" w:firstRowFirstColumn="0" w:firstRowLastColumn="0" w:lastRowFirstColumn="0" w:lastRowLastColumn="0"/>
              <w:rPr>
                <w:b/>
              </w:rPr>
            </w:pPr>
            <w:r w:rsidRPr="00CA1F5A">
              <w:rPr>
                <w:b/>
              </w:rPr>
              <w:t>1.4</w:t>
            </w:r>
          </w:p>
          <w:p w14:paraId="1549A3BA" w14:textId="5BB3BF9C" w:rsidR="005415C5" w:rsidRPr="00800738" w:rsidRDefault="00990739" w:rsidP="007E5C02">
            <w:pPr>
              <w:jc w:val="center"/>
              <w:cnfStyle w:val="000000000000" w:firstRow="0" w:lastRow="0" w:firstColumn="0" w:lastColumn="0" w:oddVBand="0" w:evenVBand="0" w:oddHBand="0" w:evenHBand="0" w:firstRowFirstColumn="0" w:firstRowLastColumn="0" w:lastRowFirstColumn="0" w:lastRowLastColumn="0"/>
            </w:pPr>
            <w:r>
              <w:t>1.4</w:t>
            </w:r>
          </w:p>
          <w:p w14:paraId="07C6DB92" w14:textId="3FC777F6" w:rsidR="005415C5" w:rsidRPr="00800738" w:rsidRDefault="005415C5" w:rsidP="007E5C02">
            <w:pPr>
              <w:jc w:val="center"/>
              <w:cnfStyle w:val="000000000000" w:firstRow="0" w:lastRow="0" w:firstColumn="0" w:lastColumn="0" w:oddVBand="0" w:evenVBand="0" w:oddHBand="0" w:evenHBand="0" w:firstRowFirstColumn="0" w:firstRowLastColumn="0" w:lastRowFirstColumn="0" w:lastRowLastColumn="0"/>
            </w:pPr>
            <w:r w:rsidRPr="00800738">
              <w:t>1.8</w:t>
            </w:r>
          </w:p>
        </w:tc>
        <w:tc>
          <w:tcPr>
            <w:tcW w:w="696" w:type="dxa"/>
          </w:tcPr>
          <w:p w14:paraId="19B5B754" w14:textId="10F7C94A" w:rsidR="007E5C02" w:rsidRPr="00CA1F5A" w:rsidRDefault="00CA1F5A" w:rsidP="00537C13">
            <w:pPr>
              <w:jc w:val="center"/>
              <w:cnfStyle w:val="000000000000" w:firstRow="0" w:lastRow="0" w:firstColumn="0" w:lastColumn="0" w:oddVBand="0" w:evenVBand="0" w:oddHBand="0" w:evenHBand="0" w:firstRowFirstColumn="0" w:firstRowLastColumn="0" w:lastRowFirstColumn="0" w:lastRowLastColumn="0"/>
              <w:rPr>
                <w:b/>
              </w:rPr>
            </w:pPr>
            <w:r w:rsidRPr="00CA1F5A">
              <w:rPr>
                <w:b/>
              </w:rPr>
              <w:t>4.8</w:t>
            </w:r>
          </w:p>
          <w:p w14:paraId="1B654118" w14:textId="2F1DB4F7" w:rsidR="005415C5" w:rsidRPr="00800738" w:rsidRDefault="00990739" w:rsidP="00537C13">
            <w:pPr>
              <w:jc w:val="center"/>
              <w:cnfStyle w:val="000000000000" w:firstRow="0" w:lastRow="0" w:firstColumn="0" w:lastColumn="0" w:oddVBand="0" w:evenVBand="0" w:oddHBand="0" w:evenHBand="0" w:firstRowFirstColumn="0" w:firstRowLastColumn="0" w:lastRowFirstColumn="0" w:lastRowLastColumn="0"/>
            </w:pPr>
            <w:r>
              <w:t>4.8</w:t>
            </w:r>
          </w:p>
          <w:p w14:paraId="1EC4775C" w14:textId="7C341FCE" w:rsidR="005415C5" w:rsidRPr="00800738" w:rsidRDefault="005415C5" w:rsidP="00537C13">
            <w:pPr>
              <w:jc w:val="center"/>
              <w:cnfStyle w:val="000000000000" w:firstRow="0" w:lastRow="0" w:firstColumn="0" w:lastColumn="0" w:oddVBand="0" w:evenVBand="0" w:oddHBand="0" w:evenHBand="0" w:firstRowFirstColumn="0" w:firstRowLastColumn="0" w:lastRowFirstColumn="0" w:lastRowLastColumn="0"/>
            </w:pPr>
            <w:r w:rsidRPr="00800738">
              <w:t>4.6</w:t>
            </w:r>
          </w:p>
        </w:tc>
        <w:tc>
          <w:tcPr>
            <w:tcW w:w="810" w:type="dxa"/>
          </w:tcPr>
          <w:p w14:paraId="6E665820" w14:textId="10B3FD11" w:rsidR="007E5C02" w:rsidRPr="00CA1F5A" w:rsidRDefault="00CA1F5A" w:rsidP="003A585A">
            <w:pPr>
              <w:jc w:val="center"/>
              <w:cnfStyle w:val="000000000000" w:firstRow="0" w:lastRow="0" w:firstColumn="0" w:lastColumn="0" w:oddVBand="0" w:evenVBand="0" w:oddHBand="0" w:evenHBand="0" w:firstRowFirstColumn="0" w:firstRowLastColumn="0" w:lastRowFirstColumn="0" w:lastRowLastColumn="0"/>
              <w:rPr>
                <w:b/>
              </w:rPr>
            </w:pPr>
            <w:r w:rsidRPr="00CA1F5A">
              <w:rPr>
                <w:b/>
              </w:rPr>
              <w:t>3.3</w:t>
            </w:r>
          </w:p>
          <w:p w14:paraId="30B73633" w14:textId="7F77BA2D" w:rsidR="005415C5" w:rsidRPr="00800738" w:rsidRDefault="00990739" w:rsidP="003A585A">
            <w:pPr>
              <w:jc w:val="center"/>
              <w:cnfStyle w:val="000000000000" w:firstRow="0" w:lastRow="0" w:firstColumn="0" w:lastColumn="0" w:oddVBand="0" w:evenVBand="0" w:oddHBand="0" w:evenHBand="0" w:firstRowFirstColumn="0" w:firstRowLastColumn="0" w:lastRowFirstColumn="0" w:lastRowLastColumn="0"/>
            </w:pPr>
            <w:r>
              <w:t>3.3</w:t>
            </w:r>
          </w:p>
          <w:p w14:paraId="1494FC28" w14:textId="37FC5C1E" w:rsidR="005415C5" w:rsidRPr="00800738" w:rsidRDefault="005415C5" w:rsidP="003A585A">
            <w:pPr>
              <w:jc w:val="center"/>
              <w:cnfStyle w:val="000000000000" w:firstRow="0" w:lastRow="0" w:firstColumn="0" w:lastColumn="0" w:oddVBand="0" w:evenVBand="0" w:oddHBand="0" w:evenHBand="0" w:firstRowFirstColumn="0" w:firstRowLastColumn="0" w:lastRowFirstColumn="0" w:lastRowLastColumn="0"/>
            </w:pPr>
            <w:r w:rsidRPr="00800738">
              <w:t>3.3</w:t>
            </w:r>
          </w:p>
        </w:tc>
        <w:tc>
          <w:tcPr>
            <w:tcW w:w="1260" w:type="dxa"/>
          </w:tcPr>
          <w:p w14:paraId="6499BC16" w14:textId="7E845EED" w:rsidR="007E5C02" w:rsidRPr="00CA1F5A" w:rsidRDefault="00CA1F5A" w:rsidP="003A585A">
            <w:pPr>
              <w:jc w:val="center"/>
              <w:cnfStyle w:val="000000000000" w:firstRow="0" w:lastRow="0" w:firstColumn="0" w:lastColumn="0" w:oddVBand="0" w:evenVBand="0" w:oddHBand="0" w:evenHBand="0" w:firstRowFirstColumn="0" w:firstRowLastColumn="0" w:lastRowFirstColumn="0" w:lastRowLastColumn="0"/>
              <w:rPr>
                <w:b/>
              </w:rPr>
            </w:pPr>
            <w:r w:rsidRPr="00CA1F5A">
              <w:rPr>
                <w:b/>
              </w:rPr>
              <w:t>0.73</w:t>
            </w:r>
          </w:p>
          <w:p w14:paraId="01A5D2B3" w14:textId="378149E1" w:rsidR="005415C5" w:rsidRPr="00800738" w:rsidRDefault="00990739" w:rsidP="003A585A">
            <w:pPr>
              <w:jc w:val="center"/>
              <w:cnfStyle w:val="000000000000" w:firstRow="0" w:lastRow="0" w:firstColumn="0" w:lastColumn="0" w:oddVBand="0" w:evenVBand="0" w:oddHBand="0" w:evenHBand="0" w:firstRowFirstColumn="0" w:firstRowLastColumn="0" w:lastRowFirstColumn="0" w:lastRowLastColumn="0"/>
            </w:pPr>
            <w:r>
              <w:t>0.72</w:t>
            </w:r>
          </w:p>
          <w:p w14:paraId="3C2EB546" w14:textId="0113A621" w:rsidR="005415C5" w:rsidRPr="00800738" w:rsidRDefault="005415C5" w:rsidP="003A585A">
            <w:pPr>
              <w:jc w:val="center"/>
              <w:cnfStyle w:val="000000000000" w:firstRow="0" w:lastRow="0" w:firstColumn="0" w:lastColumn="0" w:oddVBand="0" w:evenVBand="0" w:oddHBand="0" w:evenHBand="0" w:firstRowFirstColumn="0" w:firstRowLastColumn="0" w:lastRowFirstColumn="0" w:lastRowLastColumn="0"/>
            </w:pPr>
            <w:r w:rsidRPr="00800738">
              <w:t>0.74</w:t>
            </w:r>
          </w:p>
        </w:tc>
      </w:tr>
      <w:tr w:rsidR="00B1096C" w:rsidRPr="00D62215" w14:paraId="5594444B" w14:textId="77777777" w:rsidTr="001E1B37">
        <w:trPr>
          <w:cnfStyle w:val="000000100000" w:firstRow="0" w:lastRow="0" w:firstColumn="0" w:lastColumn="0" w:oddVBand="0" w:evenVBand="0" w:oddHBand="1" w:evenHBand="0" w:firstRowFirstColumn="0" w:firstRowLastColumn="0" w:lastRowFirstColumn="0" w:lastRowLastColumn="0"/>
          <w:trHeight w:val="864"/>
          <w:jc w:val="center"/>
        </w:trPr>
        <w:tc>
          <w:tcPr>
            <w:cnfStyle w:val="001000000000" w:firstRow="0" w:lastRow="0" w:firstColumn="1" w:lastColumn="0" w:oddVBand="0" w:evenVBand="0" w:oddHBand="0" w:evenHBand="0" w:firstRowFirstColumn="0" w:firstRowLastColumn="0" w:lastRowFirstColumn="0" w:lastRowLastColumn="0"/>
            <w:tcW w:w="4522" w:type="dxa"/>
          </w:tcPr>
          <w:p w14:paraId="30AC2208" w14:textId="77777777" w:rsidR="00B1096C" w:rsidRPr="00AF66BC" w:rsidRDefault="00B1096C" w:rsidP="00537C13">
            <w:r w:rsidRPr="00AF66BC">
              <w:t>Domain 2: Community-Based</w:t>
            </w:r>
          </w:p>
          <w:p w14:paraId="56A26924" w14:textId="77777777" w:rsidR="00B1096C" w:rsidRPr="00AF66BC" w:rsidRDefault="00B1096C" w:rsidP="00537C13">
            <w:pPr>
              <w:rPr>
                <w:b w:val="0"/>
                <w:bCs w:val="0"/>
              </w:rPr>
            </w:pPr>
            <w:r w:rsidRPr="00AF66BC">
              <w:rPr>
                <w:b w:val="0"/>
              </w:rPr>
              <w:t>-ICC</w:t>
            </w:r>
          </w:p>
          <w:p w14:paraId="2FA87AEC" w14:textId="77777777" w:rsidR="00B1096C" w:rsidRPr="00AF66BC" w:rsidRDefault="00B1096C" w:rsidP="00537C13">
            <w:r w:rsidRPr="00AF66BC">
              <w:rPr>
                <w:b w:val="0"/>
              </w:rPr>
              <w:t>-IHT</w:t>
            </w:r>
          </w:p>
        </w:tc>
        <w:tc>
          <w:tcPr>
            <w:tcW w:w="627" w:type="dxa"/>
          </w:tcPr>
          <w:p w14:paraId="28C0213E" w14:textId="20BE1A01" w:rsidR="007E5C02" w:rsidRPr="00937542" w:rsidRDefault="00CA1F5A" w:rsidP="00537C13">
            <w:pPr>
              <w:jc w:val="center"/>
              <w:cnfStyle w:val="000000100000" w:firstRow="0" w:lastRow="0" w:firstColumn="0" w:lastColumn="0" w:oddVBand="0" w:evenVBand="0" w:oddHBand="1" w:evenHBand="0" w:firstRowFirstColumn="0" w:firstRowLastColumn="0" w:lastRowFirstColumn="0" w:lastRowLastColumn="0"/>
              <w:rPr>
                <w:b/>
              </w:rPr>
            </w:pPr>
            <w:r w:rsidRPr="00937542">
              <w:rPr>
                <w:b/>
              </w:rPr>
              <w:t>1.5</w:t>
            </w:r>
          </w:p>
          <w:p w14:paraId="7E47BDFB" w14:textId="21826072" w:rsidR="00800738" w:rsidRPr="00800738" w:rsidRDefault="00C95149" w:rsidP="00537C13">
            <w:pPr>
              <w:jc w:val="center"/>
              <w:cnfStyle w:val="000000100000" w:firstRow="0" w:lastRow="0" w:firstColumn="0" w:lastColumn="0" w:oddVBand="0" w:evenVBand="0" w:oddHBand="1" w:evenHBand="0" w:firstRowFirstColumn="0" w:firstRowLastColumn="0" w:lastRowFirstColumn="0" w:lastRowLastColumn="0"/>
            </w:pPr>
            <w:r>
              <w:t>1.5</w:t>
            </w:r>
          </w:p>
          <w:p w14:paraId="25BBF571" w14:textId="03FE2E91" w:rsidR="00800738" w:rsidRPr="00800738" w:rsidRDefault="00800738" w:rsidP="00537C13">
            <w:pPr>
              <w:jc w:val="center"/>
              <w:cnfStyle w:val="000000100000" w:firstRow="0" w:lastRow="0" w:firstColumn="0" w:lastColumn="0" w:oddVBand="0" w:evenVBand="0" w:oddHBand="1" w:evenHBand="0" w:firstRowFirstColumn="0" w:firstRowLastColumn="0" w:lastRowFirstColumn="0" w:lastRowLastColumn="0"/>
            </w:pPr>
            <w:r w:rsidRPr="00800738">
              <w:t>2.5</w:t>
            </w:r>
          </w:p>
        </w:tc>
        <w:tc>
          <w:tcPr>
            <w:tcW w:w="696" w:type="dxa"/>
          </w:tcPr>
          <w:p w14:paraId="6C4289CF" w14:textId="4ECCF380" w:rsidR="007E5C02" w:rsidRPr="00937542" w:rsidRDefault="00CA1F5A" w:rsidP="00537C13">
            <w:pPr>
              <w:jc w:val="center"/>
              <w:cnfStyle w:val="000000100000" w:firstRow="0" w:lastRow="0" w:firstColumn="0" w:lastColumn="0" w:oddVBand="0" w:evenVBand="0" w:oddHBand="1" w:evenHBand="0" w:firstRowFirstColumn="0" w:firstRowLastColumn="0" w:lastRowFirstColumn="0" w:lastRowLastColumn="0"/>
              <w:rPr>
                <w:b/>
              </w:rPr>
            </w:pPr>
            <w:r w:rsidRPr="00937542">
              <w:rPr>
                <w:b/>
              </w:rPr>
              <w:t>4.5</w:t>
            </w:r>
          </w:p>
          <w:p w14:paraId="48EFECDE" w14:textId="47DC06C6" w:rsidR="00800738" w:rsidRPr="00800738" w:rsidRDefault="00C95149" w:rsidP="00537C13">
            <w:pPr>
              <w:jc w:val="center"/>
              <w:cnfStyle w:val="000000100000" w:firstRow="0" w:lastRow="0" w:firstColumn="0" w:lastColumn="0" w:oddVBand="0" w:evenVBand="0" w:oddHBand="1" w:evenHBand="0" w:firstRowFirstColumn="0" w:firstRowLastColumn="0" w:lastRowFirstColumn="0" w:lastRowLastColumn="0"/>
            </w:pPr>
            <w:r>
              <w:t>4.5</w:t>
            </w:r>
          </w:p>
          <w:p w14:paraId="59B39381" w14:textId="57C7BA91" w:rsidR="00800738" w:rsidRPr="00800738" w:rsidRDefault="00800738" w:rsidP="00537C13">
            <w:pPr>
              <w:jc w:val="center"/>
              <w:cnfStyle w:val="000000100000" w:firstRow="0" w:lastRow="0" w:firstColumn="0" w:lastColumn="0" w:oddVBand="0" w:evenVBand="0" w:oddHBand="1" w:evenHBand="0" w:firstRowFirstColumn="0" w:firstRowLastColumn="0" w:lastRowFirstColumn="0" w:lastRowLastColumn="0"/>
            </w:pPr>
            <w:r w:rsidRPr="00800738">
              <w:t>4.5</w:t>
            </w:r>
          </w:p>
        </w:tc>
        <w:tc>
          <w:tcPr>
            <w:tcW w:w="810" w:type="dxa"/>
          </w:tcPr>
          <w:p w14:paraId="3336C4B9" w14:textId="4A72C853" w:rsidR="007E5C02" w:rsidRPr="00937542" w:rsidRDefault="00CA1F5A" w:rsidP="00537C13">
            <w:pPr>
              <w:jc w:val="center"/>
              <w:cnfStyle w:val="000000100000" w:firstRow="0" w:lastRow="0" w:firstColumn="0" w:lastColumn="0" w:oddVBand="0" w:evenVBand="0" w:oddHBand="1" w:evenHBand="0" w:firstRowFirstColumn="0" w:firstRowLastColumn="0" w:lastRowFirstColumn="0" w:lastRowLastColumn="0"/>
              <w:rPr>
                <w:b/>
              </w:rPr>
            </w:pPr>
            <w:r w:rsidRPr="00937542">
              <w:rPr>
                <w:b/>
              </w:rPr>
              <w:t>3.5</w:t>
            </w:r>
          </w:p>
          <w:p w14:paraId="4CFD28AD" w14:textId="3055E152" w:rsidR="00800738" w:rsidRPr="00800738" w:rsidRDefault="00C95149" w:rsidP="00537C13">
            <w:pPr>
              <w:jc w:val="center"/>
              <w:cnfStyle w:val="000000100000" w:firstRow="0" w:lastRow="0" w:firstColumn="0" w:lastColumn="0" w:oddVBand="0" w:evenVBand="0" w:oddHBand="1" w:evenHBand="0" w:firstRowFirstColumn="0" w:firstRowLastColumn="0" w:lastRowFirstColumn="0" w:lastRowLastColumn="0"/>
            </w:pPr>
            <w:r>
              <w:t>3.5</w:t>
            </w:r>
          </w:p>
          <w:p w14:paraId="46001F48" w14:textId="25ABDD60" w:rsidR="00800738" w:rsidRPr="00800738" w:rsidRDefault="00800738" w:rsidP="00537C13">
            <w:pPr>
              <w:jc w:val="center"/>
              <w:cnfStyle w:val="000000100000" w:firstRow="0" w:lastRow="0" w:firstColumn="0" w:lastColumn="0" w:oddVBand="0" w:evenVBand="0" w:oddHBand="1" w:evenHBand="0" w:firstRowFirstColumn="0" w:firstRowLastColumn="0" w:lastRowFirstColumn="0" w:lastRowLastColumn="0"/>
            </w:pPr>
            <w:r w:rsidRPr="00800738">
              <w:t>3.6</w:t>
            </w:r>
          </w:p>
        </w:tc>
        <w:tc>
          <w:tcPr>
            <w:tcW w:w="1260" w:type="dxa"/>
          </w:tcPr>
          <w:p w14:paraId="0B5DBF37" w14:textId="123E3092" w:rsidR="007E5C02" w:rsidRPr="00CA1F5A" w:rsidRDefault="00CA1F5A" w:rsidP="00537C13">
            <w:pPr>
              <w:jc w:val="center"/>
              <w:cnfStyle w:val="000000100000" w:firstRow="0" w:lastRow="0" w:firstColumn="0" w:lastColumn="0" w:oddVBand="0" w:evenVBand="0" w:oddHBand="1" w:evenHBand="0" w:firstRowFirstColumn="0" w:firstRowLastColumn="0" w:lastRowFirstColumn="0" w:lastRowLastColumn="0"/>
              <w:rPr>
                <w:b/>
              </w:rPr>
            </w:pPr>
            <w:r w:rsidRPr="00CA1F5A">
              <w:rPr>
                <w:b/>
              </w:rPr>
              <w:t>0.55</w:t>
            </w:r>
          </w:p>
          <w:p w14:paraId="546F83C2" w14:textId="41456766" w:rsidR="00800738" w:rsidRPr="00800738" w:rsidRDefault="00C95149" w:rsidP="00537C13">
            <w:pPr>
              <w:jc w:val="center"/>
              <w:cnfStyle w:val="000000100000" w:firstRow="0" w:lastRow="0" w:firstColumn="0" w:lastColumn="0" w:oddVBand="0" w:evenVBand="0" w:oddHBand="1" w:evenHBand="0" w:firstRowFirstColumn="0" w:firstRowLastColumn="0" w:lastRowFirstColumn="0" w:lastRowLastColumn="0"/>
            </w:pPr>
            <w:r>
              <w:t>0.64</w:t>
            </w:r>
          </w:p>
          <w:p w14:paraId="14BA9935" w14:textId="790D9C17" w:rsidR="00800738" w:rsidRPr="00800738" w:rsidRDefault="00800738" w:rsidP="00800738">
            <w:pPr>
              <w:jc w:val="center"/>
              <w:cnfStyle w:val="000000100000" w:firstRow="0" w:lastRow="0" w:firstColumn="0" w:lastColumn="0" w:oddVBand="0" w:evenVBand="0" w:oddHBand="1" w:evenHBand="0" w:firstRowFirstColumn="0" w:firstRowLastColumn="0" w:lastRowFirstColumn="0" w:lastRowLastColumn="0"/>
            </w:pPr>
            <w:r w:rsidRPr="00800738">
              <w:t>0.46</w:t>
            </w:r>
          </w:p>
        </w:tc>
      </w:tr>
      <w:tr w:rsidR="00B1096C" w:rsidRPr="00D62215" w14:paraId="534E5C4A" w14:textId="77777777" w:rsidTr="001E1B37">
        <w:trPr>
          <w:trHeight w:val="864"/>
          <w:jc w:val="center"/>
        </w:trPr>
        <w:tc>
          <w:tcPr>
            <w:cnfStyle w:val="001000000000" w:firstRow="0" w:lastRow="0" w:firstColumn="1" w:lastColumn="0" w:oddVBand="0" w:evenVBand="0" w:oddHBand="0" w:evenHBand="0" w:firstRowFirstColumn="0" w:firstRowLastColumn="0" w:lastRowFirstColumn="0" w:lastRowLastColumn="0"/>
            <w:tcW w:w="4522" w:type="dxa"/>
          </w:tcPr>
          <w:p w14:paraId="340CDA5F" w14:textId="77777777" w:rsidR="00B1096C" w:rsidRPr="00AF66BC" w:rsidRDefault="00B1096C" w:rsidP="00537C13">
            <w:r w:rsidRPr="00AF66BC">
              <w:t>Domain 3: Culturally Competent</w:t>
            </w:r>
          </w:p>
          <w:p w14:paraId="6C224247" w14:textId="77777777" w:rsidR="00B1096C" w:rsidRPr="00AF66BC" w:rsidRDefault="00B1096C" w:rsidP="00537C13">
            <w:pPr>
              <w:rPr>
                <w:b w:val="0"/>
                <w:bCs w:val="0"/>
              </w:rPr>
            </w:pPr>
            <w:r w:rsidRPr="00AF66BC">
              <w:rPr>
                <w:b w:val="0"/>
              </w:rPr>
              <w:t>-ICC</w:t>
            </w:r>
          </w:p>
          <w:p w14:paraId="7955A0D7" w14:textId="77777777" w:rsidR="00B1096C" w:rsidRPr="00AF66BC" w:rsidRDefault="00B1096C" w:rsidP="00537C13">
            <w:r w:rsidRPr="00AF66BC">
              <w:rPr>
                <w:b w:val="0"/>
              </w:rPr>
              <w:t>-IHT</w:t>
            </w:r>
          </w:p>
        </w:tc>
        <w:tc>
          <w:tcPr>
            <w:tcW w:w="627" w:type="dxa"/>
          </w:tcPr>
          <w:p w14:paraId="41F43FEE" w14:textId="6523A1E3" w:rsidR="007E5C02" w:rsidRPr="00937542" w:rsidRDefault="00937542" w:rsidP="00F6519B">
            <w:pPr>
              <w:jc w:val="center"/>
              <w:cnfStyle w:val="000000000000" w:firstRow="0" w:lastRow="0" w:firstColumn="0" w:lastColumn="0" w:oddVBand="0" w:evenVBand="0" w:oddHBand="0" w:evenHBand="0" w:firstRowFirstColumn="0" w:firstRowLastColumn="0" w:lastRowFirstColumn="0" w:lastRowLastColumn="0"/>
              <w:rPr>
                <w:b/>
              </w:rPr>
            </w:pPr>
            <w:r w:rsidRPr="00937542">
              <w:rPr>
                <w:b/>
              </w:rPr>
              <w:t>2.0</w:t>
            </w:r>
          </w:p>
          <w:p w14:paraId="5C102D05" w14:textId="4DCDFE2D" w:rsidR="00800738" w:rsidRPr="00800738" w:rsidRDefault="008E1923" w:rsidP="00F6519B">
            <w:pPr>
              <w:jc w:val="center"/>
              <w:cnfStyle w:val="000000000000" w:firstRow="0" w:lastRow="0" w:firstColumn="0" w:lastColumn="0" w:oddVBand="0" w:evenVBand="0" w:oddHBand="0" w:evenHBand="0" w:firstRowFirstColumn="0" w:firstRowLastColumn="0" w:lastRowFirstColumn="0" w:lastRowLastColumn="0"/>
            </w:pPr>
            <w:r>
              <w:t>2.0</w:t>
            </w:r>
          </w:p>
          <w:p w14:paraId="3112BB0C" w14:textId="7FCFBCE3" w:rsidR="00800738" w:rsidRPr="00800738" w:rsidRDefault="00800738" w:rsidP="00F6519B">
            <w:pPr>
              <w:jc w:val="center"/>
              <w:cnfStyle w:val="000000000000" w:firstRow="0" w:lastRow="0" w:firstColumn="0" w:lastColumn="0" w:oddVBand="0" w:evenVBand="0" w:oddHBand="0" w:evenHBand="0" w:firstRowFirstColumn="0" w:firstRowLastColumn="0" w:lastRowFirstColumn="0" w:lastRowLastColumn="0"/>
            </w:pPr>
            <w:r w:rsidRPr="00800738">
              <w:t>2.0</w:t>
            </w:r>
          </w:p>
        </w:tc>
        <w:tc>
          <w:tcPr>
            <w:tcW w:w="696" w:type="dxa"/>
          </w:tcPr>
          <w:p w14:paraId="5F7B4708" w14:textId="348082F5" w:rsidR="007E5C02" w:rsidRPr="00937542" w:rsidRDefault="00937542" w:rsidP="00537C13">
            <w:pPr>
              <w:jc w:val="center"/>
              <w:cnfStyle w:val="000000000000" w:firstRow="0" w:lastRow="0" w:firstColumn="0" w:lastColumn="0" w:oddVBand="0" w:evenVBand="0" w:oddHBand="0" w:evenHBand="0" w:firstRowFirstColumn="0" w:firstRowLastColumn="0" w:lastRowFirstColumn="0" w:lastRowLastColumn="0"/>
              <w:rPr>
                <w:b/>
              </w:rPr>
            </w:pPr>
            <w:r w:rsidRPr="00937542">
              <w:rPr>
                <w:b/>
              </w:rPr>
              <w:t>5.0</w:t>
            </w:r>
          </w:p>
          <w:p w14:paraId="104671EF" w14:textId="1A742412" w:rsidR="00800738" w:rsidRPr="00800738" w:rsidRDefault="008E1923" w:rsidP="00537C13">
            <w:pPr>
              <w:jc w:val="center"/>
              <w:cnfStyle w:val="000000000000" w:firstRow="0" w:lastRow="0" w:firstColumn="0" w:lastColumn="0" w:oddVBand="0" w:evenVBand="0" w:oddHBand="0" w:evenHBand="0" w:firstRowFirstColumn="0" w:firstRowLastColumn="0" w:lastRowFirstColumn="0" w:lastRowLastColumn="0"/>
            </w:pPr>
            <w:r>
              <w:t>5.0</w:t>
            </w:r>
          </w:p>
          <w:p w14:paraId="7325464A" w14:textId="224380BC" w:rsidR="00800738" w:rsidRPr="00800738" w:rsidRDefault="00800738" w:rsidP="00537C13">
            <w:pPr>
              <w:jc w:val="center"/>
              <w:cnfStyle w:val="000000000000" w:firstRow="0" w:lastRow="0" w:firstColumn="0" w:lastColumn="0" w:oddVBand="0" w:evenVBand="0" w:oddHBand="0" w:evenHBand="0" w:firstRowFirstColumn="0" w:firstRowLastColumn="0" w:lastRowFirstColumn="0" w:lastRowLastColumn="0"/>
            </w:pPr>
            <w:r w:rsidRPr="00800738">
              <w:t>5.0</w:t>
            </w:r>
          </w:p>
        </w:tc>
        <w:tc>
          <w:tcPr>
            <w:tcW w:w="810" w:type="dxa"/>
          </w:tcPr>
          <w:p w14:paraId="4C0C3324" w14:textId="58044817" w:rsidR="007E5C02" w:rsidRPr="00937542" w:rsidRDefault="00937542" w:rsidP="00537C13">
            <w:pPr>
              <w:jc w:val="center"/>
              <w:cnfStyle w:val="000000000000" w:firstRow="0" w:lastRow="0" w:firstColumn="0" w:lastColumn="0" w:oddVBand="0" w:evenVBand="0" w:oddHBand="0" w:evenHBand="0" w:firstRowFirstColumn="0" w:firstRowLastColumn="0" w:lastRowFirstColumn="0" w:lastRowLastColumn="0"/>
              <w:rPr>
                <w:b/>
              </w:rPr>
            </w:pPr>
            <w:r w:rsidRPr="00937542">
              <w:rPr>
                <w:b/>
              </w:rPr>
              <w:t>3.3</w:t>
            </w:r>
          </w:p>
          <w:p w14:paraId="5CB00FD7" w14:textId="08D27559" w:rsidR="00800738" w:rsidRPr="00800738" w:rsidRDefault="008E1923" w:rsidP="00537C13">
            <w:pPr>
              <w:jc w:val="center"/>
              <w:cnfStyle w:val="000000000000" w:firstRow="0" w:lastRow="0" w:firstColumn="0" w:lastColumn="0" w:oddVBand="0" w:evenVBand="0" w:oddHBand="0" w:evenHBand="0" w:firstRowFirstColumn="0" w:firstRowLastColumn="0" w:lastRowFirstColumn="0" w:lastRowLastColumn="0"/>
            </w:pPr>
            <w:r>
              <w:t>3.3</w:t>
            </w:r>
          </w:p>
          <w:p w14:paraId="774718CF" w14:textId="0041A6F1" w:rsidR="00800738" w:rsidRPr="00800738" w:rsidRDefault="00800738" w:rsidP="00537C13">
            <w:pPr>
              <w:jc w:val="center"/>
              <w:cnfStyle w:val="000000000000" w:firstRow="0" w:lastRow="0" w:firstColumn="0" w:lastColumn="0" w:oddVBand="0" w:evenVBand="0" w:oddHBand="0" w:evenHBand="0" w:firstRowFirstColumn="0" w:firstRowLastColumn="0" w:lastRowFirstColumn="0" w:lastRowLastColumn="0"/>
            </w:pPr>
            <w:r w:rsidRPr="00800738">
              <w:t>3.4</w:t>
            </w:r>
          </w:p>
        </w:tc>
        <w:tc>
          <w:tcPr>
            <w:tcW w:w="1260" w:type="dxa"/>
          </w:tcPr>
          <w:p w14:paraId="709B5B71" w14:textId="15911567" w:rsidR="007E5C02" w:rsidRPr="00937542" w:rsidRDefault="00937542" w:rsidP="00537C13">
            <w:pPr>
              <w:jc w:val="center"/>
              <w:cnfStyle w:val="000000000000" w:firstRow="0" w:lastRow="0" w:firstColumn="0" w:lastColumn="0" w:oddVBand="0" w:evenVBand="0" w:oddHBand="0" w:evenHBand="0" w:firstRowFirstColumn="0" w:firstRowLastColumn="0" w:lastRowFirstColumn="0" w:lastRowLastColumn="0"/>
              <w:rPr>
                <w:b/>
              </w:rPr>
            </w:pPr>
            <w:r w:rsidRPr="00937542">
              <w:rPr>
                <w:b/>
              </w:rPr>
              <w:t>0.78</w:t>
            </w:r>
          </w:p>
          <w:p w14:paraId="59F857D1" w14:textId="019BFE9D" w:rsidR="00800738" w:rsidRPr="00800738" w:rsidRDefault="008E1923" w:rsidP="00537C13">
            <w:pPr>
              <w:jc w:val="center"/>
              <w:cnfStyle w:val="000000000000" w:firstRow="0" w:lastRow="0" w:firstColumn="0" w:lastColumn="0" w:oddVBand="0" w:evenVBand="0" w:oddHBand="0" w:evenHBand="0" w:firstRowFirstColumn="0" w:firstRowLastColumn="0" w:lastRowFirstColumn="0" w:lastRowLastColumn="0"/>
            </w:pPr>
            <w:r>
              <w:t>0.78</w:t>
            </w:r>
          </w:p>
          <w:p w14:paraId="3C6D9733" w14:textId="1BB5052C" w:rsidR="00800738" w:rsidRPr="00800738" w:rsidRDefault="00800738" w:rsidP="00537C13">
            <w:pPr>
              <w:jc w:val="center"/>
              <w:cnfStyle w:val="000000000000" w:firstRow="0" w:lastRow="0" w:firstColumn="0" w:lastColumn="0" w:oddVBand="0" w:evenVBand="0" w:oddHBand="0" w:evenHBand="0" w:firstRowFirstColumn="0" w:firstRowLastColumn="0" w:lastRowFirstColumn="0" w:lastRowLastColumn="0"/>
            </w:pPr>
            <w:r w:rsidRPr="00800738">
              <w:t>0.78</w:t>
            </w:r>
          </w:p>
        </w:tc>
      </w:tr>
    </w:tbl>
    <w:p w14:paraId="003757C8" w14:textId="77777777" w:rsidR="00B1096C" w:rsidRPr="00D62215" w:rsidRDefault="00B1096C" w:rsidP="00B1096C">
      <w:pPr>
        <w:rPr>
          <w:sz w:val="22"/>
          <w:szCs w:val="22"/>
          <w:highlight w:val="yellow"/>
        </w:rPr>
      </w:pPr>
    </w:p>
    <w:p w14:paraId="662F3F6A" w14:textId="0F980782" w:rsidR="00F77385" w:rsidRPr="00F77385" w:rsidRDefault="00FA0CD8" w:rsidP="004C58E0">
      <w:pPr>
        <w:spacing w:before="120"/>
      </w:pPr>
      <w:r w:rsidRPr="00402EDB">
        <w:rPr>
          <w:b/>
          <w:color w:val="716767" w:themeColor="accent6" w:themeShade="BF"/>
        </w:rPr>
        <w:t xml:space="preserve">Table </w:t>
      </w:r>
      <w:r w:rsidR="00A4205B">
        <w:rPr>
          <w:b/>
          <w:color w:val="716767" w:themeColor="accent6" w:themeShade="BF"/>
        </w:rPr>
        <w:t>7</w:t>
      </w:r>
      <w:r w:rsidRPr="00402EDB">
        <w:rPr>
          <w:color w:val="716767" w:themeColor="accent6" w:themeShade="BF"/>
        </w:rPr>
        <w:t xml:space="preserve"> </w:t>
      </w:r>
      <w:r w:rsidR="00F77385" w:rsidRPr="00F77385">
        <w:t>summarizes the mean scores and</w:t>
      </w:r>
      <w:r w:rsidR="00047614">
        <w:t xml:space="preserve"> frequencies for </w:t>
      </w:r>
      <w:r w:rsidR="00334616">
        <w:t xml:space="preserve">the </w:t>
      </w:r>
      <w:r w:rsidR="00047614">
        <w:t>8</w:t>
      </w:r>
      <w:r w:rsidR="00334616">
        <w:t xml:space="preserve"> Areas</w:t>
      </w:r>
      <w:r w:rsidR="009A3A3E">
        <w:t xml:space="preserve"> of Practice</w:t>
      </w:r>
      <w:r w:rsidR="00F77385" w:rsidRPr="00F77385">
        <w:t xml:space="preserve"> within Domain 1</w:t>
      </w:r>
      <w:r w:rsidR="00334616">
        <w:t xml:space="preserve">: Family </w:t>
      </w:r>
      <w:r w:rsidR="00C21E94">
        <w:t>Driven and Youth Guided</w:t>
      </w:r>
      <w:r w:rsidR="00F77385" w:rsidRPr="00F77385">
        <w:t xml:space="preserve">. </w:t>
      </w:r>
    </w:p>
    <w:p w14:paraId="3DA0A259" w14:textId="5E273986" w:rsidR="00F77385" w:rsidRPr="00283716" w:rsidRDefault="00FA0CD8" w:rsidP="00EB2238">
      <w:pPr>
        <w:pStyle w:val="Heading3"/>
        <w:rPr>
          <w:rStyle w:val="Strong"/>
          <w:b/>
        </w:rPr>
      </w:pPr>
      <w:bookmarkStart w:id="28" w:name="_Toc22632489"/>
      <w:r w:rsidRPr="00283716">
        <w:rPr>
          <w:rStyle w:val="Strong"/>
          <w:b/>
        </w:rPr>
        <w:t xml:space="preserve">Table </w:t>
      </w:r>
      <w:r w:rsidR="00A4205B">
        <w:rPr>
          <w:rStyle w:val="Strong"/>
          <w:b/>
        </w:rPr>
        <w:t>7</w:t>
      </w:r>
      <w:r w:rsidRPr="00283716">
        <w:rPr>
          <w:rStyle w:val="Strong"/>
          <w:b/>
        </w:rPr>
        <w:t xml:space="preserve">: </w:t>
      </w:r>
      <w:r w:rsidR="00F77385" w:rsidRPr="00283716">
        <w:rPr>
          <w:rStyle w:val="Strong"/>
          <w:b/>
        </w:rPr>
        <w:t xml:space="preserve">Family Driven &amp; Youth Guided </w:t>
      </w:r>
      <w:r w:rsidR="008D2485" w:rsidRPr="00283716">
        <w:rPr>
          <w:rStyle w:val="Strong"/>
          <w:b/>
        </w:rPr>
        <w:t xml:space="preserve">- </w:t>
      </w:r>
      <w:r w:rsidR="00F77385" w:rsidRPr="00283716">
        <w:rPr>
          <w:rStyle w:val="Strong"/>
          <w:b/>
        </w:rPr>
        <w:t>Area Mean Scores &amp; Frequencies</w:t>
      </w:r>
      <w:bookmarkEnd w:id="28"/>
    </w:p>
    <w:tbl>
      <w:tblPr>
        <w:tblStyle w:val="GridTable4-Accent21"/>
        <w:tblW w:w="9478" w:type="dxa"/>
        <w:jc w:val="center"/>
        <w:tblLayout w:type="fixed"/>
        <w:tblLook w:val="04A0" w:firstRow="1" w:lastRow="0" w:firstColumn="1" w:lastColumn="0" w:noHBand="0" w:noVBand="1"/>
      </w:tblPr>
      <w:tblGrid>
        <w:gridCol w:w="2451"/>
        <w:gridCol w:w="727"/>
        <w:gridCol w:w="1471"/>
        <w:gridCol w:w="1169"/>
        <w:gridCol w:w="1169"/>
        <w:gridCol w:w="1169"/>
        <w:gridCol w:w="1322"/>
      </w:tblGrid>
      <w:tr w:rsidR="00DA02D6" w:rsidRPr="00F6519B" w14:paraId="102ED182" w14:textId="77777777" w:rsidTr="00806177">
        <w:trPr>
          <w:cnfStyle w:val="100000000000" w:firstRow="1" w:lastRow="0" w:firstColumn="0" w:lastColumn="0" w:oddVBand="0" w:evenVBand="0" w:oddHBand="0" w:evenHBand="0" w:firstRowFirstColumn="0" w:firstRowLastColumn="0" w:lastRowFirstColumn="0" w:lastRowLastColumn="0"/>
          <w:trHeight w:val="241"/>
          <w:tblHeader/>
          <w:jc w:val="center"/>
        </w:trPr>
        <w:tc>
          <w:tcPr>
            <w:cnfStyle w:val="001000000000" w:firstRow="0" w:lastRow="0" w:firstColumn="1" w:lastColumn="0" w:oddVBand="0" w:evenVBand="0" w:oddHBand="0" w:evenHBand="0" w:firstRowFirstColumn="0" w:firstRowLastColumn="0" w:lastRowFirstColumn="0" w:lastRowLastColumn="0"/>
            <w:tcW w:w="2451" w:type="dxa"/>
          </w:tcPr>
          <w:p w14:paraId="5680F437" w14:textId="77777777" w:rsidR="00DA02D6" w:rsidRPr="00F6519B" w:rsidRDefault="00DA02D6" w:rsidP="00537C13">
            <w:pPr>
              <w:rPr>
                <w:b w:val="0"/>
                <w:bCs w:val="0"/>
                <w:color w:val="auto"/>
                <w:sz w:val="20"/>
                <w:szCs w:val="20"/>
              </w:rPr>
            </w:pPr>
            <w:r w:rsidRPr="00F6519B">
              <w:br w:type="page"/>
            </w:r>
            <w:r w:rsidRPr="00F6519B">
              <w:rPr>
                <w:sz w:val="20"/>
                <w:szCs w:val="20"/>
              </w:rPr>
              <w:t xml:space="preserve">Area </w:t>
            </w:r>
          </w:p>
        </w:tc>
        <w:tc>
          <w:tcPr>
            <w:tcW w:w="727" w:type="dxa"/>
          </w:tcPr>
          <w:p w14:paraId="2C25D18D" w14:textId="77777777" w:rsidR="00DA02D6" w:rsidRPr="00F6519B" w:rsidRDefault="00DA02D6" w:rsidP="00537C13">
            <w:pP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F6519B">
              <w:rPr>
                <w:sz w:val="20"/>
                <w:szCs w:val="20"/>
              </w:rPr>
              <w:t>Mean</w:t>
            </w:r>
          </w:p>
        </w:tc>
        <w:tc>
          <w:tcPr>
            <w:tcW w:w="6300" w:type="dxa"/>
            <w:gridSpan w:val="5"/>
          </w:tcPr>
          <w:p w14:paraId="41E4D375" w14:textId="77777777" w:rsidR="00DA02D6" w:rsidRPr="00F6519B" w:rsidRDefault="00DA02D6" w:rsidP="00537C13">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F6519B">
              <w:rPr>
                <w:sz w:val="20"/>
                <w:szCs w:val="20"/>
              </w:rPr>
              <w:t>Frequencies (n) %*</w:t>
            </w:r>
          </w:p>
        </w:tc>
      </w:tr>
      <w:tr w:rsidR="00DA02D6" w:rsidRPr="00F6519B" w14:paraId="63D31694" w14:textId="77777777" w:rsidTr="00806177">
        <w:trPr>
          <w:cnfStyle w:val="100000000000" w:firstRow="1" w:lastRow="0" w:firstColumn="0" w:lastColumn="0" w:oddVBand="0" w:evenVBand="0" w:oddHBand="0" w:evenHBand="0" w:firstRowFirstColumn="0" w:firstRowLastColumn="0" w:lastRowFirstColumn="0" w:lastRowLastColumn="0"/>
          <w:trHeight w:val="475"/>
          <w:tblHeader/>
          <w:jc w:val="center"/>
        </w:trPr>
        <w:tc>
          <w:tcPr>
            <w:cnfStyle w:val="001000000000" w:firstRow="0" w:lastRow="0" w:firstColumn="1" w:lastColumn="0" w:oddVBand="0" w:evenVBand="0" w:oddHBand="0" w:evenHBand="0" w:firstRowFirstColumn="0" w:firstRowLastColumn="0" w:lastRowFirstColumn="0" w:lastRowLastColumn="0"/>
            <w:tcW w:w="3178" w:type="dxa"/>
            <w:gridSpan w:val="2"/>
            <w:shd w:val="clear" w:color="auto" w:fill="F8E5DA" w:themeFill="accent2" w:themeFillTint="33"/>
          </w:tcPr>
          <w:p w14:paraId="6F281C27" w14:textId="77777777" w:rsidR="00DA02D6" w:rsidRPr="00F6519B" w:rsidRDefault="00DA02D6" w:rsidP="00537C13">
            <w:pPr>
              <w:rPr>
                <w:sz w:val="20"/>
                <w:szCs w:val="20"/>
              </w:rPr>
            </w:pPr>
          </w:p>
          <w:p w14:paraId="70CCF049" w14:textId="77777777" w:rsidR="00DA02D6" w:rsidRPr="00F6519B" w:rsidRDefault="00DA02D6" w:rsidP="006D4835">
            <w:pPr>
              <w:widowControl w:val="0"/>
              <w:ind w:right="72"/>
              <w:rPr>
                <w:sz w:val="20"/>
                <w:szCs w:val="20"/>
              </w:rPr>
            </w:pPr>
          </w:p>
        </w:tc>
        <w:tc>
          <w:tcPr>
            <w:tcW w:w="1471" w:type="dxa"/>
            <w:shd w:val="clear" w:color="auto" w:fill="F8E5DA" w:themeFill="accent2" w:themeFillTint="33"/>
          </w:tcPr>
          <w:p w14:paraId="012B24EC"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Adverse</w:t>
            </w:r>
          </w:p>
          <w:p w14:paraId="6F3423B6"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Practice</w:t>
            </w:r>
          </w:p>
          <w:p w14:paraId="3E4ADCE1"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1</w:t>
            </w:r>
          </w:p>
        </w:tc>
        <w:tc>
          <w:tcPr>
            <w:tcW w:w="1169" w:type="dxa"/>
            <w:shd w:val="clear" w:color="auto" w:fill="F8E5DA" w:themeFill="accent2" w:themeFillTint="33"/>
          </w:tcPr>
          <w:p w14:paraId="590867FF"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Poor</w:t>
            </w:r>
          </w:p>
          <w:p w14:paraId="328A8DAF"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Practice</w:t>
            </w:r>
          </w:p>
          <w:p w14:paraId="086A4992"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2</w:t>
            </w:r>
          </w:p>
        </w:tc>
        <w:tc>
          <w:tcPr>
            <w:tcW w:w="1169" w:type="dxa"/>
            <w:shd w:val="clear" w:color="auto" w:fill="F8E5DA" w:themeFill="accent2" w:themeFillTint="33"/>
          </w:tcPr>
          <w:p w14:paraId="70951517"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Fair</w:t>
            </w:r>
          </w:p>
          <w:p w14:paraId="22571642"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Practice</w:t>
            </w:r>
          </w:p>
          <w:p w14:paraId="01FDA20B"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3</w:t>
            </w:r>
          </w:p>
        </w:tc>
        <w:tc>
          <w:tcPr>
            <w:tcW w:w="1169" w:type="dxa"/>
            <w:shd w:val="clear" w:color="auto" w:fill="F8E5DA" w:themeFill="accent2" w:themeFillTint="33"/>
          </w:tcPr>
          <w:p w14:paraId="7A3E3F15"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Good</w:t>
            </w:r>
          </w:p>
          <w:p w14:paraId="41070696"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Practice</w:t>
            </w:r>
          </w:p>
          <w:p w14:paraId="45947FEF"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4</w:t>
            </w:r>
          </w:p>
        </w:tc>
        <w:tc>
          <w:tcPr>
            <w:tcW w:w="1322" w:type="dxa"/>
            <w:shd w:val="clear" w:color="auto" w:fill="F8E5DA" w:themeFill="accent2" w:themeFillTint="33"/>
          </w:tcPr>
          <w:p w14:paraId="6CFCCCB0"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Exemplary/</w:t>
            </w:r>
          </w:p>
          <w:p w14:paraId="3945661D"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Best Practice</w:t>
            </w:r>
          </w:p>
          <w:p w14:paraId="366B28D9"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5</w:t>
            </w:r>
          </w:p>
        </w:tc>
      </w:tr>
      <w:tr w:rsidR="00DA02D6" w:rsidRPr="00F6519B" w14:paraId="3C8EA3E6" w14:textId="77777777" w:rsidTr="00806177">
        <w:trPr>
          <w:cnfStyle w:val="000000100000" w:firstRow="0" w:lastRow="0" w:firstColumn="0" w:lastColumn="0" w:oddVBand="0" w:evenVBand="0" w:oddHBand="1" w:evenHBand="0" w:firstRowFirstColumn="0" w:firstRowLastColumn="0" w:lastRowFirstColumn="0" w:lastRowLastColumn="0"/>
          <w:trHeight w:val="1249"/>
          <w:jc w:val="center"/>
        </w:trPr>
        <w:tc>
          <w:tcPr>
            <w:cnfStyle w:val="001000000000" w:firstRow="0" w:lastRow="0" w:firstColumn="1" w:lastColumn="0" w:oddVBand="0" w:evenVBand="0" w:oddHBand="0" w:evenHBand="0" w:firstRowFirstColumn="0" w:firstRowLastColumn="0" w:lastRowFirstColumn="0" w:lastRowLastColumn="0"/>
            <w:tcW w:w="2451" w:type="dxa"/>
            <w:shd w:val="clear" w:color="auto" w:fill="auto"/>
          </w:tcPr>
          <w:p w14:paraId="34161DCF" w14:textId="77777777" w:rsidR="00DA02D6" w:rsidRPr="00DF7DDC" w:rsidRDefault="00DA02D6" w:rsidP="00470694">
            <w:pPr>
              <w:widowControl w:val="0"/>
              <w:rPr>
                <w:sz w:val="20"/>
                <w:szCs w:val="20"/>
              </w:rPr>
            </w:pPr>
            <w:r w:rsidRPr="00F6519B">
              <w:rPr>
                <w:sz w:val="20"/>
                <w:szCs w:val="20"/>
              </w:rPr>
              <w:t>Assessment</w:t>
            </w:r>
          </w:p>
          <w:p w14:paraId="4F825335" w14:textId="77777777" w:rsidR="00DA02D6" w:rsidRPr="00F6519B" w:rsidRDefault="00DA02D6" w:rsidP="00470694">
            <w:pPr>
              <w:widowControl w:val="0"/>
              <w:rPr>
                <w:sz w:val="20"/>
                <w:szCs w:val="20"/>
              </w:rPr>
            </w:pPr>
          </w:p>
          <w:p w14:paraId="55BEFD42" w14:textId="77777777" w:rsidR="00DA02D6" w:rsidRPr="00DF7DDC" w:rsidRDefault="00DA02D6" w:rsidP="00470694">
            <w:pPr>
              <w:rPr>
                <w:sz w:val="20"/>
                <w:szCs w:val="20"/>
              </w:rPr>
            </w:pPr>
            <w:r w:rsidRPr="00F6519B">
              <w:rPr>
                <w:sz w:val="20"/>
                <w:szCs w:val="20"/>
              </w:rPr>
              <w:t>-ICC</w:t>
            </w:r>
          </w:p>
          <w:p w14:paraId="1B06A120" w14:textId="77777777" w:rsidR="00DA02D6" w:rsidRPr="00F6519B" w:rsidRDefault="00DA02D6" w:rsidP="00470694">
            <w:pPr>
              <w:rPr>
                <w:sz w:val="20"/>
                <w:szCs w:val="20"/>
              </w:rPr>
            </w:pPr>
          </w:p>
          <w:p w14:paraId="685FFB6D" w14:textId="77777777" w:rsidR="00DA02D6" w:rsidRPr="00DF7DDC" w:rsidRDefault="00DA02D6" w:rsidP="00470694">
            <w:pPr>
              <w:widowControl w:val="0"/>
              <w:rPr>
                <w:sz w:val="20"/>
                <w:szCs w:val="20"/>
              </w:rPr>
            </w:pPr>
            <w:r w:rsidRPr="00F6519B">
              <w:rPr>
                <w:sz w:val="20"/>
                <w:szCs w:val="20"/>
              </w:rPr>
              <w:t>-IHT</w:t>
            </w:r>
          </w:p>
        </w:tc>
        <w:tc>
          <w:tcPr>
            <w:tcW w:w="727" w:type="dxa"/>
            <w:shd w:val="clear" w:color="auto" w:fill="auto"/>
          </w:tcPr>
          <w:p w14:paraId="69F66B15" w14:textId="78179E39" w:rsidR="00DA02D6" w:rsidRPr="00D80D43" w:rsidRDefault="00D80D43" w:rsidP="00470694">
            <w:pPr>
              <w:cnfStyle w:val="000000100000" w:firstRow="0" w:lastRow="0" w:firstColumn="0" w:lastColumn="0" w:oddVBand="0" w:evenVBand="0" w:oddHBand="1" w:evenHBand="0" w:firstRowFirstColumn="0" w:firstRowLastColumn="0" w:lastRowFirstColumn="0" w:lastRowLastColumn="0"/>
              <w:rPr>
                <w:b/>
                <w:sz w:val="20"/>
                <w:szCs w:val="20"/>
              </w:rPr>
            </w:pPr>
            <w:r w:rsidRPr="00D80D43">
              <w:rPr>
                <w:b/>
                <w:sz w:val="20"/>
                <w:szCs w:val="20"/>
              </w:rPr>
              <w:t>3.1</w:t>
            </w:r>
          </w:p>
          <w:p w14:paraId="74010A2A" w14:textId="7BD282FE" w:rsidR="00990739" w:rsidRPr="00990739" w:rsidRDefault="00990739" w:rsidP="00470694">
            <w:pPr>
              <w:cnfStyle w:val="000000100000" w:firstRow="0" w:lastRow="0" w:firstColumn="0" w:lastColumn="0" w:oddVBand="0" w:evenVBand="0" w:oddHBand="1" w:evenHBand="0" w:firstRowFirstColumn="0" w:firstRowLastColumn="0" w:lastRowFirstColumn="0" w:lastRowLastColumn="0"/>
              <w:rPr>
                <w:sz w:val="20"/>
                <w:szCs w:val="20"/>
              </w:rPr>
            </w:pPr>
          </w:p>
          <w:p w14:paraId="50992DEE" w14:textId="77991412" w:rsidR="005415C5" w:rsidRPr="00990739" w:rsidRDefault="00990739" w:rsidP="00470694">
            <w:pPr>
              <w:cnfStyle w:val="000000100000" w:firstRow="0" w:lastRow="0" w:firstColumn="0" w:lastColumn="0" w:oddVBand="0" w:evenVBand="0" w:oddHBand="1" w:evenHBand="0" w:firstRowFirstColumn="0" w:firstRowLastColumn="0" w:lastRowFirstColumn="0" w:lastRowLastColumn="0"/>
              <w:rPr>
                <w:sz w:val="20"/>
                <w:szCs w:val="20"/>
              </w:rPr>
            </w:pPr>
            <w:r w:rsidRPr="00990739">
              <w:rPr>
                <w:sz w:val="20"/>
                <w:szCs w:val="20"/>
              </w:rPr>
              <w:t>3.1</w:t>
            </w:r>
          </w:p>
          <w:p w14:paraId="58486394" w14:textId="77777777" w:rsidR="005415C5" w:rsidRPr="00990739" w:rsidRDefault="005415C5" w:rsidP="00470694">
            <w:pPr>
              <w:cnfStyle w:val="000000100000" w:firstRow="0" w:lastRow="0" w:firstColumn="0" w:lastColumn="0" w:oddVBand="0" w:evenVBand="0" w:oddHBand="1" w:evenHBand="0" w:firstRowFirstColumn="0" w:firstRowLastColumn="0" w:lastRowFirstColumn="0" w:lastRowLastColumn="0"/>
              <w:rPr>
                <w:sz w:val="20"/>
                <w:szCs w:val="20"/>
              </w:rPr>
            </w:pPr>
          </w:p>
          <w:p w14:paraId="636F16EA" w14:textId="11B168FC" w:rsidR="005415C5" w:rsidRPr="00990739" w:rsidRDefault="005415C5" w:rsidP="00470694">
            <w:pPr>
              <w:cnfStyle w:val="000000100000" w:firstRow="0" w:lastRow="0" w:firstColumn="0" w:lastColumn="0" w:oddVBand="0" w:evenVBand="0" w:oddHBand="1" w:evenHBand="0" w:firstRowFirstColumn="0" w:firstRowLastColumn="0" w:lastRowFirstColumn="0" w:lastRowLastColumn="0"/>
              <w:rPr>
                <w:sz w:val="20"/>
                <w:szCs w:val="20"/>
              </w:rPr>
            </w:pPr>
            <w:r w:rsidRPr="00990739">
              <w:rPr>
                <w:sz w:val="20"/>
                <w:szCs w:val="20"/>
              </w:rPr>
              <w:t>3.1</w:t>
            </w:r>
          </w:p>
        </w:tc>
        <w:tc>
          <w:tcPr>
            <w:tcW w:w="1471" w:type="dxa"/>
            <w:shd w:val="clear" w:color="auto" w:fill="auto"/>
          </w:tcPr>
          <w:p w14:paraId="558F7EAC" w14:textId="77777777" w:rsidR="005415C5" w:rsidRPr="00FB7F0C" w:rsidRDefault="00FB7F0C" w:rsidP="002173ED">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B7F0C">
              <w:rPr>
                <w:b/>
                <w:sz w:val="20"/>
                <w:szCs w:val="20"/>
              </w:rPr>
              <w:t>(1) 1%</w:t>
            </w:r>
          </w:p>
          <w:p w14:paraId="3BE00930" w14:textId="77777777" w:rsidR="00FB7F0C" w:rsidRDefault="00FB7F0C" w:rsidP="002173ED">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6A7E03B" w14:textId="2BDBAF8C" w:rsidR="00FB7F0C" w:rsidRDefault="00FB7F0C" w:rsidP="00FB7F0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 2%</w:t>
            </w:r>
          </w:p>
          <w:p w14:paraId="65A70D2D" w14:textId="77777777" w:rsidR="00FB7F0C" w:rsidRDefault="00FB7F0C" w:rsidP="00FB7F0C">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CF03E86" w14:textId="66BC6CCE" w:rsidR="00FB7F0C" w:rsidRPr="00FB7F0C" w:rsidRDefault="00FB7F0C" w:rsidP="00FB7F0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1169" w:type="dxa"/>
            <w:shd w:val="clear" w:color="auto" w:fill="auto"/>
          </w:tcPr>
          <w:p w14:paraId="5B231DE3" w14:textId="77777777" w:rsidR="005415C5" w:rsidRPr="00D155FF" w:rsidRDefault="00D155FF"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155FF">
              <w:rPr>
                <w:b/>
                <w:sz w:val="20"/>
                <w:szCs w:val="20"/>
              </w:rPr>
              <w:t>(27) 22%</w:t>
            </w:r>
          </w:p>
          <w:p w14:paraId="5E3B15DA" w14:textId="77777777" w:rsidR="00D155FF" w:rsidRDefault="00D155FF"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D9FB737" w14:textId="77777777" w:rsidR="00D155FF" w:rsidRDefault="00D155FF"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 21%</w:t>
            </w:r>
          </w:p>
          <w:p w14:paraId="440AEDFF" w14:textId="77777777" w:rsidR="00D155FF" w:rsidRDefault="00D155FF"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3FF72AB" w14:textId="3831B9B4" w:rsidR="00D155FF" w:rsidRPr="00DF7DDC" w:rsidRDefault="00D155FF"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(14) 23%</w:t>
            </w:r>
          </w:p>
        </w:tc>
        <w:tc>
          <w:tcPr>
            <w:tcW w:w="1169" w:type="dxa"/>
            <w:shd w:val="clear" w:color="auto" w:fill="auto"/>
          </w:tcPr>
          <w:p w14:paraId="5263324C" w14:textId="77777777" w:rsidR="005415C5" w:rsidRPr="00B024A1" w:rsidRDefault="00B024A1" w:rsidP="009156DD">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B024A1">
              <w:rPr>
                <w:b/>
                <w:sz w:val="20"/>
                <w:szCs w:val="20"/>
              </w:rPr>
              <w:t>(60) 49%</w:t>
            </w:r>
          </w:p>
          <w:p w14:paraId="19C94892" w14:textId="77777777" w:rsidR="00B024A1" w:rsidRDefault="00B024A1" w:rsidP="009156DD">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F4538A7" w14:textId="77777777" w:rsidR="00B024A1" w:rsidRDefault="00B024A1" w:rsidP="009156DD">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 49%</w:t>
            </w:r>
          </w:p>
          <w:p w14:paraId="5DA17945" w14:textId="77777777" w:rsidR="00B024A1" w:rsidRDefault="00B024A1" w:rsidP="009156DD">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3EC866B" w14:textId="344D76B8" w:rsidR="00B024A1" w:rsidRPr="00F6519B" w:rsidRDefault="00B024A1" w:rsidP="009156DD">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 48%</w:t>
            </w:r>
          </w:p>
        </w:tc>
        <w:tc>
          <w:tcPr>
            <w:tcW w:w="1169" w:type="dxa"/>
            <w:shd w:val="clear" w:color="auto" w:fill="auto"/>
          </w:tcPr>
          <w:p w14:paraId="76BF9400" w14:textId="77777777" w:rsidR="005415C5" w:rsidRPr="005F275B" w:rsidRDefault="005F275B"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5F275B">
              <w:rPr>
                <w:b/>
                <w:sz w:val="20"/>
                <w:szCs w:val="20"/>
              </w:rPr>
              <w:t>(32) 26%</w:t>
            </w:r>
          </w:p>
          <w:p w14:paraId="30F8835F" w14:textId="77777777" w:rsidR="005F275B" w:rsidRDefault="005F275B"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04D7E6D" w14:textId="77777777" w:rsidR="005F275B" w:rsidRDefault="005F275B"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 25%</w:t>
            </w:r>
          </w:p>
          <w:p w14:paraId="0C604291" w14:textId="77777777" w:rsidR="005F275B" w:rsidRDefault="005F275B"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F98DB23" w14:textId="46D2BEF6" w:rsidR="005F275B" w:rsidRPr="00DF7DDC" w:rsidRDefault="005F275B"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(17) 27%</w:t>
            </w:r>
          </w:p>
        </w:tc>
        <w:tc>
          <w:tcPr>
            <w:tcW w:w="1322" w:type="dxa"/>
            <w:shd w:val="clear" w:color="auto" w:fill="auto"/>
          </w:tcPr>
          <w:p w14:paraId="5DB6F160" w14:textId="77777777" w:rsidR="005415C5" w:rsidRPr="00530CA3" w:rsidRDefault="00530CA3"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530CA3">
              <w:rPr>
                <w:b/>
                <w:sz w:val="20"/>
                <w:szCs w:val="20"/>
              </w:rPr>
              <w:t>(3) 2%</w:t>
            </w:r>
          </w:p>
          <w:p w14:paraId="7134AD71" w14:textId="77777777" w:rsidR="00530CA3" w:rsidRDefault="00530CA3"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A8C2BB8" w14:textId="77777777" w:rsidR="00530CA3" w:rsidRDefault="00530CA3"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 3%</w:t>
            </w:r>
          </w:p>
          <w:p w14:paraId="70E387D7" w14:textId="77777777" w:rsidR="00530CA3" w:rsidRDefault="00530CA3"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FA4ADF1" w14:textId="30E1D83C" w:rsidR="00530CA3" w:rsidRPr="00DF7DDC" w:rsidRDefault="00530CA3"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 2%</w:t>
            </w:r>
          </w:p>
        </w:tc>
      </w:tr>
      <w:tr w:rsidR="00DA02D6" w:rsidRPr="00F6519B" w14:paraId="0DFDF86E" w14:textId="77777777" w:rsidTr="00806177">
        <w:trPr>
          <w:trHeight w:val="1249"/>
          <w:jc w:val="center"/>
        </w:trPr>
        <w:tc>
          <w:tcPr>
            <w:cnfStyle w:val="001000000000" w:firstRow="0" w:lastRow="0" w:firstColumn="1" w:lastColumn="0" w:oddVBand="0" w:evenVBand="0" w:oddHBand="0" w:evenHBand="0" w:firstRowFirstColumn="0" w:firstRowLastColumn="0" w:lastRowFirstColumn="0" w:lastRowLastColumn="0"/>
            <w:tcW w:w="2451" w:type="dxa"/>
            <w:shd w:val="clear" w:color="auto" w:fill="F8E5DA" w:themeFill="accent2" w:themeFillTint="33"/>
          </w:tcPr>
          <w:p w14:paraId="47326FF8" w14:textId="77777777" w:rsidR="00DA02D6" w:rsidRPr="00DF7DDC" w:rsidRDefault="00DA02D6" w:rsidP="00470694">
            <w:pPr>
              <w:widowControl w:val="0"/>
              <w:rPr>
                <w:sz w:val="20"/>
                <w:szCs w:val="20"/>
              </w:rPr>
            </w:pPr>
            <w:r w:rsidRPr="00F6519B">
              <w:rPr>
                <w:sz w:val="20"/>
                <w:szCs w:val="20"/>
              </w:rPr>
              <w:t>Service Planning</w:t>
            </w:r>
          </w:p>
          <w:p w14:paraId="74FE4685" w14:textId="77777777" w:rsidR="00DA02D6" w:rsidRPr="00F6519B" w:rsidRDefault="00DA02D6" w:rsidP="00470694">
            <w:pPr>
              <w:widowControl w:val="0"/>
              <w:rPr>
                <w:sz w:val="20"/>
                <w:szCs w:val="20"/>
              </w:rPr>
            </w:pPr>
          </w:p>
          <w:p w14:paraId="59E45CD1" w14:textId="77777777" w:rsidR="00DA02D6" w:rsidRPr="00DF7DDC" w:rsidRDefault="00DA02D6" w:rsidP="00470694">
            <w:pPr>
              <w:rPr>
                <w:sz w:val="20"/>
                <w:szCs w:val="20"/>
              </w:rPr>
            </w:pPr>
            <w:r w:rsidRPr="00F6519B">
              <w:rPr>
                <w:sz w:val="20"/>
                <w:szCs w:val="20"/>
              </w:rPr>
              <w:t>-ICC</w:t>
            </w:r>
          </w:p>
          <w:p w14:paraId="28C9AB8C" w14:textId="77777777" w:rsidR="00DA02D6" w:rsidRPr="00F6519B" w:rsidRDefault="00DA02D6" w:rsidP="00470694">
            <w:pPr>
              <w:rPr>
                <w:sz w:val="20"/>
                <w:szCs w:val="20"/>
              </w:rPr>
            </w:pPr>
          </w:p>
          <w:p w14:paraId="5BC6E9BB" w14:textId="77777777" w:rsidR="00DA02D6" w:rsidRPr="002173ED" w:rsidRDefault="00DA02D6" w:rsidP="00470694">
            <w:pPr>
              <w:widowControl w:val="0"/>
              <w:rPr>
                <w:sz w:val="20"/>
                <w:szCs w:val="20"/>
              </w:rPr>
            </w:pPr>
            <w:r w:rsidRPr="00F6519B">
              <w:rPr>
                <w:sz w:val="20"/>
                <w:szCs w:val="20"/>
              </w:rPr>
              <w:t>-IHT</w:t>
            </w:r>
          </w:p>
        </w:tc>
        <w:tc>
          <w:tcPr>
            <w:tcW w:w="727" w:type="dxa"/>
            <w:shd w:val="clear" w:color="auto" w:fill="F8E5DA" w:themeFill="accent2" w:themeFillTint="33"/>
          </w:tcPr>
          <w:p w14:paraId="03232EAC" w14:textId="5554E4DA" w:rsidR="00DA02D6" w:rsidRPr="00D80D43" w:rsidRDefault="00D80D43" w:rsidP="00470694">
            <w:pPr>
              <w:cnfStyle w:val="000000000000" w:firstRow="0" w:lastRow="0" w:firstColumn="0" w:lastColumn="0" w:oddVBand="0" w:evenVBand="0" w:oddHBand="0" w:evenHBand="0" w:firstRowFirstColumn="0" w:firstRowLastColumn="0" w:lastRowFirstColumn="0" w:lastRowLastColumn="0"/>
              <w:rPr>
                <w:b/>
                <w:sz w:val="20"/>
                <w:szCs w:val="20"/>
              </w:rPr>
            </w:pPr>
            <w:r w:rsidRPr="00D80D43">
              <w:rPr>
                <w:b/>
                <w:sz w:val="20"/>
                <w:szCs w:val="20"/>
              </w:rPr>
              <w:t>3.2</w:t>
            </w:r>
          </w:p>
          <w:p w14:paraId="69B7CE5E" w14:textId="77777777" w:rsidR="005415C5" w:rsidRPr="00990739" w:rsidRDefault="005415C5" w:rsidP="00470694">
            <w:pPr>
              <w:cnfStyle w:val="000000000000" w:firstRow="0" w:lastRow="0" w:firstColumn="0" w:lastColumn="0" w:oddVBand="0" w:evenVBand="0" w:oddHBand="0" w:evenHBand="0" w:firstRowFirstColumn="0" w:firstRowLastColumn="0" w:lastRowFirstColumn="0" w:lastRowLastColumn="0"/>
              <w:rPr>
                <w:sz w:val="20"/>
                <w:szCs w:val="20"/>
              </w:rPr>
            </w:pPr>
          </w:p>
          <w:p w14:paraId="637CA140" w14:textId="27179C38" w:rsidR="005415C5" w:rsidRPr="00990739" w:rsidRDefault="00990739" w:rsidP="00470694">
            <w:pPr>
              <w:cnfStyle w:val="000000000000" w:firstRow="0" w:lastRow="0" w:firstColumn="0" w:lastColumn="0" w:oddVBand="0" w:evenVBand="0" w:oddHBand="0" w:evenHBand="0" w:firstRowFirstColumn="0" w:firstRowLastColumn="0" w:lastRowFirstColumn="0" w:lastRowLastColumn="0"/>
              <w:rPr>
                <w:sz w:val="20"/>
                <w:szCs w:val="20"/>
              </w:rPr>
            </w:pPr>
            <w:r w:rsidRPr="00990739">
              <w:rPr>
                <w:sz w:val="20"/>
                <w:szCs w:val="20"/>
              </w:rPr>
              <w:t>3.3</w:t>
            </w:r>
          </w:p>
          <w:p w14:paraId="4B4D433F" w14:textId="77777777" w:rsidR="005415C5" w:rsidRPr="00990739" w:rsidRDefault="005415C5" w:rsidP="00470694">
            <w:pPr>
              <w:cnfStyle w:val="000000000000" w:firstRow="0" w:lastRow="0" w:firstColumn="0" w:lastColumn="0" w:oddVBand="0" w:evenVBand="0" w:oddHBand="0" w:evenHBand="0" w:firstRowFirstColumn="0" w:firstRowLastColumn="0" w:lastRowFirstColumn="0" w:lastRowLastColumn="0"/>
              <w:rPr>
                <w:sz w:val="20"/>
                <w:szCs w:val="20"/>
              </w:rPr>
            </w:pPr>
          </w:p>
          <w:p w14:paraId="690C4329" w14:textId="357EC6BB" w:rsidR="005415C5" w:rsidRPr="00990739" w:rsidRDefault="005415C5" w:rsidP="00470694">
            <w:pPr>
              <w:cnfStyle w:val="000000000000" w:firstRow="0" w:lastRow="0" w:firstColumn="0" w:lastColumn="0" w:oddVBand="0" w:evenVBand="0" w:oddHBand="0" w:evenHBand="0" w:firstRowFirstColumn="0" w:firstRowLastColumn="0" w:lastRowFirstColumn="0" w:lastRowLastColumn="0"/>
              <w:rPr>
                <w:sz w:val="20"/>
                <w:szCs w:val="20"/>
              </w:rPr>
            </w:pPr>
            <w:r w:rsidRPr="00990739">
              <w:rPr>
                <w:sz w:val="20"/>
                <w:szCs w:val="20"/>
              </w:rPr>
              <w:t>3.2</w:t>
            </w:r>
          </w:p>
        </w:tc>
        <w:tc>
          <w:tcPr>
            <w:tcW w:w="1471" w:type="dxa"/>
            <w:shd w:val="clear" w:color="auto" w:fill="F8E5DA" w:themeFill="accent2" w:themeFillTint="33"/>
          </w:tcPr>
          <w:p w14:paraId="1DB59F6C" w14:textId="77777777" w:rsidR="005415C5" w:rsidRPr="00D155FF" w:rsidRDefault="00FB7F0C" w:rsidP="004A2307">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155FF">
              <w:rPr>
                <w:b/>
                <w:sz w:val="20"/>
                <w:szCs w:val="20"/>
              </w:rPr>
              <w:t>(1) 1%</w:t>
            </w:r>
          </w:p>
          <w:p w14:paraId="4701C670" w14:textId="77777777" w:rsidR="00FB7F0C" w:rsidRDefault="00FB7F0C" w:rsidP="004A2307">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84DB64C" w14:textId="77777777" w:rsidR="00FB7F0C" w:rsidRDefault="00FB7F0C" w:rsidP="004A230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p w14:paraId="20797E04" w14:textId="77777777" w:rsidR="00FB7F0C" w:rsidRDefault="00FB7F0C" w:rsidP="004A2307">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242AEA71" w14:textId="4D88D321" w:rsidR="00FB7F0C" w:rsidRPr="00FB7F0C" w:rsidRDefault="00FB7F0C" w:rsidP="00FB7F0C">
            <w:pPr>
              <w:jc w:val="center"/>
              <w:cnfStyle w:val="000000000000" w:firstRow="0" w:lastRow="0" w:firstColumn="0" w:lastColumn="0" w:oddVBand="0" w:evenVBand="0" w:oddHBand="0" w:evenHBand="0" w:firstRowFirstColumn="0" w:firstRowLastColumn="0" w:lastRowFirstColumn="0" w:lastRowLastColumn="0"/>
              <w:rPr>
                <w:sz w:val="20"/>
                <w:szCs w:val="20"/>
              </w:rPr>
            </w:pPr>
            <w:r w:rsidRPr="00FB7F0C">
              <w:rPr>
                <w:sz w:val="20"/>
                <w:szCs w:val="20"/>
              </w:rPr>
              <w:t>(1</w:t>
            </w:r>
            <w:r>
              <w:rPr>
                <w:sz w:val="20"/>
                <w:szCs w:val="20"/>
              </w:rPr>
              <w:t xml:space="preserve">) </w:t>
            </w:r>
            <w:r w:rsidRPr="00FB7F0C">
              <w:rPr>
                <w:sz w:val="20"/>
                <w:szCs w:val="20"/>
              </w:rPr>
              <w:t>2%</w:t>
            </w:r>
          </w:p>
        </w:tc>
        <w:tc>
          <w:tcPr>
            <w:tcW w:w="1169" w:type="dxa"/>
            <w:shd w:val="clear" w:color="auto" w:fill="F8E5DA" w:themeFill="accent2" w:themeFillTint="33"/>
          </w:tcPr>
          <w:p w14:paraId="19576D5A" w14:textId="77777777" w:rsidR="005415C5" w:rsidRPr="00D155FF" w:rsidRDefault="00D155FF" w:rsidP="004A2307">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155FF">
              <w:rPr>
                <w:b/>
                <w:sz w:val="20"/>
                <w:szCs w:val="20"/>
              </w:rPr>
              <w:t>(24) 20%</w:t>
            </w:r>
          </w:p>
          <w:p w14:paraId="41903031" w14:textId="77777777" w:rsidR="00D155FF" w:rsidRDefault="00D155FF" w:rsidP="004A2307">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45D1F3C" w14:textId="77777777" w:rsidR="00D155FF" w:rsidRDefault="00D155FF" w:rsidP="004A230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 16%</w:t>
            </w:r>
          </w:p>
          <w:p w14:paraId="04386466" w14:textId="77777777" w:rsidR="00D155FF" w:rsidRDefault="00D155FF" w:rsidP="004A2307">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C6DC54A" w14:textId="2A491BC5" w:rsidR="00D155FF" w:rsidRPr="00DF7DDC" w:rsidRDefault="00D155FF" w:rsidP="004A230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 23%</w:t>
            </w:r>
          </w:p>
        </w:tc>
        <w:tc>
          <w:tcPr>
            <w:tcW w:w="1169" w:type="dxa"/>
            <w:shd w:val="clear" w:color="auto" w:fill="F8E5DA" w:themeFill="accent2" w:themeFillTint="33"/>
          </w:tcPr>
          <w:p w14:paraId="31A390FB" w14:textId="77777777" w:rsidR="005415C5" w:rsidRPr="00B4523E" w:rsidRDefault="00B4523E"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B4523E">
              <w:rPr>
                <w:b/>
                <w:sz w:val="20"/>
                <w:szCs w:val="20"/>
              </w:rPr>
              <w:t>(48) 39%</w:t>
            </w:r>
          </w:p>
          <w:p w14:paraId="619C9B70" w14:textId="77777777" w:rsidR="00B4523E" w:rsidRDefault="00B4523E"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354FAA2" w14:textId="77777777" w:rsidR="00B4523E" w:rsidRDefault="00B4523E"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 39%</w:t>
            </w:r>
          </w:p>
          <w:p w14:paraId="4C988EFF" w14:textId="77777777" w:rsidR="00B4523E" w:rsidRDefault="00B4523E"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9A06C82" w14:textId="0882F0CA" w:rsidR="00B4523E" w:rsidRPr="00DF7DDC" w:rsidRDefault="00B4523E"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 39%</w:t>
            </w:r>
          </w:p>
        </w:tc>
        <w:tc>
          <w:tcPr>
            <w:tcW w:w="1169" w:type="dxa"/>
            <w:shd w:val="clear" w:color="auto" w:fill="F8E5DA" w:themeFill="accent2" w:themeFillTint="33"/>
          </w:tcPr>
          <w:p w14:paraId="7948FD1A" w14:textId="77777777" w:rsidR="005415C5" w:rsidRPr="005F275B" w:rsidRDefault="005F275B"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5F275B">
              <w:rPr>
                <w:b/>
                <w:sz w:val="20"/>
                <w:szCs w:val="20"/>
              </w:rPr>
              <w:t>(44) 36%</w:t>
            </w:r>
          </w:p>
          <w:p w14:paraId="78A39513" w14:textId="77777777" w:rsidR="005F275B" w:rsidRDefault="005F275B"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A6CC739" w14:textId="77777777" w:rsidR="005F275B" w:rsidRDefault="005F275B"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 39%</w:t>
            </w:r>
          </w:p>
          <w:p w14:paraId="6E05E29D" w14:textId="77777777" w:rsidR="005F275B" w:rsidRDefault="005F275B"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245EDD1" w14:textId="38501163" w:rsidR="005F275B" w:rsidRPr="00DF7DDC" w:rsidRDefault="005F275B"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 32%</w:t>
            </w:r>
          </w:p>
        </w:tc>
        <w:tc>
          <w:tcPr>
            <w:tcW w:w="1322" w:type="dxa"/>
            <w:shd w:val="clear" w:color="auto" w:fill="F8E5DA" w:themeFill="accent2" w:themeFillTint="33"/>
          </w:tcPr>
          <w:p w14:paraId="3079061C" w14:textId="77777777" w:rsidR="005415C5" w:rsidRPr="00530CA3" w:rsidRDefault="00530CA3"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530CA3">
              <w:rPr>
                <w:b/>
                <w:sz w:val="20"/>
                <w:szCs w:val="20"/>
              </w:rPr>
              <w:t>(6) 5%</w:t>
            </w:r>
          </w:p>
          <w:p w14:paraId="5E7CD316" w14:textId="77777777" w:rsidR="00530CA3" w:rsidRDefault="00530CA3"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DD0EC08" w14:textId="77777777" w:rsidR="00530CA3" w:rsidRDefault="00530CA3"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 5%</w:t>
            </w:r>
          </w:p>
          <w:p w14:paraId="3B23BAC1" w14:textId="77777777" w:rsidR="00530CA3" w:rsidRDefault="00530CA3"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BDD4EF5" w14:textId="1F58AF4B" w:rsidR="00530CA3" w:rsidRPr="00DF7DDC" w:rsidRDefault="00530CA3"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 5%</w:t>
            </w:r>
          </w:p>
        </w:tc>
      </w:tr>
      <w:tr w:rsidR="00DA02D6" w:rsidRPr="00F6519B" w14:paraId="097E79B1" w14:textId="77777777" w:rsidTr="00806177">
        <w:trPr>
          <w:cnfStyle w:val="000000100000" w:firstRow="0" w:lastRow="0" w:firstColumn="0" w:lastColumn="0" w:oddVBand="0" w:evenVBand="0" w:oddHBand="1" w:evenHBand="0" w:firstRowFirstColumn="0" w:firstRowLastColumn="0" w:lastRowFirstColumn="0" w:lastRowLastColumn="0"/>
          <w:trHeight w:val="1249"/>
          <w:jc w:val="center"/>
        </w:trPr>
        <w:tc>
          <w:tcPr>
            <w:cnfStyle w:val="001000000000" w:firstRow="0" w:lastRow="0" w:firstColumn="1" w:lastColumn="0" w:oddVBand="0" w:evenVBand="0" w:oddHBand="0" w:evenHBand="0" w:firstRowFirstColumn="0" w:firstRowLastColumn="0" w:lastRowFirstColumn="0" w:lastRowLastColumn="0"/>
            <w:tcW w:w="2451" w:type="dxa"/>
            <w:shd w:val="clear" w:color="auto" w:fill="auto"/>
          </w:tcPr>
          <w:p w14:paraId="633052F9" w14:textId="77777777" w:rsidR="00DA02D6" w:rsidRPr="00DF7DDC" w:rsidRDefault="00DA02D6" w:rsidP="00470694">
            <w:pPr>
              <w:widowControl w:val="0"/>
              <w:rPr>
                <w:sz w:val="20"/>
                <w:szCs w:val="20"/>
              </w:rPr>
            </w:pPr>
            <w:r w:rsidRPr="00F6519B">
              <w:rPr>
                <w:sz w:val="20"/>
                <w:szCs w:val="20"/>
              </w:rPr>
              <w:t>Service Delivery</w:t>
            </w:r>
          </w:p>
          <w:p w14:paraId="4FEC1171" w14:textId="77777777" w:rsidR="00DA02D6" w:rsidRPr="00F6519B" w:rsidRDefault="00DA02D6" w:rsidP="00470694">
            <w:pPr>
              <w:widowControl w:val="0"/>
              <w:rPr>
                <w:sz w:val="20"/>
                <w:szCs w:val="20"/>
              </w:rPr>
            </w:pPr>
          </w:p>
          <w:p w14:paraId="2E6606FA" w14:textId="77777777" w:rsidR="00DA02D6" w:rsidRPr="00DF7DDC" w:rsidRDefault="00DA02D6" w:rsidP="00470694">
            <w:pPr>
              <w:rPr>
                <w:sz w:val="20"/>
                <w:szCs w:val="20"/>
              </w:rPr>
            </w:pPr>
            <w:r w:rsidRPr="00F6519B">
              <w:rPr>
                <w:sz w:val="20"/>
                <w:szCs w:val="20"/>
              </w:rPr>
              <w:t>-ICC</w:t>
            </w:r>
          </w:p>
          <w:p w14:paraId="1B266004" w14:textId="77777777" w:rsidR="00DA02D6" w:rsidRPr="00F6519B" w:rsidRDefault="00DA02D6" w:rsidP="00470694">
            <w:pPr>
              <w:rPr>
                <w:sz w:val="20"/>
                <w:szCs w:val="20"/>
              </w:rPr>
            </w:pPr>
          </w:p>
          <w:p w14:paraId="2A3E3FF6" w14:textId="77777777" w:rsidR="00DA02D6" w:rsidRPr="00DF7DDC" w:rsidRDefault="00DA02D6" w:rsidP="00470694">
            <w:pPr>
              <w:widowControl w:val="0"/>
              <w:rPr>
                <w:color w:val="0070C0"/>
                <w:sz w:val="20"/>
                <w:szCs w:val="20"/>
              </w:rPr>
            </w:pPr>
            <w:r w:rsidRPr="00F6519B">
              <w:rPr>
                <w:sz w:val="20"/>
                <w:szCs w:val="20"/>
              </w:rPr>
              <w:t>-IHT</w:t>
            </w:r>
          </w:p>
        </w:tc>
        <w:tc>
          <w:tcPr>
            <w:tcW w:w="727" w:type="dxa"/>
            <w:shd w:val="clear" w:color="auto" w:fill="auto"/>
          </w:tcPr>
          <w:p w14:paraId="24173807" w14:textId="4BDDD6AE" w:rsidR="00DA02D6" w:rsidRPr="00D80D43" w:rsidRDefault="00D80D43" w:rsidP="00470694">
            <w:pPr>
              <w:cnfStyle w:val="000000100000" w:firstRow="0" w:lastRow="0" w:firstColumn="0" w:lastColumn="0" w:oddVBand="0" w:evenVBand="0" w:oddHBand="1" w:evenHBand="0" w:firstRowFirstColumn="0" w:firstRowLastColumn="0" w:lastRowFirstColumn="0" w:lastRowLastColumn="0"/>
              <w:rPr>
                <w:b/>
                <w:sz w:val="20"/>
                <w:szCs w:val="20"/>
              </w:rPr>
            </w:pPr>
            <w:r w:rsidRPr="00D80D43">
              <w:rPr>
                <w:b/>
                <w:sz w:val="20"/>
                <w:szCs w:val="20"/>
              </w:rPr>
              <w:t>3.5</w:t>
            </w:r>
          </w:p>
          <w:p w14:paraId="1A834B61" w14:textId="77777777" w:rsidR="005415C5" w:rsidRPr="00800738" w:rsidRDefault="005415C5" w:rsidP="00470694">
            <w:pPr>
              <w:cnfStyle w:val="000000100000" w:firstRow="0" w:lastRow="0" w:firstColumn="0" w:lastColumn="0" w:oddVBand="0" w:evenVBand="0" w:oddHBand="1" w:evenHBand="0" w:firstRowFirstColumn="0" w:firstRowLastColumn="0" w:lastRowFirstColumn="0" w:lastRowLastColumn="0"/>
              <w:rPr>
                <w:sz w:val="20"/>
                <w:szCs w:val="20"/>
              </w:rPr>
            </w:pPr>
          </w:p>
          <w:p w14:paraId="1A18F6E2" w14:textId="557B4E05" w:rsidR="005415C5" w:rsidRPr="00800738" w:rsidRDefault="00990739" w:rsidP="0047069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3.3</w:t>
            </w:r>
          </w:p>
          <w:p w14:paraId="3BC5AD0F" w14:textId="77777777" w:rsidR="005415C5" w:rsidRPr="00800738" w:rsidRDefault="005415C5" w:rsidP="00470694">
            <w:pPr>
              <w:cnfStyle w:val="000000100000" w:firstRow="0" w:lastRow="0" w:firstColumn="0" w:lastColumn="0" w:oddVBand="0" w:evenVBand="0" w:oddHBand="1" w:evenHBand="0" w:firstRowFirstColumn="0" w:firstRowLastColumn="0" w:lastRowFirstColumn="0" w:lastRowLastColumn="0"/>
              <w:rPr>
                <w:sz w:val="20"/>
                <w:szCs w:val="20"/>
              </w:rPr>
            </w:pPr>
          </w:p>
          <w:p w14:paraId="6F2A7751" w14:textId="3522B58F" w:rsidR="005415C5" w:rsidRPr="00800738" w:rsidRDefault="005415C5" w:rsidP="00470694">
            <w:pPr>
              <w:cnfStyle w:val="000000100000" w:firstRow="0" w:lastRow="0" w:firstColumn="0" w:lastColumn="0" w:oddVBand="0" w:evenVBand="0" w:oddHBand="1" w:evenHBand="0" w:firstRowFirstColumn="0" w:firstRowLastColumn="0" w:lastRowFirstColumn="0" w:lastRowLastColumn="0"/>
              <w:rPr>
                <w:sz w:val="20"/>
                <w:szCs w:val="20"/>
              </w:rPr>
            </w:pPr>
            <w:r w:rsidRPr="00800738">
              <w:rPr>
                <w:sz w:val="20"/>
                <w:szCs w:val="20"/>
              </w:rPr>
              <w:t>3.7</w:t>
            </w:r>
          </w:p>
        </w:tc>
        <w:tc>
          <w:tcPr>
            <w:tcW w:w="1471" w:type="dxa"/>
            <w:shd w:val="clear" w:color="auto" w:fill="auto"/>
          </w:tcPr>
          <w:p w14:paraId="6333A527" w14:textId="77777777" w:rsidR="005415C5" w:rsidRPr="00D155FF" w:rsidRDefault="00D155FF" w:rsidP="004A2307">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155FF">
              <w:rPr>
                <w:b/>
                <w:sz w:val="20"/>
                <w:szCs w:val="20"/>
              </w:rPr>
              <w:t>(1) 1%</w:t>
            </w:r>
          </w:p>
          <w:p w14:paraId="7DEAC3CA" w14:textId="77777777" w:rsidR="00D155FF" w:rsidRDefault="00D155FF" w:rsidP="004A2307">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8938079" w14:textId="77777777" w:rsidR="00D155FF" w:rsidRDefault="00D155FF" w:rsidP="00D155FF">
            <w:pPr>
              <w:jc w:val="center"/>
              <w:cnfStyle w:val="000000100000" w:firstRow="0" w:lastRow="0" w:firstColumn="0" w:lastColumn="0" w:oddVBand="0" w:evenVBand="0" w:oddHBand="1" w:evenHBand="0" w:firstRowFirstColumn="0" w:firstRowLastColumn="0" w:lastRowFirstColumn="0" w:lastRowLastColumn="0"/>
              <w:rPr>
                <w:sz w:val="20"/>
                <w:szCs w:val="20"/>
              </w:rPr>
            </w:pPr>
            <w:r w:rsidRPr="00D155FF">
              <w:rPr>
                <w:sz w:val="20"/>
                <w:szCs w:val="20"/>
              </w:rPr>
              <w:t>(1</w:t>
            </w:r>
            <w:r>
              <w:rPr>
                <w:sz w:val="20"/>
                <w:szCs w:val="20"/>
              </w:rPr>
              <w:t xml:space="preserve">) </w:t>
            </w:r>
            <w:r w:rsidRPr="00D155FF">
              <w:rPr>
                <w:sz w:val="20"/>
                <w:szCs w:val="20"/>
              </w:rPr>
              <w:t>2%</w:t>
            </w:r>
          </w:p>
          <w:p w14:paraId="555EB3AD" w14:textId="77777777" w:rsidR="00D155FF" w:rsidRDefault="00D155FF" w:rsidP="00D155FF">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281C286" w14:textId="401C2012" w:rsidR="00D155FF" w:rsidRPr="00D155FF" w:rsidRDefault="00D155FF" w:rsidP="00D155F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1169" w:type="dxa"/>
            <w:shd w:val="clear" w:color="auto" w:fill="auto"/>
          </w:tcPr>
          <w:p w14:paraId="6442AD45" w14:textId="77777777" w:rsidR="005415C5" w:rsidRPr="00D155FF" w:rsidRDefault="00D155FF"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155FF">
              <w:rPr>
                <w:b/>
                <w:sz w:val="20"/>
                <w:szCs w:val="20"/>
              </w:rPr>
              <w:t>(18) 15%</w:t>
            </w:r>
          </w:p>
          <w:p w14:paraId="2804F684" w14:textId="77777777" w:rsidR="00D155FF" w:rsidRDefault="00D155FF"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F65112A" w14:textId="77777777" w:rsidR="00D155FF" w:rsidRDefault="00D155FF"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 18%</w:t>
            </w:r>
          </w:p>
          <w:p w14:paraId="22D0D347" w14:textId="77777777" w:rsidR="00D155FF" w:rsidRDefault="00D155FF"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ABE84BF" w14:textId="2FDCDAA9" w:rsidR="00D155FF" w:rsidRPr="00DF7DDC" w:rsidRDefault="00D155FF"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 11%</w:t>
            </w:r>
          </w:p>
        </w:tc>
        <w:tc>
          <w:tcPr>
            <w:tcW w:w="1169" w:type="dxa"/>
            <w:shd w:val="clear" w:color="auto" w:fill="auto"/>
          </w:tcPr>
          <w:p w14:paraId="470EC9CD" w14:textId="77777777" w:rsidR="005415C5" w:rsidRPr="00B4523E" w:rsidRDefault="00B4523E"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B4523E">
              <w:rPr>
                <w:b/>
                <w:sz w:val="20"/>
                <w:szCs w:val="20"/>
              </w:rPr>
              <w:t>(36) 29%</w:t>
            </w:r>
          </w:p>
          <w:p w14:paraId="50BBC95E" w14:textId="77777777" w:rsidR="00B4523E" w:rsidRDefault="00B4523E"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CCF25A9" w14:textId="77777777" w:rsidR="00B4523E" w:rsidRDefault="00B4523E"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(19) 31%</w:t>
            </w:r>
          </w:p>
          <w:p w14:paraId="45CFE2A4" w14:textId="77777777" w:rsidR="00B4523E" w:rsidRDefault="00B4523E"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973CF52" w14:textId="231F0A4D" w:rsidR="00B4523E" w:rsidRPr="00DF7DDC" w:rsidRDefault="00B4523E"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(17) 27%</w:t>
            </w:r>
          </w:p>
        </w:tc>
        <w:tc>
          <w:tcPr>
            <w:tcW w:w="1169" w:type="dxa"/>
            <w:shd w:val="clear" w:color="auto" w:fill="auto"/>
          </w:tcPr>
          <w:p w14:paraId="1CD88D31" w14:textId="77777777" w:rsidR="00CC3839" w:rsidRPr="005F275B" w:rsidRDefault="005F275B"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5F275B">
              <w:rPr>
                <w:b/>
                <w:sz w:val="20"/>
                <w:szCs w:val="20"/>
              </w:rPr>
              <w:t>(54) 44%</w:t>
            </w:r>
          </w:p>
          <w:p w14:paraId="1C2BDF3E" w14:textId="77777777" w:rsidR="005F275B" w:rsidRDefault="005F275B"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FDF733B" w14:textId="77777777" w:rsidR="005F275B" w:rsidRDefault="005F275B"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 44%</w:t>
            </w:r>
          </w:p>
          <w:p w14:paraId="352DE9B8" w14:textId="77777777" w:rsidR="005F275B" w:rsidRDefault="005F275B"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7623DC56" w14:textId="3230D550" w:rsidR="005F275B" w:rsidRPr="00DF7DDC" w:rsidRDefault="005F275B"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 44%</w:t>
            </w:r>
          </w:p>
        </w:tc>
        <w:tc>
          <w:tcPr>
            <w:tcW w:w="1322" w:type="dxa"/>
            <w:shd w:val="clear" w:color="auto" w:fill="auto"/>
          </w:tcPr>
          <w:p w14:paraId="46B4760A" w14:textId="77777777" w:rsidR="00CC3839" w:rsidRPr="00530CA3" w:rsidRDefault="00530CA3"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530CA3">
              <w:rPr>
                <w:b/>
                <w:sz w:val="20"/>
                <w:szCs w:val="20"/>
              </w:rPr>
              <w:t>(14) 11%</w:t>
            </w:r>
          </w:p>
          <w:p w14:paraId="4EFB43BE" w14:textId="77777777" w:rsidR="00530CA3" w:rsidRDefault="00530CA3"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1C4B655" w14:textId="77777777" w:rsidR="00530CA3" w:rsidRDefault="00530CA3"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5%</w:t>
            </w:r>
          </w:p>
          <w:p w14:paraId="679BB56D" w14:textId="77777777" w:rsidR="00530CA3" w:rsidRDefault="00530CA3"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9B84BF3" w14:textId="0D30DCBA" w:rsidR="00530CA3" w:rsidRPr="00DF7DDC" w:rsidRDefault="00530CA3"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 18%</w:t>
            </w:r>
          </w:p>
        </w:tc>
      </w:tr>
      <w:tr w:rsidR="00DA02D6" w:rsidRPr="00F6519B" w14:paraId="0599823B" w14:textId="77777777" w:rsidTr="00806177">
        <w:trPr>
          <w:trHeight w:val="1231"/>
          <w:jc w:val="center"/>
        </w:trPr>
        <w:tc>
          <w:tcPr>
            <w:cnfStyle w:val="001000000000" w:firstRow="0" w:lastRow="0" w:firstColumn="1" w:lastColumn="0" w:oddVBand="0" w:evenVBand="0" w:oddHBand="0" w:evenHBand="0" w:firstRowFirstColumn="0" w:firstRowLastColumn="0" w:lastRowFirstColumn="0" w:lastRowLastColumn="0"/>
            <w:tcW w:w="2451" w:type="dxa"/>
            <w:shd w:val="clear" w:color="auto" w:fill="F8E5DA" w:themeFill="accent2" w:themeFillTint="33"/>
          </w:tcPr>
          <w:p w14:paraId="540F3080" w14:textId="77777777" w:rsidR="00DA02D6" w:rsidRPr="00A216E6" w:rsidRDefault="00DA02D6" w:rsidP="00F57B06">
            <w:pPr>
              <w:widowControl w:val="0"/>
              <w:jc w:val="left"/>
              <w:rPr>
                <w:sz w:val="20"/>
                <w:szCs w:val="20"/>
              </w:rPr>
            </w:pPr>
            <w:r w:rsidRPr="00A216E6">
              <w:rPr>
                <w:sz w:val="20"/>
                <w:szCs w:val="20"/>
              </w:rPr>
              <w:t>Youth &amp; Family Engagement</w:t>
            </w:r>
          </w:p>
          <w:p w14:paraId="65C476FD" w14:textId="77777777" w:rsidR="00DA02D6" w:rsidRPr="00A216E6" w:rsidRDefault="00DA02D6" w:rsidP="00470694">
            <w:pPr>
              <w:rPr>
                <w:sz w:val="20"/>
                <w:szCs w:val="20"/>
              </w:rPr>
            </w:pPr>
            <w:r w:rsidRPr="00A216E6">
              <w:rPr>
                <w:sz w:val="20"/>
                <w:szCs w:val="20"/>
              </w:rPr>
              <w:t>-ICC</w:t>
            </w:r>
          </w:p>
          <w:p w14:paraId="3D15B59B" w14:textId="77777777" w:rsidR="00DA02D6" w:rsidRPr="00A216E6" w:rsidRDefault="00DA02D6" w:rsidP="00470694">
            <w:pPr>
              <w:rPr>
                <w:sz w:val="20"/>
                <w:szCs w:val="20"/>
                <w:vertAlign w:val="superscript"/>
              </w:rPr>
            </w:pPr>
          </w:p>
          <w:p w14:paraId="04E4D228" w14:textId="77777777" w:rsidR="00DA02D6" w:rsidRPr="00A216E6" w:rsidRDefault="00DA02D6" w:rsidP="00470694">
            <w:pPr>
              <w:widowControl w:val="0"/>
              <w:rPr>
                <w:sz w:val="20"/>
                <w:szCs w:val="20"/>
              </w:rPr>
            </w:pPr>
            <w:r w:rsidRPr="00A216E6">
              <w:rPr>
                <w:sz w:val="20"/>
                <w:szCs w:val="20"/>
              </w:rPr>
              <w:t>-IHT</w:t>
            </w:r>
          </w:p>
        </w:tc>
        <w:tc>
          <w:tcPr>
            <w:tcW w:w="727" w:type="dxa"/>
            <w:shd w:val="clear" w:color="auto" w:fill="F8E5DA" w:themeFill="accent2" w:themeFillTint="33"/>
          </w:tcPr>
          <w:p w14:paraId="506D0EDE" w14:textId="7F93DA74" w:rsidR="00DA02D6" w:rsidRPr="00D80D43" w:rsidRDefault="00D80D43" w:rsidP="00470694">
            <w:pPr>
              <w:cnfStyle w:val="000000000000" w:firstRow="0" w:lastRow="0" w:firstColumn="0" w:lastColumn="0" w:oddVBand="0" w:evenVBand="0" w:oddHBand="0" w:evenHBand="0" w:firstRowFirstColumn="0" w:firstRowLastColumn="0" w:lastRowFirstColumn="0" w:lastRowLastColumn="0"/>
              <w:rPr>
                <w:b/>
                <w:sz w:val="20"/>
                <w:szCs w:val="20"/>
              </w:rPr>
            </w:pPr>
            <w:r w:rsidRPr="00D80D43">
              <w:rPr>
                <w:b/>
                <w:sz w:val="20"/>
                <w:szCs w:val="20"/>
              </w:rPr>
              <w:t>3.7</w:t>
            </w:r>
          </w:p>
          <w:p w14:paraId="72DBD1B9" w14:textId="77777777" w:rsidR="005415C5" w:rsidRPr="00800738" w:rsidRDefault="005415C5" w:rsidP="00470694">
            <w:pPr>
              <w:cnfStyle w:val="000000000000" w:firstRow="0" w:lastRow="0" w:firstColumn="0" w:lastColumn="0" w:oddVBand="0" w:evenVBand="0" w:oddHBand="0" w:evenHBand="0" w:firstRowFirstColumn="0" w:firstRowLastColumn="0" w:lastRowFirstColumn="0" w:lastRowLastColumn="0"/>
              <w:rPr>
                <w:sz w:val="20"/>
                <w:szCs w:val="20"/>
              </w:rPr>
            </w:pPr>
          </w:p>
          <w:p w14:paraId="08399576" w14:textId="5F0B9BC7" w:rsidR="005415C5" w:rsidRPr="00800738" w:rsidRDefault="00990739" w:rsidP="0047069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3.6</w:t>
            </w:r>
          </w:p>
          <w:p w14:paraId="6FB14F65" w14:textId="77777777" w:rsidR="005415C5" w:rsidRPr="00800738" w:rsidRDefault="005415C5" w:rsidP="00470694">
            <w:pPr>
              <w:cnfStyle w:val="000000000000" w:firstRow="0" w:lastRow="0" w:firstColumn="0" w:lastColumn="0" w:oddVBand="0" w:evenVBand="0" w:oddHBand="0" w:evenHBand="0" w:firstRowFirstColumn="0" w:firstRowLastColumn="0" w:lastRowFirstColumn="0" w:lastRowLastColumn="0"/>
              <w:rPr>
                <w:sz w:val="20"/>
                <w:szCs w:val="20"/>
              </w:rPr>
            </w:pPr>
          </w:p>
          <w:p w14:paraId="2796BCEE" w14:textId="5FBF3613" w:rsidR="005415C5" w:rsidRPr="00800738" w:rsidRDefault="005415C5" w:rsidP="00470694">
            <w:pPr>
              <w:cnfStyle w:val="000000000000" w:firstRow="0" w:lastRow="0" w:firstColumn="0" w:lastColumn="0" w:oddVBand="0" w:evenVBand="0" w:oddHBand="0" w:evenHBand="0" w:firstRowFirstColumn="0" w:firstRowLastColumn="0" w:lastRowFirstColumn="0" w:lastRowLastColumn="0"/>
              <w:rPr>
                <w:sz w:val="20"/>
                <w:szCs w:val="20"/>
              </w:rPr>
            </w:pPr>
            <w:r w:rsidRPr="00800738">
              <w:rPr>
                <w:sz w:val="20"/>
                <w:szCs w:val="20"/>
              </w:rPr>
              <w:t>3.7</w:t>
            </w:r>
          </w:p>
        </w:tc>
        <w:tc>
          <w:tcPr>
            <w:tcW w:w="1471" w:type="dxa"/>
            <w:shd w:val="clear" w:color="auto" w:fill="F8E5DA" w:themeFill="accent2" w:themeFillTint="33"/>
          </w:tcPr>
          <w:p w14:paraId="65863B25" w14:textId="77777777" w:rsidR="00CC3839" w:rsidRDefault="00D155FF"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p w14:paraId="76CFCA82" w14:textId="77777777" w:rsidR="00D155FF" w:rsidRDefault="00D155FF"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3AEC532" w14:textId="77777777" w:rsidR="00D155FF" w:rsidRDefault="00D155FF"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p w14:paraId="4AC14A73" w14:textId="77777777" w:rsidR="00D155FF" w:rsidRDefault="00D155FF"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A9D8FEA" w14:textId="6218AB9D" w:rsidR="00D155FF" w:rsidRPr="00DF7DDC" w:rsidRDefault="00D155FF"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69" w:type="dxa"/>
            <w:shd w:val="clear" w:color="auto" w:fill="F8E5DA" w:themeFill="accent2" w:themeFillTint="33"/>
          </w:tcPr>
          <w:p w14:paraId="49FE2834" w14:textId="218EBF2B" w:rsidR="00D155FF" w:rsidRPr="00D155FF" w:rsidRDefault="00D155FF" w:rsidP="00D155FF">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155FF">
              <w:rPr>
                <w:b/>
                <w:sz w:val="20"/>
                <w:szCs w:val="20"/>
              </w:rPr>
              <w:t>(11) 9%</w:t>
            </w:r>
          </w:p>
          <w:p w14:paraId="7C48A17F" w14:textId="77777777" w:rsidR="00D155FF" w:rsidRDefault="00D155FF" w:rsidP="00D155FF">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0B20153" w14:textId="77777777" w:rsidR="00D155FF" w:rsidRDefault="00D155FF" w:rsidP="00D155F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 11%</w:t>
            </w:r>
          </w:p>
          <w:p w14:paraId="33ADCB2B" w14:textId="77777777" w:rsidR="00D155FF" w:rsidRDefault="00D155FF" w:rsidP="00D155FF">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A21A7E9" w14:textId="334FF9DB" w:rsidR="00D155FF" w:rsidRPr="00DF7DDC" w:rsidRDefault="00D155FF" w:rsidP="00D155F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 6%</w:t>
            </w:r>
          </w:p>
        </w:tc>
        <w:tc>
          <w:tcPr>
            <w:tcW w:w="1169" w:type="dxa"/>
            <w:shd w:val="clear" w:color="auto" w:fill="F8E5DA" w:themeFill="accent2" w:themeFillTint="33"/>
          </w:tcPr>
          <w:p w14:paraId="03097EDA" w14:textId="77777777" w:rsidR="00CC3839" w:rsidRPr="00B4523E" w:rsidRDefault="00B4523E"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B4523E">
              <w:rPr>
                <w:b/>
                <w:sz w:val="20"/>
                <w:szCs w:val="20"/>
              </w:rPr>
              <w:t>(35) 28%</w:t>
            </w:r>
          </w:p>
          <w:p w14:paraId="39FFE386" w14:textId="77777777" w:rsidR="00B4523E" w:rsidRDefault="00B4523E"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1EAE86D" w14:textId="77777777" w:rsidR="00B4523E" w:rsidRDefault="00B4523E"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 25%</w:t>
            </w:r>
          </w:p>
          <w:p w14:paraId="208800A8" w14:textId="77777777" w:rsidR="00B4523E" w:rsidRDefault="00B4523E"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2F560F2" w14:textId="33FB9A35" w:rsidR="00B4523E" w:rsidRPr="00DF7DDC" w:rsidRDefault="00B4523E"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 32%</w:t>
            </w:r>
          </w:p>
        </w:tc>
        <w:tc>
          <w:tcPr>
            <w:tcW w:w="1169" w:type="dxa"/>
            <w:shd w:val="clear" w:color="auto" w:fill="F8E5DA" w:themeFill="accent2" w:themeFillTint="33"/>
          </w:tcPr>
          <w:p w14:paraId="1CEDDC30" w14:textId="77777777" w:rsidR="00CC3839" w:rsidRPr="005F275B" w:rsidRDefault="005F275B"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5F275B">
              <w:rPr>
                <w:b/>
                <w:sz w:val="20"/>
                <w:szCs w:val="20"/>
              </w:rPr>
              <w:t>(60) 49%</w:t>
            </w:r>
          </w:p>
          <w:p w14:paraId="726588B0" w14:textId="77777777" w:rsidR="005F275B" w:rsidRDefault="005F275B"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AF37D95" w14:textId="77777777" w:rsidR="005F275B" w:rsidRDefault="005F275B"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 56%</w:t>
            </w:r>
          </w:p>
          <w:p w14:paraId="3FF7E6F5" w14:textId="77777777" w:rsidR="005F275B" w:rsidRDefault="005F275B"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FC78EAF" w14:textId="337ACE40" w:rsidR="005F275B" w:rsidRPr="00DF7DDC" w:rsidRDefault="005F275B"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(26) 42%</w:t>
            </w:r>
          </w:p>
        </w:tc>
        <w:tc>
          <w:tcPr>
            <w:tcW w:w="1322" w:type="dxa"/>
            <w:shd w:val="clear" w:color="auto" w:fill="F8E5DA" w:themeFill="accent2" w:themeFillTint="33"/>
          </w:tcPr>
          <w:p w14:paraId="2A9219E0" w14:textId="77777777" w:rsidR="00CC3839" w:rsidRPr="00530CA3" w:rsidRDefault="00530CA3" w:rsidP="00AE51EF">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530CA3">
              <w:rPr>
                <w:b/>
                <w:sz w:val="20"/>
                <w:szCs w:val="20"/>
              </w:rPr>
              <w:t>(17) 14%</w:t>
            </w:r>
          </w:p>
          <w:p w14:paraId="413FAEEB" w14:textId="77777777" w:rsidR="00530CA3" w:rsidRDefault="00530CA3" w:rsidP="00AE51EF">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E049E11" w14:textId="77777777" w:rsidR="00530CA3" w:rsidRDefault="00530CA3" w:rsidP="00AE51E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 8%</w:t>
            </w:r>
          </w:p>
          <w:p w14:paraId="4FF5A932" w14:textId="77777777" w:rsidR="00530CA3" w:rsidRDefault="00530CA3" w:rsidP="00AE51EF">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71F997D" w14:textId="3B1896E4" w:rsidR="00530CA3" w:rsidRPr="00DF7DDC" w:rsidRDefault="00530CA3" w:rsidP="00AE51E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 19%</w:t>
            </w:r>
          </w:p>
        </w:tc>
      </w:tr>
      <w:tr w:rsidR="00DA02D6" w:rsidRPr="00F6519B" w14:paraId="46AB9614" w14:textId="77777777" w:rsidTr="00806177">
        <w:trPr>
          <w:cnfStyle w:val="000000100000" w:firstRow="0" w:lastRow="0" w:firstColumn="0" w:lastColumn="0" w:oddVBand="0" w:evenVBand="0" w:oddHBand="1" w:evenHBand="0" w:firstRowFirstColumn="0" w:firstRowLastColumn="0" w:lastRowFirstColumn="0" w:lastRowLastColumn="0"/>
          <w:trHeight w:val="1195"/>
          <w:jc w:val="center"/>
        </w:trPr>
        <w:tc>
          <w:tcPr>
            <w:cnfStyle w:val="001000000000" w:firstRow="0" w:lastRow="0" w:firstColumn="1" w:lastColumn="0" w:oddVBand="0" w:evenVBand="0" w:oddHBand="0" w:evenHBand="0" w:firstRowFirstColumn="0" w:firstRowLastColumn="0" w:lastRowFirstColumn="0" w:lastRowLastColumn="0"/>
            <w:tcW w:w="2451" w:type="dxa"/>
            <w:shd w:val="clear" w:color="auto" w:fill="auto"/>
          </w:tcPr>
          <w:p w14:paraId="6D25B1F3" w14:textId="77777777" w:rsidR="00DA02D6" w:rsidRPr="00DF7DDC" w:rsidRDefault="00DA02D6" w:rsidP="00470694">
            <w:pPr>
              <w:widowControl w:val="0"/>
              <w:rPr>
                <w:sz w:val="20"/>
                <w:szCs w:val="20"/>
              </w:rPr>
            </w:pPr>
            <w:r w:rsidRPr="00F6519B">
              <w:rPr>
                <w:sz w:val="20"/>
                <w:szCs w:val="20"/>
              </w:rPr>
              <w:lastRenderedPageBreak/>
              <w:t>Team Formation</w:t>
            </w:r>
          </w:p>
          <w:p w14:paraId="5A28B109" w14:textId="77777777" w:rsidR="00DA02D6" w:rsidRPr="00F6519B" w:rsidRDefault="00DA02D6" w:rsidP="00470694">
            <w:pPr>
              <w:widowControl w:val="0"/>
              <w:rPr>
                <w:sz w:val="20"/>
                <w:szCs w:val="20"/>
              </w:rPr>
            </w:pPr>
          </w:p>
          <w:p w14:paraId="661C868D" w14:textId="77777777" w:rsidR="00DA02D6" w:rsidRPr="00DF7DDC" w:rsidRDefault="00DA02D6" w:rsidP="00470694">
            <w:pPr>
              <w:rPr>
                <w:sz w:val="20"/>
                <w:szCs w:val="20"/>
              </w:rPr>
            </w:pPr>
            <w:r w:rsidRPr="00F6519B">
              <w:rPr>
                <w:sz w:val="20"/>
                <w:szCs w:val="20"/>
              </w:rPr>
              <w:t>-ICC</w:t>
            </w:r>
          </w:p>
          <w:p w14:paraId="6F62B8B8" w14:textId="77777777" w:rsidR="00DA02D6" w:rsidRPr="00F6519B" w:rsidRDefault="00DA02D6" w:rsidP="00470694">
            <w:pPr>
              <w:rPr>
                <w:sz w:val="20"/>
                <w:szCs w:val="20"/>
                <w:vertAlign w:val="superscript"/>
              </w:rPr>
            </w:pPr>
          </w:p>
          <w:p w14:paraId="39556175" w14:textId="77777777" w:rsidR="00DA02D6" w:rsidRPr="00952111" w:rsidRDefault="00DA02D6" w:rsidP="00470694">
            <w:pPr>
              <w:widowControl w:val="0"/>
              <w:rPr>
                <w:sz w:val="20"/>
                <w:szCs w:val="20"/>
              </w:rPr>
            </w:pPr>
            <w:r w:rsidRPr="00F6519B">
              <w:rPr>
                <w:sz w:val="20"/>
                <w:szCs w:val="20"/>
              </w:rPr>
              <w:t>-IHT</w:t>
            </w:r>
          </w:p>
        </w:tc>
        <w:tc>
          <w:tcPr>
            <w:tcW w:w="727" w:type="dxa"/>
            <w:shd w:val="clear" w:color="auto" w:fill="auto"/>
          </w:tcPr>
          <w:p w14:paraId="5AAC3E2E" w14:textId="66FB57B4" w:rsidR="00DA02D6" w:rsidRPr="00D80D43" w:rsidRDefault="00D80D43" w:rsidP="00470694">
            <w:pPr>
              <w:cnfStyle w:val="000000100000" w:firstRow="0" w:lastRow="0" w:firstColumn="0" w:lastColumn="0" w:oddVBand="0" w:evenVBand="0" w:oddHBand="1" w:evenHBand="0" w:firstRowFirstColumn="0" w:firstRowLastColumn="0" w:lastRowFirstColumn="0" w:lastRowLastColumn="0"/>
              <w:rPr>
                <w:b/>
                <w:sz w:val="20"/>
                <w:szCs w:val="20"/>
              </w:rPr>
            </w:pPr>
            <w:r w:rsidRPr="00D80D43">
              <w:rPr>
                <w:b/>
                <w:sz w:val="20"/>
                <w:szCs w:val="20"/>
              </w:rPr>
              <w:t>3.3</w:t>
            </w:r>
          </w:p>
          <w:p w14:paraId="22D10144" w14:textId="77777777" w:rsidR="005415C5" w:rsidRPr="00800738" w:rsidRDefault="005415C5" w:rsidP="00470694">
            <w:pPr>
              <w:cnfStyle w:val="000000100000" w:firstRow="0" w:lastRow="0" w:firstColumn="0" w:lastColumn="0" w:oddVBand="0" w:evenVBand="0" w:oddHBand="1" w:evenHBand="0" w:firstRowFirstColumn="0" w:firstRowLastColumn="0" w:lastRowFirstColumn="0" w:lastRowLastColumn="0"/>
              <w:rPr>
                <w:sz w:val="20"/>
                <w:szCs w:val="20"/>
              </w:rPr>
            </w:pPr>
          </w:p>
          <w:p w14:paraId="52932F98" w14:textId="36F52DA4" w:rsidR="005415C5" w:rsidRPr="00800738" w:rsidRDefault="00990739" w:rsidP="0047069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3.3</w:t>
            </w:r>
          </w:p>
          <w:p w14:paraId="6D1B713C" w14:textId="77777777" w:rsidR="005415C5" w:rsidRPr="00800738" w:rsidRDefault="005415C5" w:rsidP="00470694">
            <w:pPr>
              <w:cnfStyle w:val="000000100000" w:firstRow="0" w:lastRow="0" w:firstColumn="0" w:lastColumn="0" w:oddVBand="0" w:evenVBand="0" w:oddHBand="1" w:evenHBand="0" w:firstRowFirstColumn="0" w:firstRowLastColumn="0" w:lastRowFirstColumn="0" w:lastRowLastColumn="0"/>
              <w:rPr>
                <w:sz w:val="20"/>
                <w:szCs w:val="20"/>
              </w:rPr>
            </w:pPr>
          </w:p>
          <w:p w14:paraId="4DB44275" w14:textId="072BD11D" w:rsidR="005415C5" w:rsidRPr="00800738" w:rsidRDefault="005415C5" w:rsidP="00470694">
            <w:pPr>
              <w:cnfStyle w:val="000000100000" w:firstRow="0" w:lastRow="0" w:firstColumn="0" w:lastColumn="0" w:oddVBand="0" w:evenVBand="0" w:oddHBand="1" w:evenHBand="0" w:firstRowFirstColumn="0" w:firstRowLastColumn="0" w:lastRowFirstColumn="0" w:lastRowLastColumn="0"/>
              <w:rPr>
                <w:sz w:val="20"/>
                <w:szCs w:val="20"/>
              </w:rPr>
            </w:pPr>
            <w:r w:rsidRPr="00800738">
              <w:rPr>
                <w:sz w:val="20"/>
                <w:szCs w:val="20"/>
              </w:rPr>
              <w:t>3.3</w:t>
            </w:r>
          </w:p>
        </w:tc>
        <w:tc>
          <w:tcPr>
            <w:tcW w:w="1471" w:type="dxa"/>
            <w:shd w:val="clear" w:color="auto" w:fill="auto"/>
          </w:tcPr>
          <w:p w14:paraId="00815D29" w14:textId="77777777" w:rsidR="00CC3839" w:rsidRPr="00D155FF" w:rsidRDefault="00D155FF"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155FF">
              <w:rPr>
                <w:b/>
                <w:sz w:val="20"/>
                <w:szCs w:val="20"/>
              </w:rPr>
              <w:t>(6) 5%</w:t>
            </w:r>
          </w:p>
          <w:p w14:paraId="22F6ED53" w14:textId="77777777" w:rsidR="00D155FF" w:rsidRDefault="00D155FF"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A5080BD" w14:textId="77777777" w:rsidR="00D155FF" w:rsidRDefault="00D155FF"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 2%</w:t>
            </w:r>
          </w:p>
          <w:p w14:paraId="74780880" w14:textId="77777777" w:rsidR="00D155FF" w:rsidRDefault="00D155FF"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297E273" w14:textId="6A7671A3" w:rsidR="00D155FF" w:rsidRPr="00DF7DDC" w:rsidRDefault="00D155FF"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 8%</w:t>
            </w:r>
          </w:p>
        </w:tc>
        <w:tc>
          <w:tcPr>
            <w:tcW w:w="1169" w:type="dxa"/>
            <w:shd w:val="clear" w:color="auto" w:fill="auto"/>
          </w:tcPr>
          <w:p w14:paraId="1842344C" w14:textId="77777777" w:rsidR="00CC3839" w:rsidRPr="00D155FF" w:rsidRDefault="00D155FF"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155FF">
              <w:rPr>
                <w:b/>
                <w:sz w:val="20"/>
                <w:szCs w:val="20"/>
              </w:rPr>
              <w:t>(14) 11%</w:t>
            </w:r>
          </w:p>
          <w:p w14:paraId="470E8CB2" w14:textId="77777777" w:rsidR="00D155FF" w:rsidRDefault="00D155FF"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5E9F1A2" w14:textId="77777777" w:rsidR="00D155FF" w:rsidRDefault="00D155FF"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 15%</w:t>
            </w:r>
          </w:p>
          <w:p w14:paraId="612E15C3" w14:textId="77777777" w:rsidR="00D155FF" w:rsidRDefault="00D155FF"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300D028" w14:textId="2090BC87" w:rsidR="00D155FF" w:rsidRPr="00DF7DDC" w:rsidRDefault="00D155FF"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 8%</w:t>
            </w:r>
          </w:p>
        </w:tc>
        <w:tc>
          <w:tcPr>
            <w:tcW w:w="1169" w:type="dxa"/>
            <w:shd w:val="clear" w:color="auto" w:fill="auto"/>
          </w:tcPr>
          <w:p w14:paraId="2D97DA74" w14:textId="77777777" w:rsidR="00CC3839" w:rsidRPr="00B4523E" w:rsidRDefault="00B4523E"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B4523E">
              <w:rPr>
                <w:b/>
                <w:sz w:val="20"/>
                <w:szCs w:val="20"/>
              </w:rPr>
              <w:t>(50) 41%</w:t>
            </w:r>
          </w:p>
          <w:p w14:paraId="79DFA847" w14:textId="77777777" w:rsidR="00B4523E" w:rsidRDefault="00B4523E"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A02B85A" w14:textId="77777777" w:rsidR="00B4523E" w:rsidRDefault="00B4523E"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(26) 43%</w:t>
            </w:r>
          </w:p>
          <w:p w14:paraId="5D73B453" w14:textId="77777777" w:rsidR="00B4523E" w:rsidRDefault="00B4523E"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499A568D" w14:textId="551306FB" w:rsidR="00B4523E" w:rsidRPr="00DF7DDC" w:rsidRDefault="00B4523E"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(24) 39%</w:t>
            </w:r>
          </w:p>
        </w:tc>
        <w:tc>
          <w:tcPr>
            <w:tcW w:w="1169" w:type="dxa"/>
            <w:shd w:val="clear" w:color="auto" w:fill="auto"/>
          </w:tcPr>
          <w:p w14:paraId="371DA6A8" w14:textId="77777777" w:rsidR="00CC3839" w:rsidRPr="005F275B" w:rsidRDefault="005F275B"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5F275B">
              <w:rPr>
                <w:b/>
                <w:sz w:val="20"/>
                <w:szCs w:val="20"/>
              </w:rPr>
              <w:t>(48) 39%</w:t>
            </w:r>
          </w:p>
          <w:p w14:paraId="7FEFD41C" w14:textId="77777777" w:rsidR="005F275B" w:rsidRDefault="005F275B"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20F6374" w14:textId="77777777" w:rsidR="005F275B" w:rsidRDefault="005F275B"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(23) 38%</w:t>
            </w:r>
          </w:p>
          <w:p w14:paraId="1A2F448D" w14:textId="77777777" w:rsidR="005F275B" w:rsidRDefault="005F275B"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AAE4989" w14:textId="1B768FBD" w:rsidR="005F275B" w:rsidRPr="00DF7DDC" w:rsidRDefault="005F275B"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 40%</w:t>
            </w:r>
          </w:p>
        </w:tc>
        <w:tc>
          <w:tcPr>
            <w:tcW w:w="1322" w:type="dxa"/>
            <w:shd w:val="clear" w:color="auto" w:fill="auto"/>
          </w:tcPr>
          <w:p w14:paraId="6DDA967F" w14:textId="77777777" w:rsidR="00CC3839" w:rsidRPr="00530CA3" w:rsidRDefault="00530CA3"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530CA3">
              <w:rPr>
                <w:b/>
                <w:sz w:val="20"/>
                <w:szCs w:val="20"/>
              </w:rPr>
              <w:t>(5) 4%</w:t>
            </w:r>
          </w:p>
          <w:p w14:paraId="4D17B225" w14:textId="77777777" w:rsidR="00530CA3" w:rsidRDefault="00530CA3"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30B684D" w14:textId="77777777" w:rsidR="00530CA3" w:rsidRDefault="00530CA3"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 3%</w:t>
            </w:r>
          </w:p>
          <w:p w14:paraId="02F5BF26" w14:textId="77777777" w:rsidR="00530CA3" w:rsidRDefault="00530CA3"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3E39854" w14:textId="33AA39B3" w:rsidR="00530CA3" w:rsidRPr="00DF7DDC" w:rsidRDefault="00530CA3"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5%</w:t>
            </w:r>
          </w:p>
        </w:tc>
      </w:tr>
      <w:tr w:rsidR="00DA02D6" w:rsidRPr="00F6519B" w14:paraId="794A8B6F" w14:textId="77777777" w:rsidTr="00806177">
        <w:trPr>
          <w:trHeight w:val="1204"/>
          <w:jc w:val="center"/>
        </w:trPr>
        <w:tc>
          <w:tcPr>
            <w:cnfStyle w:val="001000000000" w:firstRow="0" w:lastRow="0" w:firstColumn="1" w:lastColumn="0" w:oddVBand="0" w:evenVBand="0" w:oddHBand="0" w:evenHBand="0" w:firstRowFirstColumn="0" w:firstRowLastColumn="0" w:lastRowFirstColumn="0" w:lastRowLastColumn="0"/>
            <w:tcW w:w="2451" w:type="dxa"/>
            <w:shd w:val="clear" w:color="auto" w:fill="F8E5DA" w:themeFill="accent2" w:themeFillTint="33"/>
          </w:tcPr>
          <w:p w14:paraId="3FA94DBD" w14:textId="77777777" w:rsidR="00DA02D6" w:rsidRPr="00DF7DDC" w:rsidRDefault="00DA02D6" w:rsidP="00470694">
            <w:pPr>
              <w:widowControl w:val="0"/>
              <w:rPr>
                <w:sz w:val="20"/>
                <w:szCs w:val="20"/>
              </w:rPr>
            </w:pPr>
            <w:r w:rsidRPr="00F6519B">
              <w:rPr>
                <w:sz w:val="20"/>
                <w:szCs w:val="20"/>
              </w:rPr>
              <w:t>Team Participation</w:t>
            </w:r>
          </w:p>
          <w:p w14:paraId="5D1828A5" w14:textId="77777777" w:rsidR="00DA02D6" w:rsidRPr="00F6519B" w:rsidRDefault="00DA02D6" w:rsidP="00470694">
            <w:pPr>
              <w:widowControl w:val="0"/>
              <w:rPr>
                <w:sz w:val="20"/>
                <w:szCs w:val="20"/>
              </w:rPr>
            </w:pPr>
          </w:p>
          <w:p w14:paraId="02DC2BBF" w14:textId="77777777" w:rsidR="00DA02D6" w:rsidRPr="00DF7DDC" w:rsidRDefault="00DA02D6" w:rsidP="00470694">
            <w:pPr>
              <w:rPr>
                <w:sz w:val="20"/>
                <w:szCs w:val="20"/>
              </w:rPr>
            </w:pPr>
            <w:r w:rsidRPr="00F6519B">
              <w:rPr>
                <w:sz w:val="20"/>
                <w:szCs w:val="20"/>
              </w:rPr>
              <w:t>-ICC</w:t>
            </w:r>
          </w:p>
          <w:p w14:paraId="5386DDC8" w14:textId="77777777" w:rsidR="00DA02D6" w:rsidRPr="00F6519B" w:rsidRDefault="00DA02D6" w:rsidP="00470694">
            <w:pPr>
              <w:rPr>
                <w:sz w:val="20"/>
                <w:szCs w:val="20"/>
              </w:rPr>
            </w:pPr>
          </w:p>
          <w:p w14:paraId="77F71F9E" w14:textId="77777777" w:rsidR="00DA02D6" w:rsidRPr="00D2215E" w:rsidRDefault="00DA02D6" w:rsidP="00470694">
            <w:pPr>
              <w:widowControl w:val="0"/>
              <w:rPr>
                <w:sz w:val="20"/>
                <w:szCs w:val="20"/>
              </w:rPr>
            </w:pPr>
            <w:r w:rsidRPr="00F6519B">
              <w:rPr>
                <w:sz w:val="20"/>
                <w:szCs w:val="20"/>
              </w:rPr>
              <w:t>-IHT</w:t>
            </w:r>
          </w:p>
        </w:tc>
        <w:tc>
          <w:tcPr>
            <w:tcW w:w="727" w:type="dxa"/>
            <w:shd w:val="clear" w:color="auto" w:fill="F8E5DA" w:themeFill="accent2" w:themeFillTint="33"/>
          </w:tcPr>
          <w:p w14:paraId="27CAA988" w14:textId="3AC09657" w:rsidR="00DA02D6" w:rsidRPr="00D80D43" w:rsidRDefault="00D80D43" w:rsidP="00470694">
            <w:pPr>
              <w:cnfStyle w:val="000000000000" w:firstRow="0" w:lastRow="0" w:firstColumn="0" w:lastColumn="0" w:oddVBand="0" w:evenVBand="0" w:oddHBand="0" w:evenHBand="0" w:firstRowFirstColumn="0" w:firstRowLastColumn="0" w:lastRowFirstColumn="0" w:lastRowLastColumn="0"/>
              <w:rPr>
                <w:b/>
                <w:sz w:val="20"/>
                <w:szCs w:val="20"/>
              </w:rPr>
            </w:pPr>
            <w:r w:rsidRPr="00D80D43">
              <w:rPr>
                <w:b/>
                <w:sz w:val="20"/>
                <w:szCs w:val="20"/>
              </w:rPr>
              <w:t>3.3</w:t>
            </w:r>
          </w:p>
          <w:p w14:paraId="2FAC6911" w14:textId="77777777" w:rsidR="005415C5" w:rsidRPr="00800738" w:rsidRDefault="005415C5" w:rsidP="00470694">
            <w:pPr>
              <w:cnfStyle w:val="000000000000" w:firstRow="0" w:lastRow="0" w:firstColumn="0" w:lastColumn="0" w:oddVBand="0" w:evenVBand="0" w:oddHBand="0" w:evenHBand="0" w:firstRowFirstColumn="0" w:firstRowLastColumn="0" w:lastRowFirstColumn="0" w:lastRowLastColumn="0"/>
              <w:rPr>
                <w:sz w:val="20"/>
                <w:szCs w:val="20"/>
              </w:rPr>
            </w:pPr>
          </w:p>
          <w:p w14:paraId="41FA6DFA" w14:textId="1AC36646" w:rsidR="005415C5" w:rsidRPr="00800738" w:rsidRDefault="00990739" w:rsidP="0047069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w:t>
            </w:r>
          </w:p>
          <w:p w14:paraId="12C59773" w14:textId="77777777" w:rsidR="005415C5" w:rsidRPr="00800738" w:rsidRDefault="005415C5" w:rsidP="00470694">
            <w:pPr>
              <w:cnfStyle w:val="000000000000" w:firstRow="0" w:lastRow="0" w:firstColumn="0" w:lastColumn="0" w:oddVBand="0" w:evenVBand="0" w:oddHBand="0" w:evenHBand="0" w:firstRowFirstColumn="0" w:firstRowLastColumn="0" w:lastRowFirstColumn="0" w:lastRowLastColumn="0"/>
              <w:rPr>
                <w:sz w:val="20"/>
                <w:szCs w:val="20"/>
              </w:rPr>
            </w:pPr>
          </w:p>
          <w:p w14:paraId="557E53B7" w14:textId="55734338" w:rsidR="005415C5" w:rsidRPr="00800738" w:rsidRDefault="005415C5" w:rsidP="00470694">
            <w:pPr>
              <w:cnfStyle w:val="000000000000" w:firstRow="0" w:lastRow="0" w:firstColumn="0" w:lastColumn="0" w:oddVBand="0" w:evenVBand="0" w:oddHBand="0" w:evenHBand="0" w:firstRowFirstColumn="0" w:firstRowLastColumn="0" w:lastRowFirstColumn="0" w:lastRowLastColumn="0"/>
              <w:rPr>
                <w:sz w:val="20"/>
                <w:szCs w:val="20"/>
              </w:rPr>
            </w:pPr>
            <w:r w:rsidRPr="00800738">
              <w:rPr>
                <w:sz w:val="20"/>
                <w:szCs w:val="20"/>
              </w:rPr>
              <w:t>3.3</w:t>
            </w:r>
          </w:p>
        </w:tc>
        <w:tc>
          <w:tcPr>
            <w:tcW w:w="1471" w:type="dxa"/>
            <w:shd w:val="clear" w:color="auto" w:fill="F8E5DA" w:themeFill="accent2" w:themeFillTint="33"/>
          </w:tcPr>
          <w:p w14:paraId="6EE7E8F5" w14:textId="77777777" w:rsidR="00CC3839" w:rsidRPr="00D155FF" w:rsidRDefault="00D155FF" w:rsidP="00CC3839">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155FF">
              <w:rPr>
                <w:b/>
                <w:sz w:val="20"/>
                <w:szCs w:val="20"/>
              </w:rPr>
              <w:t>(1) 1%</w:t>
            </w:r>
          </w:p>
          <w:p w14:paraId="6BEC5498" w14:textId="77777777" w:rsidR="00D155FF" w:rsidRDefault="00D155FF" w:rsidP="00CC3839">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EE9C9F9" w14:textId="77777777" w:rsidR="00D155FF" w:rsidRDefault="00D155FF" w:rsidP="00CC383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p w14:paraId="1902902E" w14:textId="77777777" w:rsidR="00D155FF" w:rsidRDefault="00D155FF" w:rsidP="00CC3839">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291D7438" w14:textId="6454D3F2" w:rsidR="00D155FF" w:rsidRPr="00DF7DDC" w:rsidRDefault="00D155FF" w:rsidP="00CC383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 2%</w:t>
            </w:r>
          </w:p>
        </w:tc>
        <w:tc>
          <w:tcPr>
            <w:tcW w:w="1169" w:type="dxa"/>
            <w:shd w:val="clear" w:color="auto" w:fill="F8E5DA" w:themeFill="accent2" w:themeFillTint="33"/>
          </w:tcPr>
          <w:p w14:paraId="035936D1" w14:textId="77777777" w:rsidR="00CC3839" w:rsidRPr="00D20162" w:rsidRDefault="00D155FF" w:rsidP="00AE51EF">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20162">
              <w:rPr>
                <w:b/>
                <w:sz w:val="20"/>
                <w:szCs w:val="20"/>
              </w:rPr>
              <w:t>(18) 15%</w:t>
            </w:r>
          </w:p>
          <w:p w14:paraId="21D8BC0A" w14:textId="77777777" w:rsidR="00D155FF" w:rsidRDefault="00D155FF" w:rsidP="00AE51EF">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58C897D" w14:textId="77777777" w:rsidR="00D155FF" w:rsidRDefault="00D155FF" w:rsidP="00AE51E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 11%</w:t>
            </w:r>
          </w:p>
          <w:p w14:paraId="70A0B160" w14:textId="77777777" w:rsidR="00D155FF" w:rsidRDefault="00D155FF" w:rsidP="00AE51EF">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97BA760" w14:textId="5402E88A" w:rsidR="00D155FF" w:rsidRPr="00DF7DDC" w:rsidRDefault="00D155FF" w:rsidP="00AE51E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 18%</w:t>
            </w:r>
          </w:p>
        </w:tc>
        <w:tc>
          <w:tcPr>
            <w:tcW w:w="1169" w:type="dxa"/>
            <w:shd w:val="clear" w:color="auto" w:fill="F8E5DA" w:themeFill="accent2" w:themeFillTint="33"/>
          </w:tcPr>
          <w:p w14:paraId="02DD763A" w14:textId="77777777" w:rsidR="00CC3839" w:rsidRPr="00B4523E" w:rsidRDefault="00B4523E"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B4523E">
              <w:rPr>
                <w:b/>
                <w:sz w:val="20"/>
                <w:szCs w:val="20"/>
              </w:rPr>
              <w:t>(46) 37%</w:t>
            </w:r>
          </w:p>
          <w:p w14:paraId="5E52B1C4" w14:textId="77777777" w:rsidR="00B4523E" w:rsidRDefault="00B4523E"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AA390A5" w14:textId="77777777" w:rsidR="00B4523E" w:rsidRDefault="00B4523E"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 39%</w:t>
            </w:r>
          </w:p>
          <w:p w14:paraId="20BDCDBD" w14:textId="77777777" w:rsidR="00B4523E" w:rsidRDefault="00B4523E"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5A5FF89" w14:textId="51BACE5E" w:rsidR="00B4523E" w:rsidRPr="00DF7DDC" w:rsidRDefault="00B4523E"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 35%</w:t>
            </w:r>
          </w:p>
        </w:tc>
        <w:tc>
          <w:tcPr>
            <w:tcW w:w="1169" w:type="dxa"/>
            <w:shd w:val="clear" w:color="auto" w:fill="F8E5DA" w:themeFill="accent2" w:themeFillTint="33"/>
          </w:tcPr>
          <w:p w14:paraId="17A73AC1" w14:textId="77777777" w:rsidR="00800738" w:rsidRPr="005F275B" w:rsidRDefault="005F275B"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5F275B">
              <w:rPr>
                <w:b/>
                <w:sz w:val="20"/>
                <w:szCs w:val="20"/>
              </w:rPr>
              <w:t>(54) 44%</w:t>
            </w:r>
          </w:p>
          <w:p w14:paraId="1A5DF194" w14:textId="77777777" w:rsidR="005F275B" w:rsidRDefault="005F275B"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B68210A" w14:textId="77777777" w:rsidR="005F275B" w:rsidRDefault="005F275B"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 48%</w:t>
            </w:r>
          </w:p>
          <w:p w14:paraId="7D12548E" w14:textId="77777777" w:rsidR="005F275B" w:rsidRDefault="005F275B"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B49FF8F" w14:textId="184BF0D7" w:rsidR="005F275B" w:rsidRPr="00DF7DDC" w:rsidRDefault="005F275B"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 40%</w:t>
            </w:r>
          </w:p>
        </w:tc>
        <w:tc>
          <w:tcPr>
            <w:tcW w:w="1322" w:type="dxa"/>
            <w:shd w:val="clear" w:color="auto" w:fill="F8E5DA" w:themeFill="accent2" w:themeFillTint="33"/>
          </w:tcPr>
          <w:p w14:paraId="056A0661" w14:textId="77777777" w:rsidR="00800738" w:rsidRPr="00530CA3" w:rsidRDefault="00530CA3"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530CA3">
              <w:rPr>
                <w:b/>
                <w:sz w:val="20"/>
                <w:szCs w:val="20"/>
              </w:rPr>
              <w:t>(4) 3%</w:t>
            </w:r>
          </w:p>
          <w:p w14:paraId="2B4664FE" w14:textId="77777777" w:rsidR="00530CA3" w:rsidRDefault="00530CA3"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310FD8C" w14:textId="77777777" w:rsidR="00530CA3" w:rsidRDefault="00530CA3"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 2%</w:t>
            </w:r>
          </w:p>
          <w:p w14:paraId="3A4E7DB6" w14:textId="77777777" w:rsidR="00530CA3" w:rsidRDefault="00530CA3"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AE47888" w14:textId="5AF6518C" w:rsidR="00530CA3" w:rsidRPr="00DF7DDC" w:rsidRDefault="00530CA3"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 5%</w:t>
            </w:r>
          </w:p>
        </w:tc>
      </w:tr>
      <w:tr w:rsidR="00DA02D6" w:rsidRPr="00F6519B" w14:paraId="4CF3DD22" w14:textId="77777777" w:rsidTr="00806177">
        <w:trPr>
          <w:cnfStyle w:val="000000100000" w:firstRow="0" w:lastRow="0" w:firstColumn="0" w:lastColumn="0" w:oddVBand="0" w:evenVBand="0" w:oddHBand="1" w:evenHBand="0" w:firstRowFirstColumn="0" w:firstRowLastColumn="0" w:lastRowFirstColumn="0" w:lastRowLastColumn="0"/>
          <w:trHeight w:val="1285"/>
          <w:jc w:val="center"/>
        </w:trPr>
        <w:tc>
          <w:tcPr>
            <w:cnfStyle w:val="001000000000" w:firstRow="0" w:lastRow="0" w:firstColumn="1" w:lastColumn="0" w:oddVBand="0" w:evenVBand="0" w:oddHBand="0" w:evenHBand="0" w:firstRowFirstColumn="0" w:firstRowLastColumn="0" w:lastRowFirstColumn="0" w:lastRowLastColumn="0"/>
            <w:tcW w:w="2451" w:type="dxa"/>
            <w:shd w:val="clear" w:color="auto" w:fill="auto"/>
          </w:tcPr>
          <w:p w14:paraId="3BD418D6" w14:textId="77777777" w:rsidR="00DA02D6" w:rsidRPr="00DF7DDC" w:rsidRDefault="00DA02D6" w:rsidP="0009146E">
            <w:pPr>
              <w:widowControl w:val="0"/>
              <w:rPr>
                <w:sz w:val="20"/>
                <w:szCs w:val="20"/>
              </w:rPr>
            </w:pPr>
            <w:r w:rsidRPr="00F6519B">
              <w:rPr>
                <w:sz w:val="20"/>
                <w:szCs w:val="20"/>
              </w:rPr>
              <w:t>Care Coordination</w:t>
            </w:r>
          </w:p>
          <w:p w14:paraId="52C998CA" w14:textId="77777777" w:rsidR="00DA02D6" w:rsidRPr="00F6519B" w:rsidRDefault="00DA02D6" w:rsidP="0009146E">
            <w:pPr>
              <w:widowControl w:val="0"/>
              <w:rPr>
                <w:sz w:val="20"/>
                <w:szCs w:val="20"/>
              </w:rPr>
            </w:pPr>
          </w:p>
          <w:p w14:paraId="1AF76F6D" w14:textId="77777777" w:rsidR="00DA02D6" w:rsidRPr="00DF7DDC" w:rsidRDefault="00DA02D6" w:rsidP="0009146E">
            <w:pPr>
              <w:rPr>
                <w:sz w:val="20"/>
                <w:szCs w:val="20"/>
              </w:rPr>
            </w:pPr>
            <w:r w:rsidRPr="00F6519B">
              <w:rPr>
                <w:sz w:val="20"/>
                <w:szCs w:val="20"/>
              </w:rPr>
              <w:t>-ICC</w:t>
            </w:r>
          </w:p>
          <w:p w14:paraId="217A6D9C" w14:textId="77777777" w:rsidR="00DA02D6" w:rsidRPr="00F6519B" w:rsidRDefault="00DA02D6" w:rsidP="0009146E">
            <w:pPr>
              <w:rPr>
                <w:sz w:val="20"/>
                <w:szCs w:val="20"/>
              </w:rPr>
            </w:pPr>
          </w:p>
          <w:p w14:paraId="70CBB84F" w14:textId="77777777" w:rsidR="00DA02D6" w:rsidRPr="00D2215E" w:rsidRDefault="00DA02D6" w:rsidP="0009146E">
            <w:pPr>
              <w:widowControl w:val="0"/>
              <w:rPr>
                <w:sz w:val="20"/>
                <w:szCs w:val="20"/>
              </w:rPr>
            </w:pPr>
            <w:r w:rsidRPr="00F6519B">
              <w:rPr>
                <w:sz w:val="20"/>
                <w:szCs w:val="20"/>
              </w:rPr>
              <w:t>-IHT</w:t>
            </w:r>
          </w:p>
        </w:tc>
        <w:tc>
          <w:tcPr>
            <w:tcW w:w="727" w:type="dxa"/>
            <w:shd w:val="clear" w:color="auto" w:fill="auto"/>
          </w:tcPr>
          <w:p w14:paraId="555796EF" w14:textId="7F5BFEB0" w:rsidR="00DA02D6" w:rsidRPr="00D80D43" w:rsidRDefault="00D80D43" w:rsidP="0009146E">
            <w:pPr>
              <w:cnfStyle w:val="000000100000" w:firstRow="0" w:lastRow="0" w:firstColumn="0" w:lastColumn="0" w:oddVBand="0" w:evenVBand="0" w:oddHBand="1" w:evenHBand="0" w:firstRowFirstColumn="0" w:firstRowLastColumn="0" w:lastRowFirstColumn="0" w:lastRowLastColumn="0"/>
              <w:rPr>
                <w:b/>
                <w:sz w:val="20"/>
                <w:szCs w:val="20"/>
              </w:rPr>
            </w:pPr>
            <w:r w:rsidRPr="00D80D43">
              <w:rPr>
                <w:b/>
                <w:sz w:val="20"/>
                <w:szCs w:val="20"/>
              </w:rPr>
              <w:t>3.3</w:t>
            </w:r>
          </w:p>
          <w:p w14:paraId="376D1DC6" w14:textId="77777777" w:rsidR="005415C5" w:rsidRPr="00800738" w:rsidRDefault="005415C5" w:rsidP="0009146E">
            <w:pPr>
              <w:cnfStyle w:val="000000100000" w:firstRow="0" w:lastRow="0" w:firstColumn="0" w:lastColumn="0" w:oddVBand="0" w:evenVBand="0" w:oddHBand="1" w:evenHBand="0" w:firstRowFirstColumn="0" w:firstRowLastColumn="0" w:lastRowFirstColumn="0" w:lastRowLastColumn="0"/>
              <w:rPr>
                <w:sz w:val="20"/>
                <w:szCs w:val="20"/>
              </w:rPr>
            </w:pPr>
          </w:p>
          <w:p w14:paraId="4683DEA9" w14:textId="7A422B89" w:rsidR="005415C5" w:rsidRPr="00800738" w:rsidRDefault="00990739" w:rsidP="0009146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3.4</w:t>
            </w:r>
          </w:p>
          <w:p w14:paraId="715210CD" w14:textId="77777777" w:rsidR="005415C5" w:rsidRPr="00800738" w:rsidRDefault="005415C5" w:rsidP="0009146E">
            <w:pPr>
              <w:cnfStyle w:val="000000100000" w:firstRow="0" w:lastRow="0" w:firstColumn="0" w:lastColumn="0" w:oddVBand="0" w:evenVBand="0" w:oddHBand="1" w:evenHBand="0" w:firstRowFirstColumn="0" w:firstRowLastColumn="0" w:lastRowFirstColumn="0" w:lastRowLastColumn="0"/>
              <w:rPr>
                <w:sz w:val="20"/>
                <w:szCs w:val="20"/>
              </w:rPr>
            </w:pPr>
          </w:p>
          <w:p w14:paraId="59B86A72" w14:textId="6192A41A" w:rsidR="005415C5" w:rsidRPr="00800738" w:rsidRDefault="005415C5" w:rsidP="0009146E">
            <w:pPr>
              <w:cnfStyle w:val="000000100000" w:firstRow="0" w:lastRow="0" w:firstColumn="0" w:lastColumn="0" w:oddVBand="0" w:evenVBand="0" w:oddHBand="1" w:evenHBand="0" w:firstRowFirstColumn="0" w:firstRowLastColumn="0" w:lastRowFirstColumn="0" w:lastRowLastColumn="0"/>
              <w:rPr>
                <w:sz w:val="20"/>
                <w:szCs w:val="20"/>
              </w:rPr>
            </w:pPr>
            <w:r w:rsidRPr="00800738">
              <w:rPr>
                <w:sz w:val="20"/>
                <w:szCs w:val="20"/>
              </w:rPr>
              <w:t>3.2</w:t>
            </w:r>
          </w:p>
        </w:tc>
        <w:tc>
          <w:tcPr>
            <w:tcW w:w="1471" w:type="dxa"/>
            <w:shd w:val="clear" w:color="auto" w:fill="auto"/>
          </w:tcPr>
          <w:p w14:paraId="43ED09B4" w14:textId="77777777" w:rsidR="00800738" w:rsidRPr="00D155FF" w:rsidRDefault="00D155FF"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155FF">
              <w:rPr>
                <w:b/>
                <w:sz w:val="20"/>
                <w:szCs w:val="20"/>
              </w:rPr>
              <w:t>(7) 6%</w:t>
            </w:r>
          </w:p>
          <w:p w14:paraId="651707D6" w14:textId="77777777" w:rsidR="00D155FF" w:rsidRDefault="00D155FF"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1AFAE14" w14:textId="77777777" w:rsidR="00D155FF" w:rsidRDefault="00D155FF"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5%</w:t>
            </w:r>
          </w:p>
          <w:p w14:paraId="459FA4B5" w14:textId="77777777" w:rsidR="00D155FF" w:rsidRDefault="00D155FF"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7581522" w14:textId="707C9FDB" w:rsidR="00D155FF" w:rsidRPr="00DF7DDC" w:rsidRDefault="00D155FF"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 6%</w:t>
            </w:r>
          </w:p>
        </w:tc>
        <w:tc>
          <w:tcPr>
            <w:tcW w:w="1169" w:type="dxa"/>
            <w:shd w:val="clear" w:color="auto" w:fill="auto"/>
          </w:tcPr>
          <w:p w14:paraId="55329CAB" w14:textId="77777777" w:rsidR="00800738" w:rsidRPr="00D20162" w:rsidRDefault="00D20162"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20162">
              <w:rPr>
                <w:b/>
                <w:sz w:val="20"/>
                <w:szCs w:val="20"/>
              </w:rPr>
              <w:t>(16) 13%</w:t>
            </w:r>
          </w:p>
          <w:p w14:paraId="5FC6E1B1" w14:textId="77777777" w:rsidR="00D20162" w:rsidRDefault="00D20162"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C0EF51C" w14:textId="77777777" w:rsidR="00D20162" w:rsidRDefault="00D20162"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5%</w:t>
            </w:r>
          </w:p>
          <w:p w14:paraId="6A396BFA" w14:textId="77777777" w:rsidR="00D20162" w:rsidRDefault="00D20162"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20162CC" w14:textId="69C9F188" w:rsidR="00D20162" w:rsidRPr="00DF7DDC" w:rsidRDefault="00D20162"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 21%</w:t>
            </w:r>
          </w:p>
        </w:tc>
        <w:tc>
          <w:tcPr>
            <w:tcW w:w="1169" w:type="dxa"/>
            <w:shd w:val="clear" w:color="auto" w:fill="auto"/>
          </w:tcPr>
          <w:p w14:paraId="7544C56F" w14:textId="77777777" w:rsidR="00800738" w:rsidRPr="00B4523E" w:rsidRDefault="00B4523E"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B4523E">
              <w:rPr>
                <w:b/>
                <w:sz w:val="20"/>
                <w:szCs w:val="20"/>
              </w:rPr>
              <w:t>(41) 33%</w:t>
            </w:r>
          </w:p>
          <w:p w14:paraId="3B0ECA49" w14:textId="77777777" w:rsidR="00B4523E" w:rsidRDefault="00B4523E"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EE528C0" w14:textId="77777777" w:rsidR="00B4523E" w:rsidRDefault="00B4523E"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(23) 38%</w:t>
            </w:r>
          </w:p>
          <w:p w14:paraId="6EE700C6" w14:textId="77777777" w:rsidR="00B4523E" w:rsidRDefault="00B4523E"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7519BF3" w14:textId="314AF6D2" w:rsidR="00B4523E" w:rsidRPr="00DF7DDC" w:rsidRDefault="00B4523E"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(18) 29%</w:t>
            </w:r>
          </w:p>
        </w:tc>
        <w:tc>
          <w:tcPr>
            <w:tcW w:w="1169" w:type="dxa"/>
            <w:shd w:val="clear" w:color="auto" w:fill="auto"/>
          </w:tcPr>
          <w:p w14:paraId="39486032" w14:textId="77777777" w:rsidR="00800738" w:rsidRPr="005F275B" w:rsidRDefault="005F275B"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5F275B">
              <w:rPr>
                <w:b/>
                <w:sz w:val="20"/>
                <w:szCs w:val="20"/>
              </w:rPr>
              <w:t>(47) 38%</w:t>
            </w:r>
          </w:p>
          <w:p w14:paraId="04EAA0B0" w14:textId="77777777" w:rsidR="005F275B" w:rsidRDefault="005F275B"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A382CE7" w14:textId="77777777" w:rsidR="005F275B" w:rsidRDefault="005F275B"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(28) 46%</w:t>
            </w:r>
          </w:p>
          <w:p w14:paraId="70CA9ECC" w14:textId="77777777" w:rsidR="005F275B" w:rsidRDefault="005F275B"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5501249" w14:textId="7A3BA4C7" w:rsidR="005F275B" w:rsidRPr="00DF7DDC" w:rsidRDefault="005F275B"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(19) 31%</w:t>
            </w:r>
          </w:p>
        </w:tc>
        <w:tc>
          <w:tcPr>
            <w:tcW w:w="1322" w:type="dxa"/>
            <w:shd w:val="clear" w:color="auto" w:fill="auto"/>
          </w:tcPr>
          <w:p w14:paraId="718004AE" w14:textId="77777777" w:rsidR="00800738" w:rsidRPr="00530CA3" w:rsidRDefault="00530CA3"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530CA3">
              <w:rPr>
                <w:b/>
                <w:sz w:val="20"/>
                <w:szCs w:val="20"/>
              </w:rPr>
              <w:t>(12) 10%</w:t>
            </w:r>
          </w:p>
          <w:p w14:paraId="5779A4B7" w14:textId="77777777" w:rsidR="00530CA3" w:rsidRDefault="00530CA3"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4FC86BB1" w14:textId="77777777" w:rsidR="00530CA3" w:rsidRDefault="00530CA3"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 7%</w:t>
            </w:r>
          </w:p>
          <w:p w14:paraId="100D0B59" w14:textId="77777777" w:rsidR="00530CA3" w:rsidRDefault="00530CA3"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FFF5576" w14:textId="11344542" w:rsidR="00530CA3" w:rsidRPr="00DF7DDC" w:rsidRDefault="00530CA3"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 13%</w:t>
            </w:r>
          </w:p>
        </w:tc>
      </w:tr>
      <w:tr w:rsidR="00DA02D6" w:rsidRPr="00F6519B" w14:paraId="13E36D94" w14:textId="77777777" w:rsidTr="00806177">
        <w:trPr>
          <w:trHeight w:val="1285"/>
          <w:jc w:val="center"/>
        </w:trPr>
        <w:tc>
          <w:tcPr>
            <w:cnfStyle w:val="001000000000" w:firstRow="0" w:lastRow="0" w:firstColumn="1" w:lastColumn="0" w:oddVBand="0" w:evenVBand="0" w:oddHBand="0" w:evenHBand="0" w:firstRowFirstColumn="0" w:firstRowLastColumn="0" w:lastRowFirstColumn="0" w:lastRowLastColumn="0"/>
            <w:tcW w:w="2451" w:type="dxa"/>
            <w:shd w:val="clear" w:color="auto" w:fill="F8E5DA" w:themeFill="accent2" w:themeFillTint="33"/>
          </w:tcPr>
          <w:p w14:paraId="42774468" w14:textId="77777777" w:rsidR="00DA02D6" w:rsidRPr="00990739" w:rsidRDefault="00DA02D6" w:rsidP="0009146E">
            <w:pPr>
              <w:rPr>
                <w:sz w:val="20"/>
                <w:szCs w:val="20"/>
              </w:rPr>
            </w:pPr>
            <w:r w:rsidRPr="00990739">
              <w:rPr>
                <w:sz w:val="20"/>
                <w:szCs w:val="20"/>
              </w:rPr>
              <w:t>Transition</w:t>
            </w:r>
          </w:p>
          <w:p w14:paraId="74882890" w14:textId="77777777" w:rsidR="00DA02D6" w:rsidRPr="00990739" w:rsidRDefault="00DA02D6" w:rsidP="0009146E">
            <w:pPr>
              <w:rPr>
                <w:bCs w:val="0"/>
                <w:sz w:val="20"/>
                <w:szCs w:val="20"/>
              </w:rPr>
            </w:pPr>
          </w:p>
          <w:p w14:paraId="268913E6" w14:textId="77777777" w:rsidR="00DA02D6" w:rsidRPr="00990739" w:rsidRDefault="00DA02D6" w:rsidP="0009146E">
            <w:pPr>
              <w:rPr>
                <w:bCs w:val="0"/>
                <w:sz w:val="20"/>
                <w:szCs w:val="20"/>
              </w:rPr>
            </w:pPr>
            <w:r w:rsidRPr="00990739">
              <w:rPr>
                <w:sz w:val="20"/>
                <w:szCs w:val="20"/>
              </w:rPr>
              <w:t>-ICC</w:t>
            </w:r>
          </w:p>
          <w:p w14:paraId="73CD347F" w14:textId="77777777" w:rsidR="00DA02D6" w:rsidRPr="00990739" w:rsidRDefault="00DA02D6" w:rsidP="0009146E">
            <w:pPr>
              <w:rPr>
                <w:bCs w:val="0"/>
                <w:sz w:val="20"/>
                <w:szCs w:val="20"/>
              </w:rPr>
            </w:pPr>
          </w:p>
          <w:p w14:paraId="2263D317" w14:textId="77777777" w:rsidR="00DA02D6" w:rsidRPr="00990739" w:rsidRDefault="00DA02D6" w:rsidP="0009146E">
            <w:pPr>
              <w:rPr>
                <w:sz w:val="20"/>
                <w:szCs w:val="20"/>
              </w:rPr>
            </w:pPr>
            <w:r w:rsidRPr="00990739">
              <w:rPr>
                <w:sz w:val="20"/>
                <w:szCs w:val="20"/>
              </w:rPr>
              <w:t>-IHT</w:t>
            </w:r>
          </w:p>
        </w:tc>
        <w:tc>
          <w:tcPr>
            <w:tcW w:w="727" w:type="dxa"/>
            <w:shd w:val="clear" w:color="auto" w:fill="F8E5DA" w:themeFill="accent2" w:themeFillTint="33"/>
          </w:tcPr>
          <w:p w14:paraId="4AC12E77" w14:textId="45095086" w:rsidR="00DA02D6" w:rsidRPr="00D80D43" w:rsidRDefault="00D80D43" w:rsidP="0009146E">
            <w:pPr>
              <w:cnfStyle w:val="000000000000" w:firstRow="0" w:lastRow="0" w:firstColumn="0" w:lastColumn="0" w:oddVBand="0" w:evenVBand="0" w:oddHBand="0" w:evenHBand="0" w:firstRowFirstColumn="0" w:firstRowLastColumn="0" w:lastRowFirstColumn="0" w:lastRowLastColumn="0"/>
              <w:rPr>
                <w:b/>
                <w:sz w:val="20"/>
                <w:szCs w:val="20"/>
              </w:rPr>
            </w:pPr>
            <w:r w:rsidRPr="00D80D43">
              <w:rPr>
                <w:b/>
                <w:sz w:val="20"/>
                <w:szCs w:val="20"/>
              </w:rPr>
              <w:t>3.2</w:t>
            </w:r>
          </w:p>
          <w:p w14:paraId="5AC03055" w14:textId="77777777" w:rsidR="005415C5" w:rsidRPr="00990739" w:rsidRDefault="005415C5" w:rsidP="0009146E">
            <w:pPr>
              <w:cnfStyle w:val="000000000000" w:firstRow="0" w:lastRow="0" w:firstColumn="0" w:lastColumn="0" w:oddVBand="0" w:evenVBand="0" w:oddHBand="0" w:evenHBand="0" w:firstRowFirstColumn="0" w:firstRowLastColumn="0" w:lastRowFirstColumn="0" w:lastRowLastColumn="0"/>
              <w:rPr>
                <w:sz w:val="20"/>
                <w:szCs w:val="20"/>
              </w:rPr>
            </w:pPr>
          </w:p>
          <w:p w14:paraId="5EFE5303" w14:textId="744A7833" w:rsidR="005415C5" w:rsidRPr="00990739" w:rsidRDefault="00990739" w:rsidP="0009146E">
            <w:pPr>
              <w:cnfStyle w:val="000000000000" w:firstRow="0" w:lastRow="0" w:firstColumn="0" w:lastColumn="0" w:oddVBand="0" w:evenVBand="0" w:oddHBand="0" w:evenHBand="0" w:firstRowFirstColumn="0" w:firstRowLastColumn="0" w:lastRowFirstColumn="0" w:lastRowLastColumn="0"/>
              <w:rPr>
                <w:sz w:val="20"/>
                <w:szCs w:val="20"/>
              </w:rPr>
            </w:pPr>
            <w:r w:rsidRPr="00990739">
              <w:rPr>
                <w:sz w:val="20"/>
                <w:szCs w:val="20"/>
              </w:rPr>
              <w:t>3.2</w:t>
            </w:r>
          </w:p>
          <w:p w14:paraId="65513EB1" w14:textId="77777777" w:rsidR="005415C5" w:rsidRPr="00990739" w:rsidRDefault="005415C5" w:rsidP="0009146E">
            <w:pPr>
              <w:cnfStyle w:val="000000000000" w:firstRow="0" w:lastRow="0" w:firstColumn="0" w:lastColumn="0" w:oddVBand="0" w:evenVBand="0" w:oddHBand="0" w:evenHBand="0" w:firstRowFirstColumn="0" w:firstRowLastColumn="0" w:lastRowFirstColumn="0" w:lastRowLastColumn="0"/>
              <w:rPr>
                <w:sz w:val="20"/>
                <w:szCs w:val="20"/>
              </w:rPr>
            </w:pPr>
          </w:p>
          <w:p w14:paraId="0E3620C4" w14:textId="5B94E50B" w:rsidR="005415C5" w:rsidRPr="00990739" w:rsidRDefault="005415C5" w:rsidP="0009146E">
            <w:pPr>
              <w:cnfStyle w:val="000000000000" w:firstRow="0" w:lastRow="0" w:firstColumn="0" w:lastColumn="0" w:oddVBand="0" w:evenVBand="0" w:oddHBand="0" w:evenHBand="0" w:firstRowFirstColumn="0" w:firstRowLastColumn="0" w:lastRowFirstColumn="0" w:lastRowLastColumn="0"/>
              <w:rPr>
                <w:sz w:val="20"/>
                <w:szCs w:val="20"/>
              </w:rPr>
            </w:pPr>
            <w:r w:rsidRPr="00990739">
              <w:rPr>
                <w:sz w:val="20"/>
                <w:szCs w:val="20"/>
              </w:rPr>
              <w:t>3.2</w:t>
            </w:r>
          </w:p>
        </w:tc>
        <w:tc>
          <w:tcPr>
            <w:tcW w:w="1471" w:type="dxa"/>
            <w:shd w:val="clear" w:color="auto" w:fill="F8E5DA" w:themeFill="accent2" w:themeFillTint="33"/>
          </w:tcPr>
          <w:p w14:paraId="6C2D8E19" w14:textId="77777777" w:rsidR="00800738" w:rsidRPr="00D155FF" w:rsidRDefault="00D155FF"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155FF">
              <w:rPr>
                <w:b/>
                <w:sz w:val="20"/>
                <w:szCs w:val="20"/>
              </w:rPr>
              <w:t>(8) 7%</w:t>
            </w:r>
          </w:p>
          <w:p w14:paraId="0B0E7562" w14:textId="77777777" w:rsidR="00D155FF" w:rsidRDefault="00D155FF"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371A7C7" w14:textId="77777777" w:rsidR="00D155FF" w:rsidRDefault="00D155FF"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 8%</w:t>
            </w:r>
          </w:p>
          <w:p w14:paraId="2A7102D6" w14:textId="77777777" w:rsidR="00D155FF" w:rsidRDefault="00D155FF"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6384076" w14:textId="47CCD803" w:rsidR="00D155FF" w:rsidRPr="00DF7DDC" w:rsidRDefault="00D155FF"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 5%</w:t>
            </w:r>
          </w:p>
        </w:tc>
        <w:tc>
          <w:tcPr>
            <w:tcW w:w="1169" w:type="dxa"/>
            <w:shd w:val="clear" w:color="auto" w:fill="F8E5DA" w:themeFill="accent2" w:themeFillTint="33"/>
          </w:tcPr>
          <w:p w14:paraId="028A2EDB" w14:textId="77777777" w:rsidR="00800738" w:rsidRPr="00D20162" w:rsidRDefault="00D20162"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20162">
              <w:rPr>
                <w:b/>
                <w:sz w:val="20"/>
                <w:szCs w:val="20"/>
              </w:rPr>
              <w:t>(26) 21%</w:t>
            </w:r>
          </w:p>
          <w:p w14:paraId="5169E75B" w14:textId="77777777" w:rsidR="00D20162" w:rsidRDefault="00D20162"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86DBE53" w14:textId="77777777" w:rsidR="00D20162" w:rsidRDefault="00D20162"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 23%</w:t>
            </w:r>
          </w:p>
          <w:p w14:paraId="32CDB132" w14:textId="77777777" w:rsidR="00D20162" w:rsidRDefault="00D20162"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382B157" w14:textId="4A451812" w:rsidR="00D20162" w:rsidRPr="00DF7DDC" w:rsidRDefault="00D20162"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 19%</w:t>
            </w:r>
          </w:p>
        </w:tc>
        <w:tc>
          <w:tcPr>
            <w:tcW w:w="1169" w:type="dxa"/>
            <w:shd w:val="clear" w:color="auto" w:fill="F8E5DA" w:themeFill="accent2" w:themeFillTint="33"/>
          </w:tcPr>
          <w:p w14:paraId="784AB100" w14:textId="77777777" w:rsidR="00800738" w:rsidRPr="00B4523E" w:rsidRDefault="00B4523E"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B4523E">
              <w:rPr>
                <w:b/>
                <w:sz w:val="20"/>
                <w:szCs w:val="20"/>
              </w:rPr>
              <w:t>(31) 25%</w:t>
            </w:r>
          </w:p>
          <w:p w14:paraId="015DE1EA" w14:textId="77777777" w:rsidR="00B4523E" w:rsidRDefault="00B4523E"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278AAF6" w14:textId="77777777" w:rsidR="00B4523E" w:rsidRDefault="00B4523E"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 23%</w:t>
            </w:r>
          </w:p>
          <w:p w14:paraId="5EDCCB72" w14:textId="77777777" w:rsidR="00B4523E" w:rsidRDefault="00B4523E"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42C8F2A" w14:textId="41604B26" w:rsidR="00B4523E" w:rsidRPr="00DF7DDC" w:rsidRDefault="00B4523E"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 27%</w:t>
            </w:r>
          </w:p>
        </w:tc>
        <w:tc>
          <w:tcPr>
            <w:tcW w:w="1169" w:type="dxa"/>
            <w:shd w:val="clear" w:color="auto" w:fill="F8E5DA" w:themeFill="accent2" w:themeFillTint="33"/>
          </w:tcPr>
          <w:p w14:paraId="2FE6DC81" w14:textId="77777777" w:rsidR="00800738" w:rsidRPr="005F275B" w:rsidRDefault="005F275B"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5F275B">
              <w:rPr>
                <w:b/>
                <w:sz w:val="20"/>
                <w:szCs w:val="20"/>
              </w:rPr>
              <w:t>(48) 39%</w:t>
            </w:r>
          </w:p>
          <w:p w14:paraId="562664E7" w14:textId="77777777" w:rsidR="005F275B" w:rsidRDefault="005F275B"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1B624AA" w14:textId="77777777" w:rsidR="005F275B" w:rsidRDefault="005F275B"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 34%</w:t>
            </w:r>
          </w:p>
          <w:p w14:paraId="10F0C550" w14:textId="77777777" w:rsidR="005F275B" w:rsidRDefault="005F275B"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7F5C914" w14:textId="1F670A89" w:rsidR="005F275B" w:rsidRPr="00DF7DDC" w:rsidRDefault="005F275B"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(27) 44%</w:t>
            </w:r>
          </w:p>
        </w:tc>
        <w:tc>
          <w:tcPr>
            <w:tcW w:w="1322" w:type="dxa"/>
            <w:shd w:val="clear" w:color="auto" w:fill="F8E5DA" w:themeFill="accent2" w:themeFillTint="33"/>
          </w:tcPr>
          <w:p w14:paraId="7D25E121" w14:textId="77777777" w:rsidR="00800738" w:rsidRPr="00530CA3" w:rsidRDefault="00530CA3"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530CA3">
              <w:rPr>
                <w:b/>
                <w:sz w:val="20"/>
                <w:szCs w:val="20"/>
              </w:rPr>
              <w:t>(10) 8%</w:t>
            </w:r>
          </w:p>
          <w:p w14:paraId="41FC0305" w14:textId="77777777" w:rsidR="00530CA3" w:rsidRDefault="00530CA3"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3BC2E7F" w14:textId="77777777" w:rsidR="00530CA3" w:rsidRDefault="00530CA3"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 11%</w:t>
            </w:r>
          </w:p>
          <w:p w14:paraId="5E5A19C1" w14:textId="77777777" w:rsidR="00530CA3" w:rsidRDefault="00530CA3"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01AA56D" w14:textId="32F81E37" w:rsidR="00530CA3" w:rsidRPr="00DF7DDC" w:rsidRDefault="00530CA3"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 5%</w:t>
            </w:r>
          </w:p>
        </w:tc>
      </w:tr>
    </w:tbl>
    <w:p w14:paraId="16EF9465" w14:textId="77777777" w:rsidR="00711F99" w:rsidRDefault="00711F99" w:rsidP="00806177">
      <w:pPr>
        <w:ind w:firstLine="720"/>
        <w:rPr>
          <w:sz w:val="18"/>
          <w:szCs w:val="18"/>
        </w:rPr>
      </w:pPr>
      <w:r>
        <w:rPr>
          <w:sz w:val="18"/>
          <w:szCs w:val="18"/>
        </w:rPr>
        <w:t>*</w:t>
      </w:r>
      <w:r w:rsidRPr="001101B4">
        <w:rPr>
          <w:sz w:val="18"/>
          <w:szCs w:val="18"/>
        </w:rPr>
        <w:t>Due to</w:t>
      </w:r>
      <w:r w:rsidR="0077404D">
        <w:rPr>
          <w:sz w:val="18"/>
          <w:szCs w:val="18"/>
        </w:rPr>
        <w:t xml:space="preserve"> rounding of percentages, some a</w:t>
      </w:r>
      <w:r w:rsidRPr="001101B4">
        <w:rPr>
          <w:sz w:val="18"/>
          <w:szCs w:val="18"/>
        </w:rPr>
        <w:t>rea totals may not equal 100%.</w:t>
      </w:r>
    </w:p>
    <w:p w14:paraId="655BA965" w14:textId="77777777" w:rsidR="00CA29FD" w:rsidRPr="002173ED" w:rsidRDefault="00CA29FD" w:rsidP="004C58E0">
      <w:pPr>
        <w:spacing w:before="120"/>
        <w:rPr>
          <w:b/>
          <w:color w:val="716767" w:themeColor="accent6" w:themeShade="BF"/>
          <w:sz w:val="16"/>
        </w:rPr>
      </w:pPr>
    </w:p>
    <w:p w14:paraId="087E6595" w14:textId="3DD906A1" w:rsidR="008D2485" w:rsidRPr="008D2485" w:rsidRDefault="0049433A" w:rsidP="004C58E0">
      <w:pPr>
        <w:spacing w:before="120"/>
      </w:pPr>
      <w:r>
        <w:rPr>
          <w:b/>
          <w:color w:val="716767" w:themeColor="accent6" w:themeShade="BF"/>
        </w:rPr>
        <w:t xml:space="preserve">Table </w:t>
      </w:r>
      <w:r w:rsidR="00A4205B">
        <w:rPr>
          <w:b/>
          <w:color w:val="716767" w:themeColor="accent6" w:themeShade="BF"/>
        </w:rPr>
        <w:t>8</w:t>
      </w:r>
      <w:r w:rsidR="008D2485" w:rsidRPr="00341572">
        <w:rPr>
          <w:b/>
          <w:color w:val="716767" w:themeColor="accent6" w:themeShade="BF"/>
        </w:rPr>
        <w:t xml:space="preserve"> </w:t>
      </w:r>
      <w:r w:rsidR="008D2485" w:rsidRPr="008D2485">
        <w:t>summarizes the mean scor</w:t>
      </w:r>
      <w:r w:rsidR="0076435D">
        <w:t>es and frequencies for the</w:t>
      </w:r>
      <w:r w:rsidR="00047614">
        <w:t xml:space="preserve"> </w:t>
      </w:r>
      <w:r w:rsidR="00334616">
        <w:t xml:space="preserve">2 Areas of </w:t>
      </w:r>
      <w:r w:rsidR="00DA02D6">
        <w:t>Practice</w:t>
      </w:r>
      <w:r w:rsidR="008D2485" w:rsidRPr="008D2485">
        <w:t xml:space="preserve"> i</w:t>
      </w:r>
      <w:r w:rsidR="002173ED">
        <w:t xml:space="preserve">n </w:t>
      </w:r>
      <w:r w:rsidR="00334616">
        <w:t xml:space="preserve">Domain 2: </w:t>
      </w:r>
      <w:r w:rsidR="00C21E94">
        <w:t>Community-Based</w:t>
      </w:r>
      <w:r w:rsidR="008D2485" w:rsidRPr="008D2485">
        <w:t xml:space="preserve">. </w:t>
      </w:r>
    </w:p>
    <w:p w14:paraId="740BB77A" w14:textId="61A38613" w:rsidR="008D2485" w:rsidRPr="00283716" w:rsidRDefault="002D3659" w:rsidP="00EB2238">
      <w:pPr>
        <w:pStyle w:val="Heading3"/>
        <w:rPr>
          <w:rStyle w:val="Strong"/>
          <w:b/>
        </w:rPr>
      </w:pPr>
      <w:bookmarkStart w:id="29" w:name="_Toc22632490"/>
      <w:r>
        <w:rPr>
          <w:rStyle w:val="Strong"/>
          <w:b/>
        </w:rPr>
        <w:t xml:space="preserve">Table </w:t>
      </w:r>
      <w:r w:rsidR="00A4205B">
        <w:rPr>
          <w:rStyle w:val="Strong"/>
          <w:b/>
        </w:rPr>
        <w:t>8</w:t>
      </w:r>
      <w:r w:rsidR="008D2485" w:rsidRPr="00283716">
        <w:rPr>
          <w:rStyle w:val="Strong"/>
          <w:b/>
        </w:rPr>
        <w:t>: Community-Based - Area Mean Scores &amp; Frequencies</w:t>
      </w:r>
      <w:bookmarkEnd w:id="29"/>
    </w:p>
    <w:tbl>
      <w:tblPr>
        <w:tblStyle w:val="GridTable4-Accent21"/>
        <w:tblW w:w="9450" w:type="dxa"/>
        <w:jc w:val="center"/>
        <w:tblLayout w:type="fixed"/>
        <w:tblLook w:val="04A0" w:firstRow="1" w:lastRow="0" w:firstColumn="1" w:lastColumn="0" w:noHBand="0" w:noVBand="1"/>
      </w:tblPr>
      <w:tblGrid>
        <w:gridCol w:w="2430"/>
        <w:gridCol w:w="15"/>
        <w:gridCol w:w="788"/>
        <w:gridCol w:w="1264"/>
        <w:gridCol w:w="1439"/>
        <w:gridCol w:w="1084"/>
        <w:gridCol w:w="1080"/>
        <w:gridCol w:w="1350"/>
      </w:tblGrid>
      <w:tr w:rsidR="00DA02D6" w:rsidRPr="00A216E6" w14:paraId="0327E179" w14:textId="77777777" w:rsidTr="00806177">
        <w:trPr>
          <w:cnfStyle w:val="100000000000" w:firstRow="1" w:lastRow="0" w:firstColumn="0" w:lastColumn="0" w:oddVBand="0" w:evenVBand="0" w:oddHBand="0"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445" w:type="dxa"/>
            <w:gridSpan w:val="2"/>
          </w:tcPr>
          <w:p w14:paraId="008AC5ED" w14:textId="77777777" w:rsidR="00DA02D6" w:rsidRPr="00A216E6" w:rsidRDefault="00DA02D6" w:rsidP="00F527A3">
            <w:pPr>
              <w:rPr>
                <w:rStyle w:val="Strong"/>
                <w:b/>
                <w:sz w:val="20"/>
                <w:szCs w:val="20"/>
              </w:rPr>
            </w:pPr>
            <w:r w:rsidRPr="00A216E6">
              <w:rPr>
                <w:rStyle w:val="Strong"/>
                <w:b/>
                <w:sz w:val="20"/>
                <w:szCs w:val="20"/>
              </w:rPr>
              <w:br w:type="page"/>
              <w:t xml:space="preserve">Area </w:t>
            </w:r>
          </w:p>
        </w:tc>
        <w:tc>
          <w:tcPr>
            <w:tcW w:w="788" w:type="dxa"/>
          </w:tcPr>
          <w:p w14:paraId="66D7B949" w14:textId="77777777" w:rsidR="00DA02D6" w:rsidRPr="00A216E6" w:rsidRDefault="00DA02D6" w:rsidP="00F527A3">
            <w:pPr>
              <w:cnfStyle w:val="100000000000" w:firstRow="1" w:lastRow="0" w:firstColumn="0" w:lastColumn="0" w:oddVBand="0" w:evenVBand="0" w:oddHBand="0" w:evenHBand="0" w:firstRowFirstColumn="0" w:firstRowLastColumn="0" w:lastRowFirstColumn="0" w:lastRowLastColumn="0"/>
              <w:rPr>
                <w:rStyle w:val="Strong"/>
                <w:b/>
                <w:sz w:val="20"/>
                <w:szCs w:val="20"/>
              </w:rPr>
            </w:pPr>
            <w:r w:rsidRPr="00A216E6">
              <w:rPr>
                <w:rStyle w:val="Strong"/>
                <w:b/>
                <w:sz w:val="20"/>
                <w:szCs w:val="20"/>
              </w:rPr>
              <w:t>Mean</w:t>
            </w:r>
          </w:p>
        </w:tc>
        <w:tc>
          <w:tcPr>
            <w:tcW w:w="6217" w:type="dxa"/>
            <w:gridSpan w:val="5"/>
          </w:tcPr>
          <w:p w14:paraId="7CEC1B74" w14:textId="77777777" w:rsidR="00DA02D6" w:rsidRPr="00A216E6" w:rsidRDefault="00DA02D6" w:rsidP="00F527A3">
            <w:pPr>
              <w:jc w:val="center"/>
              <w:cnfStyle w:val="100000000000" w:firstRow="1" w:lastRow="0" w:firstColumn="0" w:lastColumn="0" w:oddVBand="0" w:evenVBand="0" w:oddHBand="0" w:evenHBand="0" w:firstRowFirstColumn="0" w:firstRowLastColumn="0" w:lastRowFirstColumn="0" w:lastRowLastColumn="0"/>
              <w:rPr>
                <w:rStyle w:val="Strong"/>
                <w:b/>
                <w:sz w:val="20"/>
                <w:szCs w:val="20"/>
              </w:rPr>
            </w:pPr>
            <w:r w:rsidRPr="00A216E6">
              <w:rPr>
                <w:rStyle w:val="Strong"/>
                <w:b/>
                <w:sz w:val="20"/>
                <w:szCs w:val="20"/>
              </w:rPr>
              <w:t>Frequencies (n) %*</w:t>
            </w:r>
          </w:p>
        </w:tc>
      </w:tr>
      <w:tr w:rsidR="00DA02D6" w:rsidRPr="00DF7DDC" w14:paraId="5F482943" w14:textId="77777777" w:rsidTr="00806177">
        <w:trPr>
          <w:cnfStyle w:val="000000100000" w:firstRow="0" w:lastRow="0" w:firstColumn="0" w:lastColumn="0" w:oddVBand="0" w:evenVBand="0" w:oddHBand="1"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3233" w:type="dxa"/>
            <w:gridSpan w:val="3"/>
          </w:tcPr>
          <w:p w14:paraId="2C019D73" w14:textId="77777777" w:rsidR="00DA02D6" w:rsidRPr="00F6519B" w:rsidRDefault="00DA02D6" w:rsidP="00F527A3">
            <w:pPr>
              <w:rPr>
                <w:sz w:val="20"/>
                <w:szCs w:val="20"/>
              </w:rPr>
            </w:pPr>
          </w:p>
          <w:p w14:paraId="55020AFD" w14:textId="77777777" w:rsidR="00DA02D6" w:rsidRPr="00F6519B" w:rsidRDefault="00DA02D6" w:rsidP="00F527A3">
            <w:pPr>
              <w:widowControl w:val="0"/>
              <w:ind w:right="72"/>
              <w:rPr>
                <w:sz w:val="20"/>
                <w:szCs w:val="20"/>
              </w:rPr>
            </w:pPr>
          </w:p>
        </w:tc>
        <w:tc>
          <w:tcPr>
            <w:tcW w:w="1264" w:type="dxa"/>
          </w:tcPr>
          <w:p w14:paraId="4A6C5DF5"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Adverse</w:t>
            </w:r>
          </w:p>
          <w:p w14:paraId="3A5D55DF"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Practice</w:t>
            </w:r>
          </w:p>
          <w:p w14:paraId="29B42BFF"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1</w:t>
            </w:r>
          </w:p>
        </w:tc>
        <w:tc>
          <w:tcPr>
            <w:tcW w:w="1439" w:type="dxa"/>
          </w:tcPr>
          <w:p w14:paraId="0008A344"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Poor</w:t>
            </w:r>
          </w:p>
          <w:p w14:paraId="666C2212"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Practice</w:t>
            </w:r>
          </w:p>
          <w:p w14:paraId="5D63F97C"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2</w:t>
            </w:r>
          </w:p>
        </w:tc>
        <w:tc>
          <w:tcPr>
            <w:tcW w:w="1084" w:type="dxa"/>
          </w:tcPr>
          <w:p w14:paraId="5F66F591"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Fair</w:t>
            </w:r>
          </w:p>
          <w:p w14:paraId="0BE7AE9F"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Practice</w:t>
            </w:r>
          </w:p>
          <w:p w14:paraId="5222AF4D"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3</w:t>
            </w:r>
          </w:p>
        </w:tc>
        <w:tc>
          <w:tcPr>
            <w:tcW w:w="1080" w:type="dxa"/>
          </w:tcPr>
          <w:p w14:paraId="17ABF6E4"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Good</w:t>
            </w:r>
          </w:p>
          <w:p w14:paraId="3B2B3B1B"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Practice</w:t>
            </w:r>
          </w:p>
          <w:p w14:paraId="04875015"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4</w:t>
            </w:r>
          </w:p>
        </w:tc>
        <w:tc>
          <w:tcPr>
            <w:tcW w:w="1350" w:type="dxa"/>
          </w:tcPr>
          <w:p w14:paraId="5617DDDD"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Exemplary/</w:t>
            </w:r>
          </w:p>
          <w:p w14:paraId="6CA755E0"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Best Practice</w:t>
            </w:r>
          </w:p>
          <w:p w14:paraId="6A967679"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5</w:t>
            </w:r>
          </w:p>
        </w:tc>
      </w:tr>
      <w:tr w:rsidR="00DA02D6" w:rsidRPr="0025795F" w14:paraId="57C33D97" w14:textId="77777777" w:rsidTr="00806177">
        <w:trPr>
          <w:trHeight w:val="1375"/>
          <w:jc w:val="center"/>
        </w:trPr>
        <w:tc>
          <w:tcPr>
            <w:cnfStyle w:val="001000000000" w:firstRow="0" w:lastRow="0" w:firstColumn="1" w:lastColumn="0" w:oddVBand="0" w:evenVBand="0" w:oddHBand="0" w:evenHBand="0" w:firstRowFirstColumn="0" w:firstRowLastColumn="0" w:lastRowFirstColumn="0" w:lastRowLastColumn="0"/>
            <w:tcW w:w="2430" w:type="dxa"/>
          </w:tcPr>
          <w:p w14:paraId="6E63CCEC" w14:textId="77777777" w:rsidR="00DA02D6" w:rsidRPr="00F6519B" w:rsidRDefault="00DA02D6" w:rsidP="0009146E">
            <w:pPr>
              <w:rPr>
                <w:sz w:val="20"/>
                <w:szCs w:val="20"/>
              </w:rPr>
            </w:pPr>
            <w:r w:rsidRPr="00F6519B">
              <w:rPr>
                <w:sz w:val="20"/>
                <w:szCs w:val="20"/>
              </w:rPr>
              <w:t>Responsiveness</w:t>
            </w:r>
          </w:p>
          <w:p w14:paraId="05B974EC" w14:textId="77777777" w:rsidR="00DA02D6" w:rsidRPr="00F6519B" w:rsidRDefault="00DA02D6" w:rsidP="0009146E">
            <w:pPr>
              <w:rPr>
                <w:sz w:val="20"/>
                <w:szCs w:val="20"/>
              </w:rPr>
            </w:pPr>
          </w:p>
          <w:p w14:paraId="36C72686" w14:textId="77777777" w:rsidR="00DA02D6" w:rsidRPr="00F6519B" w:rsidRDefault="00DA02D6" w:rsidP="0009146E">
            <w:pPr>
              <w:rPr>
                <w:sz w:val="20"/>
                <w:szCs w:val="20"/>
              </w:rPr>
            </w:pPr>
            <w:r w:rsidRPr="00F6519B">
              <w:rPr>
                <w:sz w:val="20"/>
                <w:szCs w:val="20"/>
              </w:rPr>
              <w:t>-ICC</w:t>
            </w:r>
          </w:p>
          <w:p w14:paraId="111DC3A4" w14:textId="77777777" w:rsidR="00DA02D6" w:rsidRPr="00F6519B" w:rsidRDefault="00DA02D6" w:rsidP="0009146E">
            <w:pPr>
              <w:rPr>
                <w:sz w:val="20"/>
                <w:szCs w:val="20"/>
              </w:rPr>
            </w:pPr>
          </w:p>
          <w:p w14:paraId="3DE71FB4" w14:textId="77777777" w:rsidR="00DA02D6" w:rsidRPr="00F6519B" w:rsidRDefault="00DA02D6" w:rsidP="0009146E">
            <w:pPr>
              <w:rPr>
                <w:b w:val="0"/>
                <w:bCs w:val="0"/>
                <w:color w:val="0070C0"/>
                <w:sz w:val="20"/>
                <w:szCs w:val="20"/>
              </w:rPr>
            </w:pPr>
            <w:r w:rsidRPr="00F6519B">
              <w:rPr>
                <w:sz w:val="20"/>
                <w:szCs w:val="20"/>
              </w:rPr>
              <w:t>-IHT</w:t>
            </w:r>
          </w:p>
        </w:tc>
        <w:tc>
          <w:tcPr>
            <w:tcW w:w="803" w:type="dxa"/>
            <w:gridSpan w:val="2"/>
          </w:tcPr>
          <w:p w14:paraId="3E03A41D" w14:textId="3FAF5B27" w:rsidR="00DA02D6" w:rsidRPr="00D80D43" w:rsidRDefault="00D80D43" w:rsidP="0009146E">
            <w:pPr>
              <w:cnfStyle w:val="000000000000" w:firstRow="0" w:lastRow="0" w:firstColumn="0" w:lastColumn="0" w:oddVBand="0" w:evenVBand="0" w:oddHBand="0" w:evenHBand="0" w:firstRowFirstColumn="0" w:firstRowLastColumn="0" w:lastRowFirstColumn="0" w:lastRowLastColumn="0"/>
              <w:rPr>
                <w:b/>
                <w:sz w:val="20"/>
                <w:szCs w:val="20"/>
              </w:rPr>
            </w:pPr>
            <w:r w:rsidRPr="00D80D43">
              <w:rPr>
                <w:b/>
                <w:sz w:val="20"/>
                <w:szCs w:val="20"/>
              </w:rPr>
              <w:t>3.2</w:t>
            </w:r>
          </w:p>
          <w:p w14:paraId="268335FB" w14:textId="77777777" w:rsidR="00C95149" w:rsidRPr="00C95149" w:rsidRDefault="00C95149" w:rsidP="0009146E">
            <w:pPr>
              <w:cnfStyle w:val="000000000000" w:firstRow="0" w:lastRow="0" w:firstColumn="0" w:lastColumn="0" w:oddVBand="0" w:evenVBand="0" w:oddHBand="0" w:evenHBand="0" w:firstRowFirstColumn="0" w:firstRowLastColumn="0" w:lastRowFirstColumn="0" w:lastRowLastColumn="0"/>
              <w:rPr>
                <w:sz w:val="20"/>
                <w:szCs w:val="20"/>
              </w:rPr>
            </w:pPr>
          </w:p>
          <w:p w14:paraId="5FF23AB5" w14:textId="7C3E6C57" w:rsidR="00C95149" w:rsidRPr="00C95149" w:rsidRDefault="00C95149" w:rsidP="0009146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3.2</w:t>
            </w:r>
          </w:p>
          <w:p w14:paraId="75A16D47" w14:textId="77777777" w:rsidR="00C95149" w:rsidRPr="00C95149" w:rsidRDefault="00C95149" w:rsidP="0009146E">
            <w:pPr>
              <w:cnfStyle w:val="000000000000" w:firstRow="0" w:lastRow="0" w:firstColumn="0" w:lastColumn="0" w:oddVBand="0" w:evenVBand="0" w:oddHBand="0" w:evenHBand="0" w:firstRowFirstColumn="0" w:firstRowLastColumn="0" w:lastRowFirstColumn="0" w:lastRowLastColumn="0"/>
              <w:rPr>
                <w:sz w:val="20"/>
                <w:szCs w:val="20"/>
              </w:rPr>
            </w:pPr>
          </w:p>
          <w:p w14:paraId="1AB2CFE9" w14:textId="180285FC" w:rsidR="00C95149" w:rsidRPr="00C95149" w:rsidRDefault="00C95149" w:rsidP="0009146E">
            <w:pPr>
              <w:cnfStyle w:val="000000000000" w:firstRow="0" w:lastRow="0" w:firstColumn="0" w:lastColumn="0" w:oddVBand="0" w:evenVBand="0" w:oddHBand="0" w:evenHBand="0" w:firstRowFirstColumn="0" w:firstRowLastColumn="0" w:lastRowFirstColumn="0" w:lastRowLastColumn="0"/>
              <w:rPr>
                <w:sz w:val="20"/>
                <w:szCs w:val="20"/>
              </w:rPr>
            </w:pPr>
            <w:r w:rsidRPr="00C95149">
              <w:rPr>
                <w:sz w:val="20"/>
                <w:szCs w:val="20"/>
              </w:rPr>
              <w:t>3.3</w:t>
            </w:r>
          </w:p>
        </w:tc>
        <w:tc>
          <w:tcPr>
            <w:tcW w:w="1264" w:type="dxa"/>
          </w:tcPr>
          <w:p w14:paraId="6A52C7C1" w14:textId="77777777" w:rsidR="00B339D3" w:rsidRPr="00D155FF" w:rsidRDefault="00D155FF" w:rsidP="00C95149">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155FF">
              <w:rPr>
                <w:b/>
                <w:sz w:val="20"/>
                <w:szCs w:val="20"/>
              </w:rPr>
              <w:t>(3) 2%</w:t>
            </w:r>
          </w:p>
          <w:p w14:paraId="666CC461" w14:textId="77777777" w:rsidR="00D155FF" w:rsidRDefault="00D155FF" w:rsidP="00C95149">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8A9E31D" w14:textId="77777777" w:rsidR="00D155FF" w:rsidRDefault="00D155FF" w:rsidP="00C9514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 5%</w:t>
            </w:r>
          </w:p>
          <w:p w14:paraId="4A4B71F1" w14:textId="77777777" w:rsidR="00D155FF" w:rsidRDefault="00D155FF" w:rsidP="00C95149">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AB26E95" w14:textId="6EB965A1" w:rsidR="00D155FF" w:rsidRPr="00DF7DDC" w:rsidRDefault="00D155FF" w:rsidP="00C9514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439" w:type="dxa"/>
          </w:tcPr>
          <w:p w14:paraId="3F60FB31" w14:textId="77777777" w:rsidR="00B339D3" w:rsidRPr="00D20162" w:rsidRDefault="00D20162"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20162">
              <w:rPr>
                <w:b/>
                <w:sz w:val="20"/>
                <w:szCs w:val="20"/>
              </w:rPr>
              <w:t>(15) 12%</w:t>
            </w:r>
          </w:p>
          <w:p w14:paraId="051A969E" w14:textId="77777777" w:rsidR="00D20162" w:rsidRDefault="00D20162"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7EDD9B7" w14:textId="77777777" w:rsidR="00D20162" w:rsidRDefault="00D20162"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 15%</w:t>
            </w:r>
          </w:p>
          <w:p w14:paraId="58E8DBFA" w14:textId="77777777" w:rsidR="00D20162" w:rsidRDefault="00D20162"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21407B9" w14:textId="5AC4EB18" w:rsidR="00D20162" w:rsidRPr="00DF7DDC" w:rsidRDefault="00D20162"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 10%</w:t>
            </w:r>
          </w:p>
        </w:tc>
        <w:tc>
          <w:tcPr>
            <w:tcW w:w="1084" w:type="dxa"/>
          </w:tcPr>
          <w:p w14:paraId="0B78955B" w14:textId="77777777" w:rsidR="00B339D3" w:rsidRPr="00B024A1" w:rsidRDefault="00B024A1" w:rsidP="00E53FF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B024A1">
              <w:rPr>
                <w:b/>
                <w:sz w:val="20"/>
                <w:szCs w:val="20"/>
              </w:rPr>
              <w:t>(55) 45%</w:t>
            </w:r>
          </w:p>
          <w:p w14:paraId="165C860F" w14:textId="77777777" w:rsidR="00B024A1" w:rsidRDefault="00B024A1" w:rsidP="00E53FF0">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BBD3F62" w14:textId="77777777" w:rsidR="00B024A1" w:rsidRDefault="00B024A1" w:rsidP="00E53FF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 39%</w:t>
            </w:r>
          </w:p>
          <w:p w14:paraId="6D7DE31E" w14:textId="77777777" w:rsidR="00B024A1" w:rsidRDefault="00B024A1" w:rsidP="00E53FF0">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106EEE1" w14:textId="7A352994" w:rsidR="00B024A1" w:rsidRPr="00DF7DDC" w:rsidRDefault="00B024A1" w:rsidP="00E53FF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 50%</w:t>
            </w:r>
          </w:p>
        </w:tc>
        <w:tc>
          <w:tcPr>
            <w:tcW w:w="1080" w:type="dxa"/>
          </w:tcPr>
          <w:p w14:paraId="1BDF4C0C" w14:textId="77777777" w:rsidR="00B339D3" w:rsidRPr="005F275B" w:rsidRDefault="005F275B"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5F275B">
              <w:rPr>
                <w:b/>
                <w:sz w:val="20"/>
                <w:szCs w:val="20"/>
              </w:rPr>
              <w:t>(49) 40%</w:t>
            </w:r>
          </w:p>
          <w:p w14:paraId="173924CC" w14:textId="77777777" w:rsidR="005F275B" w:rsidRDefault="005F275B"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5C80A0B" w14:textId="77777777" w:rsidR="005F275B" w:rsidRDefault="005F275B"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 41%</w:t>
            </w:r>
          </w:p>
          <w:p w14:paraId="05701EFB" w14:textId="77777777" w:rsidR="005F275B" w:rsidRDefault="005F275B"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A7FE128" w14:textId="0CAD4514" w:rsidR="005F275B" w:rsidRPr="00DF7DDC" w:rsidRDefault="005F275B"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 39%</w:t>
            </w:r>
          </w:p>
        </w:tc>
        <w:tc>
          <w:tcPr>
            <w:tcW w:w="1350" w:type="dxa"/>
          </w:tcPr>
          <w:p w14:paraId="6D71D85A" w14:textId="77777777" w:rsidR="00B339D3" w:rsidRPr="00530CA3" w:rsidRDefault="00530CA3"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530CA3">
              <w:rPr>
                <w:b/>
                <w:sz w:val="20"/>
                <w:szCs w:val="20"/>
              </w:rPr>
              <w:t>(1) 1%</w:t>
            </w:r>
          </w:p>
          <w:p w14:paraId="3E5CFD8D" w14:textId="77777777" w:rsidR="00530CA3" w:rsidRDefault="00530CA3"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00B02ED" w14:textId="77777777" w:rsidR="00530CA3" w:rsidRDefault="00530CA3"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p w14:paraId="44C295B0" w14:textId="77777777" w:rsidR="00530CA3" w:rsidRDefault="00530CA3"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8FEBE91" w14:textId="3A87846E" w:rsidR="00530CA3" w:rsidRPr="00F6519B" w:rsidRDefault="00530CA3"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 2%</w:t>
            </w:r>
          </w:p>
        </w:tc>
      </w:tr>
      <w:tr w:rsidR="00DA02D6" w:rsidRPr="0025795F" w14:paraId="20261EAA" w14:textId="77777777" w:rsidTr="00806177">
        <w:trPr>
          <w:cnfStyle w:val="000000100000" w:firstRow="0" w:lastRow="0" w:firstColumn="0" w:lastColumn="0" w:oddVBand="0" w:evenVBand="0" w:oddHBand="1" w:evenHBand="0" w:firstRowFirstColumn="0" w:firstRowLastColumn="0" w:lastRowFirstColumn="0" w:lastRowLastColumn="0"/>
          <w:trHeight w:val="1321"/>
          <w:jc w:val="center"/>
        </w:trPr>
        <w:tc>
          <w:tcPr>
            <w:cnfStyle w:val="001000000000" w:firstRow="0" w:lastRow="0" w:firstColumn="1" w:lastColumn="0" w:oddVBand="0" w:evenVBand="0" w:oddHBand="0" w:evenHBand="0" w:firstRowFirstColumn="0" w:firstRowLastColumn="0" w:lastRowFirstColumn="0" w:lastRowLastColumn="0"/>
            <w:tcW w:w="2430" w:type="dxa"/>
          </w:tcPr>
          <w:p w14:paraId="781EB394" w14:textId="77777777" w:rsidR="00DA02D6" w:rsidRPr="00F6519B" w:rsidRDefault="00DA02D6" w:rsidP="0009146E">
            <w:pPr>
              <w:rPr>
                <w:sz w:val="20"/>
                <w:szCs w:val="20"/>
              </w:rPr>
            </w:pPr>
            <w:r w:rsidRPr="00F6519B">
              <w:rPr>
                <w:sz w:val="20"/>
                <w:szCs w:val="20"/>
              </w:rPr>
              <w:t>Service Accessibility</w:t>
            </w:r>
          </w:p>
          <w:p w14:paraId="4CDC19EB" w14:textId="77777777" w:rsidR="00DA02D6" w:rsidRPr="00F6519B" w:rsidRDefault="00DA02D6" w:rsidP="0009146E">
            <w:pPr>
              <w:rPr>
                <w:sz w:val="20"/>
                <w:szCs w:val="20"/>
              </w:rPr>
            </w:pPr>
          </w:p>
          <w:p w14:paraId="32DB2E9A" w14:textId="77777777" w:rsidR="00DA02D6" w:rsidRPr="00F6519B" w:rsidRDefault="00DA02D6" w:rsidP="0009146E">
            <w:pPr>
              <w:rPr>
                <w:sz w:val="20"/>
                <w:szCs w:val="20"/>
              </w:rPr>
            </w:pPr>
            <w:r w:rsidRPr="00F6519B">
              <w:rPr>
                <w:sz w:val="20"/>
                <w:szCs w:val="20"/>
              </w:rPr>
              <w:t>-ICC</w:t>
            </w:r>
          </w:p>
          <w:p w14:paraId="1D97A8CF" w14:textId="77777777" w:rsidR="00DA02D6" w:rsidRPr="00F6519B" w:rsidRDefault="00DA02D6" w:rsidP="0009146E">
            <w:pPr>
              <w:rPr>
                <w:sz w:val="20"/>
                <w:szCs w:val="20"/>
              </w:rPr>
            </w:pPr>
          </w:p>
          <w:p w14:paraId="5E33BF06" w14:textId="77777777" w:rsidR="00DA02D6" w:rsidRPr="00D2215E" w:rsidRDefault="00DA02D6" w:rsidP="0009146E">
            <w:pPr>
              <w:rPr>
                <w:sz w:val="20"/>
                <w:szCs w:val="20"/>
              </w:rPr>
            </w:pPr>
            <w:r>
              <w:rPr>
                <w:sz w:val="20"/>
                <w:szCs w:val="20"/>
              </w:rPr>
              <w:t>-IHT</w:t>
            </w:r>
          </w:p>
        </w:tc>
        <w:tc>
          <w:tcPr>
            <w:tcW w:w="803" w:type="dxa"/>
            <w:gridSpan w:val="2"/>
          </w:tcPr>
          <w:p w14:paraId="760D831B" w14:textId="675CCC22" w:rsidR="00DA02D6" w:rsidRPr="00D80D43" w:rsidRDefault="00D80D43" w:rsidP="0009146E">
            <w:pPr>
              <w:cnfStyle w:val="000000100000" w:firstRow="0" w:lastRow="0" w:firstColumn="0" w:lastColumn="0" w:oddVBand="0" w:evenVBand="0" w:oddHBand="1" w:evenHBand="0" w:firstRowFirstColumn="0" w:firstRowLastColumn="0" w:lastRowFirstColumn="0" w:lastRowLastColumn="0"/>
              <w:rPr>
                <w:b/>
                <w:sz w:val="20"/>
                <w:szCs w:val="20"/>
              </w:rPr>
            </w:pPr>
            <w:r w:rsidRPr="00D80D43">
              <w:rPr>
                <w:b/>
                <w:sz w:val="20"/>
                <w:szCs w:val="20"/>
              </w:rPr>
              <w:t>3.8</w:t>
            </w:r>
          </w:p>
          <w:p w14:paraId="559E698E" w14:textId="77777777" w:rsidR="00C95149" w:rsidRPr="00C95149" w:rsidRDefault="00C95149" w:rsidP="0009146E">
            <w:pPr>
              <w:cnfStyle w:val="000000100000" w:firstRow="0" w:lastRow="0" w:firstColumn="0" w:lastColumn="0" w:oddVBand="0" w:evenVBand="0" w:oddHBand="1" w:evenHBand="0" w:firstRowFirstColumn="0" w:firstRowLastColumn="0" w:lastRowFirstColumn="0" w:lastRowLastColumn="0"/>
              <w:rPr>
                <w:sz w:val="20"/>
                <w:szCs w:val="20"/>
              </w:rPr>
            </w:pPr>
          </w:p>
          <w:p w14:paraId="0B72CA96" w14:textId="5D35A0C3" w:rsidR="00C95149" w:rsidRPr="00C95149" w:rsidRDefault="00C95149" w:rsidP="0009146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3.8</w:t>
            </w:r>
          </w:p>
          <w:p w14:paraId="3F183A41" w14:textId="77777777" w:rsidR="00C95149" w:rsidRPr="00C95149" w:rsidRDefault="00C95149" w:rsidP="0009146E">
            <w:pPr>
              <w:cnfStyle w:val="000000100000" w:firstRow="0" w:lastRow="0" w:firstColumn="0" w:lastColumn="0" w:oddVBand="0" w:evenVBand="0" w:oddHBand="1" w:evenHBand="0" w:firstRowFirstColumn="0" w:firstRowLastColumn="0" w:lastRowFirstColumn="0" w:lastRowLastColumn="0"/>
              <w:rPr>
                <w:sz w:val="20"/>
                <w:szCs w:val="20"/>
              </w:rPr>
            </w:pPr>
          </w:p>
          <w:p w14:paraId="42031985" w14:textId="2327FBE5" w:rsidR="00C95149" w:rsidRPr="00C95149" w:rsidRDefault="00C95149" w:rsidP="0009146E">
            <w:pPr>
              <w:cnfStyle w:val="000000100000" w:firstRow="0" w:lastRow="0" w:firstColumn="0" w:lastColumn="0" w:oddVBand="0" w:evenVBand="0" w:oddHBand="1" w:evenHBand="0" w:firstRowFirstColumn="0" w:firstRowLastColumn="0" w:lastRowFirstColumn="0" w:lastRowLastColumn="0"/>
              <w:rPr>
                <w:sz w:val="20"/>
                <w:szCs w:val="20"/>
              </w:rPr>
            </w:pPr>
            <w:r w:rsidRPr="00C95149">
              <w:rPr>
                <w:sz w:val="20"/>
                <w:szCs w:val="20"/>
              </w:rPr>
              <w:t>3.8</w:t>
            </w:r>
          </w:p>
        </w:tc>
        <w:tc>
          <w:tcPr>
            <w:tcW w:w="1264" w:type="dxa"/>
          </w:tcPr>
          <w:p w14:paraId="347B60FB" w14:textId="77777777" w:rsidR="00B339D3" w:rsidRPr="00D155FF" w:rsidRDefault="00D155FF"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155FF">
              <w:rPr>
                <w:b/>
                <w:sz w:val="20"/>
                <w:szCs w:val="20"/>
              </w:rPr>
              <w:t>(1) 1%</w:t>
            </w:r>
          </w:p>
          <w:p w14:paraId="1B30023A" w14:textId="77777777" w:rsidR="00D155FF" w:rsidRDefault="00D155FF"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7F4163DA" w14:textId="77777777" w:rsidR="00D155FF" w:rsidRDefault="00D155FF"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 2%</w:t>
            </w:r>
          </w:p>
          <w:p w14:paraId="188312BC" w14:textId="77777777" w:rsidR="00D155FF" w:rsidRDefault="00D155FF"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73932971" w14:textId="454FA221" w:rsidR="00D155FF" w:rsidRPr="00DF7DDC" w:rsidRDefault="00D155FF"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1439" w:type="dxa"/>
          </w:tcPr>
          <w:p w14:paraId="3DAEDB10" w14:textId="77777777" w:rsidR="00B339D3" w:rsidRPr="00D20162" w:rsidRDefault="00D20162"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20162">
              <w:rPr>
                <w:b/>
                <w:sz w:val="20"/>
                <w:szCs w:val="20"/>
              </w:rPr>
              <w:t>(1) 1%</w:t>
            </w:r>
          </w:p>
          <w:p w14:paraId="10055F8B" w14:textId="77777777" w:rsidR="00D20162" w:rsidRDefault="00D20162"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B22615A" w14:textId="77777777" w:rsidR="00D20162" w:rsidRDefault="00D20162"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p w14:paraId="458CC944" w14:textId="77777777" w:rsidR="00D20162" w:rsidRDefault="00D20162"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E45F2FF" w14:textId="10AD3904" w:rsidR="00D20162" w:rsidRPr="00DF7DDC" w:rsidRDefault="00D20162"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 2%</w:t>
            </w:r>
          </w:p>
        </w:tc>
        <w:tc>
          <w:tcPr>
            <w:tcW w:w="1084" w:type="dxa"/>
          </w:tcPr>
          <w:p w14:paraId="23568BC4" w14:textId="77777777" w:rsidR="00B339D3" w:rsidRPr="00B024A1" w:rsidRDefault="00B024A1"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B024A1">
              <w:rPr>
                <w:b/>
                <w:sz w:val="20"/>
                <w:szCs w:val="20"/>
              </w:rPr>
              <w:t>(21) 17%</w:t>
            </w:r>
          </w:p>
          <w:p w14:paraId="3E4A6C97" w14:textId="77777777" w:rsidR="00B024A1" w:rsidRDefault="00B024A1"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594044B" w14:textId="77777777" w:rsidR="00B024A1" w:rsidRDefault="00B024A1"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 18%</w:t>
            </w:r>
          </w:p>
          <w:p w14:paraId="2C0590A0" w14:textId="77777777" w:rsidR="00B024A1" w:rsidRDefault="00B024A1"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D8D0FA9" w14:textId="7C144647" w:rsidR="00B024A1" w:rsidRPr="00DF7DDC" w:rsidRDefault="00B024A1"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16%</w:t>
            </w:r>
          </w:p>
        </w:tc>
        <w:tc>
          <w:tcPr>
            <w:tcW w:w="1080" w:type="dxa"/>
          </w:tcPr>
          <w:p w14:paraId="3BA1ECDE" w14:textId="77777777" w:rsidR="00B339D3" w:rsidRPr="00F01F06" w:rsidRDefault="00F01F0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01F06">
              <w:rPr>
                <w:b/>
                <w:sz w:val="20"/>
                <w:szCs w:val="20"/>
              </w:rPr>
              <w:t>(96) 78%</w:t>
            </w:r>
          </w:p>
          <w:p w14:paraId="388B590B" w14:textId="77777777" w:rsidR="00F01F06" w:rsidRDefault="00F01F0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726214C1" w14:textId="77777777" w:rsidR="00F01F06" w:rsidRDefault="00F01F0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(46) 75%</w:t>
            </w:r>
          </w:p>
          <w:p w14:paraId="7D237B39" w14:textId="77777777" w:rsidR="00F01F06" w:rsidRDefault="00F01F0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E140E97" w14:textId="72E6F00F" w:rsidR="00F01F06" w:rsidRPr="00DF7DDC" w:rsidRDefault="00F01F0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 81%</w:t>
            </w:r>
          </w:p>
        </w:tc>
        <w:tc>
          <w:tcPr>
            <w:tcW w:w="1350" w:type="dxa"/>
          </w:tcPr>
          <w:p w14:paraId="0A131B8F" w14:textId="77777777" w:rsidR="00B339D3" w:rsidRPr="00530CA3" w:rsidRDefault="00530CA3"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530CA3">
              <w:rPr>
                <w:b/>
                <w:sz w:val="20"/>
                <w:szCs w:val="20"/>
              </w:rPr>
              <w:t>(4) 3%</w:t>
            </w:r>
          </w:p>
          <w:p w14:paraId="7878B07A" w14:textId="77777777" w:rsidR="00530CA3" w:rsidRDefault="00530CA3"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8E7AA21" w14:textId="77777777" w:rsidR="00530CA3" w:rsidRDefault="00530CA3"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5%</w:t>
            </w:r>
          </w:p>
          <w:p w14:paraId="06D82EC9" w14:textId="77777777" w:rsidR="00530CA3" w:rsidRDefault="00530CA3"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41808220" w14:textId="52A83F30" w:rsidR="00530CA3" w:rsidRPr="00DF7DDC" w:rsidRDefault="00530CA3"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 2%</w:t>
            </w:r>
          </w:p>
        </w:tc>
      </w:tr>
    </w:tbl>
    <w:p w14:paraId="717326B6" w14:textId="77777777" w:rsidR="00C202ED" w:rsidRDefault="00C202ED" w:rsidP="00806177">
      <w:pPr>
        <w:ind w:firstLine="720"/>
        <w:rPr>
          <w:sz w:val="18"/>
          <w:szCs w:val="18"/>
        </w:rPr>
      </w:pPr>
      <w:r>
        <w:rPr>
          <w:sz w:val="18"/>
          <w:szCs w:val="18"/>
        </w:rPr>
        <w:t>*</w:t>
      </w:r>
      <w:r w:rsidRPr="001101B4">
        <w:rPr>
          <w:sz w:val="18"/>
          <w:szCs w:val="18"/>
        </w:rPr>
        <w:t>Due to</w:t>
      </w:r>
      <w:r>
        <w:rPr>
          <w:sz w:val="18"/>
          <w:szCs w:val="18"/>
        </w:rPr>
        <w:t xml:space="preserve"> rounding of percentages, some a</w:t>
      </w:r>
      <w:r w:rsidRPr="001101B4">
        <w:rPr>
          <w:sz w:val="18"/>
          <w:szCs w:val="18"/>
        </w:rPr>
        <w:t>rea totals may not equal 100%.</w:t>
      </w:r>
    </w:p>
    <w:p w14:paraId="63A97EB4" w14:textId="77777777" w:rsidR="00C75985" w:rsidRPr="00C75985" w:rsidRDefault="00C75985" w:rsidP="00C75985">
      <w:pPr>
        <w:rPr>
          <w:sz w:val="16"/>
          <w:szCs w:val="18"/>
        </w:rPr>
      </w:pPr>
    </w:p>
    <w:p w14:paraId="650A536B" w14:textId="77777777" w:rsidR="00BD4C56" w:rsidRDefault="00BD4C56" w:rsidP="008D2485">
      <w:pPr>
        <w:spacing w:before="120"/>
        <w:rPr>
          <w:b/>
          <w:color w:val="716767" w:themeColor="accent6" w:themeShade="BF"/>
        </w:rPr>
      </w:pPr>
    </w:p>
    <w:p w14:paraId="4A11EA8D" w14:textId="77777777" w:rsidR="00BD4C56" w:rsidRDefault="00BD4C56" w:rsidP="008D2485">
      <w:pPr>
        <w:spacing w:before="120"/>
        <w:rPr>
          <w:b/>
          <w:color w:val="716767" w:themeColor="accent6" w:themeShade="BF"/>
        </w:rPr>
      </w:pPr>
    </w:p>
    <w:p w14:paraId="2BA04979" w14:textId="77777777" w:rsidR="00BD4C56" w:rsidRDefault="00BD4C56" w:rsidP="008D2485">
      <w:pPr>
        <w:spacing w:before="120"/>
        <w:rPr>
          <w:b/>
          <w:color w:val="716767" w:themeColor="accent6" w:themeShade="BF"/>
        </w:rPr>
      </w:pPr>
    </w:p>
    <w:p w14:paraId="035D81B9" w14:textId="77777777" w:rsidR="00977E84" w:rsidRDefault="00977E84" w:rsidP="008D2485">
      <w:pPr>
        <w:spacing w:before="120"/>
        <w:rPr>
          <w:b/>
          <w:color w:val="716767" w:themeColor="accent6" w:themeShade="BF"/>
        </w:rPr>
      </w:pPr>
    </w:p>
    <w:p w14:paraId="786EB03B" w14:textId="4FE79C21" w:rsidR="008D2485" w:rsidRPr="008D2485" w:rsidRDefault="0049433A" w:rsidP="008D2485">
      <w:pPr>
        <w:spacing w:before="120"/>
      </w:pPr>
      <w:r>
        <w:rPr>
          <w:b/>
          <w:color w:val="716767" w:themeColor="accent6" w:themeShade="BF"/>
        </w:rPr>
        <w:lastRenderedPageBreak/>
        <w:t xml:space="preserve">Table </w:t>
      </w:r>
      <w:r w:rsidR="00A4205B">
        <w:rPr>
          <w:b/>
          <w:color w:val="716767" w:themeColor="accent6" w:themeShade="BF"/>
        </w:rPr>
        <w:t>9</w:t>
      </w:r>
      <w:r w:rsidR="008D2485" w:rsidRPr="00341572">
        <w:rPr>
          <w:b/>
          <w:color w:val="716767" w:themeColor="accent6" w:themeShade="BF"/>
        </w:rPr>
        <w:t xml:space="preserve"> </w:t>
      </w:r>
      <w:r w:rsidR="008D2485" w:rsidRPr="008D2485">
        <w:t>summarizes mean</w:t>
      </w:r>
      <w:r w:rsidR="00047614">
        <w:t xml:space="preserve"> score and frequencies for the</w:t>
      </w:r>
      <w:r w:rsidR="00334616">
        <w:t xml:space="preserve"> 2</w:t>
      </w:r>
      <w:r w:rsidR="00047614">
        <w:t xml:space="preserve"> </w:t>
      </w:r>
      <w:r w:rsidR="00334616">
        <w:t>A</w:t>
      </w:r>
      <w:r w:rsidR="008D2485" w:rsidRPr="008D2485">
        <w:t xml:space="preserve">reas </w:t>
      </w:r>
      <w:r w:rsidR="00334616">
        <w:t xml:space="preserve">of </w:t>
      </w:r>
      <w:r w:rsidR="00DA02D6">
        <w:t>Practice</w:t>
      </w:r>
      <w:r w:rsidR="00334616">
        <w:t xml:space="preserve"> </w:t>
      </w:r>
      <w:r w:rsidR="008D2485" w:rsidRPr="008D2485">
        <w:t xml:space="preserve">within </w:t>
      </w:r>
      <w:r w:rsidR="00334616">
        <w:t xml:space="preserve">Domain 3: </w:t>
      </w:r>
      <w:r w:rsidR="00C21E94">
        <w:t>Culturally Competent</w:t>
      </w:r>
      <w:r w:rsidR="008D2485" w:rsidRPr="008D2485">
        <w:t xml:space="preserve">. </w:t>
      </w:r>
    </w:p>
    <w:p w14:paraId="496BB667" w14:textId="519C71E9" w:rsidR="008D2485" w:rsidRPr="00283716" w:rsidRDefault="008D2485" w:rsidP="00EB2238">
      <w:pPr>
        <w:pStyle w:val="Heading3"/>
        <w:rPr>
          <w:rStyle w:val="Strong"/>
          <w:b/>
        </w:rPr>
      </w:pPr>
      <w:bookmarkStart w:id="30" w:name="_Toc22632491"/>
      <w:r w:rsidRPr="00283716">
        <w:rPr>
          <w:rStyle w:val="Strong"/>
          <w:b/>
        </w:rPr>
        <w:t xml:space="preserve">Table </w:t>
      </w:r>
      <w:r w:rsidR="00355DAF">
        <w:rPr>
          <w:rStyle w:val="Strong"/>
          <w:b/>
        </w:rPr>
        <w:t>9</w:t>
      </w:r>
      <w:r w:rsidRPr="00283716">
        <w:rPr>
          <w:rStyle w:val="Strong"/>
          <w:b/>
        </w:rPr>
        <w:t>: Culturally Competent - Area Mean Scores &amp; Frequencies</w:t>
      </w:r>
      <w:bookmarkEnd w:id="30"/>
    </w:p>
    <w:tbl>
      <w:tblPr>
        <w:tblStyle w:val="GridTable4-Accent21"/>
        <w:tblW w:w="9450" w:type="dxa"/>
        <w:jc w:val="center"/>
        <w:tblLayout w:type="fixed"/>
        <w:tblLook w:val="04A0" w:firstRow="1" w:lastRow="0" w:firstColumn="1" w:lastColumn="0" w:noHBand="0" w:noVBand="1"/>
      </w:tblPr>
      <w:tblGrid>
        <w:gridCol w:w="2425"/>
        <w:gridCol w:w="720"/>
        <w:gridCol w:w="1445"/>
        <w:gridCol w:w="1170"/>
        <w:gridCol w:w="1255"/>
        <w:gridCol w:w="1080"/>
        <w:gridCol w:w="1355"/>
      </w:tblGrid>
      <w:tr w:rsidR="00DA02D6" w:rsidRPr="00F6519B" w14:paraId="0B4A35CC" w14:textId="77777777" w:rsidTr="00806177">
        <w:trPr>
          <w:cnfStyle w:val="100000000000" w:firstRow="1" w:lastRow="0" w:firstColumn="0" w:lastColumn="0" w:oddVBand="0" w:evenVBand="0" w:oddHBand="0"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425" w:type="dxa"/>
          </w:tcPr>
          <w:p w14:paraId="444167B5" w14:textId="77777777" w:rsidR="00DA02D6" w:rsidRPr="00F6519B" w:rsidRDefault="00DA02D6" w:rsidP="00F527A3">
            <w:pPr>
              <w:rPr>
                <w:b w:val="0"/>
                <w:bCs w:val="0"/>
                <w:color w:val="auto"/>
                <w:sz w:val="20"/>
                <w:szCs w:val="20"/>
              </w:rPr>
            </w:pPr>
            <w:r w:rsidRPr="00F6519B">
              <w:br w:type="page"/>
            </w:r>
            <w:r w:rsidRPr="00F6519B">
              <w:rPr>
                <w:sz w:val="20"/>
                <w:szCs w:val="20"/>
              </w:rPr>
              <w:t xml:space="preserve">Area </w:t>
            </w:r>
          </w:p>
        </w:tc>
        <w:tc>
          <w:tcPr>
            <w:tcW w:w="720" w:type="dxa"/>
          </w:tcPr>
          <w:p w14:paraId="1C345FE0" w14:textId="77777777" w:rsidR="00DA02D6" w:rsidRPr="00F6519B" w:rsidRDefault="00DA02D6" w:rsidP="00F527A3">
            <w:pP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F6519B">
              <w:rPr>
                <w:sz w:val="20"/>
                <w:szCs w:val="20"/>
              </w:rPr>
              <w:t>Mean</w:t>
            </w:r>
          </w:p>
        </w:tc>
        <w:tc>
          <w:tcPr>
            <w:tcW w:w="6305" w:type="dxa"/>
            <w:gridSpan w:val="5"/>
          </w:tcPr>
          <w:p w14:paraId="204ED50A" w14:textId="77777777" w:rsidR="00DA02D6" w:rsidRPr="00F6519B" w:rsidRDefault="00DA02D6" w:rsidP="00F527A3">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F6519B">
              <w:rPr>
                <w:sz w:val="20"/>
                <w:szCs w:val="20"/>
              </w:rPr>
              <w:t>Frequencies (n) %*</w:t>
            </w:r>
          </w:p>
        </w:tc>
      </w:tr>
      <w:tr w:rsidR="00DA02D6" w:rsidRPr="00DF7DDC" w14:paraId="2323437A" w14:textId="77777777" w:rsidTr="00806177">
        <w:trPr>
          <w:cnfStyle w:val="000000100000" w:firstRow="0" w:lastRow="0" w:firstColumn="0" w:lastColumn="0" w:oddVBand="0" w:evenVBand="0" w:oddHBand="1"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3145" w:type="dxa"/>
            <w:gridSpan w:val="2"/>
          </w:tcPr>
          <w:p w14:paraId="38FE968C" w14:textId="77777777" w:rsidR="00DA02D6" w:rsidRPr="00F6519B" w:rsidRDefault="00DA02D6" w:rsidP="00F527A3">
            <w:pPr>
              <w:rPr>
                <w:sz w:val="20"/>
                <w:szCs w:val="20"/>
              </w:rPr>
            </w:pPr>
          </w:p>
          <w:p w14:paraId="19E23E9F" w14:textId="77777777" w:rsidR="00DA02D6" w:rsidRPr="00F6519B" w:rsidRDefault="00DA02D6" w:rsidP="00F527A3">
            <w:pPr>
              <w:widowControl w:val="0"/>
              <w:ind w:right="72"/>
              <w:rPr>
                <w:sz w:val="20"/>
                <w:szCs w:val="20"/>
              </w:rPr>
            </w:pPr>
          </w:p>
        </w:tc>
        <w:tc>
          <w:tcPr>
            <w:tcW w:w="1445" w:type="dxa"/>
          </w:tcPr>
          <w:p w14:paraId="1789115C"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Adverse</w:t>
            </w:r>
          </w:p>
          <w:p w14:paraId="006BC7B9"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Practice</w:t>
            </w:r>
          </w:p>
          <w:p w14:paraId="41D9BAC1"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1</w:t>
            </w:r>
          </w:p>
        </w:tc>
        <w:tc>
          <w:tcPr>
            <w:tcW w:w="1170" w:type="dxa"/>
          </w:tcPr>
          <w:p w14:paraId="58DE60F2"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Poor</w:t>
            </w:r>
          </w:p>
          <w:p w14:paraId="6639F941"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Practice</w:t>
            </w:r>
          </w:p>
          <w:p w14:paraId="591C2E8B"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2</w:t>
            </w:r>
          </w:p>
        </w:tc>
        <w:tc>
          <w:tcPr>
            <w:tcW w:w="1255" w:type="dxa"/>
          </w:tcPr>
          <w:p w14:paraId="293274F9"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Fair</w:t>
            </w:r>
          </w:p>
          <w:p w14:paraId="0FBE2C35"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Practice</w:t>
            </w:r>
          </w:p>
          <w:p w14:paraId="0DB2A621"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3</w:t>
            </w:r>
          </w:p>
        </w:tc>
        <w:tc>
          <w:tcPr>
            <w:tcW w:w="1080" w:type="dxa"/>
          </w:tcPr>
          <w:p w14:paraId="199BEE4C"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Good</w:t>
            </w:r>
          </w:p>
          <w:p w14:paraId="0E1196D4"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Practice</w:t>
            </w:r>
          </w:p>
          <w:p w14:paraId="53D405DA"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4</w:t>
            </w:r>
          </w:p>
        </w:tc>
        <w:tc>
          <w:tcPr>
            <w:tcW w:w="1355" w:type="dxa"/>
          </w:tcPr>
          <w:p w14:paraId="07F156F0"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Exemplary/</w:t>
            </w:r>
          </w:p>
          <w:p w14:paraId="50A0E764"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Best Practice</w:t>
            </w:r>
          </w:p>
          <w:p w14:paraId="47D9B5A1"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5</w:t>
            </w:r>
          </w:p>
        </w:tc>
      </w:tr>
      <w:tr w:rsidR="00DA02D6" w:rsidRPr="0025795F" w14:paraId="12916B20" w14:textId="77777777" w:rsidTr="00806177">
        <w:trPr>
          <w:trHeight w:val="1312"/>
          <w:jc w:val="center"/>
        </w:trPr>
        <w:tc>
          <w:tcPr>
            <w:cnfStyle w:val="001000000000" w:firstRow="0" w:lastRow="0" w:firstColumn="1" w:lastColumn="0" w:oddVBand="0" w:evenVBand="0" w:oddHBand="0" w:evenHBand="0" w:firstRowFirstColumn="0" w:firstRowLastColumn="0" w:lastRowFirstColumn="0" w:lastRowLastColumn="0"/>
            <w:tcW w:w="2425" w:type="dxa"/>
          </w:tcPr>
          <w:p w14:paraId="1AE05A37" w14:textId="77777777" w:rsidR="00DA02D6" w:rsidRPr="00F6519B" w:rsidRDefault="00DA02D6" w:rsidP="0009146E">
            <w:pPr>
              <w:rPr>
                <w:sz w:val="20"/>
                <w:szCs w:val="20"/>
              </w:rPr>
            </w:pPr>
            <w:r w:rsidRPr="00F6519B">
              <w:rPr>
                <w:sz w:val="20"/>
                <w:szCs w:val="20"/>
              </w:rPr>
              <w:t>Cultural Awareness</w:t>
            </w:r>
          </w:p>
          <w:p w14:paraId="2BF1C0FB" w14:textId="77777777" w:rsidR="00DA02D6" w:rsidRPr="00F6519B" w:rsidRDefault="00DA02D6" w:rsidP="0009146E">
            <w:pPr>
              <w:rPr>
                <w:sz w:val="16"/>
                <w:szCs w:val="16"/>
              </w:rPr>
            </w:pPr>
          </w:p>
          <w:p w14:paraId="74851E38" w14:textId="77777777" w:rsidR="00DA02D6" w:rsidRPr="00F6519B" w:rsidRDefault="00DA02D6" w:rsidP="0009146E">
            <w:pPr>
              <w:rPr>
                <w:sz w:val="20"/>
                <w:szCs w:val="20"/>
              </w:rPr>
            </w:pPr>
            <w:r w:rsidRPr="00F6519B">
              <w:rPr>
                <w:sz w:val="20"/>
                <w:szCs w:val="20"/>
              </w:rPr>
              <w:t>-ICC</w:t>
            </w:r>
          </w:p>
          <w:p w14:paraId="31E53DA9" w14:textId="77777777" w:rsidR="00DA02D6" w:rsidRPr="00F6519B" w:rsidRDefault="00DA02D6" w:rsidP="0009146E">
            <w:pPr>
              <w:rPr>
                <w:sz w:val="16"/>
                <w:szCs w:val="16"/>
              </w:rPr>
            </w:pPr>
          </w:p>
          <w:p w14:paraId="427B44DA" w14:textId="77777777" w:rsidR="00DA02D6" w:rsidRPr="00F6519B" w:rsidRDefault="00DA02D6" w:rsidP="0009146E">
            <w:pPr>
              <w:rPr>
                <w:color w:val="0070C0"/>
                <w:sz w:val="20"/>
                <w:szCs w:val="20"/>
              </w:rPr>
            </w:pPr>
            <w:r w:rsidRPr="00F6519B">
              <w:rPr>
                <w:sz w:val="20"/>
                <w:szCs w:val="20"/>
              </w:rPr>
              <w:t>-IHT</w:t>
            </w:r>
          </w:p>
        </w:tc>
        <w:tc>
          <w:tcPr>
            <w:tcW w:w="720" w:type="dxa"/>
          </w:tcPr>
          <w:p w14:paraId="1ECA1BE7" w14:textId="60C3A43A" w:rsidR="00DA02D6" w:rsidRPr="00D80D43" w:rsidRDefault="00D80D43" w:rsidP="0009146E">
            <w:pPr>
              <w:cnfStyle w:val="000000000000" w:firstRow="0" w:lastRow="0" w:firstColumn="0" w:lastColumn="0" w:oddVBand="0" w:evenVBand="0" w:oddHBand="0" w:evenHBand="0" w:firstRowFirstColumn="0" w:firstRowLastColumn="0" w:lastRowFirstColumn="0" w:lastRowLastColumn="0"/>
              <w:rPr>
                <w:b/>
                <w:sz w:val="20"/>
                <w:szCs w:val="20"/>
              </w:rPr>
            </w:pPr>
            <w:r w:rsidRPr="00D80D43">
              <w:rPr>
                <w:b/>
                <w:sz w:val="20"/>
                <w:szCs w:val="20"/>
              </w:rPr>
              <w:t>3.5</w:t>
            </w:r>
          </w:p>
          <w:p w14:paraId="3990B359" w14:textId="77777777" w:rsidR="00C95149" w:rsidRPr="00C95149" w:rsidRDefault="00C95149" w:rsidP="0009146E">
            <w:pPr>
              <w:cnfStyle w:val="000000000000" w:firstRow="0" w:lastRow="0" w:firstColumn="0" w:lastColumn="0" w:oddVBand="0" w:evenVBand="0" w:oddHBand="0" w:evenHBand="0" w:firstRowFirstColumn="0" w:firstRowLastColumn="0" w:lastRowFirstColumn="0" w:lastRowLastColumn="0"/>
              <w:rPr>
                <w:sz w:val="20"/>
                <w:szCs w:val="20"/>
              </w:rPr>
            </w:pPr>
          </w:p>
          <w:p w14:paraId="499806CA" w14:textId="20105E87" w:rsidR="00C95149" w:rsidRPr="00C95149" w:rsidRDefault="00C95149" w:rsidP="0009146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w:t>
            </w:r>
          </w:p>
          <w:p w14:paraId="76B86E6E" w14:textId="77777777" w:rsidR="00C95149" w:rsidRPr="00C95149" w:rsidRDefault="00C95149" w:rsidP="0009146E">
            <w:pPr>
              <w:cnfStyle w:val="000000000000" w:firstRow="0" w:lastRow="0" w:firstColumn="0" w:lastColumn="0" w:oddVBand="0" w:evenVBand="0" w:oddHBand="0" w:evenHBand="0" w:firstRowFirstColumn="0" w:firstRowLastColumn="0" w:lastRowFirstColumn="0" w:lastRowLastColumn="0"/>
              <w:rPr>
                <w:sz w:val="20"/>
                <w:szCs w:val="20"/>
              </w:rPr>
            </w:pPr>
          </w:p>
          <w:p w14:paraId="38FA3842" w14:textId="7B70F286" w:rsidR="00C95149" w:rsidRPr="00C95149" w:rsidRDefault="00C95149" w:rsidP="0009146E">
            <w:pPr>
              <w:cnfStyle w:val="000000000000" w:firstRow="0" w:lastRow="0" w:firstColumn="0" w:lastColumn="0" w:oddVBand="0" w:evenVBand="0" w:oddHBand="0" w:evenHBand="0" w:firstRowFirstColumn="0" w:firstRowLastColumn="0" w:lastRowFirstColumn="0" w:lastRowLastColumn="0"/>
              <w:rPr>
                <w:sz w:val="20"/>
                <w:szCs w:val="20"/>
              </w:rPr>
            </w:pPr>
            <w:r w:rsidRPr="00C95149">
              <w:rPr>
                <w:sz w:val="20"/>
                <w:szCs w:val="20"/>
              </w:rPr>
              <w:t>3.5</w:t>
            </w:r>
          </w:p>
        </w:tc>
        <w:tc>
          <w:tcPr>
            <w:tcW w:w="1445" w:type="dxa"/>
          </w:tcPr>
          <w:p w14:paraId="1BE190A1" w14:textId="77777777" w:rsidR="00B339D3" w:rsidRDefault="00FB7F0C"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p w14:paraId="34AA6EC4" w14:textId="77777777" w:rsidR="00FB7F0C" w:rsidRDefault="00FB7F0C"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E92DC6B" w14:textId="77777777" w:rsidR="00FB7F0C" w:rsidRDefault="00FB7F0C"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p w14:paraId="7F40190C" w14:textId="77777777" w:rsidR="00FB7F0C" w:rsidRDefault="00FB7F0C"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52BF42C" w14:textId="53254D28" w:rsidR="00FB7F0C" w:rsidRPr="00DF7DDC" w:rsidRDefault="00FB7F0C"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0" w:type="dxa"/>
          </w:tcPr>
          <w:p w14:paraId="1FC6DB20" w14:textId="77777777" w:rsidR="00B339D3" w:rsidRPr="00D20162" w:rsidRDefault="00D20162" w:rsidP="00A50564">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20162">
              <w:rPr>
                <w:b/>
                <w:sz w:val="20"/>
                <w:szCs w:val="20"/>
              </w:rPr>
              <w:t>(15) 12%</w:t>
            </w:r>
          </w:p>
          <w:p w14:paraId="10574790" w14:textId="77777777" w:rsidR="00D20162" w:rsidRDefault="00D20162" w:rsidP="00A5056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9148189" w14:textId="77777777" w:rsidR="00D20162" w:rsidRDefault="00D20162" w:rsidP="00A5056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 15%</w:t>
            </w:r>
          </w:p>
          <w:p w14:paraId="31FE471B" w14:textId="77777777" w:rsidR="00D20162" w:rsidRDefault="00D20162" w:rsidP="00A5056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BB47E5C" w14:textId="2304286E" w:rsidR="00D20162" w:rsidRPr="00DF7DDC" w:rsidRDefault="00D20162" w:rsidP="00A5056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 10%</w:t>
            </w:r>
          </w:p>
        </w:tc>
        <w:tc>
          <w:tcPr>
            <w:tcW w:w="1255" w:type="dxa"/>
          </w:tcPr>
          <w:p w14:paraId="16343214" w14:textId="640F926A" w:rsidR="00DA02D6" w:rsidRPr="00B024A1" w:rsidRDefault="00B024A1"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B024A1">
              <w:rPr>
                <w:b/>
                <w:sz w:val="20"/>
                <w:szCs w:val="20"/>
              </w:rPr>
              <w:t>(44) 36%</w:t>
            </w:r>
          </w:p>
          <w:p w14:paraId="5A9C497C" w14:textId="77777777" w:rsidR="00B339D3" w:rsidRDefault="00B339D3"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53735C9" w14:textId="77777777" w:rsidR="00B024A1" w:rsidRDefault="00B024A1"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 33%</w:t>
            </w:r>
          </w:p>
          <w:p w14:paraId="52E67A65" w14:textId="77777777" w:rsidR="00B024A1" w:rsidRDefault="00B024A1"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5643B61" w14:textId="1ED8CD4B" w:rsidR="00B024A1" w:rsidRPr="00DF7DDC" w:rsidRDefault="00B024A1"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 39%</w:t>
            </w:r>
          </w:p>
        </w:tc>
        <w:tc>
          <w:tcPr>
            <w:tcW w:w="1080" w:type="dxa"/>
          </w:tcPr>
          <w:p w14:paraId="0E8128F4" w14:textId="52F1A94E" w:rsidR="00DA02D6" w:rsidRPr="00F01F06" w:rsidRDefault="00F01F0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F01F06">
              <w:rPr>
                <w:b/>
                <w:sz w:val="20"/>
                <w:szCs w:val="20"/>
              </w:rPr>
              <w:t>(55) 45%</w:t>
            </w:r>
          </w:p>
          <w:p w14:paraId="1BF8FDCA" w14:textId="65DC94C8" w:rsidR="00F01F06" w:rsidRDefault="00F01F0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A44BA62" w14:textId="2426B194" w:rsidR="00F01F06" w:rsidRDefault="00F01F0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 49%</w:t>
            </w:r>
          </w:p>
          <w:p w14:paraId="7B7739A1" w14:textId="65F2CBE3" w:rsidR="00F01F06" w:rsidRDefault="00F01F0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A322852" w14:textId="2E0F7C32" w:rsidR="00B339D3" w:rsidRPr="00DF7DDC" w:rsidRDefault="00F01F0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 40%</w:t>
            </w:r>
          </w:p>
        </w:tc>
        <w:tc>
          <w:tcPr>
            <w:tcW w:w="1355" w:type="dxa"/>
          </w:tcPr>
          <w:p w14:paraId="31D3D65D" w14:textId="49C16552" w:rsidR="00DA02D6" w:rsidRPr="00421378" w:rsidRDefault="00530CA3"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421378">
              <w:rPr>
                <w:b/>
                <w:sz w:val="20"/>
                <w:szCs w:val="20"/>
              </w:rPr>
              <w:t>(9) 7%</w:t>
            </w:r>
          </w:p>
          <w:p w14:paraId="1B58E3C4" w14:textId="377933B4" w:rsidR="00530CA3" w:rsidRDefault="00530CA3"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FC16385" w14:textId="4850DA42" w:rsidR="00530CA3" w:rsidRDefault="00530CA3"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 3%</w:t>
            </w:r>
          </w:p>
          <w:p w14:paraId="60D1DE6E" w14:textId="2E5AC877" w:rsidR="00530CA3" w:rsidRDefault="00530CA3"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EBB8703" w14:textId="6CD45EA9" w:rsidR="00B339D3" w:rsidRPr="00DF7DDC" w:rsidRDefault="00530CA3" w:rsidP="00530CA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 11%</w:t>
            </w:r>
          </w:p>
        </w:tc>
      </w:tr>
      <w:tr w:rsidR="00DA02D6" w:rsidRPr="0025795F" w14:paraId="05ABE36B" w14:textId="77777777" w:rsidTr="00806177">
        <w:trPr>
          <w:cnfStyle w:val="000000100000" w:firstRow="0" w:lastRow="0" w:firstColumn="0" w:lastColumn="0" w:oddVBand="0" w:evenVBand="0" w:oddHBand="1" w:evenHBand="0" w:firstRowFirstColumn="0" w:firstRowLastColumn="0" w:lastRowFirstColumn="0" w:lastRowLastColumn="0"/>
          <w:trHeight w:val="1249"/>
          <w:jc w:val="center"/>
        </w:trPr>
        <w:tc>
          <w:tcPr>
            <w:cnfStyle w:val="001000000000" w:firstRow="0" w:lastRow="0" w:firstColumn="1" w:lastColumn="0" w:oddVBand="0" w:evenVBand="0" w:oddHBand="0" w:evenHBand="0" w:firstRowFirstColumn="0" w:firstRowLastColumn="0" w:lastRowFirstColumn="0" w:lastRowLastColumn="0"/>
            <w:tcW w:w="2425" w:type="dxa"/>
          </w:tcPr>
          <w:p w14:paraId="6FC75A6D" w14:textId="77777777" w:rsidR="00DA02D6" w:rsidRPr="00F6519B" w:rsidRDefault="00DA02D6" w:rsidP="000149D0">
            <w:pPr>
              <w:jc w:val="left"/>
              <w:rPr>
                <w:sz w:val="20"/>
                <w:szCs w:val="20"/>
              </w:rPr>
            </w:pPr>
            <w:r w:rsidRPr="00F6519B">
              <w:rPr>
                <w:sz w:val="20"/>
                <w:szCs w:val="20"/>
              </w:rPr>
              <w:t>Cultural Sensitivity &amp; Responsiveness</w:t>
            </w:r>
          </w:p>
          <w:p w14:paraId="4DE50374" w14:textId="77777777" w:rsidR="00DA02D6" w:rsidRPr="00F6519B" w:rsidRDefault="00DA02D6" w:rsidP="0009146E">
            <w:pPr>
              <w:rPr>
                <w:sz w:val="16"/>
                <w:szCs w:val="16"/>
              </w:rPr>
            </w:pPr>
            <w:r w:rsidRPr="00F6519B">
              <w:rPr>
                <w:sz w:val="20"/>
                <w:szCs w:val="20"/>
              </w:rPr>
              <w:t>-ICC</w:t>
            </w:r>
            <w:r w:rsidRPr="00F6519B">
              <w:rPr>
                <w:sz w:val="20"/>
                <w:szCs w:val="20"/>
              </w:rPr>
              <w:br/>
            </w:r>
          </w:p>
          <w:p w14:paraId="65C25CB8" w14:textId="77777777" w:rsidR="00DA02D6" w:rsidRPr="00F6519B" w:rsidRDefault="00DA02D6" w:rsidP="0009146E">
            <w:pPr>
              <w:rPr>
                <w:sz w:val="20"/>
                <w:szCs w:val="20"/>
              </w:rPr>
            </w:pPr>
            <w:r>
              <w:rPr>
                <w:sz w:val="20"/>
                <w:szCs w:val="20"/>
              </w:rPr>
              <w:t>-IHT</w:t>
            </w:r>
          </w:p>
        </w:tc>
        <w:tc>
          <w:tcPr>
            <w:tcW w:w="720" w:type="dxa"/>
          </w:tcPr>
          <w:p w14:paraId="5E4F483E" w14:textId="1918DA68" w:rsidR="00DA02D6" w:rsidRPr="00D80D43" w:rsidRDefault="00D80D43" w:rsidP="0009146E">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3.2</w:t>
            </w:r>
          </w:p>
          <w:p w14:paraId="6CD795FA" w14:textId="77777777" w:rsidR="00C95149" w:rsidRPr="00C95149" w:rsidRDefault="00C95149" w:rsidP="0009146E">
            <w:pPr>
              <w:cnfStyle w:val="000000100000" w:firstRow="0" w:lastRow="0" w:firstColumn="0" w:lastColumn="0" w:oddVBand="0" w:evenVBand="0" w:oddHBand="1" w:evenHBand="0" w:firstRowFirstColumn="0" w:firstRowLastColumn="0" w:lastRowFirstColumn="0" w:lastRowLastColumn="0"/>
              <w:rPr>
                <w:sz w:val="20"/>
                <w:szCs w:val="20"/>
              </w:rPr>
            </w:pPr>
          </w:p>
          <w:p w14:paraId="5A6F554B" w14:textId="56F6F781" w:rsidR="00C95149" w:rsidRPr="00C95149" w:rsidRDefault="00C95149" w:rsidP="0009146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3.1</w:t>
            </w:r>
          </w:p>
          <w:p w14:paraId="7B573F7D" w14:textId="77777777" w:rsidR="00C95149" w:rsidRPr="00C95149" w:rsidRDefault="00C95149" w:rsidP="0009146E">
            <w:pPr>
              <w:cnfStyle w:val="000000100000" w:firstRow="0" w:lastRow="0" w:firstColumn="0" w:lastColumn="0" w:oddVBand="0" w:evenVBand="0" w:oddHBand="1" w:evenHBand="0" w:firstRowFirstColumn="0" w:firstRowLastColumn="0" w:lastRowFirstColumn="0" w:lastRowLastColumn="0"/>
              <w:rPr>
                <w:sz w:val="20"/>
                <w:szCs w:val="20"/>
              </w:rPr>
            </w:pPr>
          </w:p>
          <w:p w14:paraId="1B01962F" w14:textId="448F61A2" w:rsidR="00C95149" w:rsidRPr="00C95149" w:rsidRDefault="00C95149" w:rsidP="0009146E">
            <w:pPr>
              <w:cnfStyle w:val="000000100000" w:firstRow="0" w:lastRow="0" w:firstColumn="0" w:lastColumn="0" w:oddVBand="0" w:evenVBand="0" w:oddHBand="1" w:evenHBand="0" w:firstRowFirstColumn="0" w:firstRowLastColumn="0" w:lastRowFirstColumn="0" w:lastRowLastColumn="0"/>
              <w:rPr>
                <w:sz w:val="20"/>
                <w:szCs w:val="20"/>
              </w:rPr>
            </w:pPr>
            <w:r w:rsidRPr="00C95149">
              <w:rPr>
                <w:sz w:val="20"/>
                <w:szCs w:val="20"/>
              </w:rPr>
              <w:t>3.3</w:t>
            </w:r>
          </w:p>
        </w:tc>
        <w:tc>
          <w:tcPr>
            <w:tcW w:w="1445" w:type="dxa"/>
          </w:tcPr>
          <w:p w14:paraId="1D532135" w14:textId="27206EFD" w:rsidR="00DA02D6" w:rsidRPr="00D0281D" w:rsidRDefault="00D0281D"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0281D">
              <w:rPr>
                <w:b/>
                <w:sz w:val="20"/>
                <w:szCs w:val="20"/>
              </w:rPr>
              <w:t>-</w:t>
            </w:r>
          </w:p>
          <w:p w14:paraId="7BB93E93" w14:textId="77777777" w:rsidR="00B339D3" w:rsidRDefault="00B339D3"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2837460" w14:textId="77777777" w:rsidR="00B339D3" w:rsidRDefault="00FB7F0C"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p w14:paraId="5CABD77E" w14:textId="77777777" w:rsidR="00FB7F0C" w:rsidRDefault="00FB7F0C"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E4EF3B2" w14:textId="25D7F3FF" w:rsidR="00FB7F0C" w:rsidRPr="00DF7DDC" w:rsidRDefault="00FB7F0C"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1170" w:type="dxa"/>
          </w:tcPr>
          <w:p w14:paraId="6C14102A" w14:textId="586F1294" w:rsidR="00DA02D6" w:rsidRPr="00D0281D" w:rsidRDefault="00D0281D" w:rsidP="00A50564">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0281D">
              <w:rPr>
                <w:b/>
                <w:sz w:val="20"/>
                <w:szCs w:val="20"/>
              </w:rPr>
              <w:t>(30)</w:t>
            </w:r>
            <w:r w:rsidR="00FB7F0C">
              <w:rPr>
                <w:b/>
                <w:sz w:val="20"/>
                <w:szCs w:val="20"/>
              </w:rPr>
              <w:t xml:space="preserve"> </w:t>
            </w:r>
            <w:r w:rsidR="00FB7F0C" w:rsidRPr="00D0281D">
              <w:rPr>
                <w:b/>
                <w:sz w:val="20"/>
                <w:szCs w:val="20"/>
              </w:rPr>
              <w:t>24%</w:t>
            </w:r>
          </w:p>
          <w:p w14:paraId="2DCDBFE6" w14:textId="77777777" w:rsidR="00B339D3" w:rsidRDefault="00B339D3" w:rsidP="00A5056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9DF0124" w14:textId="77777777" w:rsidR="00D20162" w:rsidRDefault="00D20162" w:rsidP="00A5056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(17) 28%</w:t>
            </w:r>
          </w:p>
          <w:p w14:paraId="5877A5D3" w14:textId="77777777" w:rsidR="00D20162" w:rsidRDefault="00D20162" w:rsidP="00A5056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4877FE7" w14:textId="50ED1FA4" w:rsidR="00D20162" w:rsidRPr="00DF7DDC" w:rsidRDefault="00D20162" w:rsidP="00A5056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 21%</w:t>
            </w:r>
          </w:p>
        </w:tc>
        <w:tc>
          <w:tcPr>
            <w:tcW w:w="1255" w:type="dxa"/>
          </w:tcPr>
          <w:p w14:paraId="31F04939" w14:textId="383FCBD7" w:rsidR="00DA02D6" w:rsidRPr="00D0281D" w:rsidRDefault="00D0281D"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0281D">
              <w:rPr>
                <w:b/>
                <w:sz w:val="20"/>
                <w:szCs w:val="20"/>
              </w:rPr>
              <w:t xml:space="preserve"> (45)</w:t>
            </w:r>
            <w:r w:rsidR="00FB7F0C">
              <w:rPr>
                <w:b/>
                <w:sz w:val="20"/>
                <w:szCs w:val="20"/>
              </w:rPr>
              <w:t xml:space="preserve"> </w:t>
            </w:r>
            <w:r w:rsidR="00FB7F0C" w:rsidRPr="00D0281D">
              <w:rPr>
                <w:b/>
                <w:sz w:val="20"/>
                <w:szCs w:val="20"/>
              </w:rPr>
              <w:t>37%</w:t>
            </w:r>
          </w:p>
          <w:p w14:paraId="53F5253D" w14:textId="7C4D49AF" w:rsidR="00B339D3" w:rsidRDefault="00B339D3"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C10C140" w14:textId="5FF1C669" w:rsidR="00B024A1" w:rsidRDefault="00B024A1"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(23) 38%</w:t>
            </w:r>
          </w:p>
          <w:p w14:paraId="595596CA" w14:textId="6A31DB93" w:rsidR="00B024A1" w:rsidRDefault="00B024A1"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30F33A4" w14:textId="584AACC4" w:rsidR="00B339D3" w:rsidRPr="00DF7DDC" w:rsidRDefault="00B024A1" w:rsidP="00B024A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 35%</w:t>
            </w:r>
          </w:p>
        </w:tc>
        <w:tc>
          <w:tcPr>
            <w:tcW w:w="1080" w:type="dxa"/>
          </w:tcPr>
          <w:p w14:paraId="1B1C99B6" w14:textId="087822CC" w:rsidR="00DA02D6" w:rsidRPr="00D0281D" w:rsidRDefault="00D0281D"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0281D">
              <w:rPr>
                <w:b/>
                <w:sz w:val="20"/>
                <w:szCs w:val="20"/>
              </w:rPr>
              <w:t>(41)</w:t>
            </w:r>
            <w:r w:rsidR="00FB7F0C">
              <w:rPr>
                <w:b/>
                <w:sz w:val="20"/>
                <w:szCs w:val="20"/>
              </w:rPr>
              <w:t xml:space="preserve"> </w:t>
            </w:r>
            <w:r w:rsidR="00FB7F0C" w:rsidRPr="00D0281D">
              <w:rPr>
                <w:b/>
                <w:sz w:val="20"/>
                <w:szCs w:val="20"/>
              </w:rPr>
              <w:t>33%</w:t>
            </w:r>
          </w:p>
          <w:p w14:paraId="4B3EAC1F" w14:textId="77777777" w:rsidR="00B339D3" w:rsidRDefault="00B339D3"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4269937" w14:textId="77777777" w:rsidR="00B339D3" w:rsidRDefault="00F01F0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(17) 28%</w:t>
            </w:r>
          </w:p>
          <w:p w14:paraId="7C998504" w14:textId="77777777" w:rsidR="00F01F06" w:rsidRDefault="00F01F0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82EDF13" w14:textId="022D1ACA" w:rsidR="00F01F06" w:rsidRPr="00DF7DDC" w:rsidRDefault="00F01F0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(24) 39%</w:t>
            </w:r>
          </w:p>
        </w:tc>
        <w:tc>
          <w:tcPr>
            <w:tcW w:w="1355" w:type="dxa"/>
          </w:tcPr>
          <w:p w14:paraId="6C33D28A" w14:textId="04BB9DC3" w:rsidR="00DA02D6" w:rsidRPr="00D0281D" w:rsidRDefault="00D0281D"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0281D">
              <w:rPr>
                <w:b/>
                <w:sz w:val="20"/>
                <w:szCs w:val="20"/>
              </w:rPr>
              <w:t>(7)</w:t>
            </w:r>
            <w:r w:rsidR="00FB7F0C">
              <w:rPr>
                <w:b/>
                <w:sz w:val="20"/>
                <w:szCs w:val="20"/>
              </w:rPr>
              <w:t xml:space="preserve"> </w:t>
            </w:r>
            <w:r w:rsidR="00FB7F0C" w:rsidRPr="00D0281D">
              <w:rPr>
                <w:b/>
                <w:sz w:val="20"/>
                <w:szCs w:val="20"/>
              </w:rPr>
              <w:t>6%</w:t>
            </w:r>
          </w:p>
          <w:p w14:paraId="28A76A4C" w14:textId="77777777" w:rsidR="00B339D3" w:rsidRDefault="00B339D3"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DB03B81" w14:textId="77777777" w:rsidR="00B339D3" w:rsidRDefault="00421378"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 7%</w:t>
            </w:r>
          </w:p>
          <w:p w14:paraId="1FAF01F3" w14:textId="77777777" w:rsidR="00421378" w:rsidRDefault="00421378"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F1E463A" w14:textId="7C324149" w:rsidR="00421378" w:rsidRPr="00DF7DDC" w:rsidRDefault="00421378"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5%</w:t>
            </w:r>
          </w:p>
        </w:tc>
      </w:tr>
    </w:tbl>
    <w:p w14:paraId="2E40330C" w14:textId="77777777" w:rsidR="00730C61" w:rsidRDefault="00730C61" w:rsidP="00730C61">
      <w:pPr>
        <w:rPr>
          <w:sz w:val="18"/>
          <w:szCs w:val="18"/>
        </w:rPr>
      </w:pPr>
      <w:r w:rsidRPr="001101B4">
        <w:rPr>
          <w:sz w:val="18"/>
          <w:szCs w:val="18"/>
        </w:rPr>
        <w:t>*Due to</w:t>
      </w:r>
      <w:r w:rsidR="00812771">
        <w:rPr>
          <w:sz w:val="18"/>
          <w:szCs w:val="18"/>
        </w:rPr>
        <w:t xml:space="preserve"> rounding of percentages, some a</w:t>
      </w:r>
      <w:r w:rsidRPr="001101B4">
        <w:rPr>
          <w:sz w:val="18"/>
          <w:szCs w:val="18"/>
        </w:rPr>
        <w:t>rea totals may not equal 100%.</w:t>
      </w:r>
    </w:p>
    <w:p w14:paraId="5F72EB30" w14:textId="77777777" w:rsidR="008D2485" w:rsidRPr="00341572" w:rsidRDefault="008D2485" w:rsidP="00A96A74">
      <w:pPr>
        <w:pStyle w:val="Heading2"/>
        <w:spacing w:before="240"/>
      </w:pPr>
      <w:bookmarkStart w:id="31" w:name="_Toc491863267"/>
      <w:bookmarkStart w:id="32" w:name="_Toc22632492"/>
      <w:r w:rsidRPr="00341572">
        <w:t xml:space="preserve">Youth &amp; </w:t>
      </w:r>
      <w:r w:rsidRPr="00A216E6">
        <w:t>Family</w:t>
      </w:r>
      <w:r w:rsidRPr="00341572">
        <w:t xml:space="preserve"> Progress Domain Results</w:t>
      </w:r>
      <w:bookmarkEnd w:id="31"/>
      <w:bookmarkEnd w:id="32"/>
      <w:r w:rsidRPr="00341572">
        <w:t xml:space="preserve"> </w:t>
      </w:r>
    </w:p>
    <w:p w14:paraId="56B5839A" w14:textId="70F785B7" w:rsidR="008D2485" w:rsidRPr="008D2485" w:rsidRDefault="0049433A" w:rsidP="008D2485">
      <w:pPr>
        <w:spacing w:before="120"/>
      </w:pPr>
      <w:r>
        <w:rPr>
          <w:b/>
          <w:color w:val="716767" w:themeColor="accent6" w:themeShade="BF"/>
        </w:rPr>
        <w:t>Table 1</w:t>
      </w:r>
      <w:r w:rsidR="00355DAF">
        <w:rPr>
          <w:b/>
          <w:color w:val="716767" w:themeColor="accent6" w:themeShade="BF"/>
        </w:rPr>
        <w:t>0</w:t>
      </w:r>
      <w:r w:rsidR="008D2485" w:rsidRPr="00341572">
        <w:rPr>
          <w:color w:val="716767" w:themeColor="accent6" w:themeShade="BF"/>
        </w:rPr>
        <w:t xml:space="preserve"> </w:t>
      </w:r>
      <w:r w:rsidR="00334616" w:rsidRPr="00F77385">
        <w:t xml:space="preserve">summarizes </w:t>
      </w:r>
      <w:r w:rsidR="00334616">
        <w:t xml:space="preserve">the Areas of Progress </w:t>
      </w:r>
      <w:r w:rsidR="00334616" w:rsidRPr="00F77385">
        <w:t>Domain me</w:t>
      </w:r>
      <w:r w:rsidR="00334616">
        <w:t>an scores.</w:t>
      </w:r>
    </w:p>
    <w:p w14:paraId="0C868BC2" w14:textId="6722DECC" w:rsidR="008D2485" w:rsidRPr="00283716" w:rsidRDefault="008D2485" w:rsidP="00EB2238">
      <w:pPr>
        <w:pStyle w:val="Heading3"/>
        <w:rPr>
          <w:rStyle w:val="Strong"/>
          <w:b/>
        </w:rPr>
      </w:pPr>
      <w:bookmarkStart w:id="33" w:name="_Toc22632493"/>
      <w:r w:rsidRPr="00283716">
        <w:rPr>
          <w:rStyle w:val="Strong"/>
          <w:b/>
        </w:rPr>
        <w:t>Table 1</w:t>
      </w:r>
      <w:r w:rsidR="00355DAF">
        <w:rPr>
          <w:rStyle w:val="Strong"/>
          <w:b/>
        </w:rPr>
        <w:t>0</w:t>
      </w:r>
      <w:r w:rsidRPr="00283716">
        <w:rPr>
          <w:rStyle w:val="Strong"/>
          <w:b/>
        </w:rPr>
        <w:t>: Youth &amp; Family Progress Domain Mean Scores</w:t>
      </w:r>
      <w:bookmarkEnd w:id="33"/>
    </w:p>
    <w:tbl>
      <w:tblPr>
        <w:tblStyle w:val="GridTable4-Accent21"/>
        <w:tblW w:w="0" w:type="auto"/>
        <w:jc w:val="center"/>
        <w:tblLook w:val="04A0" w:firstRow="1" w:lastRow="0" w:firstColumn="1" w:lastColumn="0" w:noHBand="0" w:noVBand="1"/>
      </w:tblPr>
      <w:tblGrid>
        <w:gridCol w:w="3697"/>
        <w:gridCol w:w="627"/>
        <w:gridCol w:w="669"/>
        <w:gridCol w:w="770"/>
        <w:gridCol w:w="1877"/>
      </w:tblGrid>
      <w:tr w:rsidR="003C599A" w:rsidRPr="00C7585A" w14:paraId="0FD01E3E" w14:textId="77777777" w:rsidTr="00EB2238">
        <w:trPr>
          <w:cnfStyle w:val="100000000000" w:firstRow="1" w:lastRow="0"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3697" w:type="dxa"/>
          </w:tcPr>
          <w:p w14:paraId="20AC38AB" w14:textId="77777777" w:rsidR="003C599A" w:rsidRPr="00C7585A" w:rsidRDefault="003C599A" w:rsidP="00A83698">
            <w:pPr>
              <w:rPr>
                <w:b w:val="0"/>
                <w:bCs w:val="0"/>
                <w:color w:val="auto"/>
                <w:sz w:val="20"/>
                <w:szCs w:val="20"/>
              </w:rPr>
            </w:pPr>
            <w:r w:rsidRPr="00C7585A">
              <w:rPr>
                <w:sz w:val="20"/>
                <w:szCs w:val="20"/>
              </w:rPr>
              <w:t>Domain</w:t>
            </w:r>
          </w:p>
        </w:tc>
        <w:tc>
          <w:tcPr>
            <w:tcW w:w="627" w:type="dxa"/>
          </w:tcPr>
          <w:p w14:paraId="0A06AB87" w14:textId="77777777" w:rsidR="003C599A" w:rsidRPr="00C7585A" w:rsidRDefault="003C599A" w:rsidP="00A83698">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C7585A">
              <w:rPr>
                <w:sz w:val="20"/>
                <w:szCs w:val="20"/>
              </w:rPr>
              <w:t>Min</w:t>
            </w:r>
          </w:p>
        </w:tc>
        <w:tc>
          <w:tcPr>
            <w:tcW w:w="669" w:type="dxa"/>
          </w:tcPr>
          <w:p w14:paraId="3CEEFE62" w14:textId="77777777" w:rsidR="003C599A" w:rsidRPr="00C7585A" w:rsidRDefault="003C599A" w:rsidP="00A83698">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C7585A">
              <w:rPr>
                <w:sz w:val="20"/>
                <w:szCs w:val="20"/>
              </w:rPr>
              <w:t>Max</w:t>
            </w:r>
          </w:p>
        </w:tc>
        <w:tc>
          <w:tcPr>
            <w:tcW w:w="770" w:type="dxa"/>
          </w:tcPr>
          <w:p w14:paraId="37A1D31D" w14:textId="77777777" w:rsidR="003C599A" w:rsidRPr="00C7585A" w:rsidRDefault="003C599A" w:rsidP="00A83698">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C7585A">
              <w:rPr>
                <w:sz w:val="20"/>
                <w:szCs w:val="20"/>
              </w:rPr>
              <w:t>Mean</w:t>
            </w:r>
          </w:p>
        </w:tc>
        <w:tc>
          <w:tcPr>
            <w:tcW w:w="1877" w:type="dxa"/>
          </w:tcPr>
          <w:p w14:paraId="562CCD62" w14:textId="77777777" w:rsidR="003C599A" w:rsidRPr="00C7585A" w:rsidRDefault="003C599A" w:rsidP="00A83698">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C7585A">
              <w:rPr>
                <w:sz w:val="20"/>
                <w:szCs w:val="20"/>
              </w:rPr>
              <w:t>Standard Deviation</w:t>
            </w:r>
          </w:p>
        </w:tc>
      </w:tr>
      <w:tr w:rsidR="003C599A" w:rsidRPr="00C7585A" w14:paraId="25CD3D3C" w14:textId="77777777" w:rsidTr="00EB2238">
        <w:trPr>
          <w:cnfStyle w:val="000000100000" w:firstRow="0" w:lastRow="0" w:firstColumn="0" w:lastColumn="0" w:oddVBand="0" w:evenVBand="0" w:oddHBand="1" w:evenHBand="0" w:firstRowFirstColumn="0" w:firstRowLastColumn="0" w:lastRowFirstColumn="0" w:lastRowLastColumn="0"/>
          <w:trHeight w:val="718"/>
          <w:jc w:val="center"/>
        </w:trPr>
        <w:tc>
          <w:tcPr>
            <w:cnfStyle w:val="001000000000" w:firstRow="0" w:lastRow="0" w:firstColumn="1" w:lastColumn="0" w:oddVBand="0" w:evenVBand="0" w:oddHBand="0" w:evenHBand="0" w:firstRowFirstColumn="0" w:firstRowLastColumn="0" w:lastRowFirstColumn="0" w:lastRowLastColumn="0"/>
            <w:tcW w:w="3697" w:type="dxa"/>
          </w:tcPr>
          <w:p w14:paraId="3E24EABE" w14:textId="77777777" w:rsidR="003C599A" w:rsidRPr="00C7585A" w:rsidRDefault="003C599A" w:rsidP="00A83698">
            <w:pPr>
              <w:rPr>
                <w:sz w:val="20"/>
                <w:szCs w:val="20"/>
              </w:rPr>
            </w:pPr>
            <w:r w:rsidRPr="00C7585A">
              <w:rPr>
                <w:sz w:val="20"/>
                <w:szCs w:val="20"/>
              </w:rPr>
              <w:t>Domain 4: Youth/Family Progress</w:t>
            </w:r>
          </w:p>
          <w:p w14:paraId="294E5A09" w14:textId="77777777" w:rsidR="003C599A" w:rsidRPr="00C7585A" w:rsidRDefault="003C599A" w:rsidP="00A83698">
            <w:pPr>
              <w:rPr>
                <w:b w:val="0"/>
                <w:sz w:val="20"/>
                <w:szCs w:val="20"/>
              </w:rPr>
            </w:pPr>
            <w:r w:rsidRPr="00C7585A">
              <w:rPr>
                <w:b w:val="0"/>
                <w:sz w:val="20"/>
                <w:szCs w:val="20"/>
              </w:rPr>
              <w:t>-ICC</w:t>
            </w:r>
          </w:p>
          <w:p w14:paraId="3DE0CB09" w14:textId="77777777" w:rsidR="003C599A" w:rsidRPr="00C7585A" w:rsidRDefault="003C599A" w:rsidP="00A83698">
            <w:pPr>
              <w:rPr>
                <w:sz w:val="20"/>
                <w:szCs w:val="20"/>
              </w:rPr>
            </w:pPr>
            <w:r w:rsidRPr="00C7585A">
              <w:rPr>
                <w:b w:val="0"/>
                <w:sz w:val="20"/>
                <w:szCs w:val="20"/>
              </w:rPr>
              <w:t>-IHT</w:t>
            </w:r>
          </w:p>
        </w:tc>
        <w:tc>
          <w:tcPr>
            <w:tcW w:w="627" w:type="dxa"/>
          </w:tcPr>
          <w:p w14:paraId="49BB600C" w14:textId="4E0FC478" w:rsidR="00201BA3" w:rsidRPr="00D80D43" w:rsidRDefault="00D80D43" w:rsidP="00A83698">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80D43">
              <w:rPr>
                <w:b/>
                <w:sz w:val="20"/>
                <w:szCs w:val="20"/>
              </w:rPr>
              <w:t>1.0</w:t>
            </w:r>
          </w:p>
          <w:p w14:paraId="2A1CEDB3" w14:textId="4E4A7575" w:rsidR="000B43A6" w:rsidRPr="000B43A6" w:rsidRDefault="00AB64B3" w:rsidP="00A8369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w:t>
            </w:r>
          </w:p>
          <w:p w14:paraId="68E68EA8" w14:textId="5B2ECF84" w:rsidR="000B43A6" w:rsidRPr="000B43A6" w:rsidRDefault="000B43A6" w:rsidP="00A836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0B43A6">
              <w:rPr>
                <w:sz w:val="20"/>
                <w:szCs w:val="20"/>
              </w:rPr>
              <w:t>1.0</w:t>
            </w:r>
          </w:p>
        </w:tc>
        <w:tc>
          <w:tcPr>
            <w:tcW w:w="669" w:type="dxa"/>
          </w:tcPr>
          <w:p w14:paraId="0FE7B66E" w14:textId="32DD0011" w:rsidR="00201BA3" w:rsidRPr="00D80D43" w:rsidRDefault="00D80D43" w:rsidP="00A83698">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80D43">
              <w:rPr>
                <w:b/>
                <w:sz w:val="20"/>
                <w:szCs w:val="20"/>
              </w:rPr>
              <w:t>4.5</w:t>
            </w:r>
          </w:p>
          <w:p w14:paraId="028C2823" w14:textId="26719F5A" w:rsidR="000B43A6" w:rsidRPr="000B43A6" w:rsidRDefault="00AB64B3" w:rsidP="00A8369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4.0</w:t>
            </w:r>
          </w:p>
          <w:p w14:paraId="7B934281" w14:textId="61C1F284" w:rsidR="000B43A6" w:rsidRPr="000B43A6" w:rsidRDefault="000B43A6" w:rsidP="00AB64B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B43A6">
              <w:rPr>
                <w:sz w:val="20"/>
                <w:szCs w:val="20"/>
              </w:rPr>
              <w:t>4.5</w:t>
            </w:r>
          </w:p>
        </w:tc>
        <w:tc>
          <w:tcPr>
            <w:tcW w:w="770" w:type="dxa"/>
          </w:tcPr>
          <w:p w14:paraId="3F3FCF94" w14:textId="7A790C3E" w:rsidR="00201BA3" w:rsidRPr="00D80D43" w:rsidRDefault="00D80D43" w:rsidP="00A83698">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80D43">
              <w:rPr>
                <w:b/>
                <w:sz w:val="20"/>
                <w:szCs w:val="20"/>
              </w:rPr>
              <w:t>3.1</w:t>
            </w:r>
          </w:p>
          <w:p w14:paraId="7DE678D4" w14:textId="5F2D61F1" w:rsidR="000B43A6" w:rsidRPr="000B43A6" w:rsidRDefault="00AB64B3" w:rsidP="00A8369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w:t>
            </w:r>
          </w:p>
          <w:p w14:paraId="15C7AE02" w14:textId="59095190" w:rsidR="000B43A6" w:rsidRPr="000B43A6" w:rsidRDefault="000B43A6" w:rsidP="00A836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0B43A6">
              <w:rPr>
                <w:sz w:val="20"/>
                <w:szCs w:val="20"/>
              </w:rPr>
              <w:t>3.2</w:t>
            </w:r>
          </w:p>
        </w:tc>
        <w:tc>
          <w:tcPr>
            <w:tcW w:w="1877" w:type="dxa"/>
          </w:tcPr>
          <w:p w14:paraId="7C9E73D1" w14:textId="7644FBE0" w:rsidR="00201BA3" w:rsidRPr="00D80D43" w:rsidRDefault="00D80D43" w:rsidP="00A83698">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80D43">
              <w:rPr>
                <w:b/>
                <w:sz w:val="20"/>
                <w:szCs w:val="20"/>
              </w:rPr>
              <w:t>0.69</w:t>
            </w:r>
          </w:p>
          <w:p w14:paraId="7058EC3E" w14:textId="3B32D30D" w:rsidR="000B43A6" w:rsidRPr="000B43A6" w:rsidRDefault="00AB64B3" w:rsidP="00A8369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0.64</w:t>
            </w:r>
          </w:p>
          <w:p w14:paraId="3FAB32EB" w14:textId="739849C2" w:rsidR="000B43A6" w:rsidRPr="000B43A6" w:rsidRDefault="000B43A6" w:rsidP="00A836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0B43A6">
              <w:rPr>
                <w:sz w:val="20"/>
                <w:szCs w:val="20"/>
              </w:rPr>
              <w:t>0.74</w:t>
            </w:r>
          </w:p>
        </w:tc>
      </w:tr>
    </w:tbl>
    <w:p w14:paraId="4DB2F4CC" w14:textId="09CFDC33" w:rsidR="00864E0E" w:rsidRPr="008D2485" w:rsidRDefault="0049433A" w:rsidP="00C202ED">
      <w:pPr>
        <w:spacing w:before="240"/>
      </w:pPr>
      <w:r>
        <w:rPr>
          <w:b/>
          <w:color w:val="716767" w:themeColor="accent6" w:themeShade="BF"/>
        </w:rPr>
        <w:t>Table 1</w:t>
      </w:r>
      <w:r w:rsidR="00355DAF">
        <w:rPr>
          <w:b/>
          <w:color w:val="716767" w:themeColor="accent6" w:themeShade="BF"/>
        </w:rPr>
        <w:t>1</w:t>
      </w:r>
      <w:r w:rsidR="008D2485" w:rsidRPr="00341572">
        <w:rPr>
          <w:b/>
          <w:color w:val="716767" w:themeColor="accent6" w:themeShade="BF"/>
        </w:rPr>
        <w:t xml:space="preserve"> </w:t>
      </w:r>
      <w:r w:rsidR="008D2485" w:rsidRPr="008D2485">
        <w:t xml:space="preserve">summarizes the mean scores and frequencies for the </w:t>
      </w:r>
      <w:r w:rsidR="00334616">
        <w:t xml:space="preserve">2 Areas of Progress </w:t>
      </w:r>
      <w:r w:rsidR="00A61C53">
        <w:t>in</w:t>
      </w:r>
      <w:r w:rsidR="00334616">
        <w:t xml:space="preserve"> Domain 4: Y</w:t>
      </w:r>
      <w:r w:rsidR="008D2485" w:rsidRPr="008D2485">
        <w:t xml:space="preserve">outh and </w:t>
      </w:r>
      <w:r w:rsidR="00334616">
        <w:t>F</w:t>
      </w:r>
      <w:r w:rsidR="00334616" w:rsidRPr="008D2485">
        <w:t xml:space="preserve">amily </w:t>
      </w:r>
      <w:r w:rsidR="00334616">
        <w:t>P</w:t>
      </w:r>
      <w:r w:rsidR="008D2485" w:rsidRPr="008D2485">
        <w:t xml:space="preserve">rogress. </w:t>
      </w:r>
    </w:p>
    <w:p w14:paraId="65661351" w14:textId="3703C883" w:rsidR="00B411D0" w:rsidRPr="00283716" w:rsidRDefault="00C2310F" w:rsidP="00EB2238">
      <w:pPr>
        <w:pStyle w:val="Heading3"/>
        <w:rPr>
          <w:rStyle w:val="Strong"/>
          <w:b/>
        </w:rPr>
      </w:pPr>
      <w:bookmarkStart w:id="34" w:name="_Toc22632494"/>
      <w:r w:rsidRPr="00283716">
        <w:rPr>
          <w:rStyle w:val="Strong"/>
          <w:b/>
        </w:rPr>
        <w:t>Table 1</w:t>
      </w:r>
      <w:r w:rsidR="00355DAF">
        <w:rPr>
          <w:rStyle w:val="Strong"/>
          <w:b/>
        </w:rPr>
        <w:t>1</w:t>
      </w:r>
      <w:r w:rsidR="00B87022" w:rsidRPr="00283716">
        <w:rPr>
          <w:rStyle w:val="Strong"/>
          <w:b/>
        </w:rPr>
        <w:t xml:space="preserve">: Youth &amp; Family Progress </w:t>
      </w:r>
      <w:r w:rsidR="008D2485" w:rsidRPr="00283716">
        <w:rPr>
          <w:rStyle w:val="Strong"/>
          <w:b/>
        </w:rPr>
        <w:t xml:space="preserve">- </w:t>
      </w:r>
      <w:r w:rsidR="00B87022" w:rsidRPr="00283716">
        <w:rPr>
          <w:rStyle w:val="Strong"/>
          <w:b/>
        </w:rPr>
        <w:t>Area Mean Scores &amp; Frequencies</w:t>
      </w:r>
      <w:bookmarkEnd w:id="34"/>
    </w:p>
    <w:tbl>
      <w:tblPr>
        <w:tblStyle w:val="GridTable4-Accent21"/>
        <w:tblW w:w="9443" w:type="dxa"/>
        <w:jc w:val="center"/>
        <w:tblLayout w:type="fixed"/>
        <w:tblLook w:val="04A0" w:firstRow="1" w:lastRow="0" w:firstColumn="1" w:lastColumn="0" w:noHBand="0" w:noVBand="1"/>
      </w:tblPr>
      <w:tblGrid>
        <w:gridCol w:w="1592"/>
        <w:gridCol w:w="990"/>
        <w:gridCol w:w="1977"/>
        <w:gridCol w:w="1173"/>
        <w:gridCol w:w="1173"/>
        <w:gridCol w:w="1173"/>
        <w:gridCol w:w="1365"/>
      </w:tblGrid>
      <w:tr w:rsidR="00DA02D6" w:rsidRPr="00F6519B" w14:paraId="74B2EFC2" w14:textId="77777777" w:rsidTr="001E1B37">
        <w:trPr>
          <w:cnfStyle w:val="100000000000" w:firstRow="1" w:lastRow="0" w:firstColumn="0" w:lastColumn="0" w:oddVBand="0" w:evenVBand="0" w:oddHBand="0"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843" w:type="pct"/>
          </w:tcPr>
          <w:p w14:paraId="18000922" w14:textId="77777777" w:rsidR="00DA02D6" w:rsidRPr="00DF7DDC" w:rsidRDefault="00DA02D6" w:rsidP="00A83698">
            <w:pPr>
              <w:rPr>
                <w:b w:val="0"/>
                <w:bCs w:val="0"/>
                <w:color w:val="auto"/>
                <w:sz w:val="20"/>
                <w:szCs w:val="20"/>
              </w:rPr>
            </w:pPr>
            <w:r w:rsidRPr="00DF7DDC">
              <w:rPr>
                <w:sz w:val="20"/>
                <w:szCs w:val="20"/>
              </w:rPr>
              <w:t xml:space="preserve">Domain/Area </w:t>
            </w:r>
          </w:p>
        </w:tc>
        <w:tc>
          <w:tcPr>
            <w:tcW w:w="524" w:type="pct"/>
          </w:tcPr>
          <w:p w14:paraId="546B16BF" w14:textId="77777777" w:rsidR="00DA02D6" w:rsidRPr="00F6519B" w:rsidRDefault="00DA02D6" w:rsidP="00A83698">
            <w:pP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F6519B">
              <w:rPr>
                <w:sz w:val="20"/>
                <w:szCs w:val="20"/>
              </w:rPr>
              <w:t>Mean</w:t>
            </w:r>
          </w:p>
        </w:tc>
        <w:tc>
          <w:tcPr>
            <w:tcW w:w="3633" w:type="pct"/>
            <w:gridSpan w:val="5"/>
          </w:tcPr>
          <w:p w14:paraId="2B547C79" w14:textId="77777777" w:rsidR="00DA02D6" w:rsidRPr="00F6519B" w:rsidRDefault="00DA02D6" w:rsidP="00A83698">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F6519B">
              <w:rPr>
                <w:sz w:val="20"/>
                <w:szCs w:val="20"/>
              </w:rPr>
              <w:t>Frequencies (n) %*</w:t>
            </w:r>
          </w:p>
        </w:tc>
      </w:tr>
      <w:tr w:rsidR="00DA02D6" w:rsidRPr="00F6519B" w14:paraId="179743AF" w14:textId="77777777" w:rsidTr="001E1B37">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1367" w:type="pct"/>
            <w:gridSpan w:val="2"/>
          </w:tcPr>
          <w:p w14:paraId="0FA4CDEE" w14:textId="77777777" w:rsidR="00DA02D6" w:rsidRPr="00F6519B" w:rsidRDefault="00DA02D6" w:rsidP="00A83698">
            <w:pPr>
              <w:rPr>
                <w:sz w:val="20"/>
                <w:szCs w:val="20"/>
              </w:rPr>
            </w:pPr>
          </w:p>
          <w:p w14:paraId="407CDF07" w14:textId="77777777" w:rsidR="00DA02D6" w:rsidRPr="00F6519B" w:rsidRDefault="00DA02D6" w:rsidP="00A83698">
            <w:pPr>
              <w:rPr>
                <w:b w:val="0"/>
                <w:bCs w:val="0"/>
                <w:color w:val="775F55" w:themeColor="text2"/>
                <w:sz w:val="20"/>
                <w:szCs w:val="20"/>
              </w:rPr>
            </w:pPr>
          </w:p>
        </w:tc>
        <w:tc>
          <w:tcPr>
            <w:tcW w:w="1047" w:type="pct"/>
          </w:tcPr>
          <w:p w14:paraId="1184F8E5"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Worsening or Declining Condition</w:t>
            </w:r>
          </w:p>
          <w:p w14:paraId="354D2B81"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1</w:t>
            </w:r>
          </w:p>
        </w:tc>
        <w:tc>
          <w:tcPr>
            <w:tcW w:w="621" w:type="pct"/>
          </w:tcPr>
          <w:p w14:paraId="6C8AC42F"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Little to No Progress</w:t>
            </w:r>
          </w:p>
          <w:p w14:paraId="2295347D"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2</w:t>
            </w:r>
          </w:p>
        </w:tc>
        <w:tc>
          <w:tcPr>
            <w:tcW w:w="621" w:type="pct"/>
          </w:tcPr>
          <w:p w14:paraId="510B6B29"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Fair Progress</w:t>
            </w:r>
          </w:p>
          <w:p w14:paraId="3E1AF63C"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3</w:t>
            </w:r>
          </w:p>
        </w:tc>
        <w:tc>
          <w:tcPr>
            <w:tcW w:w="621" w:type="pct"/>
          </w:tcPr>
          <w:p w14:paraId="2B653CAE"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Good</w:t>
            </w:r>
          </w:p>
          <w:p w14:paraId="65D5B3BA"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Progress</w:t>
            </w:r>
          </w:p>
          <w:p w14:paraId="525CE293"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4</w:t>
            </w:r>
          </w:p>
        </w:tc>
        <w:tc>
          <w:tcPr>
            <w:tcW w:w="722" w:type="pct"/>
          </w:tcPr>
          <w:p w14:paraId="506D12D8"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Exceptional Progress</w:t>
            </w:r>
          </w:p>
          <w:p w14:paraId="0378C276"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5</w:t>
            </w:r>
          </w:p>
        </w:tc>
      </w:tr>
      <w:tr w:rsidR="00DA02D6" w:rsidRPr="00F6519B" w14:paraId="2A4BEBD5" w14:textId="77777777" w:rsidTr="001E1B37">
        <w:trPr>
          <w:trHeight w:val="1267"/>
          <w:jc w:val="center"/>
        </w:trPr>
        <w:tc>
          <w:tcPr>
            <w:cnfStyle w:val="001000000000" w:firstRow="0" w:lastRow="0" w:firstColumn="1" w:lastColumn="0" w:oddVBand="0" w:evenVBand="0" w:oddHBand="0" w:evenHBand="0" w:firstRowFirstColumn="0" w:firstRowLastColumn="0" w:lastRowFirstColumn="0" w:lastRowLastColumn="0"/>
            <w:tcW w:w="843" w:type="pct"/>
          </w:tcPr>
          <w:p w14:paraId="210C5F8D" w14:textId="77777777" w:rsidR="00DA02D6" w:rsidRPr="00F6519B" w:rsidRDefault="00DA02D6" w:rsidP="0009146E">
            <w:pPr>
              <w:rPr>
                <w:sz w:val="20"/>
                <w:szCs w:val="20"/>
              </w:rPr>
            </w:pPr>
            <w:r w:rsidRPr="00F6519B">
              <w:rPr>
                <w:sz w:val="20"/>
                <w:szCs w:val="20"/>
              </w:rPr>
              <w:t>Youth Progress</w:t>
            </w:r>
          </w:p>
          <w:p w14:paraId="72BA68EE" w14:textId="77777777" w:rsidR="00DA02D6" w:rsidRPr="00F6519B" w:rsidRDefault="00DA02D6" w:rsidP="0009146E">
            <w:pPr>
              <w:rPr>
                <w:sz w:val="20"/>
                <w:szCs w:val="20"/>
              </w:rPr>
            </w:pPr>
          </w:p>
          <w:p w14:paraId="745861F4" w14:textId="77777777" w:rsidR="00DA02D6" w:rsidRPr="00F6519B" w:rsidRDefault="00DA02D6" w:rsidP="0009146E">
            <w:pPr>
              <w:rPr>
                <w:sz w:val="20"/>
                <w:szCs w:val="20"/>
              </w:rPr>
            </w:pPr>
            <w:r w:rsidRPr="00F6519B">
              <w:rPr>
                <w:sz w:val="20"/>
                <w:szCs w:val="20"/>
              </w:rPr>
              <w:t>-ICC</w:t>
            </w:r>
          </w:p>
          <w:p w14:paraId="7DB2B244" w14:textId="77777777" w:rsidR="00DA02D6" w:rsidRPr="00F6519B" w:rsidRDefault="00DA02D6" w:rsidP="0009146E">
            <w:pPr>
              <w:rPr>
                <w:sz w:val="20"/>
                <w:szCs w:val="20"/>
              </w:rPr>
            </w:pPr>
          </w:p>
          <w:p w14:paraId="4B6DD8CF" w14:textId="77777777" w:rsidR="00DA02D6" w:rsidRPr="00F6519B" w:rsidRDefault="00DA02D6" w:rsidP="0009146E">
            <w:pPr>
              <w:rPr>
                <w:color w:val="0070C0"/>
                <w:sz w:val="20"/>
                <w:szCs w:val="20"/>
              </w:rPr>
            </w:pPr>
            <w:r w:rsidRPr="00F6519B">
              <w:rPr>
                <w:sz w:val="20"/>
                <w:szCs w:val="20"/>
              </w:rPr>
              <w:t>-IHT</w:t>
            </w:r>
          </w:p>
        </w:tc>
        <w:tc>
          <w:tcPr>
            <w:tcW w:w="524" w:type="pct"/>
          </w:tcPr>
          <w:p w14:paraId="326E76A2" w14:textId="789EF2FE" w:rsidR="00DA02D6" w:rsidRPr="00D80D43" w:rsidRDefault="00D80D43" w:rsidP="0009146E">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3.1</w:t>
            </w:r>
          </w:p>
          <w:p w14:paraId="74BA83DB" w14:textId="77777777" w:rsidR="000B43A6" w:rsidRPr="000B43A6" w:rsidRDefault="000B43A6" w:rsidP="0009146E">
            <w:pPr>
              <w:cnfStyle w:val="000000000000" w:firstRow="0" w:lastRow="0" w:firstColumn="0" w:lastColumn="0" w:oddVBand="0" w:evenVBand="0" w:oddHBand="0" w:evenHBand="0" w:firstRowFirstColumn="0" w:firstRowLastColumn="0" w:lastRowFirstColumn="0" w:lastRowLastColumn="0"/>
              <w:rPr>
                <w:sz w:val="20"/>
                <w:szCs w:val="20"/>
              </w:rPr>
            </w:pPr>
          </w:p>
          <w:p w14:paraId="0763CBA3" w14:textId="101BC8EE" w:rsidR="000B43A6" w:rsidRPr="000B43A6" w:rsidRDefault="00AB64B3" w:rsidP="0009146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w:t>
            </w:r>
          </w:p>
          <w:p w14:paraId="7862CB23" w14:textId="77777777" w:rsidR="000B43A6" w:rsidRPr="000B43A6" w:rsidRDefault="000B43A6" w:rsidP="0009146E">
            <w:pPr>
              <w:cnfStyle w:val="000000000000" w:firstRow="0" w:lastRow="0" w:firstColumn="0" w:lastColumn="0" w:oddVBand="0" w:evenVBand="0" w:oddHBand="0" w:evenHBand="0" w:firstRowFirstColumn="0" w:firstRowLastColumn="0" w:lastRowFirstColumn="0" w:lastRowLastColumn="0"/>
              <w:rPr>
                <w:sz w:val="20"/>
                <w:szCs w:val="20"/>
              </w:rPr>
            </w:pPr>
          </w:p>
          <w:p w14:paraId="2BF663A6" w14:textId="56C4DEB6" w:rsidR="000B43A6" w:rsidRPr="000B43A6" w:rsidRDefault="000B43A6" w:rsidP="0009146E">
            <w:pPr>
              <w:cnfStyle w:val="000000000000" w:firstRow="0" w:lastRow="0" w:firstColumn="0" w:lastColumn="0" w:oddVBand="0" w:evenVBand="0" w:oddHBand="0" w:evenHBand="0" w:firstRowFirstColumn="0" w:firstRowLastColumn="0" w:lastRowFirstColumn="0" w:lastRowLastColumn="0"/>
              <w:rPr>
                <w:sz w:val="20"/>
                <w:szCs w:val="20"/>
              </w:rPr>
            </w:pPr>
            <w:r w:rsidRPr="000B43A6">
              <w:rPr>
                <w:sz w:val="20"/>
                <w:szCs w:val="20"/>
              </w:rPr>
              <w:t>3.2</w:t>
            </w:r>
          </w:p>
        </w:tc>
        <w:tc>
          <w:tcPr>
            <w:tcW w:w="1047" w:type="pct"/>
          </w:tcPr>
          <w:p w14:paraId="45932CE5" w14:textId="1ED73B5A" w:rsidR="00DA02D6" w:rsidRPr="0004104E" w:rsidRDefault="0004104E"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(4)</w:t>
            </w:r>
            <w:r w:rsidR="00FB7F0C">
              <w:rPr>
                <w:b/>
                <w:sz w:val="20"/>
                <w:szCs w:val="20"/>
              </w:rPr>
              <w:t xml:space="preserve"> 3%</w:t>
            </w:r>
          </w:p>
          <w:p w14:paraId="184D07D7" w14:textId="77777777" w:rsidR="000B43A6" w:rsidRDefault="000B43A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EEF88BC" w14:textId="77777777" w:rsidR="000B43A6" w:rsidRDefault="00FB7F0C" w:rsidP="00FB7F0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 (5%)</w:t>
            </w:r>
          </w:p>
          <w:p w14:paraId="19AED48B" w14:textId="77777777" w:rsidR="00FB7F0C" w:rsidRDefault="00FB7F0C" w:rsidP="00FB7F0C">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0AFD3E9" w14:textId="4EF5CB51" w:rsidR="00FB7F0C" w:rsidRPr="00F6519B" w:rsidRDefault="00FB7F0C" w:rsidP="00FB7F0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 (2%)</w:t>
            </w:r>
          </w:p>
        </w:tc>
        <w:tc>
          <w:tcPr>
            <w:tcW w:w="621" w:type="pct"/>
          </w:tcPr>
          <w:p w14:paraId="0EE8BA43" w14:textId="14D524CB" w:rsidR="00DA02D6" w:rsidRPr="0004104E" w:rsidRDefault="0004104E"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 xml:space="preserve"> (23)</w:t>
            </w:r>
            <w:r w:rsidR="00FB7F0C">
              <w:rPr>
                <w:b/>
                <w:sz w:val="20"/>
                <w:szCs w:val="20"/>
              </w:rPr>
              <w:t xml:space="preserve"> 19%</w:t>
            </w:r>
          </w:p>
          <w:p w14:paraId="4B8779C9" w14:textId="77777777" w:rsidR="000B43A6" w:rsidRDefault="000B43A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802157B" w14:textId="63F77048" w:rsidR="000B43A6" w:rsidRDefault="00D20162"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 20%</w:t>
            </w:r>
          </w:p>
          <w:p w14:paraId="269B5A97" w14:textId="6650FBD8" w:rsidR="00D20162" w:rsidRDefault="00D20162"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8C156E7" w14:textId="6D43E5ED" w:rsidR="000B43A6" w:rsidRPr="00F6519B" w:rsidRDefault="00D20162" w:rsidP="00D2016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 18%</w:t>
            </w:r>
          </w:p>
        </w:tc>
        <w:tc>
          <w:tcPr>
            <w:tcW w:w="621" w:type="pct"/>
          </w:tcPr>
          <w:p w14:paraId="3BE02263" w14:textId="664DEED6" w:rsidR="00DA02D6" w:rsidRPr="0004104E" w:rsidRDefault="0004104E"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(58)</w:t>
            </w:r>
            <w:r w:rsidR="00FB7F0C">
              <w:rPr>
                <w:b/>
                <w:sz w:val="20"/>
                <w:szCs w:val="20"/>
              </w:rPr>
              <w:t xml:space="preserve"> 47%</w:t>
            </w:r>
          </w:p>
          <w:p w14:paraId="2393C389" w14:textId="77777777" w:rsidR="000B43A6" w:rsidRDefault="000B43A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F7B1219" w14:textId="5A6AACA0" w:rsidR="000B43A6" w:rsidRDefault="00B024A1"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(32) 52%</w:t>
            </w:r>
          </w:p>
          <w:p w14:paraId="496D5BCD" w14:textId="5E47ABE4" w:rsidR="00B024A1" w:rsidRDefault="00B024A1"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23B44B61" w14:textId="75C02F09" w:rsidR="000B43A6" w:rsidRPr="00DF7DDC" w:rsidRDefault="00B024A1"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(26) 42%</w:t>
            </w:r>
          </w:p>
        </w:tc>
        <w:tc>
          <w:tcPr>
            <w:tcW w:w="621" w:type="pct"/>
          </w:tcPr>
          <w:p w14:paraId="6D2CFF39" w14:textId="57DFA291" w:rsidR="00DA02D6" w:rsidRPr="0004104E" w:rsidRDefault="0004104E"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(35)</w:t>
            </w:r>
            <w:r w:rsidR="00FB7F0C">
              <w:rPr>
                <w:b/>
                <w:sz w:val="20"/>
                <w:szCs w:val="20"/>
              </w:rPr>
              <w:t xml:space="preserve"> 28%</w:t>
            </w:r>
          </w:p>
          <w:p w14:paraId="3D2B97E3" w14:textId="45FA238F" w:rsidR="000B43A6" w:rsidRDefault="000B43A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2832EBFC" w14:textId="70DC8D89" w:rsidR="00F01F06" w:rsidRDefault="00F01F0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 23%</w:t>
            </w:r>
          </w:p>
          <w:p w14:paraId="582EA639" w14:textId="2C71621E" w:rsidR="00F01F06" w:rsidRDefault="00F01F0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085015D" w14:textId="5278078E" w:rsidR="000B43A6" w:rsidRPr="00DF7DDC" w:rsidRDefault="00F01F06" w:rsidP="00F01F0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 34%</w:t>
            </w:r>
          </w:p>
        </w:tc>
        <w:tc>
          <w:tcPr>
            <w:tcW w:w="722" w:type="pct"/>
          </w:tcPr>
          <w:p w14:paraId="3262D715" w14:textId="1AF90AB3" w:rsidR="00DA02D6" w:rsidRPr="0004104E" w:rsidRDefault="0004104E"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(3)</w:t>
            </w:r>
            <w:r w:rsidR="00FB7F0C">
              <w:rPr>
                <w:b/>
                <w:sz w:val="20"/>
                <w:szCs w:val="20"/>
              </w:rPr>
              <w:t xml:space="preserve"> 2%</w:t>
            </w:r>
          </w:p>
          <w:p w14:paraId="494358A0" w14:textId="77777777" w:rsidR="000B43A6" w:rsidRDefault="000B43A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CF334E2" w14:textId="7AE4BD9B" w:rsidR="000B43A6" w:rsidRDefault="00F7340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p w14:paraId="344AD2E1" w14:textId="69C19B6B" w:rsidR="00F73406" w:rsidRDefault="00F7340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3EB2DF8" w14:textId="692DE2B1" w:rsidR="000B43A6" w:rsidRPr="00F6519B" w:rsidRDefault="00F73406" w:rsidP="00F7340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 5%</w:t>
            </w:r>
          </w:p>
        </w:tc>
      </w:tr>
      <w:tr w:rsidR="00DA02D6" w:rsidRPr="00F6519B" w14:paraId="2919B86F" w14:textId="77777777" w:rsidTr="001E1B37">
        <w:trPr>
          <w:cnfStyle w:val="000000100000" w:firstRow="0" w:lastRow="0" w:firstColumn="0" w:lastColumn="0" w:oddVBand="0" w:evenVBand="0" w:oddHBand="1" w:evenHBand="0" w:firstRowFirstColumn="0" w:firstRowLastColumn="0" w:lastRowFirstColumn="0" w:lastRowLastColumn="0"/>
          <w:trHeight w:val="1240"/>
          <w:jc w:val="center"/>
        </w:trPr>
        <w:tc>
          <w:tcPr>
            <w:cnfStyle w:val="001000000000" w:firstRow="0" w:lastRow="0" w:firstColumn="1" w:lastColumn="0" w:oddVBand="0" w:evenVBand="0" w:oddHBand="0" w:evenHBand="0" w:firstRowFirstColumn="0" w:firstRowLastColumn="0" w:lastRowFirstColumn="0" w:lastRowLastColumn="0"/>
            <w:tcW w:w="843" w:type="pct"/>
          </w:tcPr>
          <w:p w14:paraId="3DA31AC7" w14:textId="08EE1A64" w:rsidR="00DA02D6" w:rsidRPr="00F6519B" w:rsidRDefault="00DA02D6" w:rsidP="0009146E">
            <w:pPr>
              <w:rPr>
                <w:sz w:val="20"/>
                <w:szCs w:val="20"/>
              </w:rPr>
            </w:pPr>
            <w:r w:rsidRPr="00F6519B">
              <w:rPr>
                <w:sz w:val="20"/>
                <w:szCs w:val="20"/>
              </w:rPr>
              <w:t>Family Progress</w:t>
            </w:r>
            <w:r w:rsidR="00DA2CE4">
              <w:rPr>
                <w:sz w:val="20"/>
                <w:szCs w:val="20"/>
              </w:rPr>
              <w:t>**</w:t>
            </w:r>
          </w:p>
          <w:p w14:paraId="03C9369F" w14:textId="6E4D2B48" w:rsidR="00DA02D6" w:rsidRPr="00F6519B" w:rsidRDefault="00DA02D6" w:rsidP="0009146E">
            <w:pPr>
              <w:rPr>
                <w:sz w:val="20"/>
                <w:szCs w:val="20"/>
              </w:rPr>
            </w:pPr>
            <w:r w:rsidRPr="00F6519B">
              <w:rPr>
                <w:sz w:val="20"/>
                <w:szCs w:val="20"/>
              </w:rPr>
              <w:t>-ICC</w:t>
            </w:r>
            <w:r w:rsidR="00AB64B3">
              <w:rPr>
                <w:sz w:val="20"/>
                <w:szCs w:val="20"/>
              </w:rPr>
              <w:t>**</w:t>
            </w:r>
            <w:r w:rsidR="00DA2CE4">
              <w:rPr>
                <w:sz w:val="20"/>
                <w:szCs w:val="20"/>
              </w:rPr>
              <w:t>*</w:t>
            </w:r>
          </w:p>
          <w:p w14:paraId="59413725" w14:textId="77777777" w:rsidR="00DA02D6" w:rsidRPr="00F6519B" w:rsidRDefault="00DA02D6" w:rsidP="0009146E">
            <w:pPr>
              <w:rPr>
                <w:sz w:val="20"/>
                <w:szCs w:val="20"/>
              </w:rPr>
            </w:pPr>
          </w:p>
          <w:p w14:paraId="35ED67ED" w14:textId="77777777" w:rsidR="00DA02D6" w:rsidRPr="000B43A6" w:rsidRDefault="00DA02D6" w:rsidP="0009146E">
            <w:pPr>
              <w:rPr>
                <w:sz w:val="20"/>
                <w:szCs w:val="20"/>
              </w:rPr>
            </w:pPr>
            <w:r w:rsidRPr="00F6519B">
              <w:rPr>
                <w:sz w:val="20"/>
                <w:szCs w:val="20"/>
              </w:rPr>
              <w:t>-IHT</w:t>
            </w:r>
          </w:p>
        </w:tc>
        <w:tc>
          <w:tcPr>
            <w:tcW w:w="524" w:type="pct"/>
          </w:tcPr>
          <w:p w14:paraId="117F2305" w14:textId="6F3BA0AE" w:rsidR="00DA02D6" w:rsidRPr="00D80D43" w:rsidRDefault="00D80D43" w:rsidP="0009146E">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3.1</w:t>
            </w:r>
          </w:p>
          <w:p w14:paraId="53DE78C5" w14:textId="77777777" w:rsidR="000B43A6" w:rsidRPr="000B43A6" w:rsidRDefault="000B43A6" w:rsidP="0009146E">
            <w:pPr>
              <w:cnfStyle w:val="000000100000" w:firstRow="0" w:lastRow="0" w:firstColumn="0" w:lastColumn="0" w:oddVBand="0" w:evenVBand="0" w:oddHBand="1" w:evenHBand="0" w:firstRowFirstColumn="0" w:firstRowLastColumn="0" w:lastRowFirstColumn="0" w:lastRowLastColumn="0"/>
              <w:rPr>
                <w:sz w:val="20"/>
                <w:szCs w:val="20"/>
              </w:rPr>
            </w:pPr>
          </w:p>
          <w:p w14:paraId="5A121468" w14:textId="0F430BBA" w:rsidR="000B43A6" w:rsidRPr="000B43A6" w:rsidRDefault="00AB64B3" w:rsidP="0009146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3.1</w:t>
            </w:r>
          </w:p>
          <w:p w14:paraId="01EA6D0A" w14:textId="77777777" w:rsidR="000B43A6" w:rsidRPr="000B43A6" w:rsidRDefault="000B43A6" w:rsidP="0009146E">
            <w:pPr>
              <w:cnfStyle w:val="000000100000" w:firstRow="0" w:lastRow="0" w:firstColumn="0" w:lastColumn="0" w:oddVBand="0" w:evenVBand="0" w:oddHBand="1" w:evenHBand="0" w:firstRowFirstColumn="0" w:firstRowLastColumn="0" w:lastRowFirstColumn="0" w:lastRowLastColumn="0"/>
              <w:rPr>
                <w:sz w:val="20"/>
                <w:szCs w:val="20"/>
              </w:rPr>
            </w:pPr>
          </w:p>
          <w:p w14:paraId="1CC80A03" w14:textId="0CA4735C" w:rsidR="000B43A6" w:rsidRPr="000B43A6" w:rsidRDefault="000B43A6" w:rsidP="0009146E">
            <w:pPr>
              <w:cnfStyle w:val="000000100000" w:firstRow="0" w:lastRow="0" w:firstColumn="0" w:lastColumn="0" w:oddVBand="0" w:evenVBand="0" w:oddHBand="1" w:evenHBand="0" w:firstRowFirstColumn="0" w:firstRowLastColumn="0" w:lastRowFirstColumn="0" w:lastRowLastColumn="0"/>
              <w:rPr>
                <w:sz w:val="20"/>
                <w:szCs w:val="20"/>
              </w:rPr>
            </w:pPr>
            <w:r w:rsidRPr="000B43A6">
              <w:rPr>
                <w:sz w:val="20"/>
                <w:szCs w:val="20"/>
              </w:rPr>
              <w:t>3.1</w:t>
            </w:r>
          </w:p>
        </w:tc>
        <w:tc>
          <w:tcPr>
            <w:tcW w:w="1047" w:type="pct"/>
          </w:tcPr>
          <w:p w14:paraId="1A92FBE6" w14:textId="49C35B24" w:rsidR="00DA02D6" w:rsidRPr="0004104E" w:rsidRDefault="0004104E"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w:t>
            </w:r>
            <w:r w:rsidR="00FB7F0C">
              <w:rPr>
                <w:b/>
                <w:sz w:val="20"/>
                <w:szCs w:val="20"/>
              </w:rPr>
              <w:t xml:space="preserve"> 1%</w:t>
            </w:r>
          </w:p>
          <w:p w14:paraId="13A77BC4" w14:textId="77777777" w:rsidR="000B43A6" w:rsidRDefault="000B43A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75ACBD01" w14:textId="70FB991E" w:rsidR="000B43A6" w:rsidRDefault="00FB7F0C"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p w14:paraId="144FF016" w14:textId="77777777" w:rsidR="00FB7F0C" w:rsidRDefault="00FB7F0C"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9A943EB" w14:textId="763F5261" w:rsidR="00FB7F0C" w:rsidRPr="00DF7DDC" w:rsidRDefault="00FB7F0C"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 2%</w:t>
            </w:r>
          </w:p>
        </w:tc>
        <w:tc>
          <w:tcPr>
            <w:tcW w:w="621" w:type="pct"/>
          </w:tcPr>
          <w:p w14:paraId="7069EE9A" w14:textId="705B8090" w:rsidR="00DA02D6" w:rsidRPr="0004104E" w:rsidRDefault="0004104E"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(27)</w:t>
            </w:r>
            <w:r w:rsidR="00FB7F0C">
              <w:rPr>
                <w:b/>
                <w:sz w:val="20"/>
                <w:szCs w:val="20"/>
              </w:rPr>
              <w:t xml:space="preserve"> 22%</w:t>
            </w:r>
          </w:p>
          <w:p w14:paraId="66C01D10" w14:textId="1204D869" w:rsidR="000B43A6" w:rsidRDefault="000B43A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7AD60BE7" w14:textId="54849387" w:rsidR="00D20162" w:rsidRDefault="00D20162"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 25%</w:t>
            </w:r>
          </w:p>
          <w:p w14:paraId="7D1C8C4A" w14:textId="241829F2" w:rsidR="00D20162" w:rsidRDefault="00D20162"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76251A9" w14:textId="775DA3A6" w:rsidR="000B43A6" w:rsidRPr="00DF7DDC" w:rsidRDefault="00D20162" w:rsidP="00D20162">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 19%</w:t>
            </w:r>
          </w:p>
        </w:tc>
        <w:tc>
          <w:tcPr>
            <w:tcW w:w="621" w:type="pct"/>
          </w:tcPr>
          <w:p w14:paraId="1143663B" w14:textId="61CCFE95" w:rsidR="00DA02D6" w:rsidRDefault="0004104E"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(56)</w:t>
            </w:r>
            <w:r w:rsidR="00FB7F0C">
              <w:rPr>
                <w:b/>
                <w:sz w:val="20"/>
                <w:szCs w:val="20"/>
              </w:rPr>
              <w:t xml:space="preserve"> 46%</w:t>
            </w:r>
          </w:p>
          <w:p w14:paraId="104F782B" w14:textId="7103145B" w:rsidR="00B024A1" w:rsidRDefault="00B024A1"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p>
          <w:p w14:paraId="7B4DCA34" w14:textId="76F5715E" w:rsidR="00B024A1" w:rsidRDefault="00B024A1"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(26) 43%</w:t>
            </w:r>
          </w:p>
          <w:p w14:paraId="2DF607AC" w14:textId="77777777" w:rsidR="00B024A1" w:rsidRPr="00B024A1" w:rsidRDefault="00B024A1"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E0E6790" w14:textId="384C8992" w:rsidR="000B43A6" w:rsidRPr="00DF7DDC" w:rsidRDefault="00B024A1" w:rsidP="00B024A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 48%</w:t>
            </w:r>
          </w:p>
        </w:tc>
        <w:tc>
          <w:tcPr>
            <w:tcW w:w="621" w:type="pct"/>
          </w:tcPr>
          <w:p w14:paraId="6174A79E" w14:textId="5585400A" w:rsidR="00DA02D6" w:rsidRPr="00DA2CE4" w:rsidRDefault="00DA2CE4"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(36)</w:t>
            </w:r>
            <w:r w:rsidR="00FB7F0C">
              <w:rPr>
                <w:b/>
                <w:sz w:val="20"/>
                <w:szCs w:val="20"/>
              </w:rPr>
              <w:t xml:space="preserve"> </w:t>
            </w:r>
            <w:r w:rsidR="001E3EB6">
              <w:rPr>
                <w:b/>
                <w:sz w:val="20"/>
                <w:szCs w:val="20"/>
              </w:rPr>
              <w:t>29</w:t>
            </w:r>
            <w:r w:rsidR="00FB7F0C">
              <w:rPr>
                <w:b/>
                <w:sz w:val="20"/>
                <w:szCs w:val="20"/>
              </w:rPr>
              <w:t>%</w:t>
            </w:r>
          </w:p>
          <w:p w14:paraId="2135CAF3" w14:textId="77777777" w:rsidR="000B43A6" w:rsidRDefault="000B43A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605C00D" w14:textId="5511599A" w:rsidR="000B43A6" w:rsidRDefault="001E3EB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(19) 31</w:t>
            </w:r>
            <w:r w:rsidR="00F01F06">
              <w:rPr>
                <w:sz w:val="20"/>
                <w:szCs w:val="20"/>
              </w:rPr>
              <w:t>%</w:t>
            </w:r>
          </w:p>
          <w:p w14:paraId="68003F4A" w14:textId="77777777" w:rsidR="00F01F06" w:rsidRDefault="00F01F0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4ABEEDD1" w14:textId="6F08724A" w:rsidR="00F01F06" w:rsidRPr="00DF7DDC" w:rsidRDefault="00F01F0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(17) 27%</w:t>
            </w:r>
          </w:p>
        </w:tc>
        <w:tc>
          <w:tcPr>
            <w:tcW w:w="722" w:type="pct"/>
          </w:tcPr>
          <w:p w14:paraId="6F7DAD7B" w14:textId="7E85D23A" w:rsidR="00DA02D6" w:rsidRPr="00DA2CE4" w:rsidRDefault="00DA2CE4"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(2)</w:t>
            </w:r>
            <w:r w:rsidR="00FB7F0C">
              <w:rPr>
                <w:b/>
                <w:sz w:val="20"/>
                <w:szCs w:val="20"/>
              </w:rPr>
              <w:t xml:space="preserve"> 2%</w:t>
            </w:r>
          </w:p>
          <w:p w14:paraId="55D2FEC3" w14:textId="77777777" w:rsidR="000B43A6" w:rsidRDefault="000B43A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C7A97D1" w14:textId="77777777" w:rsidR="000B43A6" w:rsidRDefault="00F7340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p w14:paraId="479C1780" w14:textId="77777777" w:rsidR="00F73406" w:rsidRDefault="00F7340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6BB977F" w14:textId="23FD134D" w:rsidR="00F73406" w:rsidRPr="00DF7DDC" w:rsidRDefault="00F7340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 3%</w:t>
            </w:r>
          </w:p>
        </w:tc>
      </w:tr>
    </w:tbl>
    <w:p w14:paraId="37636B42" w14:textId="22DAE018" w:rsidR="00AB64B3" w:rsidRDefault="00B87022" w:rsidP="00AB64B3">
      <w:pPr>
        <w:ind w:firstLine="720"/>
        <w:rPr>
          <w:sz w:val="18"/>
          <w:szCs w:val="18"/>
        </w:rPr>
      </w:pPr>
      <w:r w:rsidRPr="005C2085">
        <w:rPr>
          <w:sz w:val="18"/>
          <w:szCs w:val="18"/>
        </w:rPr>
        <w:t>*Due to rounding of percentages, some Area totals may not equal</w:t>
      </w:r>
      <w:r>
        <w:rPr>
          <w:sz w:val="18"/>
          <w:szCs w:val="18"/>
        </w:rPr>
        <w:t xml:space="preserve"> </w:t>
      </w:r>
      <w:r w:rsidRPr="005C2085">
        <w:rPr>
          <w:sz w:val="18"/>
          <w:szCs w:val="18"/>
        </w:rPr>
        <w:t>100%.</w:t>
      </w:r>
    </w:p>
    <w:p w14:paraId="2879170B" w14:textId="37EFA4F5" w:rsidR="00DA2CE4" w:rsidRDefault="00AB64B3" w:rsidP="00AB64B3">
      <w:pPr>
        <w:ind w:firstLine="720"/>
        <w:rPr>
          <w:sz w:val="18"/>
          <w:szCs w:val="18"/>
        </w:rPr>
      </w:pPr>
      <w:r>
        <w:rPr>
          <w:sz w:val="18"/>
          <w:szCs w:val="18"/>
        </w:rPr>
        <w:t>**</w:t>
      </w:r>
      <w:r w:rsidR="00DA2CE4">
        <w:rPr>
          <w:sz w:val="18"/>
          <w:szCs w:val="18"/>
        </w:rPr>
        <w:t xml:space="preserve"> 1% (1) “Not Applicable” score.</w:t>
      </w:r>
    </w:p>
    <w:p w14:paraId="41D3BDCE" w14:textId="0C300E63" w:rsidR="00AB64B3" w:rsidRDefault="00DA2CE4" w:rsidP="00AB64B3">
      <w:pPr>
        <w:ind w:firstLine="720"/>
        <w:rPr>
          <w:sz w:val="18"/>
          <w:szCs w:val="18"/>
        </w:rPr>
      </w:pPr>
      <w:r>
        <w:rPr>
          <w:sz w:val="18"/>
          <w:szCs w:val="18"/>
        </w:rPr>
        <w:t>***</w:t>
      </w:r>
      <w:r w:rsidR="00AB64B3">
        <w:rPr>
          <w:sz w:val="18"/>
          <w:szCs w:val="18"/>
        </w:rPr>
        <w:t xml:space="preserve"> 2% (1) “Not Applicable” score. </w:t>
      </w:r>
    </w:p>
    <w:p w14:paraId="17504B86" w14:textId="3F3ED80F" w:rsidR="006F0248" w:rsidRDefault="006F0248" w:rsidP="006F0248">
      <w:pPr>
        <w:rPr>
          <w:rFonts w:ascii="Gill Sans MT" w:hAnsi="Gill Sans MT"/>
          <w:b/>
          <w:color w:val="716767" w:themeColor="accent6" w:themeShade="BF"/>
          <w:sz w:val="28"/>
          <w:szCs w:val="28"/>
        </w:rPr>
      </w:pPr>
    </w:p>
    <w:p w14:paraId="57156A03" w14:textId="77777777" w:rsidR="00FF70AD" w:rsidRDefault="00FF70AD">
      <w:pPr>
        <w:jc w:val="left"/>
        <w:rPr>
          <w:rFonts w:ascii="Gill Sans MT" w:eastAsiaTheme="majorEastAsia" w:hAnsi="Gill Sans MT" w:cstheme="majorBidi"/>
          <w:b/>
          <w:bCs/>
          <w:color w:val="716767" w:themeColor="accent6" w:themeShade="BF"/>
          <w:sz w:val="26"/>
          <w:szCs w:val="26"/>
        </w:rPr>
      </w:pPr>
      <w:r>
        <w:br w:type="page"/>
      </w:r>
    </w:p>
    <w:p w14:paraId="7E6E1803" w14:textId="291CF5FB" w:rsidR="002F11C3" w:rsidRPr="006F0248" w:rsidRDefault="002F11C3" w:rsidP="00B677E6">
      <w:pPr>
        <w:pStyle w:val="Heading2"/>
      </w:pPr>
      <w:bookmarkStart w:id="35" w:name="_Toc22632495"/>
      <w:r w:rsidRPr="006F0248">
        <w:lastRenderedPageBreak/>
        <w:t>IHT Supplemental Question</w:t>
      </w:r>
      <w:r w:rsidR="002D3F04" w:rsidRPr="006F0248">
        <w:t xml:space="preserve"> Results</w:t>
      </w:r>
      <w:bookmarkEnd w:id="35"/>
    </w:p>
    <w:p w14:paraId="609C1E1A" w14:textId="0672A091" w:rsidR="002715F9" w:rsidRDefault="004627DB" w:rsidP="000425FA">
      <w:pPr>
        <w:spacing w:before="120"/>
        <w:rPr>
          <w:b/>
          <w:color w:val="94B6D2" w:themeColor="accent1"/>
        </w:rPr>
      </w:pPr>
      <w:r w:rsidRPr="006F0248">
        <w:rPr>
          <w:b/>
          <w:color w:val="716767" w:themeColor="accent6" w:themeShade="BF"/>
        </w:rPr>
        <w:t>Table 1</w:t>
      </w:r>
      <w:r w:rsidR="00355DAF">
        <w:rPr>
          <w:b/>
          <w:color w:val="716767" w:themeColor="accent6" w:themeShade="BF"/>
        </w:rPr>
        <w:t>2</w:t>
      </w:r>
      <w:r w:rsidR="00FC15E7" w:rsidRPr="006F0248">
        <w:rPr>
          <w:b/>
          <w:color w:val="716767" w:themeColor="accent6" w:themeShade="BF"/>
        </w:rPr>
        <w:t xml:space="preserve"> </w:t>
      </w:r>
      <w:r w:rsidR="00FC15E7" w:rsidRPr="00BA1EB5">
        <w:t>s</w:t>
      </w:r>
      <w:r w:rsidR="00FC15E7" w:rsidRPr="001227E6">
        <w:t xml:space="preserve">ummarizes responses to the eight supplemental questions added to the MPR protocol to ascertain </w:t>
      </w:r>
      <w:r w:rsidR="00F02BD5">
        <w:t>specific information regarding</w:t>
      </w:r>
      <w:r w:rsidR="00F02BD5" w:rsidRPr="001227E6">
        <w:t xml:space="preserve"> </w:t>
      </w:r>
      <w:r w:rsidR="00FC15E7" w:rsidRPr="001227E6">
        <w:t>care coordination delivered as part of the IHT service</w:t>
      </w:r>
      <w:r w:rsidR="00CD28C2">
        <w:t>.</w:t>
      </w:r>
    </w:p>
    <w:p w14:paraId="603BC4C1" w14:textId="2F35F194" w:rsidR="001F5D59" w:rsidRPr="00283716" w:rsidRDefault="001F5D59" w:rsidP="00EB2238">
      <w:pPr>
        <w:pStyle w:val="Heading3"/>
        <w:rPr>
          <w:rStyle w:val="Strong"/>
          <w:b/>
        </w:rPr>
      </w:pPr>
      <w:bookmarkStart w:id="36" w:name="_Toc22632496"/>
      <w:r w:rsidRPr="00283716">
        <w:rPr>
          <w:rStyle w:val="Strong"/>
          <w:b/>
        </w:rPr>
        <w:t>Table</w:t>
      </w:r>
      <w:r w:rsidR="004627DB" w:rsidRPr="00283716">
        <w:rPr>
          <w:rStyle w:val="Strong"/>
          <w:b/>
        </w:rPr>
        <w:t xml:space="preserve"> 1</w:t>
      </w:r>
      <w:r w:rsidR="00355DAF">
        <w:rPr>
          <w:rStyle w:val="Strong"/>
          <w:b/>
        </w:rPr>
        <w:t>2</w:t>
      </w:r>
      <w:r w:rsidRPr="00283716">
        <w:rPr>
          <w:rStyle w:val="Strong"/>
          <w:b/>
        </w:rPr>
        <w:t>: IHT Supplemental Question Results</w:t>
      </w:r>
      <w:bookmarkEnd w:id="36"/>
    </w:p>
    <w:tbl>
      <w:tblPr>
        <w:tblStyle w:val="GridTable4-Accent21"/>
        <w:tblW w:w="10080" w:type="dxa"/>
        <w:tblLayout w:type="fixed"/>
        <w:tblLook w:val="04A0" w:firstRow="1" w:lastRow="0" w:firstColumn="1" w:lastColumn="0" w:noHBand="0" w:noVBand="1"/>
      </w:tblPr>
      <w:tblGrid>
        <w:gridCol w:w="2512"/>
        <w:gridCol w:w="26"/>
        <w:gridCol w:w="1496"/>
        <w:gridCol w:w="34"/>
        <w:gridCol w:w="48"/>
        <w:gridCol w:w="1663"/>
        <w:gridCol w:w="22"/>
        <w:gridCol w:w="879"/>
        <w:gridCol w:w="806"/>
        <w:gridCol w:w="7"/>
        <w:gridCol w:w="855"/>
        <w:gridCol w:w="20"/>
        <w:gridCol w:w="1712"/>
      </w:tblGrid>
      <w:tr w:rsidR="00A17316" w:rsidRPr="0099761D" w14:paraId="60D71343" w14:textId="77777777" w:rsidTr="00A17316">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314" w:type="pct"/>
            <w:gridSpan w:val="8"/>
            <w:vMerge w:val="restart"/>
          </w:tcPr>
          <w:p w14:paraId="6FF7FCDF" w14:textId="77777777" w:rsidR="00A17316" w:rsidRPr="00E327FF" w:rsidRDefault="00A17316" w:rsidP="00092630">
            <w:pPr>
              <w:rPr>
                <w:sz w:val="20"/>
                <w:szCs w:val="20"/>
              </w:rPr>
            </w:pPr>
            <w:r w:rsidRPr="00E327FF">
              <w:rPr>
                <w:sz w:val="20"/>
                <w:szCs w:val="20"/>
              </w:rPr>
              <w:t>Question</w:t>
            </w:r>
          </w:p>
        </w:tc>
        <w:tc>
          <w:tcPr>
            <w:tcW w:w="1686" w:type="pct"/>
            <w:gridSpan w:val="5"/>
          </w:tcPr>
          <w:p w14:paraId="17ACF246" w14:textId="77777777" w:rsidR="00A17316" w:rsidRPr="00E327FF" w:rsidRDefault="00A17316" w:rsidP="00092630">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E327FF">
              <w:rPr>
                <w:sz w:val="20"/>
                <w:szCs w:val="20"/>
              </w:rPr>
              <w:t>Results</w:t>
            </w:r>
          </w:p>
        </w:tc>
      </w:tr>
      <w:tr w:rsidR="00A17316" w:rsidRPr="0099761D" w14:paraId="28AECE78" w14:textId="77777777" w:rsidTr="00A17316">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3314" w:type="pct"/>
            <w:gridSpan w:val="8"/>
            <w:vMerge/>
          </w:tcPr>
          <w:p w14:paraId="360AD525" w14:textId="77777777" w:rsidR="00A17316" w:rsidRPr="00E327FF" w:rsidRDefault="00A17316" w:rsidP="00092630">
            <w:pPr>
              <w:rPr>
                <w:sz w:val="20"/>
                <w:szCs w:val="20"/>
              </w:rPr>
            </w:pPr>
          </w:p>
        </w:tc>
        <w:tc>
          <w:tcPr>
            <w:tcW w:w="835" w:type="pct"/>
            <w:gridSpan w:val="4"/>
          </w:tcPr>
          <w:p w14:paraId="589FC42E" w14:textId="77777777" w:rsidR="00A17316" w:rsidRPr="00A17316" w:rsidRDefault="00A17316"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A17316">
              <w:rPr>
                <w:b/>
                <w:sz w:val="20"/>
                <w:szCs w:val="20"/>
              </w:rPr>
              <w:t>Response</w:t>
            </w:r>
          </w:p>
        </w:tc>
        <w:tc>
          <w:tcPr>
            <w:tcW w:w="850" w:type="pct"/>
          </w:tcPr>
          <w:p w14:paraId="04360D74" w14:textId="77777777" w:rsidR="00A17316" w:rsidRPr="00A17316" w:rsidRDefault="00A17316" w:rsidP="00092630">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A17316">
              <w:rPr>
                <w:b/>
                <w:sz w:val="20"/>
                <w:szCs w:val="20"/>
              </w:rPr>
              <w:t>(n) %</w:t>
            </w:r>
          </w:p>
        </w:tc>
      </w:tr>
      <w:tr w:rsidR="004B6B3E" w:rsidRPr="00687824" w14:paraId="11AAE0F5" w14:textId="77777777" w:rsidTr="00A17316">
        <w:trPr>
          <w:trHeight w:val="1095"/>
        </w:trPr>
        <w:tc>
          <w:tcPr>
            <w:cnfStyle w:val="001000000000" w:firstRow="0" w:lastRow="0" w:firstColumn="1" w:lastColumn="0" w:oddVBand="0" w:evenVBand="0" w:oddHBand="0" w:evenHBand="0" w:firstRowFirstColumn="0" w:firstRowLastColumn="0" w:lastRowFirstColumn="0" w:lastRowLastColumn="0"/>
            <w:tcW w:w="3314" w:type="pct"/>
            <w:gridSpan w:val="8"/>
          </w:tcPr>
          <w:p w14:paraId="55339554" w14:textId="77777777" w:rsidR="004B6B3E" w:rsidRPr="00E327FF" w:rsidRDefault="004B6B3E" w:rsidP="00092630">
            <w:pPr>
              <w:ind w:left="270" w:hanging="270"/>
              <w:rPr>
                <w:sz w:val="20"/>
                <w:szCs w:val="20"/>
              </w:rPr>
            </w:pPr>
            <w:r w:rsidRPr="00E327FF">
              <w:rPr>
                <w:sz w:val="20"/>
                <w:szCs w:val="20"/>
              </w:rPr>
              <w:t xml:space="preserve">1.  </w:t>
            </w:r>
            <w:r w:rsidRPr="00E327FF">
              <w:rPr>
                <w:b w:val="0"/>
                <w:sz w:val="20"/>
                <w:szCs w:val="20"/>
              </w:rPr>
              <w:t>Youth needs or receives multiple services from the same or multiple providers AND needs a CSA Wraparound care planning team to coordinate services from multiple providers or state agencies, special education, or a combination thereof.</w:t>
            </w:r>
          </w:p>
        </w:tc>
        <w:tc>
          <w:tcPr>
            <w:tcW w:w="835" w:type="pct"/>
            <w:gridSpan w:val="4"/>
          </w:tcPr>
          <w:p w14:paraId="331180F1" w14:textId="0E9EBB10" w:rsidR="00DA02D6" w:rsidRDefault="00DA02D6"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p w14:paraId="36F49926" w14:textId="03857CCD" w:rsidR="004B6B3E" w:rsidRPr="001E1B37"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1E1B37">
              <w:rPr>
                <w:b/>
                <w:sz w:val="20"/>
                <w:szCs w:val="20"/>
              </w:rPr>
              <w:t>No</w:t>
            </w:r>
          </w:p>
        </w:tc>
        <w:tc>
          <w:tcPr>
            <w:tcW w:w="850" w:type="pct"/>
          </w:tcPr>
          <w:p w14:paraId="37D5FBCD" w14:textId="77777777" w:rsidR="004B6B3E" w:rsidRPr="00C62D71" w:rsidRDefault="00C62D71"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sidRPr="00C62D71">
              <w:rPr>
                <w:sz w:val="20"/>
                <w:szCs w:val="20"/>
              </w:rPr>
              <w:t>(8) 13%</w:t>
            </w:r>
          </w:p>
          <w:p w14:paraId="60A41447" w14:textId="76C7DE96" w:rsidR="00C62D71" w:rsidRPr="001E1B37" w:rsidRDefault="00C62D71"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(54) 87%</w:t>
            </w:r>
          </w:p>
        </w:tc>
      </w:tr>
      <w:tr w:rsidR="00A17316" w:rsidRPr="0099761D" w14:paraId="48843A58" w14:textId="77777777" w:rsidTr="00A17316">
        <w:trPr>
          <w:cnfStyle w:val="000000100000" w:firstRow="0" w:lastRow="0" w:firstColumn="0" w:lastColumn="0" w:oddVBand="0" w:evenVBand="0" w:oddHBand="1" w:evenHBand="0" w:firstRowFirstColumn="0" w:firstRowLastColumn="0" w:lastRowFirstColumn="0" w:lastRowLastColumn="0"/>
          <w:trHeight w:val="1059"/>
        </w:trPr>
        <w:tc>
          <w:tcPr>
            <w:cnfStyle w:val="001000000000" w:firstRow="0" w:lastRow="0" w:firstColumn="1" w:lastColumn="0" w:oddVBand="0" w:evenVBand="0" w:oddHBand="0" w:evenHBand="0" w:firstRowFirstColumn="0" w:firstRowLastColumn="0" w:lastRowFirstColumn="0" w:lastRowLastColumn="0"/>
            <w:tcW w:w="3314" w:type="pct"/>
            <w:gridSpan w:val="8"/>
          </w:tcPr>
          <w:p w14:paraId="6384BF77" w14:textId="77777777" w:rsidR="004B6B3E" w:rsidRPr="00E327FF" w:rsidRDefault="004B6B3E" w:rsidP="00092630">
            <w:pPr>
              <w:ind w:left="270" w:hanging="270"/>
              <w:rPr>
                <w:sz w:val="20"/>
                <w:szCs w:val="20"/>
              </w:rPr>
            </w:pPr>
            <w:r w:rsidRPr="00E327FF">
              <w:rPr>
                <w:sz w:val="20"/>
                <w:szCs w:val="20"/>
              </w:rPr>
              <w:t xml:space="preserve">2.  </w:t>
            </w:r>
            <w:r w:rsidRPr="00E327FF">
              <w:rPr>
                <w:b w:val="0"/>
                <w:sz w:val="20"/>
                <w:szCs w:val="20"/>
              </w:rPr>
              <w:t>Youth needs or receives services from state agencies, special education, or a combination thereof AND needs a CSA Wraparound care planning team to coordinate services from multiple providers or state agencies, special education, or a combination thereof.</w:t>
            </w:r>
          </w:p>
        </w:tc>
        <w:tc>
          <w:tcPr>
            <w:tcW w:w="835" w:type="pct"/>
            <w:gridSpan w:val="4"/>
          </w:tcPr>
          <w:p w14:paraId="7C1801EB" w14:textId="40BE2B06" w:rsidR="00DA02D6" w:rsidRDefault="00DA02D6"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w:t>
            </w:r>
          </w:p>
          <w:p w14:paraId="76B2155D" w14:textId="3BE93160" w:rsidR="004B6B3E" w:rsidRPr="001E1B37"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1E1B37">
              <w:rPr>
                <w:b/>
                <w:sz w:val="20"/>
                <w:szCs w:val="20"/>
              </w:rPr>
              <w:t>No</w:t>
            </w:r>
          </w:p>
        </w:tc>
        <w:tc>
          <w:tcPr>
            <w:tcW w:w="850" w:type="pct"/>
          </w:tcPr>
          <w:p w14:paraId="4FEE8050" w14:textId="77777777" w:rsidR="004B6B3E" w:rsidRPr="00C62D71" w:rsidRDefault="00C62D71"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sidRPr="00C62D71">
              <w:rPr>
                <w:sz w:val="20"/>
                <w:szCs w:val="20"/>
              </w:rPr>
              <w:t>(9) 15%</w:t>
            </w:r>
          </w:p>
          <w:p w14:paraId="28EA8886" w14:textId="0E69A705" w:rsidR="00C62D71" w:rsidRPr="001E1B37" w:rsidRDefault="00C62D71"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(53) 85%</w:t>
            </w:r>
          </w:p>
        </w:tc>
      </w:tr>
      <w:tr w:rsidR="004B6B3E" w:rsidRPr="0099761D" w14:paraId="286C2569" w14:textId="77777777" w:rsidTr="004B6B3E">
        <w:trPr>
          <w:trHeight w:val="159"/>
        </w:trPr>
        <w:tc>
          <w:tcPr>
            <w:cnfStyle w:val="001000000000" w:firstRow="0" w:lastRow="0" w:firstColumn="1" w:lastColumn="0" w:oddVBand="0" w:evenVBand="0" w:oddHBand="0" w:evenHBand="0" w:firstRowFirstColumn="0" w:firstRowLastColumn="0" w:lastRowFirstColumn="0" w:lastRowLastColumn="0"/>
            <w:tcW w:w="5000" w:type="pct"/>
            <w:gridSpan w:val="13"/>
          </w:tcPr>
          <w:p w14:paraId="13BF2E9E" w14:textId="77777777" w:rsidR="004B6B3E" w:rsidRPr="00E327FF" w:rsidRDefault="004B6B3E" w:rsidP="00092630">
            <w:pPr>
              <w:rPr>
                <w:color w:val="0070C0"/>
                <w:sz w:val="20"/>
                <w:szCs w:val="20"/>
              </w:rPr>
            </w:pPr>
            <w:r w:rsidRPr="00E327FF">
              <w:rPr>
                <w:sz w:val="20"/>
                <w:szCs w:val="20"/>
              </w:rPr>
              <w:t xml:space="preserve">3. </w:t>
            </w:r>
            <w:r w:rsidRPr="00E327FF">
              <w:rPr>
                <w:b w:val="0"/>
                <w:sz w:val="20"/>
                <w:szCs w:val="20"/>
              </w:rPr>
              <w:t>Youth is receiving the amount and quality of care coordination his/her situation requires.</w:t>
            </w:r>
          </w:p>
        </w:tc>
      </w:tr>
      <w:tr w:rsidR="004B6B3E" w:rsidRPr="0099761D" w14:paraId="07E46658" w14:textId="77777777" w:rsidTr="004B6B3E">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1246" w:type="pct"/>
          </w:tcPr>
          <w:p w14:paraId="57E407F5" w14:textId="77777777" w:rsidR="004B6B3E" w:rsidRPr="00E327FF" w:rsidRDefault="004B6B3E" w:rsidP="00092630">
            <w:pPr>
              <w:jc w:val="center"/>
              <w:rPr>
                <w:rFonts w:cs="Tahoma"/>
                <w:b w:val="0"/>
                <w:sz w:val="20"/>
                <w:szCs w:val="20"/>
              </w:rPr>
            </w:pPr>
            <w:r w:rsidRPr="00E327FF">
              <w:rPr>
                <w:sz w:val="20"/>
                <w:szCs w:val="20"/>
              </w:rPr>
              <w:t>Disagree Very Much</w:t>
            </w:r>
          </w:p>
          <w:p w14:paraId="62122189" w14:textId="77777777" w:rsidR="004B6B3E" w:rsidRPr="00E327FF" w:rsidRDefault="004B6B3E" w:rsidP="00092630">
            <w:pPr>
              <w:jc w:val="center"/>
              <w:rPr>
                <w:rFonts w:cs="Tahoma"/>
                <w:b w:val="0"/>
                <w:sz w:val="20"/>
                <w:szCs w:val="20"/>
              </w:rPr>
            </w:pPr>
            <w:r w:rsidRPr="00E327FF">
              <w:rPr>
                <w:sz w:val="20"/>
                <w:szCs w:val="20"/>
              </w:rPr>
              <w:t>(n) %</w:t>
            </w:r>
          </w:p>
          <w:p w14:paraId="6C9D754F" w14:textId="4BF1A672" w:rsidR="004B6B3E" w:rsidRPr="00E327FF" w:rsidRDefault="00C62D71" w:rsidP="00C62D71">
            <w:pPr>
              <w:jc w:val="center"/>
              <w:rPr>
                <w:b w:val="0"/>
                <w:bCs w:val="0"/>
                <w:sz w:val="20"/>
                <w:szCs w:val="20"/>
              </w:rPr>
            </w:pPr>
            <w:r>
              <w:rPr>
                <w:b w:val="0"/>
                <w:bCs w:val="0"/>
                <w:sz w:val="20"/>
                <w:szCs w:val="20"/>
              </w:rPr>
              <w:t>(3) 5%</w:t>
            </w:r>
          </w:p>
        </w:tc>
        <w:tc>
          <w:tcPr>
            <w:tcW w:w="796" w:type="pct"/>
            <w:gridSpan w:val="4"/>
          </w:tcPr>
          <w:p w14:paraId="6FAA5128"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rFonts w:cs="Tahoma"/>
                <w:b/>
                <w:sz w:val="20"/>
                <w:szCs w:val="20"/>
              </w:rPr>
            </w:pPr>
            <w:r w:rsidRPr="00E327FF">
              <w:rPr>
                <w:b/>
                <w:sz w:val="20"/>
                <w:szCs w:val="20"/>
              </w:rPr>
              <w:t>Disagree</w:t>
            </w:r>
          </w:p>
          <w:p w14:paraId="73F8564D"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rFonts w:cs="Tahoma"/>
                <w:b/>
                <w:sz w:val="20"/>
                <w:szCs w:val="20"/>
              </w:rPr>
            </w:pPr>
            <w:r w:rsidRPr="00E327FF">
              <w:rPr>
                <w:b/>
                <w:sz w:val="20"/>
                <w:szCs w:val="20"/>
              </w:rPr>
              <w:t>(n) %</w:t>
            </w:r>
          </w:p>
          <w:p w14:paraId="1913C209" w14:textId="3BFB0D9B" w:rsidR="004B6B3E" w:rsidRPr="00E327FF" w:rsidRDefault="00C62D71" w:rsidP="00092630">
            <w:pPr>
              <w:jc w:val="center"/>
              <w:cnfStyle w:val="000000100000" w:firstRow="0" w:lastRow="0" w:firstColumn="0" w:lastColumn="0" w:oddVBand="0" w:evenVBand="0" w:oddHBand="1" w:evenHBand="0" w:firstRowFirstColumn="0" w:firstRowLastColumn="0" w:lastRowFirstColumn="0" w:lastRowLastColumn="0"/>
              <w:rPr>
                <w:rFonts w:cs="Tahoma"/>
                <w:sz w:val="20"/>
                <w:szCs w:val="20"/>
              </w:rPr>
            </w:pPr>
            <w:r>
              <w:rPr>
                <w:rFonts w:cs="Tahoma"/>
                <w:sz w:val="20"/>
                <w:szCs w:val="20"/>
              </w:rPr>
              <w:t>(9) 15%</w:t>
            </w:r>
          </w:p>
        </w:tc>
        <w:tc>
          <w:tcPr>
            <w:tcW w:w="836" w:type="pct"/>
            <w:gridSpan w:val="2"/>
          </w:tcPr>
          <w:p w14:paraId="260782B3"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rFonts w:cs="Tahoma"/>
                <w:b/>
                <w:sz w:val="20"/>
                <w:szCs w:val="20"/>
              </w:rPr>
            </w:pPr>
            <w:r w:rsidRPr="00E327FF">
              <w:rPr>
                <w:b/>
                <w:sz w:val="20"/>
                <w:szCs w:val="20"/>
              </w:rPr>
              <w:t>Neither</w:t>
            </w:r>
          </w:p>
          <w:p w14:paraId="092DE60C"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rFonts w:cs="Tahoma"/>
                <w:b/>
                <w:sz w:val="20"/>
                <w:szCs w:val="20"/>
              </w:rPr>
            </w:pPr>
            <w:r w:rsidRPr="00E327FF">
              <w:rPr>
                <w:b/>
                <w:sz w:val="20"/>
                <w:szCs w:val="20"/>
              </w:rPr>
              <w:t>(n) %</w:t>
            </w:r>
          </w:p>
          <w:p w14:paraId="40DF05BE" w14:textId="0601D521" w:rsidR="004B6B3E" w:rsidRPr="00E327FF" w:rsidRDefault="00C62D71" w:rsidP="00C62D71">
            <w:pPr>
              <w:jc w:val="center"/>
              <w:cnfStyle w:val="000000100000" w:firstRow="0" w:lastRow="0" w:firstColumn="0" w:lastColumn="0" w:oddVBand="0" w:evenVBand="0" w:oddHBand="1" w:evenHBand="0" w:firstRowFirstColumn="0" w:firstRowLastColumn="0" w:lastRowFirstColumn="0" w:lastRowLastColumn="0"/>
              <w:rPr>
                <w:rFonts w:cs="Tahoma"/>
                <w:sz w:val="20"/>
                <w:szCs w:val="20"/>
              </w:rPr>
            </w:pPr>
            <w:r>
              <w:rPr>
                <w:rFonts w:cs="Tahoma"/>
                <w:sz w:val="20"/>
                <w:szCs w:val="20"/>
              </w:rPr>
              <w:t>(10) 16%</w:t>
            </w:r>
          </w:p>
        </w:tc>
        <w:tc>
          <w:tcPr>
            <w:tcW w:w="836" w:type="pct"/>
            <w:gridSpan w:val="2"/>
          </w:tcPr>
          <w:p w14:paraId="46EC2A62"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rFonts w:cs="Tahoma"/>
                <w:b/>
                <w:sz w:val="20"/>
                <w:szCs w:val="20"/>
              </w:rPr>
            </w:pPr>
            <w:r w:rsidRPr="00E327FF">
              <w:rPr>
                <w:b/>
                <w:sz w:val="20"/>
                <w:szCs w:val="20"/>
              </w:rPr>
              <w:t>Agree</w:t>
            </w:r>
          </w:p>
          <w:p w14:paraId="6D22BBB4"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rFonts w:cs="Tahoma"/>
                <w:b/>
                <w:sz w:val="20"/>
                <w:szCs w:val="20"/>
              </w:rPr>
            </w:pPr>
            <w:r w:rsidRPr="00E327FF">
              <w:rPr>
                <w:b/>
                <w:sz w:val="20"/>
                <w:szCs w:val="20"/>
              </w:rPr>
              <w:t>(n) %</w:t>
            </w:r>
          </w:p>
          <w:p w14:paraId="6887DAE1" w14:textId="43C310DA" w:rsidR="004B6B3E" w:rsidRPr="00E327FF" w:rsidRDefault="00C62D71" w:rsidP="00092630">
            <w:pPr>
              <w:jc w:val="center"/>
              <w:cnfStyle w:val="000000100000" w:firstRow="0" w:lastRow="0" w:firstColumn="0" w:lastColumn="0" w:oddVBand="0" w:evenVBand="0" w:oddHBand="1" w:evenHBand="0" w:firstRowFirstColumn="0" w:firstRowLastColumn="0" w:lastRowFirstColumn="0" w:lastRowLastColumn="0"/>
              <w:rPr>
                <w:rFonts w:cs="Tahoma"/>
                <w:sz w:val="20"/>
                <w:szCs w:val="20"/>
              </w:rPr>
            </w:pPr>
            <w:r>
              <w:rPr>
                <w:rFonts w:cs="Tahoma"/>
                <w:sz w:val="20"/>
                <w:szCs w:val="20"/>
              </w:rPr>
              <w:t>(28) 45%</w:t>
            </w:r>
          </w:p>
        </w:tc>
        <w:tc>
          <w:tcPr>
            <w:tcW w:w="1287" w:type="pct"/>
            <w:gridSpan w:val="4"/>
          </w:tcPr>
          <w:p w14:paraId="3EE4D88F"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rFonts w:cs="Tahoma"/>
                <w:b/>
                <w:bCs/>
                <w:sz w:val="20"/>
                <w:szCs w:val="20"/>
              </w:rPr>
            </w:pPr>
            <w:r w:rsidRPr="00E327FF">
              <w:rPr>
                <w:rFonts w:cs="Tahoma"/>
                <w:b/>
                <w:bCs/>
                <w:sz w:val="20"/>
                <w:szCs w:val="20"/>
              </w:rPr>
              <w:t>Agree Very Much</w:t>
            </w:r>
          </w:p>
          <w:p w14:paraId="6C54B239"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rFonts w:cs="Tahoma"/>
                <w:b/>
                <w:bCs/>
                <w:sz w:val="20"/>
                <w:szCs w:val="20"/>
              </w:rPr>
            </w:pPr>
            <w:r w:rsidRPr="00E327FF">
              <w:rPr>
                <w:rFonts w:cs="Tahoma"/>
                <w:b/>
                <w:bCs/>
                <w:sz w:val="20"/>
                <w:szCs w:val="20"/>
              </w:rPr>
              <w:t>(n) %</w:t>
            </w:r>
          </w:p>
          <w:p w14:paraId="08463177" w14:textId="2FC002C1" w:rsidR="004B6B3E" w:rsidRPr="00035138" w:rsidRDefault="00C62D71" w:rsidP="00092630">
            <w:pPr>
              <w:jc w:val="center"/>
              <w:cnfStyle w:val="000000100000" w:firstRow="0" w:lastRow="0" w:firstColumn="0" w:lastColumn="0" w:oddVBand="0" w:evenVBand="0" w:oddHBand="1" w:evenHBand="0" w:firstRowFirstColumn="0" w:firstRowLastColumn="0" w:lastRowFirstColumn="0" w:lastRowLastColumn="0"/>
              <w:rPr>
                <w:rFonts w:cs="Tahoma"/>
                <w:sz w:val="20"/>
                <w:szCs w:val="20"/>
              </w:rPr>
            </w:pPr>
            <w:r>
              <w:rPr>
                <w:rFonts w:cs="Tahoma"/>
                <w:sz w:val="20"/>
                <w:szCs w:val="20"/>
              </w:rPr>
              <w:t>(12) 19%</w:t>
            </w:r>
          </w:p>
        </w:tc>
      </w:tr>
      <w:tr w:rsidR="004B6B3E" w:rsidRPr="0099761D" w14:paraId="38D4DE63" w14:textId="77777777" w:rsidTr="00A17316">
        <w:trPr>
          <w:trHeight w:val="420"/>
        </w:trPr>
        <w:tc>
          <w:tcPr>
            <w:cnfStyle w:val="001000000000" w:firstRow="0" w:lastRow="0" w:firstColumn="1" w:lastColumn="0" w:oddVBand="0" w:evenVBand="0" w:oddHBand="0" w:evenHBand="0" w:firstRowFirstColumn="0" w:firstRowLastColumn="0" w:lastRowFirstColumn="0" w:lastRowLastColumn="0"/>
            <w:tcW w:w="3314" w:type="pct"/>
            <w:gridSpan w:val="8"/>
          </w:tcPr>
          <w:p w14:paraId="6036F5B7" w14:textId="77777777" w:rsidR="004B6B3E" w:rsidRPr="00E327FF" w:rsidRDefault="004B6B3E" w:rsidP="004B6B3E">
            <w:pPr>
              <w:pStyle w:val="ListParagraph"/>
              <w:numPr>
                <w:ilvl w:val="0"/>
                <w:numId w:val="5"/>
              </w:numPr>
              <w:ind w:left="216" w:hanging="234"/>
              <w:rPr>
                <w:b w:val="0"/>
                <w:bCs w:val="0"/>
                <w:sz w:val="20"/>
                <w:szCs w:val="20"/>
              </w:rPr>
            </w:pPr>
            <w:r w:rsidRPr="00E327FF">
              <w:rPr>
                <w:b w:val="0"/>
                <w:sz w:val="20"/>
                <w:szCs w:val="20"/>
              </w:rPr>
              <w:t>Has the youth previously been enrolled in ICC?</w:t>
            </w:r>
          </w:p>
        </w:tc>
        <w:tc>
          <w:tcPr>
            <w:tcW w:w="835" w:type="pct"/>
            <w:gridSpan w:val="4"/>
          </w:tcPr>
          <w:p w14:paraId="4F515D4B" w14:textId="7E759772" w:rsidR="00DA02D6" w:rsidRDefault="00DA02D6"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p w14:paraId="377D4CB7" w14:textId="26C7854B" w:rsidR="004B6B3E" w:rsidRPr="001E1B37"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1E1B37">
              <w:rPr>
                <w:b/>
                <w:sz w:val="20"/>
                <w:szCs w:val="20"/>
              </w:rPr>
              <w:t>No</w:t>
            </w:r>
          </w:p>
        </w:tc>
        <w:tc>
          <w:tcPr>
            <w:tcW w:w="850" w:type="pct"/>
          </w:tcPr>
          <w:p w14:paraId="03998A16" w14:textId="77777777" w:rsidR="004B6B3E" w:rsidRPr="00C62D71" w:rsidRDefault="00C62D71"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sidRPr="00C62D71">
              <w:rPr>
                <w:sz w:val="20"/>
                <w:szCs w:val="20"/>
              </w:rPr>
              <w:t>(13) 21%</w:t>
            </w:r>
          </w:p>
          <w:p w14:paraId="5CF4DD26" w14:textId="46C5A4CC" w:rsidR="00C62D71" w:rsidRPr="001E1B37" w:rsidRDefault="00C62D71"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(49) 79%</w:t>
            </w:r>
          </w:p>
        </w:tc>
      </w:tr>
      <w:tr w:rsidR="004B6B3E" w:rsidRPr="0099761D" w14:paraId="6471AA86" w14:textId="77777777" w:rsidTr="00A17316">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314" w:type="pct"/>
            <w:gridSpan w:val="8"/>
          </w:tcPr>
          <w:p w14:paraId="59643ECD" w14:textId="39045326" w:rsidR="004B6B3E" w:rsidRPr="00E327FF" w:rsidRDefault="004B6B3E" w:rsidP="00092630">
            <w:pPr>
              <w:ind w:left="450" w:hanging="450"/>
              <w:rPr>
                <w:b w:val="0"/>
                <w:sz w:val="20"/>
                <w:szCs w:val="20"/>
              </w:rPr>
            </w:pPr>
            <w:r w:rsidRPr="00E327FF">
              <w:rPr>
                <w:sz w:val="20"/>
                <w:szCs w:val="20"/>
              </w:rPr>
              <w:t xml:space="preserve">5 a.) </w:t>
            </w:r>
            <w:r w:rsidRPr="00E327FF">
              <w:rPr>
                <w:b w:val="0"/>
                <w:sz w:val="20"/>
                <w:szCs w:val="20"/>
              </w:rPr>
              <w:t xml:space="preserve">According to the </w:t>
            </w:r>
            <w:r w:rsidR="00CF09A5">
              <w:rPr>
                <w:b w:val="0"/>
                <w:sz w:val="20"/>
                <w:szCs w:val="20"/>
              </w:rPr>
              <w:t>CAREGIVER</w:t>
            </w:r>
            <w:r w:rsidRPr="00E327FF">
              <w:rPr>
                <w:b w:val="0"/>
                <w:sz w:val="20"/>
                <w:szCs w:val="20"/>
              </w:rPr>
              <w:t>, has the IHT team ever discussed the optio</w:t>
            </w:r>
            <w:r w:rsidR="003B2A00">
              <w:rPr>
                <w:b w:val="0"/>
                <w:sz w:val="20"/>
                <w:szCs w:val="20"/>
              </w:rPr>
              <w:t>n of ICC with the youth/family?</w:t>
            </w:r>
          </w:p>
        </w:tc>
        <w:tc>
          <w:tcPr>
            <w:tcW w:w="835" w:type="pct"/>
            <w:gridSpan w:val="4"/>
          </w:tcPr>
          <w:p w14:paraId="7AFE1826" w14:textId="30D7D98C" w:rsidR="00DA02D6" w:rsidRPr="00C62D71" w:rsidRDefault="00DA02D6"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C62D71">
              <w:rPr>
                <w:b/>
                <w:sz w:val="20"/>
                <w:szCs w:val="20"/>
              </w:rPr>
              <w:t>Yes</w:t>
            </w:r>
          </w:p>
          <w:p w14:paraId="6E16D9C6" w14:textId="77777777" w:rsidR="004B6B3E" w:rsidRPr="00C62D71" w:rsidRDefault="004B6B3E"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sidRPr="00C62D71">
              <w:rPr>
                <w:sz w:val="20"/>
                <w:szCs w:val="20"/>
              </w:rPr>
              <w:t>No</w:t>
            </w:r>
          </w:p>
          <w:p w14:paraId="75CA1935" w14:textId="6A9AFE89" w:rsidR="00DA02D6" w:rsidRPr="00E327FF" w:rsidRDefault="00DA02D6"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850" w:type="pct"/>
          </w:tcPr>
          <w:p w14:paraId="2775645D" w14:textId="683C14D0" w:rsidR="00DA02D6" w:rsidRPr="00C62D71" w:rsidRDefault="00C62D71"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(31) 50</w:t>
            </w:r>
            <w:r w:rsidRPr="00C62D71">
              <w:rPr>
                <w:b/>
                <w:sz w:val="20"/>
                <w:szCs w:val="20"/>
              </w:rPr>
              <w:t>%</w:t>
            </w:r>
          </w:p>
          <w:p w14:paraId="1C2E920B" w14:textId="5B0453D9" w:rsidR="00C62D71" w:rsidRDefault="00C62D71"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(18) 29%</w:t>
            </w:r>
          </w:p>
          <w:p w14:paraId="6536052E" w14:textId="26DC0F43" w:rsidR="00C62D71" w:rsidRPr="00E327FF" w:rsidRDefault="00C62D71"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 21%</w:t>
            </w:r>
          </w:p>
        </w:tc>
      </w:tr>
      <w:tr w:rsidR="00A17316" w:rsidRPr="0099761D" w14:paraId="141DF899" w14:textId="77777777" w:rsidTr="00A17316">
        <w:trPr>
          <w:trHeight w:val="579"/>
        </w:trPr>
        <w:tc>
          <w:tcPr>
            <w:cnfStyle w:val="001000000000" w:firstRow="0" w:lastRow="0" w:firstColumn="1" w:lastColumn="0" w:oddVBand="0" w:evenVBand="0" w:oddHBand="0" w:evenHBand="0" w:firstRowFirstColumn="0" w:firstRowLastColumn="0" w:lastRowFirstColumn="0" w:lastRowLastColumn="0"/>
            <w:tcW w:w="3314" w:type="pct"/>
            <w:gridSpan w:val="8"/>
          </w:tcPr>
          <w:p w14:paraId="77A7B756" w14:textId="3940DE06" w:rsidR="004B6B3E" w:rsidRPr="00E327FF" w:rsidRDefault="004B6B3E" w:rsidP="00092630">
            <w:pPr>
              <w:ind w:left="450" w:hanging="450"/>
              <w:rPr>
                <w:sz w:val="20"/>
                <w:szCs w:val="20"/>
              </w:rPr>
            </w:pPr>
            <w:r w:rsidRPr="00E327FF">
              <w:rPr>
                <w:sz w:val="20"/>
                <w:szCs w:val="20"/>
              </w:rPr>
              <w:t xml:space="preserve">5 b.) </w:t>
            </w:r>
            <w:r w:rsidRPr="00E327FF">
              <w:rPr>
                <w:b w:val="0"/>
                <w:sz w:val="20"/>
                <w:szCs w:val="20"/>
              </w:rPr>
              <w:t>According to the IHT Clinician, has the team ever discussed the option of ICC with the youth/family?</w:t>
            </w:r>
          </w:p>
        </w:tc>
        <w:tc>
          <w:tcPr>
            <w:tcW w:w="835" w:type="pct"/>
            <w:gridSpan w:val="4"/>
          </w:tcPr>
          <w:p w14:paraId="136BF336" w14:textId="77777777" w:rsidR="004B6B3E" w:rsidRPr="001E1B37"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1E1B37">
              <w:rPr>
                <w:b/>
                <w:sz w:val="20"/>
                <w:szCs w:val="20"/>
              </w:rPr>
              <w:t>Yes</w:t>
            </w:r>
          </w:p>
          <w:p w14:paraId="78314437" w14:textId="38257E3C" w:rsidR="00DA02D6" w:rsidRPr="00E327FF" w:rsidRDefault="00C62D71" w:rsidP="00C62D7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t>
            </w:r>
          </w:p>
        </w:tc>
        <w:tc>
          <w:tcPr>
            <w:tcW w:w="850" w:type="pct"/>
          </w:tcPr>
          <w:p w14:paraId="301E2774" w14:textId="77777777" w:rsidR="00DA02D6" w:rsidRPr="00C62D71" w:rsidRDefault="00C62D71"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C62D71">
              <w:rPr>
                <w:b/>
                <w:sz w:val="20"/>
                <w:szCs w:val="20"/>
              </w:rPr>
              <w:t>(47) 76%</w:t>
            </w:r>
          </w:p>
          <w:p w14:paraId="1512FA6E" w14:textId="2745FFEF" w:rsidR="00C62D71" w:rsidRPr="00E327FF" w:rsidRDefault="00C62D71"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 24%</w:t>
            </w:r>
          </w:p>
        </w:tc>
      </w:tr>
      <w:tr w:rsidR="004B6B3E" w:rsidRPr="0099761D" w14:paraId="77444597" w14:textId="77777777" w:rsidTr="00A1731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314" w:type="pct"/>
            <w:gridSpan w:val="8"/>
          </w:tcPr>
          <w:p w14:paraId="5CD6C69E" w14:textId="77777777" w:rsidR="004B6B3E" w:rsidRPr="00E327FF" w:rsidRDefault="004B6B3E" w:rsidP="00092630">
            <w:pPr>
              <w:ind w:left="450" w:hanging="450"/>
              <w:rPr>
                <w:sz w:val="20"/>
                <w:szCs w:val="20"/>
              </w:rPr>
            </w:pPr>
            <w:r w:rsidRPr="00E327FF">
              <w:rPr>
                <w:sz w:val="20"/>
                <w:szCs w:val="20"/>
              </w:rPr>
              <w:t xml:space="preserve">6 a.) </w:t>
            </w:r>
            <w:r w:rsidRPr="00E327FF">
              <w:rPr>
                <w:b w:val="0"/>
                <w:sz w:val="20"/>
                <w:szCs w:val="20"/>
              </w:rPr>
              <w:t>Youth and family need the IHT provider to coordinate/ collaborate with school personnel.</w:t>
            </w:r>
          </w:p>
        </w:tc>
        <w:tc>
          <w:tcPr>
            <w:tcW w:w="835" w:type="pct"/>
            <w:gridSpan w:val="4"/>
          </w:tcPr>
          <w:p w14:paraId="2F41BE1B" w14:textId="77777777" w:rsidR="004B6B3E" w:rsidRPr="001E1B37"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1E1B37">
              <w:rPr>
                <w:b/>
                <w:sz w:val="20"/>
                <w:szCs w:val="20"/>
              </w:rPr>
              <w:t>Yes</w:t>
            </w:r>
          </w:p>
          <w:p w14:paraId="368E8EB7" w14:textId="4DDCD8B7" w:rsidR="00DD0B79" w:rsidRPr="00E327FF" w:rsidRDefault="00DD0B79"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w:t>
            </w:r>
          </w:p>
        </w:tc>
        <w:tc>
          <w:tcPr>
            <w:tcW w:w="850" w:type="pct"/>
          </w:tcPr>
          <w:p w14:paraId="2CF4CC61" w14:textId="77777777" w:rsidR="004B6B3E" w:rsidRDefault="00C62D71"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C62D71">
              <w:rPr>
                <w:b/>
                <w:sz w:val="20"/>
                <w:szCs w:val="20"/>
              </w:rPr>
              <w:t>(53) 85%</w:t>
            </w:r>
          </w:p>
          <w:p w14:paraId="1605CADD" w14:textId="42918BCE" w:rsidR="00C62D71" w:rsidRPr="00C62D71" w:rsidRDefault="00C62D71"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sidRPr="00C62D71">
              <w:rPr>
                <w:sz w:val="20"/>
                <w:szCs w:val="20"/>
              </w:rPr>
              <w:t>(9) 15%</w:t>
            </w:r>
          </w:p>
        </w:tc>
      </w:tr>
      <w:tr w:rsidR="004B6B3E" w:rsidRPr="0099761D" w14:paraId="478B99F5" w14:textId="77777777" w:rsidTr="004B6B3E">
        <w:trPr>
          <w:trHeight w:val="310"/>
        </w:trPr>
        <w:tc>
          <w:tcPr>
            <w:cnfStyle w:val="001000000000" w:firstRow="0" w:lastRow="0" w:firstColumn="1" w:lastColumn="0" w:oddVBand="0" w:evenVBand="0" w:oddHBand="0" w:evenHBand="0" w:firstRowFirstColumn="0" w:firstRowLastColumn="0" w:lastRowFirstColumn="0" w:lastRowLastColumn="0"/>
            <w:tcW w:w="5000" w:type="pct"/>
            <w:gridSpan w:val="13"/>
          </w:tcPr>
          <w:p w14:paraId="112EB2BC" w14:textId="27210D7E" w:rsidR="004B6B3E" w:rsidRPr="00E327FF" w:rsidRDefault="004B6B3E" w:rsidP="00092630">
            <w:pPr>
              <w:rPr>
                <w:sz w:val="20"/>
                <w:szCs w:val="20"/>
              </w:rPr>
            </w:pPr>
            <w:r w:rsidRPr="00E327FF">
              <w:rPr>
                <w:sz w:val="20"/>
                <w:szCs w:val="20"/>
              </w:rPr>
              <w:t xml:space="preserve">6 b.) </w:t>
            </w:r>
            <w:r w:rsidRPr="00E327FF">
              <w:rPr>
                <w:b w:val="0"/>
                <w:sz w:val="20"/>
                <w:szCs w:val="20"/>
              </w:rPr>
              <w:t>If yes, the IHT is in regular contact with school personnel involved with the youth and family.*</w:t>
            </w:r>
            <w:r w:rsidR="0035454B">
              <w:rPr>
                <w:b w:val="0"/>
                <w:sz w:val="20"/>
                <w:szCs w:val="20"/>
              </w:rPr>
              <w:t>*</w:t>
            </w:r>
          </w:p>
        </w:tc>
      </w:tr>
      <w:tr w:rsidR="004B6B3E" w:rsidRPr="0099761D" w14:paraId="06AD32F2" w14:textId="77777777" w:rsidTr="004B6B3E">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1246" w:type="pct"/>
          </w:tcPr>
          <w:p w14:paraId="519E26AB" w14:textId="77777777" w:rsidR="004B6B3E" w:rsidRPr="00E327FF" w:rsidRDefault="004B6B3E" w:rsidP="00092630">
            <w:pPr>
              <w:jc w:val="center"/>
              <w:rPr>
                <w:b w:val="0"/>
                <w:sz w:val="20"/>
                <w:szCs w:val="20"/>
              </w:rPr>
            </w:pPr>
            <w:r w:rsidRPr="00E327FF">
              <w:rPr>
                <w:sz w:val="20"/>
                <w:szCs w:val="20"/>
              </w:rPr>
              <w:t>Disagree Very Much</w:t>
            </w:r>
          </w:p>
          <w:p w14:paraId="3B3E3FB8" w14:textId="77777777" w:rsidR="004B6B3E" w:rsidRPr="00E327FF" w:rsidRDefault="004B6B3E" w:rsidP="00092630">
            <w:pPr>
              <w:jc w:val="center"/>
              <w:rPr>
                <w:sz w:val="20"/>
                <w:szCs w:val="20"/>
              </w:rPr>
            </w:pPr>
            <w:r w:rsidRPr="00E327FF">
              <w:rPr>
                <w:sz w:val="20"/>
                <w:szCs w:val="20"/>
              </w:rPr>
              <w:t>(n) %</w:t>
            </w:r>
          </w:p>
          <w:p w14:paraId="5E1F4843" w14:textId="47434FA6" w:rsidR="004B6B3E" w:rsidRPr="00E327FF" w:rsidRDefault="00C62D71" w:rsidP="00092630">
            <w:pPr>
              <w:jc w:val="center"/>
              <w:rPr>
                <w:b w:val="0"/>
                <w:sz w:val="20"/>
                <w:szCs w:val="20"/>
              </w:rPr>
            </w:pPr>
            <w:r>
              <w:rPr>
                <w:b w:val="0"/>
                <w:sz w:val="20"/>
                <w:szCs w:val="20"/>
              </w:rPr>
              <w:t>(2) 4%</w:t>
            </w:r>
          </w:p>
        </w:tc>
        <w:tc>
          <w:tcPr>
            <w:tcW w:w="796" w:type="pct"/>
            <w:gridSpan w:val="4"/>
          </w:tcPr>
          <w:p w14:paraId="71242B0C"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327FF">
              <w:rPr>
                <w:b/>
                <w:sz w:val="20"/>
                <w:szCs w:val="20"/>
              </w:rPr>
              <w:t>Disagree</w:t>
            </w:r>
          </w:p>
          <w:p w14:paraId="13945D1B"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327FF">
              <w:rPr>
                <w:b/>
                <w:sz w:val="20"/>
                <w:szCs w:val="20"/>
              </w:rPr>
              <w:t>(n) %</w:t>
            </w:r>
          </w:p>
          <w:p w14:paraId="3DC47E18" w14:textId="0D005CC9" w:rsidR="004B6B3E" w:rsidRPr="00E327FF" w:rsidRDefault="00C62D71"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 15%</w:t>
            </w:r>
          </w:p>
        </w:tc>
        <w:tc>
          <w:tcPr>
            <w:tcW w:w="836" w:type="pct"/>
            <w:gridSpan w:val="2"/>
          </w:tcPr>
          <w:p w14:paraId="36263BC8"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327FF">
              <w:rPr>
                <w:b/>
                <w:sz w:val="20"/>
                <w:szCs w:val="20"/>
              </w:rPr>
              <w:t>Neither</w:t>
            </w:r>
          </w:p>
          <w:p w14:paraId="73D0320F"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327FF">
              <w:rPr>
                <w:b/>
                <w:sz w:val="20"/>
                <w:szCs w:val="20"/>
              </w:rPr>
              <w:t>(n) %</w:t>
            </w:r>
          </w:p>
          <w:p w14:paraId="151D5174" w14:textId="67B0C4F9" w:rsidR="004B6B3E" w:rsidRPr="00E327FF" w:rsidRDefault="00C62D71"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 9%</w:t>
            </w:r>
          </w:p>
        </w:tc>
        <w:tc>
          <w:tcPr>
            <w:tcW w:w="836" w:type="pct"/>
            <w:gridSpan w:val="2"/>
          </w:tcPr>
          <w:p w14:paraId="20CA871D"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327FF">
              <w:rPr>
                <w:b/>
                <w:sz w:val="20"/>
                <w:szCs w:val="20"/>
              </w:rPr>
              <w:t>Agree</w:t>
            </w:r>
          </w:p>
          <w:p w14:paraId="14AE3150"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327FF">
              <w:rPr>
                <w:b/>
                <w:sz w:val="20"/>
                <w:szCs w:val="20"/>
              </w:rPr>
              <w:t>(n) %</w:t>
            </w:r>
          </w:p>
          <w:p w14:paraId="79A6925D" w14:textId="360CB1E0" w:rsidR="004B6B3E" w:rsidRPr="00E327FF" w:rsidRDefault="00C62D71"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(16) 30%</w:t>
            </w:r>
          </w:p>
        </w:tc>
        <w:tc>
          <w:tcPr>
            <w:tcW w:w="1287" w:type="pct"/>
            <w:gridSpan w:val="4"/>
          </w:tcPr>
          <w:p w14:paraId="064A04DB"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327FF">
              <w:rPr>
                <w:b/>
                <w:sz w:val="20"/>
                <w:szCs w:val="20"/>
              </w:rPr>
              <w:t>Agree Very Much</w:t>
            </w:r>
          </w:p>
          <w:p w14:paraId="60A8FDD4"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327FF">
              <w:rPr>
                <w:b/>
                <w:sz w:val="20"/>
                <w:szCs w:val="20"/>
              </w:rPr>
              <w:t>(n) %</w:t>
            </w:r>
          </w:p>
          <w:p w14:paraId="4E1E97AA" w14:textId="731E654C" w:rsidR="004B6B3E" w:rsidRPr="00E327FF" w:rsidRDefault="00C62D71" w:rsidP="00092630">
            <w:pPr>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(22) 42%</w:t>
            </w:r>
          </w:p>
        </w:tc>
      </w:tr>
      <w:tr w:rsidR="004B6B3E" w:rsidRPr="0099761D" w14:paraId="0CC96E26" w14:textId="77777777" w:rsidTr="00A17316">
        <w:trPr>
          <w:trHeight w:val="627"/>
        </w:trPr>
        <w:tc>
          <w:tcPr>
            <w:cnfStyle w:val="001000000000" w:firstRow="0" w:lastRow="0" w:firstColumn="1" w:lastColumn="0" w:oddVBand="0" w:evenVBand="0" w:oddHBand="0" w:evenHBand="0" w:firstRowFirstColumn="0" w:firstRowLastColumn="0" w:lastRowFirstColumn="0" w:lastRowLastColumn="0"/>
            <w:tcW w:w="3713" w:type="pct"/>
            <w:gridSpan w:val="9"/>
          </w:tcPr>
          <w:p w14:paraId="3D882DC1" w14:textId="77777777" w:rsidR="004B6B3E" w:rsidRPr="00E327FF" w:rsidRDefault="004B6B3E" w:rsidP="00092630">
            <w:pPr>
              <w:ind w:left="450" w:hanging="450"/>
              <w:rPr>
                <w:b w:val="0"/>
                <w:bCs w:val="0"/>
                <w:sz w:val="20"/>
                <w:szCs w:val="20"/>
              </w:rPr>
            </w:pPr>
            <w:r w:rsidRPr="00E327FF">
              <w:rPr>
                <w:sz w:val="20"/>
                <w:szCs w:val="20"/>
              </w:rPr>
              <w:t xml:space="preserve">7 a.) </w:t>
            </w:r>
            <w:r w:rsidRPr="00E327FF">
              <w:rPr>
                <w:b w:val="0"/>
                <w:sz w:val="20"/>
                <w:szCs w:val="20"/>
              </w:rPr>
              <w:t>Youth and family need the IHT provider to coordinate/ collaborate with other service providers (e.g. TM, OP, psychiatry, etc.)</w:t>
            </w:r>
            <w:r w:rsidRPr="00E327FF">
              <w:rPr>
                <w:b w:val="0"/>
                <w:sz w:val="20"/>
                <w:szCs w:val="20"/>
              </w:rPr>
              <w:tab/>
            </w:r>
          </w:p>
        </w:tc>
        <w:tc>
          <w:tcPr>
            <w:tcW w:w="437" w:type="pct"/>
            <w:gridSpan w:val="3"/>
          </w:tcPr>
          <w:p w14:paraId="2B2C44B1" w14:textId="77777777" w:rsidR="004B6B3E" w:rsidRPr="001E1B37"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1E1B37">
              <w:rPr>
                <w:b/>
                <w:sz w:val="20"/>
                <w:szCs w:val="20"/>
              </w:rPr>
              <w:t>Yes</w:t>
            </w:r>
          </w:p>
          <w:p w14:paraId="175BD85A" w14:textId="34EC17D7" w:rsidR="00DD0B79" w:rsidRPr="007C407C" w:rsidRDefault="00DD0B79" w:rsidP="00092630">
            <w:pPr>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Pr>
                <w:sz w:val="20"/>
                <w:szCs w:val="20"/>
              </w:rPr>
              <w:t>No</w:t>
            </w:r>
          </w:p>
        </w:tc>
        <w:tc>
          <w:tcPr>
            <w:tcW w:w="850" w:type="pct"/>
          </w:tcPr>
          <w:p w14:paraId="114C7303" w14:textId="77777777" w:rsidR="00DD0B79" w:rsidRPr="0053415F" w:rsidRDefault="0053415F"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53415F">
              <w:rPr>
                <w:b/>
                <w:sz w:val="20"/>
                <w:szCs w:val="20"/>
              </w:rPr>
              <w:t>(45) 73%</w:t>
            </w:r>
          </w:p>
          <w:p w14:paraId="26119D3A" w14:textId="6CA06684" w:rsidR="0053415F" w:rsidRPr="007C407C" w:rsidRDefault="0053415F" w:rsidP="00092630">
            <w:pPr>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53415F">
              <w:rPr>
                <w:sz w:val="20"/>
                <w:szCs w:val="20"/>
              </w:rPr>
              <w:t>(17) 27%</w:t>
            </w:r>
          </w:p>
        </w:tc>
      </w:tr>
      <w:tr w:rsidR="004B6B3E" w:rsidRPr="0099761D" w14:paraId="7F833AEB" w14:textId="77777777" w:rsidTr="004B6B3E">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5000" w:type="pct"/>
            <w:gridSpan w:val="13"/>
          </w:tcPr>
          <w:p w14:paraId="26936480" w14:textId="444F358B" w:rsidR="004B6B3E" w:rsidRPr="00E327FF" w:rsidRDefault="004B6B3E" w:rsidP="00092630">
            <w:pPr>
              <w:ind w:left="450" w:hanging="450"/>
              <w:rPr>
                <w:sz w:val="20"/>
                <w:szCs w:val="20"/>
              </w:rPr>
            </w:pPr>
            <w:r w:rsidRPr="00E327FF">
              <w:rPr>
                <w:sz w:val="20"/>
                <w:szCs w:val="20"/>
              </w:rPr>
              <w:t xml:space="preserve">7 b.) </w:t>
            </w:r>
            <w:r w:rsidRPr="00E327FF">
              <w:rPr>
                <w:b w:val="0"/>
                <w:sz w:val="20"/>
                <w:szCs w:val="20"/>
              </w:rPr>
              <w:t>If yes, the IHT is in regular contact with other providers (e.g. TM, OP, psychiatry, etc.) involved with the youth and family.*</w:t>
            </w:r>
            <w:r w:rsidR="0035454B">
              <w:rPr>
                <w:b w:val="0"/>
                <w:sz w:val="20"/>
                <w:szCs w:val="20"/>
              </w:rPr>
              <w:t>*</w:t>
            </w:r>
          </w:p>
        </w:tc>
      </w:tr>
      <w:tr w:rsidR="004B6B3E" w:rsidRPr="0099761D" w14:paraId="170D5F91" w14:textId="77777777" w:rsidTr="004B6B3E">
        <w:trPr>
          <w:trHeight w:val="729"/>
        </w:trPr>
        <w:tc>
          <w:tcPr>
            <w:cnfStyle w:val="001000000000" w:firstRow="0" w:lastRow="0" w:firstColumn="1" w:lastColumn="0" w:oddVBand="0" w:evenVBand="0" w:oddHBand="0" w:evenHBand="0" w:firstRowFirstColumn="0" w:firstRowLastColumn="0" w:lastRowFirstColumn="0" w:lastRowLastColumn="0"/>
            <w:tcW w:w="1259" w:type="pct"/>
            <w:gridSpan w:val="2"/>
          </w:tcPr>
          <w:p w14:paraId="687840F4" w14:textId="77777777" w:rsidR="004B6B3E" w:rsidRPr="00DB1E0B" w:rsidRDefault="004B6B3E" w:rsidP="00092630">
            <w:pPr>
              <w:ind w:left="430" w:hanging="430"/>
              <w:jc w:val="center"/>
              <w:rPr>
                <w:b w:val="0"/>
                <w:bCs w:val="0"/>
                <w:sz w:val="20"/>
                <w:szCs w:val="20"/>
              </w:rPr>
            </w:pPr>
            <w:r w:rsidRPr="00DB1E0B">
              <w:rPr>
                <w:sz w:val="20"/>
                <w:szCs w:val="20"/>
              </w:rPr>
              <w:t>Disagree Very Much</w:t>
            </w:r>
          </w:p>
          <w:p w14:paraId="6860CCF2" w14:textId="77777777" w:rsidR="004B6B3E" w:rsidRPr="00DB1E0B" w:rsidRDefault="004B6B3E" w:rsidP="00092630">
            <w:pPr>
              <w:jc w:val="center"/>
              <w:rPr>
                <w:sz w:val="20"/>
                <w:szCs w:val="20"/>
              </w:rPr>
            </w:pPr>
            <w:r w:rsidRPr="00DB1E0B">
              <w:rPr>
                <w:sz w:val="20"/>
                <w:szCs w:val="20"/>
              </w:rPr>
              <w:t>(n) %</w:t>
            </w:r>
          </w:p>
          <w:p w14:paraId="64A346DD" w14:textId="1487E079" w:rsidR="004B6B3E" w:rsidRPr="00DB1E0B" w:rsidRDefault="0053415F" w:rsidP="00092630">
            <w:pPr>
              <w:jc w:val="center"/>
              <w:rPr>
                <w:b w:val="0"/>
                <w:bCs w:val="0"/>
                <w:sz w:val="20"/>
                <w:szCs w:val="20"/>
              </w:rPr>
            </w:pPr>
            <w:r>
              <w:rPr>
                <w:b w:val="0"/>
                <w:bCs w:val="0"/>
                <w:sz w:val="20"/>
                <w:szCs w:val="20"/>
              </w:rPr>
              <w:t>(4) 9%</w:t>
            </w:r>
          </w:p>
        </w:tc>
        <w:tc>
          <w:tcPr>
            <w:tcW w:w="759" w:type="pct"/>
            <w:gridSpan w:val="2"/>
          </w:tcPr>
          <w:p w14:paraId="66E27C27"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B1E0B">
              <w:rPr>
                <w:b/>
                <w:sz w:val="20"/>
                <w:szCs w:val="20"/>
              </w:rPr>
              <w:t>Disagree</w:t>
            </w:r>
          </w:p>
          <w:p w14:paraId="19C1C547"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B1E0B">
              <w:rPr>
                <w:b/>
                <w:sz w:val="20"/>
                <w:szCs w:val="20"/>
              </w:rPr>
              <w:t>(n) %</w:t>
            </w:r>
          </w:p>
          <w:p w14:paraId="39B9F7DB" w14:textId="5312EF9A" w:rsidR="004B6B3E" w:rsidRPr="00DB1E0B" w:rsidRDefault="0053415F"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 9%</w:t>
            </w:r>
          </w:p>
        </w:tc>
        <w:tc>
          <w:tcPr>
            <w:tcW w:w="849" w:type="pct"/>
            <w:gridSpan w:val="2"/>
          </w:tcPr>
          <w:p w14:paraId="2E6655D7"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B1E0B">
              <w:rPr>
                <w:b/>
                <w:sz w:val="20"/>
                <w:szCs w:val="20"/>
              </w:rPr>
              <w:t>Neither</w:t>
            </w:r>
          </w:p>
          <w:p w14:paraId="26F7E54F"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B1E0B">
              <w:rPr>
                <w:b/>
                <w:sz w:val="20"/>
                <w:szCs w:val="20"/>
              </w:rPr>
              <w:t>(n) %</w:t>
            </w:r>
          </w:p>
          <w:p w14:paraId="0F24D720" w14:textId="37FA198D" w:rsidR="004B6B3E" w:rsidRPr="00DB1E0B" w:rsidRDefault="0053415F"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 11%</w:t>
            </w:r>
          </w:p>
        </w:tc>
        <w:tc>
          <w:tcPr>
            <w:tcW w:w="850" w:type="pct"/>
            <w:gridSpan w:val="4"/>
          </w:tcPr>
          <w:p w14:paraId="135DAEC9"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B1E0B">
              <w:rPr>
                <w:b/>
                <w:sz w:val="20"/>
                <w:szCs w:val="20"/>
              </w:rPr>
              <w:t>Agree</w:t>
            </w:r>
          </w:p>
          <w:p w14:paraId="0C07056D"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B1E0B">
              <w:rPr>
                <w:b/>
                <w:sz w:val="20"/>
                <w:szCs w:val="20"/>
              </w:rPr>
              <w:t>(n) %</w:t>
            </w:r>
          </w:p>
          <w:p w14:paraId="0467E71D" w14:textId="3D625977" w:rsidR="004B6B3E" w:rsidRPr="00DB1E0B" w:rsidRDefault="0053415F"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 31%</w:t>
            </w:r>
          </w:p>
        </w:tc>
        <w:tc>
          <w:tcPr>
            <w:tcW w:w="1283" w:type="pct"/>
            <w:gridSpan w:val="3"/>
          </w:tcPr>
          <w:p w14:paraId="211A0613"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B1E0B">
              <w:rPr>
                <w:b/>
                <w:sz w:val="20"/>
                <w:szCs w:val="20"/>
              </w:rPr>
              <w:t>Agree Very Much</w:t>
            </w:r>
          </w:p>
          <w:p w14:paraId="7E67C5C4"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B1E0B">
              <w:rPr>
                <w:b/>
                <w:sz w:val="20"/>
                <w:szCs w:val="20"/>
              </w:rPr>
              <w:t>(n) %</w:t>
            </w:r>
          </w:p>
          <w:p w14:paraId="6E1AD940" w14:textId="37702A9D" w:rsidR="004B6B3E" w:rsidRPr="00DB1E0B" w:rsidRDefault="0053415F"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 40%</w:t>
            </w:r>
          </w:p>
        </w:tc>
      </w:tr>
      <w:tr w:rsidR="00A17316" w:rsidRPr="0099761D" w14:paraId="27D91236" w14:textId="77777777" w:rsidTr="00A1731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713" w:type="pct"/>
            <w:gridSpan w:val="9"/>
          </w:tcPr>
          <w:p w14:paraId="77180621" w14:textId="77777777" w:rsidR="004B6B3E" w:rsidRPr="00E327FF" w:rsidRDefault="004B6B3E" w:rsidP="00092630">
            <w:pPr>
              <w:ind w:left="450" w:hanging="450"/>
              <w:rPr>
                <w:b w:val="0"/>
                <w:bCs w:val="0"/>
                <w:sz w:val="20"/>
                <w:szCs w:val="20"/>
              </w:rPr>
            </w:pPr>
            <w:r w:rsidRPr="00E327FF">
              <w:rPr>
                <w:sz w:val="20"/>
                <w:szCs w:val="20"/>
              </w:rPr>
              <w:t xml:space="preserve">8 a.) </w:t>
            </w:r>
            <w:r w:rsidRPr="00E327FF">
              <w:rPr>
                <w:b w:val="0"/>
                <w:sz w:val="20"/>
                <w:szCs w:val="20"/>
              </w:rPr>
              <w:t>Youth and family need the IHT provider to coordinate/collaborate with state agencies (e.g. DCF, DYS, DDS, etc.)</w:t>
            </w:r>
          </w:p>
        </w:tc>
        <w:tc>
          <w:tcPr>
            <w:tcW w:w="427" w:type="pct"/>
            <w:gridSpan w:val="2"/>
          </w:tcPr>
          <w:p w14:paraId="6FB012A0" w14:textId="1332CA0A" w:rsidR="004B6B3E" w:rsidRPr="00DB1E0B" w:rsidRDefault="00DD0B79"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w:t>
            </w:r>
          </w:p>
          <w:p w14:paraId="50C78108" w14:textId="77777777" w:rsidR="004B6B3E" w:rsidRPr="001E1B37"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1E1B37">
              <w:rPr>
                <w:b/>
                <w:sz w:val="20"/>
                <w:szCs w:val="20"/>
              </w:rPr>
              <w:t>No</w:t>
            </w:r>
          </w:p>
        </w:tc>
        <w:tc>
          <w:tcPr>
            <w:tcW w:w="860" w:type="pct"/>
            <w:gridSpan w:val="2"/>
          </w:tcPr>
          <w:p w14:paraId="00B73647" w14:textId="77777777" w:rsidR="004B6B3E" w:rsidRPr="0053415F" w:rsidRDefault="0053415F"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sidRPr="0053415F">
              <w:rPr>
                <w:sz w:val="20"/>
                <w:szCs w:val="20"/>
              </w:rPr>
              <w:t>(19) 31%</w:t>
            </w:r>
          </w:p>
          <w:p w14:paraId="79C22381" w14:textId="091C0DD0" w:rsidR="0053415F" w:rsidRPr="001E1B37" w:rsidRDefault="0053415F"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(43) 69%</w:t>
            </w:r>
          </w:p>
        </w:tc>
      </w:tr>
      <w:tr w:rsidR="004B6B3E" w:rsidRPr="0099761D" w14:paraId="05675E21" w14:textId="77777777" w:rsidTr="004B6B3E">
        <w:trPr>
          <w:trHeight w:val="216"/>
        </w:trPr>
        <w:tc>
          <w:tcPr>
            <w:cnfStyle w:val="001000000000" w:firstRow="0" w:lastRow="0" w:firstColumn="1" w:lastColumn="0" w:oddVBand="0" w:evenVBand="0" w:oddHBand="0" w:evenHBand="0" w:firstRowFirstColumn="0" w:firstRowLastColumn="0" w:lastRowFirstColumn="0" w:lastRowLastColumn="0"/>
            <w:tcW w:w="5000" w:type="pct"/>
            <w:gridSpan w:val="13"/>
          </w:tcPr>
          <w:p w14:paraId="4D9C6F51" w14:textId="6FEDFFB9" w:rsidR="004B6B3E" w:rsidRPr="00E327FF" w:rsidRDefault="004B6B3E" w:rsidP="00092630">
            <w:pPr>
              <w:rPr>
                <w:b w:val="0"/>
                <w:bCs w:val="0"/>
                <w:sz w:val="20"/>
                <w:szCs w:val="20"/>
              </w:rPr>
            </w:pPr>
            <w:r w:rsidRPr="00E327FF">
              <w:rPr>
                <w:sz w:val="20"/>
                <w:szCs w:val="20"/>
              </w:rPr>
              <w:t xml:space="preserve">8 b.) </w:t>
            </w:r>
            <w:r w:rsidRPr="00E327FF">
              <w:rPr>
                <w:b w:val="0"/>
                <w:sz w:val="20"/>
                <w:szCs w:val="20"/>
              </w:rPr>
              <w:t>If yes, the IHT is in regular contact with state agencies (e.g. DCF, DYS, DDS, etc.) involved with the youth and family.*</w:t>
            </w:r>
            <w:r w:rsidR="0035454B">
              <w:rPr>
                <w:b w:val="0"/>
                <w:sz w:val="20"/>
                <w:szCs w:val="20"/>
              </w:rPr>
              <w:t>*</w:t>
            </w:r>
          </w:p>
        </w:tc>
      </w:tr>
      <w:tr w:rsidR="004B6B3E" w:rsidRPr="0099761D" w14:paraId="1E7CF71D" w14:textId="77777777" w:rsidTr="004B6B3E">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259" w:type="pct"/>
            <w:gridSpan w:val="2"/>
          </w:tcPr>
          <w:p w14:paraId="6992DA73" w14:textId="77777777" w:rsidR="004B6B3E" w:rsidRPr="00DB1E0B" w:rsidRDefault="004B6B3E" w:rsidP="00092630">
            <w:pPr>
              <w:jc w:val="center"/>
              <w:rPr>
                <w:b w:val="0"/>
                <w:bCs w:val="0"/>
                <w:sz w:val="20"/>
                <w:szCs w:val="20"/>
              </w:rPr>
            </w:pPr>
            <w:r w:rsidRPr="00DB1E0B">
              <w:rPr>
                <w:sz w:val="20"/>
                <w:szCs w:val="20"/>
              </w:rPr>
              <w:t>Disagree Very Much</w:t>
            </w:r>
          </w:p>
          <w:p w14:paraId="41D34C0A" w14:textId="77777777" w:rsidR="004B6B3E" w:rsidRPr="00DB1E0B" w:rsidRDefault="004B6B3E" w:rsidP="00092630">
            <w:pPr>
              <w:jc w:val="center"/>
              <w:rPr>
                <w:b w:val="0"/>
                <w:bCs w:val="0"/>
                <w:sz w:val="20"/>
                <w:szCs w:val="20"/>
              </w:rPr>
            </w:pPr>
            <w:r w:rsidRPr="00DB1E0B">
              <w:rPr>
                <w:sz w:val="20"/>
                <w:szCs w:val="20"/>
              </w:rPr>
              <w:t>(n) %</w:t>
            </w:r>
          </w:p>
          <w:p w14:paraId="6218E270" w14:textId="31C244A7" w:rsidR="004B6B3E" w:rsidRPr="00DB1E0B" w:rsidRDefault="00E82430" w:rsidP="00092630">
            <w:pPr>
              <w:rPr>
                <w:b w:val="0"/>
                <w:bCs w:val="0"/>
                <w:sz w:val="20"/>
                <w:szCs w:val="20"/>
              </w:rPr>
            </w:pPr>
            <w:r>
              <w:rPr>
                <w:b w:val="0"/>
                <w:bCs w:val="0"/>
                <w:sz w:val="20"/>
                <w:szCs w:val="20"/>
              </w:rPr>
              <w:t xml:space="preserve">                     </w:t>
            </w:r>
            <w:r w:rsidR="0053415F">
              <w:rPr>
                <w:b w:val="0"/>
                <w:bCs w:val="0"/>
                <w:sz w:val="20"/>
                <w:szCs w:val="20"/>
              </w:rPr>
              <w:t>(1) 5%</w:t>
            </w:r>
          </w:p>
        </w:tc>
        <w:tc>
          <w:tcPr>
            <w:tcW w:w="742" w:type="pct"/>
          </w:tcPr>
          <w:p w14:paraId="6FB3D57A"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DB1E0B">
              <w:rPr>
                <w:b/>
                <w:bCs/>
                <w:sz w:val="20"/>
                <w:szCs w:val="20"/>
              </w:rPr>
              <w:t>Disagree</w:t>
            </w:r>
          </w:p>
          <w:p w14:paraId="61118DA6"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DB1E0B">
              <w:rPr>
                <w:b/>
                <w:bCs/>
                <w:sz w:val="20"/>
                <w:szCs w:val="20"/>
              </w:rPr>
              <w:t>(n) %</w:t>
            </w:r>
          </w:p>
          <w:p w14:paraId="7973FB88" w14:textId="787DA33D" w:rsidR="004B6B3E" w:rsidRPr="00DB1E0B" w:rsidRDefault="0053415F" w:rsidP="00092630">
            <w:pPr>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(2) 11%</w:t>
            </w:r>
          </w:p>
        </w:tc>
        <w:tc>
          <w:tcPr>
            <w:tcW w:w="866" w:type="pct"/>
            <w:gridSpan w:val="3"/>
          </w:tcPr>
          <w:p w14:paraId="718595A0"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DB1E0B">
              <w:rPr>
                <w:b/>
                <w:bCs/>
                <w:sz w:val="20"/>
                <w:szCs w:val="20"/>
              </w:rPr>
              <w:t>Neither</w:t>
            </w:r>
          </w:p>
          <w:p w14:paraId="2CCA19D5"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DB1E0B">
              <w:rPr>
                <w:b/>
                <w:bCs/>
                <w:sz w:val="20"/>
                <w:szCs w:val="20"/>
              </w:rPr>
              <w:t>(n) %</w:t>
            </w:r>
          </w:p>
          <w:p w14:paraId="604DB9D9" w14:textId="7B4EBEC7" w:rsidR="004B6B3E" w:rsidRPr="00DB1E0B" w:rsidRDefault="0053415F" w:rsidP="0053415F">
            <w:pPr>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(2) 11%</w:t>
            </w:r>
          </w:p>
        </w:tc>
        <w:tc>
          <w:tcPr>
            <w:tcW w:w="850" w:type="pct"/>
            <w:gridSpan w:val="4"/>
          </w:tcPr>
          <w:p w14:paraId="20DF9FE3"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DB1E0B">
              <w:rPr>
                <w:b/>
                <w:bCs/>
                <w:sz w:val="20"/>
                <w:szCs w:val="20"/>
              </w:rPr>
              <w:t>Agree</w:t>
            </w:r>
          </w:p>
          <w:p w14:paraId="3E058A14"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DB1E0B">
              <w:rPr>
                <w:b/>
                <w:bCs/>
                <w:sz w:val="20"/>
                <w:szCs w:val="20"/>
              </w:rPr>
              <w:t>(n) %</w:t>
            </w:r>
          </w:p>
          <w:p w14:paraId="758EE719" w14:textId="13BF6D71" w:rsidR="004B6B3E" w:rsidRPr="00DB1E0B" w:rsidRDefault="0053415F" w:rsidP="00092630">
            <w:pPr>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(8) 42%</w:t>
            </w:r>
          </w:p>
        </w:tc>
        <w:tc>
          <w:tcPr>
            <w:tcW w:w="1283" w:type="pct"/>
            <w:gridSpan w:val="3"/>
          </w:tcPr>
          <w:p w14:paraId="06448F04"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DB1E0B">
              <w:rPr>
                <w:b/>
                <w:sz w:val="20"/>
                <w:szCs w:val="20"/>
              </w:rPr>
              <w:t>Agree Very Much</w:t>
            </w:r>
          </w:p>
          <w:p w14:paraId="0F2F3358"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B1E0B">
              <w:rPr>
                <w:b/>
                <w:sz w:val="20"/>
                <w:szCs w:val="20"/>
              </w:rPr>
              <w:t>(n) %</w:t>
            </w:r>
          </w:p>
          <w:p w14:paraId="20D174DD" w14:textId="6F3B07DB" w:rsidR="004B6B3E" w:rsidRPr="00DB1E0B" w:rsidRDefault="0053415F" w:rsidP="00092630">
            <w:pPr>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(6) 32%</w:t>
            </w:r>
          </w:p>
        </w:tc>
      </w:tr>
    </w:tbl>
    <w:p w14:paraId="36A37C2B" w14:textId="68235889" w:rsidR="00DD0B79" w:rsidRDefault="00DD0B79" w:rsidP="009156DD">
      <w:pPr>
        <w:jc w:val="left"/>
        <w:rPr>
          <w:sz w:val="18"/>
          <w:szCs w:val="18"/>
        </w:rPr>
      </w:pPr>
      <w:r>
        <w:rPr>
          <w:sz w:val="18"/>
          <w:szCs w:val="18"/>
        </w:rPr>
        <w:t xml:space="preserve">The most common response is indicated in </w:t>
      </w:r>
      <w:r w:rsidRPr="001E1B37">
        <w:rPr>
          <w:b/>
          <w:sz w:val="18"/>
          <w:szCs w:val="18"/>
        </w:rPr>
        <w:t>bold</w:t>
      </w:r>
    </w:p>
    <w:p w14:paraId="4A953108" w14:textId="4C5991DE" w:rsidR="0035454B" w:rsidRDefault="0035454B" w:rsidP="0035454B">
      <w:pPr>
        <w:jc w:val="left"/>
        <w:rPr>
          <w:rFonts w:ascii="Gill Sans MT" w:hAnsi="Gill Sans MT"/>
          <w:b/>
          <w:color w:val="B85A22" w:themeColor="accent2" w:themeShade="BF"/>
          <w:sz w:val="32"/>
          <w:szCs w:val="32"/>
        </w:rPr>
      </w:pPr>
      <w:r>
        <w:rPr>
          <w:sz w:val="18"/>
          <w:szCs w:val="18"/>
        </w:rPr>
        <w:t>*“NA” responses indicate youth is not eligible for ICC or youth transitioned from ICC to IHT</w:t>
      </w:r>
    </w:p>
    <w:p w14:paraId="73D2EC02" w14:textId="75EDFBB6" w:rsidR="006F0248" w:rsidRPr="0035454B" w:rsidRDefault="0035454B" w:rsidP="001E1B37">
      <w:pPr>
        <w:jc w:val="left"/>
        <w:rPr>
          <w:sz w:val="18"/>
          <w:szCs w:val="18"/>
        </w:rPr>
      </w:pPr>
      <w:r>
        <w:rPr>
          <w:sz w:val="18"/>
          <w:szCs w:val="18"/>
        </w:rPr>
        <w:t>*</w:t>
      </w:r>
      <w:r w:rsidR="001F5D59" w:rsidRPr="00BB1600">
        <w:rPr>
          <w:sz w:val="18"/>
          <w:szCs w:val="18"/>
        </w:rPr>
        <w:t>*"Not applicable" responses changed the n used fo</w:t>
      </w:r>
      <w:bookmarkStart w:id="37" w:name="_Toc458596069"/>
      <w:r>
        <w:rPr>
          <w:sz w:val="18"/>
          <w:szCs w:val="18"/>
        </w:rPr>
        <w:t>r calculating these percentages</w:t>
      </w:r>
    </w:p>
    <w:p w14:paraId="7DB5040E" w14:textId="516E2993" w:rsidR="00F6424B" w:rsidRPr="006F0248" w:rsidRDefault="00F6424B" w:rsidP="00A216E6">
      <w:pPr>
        <w:pStyle w:val="Heading1"/>
      </w:pPr>
      <w:bookmarkStart w:id="38" w:name="_Toc22632497"/>
      <w:r w:rsidRPr="00A216E6">
        <w:lastRenderedPageBreak/>
        <w:t>Qualitative</w:t>
      </w:r>
      <w:r w:rsidRPr="006F0248">
        <w:t xml:space="preserve"> </w:t>
      </w:r>
      <w:r w:rsidR="000425FA" w:rsidRPr="006F0248">
        <w:t>Results</w:t>
      </w:r>
      <w:bookmarkEnd w:id="38"/>
    </w:p>
    <w:p w14:paraId="24698CB1" w14:textId="1457F617" w:rsidR="00923BF4" w:rsidRDefault="008D2485" w:rsidP="00A216E6">
      <w:pPr>
        <w:spacing w:before="240" w:after="120"/>
      </w:pPr>
      <w:r>
        <w:t xml:space="preserve">MPR </w:t>
      </w:r>
      <w:r w:rsidR="00C45C0D">
        <w:t xml:space="preserve">reviewer </w:t>
      </w:r>
      <w:r w:rsidR="002E7476">
        <w:t>comments</w:t>
      </w:r>
      <w:r w:rsidR="004A49E9">
        <w:t xml:space="preserve"> are highlighted below to</w:t>
      </w:r>
      <w:r w:rsidR="002E7476">
        <w:t xml:space="preserve"> </w:t>
      </w:r>
      <w:r w:rsidR="00C45C0D">
        <w:t xml:space="preserve">demonstrate the spectrum of </w:t>
      </w:r>
      <w:r>
        <w:t xml:space="preserve">service </w:t>
      </w:r>
      <w:r w:rsidR="00C45C0D">
        <w:t>quality</w:t>
      </w:r>
      <w:r w:rsidR="004A49E9">
        <w:t xml:space="preserve"> in th</w:t>
      </w:r>
      <w:r w:rsidR="00DD0B79">
        <w:t>e families</w:t>
      </w:r>
      <w:r w:rsidR="004A49E9">
        <w:t xml:space="preserve"> reviewed. </w:t>
      </w:r>
      <w:r w:rsidR="00C45C0D">
        <w:t xml:space="preserve">The </w:t>
      </w:r>
      <w:r w:rsidR="004A49E9">
        <w:t xml:space="preserve">MPR reviewer </w:t>
      </w:r>
      <w:r w:rsidR="00C45C0D">
        <w:t xml:space="preserve">comments provide </w:t>
      </w:r>
      <w:r w:rsidR="004A49E9">
        <w:t>a more detailed</w:t>
      </w:r>
      <w:r w:rsidR="00C45C0D">
        <w:t xml:space="preserve"> look into the experi</w:t>
      </w:r>
      <w:r w:rsidR="002E7476">
        <w:t>ences of families and providers and</w:t>
      </w:r>
      <w:r w:rsidR="00C45C0D">
        <w:t xml:space="preserve"> their perception of the ser</w:t>
      </w:r>
      <w:r w:rsidR="002E7476">
        <w:t>vice provision</w:t>
      </w:r>
      <w:r w:rsidR="00C45C0D">
        <w:t xml:space="preserve">. </w:t>
      </w:r>
    </w:p>
    <w:p w14:paraId="004722AB" w14:textId="32EE5E21" w:rsidR="008010E8" w:rsidRPr="00B82AB2" w:rsidRDefault="004A49E9" w:rsidP="001E1B37">
      <w:pPr>
        <w:pStyle w:val="Heading3"/>
      </w:pPr>
      <w:bookmarkStart w:id="39" w:name="_Toc22632498"/>
      <w:bookmarkEnd w:id="37"/>
      <w:r w:rsidRPr="00283716">
        <w:rPr>
          <w:rStyle w:val="Strong"/>
          <w:b/>
        </w:rPr>
        <w:t>Table 1</w:t>
      </w:r>
      <w:r w:rsidR="00355DAF">
        <w:rPr>
          <w:rStyle w:val="Strong"/>
          <w:b/>
        </w:rPr>
        <w:t>3</w:t>
      </w:r>
      <w:r w:rsidRPr="00283716">
        <w:rPr>
          <w:rStyle w:val="Strong"/>
          <w:b/>
        </w:rPr>
        <w:t xml:space="preserve">: </w:t>
      </w:r>
      <w:r>
        <w:rPr>
          <w:rStyle w:val="Strong"/>
          <w:b/>
        </w:rPr>
        <w:t>Reviewer Comments</w:t>
      </w:r>
      <w:bookmarkEnd w:id="39"/>
    </w:p>
    <w:tbl>
      <w:tblPr>
        <w:tblStyle w:val="GridTable5Dark-Accent21"/>
        <w:tblW w:w="0" w:type="auto"/>
        <w:tblInd w:w="-95" w:type="dxa"/>
        <w:tblBorders>
          <w:top w:val="single" w:sz="4" w:space="0" w:color="F8E5DA" w:themeColor="accent2" w:themeTint="33"/>
          <w:left w:val="single" w:sz="4" w:space="0" w:color="F8E5DA" w:themeColor="accent2" w:themeTint="33"/>
          <w:bottom w:val="single" w:sz="4" w:space="0" w:color="F8E5DA" w:themeColor="accent2" w:themeTint="33"/>
          <w:right w:val="single" w:sz="4" w:space="0" w:color="F8E5DA" w:themeColor="accent2" w:themeTint="33"/>
          <w:insideH w:val="single" w:sz="4" w:space="0" w:color="F8E5DA" w:themeColor="accent2" w:themeTint="33"/>
          <w:insideV w:val="single" w:sz="4" w:space="0" w:color="F8E5DA" w:themeColor="accent2" w:themeTint="33"/>
        </w:tblBorders>
        <w:tblLayout w:type="fixed"/>
        <w:tblCellMar>
          <w:left w:w="115" w:type="dxa"/>
          <w:right w:w="115" w:type="dxa"/>
        </w:tblCellMar>
        <w:tblLook w:val="04A0" w:firstRow="1" w:lastRow="0" w:firstColumn="1" w:lastColumn="0" w:noHBand="0" w:noVBand="1"/>
      </w:tblPr>
      <w:tblGrid>
        <w:gridCol w:w="5130"/>
        <w:gridCol w:w="5125"/>
      </w:tblGrid>
      <w:tr w:rsidR="00C3677E" w14:paraId="2EB8C1CD" w14:textId="77777777" w:rsidTr="008E2E6B">
        <w:trPr>
          <w:cnfStyle w:val="100000000000" w:firstRow="1" w:lastRow="0" w:firstColumn="0" w:lastColumn="0" w:oddVBand="0" w:evenVBand="0" w:oddHBand="0" w:evenHBand="0" w:firstRowFirstColumn="0" w:firstRowLastColumn="0" w:lastRowFirstColumn="0" w:lastRowLastColumn="0"/>
          <w:trHeight w:val="323"/>
          <w:tblHeader/>
        </w:trPr>
        <w:tc>
          <w:tcPr>
            <w:cnfStyle w:val="001000000000" w:firstRow="0" w:lastRow="0" w:firstColumn="1" w:lastColumn="0" w:oddVBand="0" w:evenVBand="0" w:oddHBand="0" w:evenHBand="0" w:firstRowFirstColumn="0" w:firstRowLastColumn="0" w:lastRowFirstColumn="0" w:lastRowLastColumn="0"/>
            <w:tcW w:w="5130" w:type="dxa"/>
            <w:tcBorders>
              <w:top w:val="none" w:sz="0" w:space="0" w:color="auto"/>
              <w:left w:val="none" w:sz="0" w:space="0" w:color="auto"/>
              <w:right w:val="none" w:sz="0" w:space="0" w:color="auto"/>
            </w:tcBorders>
            <w:shd w:val="clear" w:color="auto" w:fill="B85A22" w:themeFill="accent2" w:themeFillShade="BF"/>
          </w:tcPr>
          <w:p w14:paraId="4280B651" w14:textId="77777777" w:rsidR="00C3677E" w:rsidRPr="00923BF4" w:rsidRDefault="00C3677E" w:rsidP="008010E8">
            <w:pPr>
              <w:jc w:val="center"/>
            </w:pPr>
            <w:r w:rsidRPr="00923BF4">
              <w:t>Strong Practice</w:t>
            </w:r>
          </w:p>
        </w:tc>
        <w:tc>
          <w:tcPr>
            <w:tcW w:w="5125" w:type="dxa"/>
            <w:tcBorders>
              <w:top w:val="none" w:sz="0" w:space="0" w:color="auto"/>
              <w:left w:val="none" w:sz="0" w:space="0" w:color="auto"/>
              <w:right w:val="none" w:sz="0" w:space="0" w:color="auto"/>
            </w:tcBorders>
            <w:shd w:val="clear" w:color="auto" w:fill="B85A22" w:themeFill="accent2" w:themeFillShade="BF"/>
          </w:tcPr>
          <w:p w14:paraId="5EDF11BF" w14:textId="77777777" w:rsidR="00C3677E" w:rsidRPr="00923BF4" w:rsidRDefault="00C3677E" w:rsidP="008010E8">
            <w:pPr>
              <w:jc w:val="center"/>
              <w:cnfStyle w:val="100000000000" w:firstRow="1" w:lastRow="0" w:firstColumn="0" w:lastColumn="0" w:oddVBand="0" w:evenVBand="0" w:oddHBand="0" w:evenHBand="0" w:firstRowFirstColumn="0" w:firstRowLastColumn="0" w:lastRowFirstColumn="0" w:lastRowLastColumn="0"/>
            </w:pPr>
            <w:r w:rsidRPr="00923BF4">
              <w:t>Practice Needing Improvement</w:t>
            </w:r>
          </w:p>
        </w:tc>
      </w:tr>
      <w:tr w:rsidR="00C3677E" w14:paraId="5E09E448" w14:textId="77777777" w:rsidTr="008F2736">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255" w:type="dxa"/>
            <w:gridSpan w:val="2"/>
            <w:tcBorders>
              <w:left w:val="none" w:sz="0" w:space="0" w:color="auto"/>
            </w:tcBorders>
            <w:shd w:val="clear" w:color="auto" w:fill="EAB290" w:themeFill="accent2" w:themeFillTint="99"/>
          </w:tcPr>
          <w:p w14:paraId="6C6AF36F" w14:textId="1DD2F6B3" w:rsidR="00C3677E" w:rsidRDefault="00C3677E" w:rsidP="00C3677E">
            <w:pPr>
              <w:tabs>
                <w:tab w:val="left" w:pos="1035"/>
              </w:tabs>
              <w:jc w:val="center"/>
              <w:rPr>
                <w:rFonts w:eastAsia="Calibri" w:cs="Times New Roman"/>
                <w:sz w:val="18"/>
                <w:szCs w:val="18"/>
              </w:rPr>
            </w:pPr>
            <w:r w:rsidRPr="00C3677E">
              <w:t>Assessment</w:t>
            </w:r>
          </w:p>
        </w:tc>
      </w:tr>
      <w:tr w:rsidR="00C3677E" w14:paraId="1B97CBE6" w14:textId="77777777" w:rsidTr="008F2736">
        <w:trPr>
          <w:trHeight w:val="800"/>
        </w:trPr>
        <w:tc>
          <w:tcPr>
            <w:cnfStyle w:val="001000000000" w:firstRow="0" w:lastRow="0" w:firstColumn="1" w:lastColumn="0" w:oddVBand="0" w:evenVBand="0" w:oddHBand="0" w:evenHBand="0" w:firstRowFirstColumn="0" w:firstRowLastColumn="0" w:lastRowFirstColumn="0" w:lastRowLastColumn="0"/>
            <w:tcW w:w="5130" w:type="dxa"/>
            <w:tcBorders>
              <w:left w:val="none" w:sz="0" w:space="0" w:color="auto"/>
            </w:tcBorders>
            <w:shd w:val="clear" w:color="auto" w:fill="FFFFFF" w:themeFill="background1"/>
          </w:tcPr>
          <w:p w14:paraId="0D5AB579" w14:textId="0C4AA38E" w:rsidR="00C3677E" w:rsidRPr="00C3677E" w:rsidRDefault="00C3677E" w:rsidP="008010E8">
            <w:pPr>
              <w:widowControl w:val="0"/>
              <w:jc w:val="left"/>
              <w:rPr>
                <w:rFonts w:eastAsia="Calibri" w:cs="Times New Roman"/>
                <w:b w:val="0"/>
                <w:color w:val="auto"/>
                <w:sz w:val="18"/>
                <w:szCs w:val="18"/>
              </w:rPr>
            </w:pPr>
            <w:r w:rsidRPr="008F2736">
              <w:rPr>
                <w:rFonts w:eastAsia="Calibri" w:cs="Times New Roman"/>
                <w:color w:val="auto"/>
                <w:sz w:val="18"/>
                <w:szCs w:val="18"/>
              </w:rPr>
              <w:t>IHT</w:t>
            </w:r>
            <w:r w:rsidRPr="00C3677E">
              <w:rPr>
                <w:rFonts w:eastAsia="Calibri" w:cs="Times New Roman"/>
                <w:b w:val="0"/>
                <w:color w:val="auto"/>
                <w:sz w:val="18"/>
                <w:szCs w:val="18"/>
              </w:rPr>
              <w:t xml:space="preserve">: Both the initial comprehensive assessment and the process for evolving the assessment over time are excellent. An initial assessment done at the first session provides sufficient detail to give a clear first impression of the Youth and family. For the comprehensive assessment, the IHT continued to talk with the </w:t>
            </w:r>
            <w:r w:rsidR="00CF09A5">
              <w:rPr>
                <w:rFonts w:eastAsia="Calibri" w:cs="Times New Roman"/>
                <w:b w:val="0"/>
                <w:color w:val="auto"/>
                <w:sz w:val="18"/>
                <w:szCs w:val="18"/>
              </w:rPr>
              <w:t>Caregiver</w:t>
            </w:r>
            <w:r w:rsidRPr="00C3677E">
              <w:rPr>
                <w:rFonts w:eastAsia="Calibri" w:cs="Times New Roman"/>
                <w:b w:val="0"/>
                <w:color w:val="auto"/>
                <w:sz w:val="18"/>
                <w:szCs w:val="18"/>
              </w:rPr>
              <w:t xml:space="preserve">s and also immediately gathered information from Youth's OP (referral source), the sister's OP, and DCF (legal guardian). In the written document, all domains were fully covered with cogent, detailed narrative. The section on family history required extra effort to communicate with DCF, where the family had experienced 3 different social workers in the prior year. The IHT took extra care to understand the family's experience with the prior IHT service from a different agency; family had terminated that course of treatment with some strong negative assessment of the value. Strengths and needs are well defined. The interpretive summary is clear and well informed, with neither surprises nor omissions. The IHT has a sophisticated hypothesis about the impact of Youth's trauma, the push-pull of her terror of letting down her guard and her desire to attach to this family, and the effects on her behavior and emotions of having only her younger sister as a constant in her life. Deepening of understanding is well documented on CANS updates done every 3 months, or more as needed to record changes. IHT has also collected, over time, all of the academic evaluations done by the school as well as the DCF assessment and the neuropsych </w:t>
            </w:r>
            <w:r w:rsidR="00121054" w:rsidRPr="00C3677E">
              <w:rPr>
                <w:rFonts w:eastAsia="Calibri" w:cs="Times New Roman"/>
                <w:b w:val="0"/>
                <w:color w:val="auto"/>
                <w:sz w:val="18"/>
                <w:szCs w:val="18"/>
              </w:rPr>
              <w:t>evaluation, which</w:t>
            </w:r>
            <w:r w:rsidRPr="00C3677E">
              <w:rPr>
                <w:rFonts w:eastAsia="Calibri" w:cs="Times New Roman"/>
                <w:b w:val="0"/>
                <w:color w:val="auto"/>
                <w:sz w:val="18"/>
                <w:szCs w:val="18"/>
              </w:rPr>
              <w:t xml:space="preserve"> the </w:t>
            </w:r>
            <w:r w:rsidR="00CF09A5">
              <w:rPr>
                <w:rFonts w:eastAsia="Calibri" w:cs="Times New Roman"/>
                <w:b w:val="0"/>
                <w:color w:val="auto"/>
                <w:sz w:val="18"/>
                <w:szCs w:val="18"/>
              </w:rPr>
              <w:t>Caregiver</w:t>
            </w:r>
            <w:r w:rsidRPr="00C3677E">
              <w:rPr>
                <w:rFonts w:eastAsia="Calibri" w:cs="Times New Roman"/>
                <w:b w:val="0"/>
                <w:color w:val="auto"/>
                <w:sz w:val="18"/>
                <w:szCs w:val="18"/>
              </w:rPr>
              <w:t>s requested.</w:t>
            </w:r>
          </w:p>
          <w:p w14:paraId="38542838" w14:textId="77777777" w:rsidR="00C3677E" w:rsidRPr="00121054" w:rsidRDefault="00C3677E" w:rsidP="008010E8">
            <w:pPr>
              <w:widowControl w:val="0"/>
              <w:jc w:val="left"/>
              <w:rPr>
                <w:rFonts w:eastAsia="Calibri" w:cs="Times New Roman"/>
                <w:b w:val="0"/>
                <w:color w:val="auto"/>
                <w:sz w:val="18"/>
                <w:szCs w:val="18"/>
              </w:rPr>
            </w:pPr>
          </w:p>
          <w:p w14:paraId="4F3A78ED" w14:textId="358597DD" w:rsidR="00C3677E" w:rsidRDefault="00C3677E" w:rsidP="00121054">
            <w:pPr>
              <w:widowControl w:val="0"/>
              <w:jc w:val="left"/>
              <w:rPr>
                <w:rFonts w:eastAsia="Calibri" w:cs="Times New Roman"/>
                <w:b w:val="0"/>
                <w:color w:val="auto"/>
                <w:sz w:val="18"/>
                <w:szCs w:val="18"/>
              </w:rPr>
            </w:pPr>
            <w:r w:rsidRPr="008F2736">
              <w:rPr>
                <w:rFonts w:eastAsia="Calibri" w:cs="Times New Roman"/>
                <w:color w:val="auto"/>
                <w:sz w:val="18"/>
                <w:szCs w:val="18"/>
              </w:rPr>
              <w:t>ICC</w:t>
            </w:r>
            <w:r w:rsidRPr="00C3677E">
              <w:rPr>
                <w:rFonts w:eastAsia="Calibri" w:cs="Times New Roman"/>
                <w:b w:val="0"/>
                <w:color w:val="auto"/>
                <w:sz w:val="18"/>
                <w:szCs w:val="18"/>
              </w:rPr>
              <w:t xml:space="preserve">: </w:t>
            </w:r>
            <w:r w:rsidR="00C91594" w:rsidRPr="00C91594">
              <w:rPr>
                <w:rFonts w:eastAsia="Calibri" w:cs="Times New Roman"/>
                <w:b w:val="0"/>
                <w:color w:val="auto"/>
                <w:sz w:val="18"/>
                <w:szCs w:val="18"/>
              </w:rPr>
              <w:t>The ICC and FP team were able to draw on past experience with this youth and family as a basis for assessment of family history, past challenges for both parents, and past behavioral health struggles for Youth. In discussion with Father and Youth, they added understanding of the current situation, Youth's increasing b</w:t>
            </w:r>
            <w:r w:rsidR="00121054">
              <w:rPr>
                <w:rFonts w:eastAsia="Calibri" w:cs="Times New Roman"/>
                <w:b w:val="0"/>
                <w:color w:val="auto"/>
                <w:sz w:val="18"/>
                <w:szCs w:val="18"/>
              </w:rPr>
              <w:t>ehavioral health needs emerging</w:t>
            </w:r>
            <w:r w:rsidR="00C91594" w:rsidRPr="00C91594">
              <w:rPr>
                <w:rFonts w:eastAsia="Calibri" w:cs="Times New Roman"/>
                <w:b w:val="0"/>
                <w:color w:val="auto"/>
                <w:sz w:val="18"/>
                <w:szCs w:val="18"/>
              </w:rPr>
              <w:t xml:space="preserve"> over the past 3 years, as well as strengths and natural supports. The SNCD provided additional detail, and the CANS (done twice in 6 months) supported the assessme</w:t>
            </w:r>
            <w:r w:rsidR="008F2736">
              <w:rPr>
                <w:rFonts w:eastAsia="Calibri" w:cs="Times New Roman"/>
                <w:b w:val="0"/>
                <w:color w:val="auto"/>
                <w:sz w:val="18"/>
                <w:szCs w:val="18"/>
              </w:rPr>
              <w:t xml:space="preserve">nt with ratings and narrative. </w:t>
            </w:r>
            <w:r w:rsidR="00C91594" w:rsidRPr="00C91594">
              <w:rPr>
                <w:rFonts w:eastAsia="Calibri" w:cs="Times New Roman"/>
                <w:b w:val="0"/>
                <w:color w:val="auto"/>
                <w:sz w:val="18"/>
                <w:szCs w:val="18"/>
              </w:rPr>
              <w:t>ICC gathered and appended relevant documents, including Youth's current IEP, the hospital discharge summary, and psychological evaluations from 2012,</w:t>
            </w:r>
            <w:r w:rsidR="00121054">
              <w:rPr>
                <w:rFonts w:eastAsia="Calibri" w:cs="Times New Roman"/>
                <w:b w:val="0"/>
                <w:color w:val="auto"/>
                <w:sz w:val="18"/>
                <w:szCs w:val="18"/>
              </w:rPr>
              <w:t xml:space="preserve"> </w:t>
            </w:r>
            <w:r w:rsidR="00C91594" w:rsidRPr="00C91594">
              <w:rPr>
                <w:rFonts w:eastAsia="Calibri" w:cs="Times New Roman"/>
                <w:b w:val="0"/>
                <w:color w:val="auto"/>
                <w:sz w:val="18"/>
                <w:szCs w:val="18"/>
              </w:rPr>
              <w:t>2015, and 2018. She consulted with both DCF and the middle school (where Youth was suspended after cutting i</w:t>
            </w:r>
            <w:r w:rsidR="008F2736">
              <w:rPr>
                <w:rFonts w:eastAsia="Calibri" w:cs="Times New Roman"/>
                <w:b w:val="0"/>
                <w:color w:val="auto"/>
                <w:sz w:val="18"/>
                <w:szCs w:val="18"/>
              </w:rPr>
              <w:t xml:space="preserve">ncident) about their concerns. </w:t>
            </w:r>
            <w:r w:rsidR="00C91594" w:rsidRPr="00C91594">
              <w:rPr>
                <w:rFonts w:eastAsia="Calibri" w:cs="Times New Roman"/>
                <w:b w:val="0"/>
                <w:color w:val="auto"/>
                <w:sz w:val="18"/>
                <w:szCs w:val="18"/>
              </w:rPr>
              <w:t xml:space="preserve">The highlight of the assessment process was the outstanding work that the ICC did to clarify Youth's diagnosis. After several years of services, a confusion of diagnoses had accrued to the Youth. The ICC consulted at length (including face to face meetings) with Youth's individual therapist and psychiatrist to clarify Youth's issues, rule out past suggestions, and agree on a clear working diagnosis to inform medication and treatment. </w:t>
            </w:r>
          </w:p>
          <w:p w14:paraId="611FB90C" w14:textId="77777777" w:rsidR="00B62E8A" w:rsidRDefault="00B62E8A" w:rsidP="00121054">
            <w:pPr>
              <w:widowControl w:val="0"/>
              <w:jc w:val="left"/>
              <w:rPr>
                <w:rFonts w:eastAsia="Calibri" w:cs="Times New Roman"/>
                <w:b w:val="0"/>
                <w:color w:val="auto"/>
                <w:sz w:val="18"/>
                <w:szCs w:val="18"/>
              </w:rPr>
            </w:pPr>
          </w:p>
          <w:p w14:paraId="27C07034" w14:textId="2E0349FF" w:rsidR="00121054" w:rsidRPr="00C3677E" w:rsidRDefault="00121054" w:rsidP="00121054">
            <w:pPr>
              <w:widowControl w:val="0"/>
              <w:jc w:val="left"/>
              <w:rPr>
                <w:rFonts w:eastAsia="Calibri" w:cs="Times New Roman"/>
                <w:b w:val="0"/>
                <w:color w:val="auto"/>
                <w:sz w:val="18"/>
                <w:szCs w:val="18"/>
              </w:rPr>
            </w:pPr>
          </w:p>
        </w:tc>
        <w:tc>
          <w:tcPr>
            <w:tcW w:w="5125" w:type="dxa"/>
          </w:tcPr>
          <w:p w14:paraId="72FCFDEA" w14:textId="62E0FAE4" w:rsidR="00C3677E" w:rsidRDefault="00C3677E" w:rsidP="001E3EB6">
            <w:pPr>
              <w:tabs>
                <w:tab w:val="left" w:pos="1035"/>
              </w:tabs>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F2736">
              <w:rPr>
                <w:rFonts w:eastAsia="Calibri" w:cs="Times New Roman"/>
                <w:b/>
                <w:sz w:val="18"/>
                <w:szCs w:val="18"/>
              </w:rPr>
              <w:t>IHT</w:t>
            </w:r>
            <w:r>
              <w:rPr>
                <w:rFonts w:eastAsia="Calibri" w:cs="Times New Roman"/>
                <w:sz w:val="18"/>
                <w:szCs w:val="18"/>
              </w:rPr>
              <w:t xml:space="preserve">: </w:t>
            </w:r>
            <w:r w:rsidRPr="00C810DD">
              <w:rPr>
                <w:rFonts w:eastAsia="Calibri" w:cs="Times New Roman"/>
                <w:sz w:val="18"/>
                <w:szCs w:val="18"/>
              </w:rPr>
              <w:t>Information for the initial assessment was gathered primarily from the mother and the youth. IHT did meet with Youth's referring outpatient therapist to gath</w:t>
            </w:r>
            <w:r w:rsidR="00121054">
              <w:rPr>
                <w:rFonts w:eastAsia="Calibri" w:cs="Times New Roman"/>
                <w:sz w:val="18"/>
                <w:szCs w:val="18"/>
              </w:rPr>
              <w:t>er information, but the outcome</w:t>
            </w:r>
            <w:r w:rsidRPr="00C810DD">
              <w:rPr>
                <w:rFonts w:eastAsia="Calibri" w:cs="Times New Roman"/>
                <w:sz w:val="18"/>
                <w:szCs w:val="18"/>
              </w:rPr>
              <w:t xml:space="preserve"> of which was unclear. There appears to have been no effort made to get discharge information from previous MCI involvement or hospital admissions/discharges, nor from Youth's school (important since she had at that point dropped out of her honors high school). Most sections of the assessment simply referred to the CANS, but the CANS itself contained sparse information other than the scores. Despite Youth's previous hospital admissions, little to no information was included about what precipitated these events, or even when they actually occurred. Notably lacking was any information about Youth's family in either the initial or ongoing assessment. Family strengths were not identified, nor were any family concerns. It was unclear what parent's marital status is, or even whether father lives with the family or when/how he left the family home. Cultural differences within the family were not mentioned or explored in any way in the assessment although it was evident that these had later been occasionally addressed during family sessions.  </w:t>
            </w:r>
          </w:p>
          <w:p w14:paraId="05E9C191" w14:textId="77777777" w:rsidR="00C3677E" w:rsidRDefault="00C3677E" w:rsidP="001E3EB6">
            <w:pPr>
              <w:tabs>
                <w:tab w:val="left" w:pos="1035"/>
              </w:tabs>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71D675B5" w14:textId="79657C73" w:rsidR="00C3677E" w:rsidRPr="00C810DD" w:rsidRDefault="00C3677E" w:rsidP="001E3EB6">
            <w:pPr>
              <w:tabs>
                <w:tab w:val="left" w:pos="1035"/>
              </w:tabs>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F2736">
              <w:rPr>
                <w:rFonts w:eastAsia="Calibri" w:cs="Times New Roman"/>
                <w:b/>
                <w:sz w:val="18"/>
                <w:szCs w:val="18"/>
              </w:rPr>
              <w:t>ICC</w:t>
            </w:r>
            <w:r>
              <w:rPr>
                <w:rFonts w:eastAsia="Calibri" w:cs="Times New Roman"/>
                <w:sz w:val="18"/>
                <w:szCs w:val="18"/>
              </w:rPr>
              <w:t xml:space="preserve">: </w:t>
            </w:r>
            <w:r w:rsidR="00C26909" w:rsidRPr="00C26909">
              <w:rPr>
                <w:rFonts w:eastAsia="Calibri" w:cs="Times New Roman"/>
                <w:sz w:val="18"/>
                <w:szCs w:val="18"/>
              </w:rPr>
              <w:t xml:space="preserve">The assessments included some youth information, but would have benefited from more depth to have a clear understanding of the youth.  The assessments did not contain family information, leaving no understanding of family information or history.  The ICC said the </w:t>
            </w:r>
            <w:r w:rsidR="00CF09A5">
              <w:rPr>
                <w:rFonts w:eastAsia="Calibri" w:cs="Times New Roman"/>
                <w:sz w:val="18"/>
                <w:szCs w:val="18"/>
              </w:rPr>
              <w:t>Caregiver</w:t>
            </w:r>
            <w:r w:rsidR="00C26909" w:rsidRPr="00C26909">
              <w:rPr>
                <w:rFonts w:eastAsia="Calibri" w:cs="Times New Roman"/>
                <w:sz w:val="18"/>
                <w:szCs w:val="18"/>
              </w:rPr>
              <w:t xml:space="preserve"> would not share about h</w:t>
            </w:r>
            <w:r w:rsidR="00121054">
              <w:rPr>
                <w:rFonts w:eastAsia="Calibri" w:cs="Times New Roman"/>
                <w:sz w:val="18"/>
                <w:szCs w:val="18"/>
              </w:rPr>
              <w:t>er past; h</w:t>
            </w:r>
            <w:r w:rsidR="00C26909" w:rsidRPr="00C26909">
              <w:rPr>
                <w:rFonts w:eastAsia="Calibri" w:cs="Times New Roman"/>
                <w:sz w:val="18"/>
                <w:szCs w:val="18"/>
              </w:rPr>
              <w:t>owev</w:t>
            </w:r>
            <w:r w:rsidR="00121054">
              <w:rPr>
                <w:rFonts w:eastAsia="Calibri" w:cs="Times New Roman"/>
                <w:sz w:val="18"/>
                <w:szCs w:val="18"/>
              </w:rPr>
              <w:t>er, none of those questions was</w:t>
            </w:r>
            <w:r w:rsidR="00C26909" w:rsidRPr="00C26909">
              <w:rPr>
                <w:rFonts w:eastAsia="Calibri" w:cs="Times New Roman"/>
                <w:sz w:val="18"/>
                <w:szCs w:val="18"/>
              </w:rPr>
              <w:t xml:space="preserve"> re-visited as services and relationships progressed, showing no evidence of assessment as an ongoing process.  Throughout the comprehensive assessment, the ICC answered many questions with "CANS assessment completed," but that information was not provided </w:t>
            </w:r>
            <w:r w:rsidR="00121054">
              <w:rPr>
                <w:rFonts w:eastAsia="Calibri" w:cs="Times New Roman"/>
                <w:sz w:val="18"/>
                <w:szCs w:val="18"/>
              </w:rPr>
              <w:t>in the one CANS that was done which</w:t>
            </w:r>
            <w:r w:rsidR="00C26909" w:rsidRPr="00C26909">
              <w:rPr>
                <w:rFonts w:eastAsia="Calibri" w:cs="Times New Roman"/>
                <w:sz w:val="18"/>
                <w:szCs w:val="18"/>
              </w:rPr>
              <w:t xml:space="preserve"> had </w:t>
            </w:r>
            <w:r w:rsidR="00121054">
              <w:rPr>
                <w:rFonts w:eastAsia="Calibri" w:cs="Times New Roman"/>
                <w:sz w:val="18"/>
                <w:szCs w:val="18"/>
              </w:rPr>
              <w:t xml:space="preserve">only </w:t>
            </w:r>
            <w:r w:rsidR="00C26909" w:rsidRPr="00C26909">
              <w:rPr>
                <w:rFonts w:eastAsia="Calibri" w:cs="Times New Roman"/>
                <w:sz w:val="18"/>
                <w:szCs w:val="18"/>
              </w:rPr>
              <w:t xml:space="preserve">vague narratives.  Most of the information contained in the comprehensive assessment seemed to have been gathered in the ICC's initial phone call with the </w:t>
            </w:r>
            <w:r w:rsidR="00CF09A5">
              <w:rPr>
                <w:rFonts w:eastAsia="Calibri" w:cs="Times New Roman"/>
                <w:sz w:val="18"/>
                <w:szCs w:val="18"/>
              </w:rPr>
              <w:t>Caregiver</w:t>
            </w:r>
            <w:r w:rsidR="00C26909" w:rsidRPr="00C26909">
              <w:rPr>
                <w:rFonts w:eastAsia="Calibri" w:cs="Times New Roman"/>
                <w:sz w:val="18"/>
                <w:szCs w:val="18"/>
              </w:rPr>
              <w:t xml:space="preserve">, and was documented in that progress note.  Strengths were stated in the assessment for both the youth and </w:t>
            </w:r>
            <w:r w:rsidR="00CF09A5">
              <w:rPr>
                <w:rFonts w:eastAsia="Calibri" w:cs="Times New Roman"/>
                <w:sz w:val="18"/>
                <w:szCs w:val="18"/>
              </w:rPr>
              <w:t>Caregiver</w:t>
            </w:r>
            <w:r w:rsidR="00C26909" w:rsidRPr="00C26909">
              <w:rPr>
                <w:rFonts w:eastAsia="Calibri" w:cs="Times New Roman"/>
                <w:sz w:val="18"/>
                <w:szCs w:val="18"/>
              </w:rPr>
              <w:t xml:space="preserve">.  Natural supports were not identified in the assessments, even though the progress notes sometimes referenced individuals in the family's life.   </w:t>
            </w:r>
            <w:r w:rsidR="00121054">
              <w:rPr>
                <w:rFonts w:eastAsia="Calibri" w:cs="Times New Roman"/>
                <w:sz w:val="18"/>
                <w:szCs w:val="18"/>
              </w:rPr>
              <w:t>The a</w:t>
            </w:r>
            <w:r w:rsidR="00C26909" w:rsidRPr="00C26909">
              <w:rPr>
                <w:rFonts w:eastAsia="Calibri" w:cs="Times New Roman"/>
                <w:sz w:val="18"/>
                <w:szCs w:val="18"/>
              </w:rPr>
              <w:t xml:space="preserve">ssessment would have been </w:t>
            </w:r>
            <w:r w:rsidR="00121054">
              <w:rPr>
                <w:rFonts w:eastAsia="Calibri" w:cs="Times New Roman"/>
                <w:sz w:val="18"/>
                <w:szCs w:val="18"/>
              </w:rPr>
              <w:t xml:space="preserve">enhanced </w:t>
            </w:r>
            <w:r w:rsidR="00C26909" w:rsidRPr="00C26909">
              <w:rPr>
                <w:rFonts w:eastAsia="Calibri" w:cs="Times New Roman"/>
                <w:sz w:val="18"/>
                <w:szCs w:val="18"/>
              </w:rPr>
              <w:t>with a greater variety of sources (i.e. school, former provider, evaluations), and a well-info</w:t>
            </w:r>
            <w:r w:rsidR="00121054">
              <w:rPr>
                <w:rFonts w:eastAsia="Calibri" w:cs="Times New Roman"/>
                <w:sz w:val="18"/>
                <w:szCs w:val="18"/>
              </w:rPr>
              <w:t>rmed clinical formulation.  The</w:t>
            </w:r>
            <w:r w:rsidR="00C26909" w:rsidRPr="00C26909">
              <w:rPr>
                <w:rFonts w:eastAsia="Calibri" w:cs="Times New Roman"/>
                <w:sz w:val="18"/>
                <w:szCs w:val="18"/>
              </w:rPr>
              <w:t xml:space="preserve"> clinical formulation section o</w:t>
            </w:r>
            <w:r w:rsidR="00121054">
              <w:rPr>
                <w:rFonts w:eastAsia="Calibri" w:cs="Times New Roman"/>
                <w:sz w:val="18"/>
                <w:szCs w:val="18"/>
              </w:rPr>
              <w:t>f the comprehensive assessment re</w:t>
            </w:r>
            <w:r w:rsidR="00C26909" w:rsidRPr="00C26909">
              <w:rPr>
                <w:rFonts w:eastAsia="Calibri" w:cs="Times New Roman"/>
                <w:sz w:val="18"/>
                <w:szCs w:val="18"/>
              </w:rPr>
              <w:t>stated the referral information with a recommendation for OPT and TM</w:t>
            </w:r>
            <w:r w:rsidR="00121054">
              <w:rPr>
                <w:rFonts w:eastAsia="Calibri" w:cs="Times New Roman"/>
                <w:sz w:val="18"/>
                <w:szCs w:val="18"/>
              </w:rPr>
              <w:t xml:space="preserve"> rather than providing a formulation</w:t>
            </w:r>
            <w:r w:rsidR="00C26909" w:rsidRPr="00C26909">
              <w:rPr>
                <w:rFonts w:eastAsia="Calibri" w:cs="Times New Roman"/>
                <w:sz w:val="18"/>
                <w:szCs w:val="18"/>
              </w:rPr>
              <w:t>.</w:t>
            </w:r>
          </w:p>
        </w:tc>
      </w:tr>
      <w:tr w:rsidR="00C91594" w14:paraId="212927FC" w14:textId="77777777" w:rsidTr="008F2736">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255" w:type="dxa"/>
            <w:gridSpan w:val="2"/>
            <w:tcBorders>
              <w:left w:val="none" w:sz="0" w:space="0" w:color="auto"/>
            </w:tcBorders>
            <w:shd w:val="clear" w:color="auto" w:fill="EAB290" w:themeFill="accent2" w:themeFillTint="99"/>
          </w:tcPr>
          <w:p w14:paraId="28F6DA80" w14:textId="6D1012B5" w:rsidR="00C91594" w:rsidRPr="00C91594" w:rsidRDefault="00C91594" w:rsidP="00C91594">
            <w:pPr>
              <w:tabs>
                <w:tab w:val="left" w:pos="1035"/>
              </w:tabs>
              <w:jc w:val="center"/>
              <w:rPr>
                <w:rFonts w:eastAsia="Calibri" w:cs="Times New Roman"/>
              </w:rPr>
            </w:pPr>
            <w:r w:rsidRPr="00C91594">
              <w:rPr>
                <w:rFonts w:eastAsia="Calibri" w:cs="Times New Roman"/>
              </w:rPr>
              <w:lastRenderedPageBreak/>
              <w:t>Service Planning</w:t>
            </w:r>
          </w:p>
        </w:tc>
      </w:tr>
      <w:tr w:rsidR="00C3677E" w14:paraId="75644E4C" w14:textId="77777777" w:rsidTr="008F2736">
        <w:trPr>
          <w:trHeight w:val="1134"/>
        </w:trPr>
        <w:tc>
          <w:tcPr>
            <w:cnfStyle w:val="001000000000" w:firstRow="0" w:lastRow="0" w:firstColumn="1" w:lastColumn="0" w:oddVBand="0" w:evenVBand="0" w:oddHBand="0" w:evenHBand="0" w:firstRowFirstColumn="0" w:firstRowLastColumn="0" w:lastRowFirstColumn="0" w:lastRowLastColumn="0"/>
            <w:tcW w:w="5130" w:type="dxa"/>
            <w:tcBorders>
              <w:left w:val="none" w:sz="0" w:space="0" w:color="auto"/>
            </w:tcBorders>
            <w:shd w:val="clear" w:color="auto" w:fill="F8E5DA" w:themeFill="accent2" w:themeFillTint="33"/>
          </w:tcPr>
          <w:p w14:paraId="6F5E42D0" w14:textId="65F9F0D0" w:rsidR="00C3677E" w:rsidRDefault="00C3677E" w:rsidP="008010E8">
            <w:pPr>
              <w:widowControl w:val="0"/>
              <w:jc w:val="left"/>
              <w:rPr>
                <w:rFonts w:eastAsia="Calibri" w:cs="Times New Roman"/>
                <w:b w:val="0"/>
                <w:color w:val="auto"/>
                <w:sz w:val="18"/>
                <w:szCs w:val="18"/>
              </w:rPr>
            </w:pPr>
            <w:r w:rsidRPr="008F2736">
              <w:rPr>
                <w:rFonts w:eastAsia="Calibri" w:cs="Times New Roman"/>
                <w:color w:val="auto"/>
                <w:sz w:val="18"/>
                <w:szCs w:val="18"/>
              </w:rPr>
              <w:t>IHT</w:t>
            </w:r>
            <w:r w:rsidRPr="00C3677E">
              <w:rPr>
                <w:rFonts w:eastAsia="Calibri" w:cs="Times New Roman"/>
                <w:b w:val="0"/>
                <w:color w:val="auto"/>
                <w:sz w:val="18"/>
                <w:szCs w:val="18"/>
              </w:rPr>
              <w:t xml:space="preserve">: </w:t>
            </w:r>
            <w:r w:rsidR="00B67968" w:rsidRPr="00B67968">
              <w:rPr>
                <w:rFonts w:eastAsia="Calibri" w:cs="Times New Roman"/>
                <w:b w:val="0"/>
                <w:color w:val="auto"/>
                <w:sz w:val="18"/>
                <w:szCs w:val="18"/>
              </w:rPr>
              <w:t>Service planning has been outstanding in this intervention. Following from the concerns about school behavior, the IHT team met right away with the family to hear their perspective and then with school personnel to understand their concerns. During these initial meetings, the team identified potential interventions, shared what worked (and what didn't) at home and school, and together decided on a behavioral approach that strengthened limit-setting at home to reinforce structure at school. Collaboration on service planning has continued throughout the intervention with specific behavior management tactics implemented in tandem across the two environments. As work progressed, the team also consulted with Youth's basketball coach to include his perspective (Youth is generally attentive and cooperative there).  The IHT team created two service plans, one for home and one for school, with similar warning signs for behavioral difficulties but responses tailored to the environment. The plans were developed with first input from the Youth, supplemented by parent and teacher contributions. The home plan is written in Spa</w:t>
            </w:r>
            <w:r w:rsidR="007505B0">
              <w:rPr>
                <w:rFonts w:eastAsia="Calibri" w:cs="Times New Roman"/>
                <w:b w:val="0"/>
                <w:color w:val="auto"/>
                <w:sz w:val="18"/>
                <w:szCs w:val="18"/>
              </w:rPr>
              <w:t>nish for the parents. Just after the school year began</w:t>
            </w:r>
            <w:r w:rsidR="00B67968" w:rsidRPr="00B67968">
              <w:rPr>
                <w:rFonts w:eastAsia="Calibri" w:cs="Times New Roman"/>
                <w:b w:val="0"/>
                <w:color w:val="auto"/>
                <w:sz w:val="18"/>
                <w:szCs w:val="18"/>
              </w:rPr>
              <w:t>, when Youth had a major outburst at school, the IHT team went to th</w:t>
            </w:r>
            <w:r w:rsidR="007505B0">
              <w:rPr>
                <w:rFonts w:eastAsia="Calibri" w:cs="Times New Roman"/>
                <w:b w:val="0"/>
                <w:color w:val="auto"/>
                <w:sz w:val="18"/>
                <w:szCs w:val="18"/>
              </w:rPr>
              <w:t>e school with Mother (primary caregiver</w:t>
            </w:r>
            <w:r w:rsidR="00B67968" w:rsidRPr="00B67968">
              <w:rPr>
                <w:rFonts w:eastAsia="Calibri" w:cs="Times New Roman"/>
                <w:b w:val="0"/>
                <w:color w:val="auto"/>
                <w:sz w:val="18"/>
                <w:szCs w:val="18"/>
              </w:rPr>
              <w:t>) and supported her in calling MCI and understanding when emergency services are warranted and how to handle the process.</w:t>
            </w:r>
          </w:p>
          <w:p w14:paraId="09EB27D0" w14:textId="77777777" w:rsidR="00C91594" w:rsidRDefault="00C91594" w:rsidP="008010E8">
            <w:pPr>
              <w:widowControl w:val="0"/>
              <w:jc w:val="left"/>
              <w:rPr>
                <w:rFonts w:eastAsia="Calibri" w:cs="Times New Roman"/>
                <w:b w:val="0"/>
                <w:color w:val="auto"/>
                <w:sz w:val="18"/>
                <w:szCs w:val="18"/>
              </w:rPr>
            </w:pPr>
          </w:p>
          <w:p w14:paraId="5439427D" w14:textId="57F17CB5" w:rsidR="00C91594" w:rsidRDefault="00C91594" w:rsidP="00C91594">
            <w:pPr>
              <w:widowControl w:val="0"/>
              <w:jc w:val="left"/>
              <w:rPr>
                <w:rFonts w:eastAsia="Calibri" w:cs="Times New Roman"/>
                <w:b w:val="0"/>
                <w:color w:val="auto"/>
                <w:sz w:val="18"/>
                <w:szCs w:val="18"/>
              </w:rPr>
            </w:pPr>
            <w:r w:rsidRPr="008F2736">
              <w:rPr>
                <w:rFonts w:eastAsia="Calibri" w:cs="Times New Roman"/>
                <w:color w:val="auto"/>
                <w:sz w:val="18"/>
                <w:szCs w:val="18"/>
              </w:rPr>
              <w:t>ICC</w:t>
            </w:r>
            <w:r>
              <w:rPr>
                <w:rFonts w:eastAsia="Calibri" w:cs="Times New Roman"/>
                <w:b w:val="0"/>
                <w:color w:val="auto"/>
                <w:sz w:val="18"/>
                <w:szCs w:val="18"/>
              </w:rPr>
              <w:t xml:space="preserve">: </w:t>
            </w:r>
            <w:r w:rsidRPr="00C91594">
              <w:rPr>
                <w:rFonts w:eastAsia="Calibri" w:cs="Times New Roman"/>
                <w:b w:val="0"/>
                <w:color w:val="auto"/>
                <w:sz w:val="18"/>
                <w:szCs w:val="18"/>
              </w:rPr>
              <w:t xml:space="preserve">The family has driven the process of prioritizing their needs and setting goals for change. Both Father and Youth are actively involved in all Care Plan Team meetings, with Youth taking an especially central role in brainstorming and choosing options. Every meeting participant makes suggestions, and the resulting plan shows evidence </w:t>
            </w:r>
            <w:r w:rsidR="003F3951">
              <w:rPr>
                <w:rFonts w:eastAsia="Calibri" w:cs="Times New Roman"/>
                <w:b w:val="0"/>
                <w:color w:val="auto"/>
                <w:sz w:val="18"/>
                <w:szCs w:val="18"/>
              </w:rPr>
              <w:t>of creative thinking</w:t>
            </w:r>
            <w:r w:rsidRPr="00C91594">
              <w:rPr>
                <w:rFonts w:eastAsia="Calibri" w:cs="Times New Roman"/>
                <w:b w:val="0"/>
                <w:color w:val="auto"/>
                <w:sz w:val="18"/>
                <w:szCs w:val="18"/>
              </w:rPr>
              <w:t xml:space="preserve"> without limiting the options to</w:t>
            </w:r>
            <w:r w:rsidR="003F3951">
              <w:rPr>
                <w:rFonts w:eastAsia="Calibri" w:cs="Times New Roman"/>
                <w:b w:val="0"/>
                <w:color w:val="auto"/>
                <w:sz w:val="18"/>
                <w:szCs w:val="18"/>
              </w:rPr>
              <w:t xml:space="preserve"> only</w:t>
            </w:r>
            <w:r w:rsidRPr="00C91594">
              <w:rPr>
                <w:rFonts w:eastAsia="Calibri" w:cs="Times New Roman"/>
                <w:b w:val="0"/>
                <w:color w:val="auto"/>
                <w:sz w:val="18"/>
                <w:szCs w:val="18"/>
              </w:rPr>
              <w:t xml:space="preserve"> addi</w:t>
            </w:r>
            <w:r w:rsidR="003F45B8">
              <w:rPr>
                <w:rFonts w:eastAsia="Calibri" w:cs="Times New Roman"/>
                <w:b w:val="0"/>
                <w:color w:val="auto"/>
                <w:sz w:val="18"/>
                <w:szCs w:val="18"/>
              </w:rPr>
              <w:t xml:space="preserve">ng behavioral health services. </w:t>
            </w:r>
            <w:r w:rsidRPr="00C91594">
              <w:rPr>
                <w:rFonts w:eastAsia="Calibri" w:cs="Times New Roman"/>
                <w:b w:val="0"/>
                <w:color w:val="auto"/>
                <w:sz w:val="18"/>
                <w:szCs w:val="18"/>
              </w:rPr>
              <w:t xml:space="preserve"> The plan also includes clear, measurable objectives for each goal, which assist in discussing progress at each meeting. Although needs have not significantly changed, there was a period of uncertainty about supervision for Youth when Fat</w:t>
            </w:r>
            <w:r w:rsidR="003F3951">
              <w:rPr>
                <w:rFonts w:eastAsia="Calibri" w:cs="Times New Roman"/>
                <w:b w:val="0"/>
                <w:color w:val="auto"/>
                <w:sz w:val="18"/>
                <w:szCs w:val="18"/>
              </w:rPr>
              <w:t>her returned to work</w:t>
            </w:r>
            <w:r w:rsidRPr="00C91594">
              <w:rPr>
                <w:rFonts w:eastAsia="Calibri" w:cs="Times New Roman"/>
                <w:b w:val="0"/>
                <w:color w:val="auto"/>
                <w:sz w:val="18"/>
                <w:szCs w:val="18"/>
              </w:rPr>
              <w:t xml:space="preserve"> (Youth was not allowed in housing complex without adult supervision due to fire-setting incident). One whole CPT was devoted </w:t>
            </w:r>
            <w:r w:rsidR="003F45B8">
              <w:rPr>
                <w:rFonts w:eastAsia="Calibri" w:cs="Times New Roman"/>
                <w:b w:val="0"/>
                <w:color w:val="auto"/>
                <w:sz w:val="18"/>
                <w:szCs w:val="18"/>
              </w:rPr>
              <w:t xml:space="preserve">to developing a coverage plan. </w:t>
            </w:r>
            <w:r w:rsidRPr="00C91594">
              <w:rPr>
                <w:rFonts w:eastAsia="Calibri" w:cs="Times New Roman"/>
                <w:b w:val="0"/>
                <w:color w:val="auto"/>
                <w:sz w:val="18"/>
                <w:szCs w:val="18"/>
              </w:rPr>
              <w:t xml:space="preserve"> The safety plan made at start of services and reviewed at every CPT includes responses to three different risk situations - fire setting, emotional dysregulation, and school refusal (an issue over the summer when mother made attendance at summer school optional) - with suggestions for</w:t>
            </w:r>
            <w:r w:rsidR="003F45B8">
              <w:rPr>
                <w:rFonts w:eastAsia="Calibri" w:cs="Times New Roman"/>
                <w:b w:val="0"/>
                <w:color w:val="auto"/>
                <w:sz w:val="18"/>
                <w:szCs w:val="18"/>
              </w:rPr>
              <w:t xml:space="preserve"> recognizing and handling each. </w:t>
            </w:r>
            <w:r w:rsidRPr="00C91594">
              <w:rPr>
                <w:rFonts w:eastAsia="Calibri" w:cs="Times New Roman"/>
                <w:b w:val="0"/>
                <w:color w:val="auto"/>
                <w:sz w:val="18"/>
                <w:szCs w:val="18"/>
              </w:rPr>
              <w:t xml:space="preserve">One disappointment in service planning is that mother (an approximately 50/50 </w:t>
            </w:r>
            <w:r w:rsidR="00CF09A5">
              <w:rPr>
                <w:rFonts w:eastAsia="Calibri" w:cs="Times New Roman"/>
                <w:b w:val="0"/>
                <w:color w:val="auto"/>
                <w:sz w:val="18"/>
                <w:szCs w:val="18"/>
              </w:rPr>
              <w:t>Caregiver</w:t>
            </w:r>
            <w:r w:rsidRPr="00C91594">
              <w:rPr>
                <w:rFonts w:eastAsia="Calibri" w:cs="Times New Roman"/>
                <w:b w:val="0"/>
                <w:color w:val="auto"/>
                <w:sz w:val="18"/>
                <w:szCs w:val="18"/>
              </w:rPr>
              <w:t xml:space="preserve">) has only been marginally involved in planning. The ICC is keenly aware of this gap and has shown persistence in seeking out mother's input, inviting her to meetings, offering meetings at her house, keeping her up to date on plans for Youth, and simultaneously respecting Father's sensitive relationship with his ex-wife and his preference to remain the primary </w:t>
            </w:r>
            <w:r w:rsidR="00CF09A5">
              <w:rPr>
                <w:rFonts w:eastAsia="Calibri" w:cs="Times New Roman"/>
                <w:b w:val="0"/>
                <w:color w:val="auto"/>
                <w:sz w:val="18"/>
                <w:szCs w:val="18"/>
              </w:rPr>
              <w:t>Caregiver</w:t>
            </w:r>
            <w:r w:rsidRPr="00C91594">
              <w:rPr>
                <w:rFonts w:eastAsia="Calibri" w:cs="Times New Roman"/>
                <w:b w:val="0"/>
                <w:color w:val="auto"/>
                <w:sz w:val="18"/>
                <w:szCs w:val="18"/>
              </w:rPr>
              <w:t>.</w:t>
            </w:r>
          </w:p>
          <w:p w14:paraId="2EDAD326" w14:textId="794743CE" w:rsidR="003F3951" w:rsidRPr="00C3677E" w:rsidRDefault="003F3951" w:rsidP="00C91594">
            <w:pPr>
              <w:widowControl w:val="0"/>
              <w:jc w:val="left"/>
              <w:rPr>
                <w:rFonts w:eastAsia="Calibri" w:cs="Times New Roman"/>
                <w:b w:val="0"/>
                <w:color w:val="auto"/>
                <w:sz w:val="18"/>
                <w:szCs w:val="18"/>
              </w:rPr>
            </w:pPr>
          </w:p>
        </w:tc>
        <w:tc>
          <w:tcPr>
            <w:tcW w:w="5125" w:type="dxa"/>
            <w:shd w:val="clear" w:color="auto" w:fill="FFFFFF" w:themeFill="background1"/>
          </w:tcPr>
          <w:p w14:paraId="6CCC1CF0" w14:textId="033FC969" w:rsidR="00C3677E" w:rsidRDefault="00C3677E"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F2736">
              <w:rPr>
                <w:rFonts w:eastAsia="Calibri" w:cs="Times New Roman"/>
                <w:b/>
                <w:sz w:val="18"/>
                <w:szCs w:val="18"/>
              </w:rPr>
              <w:t>IHT</w:t>
            </w:r>
            <w:r>
              <w:rPr>
                <w:rFonts w:eastAsia="Calibri" w:cs="Times New Roman"/>
                <w:sz w:val="18"/>
                <w:szCs w:val="18"/>
              </w:rPr>
              <w:t xml:space="preserve">: </w:t>
            </w:r>
            <w:r w:rsidRPr="002A6ABB">
              <w:rPr>
                <w:rFonts w:eastAsia="Calibri" w:cs="Times New Roman"/>
                <w:sz w:val="18"/>
                <w:szCs w:val="18"/>
              </w:rPr>
              <w:t xml:space="preserve">While it would appear on the surface that there was work in this area, it was essentially absent as it was not done so with attention to this particular youth and family. Goals were developed by the IHT and then reviewed with the </w:t>
            </w:r>
            <w:r w:rsidR="00CF09A5">
              <w:rPr>
                <w:rFonts w:eastAsia="Calibri" w:cs="Times New Roman"/>
                <w:sz w:val="18"/>
                <w:szCs w:val="18"/>
              </w:rPr>
              <w:t>Caregiver</w:t>
            </w:r>
            <w:r w:rsidRPr="002A6ABB">
              <w:rPr>
                <w:rFonts w:eastAsia="Calibri" w:cs="Times New Roman"/>
                <w:sz w:val="18"/>
                <w:szCs w:val="18"/>
              </w:rPr>
              <w:t xml:space="preserve">, who signed off on the plan. </w:t>
            </w:r>
            <w:r w:rsidR="00CF09A5">
              <w:rPr>
                <w:rFonts w:eastAsia="Calibri" w:cs="Times New Roman"/>
                <w:sz w:val="18"/>
                <w:szCs w:val="18"/>
              </w:rPr>
              <w:t>Caregiver</w:t>
            </w:r>
            <w:r w:rsidRPr="002A6ABB">
              <w:rPr>
                <w:rFonts w:eastAsia="Calibri" w:cs="Times New Roman"/>
                <w:sz w:val="18"/>
                <w:szCs w:val="18"/>
              </w:rPr>
              <w:t xml:space="preserve"> was not involved in developing the goals, nor did she receive a copy of the plan. Goals do logically follow from the needs identified in the assessment/CANS, but service planning could have been strengthened by addressing Youth's extensive trauma history and anxiety about </w:t>
            </w:r>
            <w:r w:rsidR="00CF09A5">
              <w:rPr>
                <w:rFonts w:eastAsia="Calibri" w:cs="Times New Roman"/>
                <w:sz w:val="18"/>
                <w:szCs w:val="18"/>
              </w:rPr>
              <w:t>Caregiver</w:t>
            </w:r>
            <w:r w:rsidRPr="002A6ABB">
              <w:rPr>
                <w:rFonts w:eastAsia="Calibri" w:cs="Times New Roman"/>
                <w:sz w:val="18"/>
                <w:szCs w:val="18"/>
              </w:rPr>
              <w:t xml:space="preserve">'s well-being. Service planning could also have been strengthened by the development of a more meaningful safety plan. Although Youth does not present with significant safety concerns, the plan, which was again developed by the IHT and presented to the </w:t>
            </w:r>
            <w:r w:rsidR="00CF09A5">
              <w:rPr>
                <w:rFonts w:eastAsia="Calibri" w:cs="Times New Roman"/>
                <w:sz w:val="18"/>
                <w:szCs w:val="18"/>
              </w:rPr>
              <w:t>Caregiver</w:t>
            </w:r>
            <w:r w:rsidRPr="002A6ABB">
              <w:rPr>
                <w:rFonts w:eastAsia="Calibri" w:cs="Times New Roman"/>
                <w:sz w:val="18"/>
                <w:szCs w:val="18"/>
              </w:rPr>
              <w:t>, appears to be largely boilerplate, referring to youth alternately as "client" or "him," and contains advice such as "Client's mother will talk to client in an effective way" without any suggestion about what might actually be effective. There are also suggestions about sending client to her "own room" to relax, without considering that Mother and Youth are sharing one room in a shelter.</w:t>
            </w:r>
          </w:p>
          <w:p w14:paraId="65A77CC6" w14:textId="77777777" w:rsidR="00C3677E" w:rsidRDefault="00C3677E"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12C39CD5" w14:textId="59B2B2B8" w:rsidR="00C3677E" w:rsidRPr="007459A2" w:rsidRDefault="00C3677E" w:rsidP="003F3951">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F2736">
              <w:rPr>
                <w:rFonts w:eastAsia="Calibri" w:cs="Times New Roman"/>
                <w:b/>
                <w:sz w:val="18"/>
                <w:szCs w:val="18"/>
              </w:rPr>
              <w:t>ICC</w:t>
            </w:r>
            <w:r>
              <w:rPr>
                <w:rFonts w:eastAsia="Calibri" w:cs="Times New Roman"/>
                <w:sz w:val="18"/>
                <w:szCs w:val="18"/>
              </w:rPr>
              <w:t xml:space="preserve">: </w:t>
            </w:r>
            <w:r w:rsidR="008F2736" w:rsidRPr="008F2736">
              <w:rPr>
                <w:rFonts w:eastAsia="Calibri" w:cs="Times New Roman"/>
                <w:sz w:val="18"/>
                <w:szCs w:val="18"/>
              </w:rPr>
              <w:t xml:space="preserve">The youth is included and invited, but has not necessarily engaged in the process.  The service plan goals represent the family voice, but do not follow from the needs identified in the assessments.  The vision </w:t>
            </w:r>
            <w:r w:rsidR="003F3951">
              <w:rPr>
                <w:rFonts w:eastAsia="Calibri" w:cs="Times New Roman"/>
                <w:sz w:val="18"/>
                <w:szCs w:val="18"/>
              </w:rPr>
              <w:t xml:space="preserve">was clinical jargon; not in language that was generated by the family. </w:t>
            </w:r>
            <w:r w:rsidR="008F2736" w:rsidRPr="008F2736">
              <w:rPr>
                <w:rFonts w:eastAsia="Calibri" w:cs="Times New Roman"/>
                <w:sz w:val="18"/>
                <w:szCs w:val="18"/>
              </w:rPr>
              <w:t xml:space="preserve"> Goals have remained the same during the </w:t>
            </w:r>
            <w:r w:rsidR="003F3951">
              <w:rPr>
                <w:rFonts w:eastAsia="Calibri" w:cs="Times New Roman"/>
                <w:sz w:val="18"/>
                <w:szCs w:val="18"/>
              </w:rPr>
              <w:t>entire course of care (15 mos) and have not</w:t>
            </w:r>
            <w:r w:rsidR="008F2736" w:rsidRPr="008F2736">
              <w:rPr>
                <w:rFonts w:eastAsia="Calibri" w:cs="Times New Roman"/>
                <w:sz w:val="18"/>
                <w:szCs w:val="18"/>
              </w:rPr>
              <w:t xml:space="preserve"> be</w:t>
            </w:r>
            <w:r w:rsidR="003F3951">
              <w:rPr>
                <w:rFonts w:eastAsia="Calibri" w:cs="Times New Roman"/>
                <w:sz w:val="18"/>
                <w:szCs w:val="18"/>
              </w:rPr>
              <w:t>en</w:t>
            </w:r>
            <w:r w:rsidR="008F2736" w:rsidRPr="008F2736">
              <w:rPr>
                <w:rFonts w:eastAsia="Calibri" w:cs="Times New Roman"/>
                <w:sz w:val="18"/>
                <w:szCs w:val="18"/>
              </w:rPr>
              <w:t xml:space="preserve"> responsive to emerging needs, or to drive the service delivery.  Other needs that could have been addressed were the family's financial difficulties</w:t>
            </w:r>
            <w:r w:rsidR="003F3951">
              <w:rPr>
                <w:rFonts w:eastAsia="Calibri" w:cs="Times New Roman"/>
                <w:sz w:val="18"/>
                <w:szCs w:val="18"/>
              </w:rPr>
              <w:t>,</w:t>
            </w:r>
            <w:r w:rsidR="008F2736" w:rsidRPr="008F2736">
              <w:rPr>
                <w:rFonts w:eastAsia="Calibri" w:cs="Times New Roman"/>
                <w:sz w:val="18"/>
                <w:szCs w:val="18"/>
              </w:rPr>
              <w:t xml:space="preserve"> </w:t>
            </w:r>
            <w:r w:rsidR="003F3951">
              <w:rPr>
                <w:rFonts w:eastAsia="Calibri" w:cs="Times New Roman"/>
                <w:sz w:val="18"/>
                <w:szCs w:val="18"/>
              </w:rPr>
              <w:t>lack of food, housing eviction/</w:t>
            </w:r>
            <w:r w:rsidR="008F2736" w:rsidRPr="008F2736">
              <w:rPr>
                <w:rFonts w:eastAsia="Calibri" w:cs="Times New Roman"/>
                <w:sz w:val="18"/>
                <w:szCs w:val="18"/>
              </w:rPr>
              <w:t>crisis.  The record contained two safety plans with the goal being, "[Youth] is displaying safe behaviors in the home and is not using social media."  The safety planning process could be more effective if plans were responsive to incidents that occurred, particularly in the community, which is not covered in the plans.</w:t>
            </w:r>
          </w:p>
        </w:tc>
      </w:tr>
      <w:tr w:rsidR="00C3677E" w14:paraId="61635DE9" w14:textId="77777777" w:rsidTr="008F2736">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0255" w:type="dxa"/>
            <w:gridSpan w:val="2"/>
            <w:tcBorders>
              <w:left w:val="none" w:sz="0" w:space="0" w:color="auto"/>
            </w:tcBorders>
            <w:shd w:val="clear" w:color="auto" w:fill="EAB290" w:themeFill="accent2" w:themeFillTint="99"/>
          </w:tcPr>
          <w:p w14:paraId="76EC46C1" w14:textId="5CF691F5" w:rsidR="00C3677E" w:rsidRDefault="00C3677E" w:rsidP="00C3677E">
            <w:pPr>
              <w:widowControl w:val="0"/>
              <w:jc w:val="center"/>
              <w:rPr>
                <w:rFonts w:eastAsia="Calibri" w:cs="Times New Roman"/>
                <w:sz w:val="20"/>
                <w:szCs w:val="18"/>
              </w:rPr>
            </w:pPr>
            <w:r w:rsidRPr="004948C8">
              <w:rPr>
                <w:rFonts w:eastAsia="Calibri" w:cs="Times New Roman"/>
                <w:szCs w:val="18"/>
              </w:rPr>
              <w:t>Service Delivery</w:t>
            </w:r>
          </w:p>
        </w:tc>
      </w:tr>
      <w:tr w:rsidR="00C3677E" w14:paraId="76A936E9" w14:textId="77777777" w:rsidTr="008F2736">
        <w:trPr>
          <w:trHeight w:val="746"/>
        </w:trPr>
        <w:tc>
          <w:tcPr>
            <w:cnfStyle w:val="001000000000" w:firstRow="0" w:lastRow="0" w:firstColumn="1" w:lastColumn="0" w:oddVBand="0" w:evenVBand="0" w:oddHBand="0" w:evenHBand="0" w:firstRowFirstColumn="0" w:firstRowLastColumn="0" w:lastRowFirstColumn="0" w:lastRowLastColumn="0"/>
            <w:tcW w:w="5130" w:type="dxa"/>
            <w:tcBorders>
              <w:left w:val="none" w:sz="0" w:space="0" w:color="auto"/>
            </w:tcBorders>
            <w:shd w:val="clear" w:color="auto" w:fill="FFFFFF" w:themeFill="background1"/>
          </w:tcPr>
          <w:p w14:paraId="152864EA" w14:textId="336DB31C" w:rsidR="00C3677E" w:rsidRDefault="00C3677E" w:rsidP="008010E8">
            <w:pPr>
              <w:widowControl w:val="0"/>
              <w:jc w:val="left"/>
              <w:rPr>
                <w:rFonts w:eastAsia="Calibri" w:cs="Times New Roman"/>
                <w:b w:val="0"/>
                <w:color w:val="auto"/>
                <w:sz w:val="18"/>
                <w:szCs w:val="18"/>
              </w:rPr>
            </w:pPr>
            <w:r w:rsidRPr="008F2736">
              <w:rPr>
                <w:rFonts w:eastAsia="Calibri" w:cs="Times New Roman"/>
                <w:color w:val="auto"/>
                <w:sz w:val="18"/>
                <w:szCs w:val="18"/>
              </w:rPr>
              <w:t>IHT</w:t>
            </w:r>
            <w:r w:rsidRPr="00C3677E">
              <w:rPr>
                <w:rFonts w:eastAsia="Calibri" w:cs="Times New Roman"/>
                <w:b w:val="0"/>
                <w:color w:val="auto"/>
                <w:sz w:val="18"/>
                <w:szCs w:val="18"/>
              </w:rPr>
              <w:t xml:space="preserve">: The choice of SMART as a process for developing emotional regulation and sensory integration was not only good planning but has been executed with skill, flexibility, and consistency. IHT has allowed Youth to lead sessions at her own pace, choosing play activities and sensory objects that she finds most useful. IHT has consistently used the format of check-in, play, and cool down to </w:t>
            </w:r>
            <w:r w:rsidRPr="00C3677E">
              <w:rPr>
                <w:rFonts w:eastAsia="Calibri" w:cs="Times New Roman"/>
                <w:b w:val="0"/>
                <w:color w:val="auto"/>
                <w:sz w:val="18"/>
                <w:szCs w:val="18"/>
              </w:rPr>
              <w:lastRenderedPageBreak/>
              <w:t xml:space="preserve">provide structure to sessions. When a strategy hasn't worked well, she has responded to </w:t>
            </w:r>
            <w:r w:rsidR="00CF09A5">
              <w:rPr>
                <w:rFonts w:eastAsia="Calibri" w:cs="Times New Roman"/>
                <w:b w:val="0"/>
                <w:color w:val="auto"/>
                <w:sz w:val="18"/>
                <w:szCs w:val="18"/>
              </w:rPr>
              <w:t>Caregiver</w:t>
            </w:r>
            <w:r w:rsidRPr="00C3677E">
              <w:rPr>
                <w:rFonts w:eastAsia="Calibri" w:cs="Times New Roman"/>
                <w:b w:val="0"/>
                <w:color w:val="auto"/>
                <w:sz w:val="18"/>
                <w:szCs w:val="18"/>
              </w:rPr>
              <w:t xml:space="preserve">s' concerns or her own sense of the problem by adapting the approach. For example, IHT initially had family sessions with the family all together, but the sisters' interactions with each other could too easily devolve into dysregulated emotion. The IHT then separated the play stage of each session with TT&amp;S taking the sister and one parent (alternating weeks) while IHT worked with Youth and the other parent. After each session, IHT processes what worked and what didn't with the </w:t>
            </w:r>
            <w:r w:rsidR="00CF09A5">
              <w:rPr>
                <w:rFonts w:eastAsia="Calibri" w:cs="Times New Roman"/>
                <w:b w:val="0"/>
                <w:color w:val="auto"/>
                <w:sz w:val="18"/>
                <w:szCs w:val="18"/>
              </w:rPr>
              <w:t>Caregiver</w:t>
            </w:r>
            <w:r w:rsidRPr="00C3677E">
              <w:rPr>
                <w:rFonts w:eastAsia="Calibri" w:cs="Times New Roman"/>
                <w:b w:val="0"/>
                <w:color w:val="auto"/>
                <w:sz w:val="18"/>
                <w:szCs w:val="18"/>
              </w:rPr>
              <w:t xml:space="preserve">s. She also provides a summary to the two outpatient therapists and other providers involved (TM, Pathways therapist) so that sessions of each provider can build on each other. All agree that the amount (2x weekly of IHT) of service matches the need.  IHT has come up with an exemplary use of Youth's strengths as part of this intervention. Youth loves to sing, and IHT has discovered that she can make up songs about very difficult subjects that she cannot talk about, so Youth is now able to express her emotions in song. Another outstanding piece of service delivery was the work that IHT did directly with birth mother to prepare her for the visit with her daughters. IHT collected questions from the sisters that they might ask, helped the </w:t>
            </w:r>
            <w:r w:rsidR="00CF09A5">
              <w:rPr>
                <w:rFonts w:eastAsia="Calibri" w:cs="Times New Roman"/>
                <w:b w:val="0"/>
                <w:color w:val="auto"/>
                <w:sz w:val="18"/>
                <w:szCs w:val="18"/>
              </w:rPr>
              <w:t>Caregiver</w:t>
            </w:r>
            <w:r w:rsidRPr="00C3677E">
              <w:rPr>
                <w:rFonts w:eastAsia="Calibri" w:cs="Times New Roman"/>
                <w:b w:val="0"/>
                <w:color w:val="auto"/>
                <w:sz w:val="18"/>
                <w:szCs w:val="18"/>
              </w:rPr>
              <w:t>s to understand the questions, and then helped birth mother to prepare answers to possible questions. One particularly sensitive subject was the death of birth father who had overdosed and died at least a year earlier, which children did not know. IHT helped birth mother plan for how to break this news to the girls as well as the fact that they would not be coming back to live with her.</w:t>
            </w:r>
          </w:p>
          <w:p w14:paraId="17EF490D" w14:textId="77777777" w:rsidR="003F45B8" w:rsidRDefault="003F45B8" w:rsidP="008010E8">
            <w:pPr>
              <w:widowControl w:val="0"/>
              <w:jc w:val="left"/>
              <w:rPr>
                <w:rFonts w:eastAsia="Calibri" w:cs="Times New Roman"/>
                <w:b w:val="0"/>
                <w:color w:val="auto"/>
                <w:sz w:val="18"/>
                <w:szCs w:val="18"/>
              </w:rPr>
            </w:pPr>
          </w:p>
          <w:p w14:paraId="21325CED" w14:textId="41A3B673" w:rsidR="00977E84" w:rsidRDefault="003F45B8" w:rsidP="004B352B">
            <w:pPr>
              <w:widowControl w:val="0"/>
              <w:jc w:val="left"/>
              <w:rPr>
                <w:rFonts w:eastAsia="Calibri" w:cs="Times New Roman"/>
                <w:b w:val="0"/>
                <w:color w:val="auto"/>
                <w:sz w:val="18"/>
                <w:szCs w:val="18"/>
              </w:rPr>
            </w:pPr>
            <w:r w:rsidRPr="008F2736">
              <w:rPr>
                <w:rFonts w:eastAsia="Calibri" w:cs="Times New Roman"/>
                <w:color w:val="auto"/>
                <w:sz w:val="18"/>
                <w:szCs w:val="18"/>
              </w:rPr>
              <w:t>ICC</w:t>
            </w:r>
            <w:r>
              <w:rPr>
                <w:rFonts w:eastAsia="Calibri" w:cs="Times New Roman"/>
                <w:b w:val="0"/>
                <w:color w:val="auto"/>
                <w:sz w:val="18"/>
                <w:szCs w:val="18"/>
              </w:rPr>
              <w:t xml:space="preserve">: </w:t>
            </w:r>
            <w:r w:rsidRPr="003F45B8">
              <w:rPr>
                <w:rFonts w:eastAsia="Calibri" w:cs="Times New Roman"/>
                <w:b w:val="0"/>
                <w:color w:val="auto"/>
                <w:sz w:val="18"/>
                <w:szCs w:val="18"/>
              </w:rPr>
              <w:t>ICC focused from the start on the major presenting problems around Youth's behavior at school and the resulting 51A for neglect filed by the school. Complicating factors were: school filed with DCF without notifying the family or attempting to resolve issues directly with the family; and, family lost their home during the school year and were not sure where they would be living. Nevertheless, ICC got right to work, in collaboration with DCF, to improve communication with the school, support the parents in learning to advocate for the services Youth needs, plan for the summer, ease the transition to the new school (as soon as family secured housing), and access a limited and focused number of behavioral health services that could help Youth deal with frustration and express himself more effectively. They have worked together as a team to help Youth deal with some of his very rigid behavior (fear of germs, extreme limits on what he would eat), and</w:t>
            </w:r>
            <w:r w:rsidR="004B352B">
              <w:rPr>
                <w:rFonts w:eastAsia="Calibri" w:cs="Times New Roman"/>
                <w:b w:val="0"/>
                <w:color w:val="auto"/>
                <w:sz w:val="18"/>
                <w:szCs w:val="18"/>
              </w:rPr>
              <w:t xml:space="preserve"> the role of each service</w:t>
            </w:r>
            <w:r w:rsidRPr="003F45B8">
              <w:rPr>
                <w:rFonts w:eastAsia="Calibri" w:cs="Times New Roman"/>
                <w:b w:val="0"/>
                <w:color w:val="auto"/>
                <w:sz w:val="18"/>
                <w:szCs w:val="18"/>
              </w:rPr>
              <w:t xml:space="preserve"> was clear to all intervie</w:t>
            </w:r>
            <w:r w:rsidR="004B352B">
              <w:rPr>
                <w:rFonts w:eastAsia="Calibri" w:cs="Times New Roman"/>
                <w:b w:val="0"/>
                <w:color w:val="auto"/>
                <w:sz w:val="18"/>
                <w:szCs w:val="18"/>
              </w:rPr>
              <w:t>wees</w:t>
            </w:r>
            <w:r w:rsidRPr="003F45B8">
              <w:rPr>
                <w:rFonts w:eastAsia="Calibri" w:cs="Times New Roman"/>
                <w:b w:val="0"/>
                <w:color w:val="auto"/>
                <w:sz w:val="18"/>
                <w:szCs w:val="18"/>
              </w:rPr>
              <w:t>. An especially effective plan is in place for starting work with an OP therapist who specialize</w:t>
            </w:r>
            <w:r w:rsidR="004B352B">
              <w:rPr>
                <w:rFonts w:eastAsia="Calibri" w:cs="Times New Roman"/>
                <w:b w:val="0"/>
                <w:color w:val="auto"/>
                <w:sz w:val="18"/>
                <w:szCs w:val="18"/>
              </w:rPr>
              <w:t>s in ASD</w:t>
            </w:r>
            <w:r w:rsidRPr="003F45B8">
              <w:rPr>
                <w:rFonts w:eastAsia="Calibri" w:cs="Times New Roman"/>
                <w:b w:val="0"/>
                <w:color w:val="auto"/>
                <w:sz w:val="18"/>
                <w:szCs w:val="18"/>
              </w:rPr>
              <w:t>.</w:t>
            </w:r>
          </w:p>
          <w:p w14:paraId="37FCEA35" w14:textId="3B86B7B0" w:rsidR="002F3891" w:rsidRPr="00C3677E" w:rsidRDefault="002F3891" w:rsidP="004B352B">
            <w:pPr>
              <w:widowControl w:val="0"/>
              <w:jc w:val="left"/>
              <w:rPr>
                <w:rFonts w:eastAsia="Calibri" w:cs="Times New Roman"/>
                <w:b w:val="0"/>
                <w:color w:val="auto"/>
                <w:sz w:val="18"/>
                <w:szCs w:val="18"/>
              </w:rPr>
            </w:pPr>
          </w:p>
        </w:tc>
        <w:tc>
          <w:tcPr>
            <w:tcW w:w="5125" w:type="dxa"/>
          </w:tcPr>
          <w:p w14:paraId="2FCAD370" w14:textId="6D709173" w:rsidR="00C3677E" w:rsidRPr="008E2E6B" w:rsidRDefault="00C3677E"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E2E6B">
              <w:rPr>
                <w:rFonts w:eastAsia="Calibri" w:cs="Times New Roman"/>
                <w:b/>
                <w:sz w:val="18"/>
                <w:szCs w:val="18"/>
              </w:rPr>
              <w:lastRenderedPageBreak/>
              <w:t>IHT</w:t>
            </w:r>
            <w:r w:rsidRPr="008E2E6B">
              <w:rPr>
                <w:rFonts w:eastAsia="Calibri" w:cs="Times New Roman"/>
                <w:sz w:val="18"/>
                <w:szCs w:val="18"/>
              </w:rPr>
              <w:t xml:space="preserve">: The interventions provided to the youth early on in service delivery seemed more appropriate, but do not seem to match their needs at this time.  The therapeutic work being done is a bit unclear at this time, since what is in the progress notes does not match what was reported during interviews.  It is also unclear who is present at sessions and where they take place.  The IHT Clinician </w:t>
            </w:r>
            <w:r w:rsidRPr="008E2E6B">
              <w:rPr>
                <w:rFonts w:eastAsia="Calibri" w:cs="Times New Roman"/>
                <w:sz w:val="18"/>
                <w:szCs w:val="18"/>
              </w:rPr>
              <w:lastRenderedPageBreak/>
              <w:t xml:space="preserve">reports the </w:t>
            </w:r>
            <w:r w:rsidR="00CF09A5">
              <w:rPr>
                <w:rFonts w:eastAsia="Calibri" w:cs="Times New Roman"/>
                <w:sz w:val="18"/>
                <w:szCs w:val="18"/>
              </w:rPr>
              <w:t>Caregiver</w:t>
            </w:r>
            <w:r w:rsidRPr="008E2E6B">
              <w:rPr>
                <w:rFonts w:eastAsia="Calibri" w:cs="Times New Roman"/>
                <w:sz w:val="18"/>
                <w:szCs w:val="18"/>
              </w:rPr>
              <w:t xml:space="preserve"> is not available enough so she has been doing sibling sessions.  The </w:t>
            </w:r>
            <w:r w:rsidR="00CF09A5">
              <w:rPr>
                <w:rFonts w:eastAsia="Calibri" w:cs="Times New Roman"/>
                <w:sz w:val="18"/>
                <w:szCs w:val="18"/>
              </w:rPr>
              <w:t>Caregiver</w:t>
            </w:r>
            <w:r w:rsidRPr="008E2E6B">
              <w:rPr>
                <w:rFonts w:eastAsia="Calibri" w:cs="Times New Roman"/>
                <w:sz w:val="18"/>
                <w:szCs w:val="18"/>
              </w:rPr>
              <w:t xml:space="preserve"> said the sibling sessions are happening because the IHT Clinician does not have availability in her schedule that matches that of the </w:t>
            </w:r>
            <w:r w:rsidR="00CF09A5">
              <w:rPr>
                <w:rFonts w:eastAsia="Calibri" w:cs="Times New Roman"/>
                <w:sz w:val="18"/>
                <w:szCs w:val="18"/>
              </w:rPr>
              <w:t>Caregiver</w:t>
            </w:r>
            <w:r w:rsidRPr="008E2E6B">
              <w:rPr>
                <w:rFonts w:eastAsia="Calibri" w:cs="Times New Roman"/>
                <w:sz w:val="18"/>
                <w:szCs w:val="18"/>
              </w:rPr>
              <w:t xml:space="preserve">, so she takes the girls out when she is at work.  She said the youth will sometimes go alone with her now, but was initially scared to, so both girls would go.  This area would benefit from individualization of services, and creativity to continue to provide the intensity of services needed.  It would have also been helpful to help the </w:t>
            </w:r>
            <w:r w:rsidR="00CF09A5">
              <w:rPr>
                <w:rFonts w:eastAsia="Calibri" w:cs="Times New Roman"/>
                <w:sz w:val="18"/>
                <w:szCs w:val="18"/>
              </w:rPr>
              <w:t>Caregiver</w:t>
            </w:r>
            <w:r w:rsidRPr="008E2E6B">
              <w:rPr>
                <w:rFonts w:eastAsia="Calibri" w:cs="Times New Roman"/>
                <w:sz w:val="18"/>
                <w:szCs w:val="18"/>
              </w:rPr>
              <w:t xml:space="preserve"> understand the service she is receiving, as well as other services offered by the agency to improve the current confusion be</w:t>
            </w:r>
            <w:r w:rsidR="00CF09A5">
              <w:rPr>
                <w:rFonts w:eastAsia="Calibri" w:cs="Times New Roman"/>
                <w:sz w:val="18"/>
                <w:szCs w:val="18"/>
              </w:rPr>
              <w:t>tween IHT and home or community-</w:t>
            </w:r>
            <w:r w:rsidRPr="008E2E6B">
              <w:rPr>
                <w:rFonts w:eastAsia="Calibri" w:cs="Times New Roman"/>
                <w:sz w:val="18"/>
                <w:szCs w:val="18"/>
              </w:rPr>
              <w:t xml:space="preserve">based OPT.    </w:t>
            </w:r>
          </w:p>
          <w:p w14:paraId="66315491" w14:textId="77777777" w:rsidR="00C3677E" w:rsidRPr="008E2E6B" w:rsidRDefault="00C3677E"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5250891E" w14:textId="7639F47F" w:rsidR="00C3677E" w:rsidRPr="008E2E6B" w:rsidRDefault="00C3677E"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E2E6B">
              <w:rPr>
                <w:rFonts w:eastAsia="Calibri" w:cs="Times New Roman"/>
                <w:b/>
                <w:sz w:val="18"/>
                <w:szCs w:val="18"/>
              </w:rPr>
              <w:t>ICC</w:t>
            </w:r>
            <w:r w:rsidRPr="008E2E6B">
              <w:rPr>
                <w:rFonts w:eastAsia="Calibri" w:cs="Times New Roman"/>
                <w:sz w:val="18"/>
                <w:szCs w:val="18"/>
              </w:rPr>
              <w:t xml:space="preserve">: </w:t>
            </w:r>
            <w:r w:rsidR="00AC467E" w:rsidRPr="008E2E6B">
              <w:rPr>
                <w:rFonts w:eastAsia="Calibri" w:cs="Times New Roman"/>
                <w:sz w:val="18"/>
                <w:szCs w:val="18"/>
              </w:rPr>
              <w:t xml:space="preserve">The interventions provided to the youth and family did not meet their needs or strengths.  Actionable strengths were not included in service delivery either.  The family would have benefited from greater intensity of services, as the FP did not meet with the </w:t>
            </w:r>
            <w:r w:rsidR="00CF09A5">
              <w:rPr>
                <w:rFonts w:eastAsia="Calibri" w:cs="Times New Roman"/>
                <w:sz w:val="18"/>
                <w:szCs w:val="18"/>
              </w:rPr>
              <w:t>Caregiver</w:t>
            </w:r>
            <w:r w:rsidR="00AC467E" w:rsidRPr="008E2E6B">
              <w:rPr>
                <w:rFonts w:eastAsia="Calibri" w:cs="Times New Roman"/>
                <w:sz w:val="18"/>
                <w:szCs w:val="18"/>
              </w:rPr>
              <w:t xml:space="preserve"> regularly sometimes with large gaps of up to one month in </w:t>
            </w:r>
            <w:r w:rsidR="002F3891">
              <w:rPr>
                <w:rFonts w:eastAsia="Calibri" w:cs="Times New Roman"/>
                <w:sz w:val="18"/>
                <w:szCs w:val="18"/>
              </w:rPr>
              <w:t xml:space="preserve">between </w:t>
            </w:r>
            <w:r w:rsidR="00CF09A5" w:rsidRPr="008E2E6B">
              <w:rPr>
                <w:rFonts w:eastAsia="Calibri" w:cs="Times New Roman"/>
                <w:sz w:val="18"/>
                <w:szCs w:val="18"/>
              </w:rPr>
              <w:t>face-to-face</w:t>
            </w:r>
            <w:r w:rsidR="00AC467E" w:rsidRPr="008E2E6B">
              <w:rPr>
                <w:rFonts w:eastAsia="Calibri" w:cs="Times New Roman"/>
                <w:sz w:val="18"/>
                <w:szCs w:val="18"/>
              </w:rPr>
              <w:t xml:space="preserve"> appointments.  Service delivery could be improved with support around the youth's school advocacy, camp struggles, and youth's conflicts with </w:t>
            </w:r>
            <w:r w:rsidR="00CF09A5">
              <w:rPr>
                <w:rFonts w:eastAsia="Calibri" w:cs="Times New Roman"/>
                <w:sz w:val="18"/>
                <w:szCs w:val="18"/>
              </w:rPr>
              <w:t>Caregiver</w:t>
            </w:r>
            <w:r w:rsidR="00AC467E" w:rsidRPr="008E2E6B">
              <w:rPr>
                <w:rFonts w:eastAsia="Calibri" w:cs="Times New Roman"/>
                <w:sz w:val="18"/>
                <w:szCs w:val="18"/>
              </w:rPr>
              <w:t xml:space="preserve">'s boyfriend.  For example, the </w:t>
            </w:r>
            <w:r w:rsidR="00CF09A5">
              <w:rPr>
                <w:rFonts w:eastAsia="Calibri" w:cs="Times New Roman"/>
                <w:sz w:val="18"/>
                <w:szCs w:val="18"/>
              </w:rPr>
              <w:t>Caregiver</w:t>
            </w:r>
            <w:r w:rsidR="00AC467E" w:rsidRPr="008E2E6B">
              <w:rPr>
                <w:rFonts w:eastAsia="Calibri" w:cs="Times New Roman"/>
                <w:sz w:val="18"/>
                <w:szCs w:val="18"/>
              </w:rPr>
              <w:t xml:space="preserve"> repeatedly stated that she was stressed with youth's transition back to school.  Rather than addressing it or using the teaming process to support her, the ICC's notes documented that she would tell the </w:t>
            </w:r>
            <w:r w:rsidR="00CF09A5">
              <w:rPr>
                <w:rFonts w:eastAsia="Calibri" w:cs="Times New Roman"/>
                <w:sz w:val="18"/>
                <w:szCs w:val="18"/>
              </w:rPr>
              <w:t>Caregiver</w:t>
            </w:r>
            <w:r w:rsidR="00AC467E" w:rsidRPr="008E2E6B">
              <w:rPr>
                <w:rFonts w:eastAsia="Calibri" w:cs="Times New Roman"/>
                <w:sz w:val="18"/>
                <w:szCs w:val="18"/>
              </w:rPr>
              <w:t xml:space="preserve"> to speak to the FP about it, even after the </w:t>
            </w:r>
            <w:r w:rsidR="00CF09A5">
              <w:rPr>
                <w:rFonts w:eastAsia="Calibri" w:cs="Times New Roman"/>
                <w:sz w:val="18"/>
                <w:szCs w:val="18"/>
              </w:rPr>
              <w:t>Caregiver</w:t>
            </w:r>
            <w:r w:rsidR="00AC467E" w:rsidRPr="008E2E6B">
              <w:rPr>
                <w:rFonts w:eastAsia="Calibri" w:cs="Times New Roman"/>
                <w:sz w:val="18"/>
                <w:szCs w:val="18"/>
              </w:rPr>
              <w:t xml:space="preserve"> said she did not want to work with that particular FP.  Service providers have not assisted the family in understanding the provider agency or the wraparound model.</w:t>
            </w:r>
          </w:p>
        </w:tc>
      </w:tr>
      <w:tr w:rsidR="004948C8" w14:paraId="589572EF" w14:textId="77777777" w:rsidTr="008F273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0255" w:type="dxa"/>
            <w:gridSpan w:val="2"/>
            <w:tcBorders>
              <w:left w:val="none" w:sz="0" w:space="0" w:color="auto"/>
            </w:tcBorders>
            <w:shd w:val="clear" w:color="auto" w:fill="EAB290" w:themeFill="accent2" w:themeFillTint="99"/>
          </w:tcPr>
          <w:p w14:paraId="67CA57C1" w14:textId="4C10F34F" w:rsidR="004948C8" w:rsidRDefault="004948C8" w:rsidP="004948C8">
            <w:pPr>
              <w:widowControl w:val="0"/>
              <w:jc w:val="center"/>
              <w:rPr>
                <w:rFonts w:eastAsia="Calibri" w:cs="Times New Roman"/>
                <w:sz w:val="20"/>
                <w:szCs w:val="18"/>
              </w:rPr>
            </w:pPr>
            <w:r w:rsidRPr="004948C8">
              <w:rPr>
                <w:rFonts w:eastAsia="Calibri" w:cs="Times New Roman"/>
                <w:szCs w:val="18"/>
              </w:rPr>
              <w:lastRenderedPageBreak/>
              <w:t>Youth and Family Engagement</w:t>
            </w:r>
          </w:p>
        </w:tc>
      </w:tr>
      <w:tr w:rsidR="00C3677E" w14:paraId="07DB43C4" w14:textId="77777777" w:rsidTr="008F2736">
        <w:trPr>
          <w:trHeight w:val="1134"/>
        </w:trPr>
        <w:tc>
          <w:tcPr>
            <w:cnfStyle w:val="001000000000" w:firstRow="0" w:lastRow="0" w:firstColumn="1" w:lastColumn="0" w:oddVBand="0" w:evenVBand="0" w:oddHBand="0" w:evenHBand="0" w:firstRowFirstColumn="0" w:firstRowLastColumn="0" w:lastRowFirstColumn="0" w:lastRowLastColumn="0"/>
            <w:tcW w:w="5130" w:type="dxa"/>
            <w:tcBorders>
              <w:left w:val="none" w:sz="0" w:space="0" w:color="auto"/>
            </w:tcBorders>
            <w:shd w:val="clear" w:color="auto" w:fill="F8E5DA" w:themeFill="accent2" w:themeFillTint="33"/>
          </w:tcPr>
          <w:p w14:paraId="6E6707B8" w14:textId="3B0A7ED6" w:rsidR="00C3677E" w:rsidRDefault="00C3677E" w:rsidP="008010E8">
            <w:pPr>
              <w:widowControl w:val="0"/>
              <w:jc w:val="left"/>
              <w:rPr>
                <w:rFonts w:eastAsia="Calibri" w:cs="Times New Roman"/>
                <w:b w:val="0"/>
                <w:color w:val="auto"/>
                <w:sz w:val="18"/>
                <w:szCs w:val="18"/>
              </w:rPr>
            </w:pPr>
            <w:r w:rsidRPr="008F2736">
              <w:rPr>
                <w:rFonts w:eastAsia="Calibri" w:cs="Times New Roman"/>
                <w:color w:val="auto"/>
                <w:sz w:val="18"/>
                <w:szCs w:val="18"/>
              </w:rPr>
              <w:t>IHT</w:t>
            </w:r>
            <w:r w:rsidRPr="00C3677E">
              <w:rPr>
                <w:rFonts w:eastAsia="Calibri" w:cs="Times New Roman"/>
                <w:b w:val="0"/>
                <w:color w:val="auto"/>
                <w:sz w:val="18"/>
                <w:szCs w:val="18"/>
              </w:rPr>
              <w:t xml:space="preserve">: IHT has done a remarkable job of building trust with these </w:t>
            </w:r>
            <w:r w:rsidR="00CF09A5">
              <w:rPr>
                <w:rFonts w:eastAsia="Calibri" w:cs="Times New Roman"/>
                <w:b w:val="0"/>
                <w:color w:val="auto"/>
                <w:sz w:val="18"/>
                <w:szCs w:val="18"/>
              </w:rPr>
              <w:t>Caregiver</w:t>
            </w:r>
            <w:r w:rsidRPr="00C3677E">
              <w:rPr>
                <w:rFonts w:eastAsia="Calibri" w:cs="Times New Roman"/>
                <w:b w:val="0"/>
                <w:color w:val="auto"/>
                <w:sz w:val="18"/>
                <w:szCs w:val="18"/>
              </w:rPr>
              <w:t xml:space="preserve">s who had been angered and disappointed by their first IHT experience and by two different ICC providers that they found to be unhelpful. Their trust is evident in their willingness to try whatever strategies this IHT suggests and their consistency in never missing a session. </w:t>
            </w:r>
            <w:r w:rsidR="00CF09A5">
              <w:rPr>
                <w:rFonts w:eastAsia="Calibri" w:cs="Times New Roman"/>
                <w:b w:val="0"/>
                <w:color w:val="auto"/>
                <w:sz w:val="18"/>
                <w:szCs w:val="18"/>
              </w:rPr>
              <w:t>Caregiver</w:t>
            </w:r>
            <w:r w:rsidRPr="00C3677E">
              <w:rPr>
                <w:rFonts w:eastAsia="Calibri" w:cs="Times New Roman"/>
                <w:b w:val="0"/>
                <w:color w:val="auto"/>
                <w:sz w:val="18"/>
                <w:szCs w:val="18"/>
              </w:rPr>
              <w:t xml:space="preserve">s have stated that they feel they "can say anything and get a good response" in describing the level of engagement in planning and adjusting services. </w:t>
            </w:r>
            <w:r w:rsidR="00CF09A5">
              <w:rPr>
                <w:rFonts w:eastAsia="Calibri" w:cs="Times New Roman"/>
                <w:b w:val="0"/>
                <w:color w:val="auto"/>
                <w:sz w:val="18"/>
                <w:szCs w:val="18"/>
              </w:rPr>
              <w:t>Caregiver</w:t>
            </w:r>
            <w:r w:rsidRPr="00C3677E">
              <w:rPr>
                <w:rFonts w:eastAsia="Calibri" w:cs="Times New Roman"/>
                <w:b w:val="0"/>
                <w:color w:val="auto"/>
                <w:sz w:val="18"/>
                <w:szCs w:val="18"/>
              </w:rPr>
              <w:t xml:space="preserve">s altered their work schedules to ensure that they can meet for both </w:t>
            </w:r>
            <w:r w:rsidR="00CF09A5">
              <w:rPr>
                <w:rFonts w:eastAsia="Calibri" w:cs="Times New Roman"/>
                <w:b w:val="0"/>
                <w:color w:val="auto"/>
                <w:sz w:val="18"/>
                <w:szCs w:val="18"/>
              </w:rPr>
              <w:t>Caregiver</w:t>
            </w:r>
            <w:r w:rsidRPr="00C3677E">
              <w:rPr>
                <w:rFonts w:eastAsia="Calibri" w:cs="Times New Roman"/>
                <w:b w:val="0"/>
                <w:color w:val="auto"/>
                <w:sz w:val="18"/>
                <w:szCs w:val="18"/>
              </w:rPr>
              <w:t xml:space="preserve"> sessions and family sessions. The girls appear to look forward to family sessions, too, and participate eagerly. Part of </w:t>
            </w:r>
            <w:r w:rsidRPr="00C3677E">
              <w:rPr>
                <w:rFonts w:eastAsia="Calibri" w:cs="Times New Roman"/>
                <w:b w:val="0"/>
                <w:color w:val="auto"/>
                <w:sz w:val="18"/>
                <w:szCs w:val="18"/>
              </w:rPr>
              <w:lastRenderedPageBreak/>
              <w:t xml:space="preserve">IHT's success has been that she is very sensitive to each parent's reactions and to the different styles that they have for processing the challenges they face. She makes sure that she addresses both parenting styles (emotional and analytical) in all her psycho-education.  </w:t>
            </w:r>
          </w:p>
          <w:p w14:paraId="52C00F35" w14:textId="77777777" w:rsidR="003F45B8" w:rsidRDefault="003F45B8" w:rsidP="008010E8">
            <w:pPr>
              <w:widowControl w:val="0"/>
              <w:jc w:val="left"/>
              <w:rPr>
                <w:rFonts w:eastAsia="Calibri" w:cs="Times New Roman"/>
                <w:b w:val="0"/>
                <w:color w:val="auto"/>
                <w:sz w:val="18"/>
                <w:szCs w:val="18"/>
              </w:rPr>
            </w:pPr>
          </w:p>
          <w:p w14:paraId="5B9EB6F5" w14:textId="77777777" w:rsidR="003F45B8" w:rsidRDefault="003F45B8" w:rsidP="003F45B8">
            <w:pPr>
              <w:widowControl w:val="0"/>
              <w:jc w:val="left"/>
              <w:rPr>
                <w:rFonts w:eastAsia="Calibri" w:cs="Times New Roman"/>
                <w:b w:val="0"/>
                <w:color w:val="auto"/>
                <w:sz w:val="18"/>
                <w:szCs w:val="18"/>
              </w:rPr>
            </w:pPr>
            <w:r w:rsidRPr="008F2736">
              <w:rPr>
                <w:rFonts w:eastAsia="Calibri" w:cs="Times New Roman"/>
                <w:color w:val="auto"/>
                <w:sz w:val="18"/>
                <w:szCs w:val="18"/>
              </w:rPr>
              <w:t>ICC</w:t>
            </w:r>
            <w:r>
              <w:rPr>
                <w:rFonts w:eastAsia="Calibri" w:cs="Times New Roman"/>
                <w:b w:val="0"/>
                <w:color w:val="auto"/>
                <w:sz w:val="18"/>
                <w:szCs w:val="18"/>
              </w:rPr>
              <w:t xml:space="preserve">: </w:t>
            </w:r>
            <w:r w:rsidR="00CF09A5">
              <w:rPr>
                <w:rFonts w:eastAsia="Calibri" w:cs="Times New Roman"/>
                <w:b w:val="0"/>
                <w:color w:val="auto"/>
                <w:sz w:val="18"/>
                <w:szCs w:val="18"/>
              </w:rPr>
              <w:t xml:space="preserve">The family, especially Youth, </w:t>
            </w:r>
            <w:r w:rsidRPr="003F45B8">
              <w:rPr>
                <w:rFonts w:eastAsia="Calibri" w:cs="Times New Roman"/>
                <w:b w:val="0"/>
                <w:color w:val="auto"/>
                <w:sz w:val="18"/>
                <w:szCs w:val="18"/>
              </w:rPr>
              <w:t>are clearly at the center of their treatment, and Youth asserted with no hesitation that she is in charge of her care. Nothing is added to the Care Plan without their full agreement. ICC has made efforts to include all family members, including brother, father, and maternal grandparents (next door), in various ways. Mother and Youth almost never miss</w:t>
            </w:r>
            <w:r>
              <w:rPr>
                <w:rFonts w:eastAsia="Calibri" w:cs="Times New Roman"/>
                <w:b w:val="0"/>
                <w:color w:val="auto"/>
                <w:sz w:val="18"/>
                <w:szCs w:val="18"/>
              </w:rPr>
              <w:t xml:space="preserve"> any meeting with any provider. </w:t>
            </w:r>
            <w:r w:rsidRPr="003F45B8">
              <w:rPr>
                <w:rFonts w:eastAsia="Calibri" w:cs="Times New Roman"/>
                <w:b w:val="0"/>
                <w:color w:val="auto"/>
                <w:sz w:val="18"/>
                <w:szCs w:val="18"/>
              </w:rPr>
              <w:t>As one provider stated: "It's easy to say that this is a family you can't do Wrap with, but this is Wraparound with total fidelity" to family voice and choice. This is especially notable given Youth's communication difficulties, sanction-seeking behavior, lack of social skills, and tendency to perseverate about questions of race to the exclusion of other topics.</w:t>
            </w:r>
          </w:p>
          <w:p w14:paraId="704228B9" w14:textId="7E2E91DD" w:rsidR="009F1335" w:rsidRPr="00C3677E" w:rsidRDefault="009F1335" w:rsidP="003F45B8">
            <w:pPr>
              <w:widowControl w:val="0"/>
              <w:jc w:val="left"/>
              <w:rPr>
                <w:rFonts w:eastAsia="Calibri" w:cs="Times New Roman"/>
                <w:b w:val="0"/>
                <w:color w:val="auto"/>
                <w:sz w:val="18"/>
                <w:szCs w:val="18"/>
              </w:rPr>
            </w:pPr>
          </w:p>
        </w:tc>
        <w:tc>
          <w:tcPr>
            <w:tcW w:w="5125" w:type="dxa"/>
            <w:shd w:val="clear" w:color="auto" w:fill="FFFFFF" w:themeFill="background1"/>
          </w:tcPr>
          <w:p w14:paraId="03303669" w14:textId="25B0B30F" w:rsidR="00C3677E" w:rsidRPr="008E2E6B" w:rsidRDefault="00C3677E"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E2E6B">
              <w:rPr>
                <w:rFonts w:eastAsia="Calibri" w:cs="Times New Roman"/>
                <w:b/>
                <w:sz w:val="18"/>
                <w:szCs w:val="18"/>
              </w:rPr>
              <w:lastRenderedPageBreak/>
              <w:t>IHT</w:t>
            </w:r>
            <w:r w:rsidRPr="008E2E6B">
              <w:rPr>
                <w:rFonts w:eastAsia="Calibri" w:cs="Times New Roman"/>
                <w:sz w:val="18"/>
                <w:szCs w:val="18"/>
              </w:rPr>
              <w:t>: According to some interviews and documentation, engagement with the youth has been satisfactory in recent months. However, there is also evidence that the youth starts every family session with behavior bordering on tantrums and signifi</w:t>
            </w:r>
            <w:r w:rsidR="002F3891">
              <w:rPr>
                <w:rFonts w:eastAsia="Calibri" w:cs="Times New Roman"/>
                <w:sz w:val="18"/>
                <w:szCs w:val="18"/>
              </w:rPr>
              <w:t>cant resistance to participation</w:t>
            </w:r>
            <w:r w:rsidRPr="008E2E6B">
              <w:rPr>
                <w:rFonts w:eastAsia="Calibri" w:cs="Times New Roman"/>
                <w:sz w:val="18"/>
                <w:szCs w:val="18"/>
              </w:rPr>
              <w:t xml:space="preserve">. There is evidence that the </w:t>
            </w:r>
            <w:r w:rsidR="00CF09A5">
              <w:rPr>
                <w:rFonts w:eastAsia="Calibri" w:cs="Times New Roman"/>
                <w:sz w:val="18"/>
                <w:szCs w:val="18"/>
              </w:rPr>
              <w:t>Caregiver</w:t>
            </w:r>
            <w:r w:rsidRPr="008E2E6B">
              <w:rPr>
                <w:rFonts w:eastAsia="Calibri" w:cs="Times New Roman"/>
                <w:sz w:val="18"/>
                <w:szCs w:val="18"/>
              </w:rPr>
              <w:t xml:space="preserve"> has concerns about the timing of family sessions (too soon after the youth returns from school) but that these may not have been brought t</w:t>
            </w:r>
            <w:r w:rsidR="008F2736" w:rsidRPr="008E2E6B">
              <w:rPr>
                <w:rFonts w:eastAsia="Calibri" w:cs="Times New Roman"/>
                <w:sz w:val="18"/>
                <w:szCs w:val="18"/>
              </w:rPr>
              <w:t xml:space="preserve">o the IHT's attention. The </w:t>
            </w:r>
            <w:r w:rsidR="00CF09A5">
              <w:rPr>
                <w:rFonts w:eastAsia="Calibri" w:cs="Times New Roman"/>
                <w:sz w:val="18"/>
                <w:szCs w:val="18"/>
              </w:rPr>
              <w:t>Caregiver</w:t>
            </w:r>
            <w:r w:rsidRPr="008E2E6B">
              <w:rPr>
                <w:rFonts w:eastAsia="Calibri" w:cs="Times New Roman"/>
                <w:sz w:val="18"/>
                <w:szCs w:val="18"/>
              </w:rPr>
              <w:t xml:space="preserve"> has struggled to be consistent with appointments, especially at the beginning, and with following through on assigned parenting suggestions. The father has not been included at all (one brief </w:t>
            </w:r>
            <w:r w:rsidRPr="008E2E6B">
              <w:rPr>
                <w:rFonts w:eastAsia="Calibri" w:cs="Times New Roman"/>
                <w:sz w:val="18"/>
                <w:szCs w:val="18"/>
              </w:rPr>
              <w:lastRenderedPageBreak/>
              <w:t>contact in passing). Yet, his daily presence in the home before school and in evenings, and his apparent success in helping with household routines, suggests that including him in family sessions (when possible due to his work schedule) could be useful. The paternal grandmother is also a daily presence, taking care of household chores, and might be a resource to support structure; she has joined family sessions from time to time but does not speak English</w:t>
            </w:r>
            <w:r w:rsidR="002F3891">
              <w:rPr>
                <w:rFonts w:eastAsia="Calibri" w:cs="Times New Roman"/>
                <w:sz w:val="18"/>
                <w:szCs w:val="18"/>
              </w:rPr>
              <w:t xml:space="preserve"> (and no interpreter was provided) so her participation level is unclear</w:t>
            </w:r>
            <w:r w:rsidRPr="008E2E6B">
              <w:rPr>
                <w:rFonts w:eastAsia="Calibri" w:cs="Times New Roman"/>
                <w:sz w:val="18"/>
                <w:szCs w:val="18"/>
              </w:rPr>
              <w:t>.</w:t>
            </w:r>
          </w:p>
          <w:p w14:paraId="2B5B40BB" w14:textId="77777777" w:rsidR="00C3677E" w:rsidRPr="008E2E6B" w:rsidRDefault="00C3677E"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38A0B20C" w14:textId="4E5CF37E" w:rsidR="00C3677E" w:rsidRPr="007E7C5B" w:rsidRDefault="00C3677E" w:rsidP="002F3891">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20"/>
                <w:szCs w:val="18"/>
              </w:rPr>
            </w:pPr>
            <w:r w:rsidRPr="008E2E6B">
              <w:rPr>
                <w:rFonts w:eastAsia="Calibri" w:cs="Times New Roman"/>
                <w:b/>
                <w:sz w:val="18"/>
                <w:szCs w:val="18"/>
              </w:rPr>
              <w:t>ICC</w:t>
            </w:r>
            <w:r w:rsidRPr="008E2E6B">
              <w:rPr>
                <w:rFonts w:eastAsia="Calibri" w:cs="Times New Roman"/>
                <w:sz w:val="18"/>
                <w:szCs w:val="18"/>
              </w:rPr>
              <w:t xml:space="preserve">: </w:t>
            </w:r>
            <w:r w:rsidR="008F2736" w:rsidRPr="008E2E6B">
              <w:rPr>
                <w:rFonts w:eastAsia="Calibri" w:cs="Times New Roman"/>
                <w:sz w:val="18"/>
                <w:szCs w:val="18"/>
              </w:rPr>
              <w:t xml:space="preserve">The </w:t>
            </w:r>
            <w:r w:rsidR="00CF09A5">
              <w:rPr>
                <w:rFonts w:eastAsia="Calibri" w:cs="Times New Roman"/>
                <w:sz w:val="18"/>
                <w:szCs w:val="18"/>
              </w:rPr>
              <w:t>Caregiver</w:t>
            </w:r>
            <w:r w:rsidR="008F2736" w:rsidRPr="008E2E6B">
              <w:rPr>
                <w:rFonts w:eastAsia="Calibri" w:cs="Times New Roman"/>
                <w:sz w:val="18"/>
                <w:szCs w:val="18"/>
              </w:rPr>
              <w:t xml:space="preserve">'s engagement in the service delivery was poor, and she doesn't seem invested or to truly understand the wraparound services.  This area could have been enhanced with some creative efforts to improve her engagement.  There was also no clear efforts to engage the youth or bring the youth's voice into the service delivery.  </w:t>
            </w:r>
            <w:r w:rsidR="002F3891">
              <w:rPr>
                <w:rFonts w:eastAsia="Calibri" w:cs="Times New Roman"/>
                <w:sz w:val="18"/>
                <w:szCs w:val="18"/>
              </w:rPr>
              <w:t>Additionally, t</w:t>
            </w:r>
            <w:r w:rsidR="008F2736" w:rsidRPr="008E2E6B">
              <w:rPr>
                <w:rFonts w:eastAsia="Calibri" w:cs="Times New Roman"/>
                <w:sz w:val="18"/>
                <w:szCs w:val="18"/>
              </w:rPr>
              <w:t>his lack of engagement does not seem to be a noticeable or</w:t>
            </w:r>
            <w:r w:rsidR="002F3891">
              <w:rPr>
                <w:rFonts w:eastAsia="Calibri" w:cs="Times New Roman"/>
                <w:sz w:val="18"/>
                <w:szCs w:val="18"/>
              </w:rPr>
              <w:t xml:space="preserve"> an</w:t>
            </w:r>
            <w:r w:rsidR="008F2736" w:rsidRPr="008E2E6B">
              <w:rPr>
                <w:rFonts w:eastAsia="Calibri" w:cs="Times New Roman"/>
                <w:sz w:val="18"/>
                <w:szCs w:val="18"/>
              </w:rPr>
              <w:t xml:space="preserve"> identified concern of the ICC or FP, and may possibly be interpreted as a lack of desire or effort.</w:t>
            </w:r>
          </w:p>
        </w:tc>
      </w:tr>
      <w:tr w:rsidR="004948C8" w14:paraId="724FB8F6" w14:textId="77777777" w:rsidTr="008F2736">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0255" w:type="dxa"/>
            <w:gridSpan w:val="2"/>
            <w:tcBorders>
              <w:left w:val="none" w:sz="0" w:space="0" w:color="auto"/>
            </w:tcBorders>
            <w:shd w:val="clear" w:color="auto" w:fill="EAB290" w:themeFill="accent2" w:themeFillTint="99"/>
          </w:tcPr>
          <w:p w14:paraId="7252ECB4" w14:textId="42D39A77" w:rsidR="004948C8" w:rsidRDefault="004948C8" w:rsidP="004948C8">
            <w:pPr>
              <w:widowControl w:val="0"/>
              <w:jc w:val="center"/>
              <w:rPr>
                <w:rFonts w:eastAsia="Calibri" w:cs="Times New Roman"/>
                <w:sz w:val="18"/>
                <w:szCs w:val="18"/>
              </w:rPr>
            </w:pPr>
            <w:r w:rsidRPr="004948C8">
              <w:rPr>
                <w:rFonts w:eastAsia="Calibri" w:cs="Times New Roman"/>
                <w:szCs w:val="18"/>
              </w:rPr>
              <w:lastRenderedPageBreak/>
              <w:t>Team Formation</w:t>
            </w:r>
          </w:p>
        </w:tc>
      </w:tr>
      <w:tr w:rsidR="00C3677E" w14:paraId="6BDC42E6" w14:textId="77777777" w:rsidTr="008F2736">
        <w:trPr>
          <w:trHeight w:val="1134"/>
        </w:trPr>
        <w:tc>
          <w:tcPr>
            <w:cnfStyle w:val="001000000000" w:firstRow="0" w:lastRow="0" w:firstColumn="1" w:lastColumn="0" w:oddVBand="0" w:evenVBand="0" w:oddHBand="0" w:evenHBand="0" w:firstRowFirstColumn="0" w:firstRowLastColumn="0" w:lastRowFirstColumn="0" w:lastRowLastColumn="0"/>
            <w:tcW w:w="5130" w:type="dxa"/>
            <w:tcBorders>
              <w:left w:val="none" w:sz="0" w:space="0" w:color="auto"/>
            </w:tcBorders>
            <w:shd w:val="clear" w:color="auto" w:fill="FFFFFF" w:themeFill="background1"/>
          </w:tcPr>
          <w:p w14:paraId="25A32499" w14:textId="67EC3781" w:rsidR="00C3677E" w:rsidRDefault="00C3677E" w:rsidP="008010E8">
            <w:pPr>
              <w:widowControl w:val="0"/>
              <w:jc w:val="left"/>
              <w:rPr>
                <w:rFonts w:eastAsia="Calibri" w:cs="Times New Roman"/>
                <w:b w:val="0"/>
                <w:color w:val="auto"/>
                <w:sz w:val="18"/>
                <w:szCs w:val="18"/>
              </w:rPr>
            </w:pPr>
            <w:r w:rsidRPr="008F2736">
              <w:rPr>
                <w:rFonts w:eastAsia="Calibri" w:cs="Times New Roman"/>
                <w:color w:val="auto"/>
                <w:sz w:val="18"/>
                <w:szCs w:val="18"/>
              </w:rPr>
              <w:t>IHT</w:t>
            </w:r>
            <w:r w:rsidRPr="00C3677E">
              <w:rPr>
                <w:rFonts w:eastAsia="Calibri" w:cs="Times New Roman"/>
                <w:b w:val="0"/>
                <w:color w:val="auto"/>
                <w:sz w:val="18"/>
                <w:szCs w:val="18"/>
              </w:rPr>
              <w:t>: Team formation has been both challenging and, given the number of obstacles, exemplary. In addition to attending all of the Care Plan Meetings convened by ICC, IHT made persistent efforts to connect with all providers (ICC, FP, OP) from the start as well as the probation officer involved via the CRA and, later on, the DCF worker in the short time the case was open with DCF. When the work was interrupted by hospitalizations and the CBAT placement, the team went to the milieus for service planning and discharge meetings. They went to Youth's school, when she was still enrolled, to invite participation in supporting her continued education, and when the school offered the dropout prevention plan at community college, the IHT team included staff there as members of the virtual team of support for the Youth. Both the IHT and TT&amp;S have attended appointments with prescribers to brin</w:t>
            </w:r>
            <w:r w:rsidR="009F1335">
              <w:rPr>
                <w:rFonts w:eastAsia="Calibri" w:cs="Times New Roman"/>
                <w:b w:val="0"/>
                <w:color w:val="auto"/>
                <w:sz w:val="18"/>
                <w:szCs w:val="18"/>
              </w:rPr>
              <w:t xml:space="preserve">g them into the provider team. </w:t>
            </w:r>
            <w:r w:rsidRPr="00C3677E">
              <w:rPr>
                <w:rFonts w:eastAsia="Calibri" w:cs="Times New Roman"/>
                <w:b w:val="0"/>
                <w:color w:val="auto"/>
                <w:sz w:val="18"/>
                <w:szCs w:val="18"/>
              </w:rPr>
              <w:t xml:space="preserve">This was especially challenging due to several changes in prescriber </w:t>
            </w:r>
            <w:r w:rsidR="009F1335">
              <w:rPr>
                <w:rFonts w:eastAsia="Calibri" w:cs="Times New Roman"/>
                <w:b w:val="0"/>
                <w:color w:val="auto"/>
                <w:sz w:val="18"/>
                <w:szCs w:val="18"/>
              </w:rPr>
              <w:t xml:space="preserve">with various </w:t>
            </w:r>
            <w:r w:rsidRPr="00C3677E">
              <w:rPr>
                <w:rFonts w:eastAsia="Calibri" w:cs="Times New Roman"/>
                <w:b w:val="0"/>
                <w:color w:val="auto"/>
                <w:sz w:val="18"/>
                <w:szCs w:val="18"/>
              </w:rPr>
              <w:t xml:space="preserve">hospital stays and by Youth's </w:t>
            </w:r>
            <w:r w:rsidR="009F1335">
              <w:rPr>
                <w:rFonts w:eastAsia="Calibri" w:cs="Times New Roman"/>
                <w:b w:val="0"/>
                <w:color w:val="auto"/>
                <w:sz w:val="18"/>
                <w:szCs w:val="18"/>
              </w:rPr>
              <w:t>non-compliance with medication.</w:t>
            </w:r>
            <w:r w:rsidRPr="00C3677E">
              <w:rPr>
                <w:rFonts w:eastAsia="Calibri" w:cs="Times New Roman"/>
                <w:b w:val="0"/>
                <w:color w:val="auto"/>
                <w:sz w:val="18"/>
                <w:szCs w:val="18"/>
              </w:rPr>
              <w:t xml:space="preserve"> Finally, the team has made consistent efforts to engage the whole family in teamwork around Youth's needs. In addition to family sessions with </w:t>
            </w:r>
            <w:r w:rsidR="00CF09A5">
              <w:rPr>
                <w:rFonts w:eastAsia="Calibri" w:cs="Times New Roman"/>
                <w:b w:val="0"/>
                <w:color w:val="auto"/>
                <w:sz w:val="18"/>
                <w:szCs w:val="18"/>
              </w:rPr>
              <w:t>Caregiver</w:t>
            </w:r>
            <w:r w:rsidRPr="00C3677E">
              <w:rPr>
                <w:rFonts w:eastAsia="Calibri" w:cs="Times New Roman"/>
                <w:b w:val="0"/>
                <w:color w:val="auto"/>
                <w:sz w:val="18"/>
                <w:szCs w:val="18"/>
              </w:rPr>
              <w:t xml:space="preserve"> and Youth, they meet regularly with maternal grandmother and from time to time with the only other family members (aunt and cousin) with any current connections to Youth. Youth's boyfriend, with whom she spends most of her time, has been considered throughout as a possible part of Youth's team. This suggestion has apparently been met with opposition from both </w:t>
            </w:r>
            <w:r w:rsidR="00CF09A5">
              <w:rPr>
                <w:rFonts w:eastAsia="Calibri" w:cs="Times New Roman"/>
                <w:b w:val="0"/>
                <w:color w:val="auto"/>
                <w:sz w:val="18"/>
                <w:szCs w:val="18"/>
              </w:rPr>
              <w:t>Caregiver</w:t>
            </w:r>
            <w:r w:rsidRPr="00C3677E">
              <w:rPr>
                <w:rFonts w:eastAsia="Calibri" w:cs="Times New Roman"/>
                <w:b w:val="0"/>
                <w:color w:val="auto"/>
                <w:sz w:val="18"/>
                <w:szCs w:val="18"/>
              </w:rPr>
              <w:t xml:space="preserve"> and maternal grandmother and, more recently, from Youth herself. Nevertheless, the attention to natural supports has been outstanding.</w:t>
            </w:r>
          </w:p>
          <w:p w14:paraId="479E29B2" w14:textId="77777777" w:rsidR="003F45B8" w:rsidRDefault="003F45B8" w:rsidP="008010E8">
            <w:pPr>
              <w:widowControl w:val="0"/>
              <w:jc w:val="left"/>
              <w:rPr>
                <w:rFonts w:eastAsia="Calibri" w:cs="Times New Roman"/>
                <w:b w:val="0"/>
                <w:color w:val="auto"/>
                <w:sz w:val="18"/>
                <w:szCs w:val="18"/>
              </w:rPr>
            </w:pPr>
          </w:p>
          <w:p w14:paraId="42D3D2E8" w14:textId="2DD60E36" w:rsidR="003F45B8" w:rsidRDefault="003F45B8" w:rsidP="008010E8">
            <w:pPr>
              <w:widowControl w:val="0"/>
              <w:jc w:val="left"/>
              <w:rPr>
                <w:rFonts w:eastAsia="Calibri" w:cs="Times New Roman"/>
                <w:b w:val="0"/>
                <w:color w:val="auto"/>
                <w:sz w:val="18"/>
                <w:szCs w:val="18"/>
              </w:rPr>
            </w:pPr>
            <w:r w:rsidRPr="008F2736">
              <w:rPr>
                <w:rFonts w:eastAsia="Calibri" w:cs="Times New Roman"/>
                <w:color w:val="auto"/>
                <w:sz w:val="18"/>
                <w:szCs w:val="18"/>
              </w:rPr>
              <w:t>ICC</w:t>
            </w:r>
            <w:r>
              <w:rPr>
                <w:rFonts w:eastAsia="Calibri" w:cs="Times New Roman"/>
                <w:b w:val="0"/>
                <w:color w:val="auto"/>
                <w:sz w:val="18"/>
                <w:szCs w:val="18"/>
              </w:rPr>
              <w:t xml:space="preserve">: </w:t>
            </w:r>
            <w:r w:rsidRPr="003F45B8">
              <w:rPr>
                <w:rFonts w:eastAsia="Calibri" w:cs="Times New Roman"/>
                <w:b w:val="0"/>
                <w:color w:val="auto"/>
                <w:sz w:val="18"/>
                <w:szCs w:val="18"/>
              </w:rPr>
              <w:t>All provider</w:t>
            </w:r>
            <w:r w:rsidR="009F1335">
              <w:rPr>
                <w:rFonts w:eastAsia="Calibri" w:cs="Times New Roman"/>
                <w:b w:val="0"/>
                <w:color w:val="auto"/>
                <w:sz w:val="18"/>
                <w:szCs w:val="18"/>
              </w:rPr>
              <w:t>s</w:t>
            </w:r>
            <w:r w:rsidRPr="003F45B8">
              <w:rPr>
                <w:rFonts w:eastAsia="Calibri" w:cs="Times New Roman"/>
                <w:b w:val="0"/>
                <w:color w:val="auto"/>
                <w:sz w:val="18"/>
                <w:szCs w:val="18"/>
              </w:rPr>
              <w:t xml:space="preserve"> were invited and engaged right away, with the first CPT fully attended by all. New providers are similarly added to the team as soon as they start. Efforts to</w:t>
            </w:r>
            <w:r w:rsidR="009F1335">
              <w:rPr>
                <w:rFonts w:eastAsia="Calibri" w:cs="Times New Roman"/>
                <w:b w:val="0"/>
                <w:color w:val="auto"/>
                <w:sz w:val="18"/>
                <w:szCs w:val="18"/>
              </w:rPr>
              <w:t xml:space="preserve"> engage the prescriber by phone and</w:t>
            </w:r>
            <w:r w:rsidRPr="003F45B8">
              <w:rPr>
                <w:rFonts w:eastAsia="Calibri" w:cs="Times New Roman"/>
                <w:b w:val="0"/>
                <w:color w:val="auto"/>
                <w:sz w:val="18"/>
                <w:szCs w:val="18"/>
              </w:rPr>
              <w:t xml:space="preserve"> email were unsuccessful, so </w:t>
            </w:r>
            <w:r w:rsidR="009F1335">
              <w:rPr>
                <w:rFonts w:eastAsia="Calibri" w:cs="Times New Roman"/>
                <w:b w:val="0"/>
                <w:color w:val="auto"/>
                <w:sz w:val="18"/>
                <w:szCs w:val="18"/>
              </w:rPr>
              <w:t xml:space="preserve">the </w:t>
            </w:r>
            <w:r w:rsidRPr="003F45B8">
              <w:rPr>
                <w:rFonts w:eastAsia="Calibri" w:cs="Times New Roman"/>
                <w:b w:val="0"/>
                <w:color w:val="auto"/>
                <w:sz w:val="18"/>
                <w:szCs w:val="18"/>
              </w:rPr>
              <w:t>2nd ICC began going to sessions with Youth to consult with prescriber. Others are engaged as needed. For example, the Jail Diversion clinician in the area was engaged on the team for sev</w:t>
            </w:r>
            <w:r w:rsidR="00177CB1">
              <w:rPr>
                <w:rFonts w:eastAsia="Calibri" w:cs="Times New Roman"/>
                <w:b w:val="0"/>
                <w:color w:val="auto"/>
                <w:sz w:val="18"/>
                <w:szCs w:val="18"/>
              </w:rPr>
              <w:t>eral months after the police became</w:t>
            </w:r>
            <w:r w:rsidRPr="003F45B8">
              <w:rPr>
                <w:rFonts w:eastAsia="Calibri" w:cs="Times New Roman"/>
                <w:b w:val="0"/>
                <w:color w:val="auto"/>
                <w:sz w:val="18"/>
                <w:szCs w:val="18"/>
              </w:rPr>
              <w:t xml:space="preserve"> involved due to the </w:t>
            </w:r>
            <w:r w:rsidR="00177CB1">
              <w:rPr>
                <w:rFonts w:eastAsia="Calibri" w:cs="Times New Roman"/>
                <w:b w:val="0"/>
                <w:color w:val="auto"/>
                <w:sz w:val="18"/>
                <w:szCs w:val="18"/>
              </w:rPr>
              <w:t xml:space="preserve">youth’s </w:t>
            </w:r>
            <w:r w:rsidRPr="003F45B8">
              <w:rPr>
                <w:rFonts w:eastAsia="Calibri" w:cs="Times New Roman"/>
                <w:b w:val="0"/>
                <w:color w:val="auto"/>
                <w:sz w:val="18"/>
                <w:szCs w:val="18"/>
              </w:rPr>
              <w:t>stalking behavior.</w:t>
            </w:r>
          </w:p>
          <w:p w14:paraId="07EBF3C1" w14:textId="77777777" w:rsidR="00910410" w:rsidRDefault="00910410" w:rsidP="008010E8">
            <w:pPr>
              <w:widowControl w:val="0"/>
              <w:jc w:val="left"/>
              <w:rPr>
                <w:rFonts w:eastAsia="Calibri" w:cs="Times New Roman"/>
                <w:b w:val="0"/>
                <w:color w:val="auto"/>
                <w:sz w:val="18"/>
                <w:szCs w:val="18"/>
              </w:rPr>
            </w:pPr>
          </w:p>
          <w:p w14:paraId="415F6AF0" w14:textId="69DF9E96" w:rsidR="00177CB1" w:rsidRPr="00C3677E" w:rsidRDefault="00177CB1" w:rsidP="008010E8">
            <w:pPr>
              <w:widowControl w:val="0"/>
              <w:jc w:val="left"/>
              <w:rPr>
                <w:rFonts w:eastAsia="Calibri" w:cs="Times New Roman"/>
                <w:b w:val="0"/>
                <w:color w:val="auto"/>
                <w:sz w:val="18"/>
                <w:szCs w:val="18"/>
              </w:rPr>
            </w:pPr>
          </w:p>
        </w:tc>
        <w:tc>
          <w:tcPr>
            <w:tcW w:w="5125" w:type="dxa"/>
          </w:tcPr>
          <w:p w14:paraId="0FB16614" w14:textId="77777777" w:rsidR="00C3677E" w:rsidRDefault="00C3677E"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F2736">
              <w:rPr>
                <w:rFonts w:eastAsia="Calibri" w:cs="Times New Roman"/>
                <w:b/>
                <w:sz w:val="18"/>
                <w:szCs w:val="18"/>
              </w:rPr>
              <w:t>IHT</w:t>
            </w:r>
            <w:r>
              <w:rPr>
                <w:rFonts w:eastAsia="Calibri" w:cs="Times New Roman"/>
                <w:sz w:val="18"/>
                <w:szCs w:val="18"/>
              </w:rPr>
              <w:t xml:space="preserve">: </w:t>
            </w:r>
            <w:r w:rsidRPr="002A6ABB">
              <w:rPr>
                <w:rFonts w:eastAsia="Calibri" w:cs="Times New Roman"/>
                <w:sz w:val="18"/>
                <w:szCs w:val="18"/>
              </w:rPr>
              <w:t>The IHT Clinician identified the pediatrician, DCF worker, and the school at the time of intake by having releases signed for them.  However, there was no documentation of outreach to engage any of them in the initial service planning process.  There was no documentation of contact with DCF, and IHT Clinician did not recall any, though she was aware that DCF was the referral source.  There was no documented outreach to the pediatrician except to ask him to be part of the MPR process, which resulted in a call from the doctor's assistant who said doctor is leaving the practice.  The school was contacted three months after services began, which was one month after school started.  Natural supports were handled similarly by being identified during the Clinician's interview, but not having any discussions about outreaching or engaging them.  This area would have benefited from the formation of the team so that formal providers and natural supports could work together in the initial service planning process.</w:t>
            </w:r>
          </w:p>
          <w:p w14:paraId="6011A112" w14:textId="77777777" w:rsidR="00C3677E" w:rsidRDefault="00C3677E"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73931011" w14:textId="1075D241" w:rsidR="00C3677E" w:rsidRPr="00EB0B9E" w:rsidRDefault="00C3677E" w:rsidP="00CC5C9F">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F2736">
              <w:rPr>
                <w:rFonts w:eastAsia="Calibri" w:cs="Times New Roman"/>
                <w:b/>
                <w:sz w:val="18"/>
                <w:szCs w:val="18"/>
              </w:rPr>
              <w:t>ICC</w:t>
            </w:r>
            <w:r>
              <w:rPr>
                <w:rFonts w:eastAsia="Calibri" w:cs="Times New Roman"/>
                <w:sz w:val="18"/>
                <w:szCs w:val="18"/>
              </w:rPr>
              <w:t>:</w:t>
            </w:r>
            <w:r w:rsidR="000074A8">
              <w:rPr>
                <w:rFonts w:eastAsia="Calibri" w:cs="Times New Roman"/>
                <w:sz w:val="18"/>
                <w:szCs w:val="18"/>
              </w:rPr>
              <w:t xml:space="preserve">  </w:t>
            </w:r>
            <w:r w:rsidR="000074A8" w:rsidRPr="000074A8">
              <w:rPr>
                <w:rFonts w:eastAsia="Calibri" w:cs="Times New Roman"/>
                <w:sz w:val="18"/>
                <w:szCs w:val="18"/>
              </w:rPr>
              <w:t xml:space="preserve">There was no evidence of the ICC identifying, outreaching, or inviting providers in the initial service planning process.  This area could have been strengthened with engagement efforts with the IHT Clinicians, prescriber, school, camp, after-school program or pediatrician.  After hearing about what a Care Plan Team meeting is, the </w:t>
            </w:r>
            <w:r w:rsidR="00CF09A5">
              <w:rPr>
                <w:rFonts w:eastAsia="Calibri" w:cs="Times New Roman"/>
                <w:sz w:val="18"/>
                <w:szCs w:val="18"/>
              </w:rPr>
              <w:t>Caregiver</w:t>
            </w:r>
            <w:r w:rsidR="000074A8" w:rsidRPr="000074A8">
              <w:rPr>
                <w:rFonts w:eastAsia="Calibri" w:cs="Times New Roman"/>
                <w:sz w:val="18"/>
                <w:szCs w:val="18"/>
              </w:rPr>
              <w:t xml:space="preserve"> said she is still waiting for youth's team to come together fo</w:t>
            </w:r>
            <w:r w:rsidR="000074A8">
              <w:rPr>
                <w:rFonts w:eastAsia="Calibri" w:cs="Times New Roman"/>
                <w:sz w:val="18"/>
                <w:szCs w:val="18"/>
              </w:rPr>
              <w:t>r one of those meetings.</w:t>
            </w:r>
            <w:r w:rsidR="000074A8" w:rsidRPr="000074A8">
              <w:rPr>
                <w:rFonts w:eastAsia="Calibri" w:cs="Times New Roman"/>
                <w:sz w:val="18"/>
                <w:szCs w:val="18"/>
              </w:rPr>
              <w:t xml:space="preserve"> Exploration of the inclusion of natural supports was unclear but also appears to be absent.  The </w:t>
            </w:r>
            <w:r w:rsidR="00CF09A5">
              <w:rPr>
                <w:rFonts w:eastAsia="Calibri" w:cs="Times New Roman"/>
                <w:sz w:val="18"/>
                <w:szCs w:val="18"/>
              </w:rPr>
              <w:t>Caregiver</w:t>
            </w:r>
            <w:r w:rsidR="000074A8" w:rsidRPr="000074A8">
              <w:rPr>
                <w:rFonts w:eastAsia="Calibri" w:cs="Times New Roman"/>
                <w:sz w:val="18"/>
                <w:szCs w:val="18"/>
              </w:rPr>
              <w:t xml:space="preserve"> said she was not asked, and the ICC said the </w:t>
            </w:r>
            <w:r w:rsidR="00CF09A5">
              <w:rPr>
                <w:rFonts w:eastAsia="Calibri" w:cs="Times New Roman"/>
                <w:sz w:val="18"/>
                <w:szCs w:val="18"/>
              </w:rPr>
              <w:t>Caregiver</w:t>
            </w:r>
            <w:r w:rsidR="000074A8" w:rsidRPr="000074A8">
              <w:rPr>
                <w:rFonts w:eastAsia="Calibri" w:cs="Times New Roman"/>
                <w:sz w:val="18"/>
                <w:szCs w:val="18"/>
              </w:rPr>
              <w:t xml:space="preserve"> refused to allow any natural supports to be included.  The FP said that they did not explore natural supports after the </w:t>
            </w:r>
            <w:r w:rsidR="00CF09A5">
              <w:rPr>
                <w:rFonts w:eastAsia="Calibri" w:cs="Times New Roman"/>
                <w:sz w:val="18"/>
                <w:szCs w:val="18"/>
              </w:rPr>
              <w:t>Caregiver</w:t>
            </w:r>
            <w:r w:rsidR="000074A8" w:rsidRPr="000074A8">
              <w:rPr>
                <w:rFonts w:eastAsia="Calibri" w:cs="Times New Roman"/>
                <w:sz w:val="18"/>
                <w:szCs w:val="18"/>
              </w:rPr>
              <w:t xml:space="preserve"> informed them that her mother wouldn't be able to be included in services because she works, as do all her other natural supports.</w:t>
            </w:r>
            <w:r w:rsidR="00CC5C9F">
              <w:rPr>
                <w:rFonts w:eastAsia="Calibri" w:cs="Times New Roman"/>
                <w:sz w:val="18"/>
                <w:szCs w:val="18"/>
              </w:rPr>
              <w:t xml:space="preserve"> </w:t>
            </w:r>
          </w:p>
        </w:tc>
      </w:tr>
      <w:tr w:rsidR="004948C8" w14:paraId="29BBB9CD" w14:textId="77777777" w:rsidTr="008F2736">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0255" w:type="dxa"/>
            <w:gridSpan w:val="2"/>
            <w:tcBorders>
              <w:left w:val="none" w:sz="0" w:space="0" w:color="auto"/>
            </w:tcBorders>
            <w:shd w:val="clear" w:color="auto" w:fill="EAB290" w:themeFill="accent2" w:themeFillTint="99"/>
          </w:tcPr>
          <w:p w14:paraId="1F5C0F17" w14:textId="1FFB1A18" w:rsidR="004948C8" w:rsidRPr="00C74725" w:rsidRDefault="004948C8" w:rsidP="004948C8">
            <w:pPr>
              <w:widowControl w:val="0"/>
              <w:jc w:val="center"/>
              <w:rPr>
                <w:rFonts w:eastAsia="Calibri" w:cs="Times New Roman"/>
                <w:sz w:val="22"/>
                <w:szCs w:val="22"/>
              </w:rPr>
            </w:pPr>
            <w:r w:rsidRPr="00C74725">
              <w:rPr>
                <w:rFonts w:eastAsia="Calibri" w:cs="Times New Roman"/>
                <w:sz w:val="22"/>
                <w:szCs w:val="22"/>
              </w:rPr>
              <w:lastRenderedPageBreak/>
              <w:t>Team Participation</w:t>
            </w:r>
          </w:p>
        </w:tc>
      </w:tr>
      <w:tr w:rsidR="00C3677E" w14:paraId="577FE2D3" w14:textId="77777777" w:rsidTr="008F2736">
        <w:trPr>
          <w:trHeight w:val="1134"/>
        </w:trPr>
        <w:tc>
          <w:tcPr>
            <w:cnfStyle w:val="001000000000" w:firstRow="0" w:lastRow="0" w:firstColumn="1" w:lastColumn="0" w:oddVBand="0" w:evenVBand="0" w:oddHBand="0" w:evenHBand="0" w:firstRowFirstColumn="0" w:firstRowLastColumn="0" w:lastRowFirstColumn="0" w:lastRowLastColumn="0"/>
            <w:tcW w:w="5130" w:type="dxa"/>
            <w:tcBorders>
              <w:left w:val="none" w:sz="0" w:space="0" w:color="auto"/>
            </w:tcBorders>
            <w:shd w:val="clear" w:color="auto" w:fill="F8E5DA" w:themeFill="accent2" w:themeFillTint="33"/>
          </w:tcPr>
          <w:p w14:paraId="6EC56D7D" w14:textId="2A5A94AC" w:rsidR="00C3677E" w:rsidRPr="008E2E6B" w:rsidRDefault="00C3677E" w:rsidP="00101143">
            <w:pPr>
              <w:widowControl w:val="0"/>
              <w:jc w:val="left"/>
              <w:rPr>
                <w:rFonts w:eastAsia="Calibri" w:cs="Times New Roman"/>
                <w:b w:val="0"/>
                <w:color w:val="auto"/>
                <w:sz w:val="18"/>
                <w:szCs w:val="18"/>
              </w:rPr>
            </w:pPr>
            <w:r w:rsidRPr="008E2E6B">
              <w:rPr>
                <w:rFonts w:eastAsia="Calibri" w:cs="Times New Roman"/>
                <w:color w:val="auto"/>
                <w:sz w:val="18"/>
                <w:szCs w:val="18"/>
              </w:rPr>
              <w:t>IHT</w:t>
            </w:r>
            <w:r w:rsidRPr="008E2E6B">
              <w:rPr>
                <w:rFonts w:eastAsia="Calibri" w:cs="Times New Roman"/>
                <w:b w:val="0"/>
                <w:color w:val="auto"/>
                <w:sz w:val="18"/>
                <w:szCs w:val="18"/>
              </w:rPr>
              <w:t xml:space="preserve">: IHT has formed a full-fledged team of all the formal supports working with the family, with the exception of a slow start with the school (due to </w:t>
            </w:r>
            <w:r w:rsidR="00CF09A5">
              <w:rPr>
                <w:rFonts w:eastAsia="Calibri" w:cs="Times New Roman"/>
                <w:b w:val="0"/>
                <w:color w:val="auto"/>
                <w:sz w:val="18"/>
                <w:szCs w:val="18"/>
              </w:rPr>
              <w:t>Caregiver</w:t>
            </w:r>
            <w:r w:rsidRPr="008E2E6B">
              <w:rPr>
                <w:rFonts w:eastAsia="Calibri" w:cs="Times New Roman"/>
                <w:b w:val="0"/>
                <w:color w:val="auto"/>
                <w:sz w:val="18"/>
                <w:szCs w:val="18"/>
              </w:rPr>
              <w:t xml:space="preserve"> reluctance to share personal information with school personnel) and no natural supports (also by </w:t>
            </w:r>
            <w:r w:rsidR="00CF09A5">
              <w:rPr>
                <w:rFonts w:eastAsia="Calibri" w:cs="Times New Roman"/>
                <w:b w:val="0"/>
                <w:color w:val="auto"/>
                <w:sz w:val="18"/>
                <w:szCs w:val="18"/>
              </w:rPr>
              <w:t>Caregiver</w:t>
            </w:r>
            <w:r w:rsidRPr="008E2E6B">
              <w:rPr>
                <w:rFonts w:eastAsia="Calibri" w:cs="Times New Roman"/>
                <w:b w:val="0"/>
                <w:color w:val="auto"/>
                <w:sz w:val="18"/>
                <w:szCs w:val="18"/>
              </w:rPr>
              <w:t xml:space="preserve"> preference). What is exceptional about the teamwork is the full participation by every team member for the dur</w:t>
            </w:r>
            <w:r w:rsidR="00CC5C9F">
              <w:rPr>
                <w:rFonts w:eastAsia="Calibri" w:cs="Times New Roman"/>
                <w:b w:val="0"/>
                <w:color w:val="auto"/>
                <w:sz w:val="18"/>
                <w:szCs w:val="18"/>
              </w:rPr>
              <w:t>ation of their involvement: both</w:t>
            </w:r>
            <w:r w:rsidRPr="008E2E6B">
              <w:rPr>
                <w:rFonts w:eastAsia="Calibri" w:cs="Times New Roman"/>
                <w:b w:val="0"/>
                <w:color w:val="auto"/>
                <w:sz w:val="18"/>
                <w:szCs w:val="18"/>
              </w:rPr>
              <w:t xml:space="preserve"> outpatient therapists throughout, the </w:t>
            </w:r>
            <w:r w:rsidR="00CC5C9F">
              <w:rPr>
                <w:rFonts w:eastAsia="Calibri" w:cs="Times New Roman"/>
                <w:b w:val="0"/>
                <w:color w:val="auto"/>
                <w:sz w:val="18"/>
                <w:szCs w:val="18"/>
              </w:rPr>
              <w:t>school counselor</w:t>
            </w:r>
            <w:r w:rsidRPr="008E2E6B">
              <w:rPr>
                <w:rFonts w:eastAsia="Calibri" w:cs="Times New Roman"/>
                <w:b w:val="0"/>
                <w:color w:val="auto"/>
                <w:sz w:val="18"/>
                <w:szCs w:val="18"/>
              </w:rPr>
              <w:t xml:space="preserve">, and the new TM. By holding face-to-face meetings every month that have clear value in coordination among all parties, including </w:t>
            </w:r>
            <w:r w:rsidR="00CF09A5">
              <w:rPr>
                <w:rFonts w:eastAsia="Calibri" w:cs="Times New Roman"/>
                <w:b w:val="0"/>
                <w:color w:val="auto"/>
                <w:sz w:val="18"/>
                <w:szCs w:val="18"/>
              </w:rPr>
              <w:t>Caregiver</w:t>
            </w:r>
            <w:r w:rsidRPr="008E2E6B">
              <w:rPr>
                <w:rFonts w:eastAsia="Calibri" w:cs="Times New Roman"/>
                <w:b w:val="0"/>
                <w:color w:val="auto"/>
                <w:sz w:val="18"/>
                <w:szCs w:val="18"/>
              </w:rPr>
              <w:t>s, the IHT has ensured ongoing commitment. This intervention has been described as "a dream collaboration."</w:t>
            </w:r>
          </w:p>
          <w:p w14:paraId="06C991C8" w14:textId="77777777" w:rsidR="003F45B8" w:rsidRPr="008E2E6B" w:rsidRDefault="003F45B8" w:rsidP="00101143">
            <w:pPr>
              <w:widowControl w:val="0"/>
              <w:jc w:val="left"/>
              <w:rPr>
                <w:rFonts w:eastAsia="Calibri" w:cs="Times New Roman"/>
                <w:b w:val="0"/>
                <w:color w:val="auto"/>
                <w:sz w:val="18"/>
                <w:szCs w:val="18"/>
              </w:rPr>
            </w:pPr>
          </w:p>
          <w:p w14:paraId="2C81401C" w14:textId="77777777" w:rsidR="00910410" w:rsidRDefault="003F45B8" w:rsidP="00CC5C9F">
            <w:pPr>
              <w:widowControl w:val="0"/>
              <w:jc w:val="left"/>
              <w:rPr>
                <w:rFonts w:eastAsia="Calibri" w:cs="Times New Roman"/>
                <w:b w:val="0"/>
                <w:color w:val="auto"/>
                <w:sz w:val="18"/>
                <w:szCs w:val="18"/>
              </w:rPr>
            </w:pPr>
            <w:r w:rsidRPr="008E2E6B">
              <w:rPr>
                <w:rFonts w:eastAsia="Calibri" w:cs="Times New Roman"/>
                <w:color w:val="auto"/>
                <w:sz w:val="18"/>
                <w:szCs w:val="18"/>
              </w:rPr>
              <w:t>ICC</w:t>
            </w:r>
            <w:r w:rsidRPr="008E2E6B">
              <w:rPr>
                <w:rFonts w:eastAsia="Calibri" w:cs="Times New Roman"/>
                <w:b w:val="0"/>
                <w:color w:val="auto"/>
                <w:sz w:val="18"/>
                <w:szCs w:val="18"/>
              </w:rPr>
              <w:t xml:space="preserve">: The ICC had an exemplary approach to actively engaging the team of providers and natural supports in the service planning and delivery.  Once a provider was identified, she would reach out by telephone to introduce herself and immediately invited that person to the next care plan meeting.  Those meetings were held regularly and on a monthly basis.  They sometimes included the school (SPED director and counselor), who attended in person if the meeting was held at the school, or by phone if the meeting was held elsewhere.  The youth's TM and IHBS are currently being included, as was the IHT when they were open.  The sister's IHT team sometimes comes to the Care Plan Meetings also.  Though the natural supports are not always available to attend, the ICC has met several of them, and the youth's paternal aunt is actively included whenever possible.  There was a time that the </w:t>
            </w:r>
            <w:r w:rsidR="00CF09A5">
              <w:rPr>
                <w:rFonts w:eastAsia="Calibri" w:cs="Times New Roman"/>
                <w:b w:val="0"/>
                <w:color w:val="auto"/>
                <w:sz w:val="18"/>
                <w:szCs w:val="18"/>
              </w:rPr>
              <w:t>Caregiver</w:t>
            </w:r>
            <w:r w:rsidRPr="008E2E6B">
              <w:rPr>
                <w:rFonts w:eastAsia="Calibri" w:cs="Times New Roman"/>
                <w:b w:val="0"/>
                <w:color w:val="auto"/>
                <w:sz w:val="18"/>
                <w:szCs w:val="18"/>
              </w:rPr>
              <w:t xml:space="preserve"> was concerned about an incident that occurred with the youth's TM, a</w:t>
            </w:r>
            <w:r w:rsidR="00CC5C9F">
              <w:rPr>
                <w:rFonts w:eastAsia="Calibri" w:cs="Times New Roman"/>
                <w:b w:val="0"/>
                <w:color w:val="auto"/>
                <w:sz w:val="18"/>
                <w:szCs w:val="18"/>
              </w:rPr>
              <w:t xml:space="preserve">nd the ICC </w:t>
            </w:r>
            <w:r w:rsidRPr="008E2E6B">
              <w:rPr>
                <w:rFonts w:eastAsia="Calibri" w:cs="Times New Roman"/>
                <w:b w:val="0"/>
                <w:color w:val="auto"/>
                <w:sz w:val="18"/>
                <w:szCs w:val="18"/>
              </w:rPr>
              <w:t xml:space="preserve">not only organized a telephone conference call to address the matter, but she included the </w:t>
            </w:r>
            <w:r w:rsidR="00CF09A5">
              <w:rPr>
                <w:rFonts w:eastAsia="Calibri" w:cs="Times New Roman"/>
                <w:b w:val="0"/>
                <w:color w:val="auto"/>
                <w:sz w:val="18"/>
                <w:szCs w:val="18"/>
              </w:rPr>
              <w:t>Caregiver</w:t>
            </w:r>
            <w:r w:rsidRPr="008E2E6B">
              <w:rPr>
                <w:rFonts w:eastAsia="Calibri" w:cs="Times New Roman"/>
                <w:b w:val="0"/>
                <w:color w:val="auto"/>
                <w:sz w:val="18"/>
                <w:szCs w:val="18"/>
              </w:rPr>
              <w:t xml:space="preserve"> and the aunt on that call with the TM.  If any of the providers cannot attend a meeting, the ICC regularly communicates with them, before and after the meetings.  This ensures that she has their update ahead of time, and that she can inform them afterwards of plans made at the meeting.  The ICC had several communications with the clinician at the youth's pediatrician's office also, to keep them in the loop and on the same page, and informed of the team.  When the </w:t>
            </w:r>
            <w:r w:rsidR="00CF09A5">
              <w:rPr>
                <w:rFonts w:eastAsia="Calibri" w:cs="Times New Roman"/>
                <w:b w:val="0"/>
                <w:color w:val="auto"/>
                <w:sz w:val="18"/>
                <w:szCs w:val="18"/>
              </w:rPr>
              <w:t>Caregiver</w:t>
            </w:r>
            <w:r w:rsidRPr="008E2E6B">
              <w:rPr>
                <w:rFonts w:eastAsia="Calibri" w:cs="Times New Roman"/>
                <w:b w:val="0"/>
                <w:color w:val="auto"/>
                <w:sz w:val="18"/>
                <w:szCs w:val="18"/>
              </w:rPr>
              <w:t xml:space="preserve"> has had her own outpatient therapist, the ICC has also outreached them in attem</w:t>
            </w:r>
            <w:r w:rsidR="00B62E8A">
              <w:rPr>
                <w:rFonts w:eastAsia="Calibri" w:cs="Times New Roman"/>
                <w:b w:val="0"/>
                <w:color w:val="auto"/>
                <w:sz w:val="18"/>
                <w:szCs w:val="18"/>
              </w:rPr>
              <w:t>pts to include them on the team.</w:t>
            </w:r>
          </w:p>
          <w:p w14:paraId="501C486D" w14:textId="77777777" w:rsidR="00B62E8A" w:rsidRDefault="00B62E8A" w:rsidP="00CC5C9F">
            <w:pPr>
              <w:widowControl w:val="0"/>
              <w:jc w:val="left"/>
              <w:rPr>
                <w:rFonts w:eastAsia="Calibri" w:cs="Times New Roman"/>
                <w:b w:val="0"/>
                <w:color w:val="auto"/>
                <w:sz w:val="18"/>
                <w:szCs w:val="18"/>
              </w:rPr>
            </w:pPr>
          </w:p>
          <w:p w14:paraId="6D636ABA" w14:textId="55D7BA8B" w:rsidR="00B62E8A" w:rsidRPr="008E2E6B" w:rsidRDefault="00B62E8A" w:rsidP="00CC5C9F">
            <w:pPr>
              <w:widowControl w:val="0"/>
              <w:jc w:val="left"/>
              <w:rPr>
                <w:rFonts w:eastAsia="Calibri" w:cs="Times New Roman"/>
                <w:b w:val="0"/>
                <w:color w:val="auto"/>
                <w:sz w:val="18"/>
                <w:szCs w:val="18"/>
              </w:rPr>
            </w:pPr>
          </w:p>
        </w:tc>
        <w:tc>
          <w:tcPr>
            <w:tcW w:w="5125" w:type="dxa"/>
            <w:shd w:val="clear" w:color="auto" w:fill="FFFFFF" w:themeFill="background1"/>
          </w:tcPr>
          <w:p w14:paraId="4EB54027" w14:textId="4CC6F998" w:rsidR="00C3677E" w:rsidRDefault="00C3677E"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F2736">
              <w:rPr>
                <w:rFonts w:eastAsia="Calibri" w:cs="Times New Roman"/>
                <w:b/>
                <w:sz w:val="18"/>
                <w:szCs w:val="18"/>
              </w:rPr>
              <w:t>IHT</w:t>
            </w:r>
            <w:r>
              <w:rPr>
                <w:rFonts w:eastAsia="Calibri" w:cs="Times New Roman"/>
                <w:sz w:val="18"/>
                <w:szCs w:val="18"/>
              </w:rPr>
              <w:t>: IHT</w:t>
            </w:r>
            <w:r w:rsidRPr="002A6ABB">
              <w:rPr>
                <w:rFonts w:eastAsia="Calibri" w:cs="Times New Roman"/>
                <w:sz w:val="18"/>
                <w:szCs w:val="18"/>
              </w:rPr>
              <w:t xml:space="preserve"> never contacted the school despite ongoing concerns about Youth's behavior at school. There was no effort to engage school personnel, so there was no school involvement in planning or delivering services. The same is true for the prescriber and the Outpatient therapist. The </w:t>
            </w:r>
            <w:r w:rsidR="00CE2DAF">
              <w:rPr>
                <w:rFonts w:eastAsia="Calibri" w:cs="Times New Roman"/>
                <w:sz w:val="18"/>
                <w:szCs w:val="18"/>
              </w:rPr>
              <w:t xml:space="preserve">OP therapist </w:t>
            </w:r>
            <w:r w:rsidRPr="002A6ABB">
              <w:rPr>
                <w:rFonts w:eastAsia="Calibri" w:cs="Times New Roman"/>
                <w:sz w:val="18"/>
                <w:szCs w:val="18"/>
              </w:rPr>
              <w:t xml:space="preserve">did not hear from, or even </w:t>
            </w:r>
            <w:r w:rsidR="00910410">
              <w:rPr>
                <w:rFonts w:eastAsia="Calibri" w:cs="Times New Roman"/>
                <w:sz w:val="18"/>
                <w:szCs w:val="18"/>
              </w:rPr>
              <w:t xml:space="preserve">know that IHT was in place, for many months. </w:t>
            </w:r>
          </w:p>
          <w:p w14:paraId="12EF6FF4" w14:textId="77777777" w:rsidR="008F2736" w:rsidRDefault="008F2736"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0B47AB36" w14:textId="7E572E16" w:rsidR="008F2736" w:rsidRPr="00EF2DC1" w:rsidRDefault="008F2736" w:rsidP="00910410">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F2736">
              <w:rPr>
                <w:rFonts w:eastAsia="Calibri" w:cs="Times New Roman"/>
                <w:b/>
                <w:sz w:val="18"/>
                <w:szCs w:val="18"/>
              </w:rPr>
              <w:t>ICC</w:t>
            </w:r>
            <w:r>
              <w:rPr>
                <w:rFonts w:eastAsia="Calibri" w:cs="Times New Roman"/>
                <w:sz w:val="18"/>
                <w:szCs w:val="18"/>
              </w:rPr>
              <w:t>:</w:t>
            </w:r>
            <w:r w:rsidR="00E80C0F">
              <w:rPr>
                <w:rFonts w:eastAsia="Calibri" w:cs="Times New Roman"/>
                <w:sz w:val="18"/>
                <w:szCs w:val="18"/>
              </w:rPr>
              <w:t xml:space="preserve"> </w:t>
            </w:r>
            <w:r w:rsidR="00E80C0F" w:rsidRPr="00E80C0F">
              <w:rPr>
                <w:rFonts w:eastAsia="Calibri" w:cs="Times New Roman"/>
                <w:sz w:val="18"/>
                <w:szCs w:val="18"/>
              </w:rPr>
              <w:t>The first ICC referenced team meetings that were held early on but it was unclear who attended these meetings, and what the purpose of the meeting was.  She began documenting care plan meetings a couple months after the service began, and they continued from there inconsistently with gaps</w:t>
            </w:r>
            <w:r w:rsidR="00910410">
              <w:rPr>
                <w:rFonts w:eastAsia="Calibri" w:cs="Times New Roman"/>
                <w:sz w:val="18"/>
                <w:szCs w:val="18"/>
              </w:rPr>
              <w:t xml:space="preserve"> ranging</w:t>
            </w:r>
            <w:r w:rsidR="00E80C0F" w:rsidRPr="00E80C0F">
              <w:rPr>
                <w:rFonts w:eastAsia="Calibri" w:cs="Times New Roman"/>
                <w:sz w:val="18"/>
                <w:szCs w:val="18"/>
              </w:rPr>
              <w:t xml:space="preserve"> from one month to four months between meetings.  The team members in attendance varied, sometimes including DCF, IHBS, IHT, and TM.  The school was not included in the </w:t>
            </w:r>
            <w:r w:rsidR="00910410">
              <w:rPr>
                <w:rFonts w:eastAsia="Calibri" w:cs="Times New Roman"/>
                <w:sz w:val="18"/>
                <w:szCs w:val="18"/>
              </w:rPr>
              <w:t xml:space="preserve">care plan </w:t>
            </w:r>
            <w:r w:rsidR="00E80C0F" w:rsidRPr="00E80C0F">
              <w:rPr>
                <w:rFonts w:eastAsia="Calibri" w:cs="Times New Roman"/>
                <w:sz w:val="18"/>
                <w:szCs w:val="18"/>
              </w:rPr>
              <w:t>meeting</w:t>
            </w:r>
            <w:r w:rsidR="00910410">
              <w:rPr>
                <w:rFonts w:eastAsia="Calibri" w:cs="Times New Roman"/>
                <w:sz w:val="18"/>
                <w:szCs w:val="18"/>
              </w:rPr>
              <w:t>s</w:t>
            </w:r>
            <w:r w:rsidR="00E80C0F" w:rsidRPr="00E80C0F">
              <w:rPr>
                <w:rFonts w:eastAsia="Calibri" w:cs="Times New Roman"/>
                <w:sz w:val="18"/>
                <w:szCs w:val="18"/>
              </w:rPr>
              <w:t xml:space="preserve"> even though the providers attended school meetings</w:t>
            </w:r>
            <w:r w:rsidR="00910410">
              <w:rPr>
                <w:rFonts w:eastAsia="Calibri" w:cs="Times New Roman"/>
                <w:sz w:val="18"/>
                <w:szCs w:val="18"/>
              </w:rPr>
              <w:t>; and there was no discussion to include the school at some point</w:t>
            </w:r>
            <w:r w:rsidR="00E80C0F" w:rsidRPr="00E80C0F">
              <w:rPr>
                <w:rFonts w:eastAsia="Calibri" w:cs="Times New Roman"/>
                <w:sz w:val="18"/>
                <w:szCs w:val="18"/>
              </w:rPr>
              <w:t xml:space="preserve">.  The youth's prescriber is currently the PCP, and the ICCs served as the liaison providing the team with the PCP's information.  The family's natural supports have not been included in team meetings </w:t>
            </w:r>
            <w:r w:rsidR="00910410">
              <w:rPr>
                <w:rFonts w:eastAsia="Calibri" w:cs="Times New Roman"/>
                <w:sz w:val="18"/>
                <w:szCs w:val="18"/>
              </w:rPr>
              <w:t>and there were differing responses</w:t>
            </w:r>
            <w:r w:rsidR="00E80C0F" w:rsidRPr="00E80C0F">
              <w:rPr>
                <w:rFonts w:eastAsia="Calibri" w:cs="Times New Roman"/>
                <w:sz w:val="18"/>
                <w:szCs w:val="18"/>
              </w:rPr>
              <w:t xml:space="preserve"> about whether or not this was explored.  </w:t>
            </w:r>
          </w:p>
        </w:tc>
      </w:tr>
      <w:tr w:rsidR="004948C8" w14:paraId="6C4F5934" w14:textId="77777777" w:rsidTr="008F273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255" w:type="dxa"/>
            <w:gridSpan w:val="2"/>
            <w:tcBorders>
              <w:left w:val="none" w:sz="0" w:space="0" w:color="auto"/>
            </w:tcBorders>
            <w:shd w:val="clear" w:color="auto" w:fill="EAB290" w:themeFill="accent2" w:themeFillTint="99"/>
          </w:tcPr>
          <w:p w14:paraId="674F67D6" w14:textId="6B89B9B8" w:rsidR="004948C8" w:rsidRPr="004948C8" w:rsidRDefault="004948C8" w:rsidP="004948C8">
            <w:pPr>
              <w:widowControl w:val="0"/>
              <w:jc w:val="center"/>
              <w:rPr>
                <w:rFonts w:eastAsia="Calibri" w:cs="Times New Roman"/>
                <w:sz w:val="22"/>
                <w:szCs w:val="22"/>
              </w:rPr>
            </w:pPr>
            <w:r w:rsidRPr="004948C8">
              <w:rPr>
                <w:rFonts w:eastAsia="Calibri" w:cs="Times New Roman"/>
                <w:sz w:val="22"/>
                <w:szCs w:val="22"/>
              </w:rPr>
              <w:t>Care Coordination</w:t>
            </w:r>
          </w:p>
        </w:tc>
      </w:tr>
      <w:tr w:rsidR="00C3677E" w14:paraId="4C22BA71" w14:textId="77777777" w:rsidTr="008F2736">
        <w:trPr>
          <w:trHeight w:val="1134"/>
        </w:trPr>
        <w:tc>
          <w:tcPr>
            <w:cnfStyle w:val="001000000000" w:firstRow="0" w:lastRow="0" w:firstColumn="1" w:lastColumn="0" w:oddVBand="0" w:evenVBand="0" w:oddHBand="0" w:evenHBand="0" w:firstRowFirstColumn="0" w:firstRowLastColumn="0" w:lastRowFirstColumn="0" w:lastRowLastColumn="0"/>
            <w:tcW w:w="5130" w:type="dxa"/>
            <w:tcBorders>
              <w:left w:val="none" w:sz="0" w:space="0" w:color="auto"/>
            </w:tcBorders>
            <w:shd w:val="clear" w:color="auto" w:fill="FFFFFF" w:themeFill="background1"/>
          </w:tcPr>
          <w:p w14:paraId="0829A269" w14:textId="38AA8AC6" w:rsidR="00C3677E" w:rsidRPr="00C3677E" w:rsidRDefault="00C3677E" w:rsidP="008010E8">
            <w:pPr>
              <w:widowControl w:val="0"/>
              <w:jc w:val="left"/>
              <w:rPr>
                <w:rFonts w:eastAsia="Calibri" w:cs="Times New Roman"/>
                <w:b w:val="0"/>
                <w:color w:val="auto"/>
                <w:sz w:val="18"/>
                <w:szCs w:val="18"/>
              </w:rPr>
            </w:pPr>
            <w:r w:rsidRPr="008F2736">
              <w:rPr>
                <w:rFonts w:eastAsia="Calibri" w:cs="Times New Roman"/>
                <w:color w:val="auto"/>
                <w:sz w:val="18"/>
                <w:szCs w:val="18"/>
              </w:rPr>
              <w:t>IHT</w:t>
            </w:r>
            <w:r w:rsidRPr="00C3677E">
              <w:rPr>
                <w:rFonts w:eastAsia="Calibri" w:cs="Times New Roman"/>
                <w:b w:val="0"/>
                <w:color w:val="auto"/>
                <w:sz w:val="18"/>
                <w:szCs w:val="18"/>
              </w:rPr>
              <w:t>: From the very start, collaboration with the school was central to the intervention. In addition to initiating regular communication with school personnel from the start, the IHT team pulled</w:t>
            </w:r>
            <w:r w:rsidR="00007B32">
              <w:rPr>
                <w:rFonts w:eastAsia="Calibri" w:cs="Times New Roman"/>
                <w:b w:val="0"/>
                <w:color w:val="auto"/>
                <w:sz w:val="18"/>
                <w:szCs w:val="18"/>
              </w:rPr>
              <w:t xml:space="preserve"> together 2 full-scale, face-to-</w:t>
            </w:r>
            <w:r w:rsidRPr="00C3677E">
              <w:rPr>
                <w:rFonts w:eastAsia="Calibri" w:cs="Times New Roman"/>
                <w:b w:val="0"/>
                <w:color w:val="auto"/>
                <w:sz w:val="18"/>
                <w:szCs w:val="18"/>
              </w:rPr>
              <w:t>face team meetings with both parents, both IHT team members, the classroom teacher, school counselor, paraprofessional aide, and principal to ensure that services were proceeding as expected and to monitor progress, make changes as needed, and ensure full review of any concerns. When IHT or TT&amp;S communicate with school during their weekly sessions with Youth at school, they consistently re</w:t>
            </w:r>
            <w:r w:rsidRPr="00E82FAB">
              <w:rPr>
                <w:rFonts w:eastAsia="Calibri" w:cs="Times New Roman"/>
                <w:b w:val="0"/>
                <w:color w:val="auto"/>
                <w:sz w:val="18"/>
                <w:szCs w:val="18"/>
              </w:rPr>
              <w:t xml:space="preserve">port all information to </w:t>
            </w:r>
            <w:r w:rsidR="00E82FAB" w:rsidRPr="00E82FAB">
              <w:rPr>
                <w:rFonts w:eastAsia="Calibri" w:cs="Times New Roman"/>
                <w:b w:val="0"/>
                <w:color w:val="auto"/>
                <w:sz w:val="18"/>
                <w:szCs w:val="18"/>
              </w:rPr>
              <w:t>Caregiver</w:t>
            </w:r>
            <w:r w:rsidRPr="00E82FAB">
              <w:rPr>
                <w:rFonts w:eastAsia="Calibri" w:cs="Times New Roman"/>
                <w:b w:val="0"/>
                <w:color w:val="auto"/>
                <w:sz w:val="18"/>
                <w:szCs w:val="18"/>
              </w:rPr>
              <w:t xml:space="preserve">. They follow up similarly when only one </w:t>
            </w:r>
            <w:r w:rsidR="00E82FAB" w:rsidRPr="00E82FAB">
              <w:rPr>
                <w:rFonts w:eastAsia="Calibri" w:cs="Times New Roman"/>
                <w:b w:val="0"/>
                <w:color w:val="auto"/>
                <w:sz w:val="18"/>
                <w:szCs w:val="18"/>
              </w:rPr>
              <w:t>Caregiver</w:t>
            </w:r>
            <w:r w:rsidRPr="00E82FAB">
              <w:rPr>
                <w:rFonts w:eastAsia="Calibri" w:cs="Times New Roman"/>
                <w:b w:val="0"/>
                <w:color w:val="auto"/>
                <w:sz w:val="18"/>
                <w:szCs w:val="18"/>
              </w:rPr>
              <w:t xml:space="preserve"> is able to meet for a home visit. IHT reports as soon as possible to the other </w:t>
            </w:r>
            <w:r w:rsidRPr="00C3677E">
              <w:rPr>
                <w:rFonts w:eastAsia="Calibri" w:cs="Times New Roman"/>
                <w:b w:val="0"/>
                <w:color w:val="auto"/>
                <w:sz w:val="18"/>
                <w:szCs w:val="18"/>
              </w:rPr>
              <w:t>parent about what happened in the session. Every interviewee was able to clearly describe goals, interventions, and progress</w:t>
            </w:r>
            <w:r w:rsidR="00007B32">
              <w:rPr>
                <w:rFonts w:eastAsia="Calibri" w:cs="Times New Roman"/>
                <w:b w:val="0"/>
                <w:color w:val="auto"/>
                <w:sz w:val="18"/>
                <w:szCs w:val="18"/>
              </w:rPr>
              <w:t xml:space="preserve"> across the team</w:t>
            </w:r>
            <w:r w:rsidRPr="00C3677E">
              <w:rPr>
                <w:rFonts w:eastAsia="Calibri" w:cs="Times New Roman"/>
                <w:b w:val="0"/>
                <w:color w:val="auto"/>
                <w:sz w:val="18"/>
                <w:szCs w:val="18"/>
              </w:rPr>
              <w:t>.</w:t>
            </w:r>
          </w:p>
          <w:p w14:paraId="06D35889" w14:textId="77777777" w:rsidR="00C3677E" w:rsidRPr="00C3677E" w:rsidRDefault="00C3677E" w:rsidP="008010E8">
            <w:pPr>
              <w:widowControl w:val="0"/>
              <w:jc w:val="left"/>
              <w:rPr>
                <w:rFonts w:eastAsia="Calibri" w:cs="Times New Roman"/>
                <w:b w:val="0"/>
                <w:color w:val="auto"/>
                <w:sz w:val="18"/>
                <w:szCs w:val="18"/>
              </w:rPr>
            </w:pPr>
          </w:p>
          <w:p w14:paraId="3BC668DA" w14:textId="77777777" w:rsidR="00C3677E" w:rsidRDefault="00C3677E" w:rsidP="00007B32">
            <w:pPr>
              <w:widowControl w:val="0"/>
              <w:jc w:val="left"/>
              <w:rPr>
                <w:rFonts w:eastAsia="Calibri" w:cs="Times New Roman"/>
                <w:b w:val="0"/>
                <w:color w:val="auto"/>
                <w:sz w:val="18"/>
                <w:szCs w:val="18"/>
              </w:rPr>
            </w:pPr>
            <w:r w:rsidRPr="008F2736">
              <w:rPr>
                <w:rFonts w:eastAsia="Calibri" w:cs="Times New Roman"/>
                <w:color w:val="auto"/>
                <w:sz w:val="18"/>
                <w:szCs w:val="18"/>
              </w:rPr>
              <w:lastRenderedPageBreak/>
              <w:t>ICC</w:t>
            </w:r>
            <w:r w:rsidRPr="00C3677E">
              <w:rPr>
                <w:rFonts w:eastAsia="Calibri" w:cs="Times New Roman"/>
                <w:b w:val="0"/>
                <w:color w:val="auto"/>
                <w:sz w:val="18"/>
                <w:szCs w:val="18"/>
              </w:rPr>
              <w:t xml:space="preserve">: </w:t>
            </w:r>
            <w:r w:rsidR="00306393" w:rsidRPr="00306393">
              <w:rPr>
                <w:rFonts w:eastAsia="Calibri" w:cs="Times New Roman"/>
                <w:b w:val="0"/>
                <w:color w:val="auto"/>
                <w:sz w:val="18"/>
                <w:szCs w:val="18"/>
              </w:rPr>
              <w:t xml:space="preserve">ICC has a sophisticated grasp of care coordination. She has brought on new services with </w:t>
            </w:r>
            <w:r w:rsidR="00CF09A5" w:rsidRPr="00306393">
              <w:rPr>
                <w:rFonts w:eastAsia="Calibri" w:cs="Times New Roman"/>
                <w:b w:val="0"/>
                <w:color w:val="auto"/>
                <w:sz w:val="18"/>
                <w:szCs w:val="18"/>
              </w:rPr>
              <w:t>face-to-face</w:t>
            </w:r>
            <w:r w:rsidR="00306393" w:rsidRPr="00306393">
              <w:rPr>
                <w:rFonts w:eastAsia="Calibri" w:cs="Times New Roman"/>
                <w:b w:val="0"/>
                <w:color w:val="auto"/>
                <w:sz w:val="18"/>
                <w:szCs w:val="18"/>
              </w:rPr>
              <w:t xml:space="preserve"> meetings with the new provider, existing providers</w:t>
            </w:r>
            <w:r w:rsidR="00007B32">
              <w:rPr>
                <w:rFonts w:eastAsia="Calibri" w:cs="Times New Roman"/>
                <w:b w:val="0"/>
                <w:color w:val="auto"/>
                <w:sz w:val="18"/>
                <w:szCs w:val="18"/>
              </w:rPr>
              <w:t>,</w:t>
            </w:r>
            <w:r w:rsidR="00306393" w:rsidRPr="00306393">
              <w:rPr>
                <w:rFonts w:eastAsia="Calibri" w:cs="Times New Roman"/>
                <w:b w:val="0"/>
                <w:color w:val="auto"/>
                <w:sz w:val="18"/>
                <w:szCs w:val="18"/>
              </w:rPr>
              <w:t xml:space="preserve"> and Father to share </w:t>
            </w:r>
            <w:r w:rsidR="00CF09A5" w:rsidRPr="00306393">
              <w:rPr>
                <w:rFonts w:eastAsia="Calibri" w:cs="Times New Roman"/>
                <w:b w:val="0"/>
                <w:color w:val="auto"/>
                <w:sz w:val="18"/>
                <w:szCs w:val="18"/>
              </w:rPr>
              <w:t>status</w:t>
            </w:r>
            <w:r w:rsidR="00306393" w:rsidRPr="00306393">
              <w:rPr>
                <w:rFonts w:eastAsia="Calibri" w:cs="Times New Roman"/>
                <w:b w:val="0"/>
                <w:color w:val="auto"/>
                <w:sz w:val="18"/>
                <w:szCs w:val="18"/>
              </w:rPr>
              <w:t xml:space="preserve"> of the work. She maintains a weekly scheduled call with IHT (from a different agency) and meets </w:t>
            </w:r>
            <w:r w:rsidR="00CF09A5" w:rsidRPr="00306393">
              <w:rPr>
                <w:rFonts w:eastAsia="Calibri" w:cs="Times New Roman"/>
                <w:b w:val="0"/>
                <w:color w:val="auto"/>
                <w:sz w:val="18"/>
                <w:szCs w:val="18"/>
              </w:rPr>
              <w:t>face-to-face</w:t>
            </w:r>
            <w:r w:rsidR="00306393" w:rsidRPr="00306393">
              <w:rPr>
                <w:rFonts w:eastAsia="Calibri" w:cs="Times New Roman"/>
                <w:b w:val="0"/>
                <w:color w:val="auto"/>
                <w:sz w:val="18"/>
                <w:szCs w:val="18"/>
              </w:rPr>
              <w:t xml:space="preserve"> weekly with OP (same agency as ICC). In addition to the consultation with OP and the prescriber to sort out Youth's diagnosis, ICC has met with the prescriber to clarify medication needs with the result that medications were reduced from 6 prescriptions to two, which are monitored regularly. With the new school year</w:t>
            </w:r>
            <w:r w:rsidR="00007B32">
              <w:rPr>
                <w:rFonts w:eastAsia="Calibri" w:cs="Times New Roman"/>
                <w:b w:val="0"/>
                <w:color w:val="auto"/>
                <w:sz w:val="18"/>
                <w:szCs w:val="18"/>
              </w:rPr>
              <w:t>, Father has access to daily on</w:t>
            </w:r>
            <w:r w:rsidR="00306393" w:rsidRPr="00306393">
              <w:rPr>
                <w:rFonts w:eastAsia="Calibri" w:cs="Times New Roman"/>
                <w:b w:val="0"/>
                <w:color w:val="auto"/>
                <w:sz w:val="18"/>
                <w:szCs w:val="18"/>
              </w:rPr>
              <w:t>line reports of Youth's achievements and behavior, which he then shares with</w:t>
            </w:r>
            <w:r w:rsidR="00007B32">
              <w:rPr>
                <w:rFonts w:eastAsia="Calibri" w:cs="Times New Roman"/>
                <w:b w:val="0"/>
                <w:color w:val="auto"/>
                <w:sz w:val="18"/>
                <w:szCs w:val="18"/>
              </w:rPr>
              <w:t xml:space="preserve"> the</w:t>
            </w:r>
            <w:r w:rsidR="00306393" w:rsidRPr="00306393">
              <w:rPr>
                <w:rFonts w:eastAsia="Calibri" w:cs="Times New Roman"/>
                <w:b w:val="0"/>
                <w:color w:val="auto"/>
                <w:sz w:val="18"/>
                <w:szCs w:val="18"/>
              </w:rPr>
              <w:t xml:space="preserve"> ICC. Additional evidence of excellent coordination is that during the review, everyone on the team could describe the most up to date situation, the purpose of each service, the efforts to engage mother, and the ways to know when services might end.</w:t>
            </w:r>
          </w:p>
          <w:p w14:paraId="77201CE6" w14:textId="7445FB4B" w:rsidR="00DF32C3" w:rsidRPr="00C3677E" w:rsidRDefault="00DF32C3" w:rsidP="00007B32">
            <w:pPr>
              <w:widowControl w:val="0"/>
              <w:jc w:val="left"/>
              <w:rPr>
                <w:rFonts w:eastAsia="Calibri" w:cs="Times New Roman"/>
                <w:b w:val="0"/>
                <w:color w:val="auto"/>
                <w:sz w:val="18"/>
                <w:szCs w:val="18"/>
              </w:rPr>
            </w:pPr>
          </w:p>
        </w:tc>
        <w:tc>
          <w:tcPr>
            <w:tcW w:w="5125" w:type="dxa"/>
          </w:tcPr>
          <w:p w14:paraId="70FB3AFB" w14:textId="33A7D943" w:rsidR="00C3677E" w:rsidRPr="008E2E6B" w:rsidRDefault="00C3677E"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E2E6B">
              <w:rPr>
                <w:rFonts w:eastAsia="Calibri" w:cs="Times New Roman"/>
                <w:b/>
                <w:sz w:val="18"/>
                <w:szCs w:val="18"/>
              </w:rPr>
              <w:lastRenderedPageBreak/>
              <w:t>IHT</w:t>
            </w:r>
            <w:r w:rsidRPr="008E2E6B">
              <w:rPr>
                <w:rFonts w:eastAsia="Calibri" w:cs="Times New Roman"/>
                <w:sz w:val="18"/>
                <w:szCs w:val="18"/>
              </w:rPr>
              <w:t xml:space="preserve">: IHT worked in the last month to find and pass along to </w:t>
            </w:r>
            <w:r w:rsidR="00CF09A5">
              <w:rPr>
                <w:rFonts w:eastAsia="Calibri" w:cs="Times New Roman"/>
                <w:sz w:val="18"/>
                <w:szCs w:val="18"/>
              </w:rPr>
              <w:t>Caregiver</w:t>
            </w:r>
            <w:r w:rsidRPr="008E2E6B">
              <w:rPr>
                <w:rFonts w:eastAsia="Calibri" w:cs="Times New Roman"/>
                <w:sz w:val="18"/>
                <w:szCs w:val="18"/>
              </w:rPr>
              <w:t xml:space="preserve"> some information about adult services through DDS that might help Youth when he turns 18. Otherwise, </w:t>
            </w:r>
            <w:r w:rsidR="00CF09A5">
              <w:rPr>
                <w:rFonts w:eastAsia="Calibri" w:cs="Times New Roman"/>
                <w:sz w:val="18"/>
                <w:szCs w:val="18"/>
              </w:rPr>
              <w:t>Caregiver</w:t>
            </w:r>
            <w:r w:rsidRPr="008E2E6B">
              <w:rPr>
                <w:rFonts w:eastAsia="Calibri" w:cs="Times New Roman"/>
                <w:sz w:val="18"/>
                <w:szCs w:val="18"/>
              </w:rPr>
              <w:t xml:space="preserve"> is the conduit for all information with school and prescriber. This was described as more of an accident t</w:t>
            </w:r>
            <w:r w:rsidR="00007B32">
              <w:rPr>
                <w:rFonts w:eastAsia="Calibri" w:cs="Times New Roman"/>
                <w:sz w:val="18"/>
                <w:szCs w:val="18"/>
              </w:rPr>
              <w:t>han a plan. A major concern in c</w:t>
            </w:r>
            <w:r w:rsidRPr="008E2E6B">
              <w:rPr>
                <w:rFonts w:eastAsia="Calibri" w:cs="Times New Roman"/>
                <w:sz w:val="18"/>
                <w:szCs w:val="18"/>
              </w:rPr>
              <w:t>oordination is the complete lack of it with the OP therapist. Evidence suggests that they are both working on similar goals with Youth, but they have never shared insights, compared approaches, or in any way coordinated their work. Neither provider interviewed could describe what the other is doing. In addition, t</w:t>
            </w:r>
            <w:r w:rsidR="00CF09A5">
              <w:rPr>
                <w:rFonts w:eastAsia="Calibri" w:cs="Times New Roman"/>
                <w:sz w:val="18"/>
                <w:szCs w:val="18"/>
              </w:rPr>
              <w:t>here is a counselor</w:t>
            </w:r>
            <w:r w:rsidRPr="008E2E6B">
              <w:rPr>
                <w:rFonts w:eastAsia="Calibri" w:cs="Times New Roman"/>
                <w:sz w:val="18"/>
                <w:szCs w:val="18"/>
              </w:rPr>
              <w:t xml:space="preserve"> at school who is described as working on similar issues but who has not been consulted at all. Similarly, natural supports are not all given access to what is happening. Father is not engaged, or even informed, despite hi</w:t>
            </w:r>
            <w:r w:rsidR="00007B32">
              <w:rPr>
                <w:rFonts w:eastAsia="Calibri" w:cs="Times New Roman"/>
                <w:sz w:val="18"/>
                <w:szCs w:val="18"/>
              </w:rPr>
              <w:t>s part-time caregiving role. Youth’s grandfather</w:t>
            </w:r>
            <w:r w:rsidRPr="008E2E6B">
              <w:rPr>
                <w:rFonts w:eastAsia="Calibri" w:cs="Times New Roman"/>
                <w:sz w:val="18"/>
                <w:szCs w:val="18"/>
              </w:rPr>
              <w:t xml:space="preserve"> is not engaged despite living in the same house with </w:t>
            </w:r>
            <w:r w:rsidR="00007B32">
              <w:rPr>
                <w:rFonts w:eastAsia="Calibri" w:cs="Times New Roman"/>
                <w:sz w:val="18"/>
                <w:szCs w:val="18"/>
              </w:rPr>
              <w:t xml:space="preserve">the family. </w:t>
            </w:r>
          </w:p>
          <w:p w14:paraId="5F4ADC3D" w14:textId="17F22787" w:rsidR="000074A8" w:rsidRDefault="000074A8" w:rsidP="000074A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E2E6B">
              <w:rPr>
                <w:rFonts w:eastAsia="Calibri" w:cs="Times New Roman"/>
                <w:b/>
                <w:sz w:val="18"/>
                <w:szCs w:val="18"/>
              </w:rPr>
              <w:lastRenderedPageBreak/>
              <w:t>ICC</w:t>
            </w:r>
            <w:r w:rsidRPr="008E2E6B">
              <w:rPr>
                <w:rFonts w:eastAsia="Calibri" w:cs="Times New Roman"/>
                <w:sz w:val="18"/>
                <w:szCs w:val="18"/>
              </w:rPr>
              <w:t xml:space="preserve">: ICC sees himself and </w:t>
            </w:r>
            <w:r w:rsidR="00E82FAB">
              <w:rPr>
                <w:rFonts w:eastAsia="Calibri" w:cs="Times New Roman"/>
                <w:sz w:val="18"/>
                <w:szCs w:val="18"/>
              </w:rPr>
              <w:t>Caregiver</w:t>
            </w:r>
            <w:r w:rsidR="00E82FAB" w:rsidRPr="008E2E6B">
              <w:rPr>
                <w:rFonts w:eastAsia="Calibri" w:cs="Times New Roman"/>
                <w:sz w:val="18"/>
                <w:szCs w:val="18"/>
              </w:rPr>
              <w:t xml:space="preserve"> </w:t>
            </w:r>
            <w:r w:rsidRPr="008E2E6B">
              <w:rPr>
                <w:rFonts w:eastAsia="Calibri" w:cs="Times New Roman"/>
                <w:sz w:val="18"/>
                <w:szCs w:val="18"/>
              </w:rPr>
              <w:t xml:space="preserve">as responsible for coordination of care. The ICC is not facilitating ongoing, effective communication among team members outside of the ICP meetings; however, there is evidence other team members are coordinating care on their own. For example, TM talks with </w:t>
            </w:r>
            <w:r w:rsidR="00E82FAB">
              <w:rPr>
                <w:rFonts w:eastAsia="Calibri" w:cs="Times New Roman"/>
                <w:sz w:val="18"/>
                <w:szCs w:val="18"/>
              </w:rPr>
              <w:t>Caregiver</w:t>
            </w:r>
            <w:r w:rsidRPr="008E2E6B">
              <w:rPr>
                <w:rFonts w:eastAsia="Calibri" w:cs="Times New Roman"/>
                <w:sz w:val="18"/>
                <w:szCs w:val="18"/>
              </w:rPr>
              <w:t xml:space="preserve"> weekly, as well as with the school staff. Cohesion of interventions by all providers seems lacking and natural supports are not included in planning or intervention. </w:t>
            </w:r>
            <w:r w:rsidR="00DF32C3">
              <w:rPr>
                <w:rFonts w:eastAsia="Calibri" w:cs="Times New Roman"/>
                <w:sz w:val="18"/>
                <w:szCs w:val="18"/>
              </w:rPr>
              <w:t>IC</w:t>
            </w:r>
            <w:r w:rsidRPr="008E2E6B">
              <w:rPr>
                <w:rFonts w:eastAsia="Calibri" w:cs="Times New Roman"/>
                <w:sz w:val="18"/>
                <w:szCs w:val="18"/>
              </w:rPr>
              <w:t>C did not share substantive information with the team. For example, DCF did not appear to know the reason for the current IHT referral.</w:t>
            </w:r>
            <w:r w:rsidR="00007B32">
              <w:rPr>
                <w:rFonts w:eastAsia="Calibri" w:cs="Times New Roman"/>
                <w:sz w:val="18"/>
                <w:szCs w:val="18"/>
              </w:rPr>
              <w:t xml:space="preserve"> </w:t>
            </w:r>
            <w:r w:rsidR="00007B32" w:rsidRPr="008E2E6B">
              <w:rPr>
                <w:rFonts w:eastAsia="Calibri" w:cs="Times New Roman"/>
                <w:sz w:val="18"/>
                <w:szCs w:val="18"/>
              </w:rPr>
              <w:t>There is poor communication between the ICC and</w:t>
            </w:r>
            <w:r w:rsidR="00007B32">
              <w:rPr>
                <w:rFonts w:eastAsia="Calibri" w:cs="Times New Roman"/>
                <w:sz w:val="18"/>
                <w:szCs w:val="18"/>
              </w:rPr>
              <w:t xml:space="preserve"> Caregiver</w:t>
            </w:r>
            <w:r w:rsidR="00007B32" w:rsidRPr="008E2E6B">
              <w:rPr>
                <w:rFonts w:eastAsia="Calibri" w:cs="Times New Roman"/>
                <w:sz w:val="18"/>
                <w:szCs w:val="18"/>
              </w:rPr>
              <w:t xml:space="preserve">. ICC indicates that care coordination is "just right" while it is evident that </w:t>
            </w:r>
            <w:r w:rsidR="00007B32">
              <w:rPr>
                <w:rFonts w:eastAsia="Calibri" w:cs="Times New Roman"/>
                <w:sz w:val="18"/>
                <w:szCs w:val="18"/>
              </w:rPr>
              <w:t>Caregiver</w:t>
            </w:r>
            <w:r w:rsidR="00DF32C3">
              <w:rPr>
                <w:rFonts w:eastAsia="Calibri" w:cs="Times New Roman"/>
                <w:sz w:val="18"/>
                <w:szCs w:val="18"/>
              </w:rPr>
              <w:t xml:space="preserve"> does not see the value of the ICC and would prefer to end services</w:t>
            </w:r>
            <w:r w:rsidR="00007B32" w:rsidRPr="008E2E6B">
              <w:rPr>
                <w:rFonts w:eastAsia="Calibri" w:cs="Times New Roman"/>
                <w:sz w:val="18"/>
                <w:szCs w:val="18"/>
              </w:rPr>
              <w:t>.</w:t>
            </w:r>
          </w:p>
          <w:p w14:paraId="18DF5DEB" w14:textId="7839DFC7" w:rsidR="00007B32" w:rsidRPr="008E2E6B" w:rsidRDefault="00007B32" w:rsidP="000074A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tc>
      </w:tr>
      <w:tr w:rsidR="004948C8" w14:paraId="57DB89CD" w14:textId="77777777" w:rsidTr="008F273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255" w:type="dxa"/>
            <w:gridSpan w:val="2"/>
            <w:tcBorders>
              <w:left w:val="none" w:sz="0" w:space="0" w:color="auto"/>
            </w:tcBorders>
            <w:shd w:val="clear" w:color="auto" w:fill="EAB290" w:themeFill="accent2" w:themeFillTint="99"/>
          </w:tcPr>
          <w:p w14:paraId="7536F17F" w14:textId="7F7BA957" w:rsidR="004948C8" w:rsidRPr="004948C8" w:rsidRDefault="004948C8" w:rsidP="004948C8">
            <w:pPr>
              <w:widowControl w:val="0"/>
              <w:jc w:val="center"/>
              <w:rPr>
                <w:rFonts w:eastAsia="Calibri" w:cs="Times New Roman"/>
                <w:sz w:val="22"/>
                <w:szCs w:val="22"/>
              </w:rPr>
            </w:pPr>
            <w:r w:rsidRPr="004948C8">
              <w:rPr>
                <w:rFonts w:eastAsia="Calibri" w:cs="Times New Roman"/>
                <w:sz w:val="22"/>
                <w:szCs w:val="22"/>
              </w:rPr>
              <w:lastRenderedPageBreak/>
              <w:t>Transition</w:t>
            </w:r>
          </w:p>
        </w:tc>
      </w:tr>
      <w:tr w:rsidR="00C3677E" w14:paraId="376AC6E1" w14:textId="77777777" w:rsidTr="008F2736">
        <w:trPr>
          <w:trHeight w:val="1134"/>
        </w:trPr>
        <w:tc>
          <w:tcPr>
            <w:cnfStyle w:val="001000000000" w:firstRow="0" w:lastRow="0" w:firstColumn="1" w:lastColumn="0" w:oddVBand="0" w:evenVBand="0" w:oddHBand="0" w:evenHBand="0" w:firstRowFirstColumn="0" w:firstRowLastColumn="0" w:lastRowFirstColumn="0" w:lastRowLastColumn="0"/>
            <w:tcW w:w="5130" w:type="dxa"/>
            <w:tcBorders>
              <w:left w:val="none" w:sz="0" w:space="0" w:color="auto"/>
            </w:tcBorders>
            <w:shd w:val="clear" w:color="auto" w:fill="F8E5DA" w:themeFill="accent2" w:themeFillTint="33"/>
          </w:tcPr>
          <w:p w14:paraId="741281B3" w14:textId="568F3EC8" w:rsidR="00C3677E" w:rsidRPr="00C3677E" w:rsidRDefault="00C3677E" w:rsidP="008010E8">
            <w:pPr>
              <w:widowControl w:val="0"/>
              <w:jc w:val="left"/>
              <w:rPr>
                <w:rFonts w:eastAsia="Calibri" w:cs="Times New Roman"/>
                <w:b w:val="0"/>
                <w:color w:val="auto"/>
                <w:sz w:val="18"/>
                <w:szCs w:val="18"/>
              </w:rPr>
            </w:pPr>
            <w:r w:rsidRPr="008F2736">
              <w:rPr>
                <w:rFonts w:eastAsia="Calibri" w:cs="Times New Roman"/>
                <w:color w:val="auto"/>
                <w:sz w:val="18"/>
                <w:szCs w:val="18"/>
              </w:rPr>
              <w:t>IHT</w:t>
            </w:r>
            <w:r w:rsidRPr="00C3677E">
              <w:rPr>
                <w:rFonts w:eastAsia="Calibri" w:cs="Times New Roman"/>
                <w:b w:val="0"/>
                <w:color w:val="auto"/>
                <w:sz w:val="18"/>
                <w:szCs w:val="18"/>
              </w:rPr>
              <w:t>: The preparation to exit began with the explanation of IHT servi</w:t>
            </w:r>
            <w:r w:rsidR="00831F8D">
              <w:rPr>
                <w:rFonts w:eastAsia="Calibri" w:cs="Times New Roman"/>
                <w:b w:val="0"/>
                <w:color w:val="auto"/>
                <w:sz w:val="18"/>
                <w:szCs w:val="18"/>
              </w:rPr>
              <w:t xml:space="preserve">ces at the start and then </w:t>
            </w:r>
            <w:r w:rsidRPr="00C3677E">
              <w:rPr>
                <w:rFonts w:eastAsia="Calibri" w:cs="Times New Roman"/>
                <w:b w:val="0"/>
                <w:color w:val="auto"/>
                <w:sz w:val="18"/>
                <w:szCs w:val="18"/>
              </w:rPr>
              <w:t>ramped up to an ongoing discussion of progress and nex</w:t>
            </w:r>
            <w:r w:rsidR="00831F8D">
              <w:rPr>
                <w:rFonts w:eastAsia="Calibri" w:cs="Times New Roman"/>
                <w:b w:val="0"/>
                <w:color w:val="auto"/>
                <w:sz w:val="18"/>
                <w:szCs w:val="18"/>
              </w:rPr>
              <w:t>t steps, as the initial goal had</w:t>
            </w:r>
            <w:r w:rsidRPr="00C3677E">
              <w:rPr>
                <w:rFonts w:eastAsia="Calibri" w:cs="Times New Roman"/>
                <w:b w:val="0"/>
                <w:color w:val="auto"/>
                <w:sz w:val="18"/>
                <w:szCs w:val="18"/>
              </w:rPr>
              <w:t xml:space="preserve"> been achieved. The IHT team has relied throughout the intervention on clear measures of progress at school (numbers of incidents, positive peer interactions</w:t>
            </w:r>
            <w:r w:rsidR="001E3EB6">
              <w:rPr>
                <w:rFonts w:eastAsia="Calibri" w:cs="Times New Roman"/>
                <w:b w:val="0"/>
                <w:color w:val="auto"/>
                <w:sz w:val="18"/>
                <w:szCs w:val="18"/>
              </w:rPr>
              <w:t>,</w:t>
            </w:r>
            <w:r w:rsidRPr="00C3677E">
              <w:rPr>
                <w:rFonts w:eastAsia="Calibri" w:cs="Times New Roman"/>
                <w:b w:val="0"/>
                <w:color w:val="auto"/>
                <w:sz w:val="18"/>
                <w:szCs w:val="18"/>
              </w:rPr>
              <w:t xml:space="preserve"> </w:t>
            </w:r>
            <w:r w:rsidR="00CF09A5" w:rsidRPr="00C3677E">
              <w:rPr>
                <w:rFonts w:eastAsia="Calibri" w:cs="Times New Roman"/>
                <w:b w:val="0"/>
                <w:color w:val="auto"/>
                <w:sz w:val="18"/>
                <w:szCs w:val="18"/>
              </w:rPr>
              <w:t>etc.</w:t>
            </w:r>
            <w:r w:rsidRPr="00C3677E">
              <w:rPr>
                <w:rFonts w:eastAsia="Calibri" w:cs="Times New Roman"/>
                <w:b w:val="0"/>
                <w:color w:val="auto"/>
                <w:sz w:val="18"/>
                <w:szCs w:val="18"/>
              </w:rPr>
              <w:t xml:space="preserve">) in addition to self-report by both </w:t>
            </w:r>
            <w:r w:rsidR="00831F8D">
              <w:rPr>
                <w:rFonts w:eastAsia="Calibri" w:cs="Times New Roman"/>
                <w:b w:val="0"/>
                <w:color w:val="auto"/>
                <w:sz w:val="18"/>
                <w:szCs w:val="18"/>
              </w:rPr>
              <w:t>Caregiver</w:t>
            </w:r>
            <w:r w:rsidRPr="00C3677E">
              <w:rPr>
                <w:rFonts w:eastAsia="Calibri" w:cs="Times New Roman"/>
                <w:b w:val="0"/>
                <w:color w:val="auto"/>
                <w:sz w:val="18"/>
                <w:szCs w:val="18"/>
              </w:rPr>
              <w:t xml:space="preserve"> and Youth about behavior at home. Measures have also been verified by team observation at minimum 2x per week. IHT and the family have a plan to step down to weekly individual outpatient therapy to take place at school and a Therapeutic Mentor to continue modeling positive social interactions, with OP as hub.</w:t>
            </w:r>
          </w:p>
          <w:p w14:paraId="5A6EC5F9" w14:textId="77777777" w:rsidR="00C3677E" w:rsidRPr="00C3677E" w:rsidRDefault="00C3677E" w:rsidP="008010E8">
            <w:pPr>
              <w:widowControl w:val="0"/>
              <w:jc w:val="left"/>
              <w:rPr>
                <w:rFonts w:eastAsia="Calibri" w:cs="Times New Roman"/>
                <w:b w:val="0"/>
                <w:color w:val="auto"/>
                <w:sz w:val="18"/>
                <w:szCs w:val="18"/>
              </w:rPr>
            </w:pPr>
          </w:p>
          <w:p w14:paraId="65231782" w14:textId="77777777" w:rsidR="00C3677E" w:rsidRDefault="00C3677E" w:rsidP="00306393">
            <w:pPr>
              <w:widowControl w:val="0"/>
              <w:jc w:val="left"/>
              <w:rPr>
                <w:rFonts w:eastAsia="Calibri" w:cs="Times New Roman"/>
                <w:b w:val="0"/>
                <w:color w:val="auto"/>
                <w:sz w:val="18"/>
                <w:szCs w:val="18"/>
              </w:rPr>
            </w:pPr>
            <w:r w:rsidRPr="008F2736">
              <w:rPr>
                <w:rFonts w:eastAsia="Calibri" w:cs="Times New Roman"/>
                <w:color w:val="auto"/>
                <w:sz w:val="18"/>
                <w:szCs w:val="18"/>
              </w:rPr>
              <w:t>ICC</w:t>
            </w:r>
            <w:r w:rsidRPr="00C3677E">
              <w:rPr>
                <w:rFonts w:eastAsia="Calibri" w:cs="Times New Roman"/>
                <w:b w:val="0"/>
                <w:color w:val="auto"/>
                <w:sz w:val="18"/>
                <w:szCs w:val="18"/>
              </w:rPr>
              <w:t xml:space="preserve">: </w:t>
            </w:r>
            <w:r w:rsidR="00306393" w:rsidRPr="00306393">
              <w:rPr>
                <w:rFonts w:eastAsia="Calibri" w:cs="Times New Roman"/>
                <w:b w:val="0"/>
                <w:color w:val="auto"/>
                <w:sz w:val="18"/>
                <w:szCs w:val="18"/>
              </w:rPr>
              <w:t>Transition from the first school (where Youth had been mainstreamed without success) to the new school with appropriate Special Ed services was the primary focus of the work at the start. The ICC and Family Partner team did an excellent job of building their understanding of the Youth's needs, consulting with DCF, sharing their understanding with the schools, and advocating in the new school district for the full range of Special Education services that the Youth needs to support his academic, emotional, and medical needs. They were very sensitive to the predicament of the parents who felt that they and their son were treated unfairly by the first school but who also had no idea of the</w:t>
            </w:r>
            <w:r w:rsidR="00306393">
              <w:rPr>
                <w:rFonts w:eastAsia="Calibri" w:cs="Times New Roman"/>
                <w:b w:val="0"/>
                <w:color w:val="auto"/>
                <w:sz w:val="18"/>
                <w:szCs w:val="18"/>
              </w:rPr>
              <w:t xml:space="preserve">ir rights or ways to advocate. </w:t>
            </w:r>
            <w:r w:rsidR="00306393" w:rsidRPr="00306393">
              <w:rPr>
                <w:rFonts w:eastAsia="Calibri" w:cs="Times New Roman"/>
                <w:b w:val="0"/>
                <w:color w:val="auto"/>
                <w:sz w:val="18"/>
                <w:szCs w:val="18"/>
              </w:rPr>
              <w:t>The many staff changes during this brief intervention, whether caused by the family's move or by staff turnover, were handled smoothly, with an especially seamless transition of ICC. The new ICC picked up exactly where the first ICC left off and, with some overlap to be introduced to the team, carried on with the plan</w:t>
            </w:r>
            <w:r w:rsidR="00306393">
              <w:rPr>
                <w:rFonts w:eastAsia="Calibri" w:cs="Times New Roman"/>
                <w:b w:val="0"/>
                <w:color w:val="auto"/>
                <w:sz w:val="18"/>
                <w:szCs w:val="18"/>
              </w:rPr>
              <w:t xml:space="preserve">ned CPTs and care coordination. </w:t>
            </w:r>
            <w:r w:rsidR="00306393" w:rsidRPr="00306393">
              <w:rPr>
                <w:rFonts w:eastAsia="Calibri" w:cs="Times New Roman"/>
                <w:b w:val="0"/>
                <w:color w:val="auto"/>
                <w:sz w:val="18"/>
                <w:szCs w:val="18"/>
              </w:rPr>
              <w:t xml:space="preserve">Transition out of ICC has also been well planned for and coordinated. Indicators for transition included: better understanding of the Youth's conditions shared with the whole team, demonstrated confidence by the </w:t>
            </w:r>
            <w:r w:rsidR="00CF09A5">
              <w:rPr>
                <w:rFonts w:eastAsia="Calibri" w:cs="Times New Roman"/>
                <w:b w:val="0"/>
                <w:color w:val="auto"/>
                <w:sz w:val="18"/>
                <w:szCs w:val="18"/>
              </w:rPr>
              <w:t>Caregiver</w:t>
            </w:r>
            <w:r w:rsidR="00306393" w:rsidRPr="00306393">
              <w:rPr>
                <w:rFonts w:eastAsia="Calibri" w:cs="Times New Roman"/>
                <w:b w:val="0"/>
                <w:color w:val="auto"/>
                <w:sz w:val="18"/>
                <w:szCs w:val="18"/>
              </w:rPr>
              <w:t>s in advocating for themselves, on-going behavioral health services for Youth established, and success in the new school's more supportive environment sustained for at least a month. The whole intervention is planned to last for about 6 months.</w:t>
            </w:r>
          </w:p>
          <w:p w14:paraId="6F3FABA7" w14:textId="77777777" w:rsidR="00B62E8A" w:rsidRDefault="00B62E8A" w:rsidP="00306393">
            <w:pPr>
              <w:widowControl w:val="0"/>
              <w:jc w:val="left"/>
              <w:rPr>
                <w:rFonts w:eastAsia="Calibri" w:cs="Times New Roman"/>
                <w:b w:val="0"/>
                <w:color w:val="auto"/>
                <w:sz w:val="18"/>
                <w:szCs w:val="18"/>
              </w:rPr>
            </w:pPr>
          </w:p>
          <w:p w14:paraId="14112B3B" w14:textId="77777777" w:rsidR="00B62E8A" w:rsidRDefault="00B62E8A" w:rsidP="00306393">
            <w:pPr>
              <w:widowControl w:val="0"/>
              <w:jc w:val="left"/>
              <w:rPr>
                <w:rFonts w:eastAsia="Calibri" w:cs="Times New Roman"/>
                <w:b w:val="0"/>
                <w:color w:val="auto"/>
                <w:sz w:val="18"/>
                <w:szCs w:val="18"/>
              </w:rPr>
            </w:pPr>
          </w:p>
          <w:p w14:paraId="14D03214" w14:textId="77777777" w:rsidR="00B62E8A" w:rsidRDefault="00B62E8A" w:rsidP="00306393">
            <w:pPr>
              <w:widowControl w:val="0"/>
              <w:jc w:val="left"/>
              <w:rPr>
                <w:rFonts w:eastAsia="Calibri" w:cs="Times New Roman"/>
                <w:b w:val="0"/>
                <w:color w:val="auto"/>
                <w:sz w:val="18"/>
                <w:szCs w:val="18"/>
              </w:rPr>
            </w:pPr>
          </w:p>
          <w:p w14:paraId="2903599A" w14:textId="2FD4E133" w:rsidR="00B62E8A" w:rsidRPr="00C3677E" w:rsidRDefault="00B62E8A" w:rsidP="00306393">
            <w:pPr>
              <w:widowControl w:val="0"/>
              <w:jc w:val="left"/>
              <w:rPr>
                <w:rFonts w:eastAsia="Calibri" w:cs="Times New Roman"/>
                <w:b w:val="0"/>
                <w:color w:val="auto"/>
                <w:sz w:val="18"/>
                <w:szCs w:val="18"/>
              </w:rPr>
            </w:pPr>
          </w:p>
        </w:tc>
        <w:tc>
          <w:tcPr>
            <w:tcW w:w="5125" w:type="dxa"/>
            <w:shd w:val="clear" w:color="auto" w:fill="FFFFFF" w:themeFill="background1"/>
          </w:tcPr>
          <w:p w14:paraId="544EEBDD" w14:textId="0C9781D5" w:rsidR="00C3677E" w:rsidRDefault="00C3677E"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F2736">
              <w:rPr>
                <w:rFonts w:eastAsia="Calibri" w:cs="Times New Roman"/>
                <w:b/>
                <w:sz w:val="18"/>
                <w:szCs w:val="18"/>
              </w:rPr>
              <w:t>IHT</w:t>
            </w:r>
            <w:r>
              <w:rPr>
                <w:rFonts w:eastAsia="Calibri" w:cs="Times New Roman"/>
                <w:sz w:val="18"/>
                <w:szCs w:val="18"/>
              </w:rPr>
              <w:t xml:space="preserve">: </w:t>
            </w:r>
            <w:r w:rsidRPr="00A774E5">
              <w:rPr>
                <w:rFonts w:eastAsia="Calibri" w:cs="Times New Roman"/>
                <w:sz w:val="18"/>
                <w:szCs w:val="18"/>
              </w:rPr>
              <w:t>There appears to have been no consideration of the transitions in Youth's life that happened immediatel</w:t>
            </w:r>
            <w:r w:rsidR="00F974C1">
              <w:rPr>
                <w:rFonts w:eastAsia="Calibri" w:cs="Times New Roman"/>
                <w:sz w:val="18"/>
                <w:szCs w:val="18"/>
              </w:rPr>
              <w:t>y prior to IHT service opening -</w:t>
            </w:r>
            <w:r w:rsidRPr="00A774E5">
              <w:rPr>
                <w:rFonts w:eastAsia="Calibri" w:cs="Times New Roman"/>
                <w:sz w:val="18"/>
                <w:szCs w:val="18"/>
              </w:rPr>
              <w:t xml:space="preserve"> move to a new school, move into a shelter, and functional loss of a parent. Although one of Youth's goals (decrease in anxiety) was stated in a measurable way, progress towards that goal does not appear to have been tracked or evaluated. There appears to be no timeline for when services will end, nor has there been any discussion with </w:t>
            </w:r>
            <w:r w:rsidR="00CF09A5">
              <w:rPr>
                <w:rFonts w:eastAsia="Calibri" w:cs="Times New Roman"/>
                <w:sz w:val="18"/>
                <w:szCs w:val="18"/>
              </w:rPr>
              <w:t>Caregiver</w:t>
            </w:r>
            <w:r w:rsidRPr="00A774E5">
              <w:rPr>
                <w:rFonts w:eastAsia="Calibri" w:cs="Times New Roman"/>
                <w:sz w:val="18"/>
                <w:szCs w:val="18"/>
              </w:rPr>
              <w:t xml:space="preserve"> about when that might occur. IHT thought services might end after Mother's court appearances ended, although that was completely unrelated to any of the stated goals.</w:t>
            </w:r>
          </w:p>
          <w:p w14:paraId="3C62B33A" w14:textId="77777777" w:rsidR="00C3677E" w:rsidRDefault="00C3677E"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2D86CF8F" w14:textId="52EE7835" w:rsidR="00C3677E" w:rsidRDefault="00C3677E" w:rsidP="00CF09A5">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F2736">
              <w:rPr>
                <w:rFonts w:eastAsia="Calibri" w:cs="Times New Roman"/>
                <w:b/>
                <w:sz w:val="18"/>
                <w:szCs w:val="18"/>
              </w:rPr>
              <w:t>ICC</w:t>
            </w:r>
            <w:r>
              <w:rPr>
                <w:rFonts w:eastAsia="Calibri" w:cs="Times New Roman"/>
                <w:sz w:val="18"/>
                <w:szCs w:val="18"/>
              </w:rPr>
              <w:t xml:space="preserve">: </w:t>
            </w:r>
            <w:r w:rsidR="00C91594" w:rsidRPr="00C91594">
              <w:rPr>
                <w:rFonts w:eastAsia="Calibri" w:cs="Times New Roman"/>
                <w:sz w:val="18"/>
                <w:szCs w:val="18"/>
              </w:rPr>
              <w:t xml:space="preserve"> Youth started at a new school </w:t>
            </w:r>
            <w:r w:rsidR="00F974C1">
              <w:rPr>
                <w:rFonts w:eastAsia="Calibri" w:cs="Times New Roman"/>
                <w:sz w:val="18"/>
                <w:szCs w:val="18"/>
              </w:rPr>
              <w:t xml:space="preserve">just as both ICC and IHT services ended. </w:t>
            </w:r>
            <w:r w:rsidR="00F974C1" w:rsidRPr="00C91594">
              <w:rPr>
                <w:rFonts w:eastAsia="Calibri" w:cs="Times New Roman"/>
                <w:sz w:val="18"/>
                <w:szCs w:val="18"/>
              </w:rPr>
              <w:t xml:space="preserve">There is no documentation that ICC facilitated youth's transition to the </w:t>
            </w:r>
            <w:r w:rsidR="00F974C1">
              <w:rPr>
                <w:rFonts w:eastAsia="Calibri" w:cs="Times New Roman"/>
                <w:sz w:val="18"/>
                <w:szCs w:val="18"/>
              </w:rPr>
              <w:t xml:space="preserve">new school.  </w:t>
            </w:r>
            <w:r w:rsidR="00C91594" w:rsidRPr="00C91594">
              <w:rPr>
                <w:rFonts w:eastAsia="Calibri" w:cs="Times New Roman"/>
                <w:sz w:val="18"/>
                <w:szCs w:val="18"/>
              </w:rPr>
              <w:t xml:space="preserve">ICC referred youth to OPT as part of after care plan, with the understanding that the OPT would refer the youth for psychiatric/medication assessment.  </w:t>
            </w:r>
            <w:r w:rsidR="00E82FAB">
              <w:rPr>
                <w:rFonts w:eastAsia="Calibri" w:cs="Times New Roman"/>
                <w:sz w:val="18"/>
                <w:szCs w:val="18"/>
              </w:rPr>
              <w:t>Caregiver</w:t>
            </w:r>
            <w:r w:rsidR="00C91594" w:rsidRPr="00C91594">
              <w:rPr>
                <w:rFonts w:eastAsia="Calibri" w:cs="Times New Roman"/>
                <w:sz w:val="18"/>
                <w:szCs w:val="18"/>
              </w:rPr>
              <w:t xml:space="preserve"> states that there was "no discussion"</w:t>
            </w:r>
            <w:r w:rsidR="00F974C1">
              <w:rPr>
                <w:rFonts w:eastAsia="Calibri" w:cs="Times New Roman"/>
                <w:sz w:val="18"/>
                <w:szCs w:val="18"/>
              </w:rPr>
              <w:t xml:space="preserve"> about</w:t>
            </w:r>
            <w:r w:rsidR="00C91594" w:rsidRPr="00C91594">
              <w:rPr>
                <w:rFonts w:eastAsia="Calibri" w:cs="Times New Roman"/>
                <w:sz w:val="18"/>
                <w:szCs w:val="18"/>
              </w:rPr>
              <w:t xml:space="preserve"> ICC closi</w:t>
            </w:r>
            <w:r w:rsidR="00F974C1">
              <w:rPr>
                <w:rFonts w:eastAsia="Calibri" w:cs="Times New Roman"/>
                <w:sz w:val="18"/>
                <w:szCs w:val="18"/>
              </w:rPr>
              <w:t xml:space="preserve">ng but she was informed that they </w:t>
            </w:r>
            <w:r w:rsidR="00C91594" w:rsidRPr="00C91594">
              <w:rPr>
                <w:rFonts w:eastAsia="Calibri" w:cs="Times New Roman"/>
                <w:sz w:val="18"/>
                <w:szCs w:val="18"/>
              </w:rPr>
              <w:t>had to close to "avoid an audit because all goals were met</w:t>
            </w:r>
            <w:r w:rsidR="001E3EB6">
              <w:rPr>
                <w:rFonts w:eastAsia="Calibri" w:cs="Times New Roman"/>
                <w:sz w:val="18"/>
                <w:szCs w:val="18"/>
              </w:rPr>
              <w:t xml:space="preserve">." </w:t>
            </w:r>
            <w:r w:rsidR="00C91594" w:rsidRPr="00C91594">
              <w:rPr>
                <w:rFonts w:eastAsia="Calibri" w:cs="Times New Roman"/>
                <w:sz w:val="18"/>
                <w:szCs w:val="18"/>
              </w:rPr>
              <w:t>ICC indicated in interview that planning for transition began four months ago; however, documentation</w:t>
            </w:r>
            <w:r w:rsidR="00F974C1">
              <w:rPr>
                <w:rFonts w:eastAsia="Calibri" w:cs="Times New Roman"/>
                <w:sz w:val="18"/>
                <w:szCs w:val="18"/>
              </w:rPr>
              <w:t xml:space="preserve"> did not support this process. The youth would also age out of his afterschool program but there wa</w:t>
            </w:r>
            <w:r w:rsidR="00C91594" w:rsidRPr="00C91594">
              <w:rPr>
                <w:rFonts w:eastAsia="Calibri" w:cs="Times New Roman"/>
                <w:sz w:val="18"/>
                <w:szCs w:val="18"/>
              </w:rPr>
              <w:t xml:space="preserve">s </w:t>
            </w:r>
            <w:r w:rsidR="00F974C1">
              <w:rPr>
                <w:rFonts w:eastAsia="Calibri" w:cs="Times New Roman"/>
                <w:sz w:val="18"/>
                <w:szCs w:val="18"/>
              </w:rPr>
              <w:t>n</w:t>
            </w:r>
            <w:r w:rsidR="00C91594" w:rsidRPr="00C91594">
              <w:rPr>
                <w:rFonts w:eastAsia="Calibri" w:cs="Times New Roman"/>
                <w:sz w:val="18"/>
                <w:szCs w:val="18"/>
              </w:rPr>
              <w:t xml:space="preserve">o discussion/planning on the part of the team for alternate programming.  </w:t>
            </w:r>
            <w:r w:rsidR="00CF09A5">
              <w:rPr>
                <w:rFonts w:eastAsia="Calibri" w:cs="Times New Roman"/>
                <w:sz w:val="18"/>
                <w:szCs w:val="18"/>
              </w:rPr>
              <w:t xml:space="preserve">As part of </w:t>
            </w:r>
            <w:r w:rsidR="00C91594" w:rsidRPr="00C91594">
              <w:rPr>
                <w:rFonts w:eastAsia="Calibri" w:cs="Times New Roman"/>
                <w:sz w:val="18"/>
                <w:szCs w:val="18"/>
              </w:rPr>
              <w:t>closing, ICC has referred</w:t>
            </w:r>
            <w:r w:rsidR="00E82FAB">
              <w:rPr>
                <w:rFonts w:eastAsia="Calibri" w:cs="Times New Roman"/>
                <w:sz w:val="18"/>
                <w:szCs w:val="18"/>
              </w:rPr>
              <w:t xml:space="preserve"> Caregiver</w:t>
            </w:r>
            <w:r w:rsidR="00C91594" w:rsidRPr="00C91594">
              <w:rPr>
                <w:rFonts w:eastAsia="Calibri" w:cs="Times New Roman"/>
                <w:sz w:val="18"/>
                <w:szCs w:val="18"/>
              </w:rPr>
              <w:t xml:space="preserve"> to parenti</w:t>
            </w:r>
            <w:r w:rsidR="00CF09A5">
              <w:rPr>
                <w:rFonts w:eastAsia="Calibri" w:cs="Times New Roman"/>
                <w:sz w:val="18"/>
                <w:szCs w:val="18"/>
              </w:rPr>
              <w:t>ng classes which begin next month</w:t>
            </w:r>
            <w:r w:rsidR="00C91594" w:rsidRPr="00C91594">
              <w:rPr>
                <w:rFonts w:eastAsia="Calibri" w:cs="Times New Roman"/>
                <w:sz w:val="18"/>
                <w:szCs w:val="18"/>
              </w:rPr>
              <w:t xml:space="preserve">; </w:t>
            </w:r>
            <w:r w:rsidR="00CF09A5">
              <w:rPr>
                <w:rFonts w:eastAsia="Calibri" w:cs="Times New Roman"/>
                <w:sz w:val="18"/>
                <w:szCs w:val="18"/>
              </w:rPr>
              <w:t>however, it is not clear that Caregiver</w:t>
            </w:r>
            <w:r w:rsidR="00C91594" w:rsidRPr="00C91594">
              <w:rPr>
                <w:rFonts w:eastAsia="Calibri" w:cs="Times New Roman"/>
                <w:sz w:val="18"/>
                <w:szCs w:val="18"/>
              </w:rPr>
              <w:t xml:space="preserve"> can be successful in participati</w:t>
            </w:r>
            <w:r w:rsidR="00CF09A5">
              <w:rPr>
                <w:rFonts w:eastAsia="Calibri" w:cs="Times New Roman"/>
                <w:sz w:val="18"/>
                <w:szCs w:val="18"/>
              </w:rPr>
              <w:t>ng in the classes.  Youth and Caregiver moved to Florida several years ago and then returned the next year</w:t>
            </w:r>
            <w:r w:rsidR="00C91594" w:rsidRPr="00C91594">
              <w:rPr>
                <w:rFonts w:eastAsia="Calibri" w:cs="Times New Roman"/>
                <w:sz w:val="18"/>
                <w:szCs w:val="18"/>
              </w:rPr>
              <w:t>.  There is no documentation relative to the move away or the move back and their relative impact on the youth and family. Transition could be improved by ICC taking a more active role in anticipating transitions and supporting the team in facilitating successful transitions for youth and his family.</w:t>
            </w:r>
          </w:p>
          <w:p w14:paraId="07CF5133" w14:textId="70DEC70A" w:rsidR="00831F8D" w:rsidRPr="00274BBE" w:rsidRDefault="00831F8D" w:rsidP="00CF09A5">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tc>
      </w:tr>
      <w:tr w:rsidR="004948C8" w14:paraId="5262E8FA" w14:textId="77777777" w:rsidTr="008F2736">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0255" w:type="dxa"/>
            <w:gridSpan w:val="2"/>
            <w:tcBorders>
              <w:left w:val="none" w:sz="0" w:space="0" w:color="auto"/>
            </w:tcBorders>
            <w:shd w:val="clear" w:color="auto" w:fill="EAB290" w:themeFill="accent2" w:themeFillTint="99"/>
          </w:tcPr>
          <w:p w14:paraId="5A2B838F" w14:textId="655A9984" w:rsidR="004948C8" w:rsidRPr="004948C8" w:rsidRDefault="004948C8" w:rsidP="004948C8">
            <w:pPr>
              <w:widowControl w:val="0"/>
              <w:jc w:val="center"/>
              <w:rPr>
                <w:rFonts w:eastAsia="Calibri" w:cs="Times New Roman"/>
                <w:sz w:val="22"/>
                <w:szCs w:val="22"/>
              </w:rPr>
            </w:pPr>
            <w:r w:rsidRPr="004948C8">
              <w:rPr>
                <w:rFonts w:eastAsia="Calibri" w:cs="Times New Roman"/>
                <w:sz w:val="22"/>
                <w:szCs w:val="22"/>
              </w:rPr>
              <w:lastRenderedPageBreak/>
              <w:t>Responsiveness</w:t>
            </w:r>
          </w:p>
        </w:tc>
      </w:tr>
      <w:tr w:rsidR="00C3677E" w14:paraId="1F7076D6" w14:textId="77777777" w:rsidTr="008F2736">
        <w:trPr>
          <w:trHeight w:val="1134"/>
        </w:trPr>
        <w:tc>
          <w:tcPr>
            <w:cnfStyle w:val="001000000000" w:firstRow="0" w:lastRow="0" w:firstColumn="1" w:lastColumn="0" w:oddVBand="0" w:evenVBand="0" w:oddHBand="0" w:evenHBand="0" w:firstRowFirstColumn="0" w:firstRowLastColumn="0" w:lastRowFirstColumn="0" w:lastRowLastColumn="0"/>
            <w:tcW w:w="5130" w:type="dxa"/>
            <w:tcBorders>
              <w:left w:val="none" w:sz="0" w:space="0" w:color="auto"/>
            </w:tcBorders>
            <w:shd w:val="clear" w:color="auto" w:fill="FFFFFF" w:themeFill="background1"/>
          </w:tcPr>
          <w:p w14:paraId="41C26EF5" w14:textId="24589778" w:rsidR="00C3677E" w:rsidRPr="00C3677E" w:rsidRDefault="00C3677E" w:rsidP="008010E8">
            <w:pPr>
              <w:widowControl w:val="0"/>
              <w:jc w:val="left"/>
              <w:rPr>
                <w:rFonts w:eastAsia="Calibri" w:cs="Times New Roman"/>
                <w:b w:val="0"/>
                <w:color w:val="auto"/>
                <w:sz w:val="18"/>
                <w:szCs w:val="18"/>
              </w:rPr>
            </w:pPr>
            <w:r w:rsidRPr="008F2736">
              <w:rPr>
                <w:rFonts w:eastAsia="Calibri" w:cs="Times New Roman"/>
                <w:color w:val="auto"/>
                <w:sz w:val="18"/>
                <w:szCs w:val="18"/>
              </w:rPr>
              <w:t>IHT</w:t>
            </w:r>
            <w:r w:rsidRPr="00C3677E">
              <w:rPr>
                <w:rFonts w:eastAsia="Calibri" w:cs="Times New Roman"/>
                <w:b w:val="0"/>
                <w:color w:val="auto"/>
                <w:sz w:val="18"/>
                <w:szCs w:val="18"/>
              </w:rPr>
              <w:t xml:space="preserve">: IHT contacted the family immediately upon referral and, within a week, had their first meeting with the family and a </w:t>
            </w:r>
            <w:r w:rsidR="00CF09A5" w:rsidRPr="00C3677E">
              <w:rPr>
                <w:rFonts w:eastAsia="Calibri" w:cs="Times New Roman"/>
                <w:b w:val="0"/>
                <w:color w:val="auto"/>
                <w:sz w:val="18"/>
                <w:szCs w:val="18"/>
              </w:rPr>
              <w:t>face-to-face</w:t>
            </w:r>
            <w:r w:rsidR="00BE3BAD">
              <w:rPr>
                <w:rFonts w:eastAsia="Calibri" w:cs="Times New Roman"/>
                <w:b w:val="0"/>
                <w:color w:val="auto"/>
                <w:sz w:val="18"/>
                <w:szCs w:val="18"/>
              </w:rPr>
              <w:t xml:space="preserve"> meeting with the school two</w:t>
            </w:r>
            <w:r w:rsidRPr="00C3677E">
              <w:rPr>
                <w:rFonts w:eastAsia="Calibri" w:cs="Times New Roman"/>
                <w:b w:val="0"/>
                <w:color w:val="auto"/>
                <w:sz w:val="18"/>
                <w:szCs w:val="18"/>
              </w:rPr>
              <w:t xml:space="preserve"> days later. Their step-down plan includes OP and TM. Both referrals are in process with the agencies that can best provide the school-based OP and several TM choices (not just self-referral) to help speed up a potential match. IHT is monitoring progress on both. Because scheduling is challenging with the parents' work hours, the team is specifically seeking an OP who will go to the school and has already secured the school's cooperation in providing space for them to meet.</w:t>
            </w:r>
          </w:p>
          <w:p w14:paraId="7831E5D4" w14:textId="77777777" w:rsidR="00C3677E" w:rsidRPr="00C3677E" w:rsidRDefault="00C3677E" w:rsidP="008010E8">
            <w:pPr>
              <w:widowControl w:val="0"/>
              <w:jc w:val="left"/>
              <w:rPr>
                <w:rFonts w:eastAsia="Calibri" w:cs="Times New Roman"/>
                <w:b w:val="0"/>
                <w:color w:val="auto"/>
                <w:sz w:val="18"/>
                <w:szCs w:val="18"/>
              </w:rPr>
            </w:pPr>
          </w:p>
          <w:p w14:paraId="26B483BE" w14:textId="4ED9698A" w:rsidR="00C3677E" w:rsidRPr="00C3677E" w:rsidRDefault="00C3677E" w:rsidP="008010E8">
            <w:pPr>
              <w:widowControl w:val="0"/>
              <w:jc w:val="left"/>
              <w:rPr>
                <w:rFonts w:eastAsia="Calibri" w:cs="Times New Roman"/>
                <w:b w:val="0"/>
                <w:color w:val="auto"/>
                <w:sz w:val="18"/>
                <w:szCs w:val="18"/>
              </w:rPr>
            </w:pPr>
            <w:r w:rsidRPr="008F2736">
              <w:rPr>
                <w:rFonts w:eastAsia="Calibri" w:cs="Times New Roman"/>
                <w:color w:val="auto"/>
                <w:sz w:val="18"/>
                <w:szCs w:val="18"/>
              </w:rPr>
              <w:t>ICC</w:t>
            </w:r>
            <w:r w:rsidRPr="00C3677E">
              <w:rPr>
                <w:rFonts w:eastAsia="Calibri" w:cs="Times New Roman"/>
                <w:b w:val="0"/>
                <w:color w:val="auto"/>
                <w:sz w:val="18"/>
                <w:szCs w:val="18"/>
              </w:rPr>
              <w:t xml:space="preserve">: </w:t>
            </w:r>
            <w:r w:rsidR="00E80C0F" w:rsidRPr="00E80C0F">
              <w:rPr>
                <w:rFonts w:eastAsia="Calibri" w:cs="Times New Roman"/>
                <w:b w:val="0"/>
                <w:color w:val="auto"/>
                <w:sz w:val="18"/>
                <w:szCs w:val="18"/>
              </w:rPr>
              <w:t xml:space="preserve">Initial </w:t>
            </w:r>
            <w:r w:rsidR="00CF09A5" w:rsidRPr="00E80C0F">
              <w:rPr>
                <w:rFonts w:eastAsia="Calibri" w:cs="Times New Roman"/>
                <w:b w:val="0"/>
                <w:color w:val="auto"/>
                <w:sz w:val="18"/>
                <w:szCs w:val="18"/>
              </w:rPr>
              <w:t>face-to-face</w:t>
            </w:r>
            <w:r w:rsidR="00E80C0F" w:rsidRPr="00E80C0F">
              <w:rPr>
                <w:rFonts w:eastAsia="Calibri" w:cs="Times New Roman"/>
                <w:b w:val="0"/>
                <w:color w:val="auto"/>
                <w:sz w:val="18"/>
                <w:szCs w:val="18"/>
              </w:rPr>
              <w:t xml:space="preserve"> meeting took place three days after referral. Referral made for TM as soon as Youth agreed to this - currently anticipating a </w:t>
            </w:r>
            <w:r w:rsidR="00CF09A5" w:rsidRPr="00E80C0F">
              <w:rPr>
                <w:rFonts w:eastAsia="Calibri" w:cs="Times New Roman"/>
                <w:b w:val="0"/>
                <w:color w:val="auto"/>
                <w:sz w:val="18"/>
                <w:szCs w:val="18"/>
              </w:rPr>
              <w:t>three-week</w:t>
            </w:r>
            <w:r w:rsidR="00E80C0F" w:rsidRPr="00E80C0F">
              <w:rPr>
                <w:rFonts w:eastAsia="Calibri" w:cs="Times New Roman"/>
                <w:b w:val="0"/>
                <w:color w:val="auto"/>
                <w:sz w:val="18"/>
                <w:szCs w:val="18"/>
              </w:rPr>
              <w:t xml:space="preserve"> wait for Spanish speaking TM. ICC and FP have been very persistent in ensuring response from Housing Dept. and legal advocates during family's housing crisis.</w:t>
            </w:r>
          </w:p>
          <w:p w14:paraId="59D1D8C4" w14:textId="727FAA48" w:rsidR="00C3677E" w:rsidRPr="00C3677E" w:rsidRDefault="00C3677E" w:rsidP="008010E8">
            <w:pPr>
              <w:widowControl w:val="0"/>
              <w:jc w:val="left"/>
              <w:rPr>
                <w:rFonts w:eastAsia="Calibri" w:cs="Times New Roman"/>
                <w:b w:val="0"/>
                <w:color w:val="auto"/>
                <w:sz w:val="18"/>
                <w:szCs w:val="18"/>
              </w:rPr>
            </w:pPr>
          </w:p>
        </w:tc>
        <w:tc>
          <w:tcPr>
            <w:tcW w:w="5125" w:type="dxa"/>
          </w:tcPr>
          <w:p w14:paraId="54547A86" w14:textId="71155B0B" w:rsidR="00C3677E" w:rsidRPr="008F2736" w:rsidRDefault="00C3677E"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F2736">
              <w:rPr>
                <w:rFonts w:eastAsia="Calibri" w:cs="Times New Roman"/>
                <w:b/>
                <w:sz w:val="18"/>
                <w:szCs w:val="18"/>
              </w:rPr>
              <w:t>IHT</w:t>
            </w:r>
            <w:r w:rsidRPr="008F2736">
              <w:rPr>
                <w:rFonts w:eastAsia="Calibri" w:cs="Times New Roman"/>
                <w:sz w:val="18"/>
                <w:szCs w:val="18"/>
              </w:rPr>
              <w:t xml:space="preserve">: The family waited approximately four months for IHT services to start. The </w:t>
            </w:r>
            <w:r w:rsidR="00CF09A5">
              <w:rPr>
                <w:rFonts w:eastAsia="Calibri" w:cs="Times New Roman"/>
                <w:sz w:val="18"/>
                <w:szCs w:val="18"/>
              </w:rPr>
              <w:t>Caregiver</w:t>
            </w:r>
            <w:r w:rsidRPr="008F2736">
              <w:rPr>
                <w:rFonts w:eastAsia="Calibri" w:cs="Times New Roman"/>
                <w:sz w:val="18"/>
                <w:szCs w:val="18"/>
              </w:rPr>
              <w:t xml:space="preserve"> said she frequently checked in on the status of her referral, because she was desperate and frustrated with the youth's decompensation while waiting. According to the agency, the longer wait may have been indicative of the family only having evening availability. This area could have </w:t>
            </w:r>
            <w:r w:rsidR="00BE3BAD">
              <w:rPr>
                <w:rFonts w:eastAsia="Calibri" w:cs="Times New Roman"/>
                <w:sz w:val="18"/>
                <w:szCs w:val="18"/>
              </w:rPr>
              <w:t xml:space="preserve">also been </w:t>
            </w:r>
            <w:r w:rsidRPr="008F2736">
              <w:rPr>
                <w:rFonts w:eastAsia="Calibri" w:cs="Times New Roman"/>
                <w:sz w:val="18"/>
                <w:szCs w:val="18"/>
              </w:rPr>
              <w:t xml:space="preserve">improved with the provider making appropriate service referrals for the youth and family. For example, conversations were had about a PHP, but </w:t>
            </w:r>
            <w:r w:rsidR="00BE3BAD">
              <w:rPr>
                <w:rFonts w:eastAsia="Calibri" w:cs="Times New Roman"/>
                <w:sz w:val="18"/>
                <w:szCs w:val="18"/>
              </w:rPr>
              <w:t xml:space="preserve">it wasn’t until MCI became involved that a referral was made. </w:t>
            </w:r>
            <w:r w:rsidRPr="008F2736">
              <w:rPr>
                <w:rFonts w:eastAsia="Calibri" w:cs="Times New Roman"/>
                <w:sz w:val="18"/>
                <w:szCs w:val="18"/>
              </w:rPr>
              <w:t xml:space="preserve">Other referrals that </w:t>
            </w:r>
            <w:r w:rsidR="00BE3BAD">
              <w:rPr>
                <w:rFonts w:eastAsia="Calibri" w:cs="Times New Roman"/>
                <w:sz w:val="18"/>
                <w:szCs w:val="18"/>
              </w:rPr>
              <w:t>weren’t met included to help</w:t>
            </w:r>
            <w:r w:rsidRPr="008F2736">
              <w:rPr>
                <w:rFonts w:eastAsia="Calibri" w:cs="Times New Roman"/>
                <w:sz w:val="18"/>
                <w:szCs w:val="18"/>
              </w:rPr>
              <w:t xml:space="preserve"> the </w:t>
            </w:r>
            <w:r w:rsidR="00CF09A5">
              <w:rPr>
                <w:rFonts w:eastAsia="Calibri" w:cs="Times New Roman"/>
                <w:sz w:val="18"/>
                <w:szCs w:val="18"/>
              </w:rPr>
              <w:t>Caregiver</w:t>
            </w:r>
            <w:r w:rsidR="00BE3BAD">
              <w:rPr>
                <w:rFonts w:eastAsia="Calibri" w:cs="Times New Roman"/>
                <w:sz w:val="18"/>
                <w:szCs w:val="18"/>
              </w:rPr>
              <w:t xml:space="preserve"> find an OPT for herself, and </w:t>
            </w:r>
            <w:r w:rsidRPr="008F2736">
              <w:rPr>
                <w:rFonts w:eastAsia="Calibri" w:cs="Times New Roman"/>
                <w:sz w:val="18"/>
                <w:szCs w:val="18"/>
              </w:rPr>
              <w:t>assistance with a referral for a neuro-psychological evaluation that</w:t>
            </w:r>
            <w:r w:rsidR="00BE3BAD">
              <w:rPr>
                <w:rFonts w:eastAsia="Calibri" w:cs="Times New Roman"/>
                <w:sz w:val="18"/>
                <w:szCs w:val="18"/>
              </w:rPr>
              <w:t xml:space="preserve"> had been discussed for </w:t>
            </w:r>
            <w:r w:rsidRPr="008F2736">
              <w:rPr>
                <w:rFonts w:eastAsia="Calibri" w:cs="Times New Roman"/>
                <w:sz w:val="18"/>
                <w:szCs w:val="18"/>
              </w:rPr>
              <w:t>four months.</w:t>
            </w:r>
          </w:p>
          <w:p w14:paraId="700A1023" w14:textId="77777777" w:rsidR="00C3677E" w:rsidRPr="008F2736" w:rsidRDefault="00C3677E"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50ED0BA1" w14:textId="2BC0029E" w:rsidR="00C3677E" w:rsidRDefault="00C3677E" w:rsidP="00BE3BAD">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F2736">
              <w:rPr>
                <w:rFonts w:eastAsia="Calibri" w:cs="Times New Roman"/>
                <w:b/>
                <w:sz w:val="18"/>
                <w:szCs w:val="18"/>
              </w:rPr>
              <w:t>ICC</w:t>
            </w:r>
            <w:r w:rsidRPr="008F2736">
              <w:rPr>
                <w:rFonts w:eastAsia="Calibri" w:cs="Times New Roman"/>
                <w:sz w:val="18"/>
                <w:szCs w:val="18"/>
              </w:rPr>
              <w:t xml:space="preserve">: </w:t>
            </w:r>
            <w:r w:rsidR="00BE3BAD">
              <w:rPr>
                <w:rFonts w:eastAsia="Calibri" w:cs="Times New Roman"/>
                <w:sz w:val="18"/>
                <w:szCs w:val="18"/>
              </w:rPr>
              <w:t xml:space="preserve">The </w:t>
            </w:r>
            <w:r w:rsidR="00C91594" w:rsidRPr="008F2736">
              <w:rPr>
                <w:rFonts w:eastAsia="Calibri" w:cs="Times New Roman"/>
                <w:sz w:val="18"/>
                <w:szCs w:val="18"/>
              </w:rPr>
              <w:t xml:space="preserve">Mother </w:t>
            </w:r>
            <w:r w:rsidR="00BE3BAD">
              <w:rPr>
                <w:rFonts w:eastAsia="Calibri" w:cs="Times New Roman"/>
                <w:sz w:val="18"/>
                <w:szCs w:val="18"/>
              </w:rPr>
              <w:t xml:space="preserve">signed intake paperwork two months after making a referral. </w:t>
            </w:r>
            <w:r w:rsidR="00C91594" w:rsidRPr="008F2736">
              <w:rPr>
                <w:rFonts w:eastAsia="Calibri" w:cs="Times New Roman"/>
                <w:sz w:val="18"/>
                <w:szCs w:val="18"/>
              </w:rPr>
              <w:t xml:space="preserve">An ICC was assigned at that time, but found Youth ineligible for service. This decision was apparently reversed, and an assessment was signed </w:t>
            </w:r>
            <w:r w:rsidR="00BE3BAD">
              <w:rPr>
                <w:rFonts w:eastAsia="Calibri" w:cs="Times New Roman"/>
                <w:sz w:val="18"/>
                <w:szCs w:val="18"/>
              </w:rPr>
              <w:t>another month later by the sam</w:t>
            </w:r>
            <w:r w:rsidR="00C91594" w:rsidRPr="008F2736">
              <w:rPr>
                <w:rFonts w:eastAsia="Calibri" w:cs="Times New Roman"/>
                <w:sz w:val="18"/>
                <w:szCs w:val="18"/>
              </w:rPr>
              <w:t xml:space="preserve">e ICC. The ICC did not make referrals for any additional services, and is reported to have met only sporadically with Mother. </w:t>
            </w:r>
            <w:r w:rsidR="00BE3BAD">
              <w:rPr>
                <w:rFonts w:eastAsia="Calibri" w:cs="Times New Roman"/>
                <w:sz w:val="18"/>
                <w:szCs w:val="18"/>
              </w:rPr>
              <w:t xml:space="preserve">It was essentially ten months from the time the </w:t>
            </w:r>
            <w:r w:rsidR="00C91594" w:rsidRPr="008F2736">
              <w:rPr>
                <w:rFonts w:eastAsia="Calibri" w:cs="Times New Roman"/>
                <w:sz w:val="18"/>
                <w:szCs w:val="18"/>
              </w:rPr>
              <w:t>Mother requested se</w:t>
            </w:r>
            <w:r w:rsidR="00BE3BAD">
              <w:rPr>
                <w:rFonts w:eastAsia="Calibri" w:cs="Times New Roman"/>
                <w:sz w:val="18"/>
                <w:szCs w:val="18"/>
              </w:rPr>
              <w:t xml:space="preserve">rvices until the second ICC </w:t>
            </w:r>
            <w:r w:rsidR="00C91594" w:rsidRPr="008F2736">
              <w:rPr>
                <w:rFonts w:eastAsia="Calibri" w:cs="Times New Roman"/>
                <w:sz w:val="18"/>
                <w:szCs w:val="18"/>
              </w:rPr>
              <w:t xml:space="preserve">assigned </w:t>
            </w:r>
            <w:r w:rsidR="00BE3BAD">
              <w:rPr>
                <w:rFonts w:eastAsia="Calibri" w:cs="Times New Roman"/>
                <w:sz w:val="18"/>
                <w:szCs w:val="18"/>
              </w:rPr>
              <w:t xml:space="preserve">to </w:t>
            </w:r>
            <w:r w:rsidR="00C91594" w:rsidRPr="008F2736">
              <w:rPr>
                <w:rFonts w:eastAsia="Calibri" w:cs="Times New Roman"/>
                <w:sz w:val="18"/>
                <w:szCs w:val="18"/>
              </w:rPr>
              <w:t xml:space="preserve">this family </w:t>
            </w:r>
            <w:r w:rsidR="00BE3BAD">
              <w:rPr>
                <w:rFonts w:eastAsia="Calibri" w:cs="Times New Roman"/>
                <w:sz w:val="18"/>
                <w:szCs w:val="18"/>
              </w:rPr>
              <w:t xml:space="preserve">began to make referrals for other services as requested. Throughout that time the </w:t>
            </w:r>
            <w:r w:rsidR="00C91594" w:rsidRPr="008F2736">
              <w:rPr>
                <w:rFonts w:eastAsia="Calibri" w:cs="Times New Roman"/>
                <w:sz w:val="18"/>
                <w:szCs w:val="18"/>
              </w:rPr>
              <w:t xml:space="preserve">Youth's behavior continued to deteriorate. </w:t>
            </w:r>
          </w:p>
          <w:p w14:paraId="3A9FCC61" w14:textId="4196CAC0" w:rsidR="00BE3BAD" w:rsidRPr="008F2736" w:rsidRDefault="00BE3BAD" w:rsidP="00BE3BAD">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tc>
      </w:tr>
      <w:tr w:rsidR="004948C8" w14:paraId="3313CE8F" w14:textId="77777777" w:rsidTr="008F273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0255" w:type="dxa"/>
            <w:gridSpan w:val="2"/>
            <w:tcBorders>
              <w:left w:val="none" w:sz="0" w:space="0" w:color="auto"/>
            </w:tcBorders>
            <w:shd w:val="clear" w:color="auto" w:fill="EAB290" w:themeFill="accent2" w:themeFillTint="99"/>
          </w:tcPr>
          <w:p w14:paraId="44816530" w14:textId="3A90D213" w:rsidR="004948C8" w:rsidRPr="004948C8" w:rsidRDefault="004948C8" w:rsidP="004948C8">
            <w:pPr>
              <w:widowControl w:val="0"/>
              <w:jc w:val="center"/>
              <w:rPr>
                <w:rFonts w:eastAsia="Calibri" w:cs="Times New Roman"/>
                <w:sz w:val="22"/>
                <w:szCs w:val="22"/>
              </w:rPr>
            </w:pPr>
            <w:r w:rsidRPr="004948C8">
              <w:rPr>
                <w:rFonts w:eastAsia="Calibri" w:cs="Times New Roman"/>
                <w:sz w:val="22"/>
                <w:szCs w:val="22"/>
              </w:rPr>
              <w:t>Service Accessibility</w:t>
            </w:r>
          </w:p>
        </w:tc>
      </w:tr>
      <w:tr w:rsidR="00C3677E" w14:paraId="44F67603" w14:textId="77777777" w:rsidTr="008F2736">
        <w:trPr>
          <w:trHeight w:val="1134"/>
        </w:trPr>
        <w:tc>
          <w:tcPr>
            <w:cnfStyle w:val="001000000000" w:firstRow="0" w:lastRow="0" w:firstColumn="1" w:lastColumn="0" w:oddVBand="0" w:evenVBand="0" w:oddHBand="0" w:evenHBand="0" w:firstRowFirstColumn="0" w:firstRowLastColumn="0" w:lastRowFirstColumn="0" w:lastRowLastColumn="0"/>
            <w:tcW w:w="5130" w:type="dxa"/>
            <w:tcBorders>
              <w:left w:val="none" w:sz="0" w:space="0" w:color="auto"/>
            </w:tcBorders>
            <w:shd w:val="clear" w:color="auto" w:fill="F8E5DA" w:themeFill="accent2" w:themeFillTint="33"/>
          </w:tcPr>
          <w:p w14:paraId="6DED2730" w14:textId="3E03C698" w:rsidR="00C3677E" w:rsidRPr="00C3677E" w:rsidRDefault="00C3677E" w:rsidP="008010E8">
            <w:pPr>
              <w:widowControl w:val="0"/>
              <w:jc w:val="left"/>
              <w:rPr>
                <w:rFonts w:eastAsia="Calibri" w:cs="Times New Roman"/>
                <w:b w:val="0"/>
                <w:color w:val="auto"/>
                <w:sz w:val="18"/>
                <w:szCs w:val="18"/>
              </w:rPr>
            </w:pPr>
            <w:r w:rsidRPr="008F2736">
              <w:rPr>
                <w:rFonts w:eastAsia="Calibri" w:cs="Times New Roman"/>
                <w:color w:val="auto"/>
                <w:sz w:val="18"/>
                <w:szCs w:val="18"/>
              </w:rPr>
              <w:t>IHT</w:t>
            </w:r>
            <w:r w:rsidRPr="00C3677E">
              <w:rPr>
                <w:rFonts w:eastAsia="Calibri" w:cs="Times New Roman"/>
                <w:b w:val="0"/>
                <w:color w:val="auto"/>
                <w:sz w:val="18"/>
                <w:szCs w:val="18"/>
              </w:rPr>
              <w:t>: The team has demonstrated very good flexibility with their appointments.  They tend to each meet separately with the youth/family and have, at times, met with him at his school, at his group home,</w:t>
            </w:r>
            <w:r w:rsidR="00316F58">
              <w:rPr>
                <w:rFonts w:eastAsia="Calibri" w:cs="Times New Roman"/>
                <w:b w:val="0"/>
                <w:color w:val="auto"/>
                <w:sz w:val="18"/>
                <w:szCs w:val="18"/>
              </w:rPr>
              <w:t xml:space="preserve"> and</w:t>
            </w:r>
            <w:r w:rsidRPr="00C3677E">
              <w:rPr>
                <w:rFonts w:eastAsia="Calibri" w:cs="Times New Roman"/>
                <w:b w:val="0"/>
                <w:color w:val="auto"/>
                <w:sz w:val="18"/>
                <w:szCs w:val="18"/>
              </w:rPr>
              <w:t xml:space="preserve"> at this home.  A conscious decision was made to each meet separately so as to maximize the support provided to this youth and family.  Appointments have been scheduled and re-scheduled according to his needs.  When he joined a basketball league, the schedule was changed to accommodate this. The TT&amp;S and TM are both bilingual in Spanish and English, and work with the youth in both English and Spanish.  </w:t>
            </w:r>
          </w:p>
          <w:p w14:paraId="6FE0D51A" w14:textId="77777777" w:rsidR="00C3677E" w:rsidRPr="00C3677E" w:rsidRDefault="00C3677E" w:rsidP="008010E8">
            <w:pPr>
              <w:widowControl w:val="0"/>
              <w:jc w:val="left"/>
              <w:rPr>
                <w:rFonts w:eastAsia="Calibri" w:cs="Times New Roman"/>
                <w:b w:val="0"/>
                <w:color w:val="auto"/>
                <w:sz w:val="18"/>
                <w:szCs w:val="18"/>
              </w:rPr>
            </w:pPr>
          </w:p>
          <w:p w14:paraId="0C2E1350" w14:textId="1C3DEFF3" w:rsidR="00C3677E" w:rsidRDefault="00C3677E" w:rsidP="008010E8">
            <w:pPr>
              <w:widowControl w:val="0"/>
              <w:jc w:val="left"/>
              <w:rPr>
                <w:rFonts w:eastAsia="Calibri" w:cs="Times New Roman"/>
                <w:b w:val="0"/>
                <w:color w:val="auto"/>
                <w:sz w:val="18"/>
                <w:szCs w:val="18"/>
              </w:rPr>
            </w:pPr>
            <w:r w:rsidRPr="008F2736">
              <w:rPr>
                <w:rFonts w:eastAsia="Calibri" w:cs="Times New Roman"/>
                <w:color w:val="auto"/>
                <w:sz w:val="18"/>
                <w:szCs w:val="18"/>
              </w:rPr>
              <w:t>ICC</w:t>
            </w:r>
            <w:r w:rsidRPr="00C3677E">
              <w:rPr>
                <w:rFonts w:eastAsia="Calibri" w:cs="Times New Roman"/>
                <w:b w:val="0"/>
                <w:color w:val="auto"/>
                <w:sz w:val="18"/>
                <w:szCs w:val="18"/>
              </w:rPr>
              <w:t xml:space="preserve">: </w:t>
            </w:r>
            <w:r w:rsidR="00745CA8" w:rsidRPr="00745CA8">
              <w:rPr>
                <w:rFonts w:eastAsia="Calibri" w:cs="Times New Roman"/>
                <w:b w:val="0"/>
                <w:color w:val="auto"/>
                <w:sz w:val="18"/>
                <w:szCs w:val="18"/>
              </w:rPr>
              <w:t>Every provider for this family is Spanish speaking, and all document</w:t>
            </w:r>
            <w:r w:rsidR="00316F58">
              <w:rPr>
                <w:rFonts w:eastAsia="Calibri" w:cs="Times New Roman"/>
                <w:b w:val="0"/>
                <w:color w:val="auto"/>
                <w:sz w:val="18"/>
                <w:szCs w:val="18"/>
              </w:rPr>
              <w:t xml:space="preserve">s have been provided in English and </w:t>
            </w:r>
            <w:r w:rsidR="00745CA8" w:rsidRPr="00745CA8">
              <w:rPr>
                <w:rFonts w:eastAsia="Calibri" w:cs="Times New Roman"/>
                <w:b w:val="0"/>
                <w:color w:val="auto"/>
                <w:sz w:val="18"/>
                <w:szCs w:val="18"/>
              </w:rPr>
              <w:t>Spanish. Services have been primarily provided in the home despite the previous home location being so unsafe that the agency h</w:t>
            </w:r>
            <w:r w:rsidR="00316F58">
              <w:rPr>
                <w:rFonts w:eastAsia="Calibri" w:cs="Times New Roman"/>
                <w:b w:val="0"/>
                <w:color w:val="auto"/>
                <w:sz w:val="18"/>
                <w:szCs w:val="18"/>
              </w:rPr>
              <w:t xml:space="preserve">as required that providers </w:t>
            </w:r>
            <w:r w:rsidR="00745CA8" w:rsidRPr="00745CA8">
              <w:rPr>
                <w:rFonts w:eastAsia="Calibri" w:cs="Times New Roman"/>
                <w:b w:val="0"/>
                <w:color w:val="auto"/>
                <w:sz w:val="18"/>
                <w:szCs w:val="18"/>
              </w:rPr>
              <w:t>visit in pairs. Current home appears equally unsafe with notable police presence outside the building. Meetings have been held at Outpatient clinic to facilitate OPT's involvement, at school to engage Guidance Counselor, and will be held at Youth's new school in order to allow teachers to attend. Providers</w:t>
            </w:r>
            <w:r w:rsidR="00316F58">
              <w:rPr>
                <w:rFonts w:eastAsia="Calibri" w:cs="Times New Roman"/>
                <w:b w:val="0"/>
                <w:color w:val="auto"/>
                <w:sz w:val="18"/>
                <w:szCs w:val="18"/>
              </w:rPr>
              <w:t xml:space="preserve"> accompanied family to various c</w:t>
            </w:r>
            <w:r w:rsidR="00745CA8" w:rsidRPr="00745CA8">
              <w:rPr>
                <w:rFonts w:eastAsia="Calibri" w:cs="Times New Roman"/>
                <w:b w:val="0"/>
                <w:color w:val="auto"/>
                <w:sz w:val="18"/>
                <w:szCs w:val="18"/>
              </w:rPr>
              <w:t>ourts for lengthy hearings, and to hospital for MCI intervention. ICC and FP's willingness to meet family wherever and whenever necessary to provide support and service has been exemplary.</w:t>
            </w:r>
          </w:p>
          <w:p w14:paraId="66BB559D" w14:textId="1B8659C1" w:rsidR="00316F58" w:rsidRPr="00C3677E" w:rsidRDefault="00316F58" w:rsidP="008010E8">
            <w:pPr>
              <w:widowControl w:val="0"/>
              <w:jc w:val="left"/>
              <w:rPr>
                <w:rFonts w:eastAsia="Calibri" w:cs="Times New Roman"/>
                <w:b w:val="0"/>
                <w:color w:val="auto"/>
                <w:sz w:val="18"/>
                <w:szCs w:val="18"/>
              </w:rPr>
            </w:pPr>
          </w:p>
        </w:tc>
        <w:tc>
          <w:tcPr>
            <w:tcW w:w="5125" w:type="dxa"/>
            <w:shd w:val="clear" w:color="auto" w:fill="FFFFFF" w:themeFill="background1"/>
          </w:tcPr>
          <w:p w14:paraId="1EDCDB4D" w14:textId="5D998A94" w:rsidR="00C3677E" w:rsidRDefault="00C74725"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F2736">
              <w:rPr>
                <w:rFonts w:eastAsia="Calibri" w:cs="Times New Roman"/>
                <w:b/>
                <w:sz w:val="18"/>
                <w:szCs w:val="18"/>
              </w:rPr>
              <w:t>IHT</w:t>
            </w:r>
            <w:r>
              <w:rPr>
                <w:rFonts w:eastAsia="Calibri" w:cs="Times New Roman"/>
                <w:sz w:val="18"/>
                <w:szCs w:val="18"/>
              </w:rPr>
              <w:t xml:space="preserve">: </w:t>
            </w:r>
            <w:r w:rsidRPr="00C74725">
              <w:rPr>
                <w:rFonts w:eastAsia="Calibri" w:cs="Times New Roman"/>
                <w:sz w:val="18"/>
                <w:szCs w:val="18"/>
              </w:rPr>
              <w:t xml:space="preserve">It was not evident that the team fully explored the </w:t>
            </w:r>
            <w:r w:rsidR="00CF09A5" w:rsidRPr="00C74725">
              <w:rPr>
                <w:rFonts w:eastAsia="Calibri" w:cs="Times New Roman"/>
                <w:sz w:val="18"/>
                <w:szCs w:val="18"/>
              </w:rPr>
              <w:t>stepmother’s</w:t>
            </w:r>
            <w:r w:rsidRPr="00C74725">
              <w:rPr>
                <w:rFonts w:eastAsia="Calibri" w:cs="Times New Roman"/>
                <w:sz w:val="18"/>
                <w:szCs w:val="18"/>
              </w:rPr>
              <w:t xml:space="preserve"> verbal and written language needs; there was no exploration of the use of an interpreter nor was it clear that they took steps to ensure she could read</w:t>
            </w:r>
            <w:r w:rsidR="00316F58">
              <w:rPr>
                <w:rFonts w:eastAsia="Calibri" w:cs="Times New Roman"/>
                <w:sz w:val="18"/>
                <w:szCs w:val="18"/>
              </w:rPr>
              <w:t>/understand</w:t>
            </w:r>
            <w:r w:rsidRPr="00C74725">
              <w:rPr>
                <w:rFonts w:eastAsia="Calibri" w:cs="Times New Roman"/>
                <w:sz w:val="18"/>
                <w:szCs w:val="18"/>
              </w:rPr>
              <w:t xml:space="preserve"> the various documents. This may have impacted her ability to fully participate.</w:t>
            </w:r>
          </w:p>
          <w:p w14:paraId="62510628" w14:textId="77777777" w:rsidR="00C74725" w:rsidRDefault="00C74725"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40DEF8AA" w14:textId="3985A5E5" w:rsidR="00745CA8" w:rsidRPr="00831B58" w:rsidRDefault="00C74725" w:rsidP="00316F5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F2736">
              <w:rPr>
                <w:rFonts w:eastAsia="Calibri" w:cs="Times New Roman"/>
                <w:b/>
                <w:sz w:val="18"/>
                <w:szCs w:val="18"/>
              </w:rPr>
              <w:t>ICC</w:t>
            </w:r>
            <w:r>
              <w:rPr>
                <w:rFonts w:eastAsia="Calibri" w:cs="Times New Roman"/>
                <w:sz w:val="18"/>
                <w:szCs w:val="18"/>
              </w:rPr>
              <w:t xml:space="preserve">: </w:t>
            </w:r>
            <w:r w:rsidR="00CF09A5">
              <w:rPr>
                <w:rFonts w:eastAsia="Calibri" w:cs="Times New Roman"/>
                <w:sz w:val="18"/>
                <w:szCs w:val="18"/>
              </w:rPr>
              <w:t>Caregiver</w:t>
            </w:r>
            <w:r w:rsidR="00C91594" w:rsidRPr="00C91594">
              <w:rPr>
                <w:rFonts w:eastAsia="Calibri" w:cs="Times New Roman"/>
                <w:sz w:val="18"/>
                <w:szCs w:val="18"/>
              </w:rPr>
              <w:t xml:space="preserve"> </w:t>
            </w:r>
            <w:r w:rsidR="00316F58">
              <w:rPr>
                <w:rFonts w:eastAsia="Calibri" w:cs="Times New Roman"/>
                <w:sz w:val="18"/>
                <w:szCs w:val="18"/>
              </w:rPr>
              <w:t xml:space="preserve">expressed that she </w:t>
            </w:r>
            <w:r w:rsidR="00C91594" w:rsidRPr="00C91594">
              <w:rPr>
                <w:rFonts w:eastAsia="Calibri" w:cs="Times New Roman"/>
                <w:sz w:val="18"/>
                <w:szCs w:val="18"/>
              </w:rPr>
              <w:t xml:space="preserve">would like the whole family to meet together </w:t>
            </w:r>
            <w:r w:rsidR="00316F58">
              <w:rPr>
                <w:rFonts w:eastAsia="Calibri" w:cs="Times New Roman"/>
                <w:sz w:val="18"/>
                <w:szCs w:val="18"/>
              </w:rPr>
              <w:t>and the only available time was 5 PM</w:t>
            </w:r>
            <w:r w:rsidR="00C91594" w:rsidRPr="00C91594">
              <w:rPr>
                <w:rFonts w:eastAsia="Calibri" w:cs="Times New Roman"/>
                <w:sz w:val="18"/>
                <w:szCs w:val="18"/>
              </w:rPr>
              <w:t xml:space="preserve">.  ICC </w:t>
            </w:r>
            <w:r w:rsidR="00316F58">
              <w:rPr>
                <w:rFonts w:eastAsia="Calibri" w:cs="Times New Roman"/>
                <w:sz w:val="18"/>
                <w:szCs w:val="18"/>
              </w:rPr>
              <w:t xml:space="preserve">reported that she </w:t>
            </w:r>
            <w:r w:rsidR="00C91594" w:rsidRPr="00C91594">
              <w:rPr>
                <w:rFonts w:eastAsia="Calibri" w:cs="Times New Roman"/>
                <w:sz w:val="18"/>
                <w:szCs w:val="18"/>
              </w:rPr>
              <w:t xml:space="preserve">only works until 5:00pm, so </w:t>
            </w:r>
            <w:r w:rsidR="00CF09A5">
              <w:rPr>
                <w:rFonts w:eastAsia="Calibri" w:cs="Times New Roman"/>
                <w:sz w:val="18"/>
                <w:szCs w:val="18"/>
              </w:rPr>
              <w:t>Caregiver</w:t>
            </w:r>
            <w:r w:rsidR="00C91594" w:rsidRPr="00C91594">
              <w:rPr>
                <w:rFonts w:eastAsia="Calibri" w:cs="Times New Roman"/>
                <w:sz w:val="18"/>
                <w:szCs w:val="18"/>
              </w:rPr>
              <w:t xml:space="preserve"> acquiesced and accepted an alternate time.  </w:t>
            </w:r>
            <w:r w:rsidR="00316F58">
              <w:rPr>
                <w:rFonts w:eastAsia="Calibri" w:cs="Times New Roman"/>
                <w:sz w:val="18"/>
                <w:szCs w:val="18"/>
              </w:rPr>
              <w:t xml:space="preserve">The resulting appointment time does not meet the caregiver’s needs. </w:t>
            </w:r>
            <w:r w:rsidR="00C91594" w:rsidRPr="00C91594">
              <w:rPr>
                <w:rFonts w:eastAsia="Calibri" w:cs="Times New Roman"/>
                <w:sz w:val="18"/>
                <w:szCs w:val="18"/>
              </w:rPr>
              <w:t xml:space="preserve">ICC </w:t>
            </w:r>
            <w:r w:rsidR="00316F58">
              <w:rPr>
                <w:rFonts w:eastAsia="Calibri" w:cs="Times New Roman"/>
                <w:sz w:val="18"/>
                <w:szCs w:val="18"/>
              </w:rPr>
              <w:t>meets with family every other week, as a standard frequency, not based on the family’s needs.</w:t>
            </w:r>
            <w:r w:rsidR="00C91594" w:rsidRPr="00C91594">
              <w:rPr>
                <w:rFonts w:eastAsia="Calibri" w:cs="Times New Roman"/>
                <w:sz w:val="18"/>
                <w:szCs w:val="18"/>
              </w:rPr>
              <w:t xml:space="preserve"> Services are provided in English, although </w:t>
            </w:r>
            <w:r w:rsidR="00CF09A5">
              <w:rPr>
                <w:rFonts w:eastAsia="Calibri" w:cs="Times New Roman"/>
                <w:sz w:val="18"/>
                <w:szCs w:val="18"/>
              </w:rPr>
              <w:t>Caregiver</w:t>
            </w:r>
            <w:r w:rsidR="00C91594" w:rsidRPr="00C91594">
              <w:rPr>
                <w:rFonts w:eastAsia="Calibri" w:cs="Times New Roman"/>
                <w:sz w:val="18"/>
                <w:szCs w:val="18"/>
              </w:rPr>
              <w:t xml:space="preserve"> states that she finds it easier to express herself with an interpreter.  ICC indicated that she suggested an interpreter and </w:t>
            </w:r>
            <w:r w:rsidR="00CF09A5">
              <w:rPr>
                <w:rFonts w:eastAsia="Calibri" w:cs="Times New Roman"/>
                <w:sz w:val="18"/>
                <w:szCs w:val="18"/>
              </w:rPr>
              <w:t>Caregiver</w:t>
            </w:r>
            <w:r w:rsidR="00C91594" w:rsidRPr="00C91594">
              <w:rPr>
                <w:rFonts w:eastAsia="Calibri" w:cs="Times New Roman"/>
                <w:sz w:val="18"/>
                <w:szCs w:val="18"/>
              </w:rPr>
              <w:t xml:space="preserve"> declined.  All documentation is provided in English. </w:t>
            </w:r>
            <w:r w:rsidR="00316F58">
              <w:rPr>
                <w:rFonts w:eastAsia="Calibri" w:cs="Times New Roman"/>
                <w:sz w:val="18"/>
                <w:szCs w:val="18"/>
              </w:rPr>
              <w:t xml:space="preserve">This area </w:t>
            </w:r>
            <w:r w:rsidR="00C91594" w:rsidRPr="00C91594">
              <w:rPr>
                <w:rFonts w:eastAsia="Calibri" w:cs="Times New Roman"/>
                <w:sz w:val="18"/>
                <w:szCs w:val="18"/>
              </w:rPr>
              <w:t xml:space="preserve">could be improved by increasing awareness of </w:t>
            </w:r>
            <w:r w:rsidR="00CF09A5">
              <w:rPr>
                <w:rFonts w:eastAsia="Calibri" w:cs="Times New Roman"/>
                <w:sz w:val="18"/>
                <w:szCs w:val="18"/>
              </w:rPr>
              <w:t>Caregiver</w:t>
            </w:r>
            <w:r w:rsidR="00C91594" w:rsidRPr="00C91594">
              <w:rPr>
                <w:rFonts w:eastAsia="Calibri" w:cs="Times New Roman"/>
                <w:sz w:val="18"/>
                <w:szCs w:val="18"/>
              </w:rPr>
              <w:t>'s feelings and wishes relative to time of appointments to include all family members, rather than each family member receiving individual services.</w:t>
            </w:r>
          </w:p>
        </w:tc>
      </w:tr>
      <w:tr w:rsidR="00C74725" w14:paraId="39FB82EE" w14:textId="77777777" w:rsidTr="008F273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255" w:type="dxa"/>
            <w:gridSpan w:val="2"/>
            <w:tcBorders>
              <w:left w:val="none" w:sz="0" w:space="0" w:color="auto"/>
            </w:tcBorders>
            <w:shd w:val="clear" w:color="auto" w:fill="EAB290" w:themeFill="accent2" w:themeFillTint="99"/>
          </w:tcPr>
          <w:p w14:paraId="46F18155" w14:textId="4F2C3B73" w:rsidR="00C74725" w:rsidRPr="00C74725" w:rsidRDefault="00C74725" w:rsidP="00C74725">
            <w:pPr>
              <w:widowControl w:val="0"/>
              <w:jc w:val="center"/>
              <w:rPr>
                <w:rFonts w:eastAsia="Calibri" w:cs="Times New Roman"/>
                <w:sz w:val="22"/>
                <w:szCs w:val="22"/>
              </w:rPr>
            </w:pPr>
            <w:r w:rsidRPr="00C74725">
              <w:rPr>
                <w:rFonts w:eastAsia="Calibri" w:cs="Times New Roman"/>
                <w:sz w:val="22"/>
                <w:szCs w:val="22"/>
              </w:rPr>
              <w:t>Cultural Awareness</w:t>
            </w:r>
          </w:p>
        </w:tc>
      </w:tr>
      <w:tr w:rsidR="00C3677E" w14:paraId="300F7F62" w14:textId="77777777" w:rsidTr="008F2736">
        <w:trPr>
          <w:trHeight w:val="1134"/>
        </w:trPr>
        <w:tc>
          <w:tcPr>
            <w:cnfStyle w:val="001000000000" w:firstRow="0" w:lastRow="0" w:firstColumn="1" w:lastColumn="0" w:oddVBand="0" w:evenVBand="0" w:oddHBand="0" w:evenHBand="0" w:firstRowFirstColumn="0" w:firstRowLastColumn="0" w:lastRowFirstColumn="0" w:lastRowLastColumn="0"/>
            <w:tcW w:w="5130" w:type="dxa"/>
            <w:tcBorders>
              <w:left w:val="none" w:sz="0" w:space="0" w:color="auto"/>
            </w:tcBorders>
            <w:shd w:val="clear" w:color="auto" w:fill="FFFFFF" w:themeFill="background1"/>
          </w:tcPr>
          <w:p w14:paraId="3958AAC8" w14:textId="35948B7C" w:rsidR="00C3677E" w:rsidRDefault="00C3677E" w:rsidP="008010E8">
            <w:pPr>
              <w:widowControl w:val="0"/>
              <w:jc w:val="left"/>
              <w:rPr>
                <w:rFonts w:eastAsia="Calibri" w:cs="Times New Roman"/>
                <w:b w:val="0"/>
                <w:color w:val="auto"/>
                <w:sz w:val="18"/>
                <w:szCs w:val="18"/>
              </w:rPr>
            </w:pPr>
            <w:r w:rsidRPr="008F2736">
              <w:rPr>
                <w:rFonts w:eastAsia="Calibri" w:cs="Times New Roman"/>
                <w:color w:val="auto"/>
                <w:sz w:val="18"/>
                <w:szCs w:val="18"/>
              </w:rPr>
              <w:t>IHT</w:t>
            </w:r>
            <w:r w:rsidRPr="00C3677E">
              <w:rPr>
                <w:rFonts w:eastAsia="Calibri" w:cs="Times New Roman"/>
                <w:b w:val="0"/>
                <w:color w:val="auto"/>
                <w:sz w:val="18"/>
                <w:szCs w:val="18"/>
              </w:rPr>
              <w:t xml:space="preserve">: IHT has an excellent grasp of the family culture - both the cultural elements derived from their Hispanic background and the individual characteristics of the family's unique culture. For example, she can describe the </w:t>
            </w:r>
            <w:r w:rsidR="00CF09A5">
              <w:rPr>
                <w:rFonts w:eastAsia="Calibri" w:cs="Times New Roman"/>
                <w:b w:val="0"/>
                <w:color w:val="auto"/>
                <w:sz w:val="18"/>
                <w:szCs w:val="18"/>
              </w:rPr>
              <w:t>Caregiver</w:t>
            </w:r>
            <w:r w:rsidRPr="00C3677E">
              <w:rPr>
                <w:rFonts w:eastAsia="Calibri" w:cs="Times New Roman"/>
                <w:b w:val="0"/>
                <w:color w:val="auto"/>
                <w:sz w:val="18"/>
                <w:szCs w:val="18"/>
              </w:rPr>
              <w:t>'s efforts to keep her children close, her values of family looking out for one another, their religious beliefs, their relationship to poverty and the relentless efforts to break free of financial strain</w:t>
            </w:r>
            <w:r w:rsidR="00551848">
              <w:rPr>
                <w:rFonts w:eastAsia="Calibri" w:cs="Times New Roman"/>
                <w:b w:val="0"/>
                <w:color w:val="auto"/>
                <w:sz w:val="18"/>
                <w:szCs w:val="18"/>
              </w:rPr>
              <w:t xml:space="preserve">, and the struggle </w:t>
            </w:r>
            <w:r w:rsidR="00551848">
              <w:rPr>
                <w:rFonts w:eastAsia="Calibri" w:cs="Times New Roman"/>
                <w:b w:val="0"/>
                <w:color w:val="auto"/>
                <w:sz w:val="18"/>
                <w:szCs w:val="18"/>
              </w:rPr>
              <w:lastRenderedPageBreak/>
              <w:t>to diverge from the</w:t>
            </w:r>
            <w:r w:rsidRPr="00C3677E">
              <w:rPr>
                <w:rFonts w:eastAsia="Calibri" w:cs="Times New Roman"/>
                <w:b w:val="0"/>
                <w:color w:val="auto"/>
                <w:sz w:val="18"/>
                <w:szCs w:val="18"/>
              </w:rPr>
              <w:t xml:space="preserve"> unhealthy past influences on parenting. The </w:t>
            </w:r>
            <w:r w:rsidR="00CF09A5">
              <w:rPr>
                <w:rFonts w:eastAsia="Calibri" w:cs="Times New Roman"/>
                <w:b w:val="0"/>
                <w:color w:val="auto"/>
                <w:sz w:val="18"/>
                <w:szCs w:val="18"/>
              </w:rPr>
              <w:t>Caregiver</w:t>
            </w:r>
            <w:r w:rsidRPr="00C3677E">
              <w:rPr>
                <w:rFonts w:eastAsia="Calibri" w:cs="Times New Roman"/>
                <w:b w:val="0"/>
                <w:color w:val="auto"/>
                <w:sz w:val="18"/>
                <w:szCs w:val="18"/>
              </w:rPr>
              <w:t xml:space="preserve"> and IHT have discussed both of their cultures and how they are similar and different. IHT is especially astute in recognizing that she needs to guard against seeing things as "normal" (such as excessive bossing and yelling at children) just because she is used to them from her own upbringing.</w:t>
            </w:r>
          </w:p>
          <w:p w14:paraId="5FD55B6F" w14:textId="77777777" w:rsidR="00C74725" w:rsidRDefault="00C74725" w:rsidP="008010E8">
            <w:pPr>
              <w:widowControl w:val="0"/>
              <w:jc w:val="left"/>
              <w:rPr>
                <w:rFonts w:eastAsia="Calibri" w:cs="Times New Roman"/>
                <w:b w:val="0"/>
                <w:color w:val="auto"/>
                <w:sz w:val="18"/>
                <w:szCs w:val="18"/>
              </w:rPr>
            </w:pPr>
          </w:p>
          <w:p w14:paraId="1890FB72" w14:textId="6A8C6CE2" w:rsidR="00C74725" w:rsidRPr="00C3677E" w:rsidRDefault="00C74725" w:rsidP="00551848">
            <w:pPr>
              <w:widowControl w:val="0"/>
              <w:jc w:val="left"/>
              <w:rPr>
                <w:rFonts w:eastAsia="Calibri" w:cs="Times New Roman"/>
                <w:b w:val="0"/>
                <w:color w:val="auto"/>
                <w:sz w:val="18"/>
                <w:szCs w:val="18"/>
              </w:rPr>
            </w:pPr>
            <w:r w:rsidRPr="008F2736">
              <w:rPr>
                <w:rFonts w:eastAsia="Calibri" w:cs="Times New Roman"/>
                <w:color w:val="auto"/>
                <w:sz w:val="18"/>
                <w:szCs w:val="18"/>
              </w:rPr>
              <w:t>ICC</w:t>
            </w:r>
            <w:r>
              <w:rPr>
                <w:rFonts w:eastAsia="Calibri" w:cs="Times New Roman"/>
                <w:b w:val="0"/>
                <w:color w:val="auto"/>
                <w:sz w:val="18"/>
                <w:szCs w:val="18"/>
              </w:rPr>
              <w:t xml:space="preserve">: </w:t>
            </w:r>
            <w:r w:rsidR="00745CA8" w:rsidRPr="00745CA8">
              <w:rPr>
                <w:rFonts w:eastAsia="Calibri" w:cs="Times New Roman"/>
                <w:b w:val="0"/>
                <w:color w:val="auto"/>
                <w:sz w:val="18"/>
                <w:szCs w:val="18"/>
              </w:rPr>
              <w:t xml:space="preserve">The team appears to have done an excellent job exploring the rich array of culturally driven beliefs about mental health, appropriate youth behavior, and appropriate parenting.  The three key </w:t>
            </w:r>
            <w:r w:rsidR="00CF09A5">
              <w:rPr>
                <w:rFonts w:eastAsia="Calibri" w:cs="Times New Roman"/>
                <w:b w:val="0"/>
                <w:color w:val="auto"/>
                <w:sz w:val="18"/>
                <w:szCs w:val="18"/>
              </w:rPr>
              <w:t>Caregiver</w:t>
            </w:r>
            <w:r w:rsidR="00745CA8" w:rsidRPr="00745CA8">
              <w:rPr>
                <w:rFonts w:eastAsia="Calibri" w:cs="Times New Roman"/>
                <w:b w:val="0"/>
                <w:color w:val="auto"/>
                <w:sz w:val="18"/>
                <w:szCs w:val="18"/>
              </w:rPr>
              <w:t xml:space="preserve">s all have differing beliefs and this appears to have contributed to difficulties responding effectively to the youth's needs.  The team recognized early on that the </w:t>
            </w:r>
            <w:r w:rsidR="00CF09A5" w:rsidRPr="00745CA8">
              <w:rPr>
                <w:rFonts w:eastAsia="Calibri" w:cs="Times New Roman"/>
                <w:b w:val="0"/>
                <w:color w:val="auto"/>
                <w:sz w:val="18"/>
                <w:szCs w:val="18"/>
              </w:rPr>
              <w:t>stepfather’s</w:t>
            </w:r>
            <w:r w:rsidR="00745CA8" w:rsidRPr="00745CA8">
              <w:rPr>
                <w:rFonts w:eastAsia="Calibri" w:cs="Times New Roman"/>
                <w:b w:val="0"/>
                <w:color w:val="auto"/>
                <w:sz w:val="18"/>
                <w:szCs w:val="18"/>
              </w:rPr>
              <w:t xml:space="preserve"> participation would be important, and transferred the</w:t>
            </w:r>
            <w:r w:rsidR="00551848">
              <w:rPr>
                <w:rFonts w:eastAsia="Calibri" w:cs="Times New Roman"/>
                <w:b w:val="0"/>
                <w:color w:val="auto"/>
                <w:sz w:val="18"/>
                <w:szCs w:val="18"/>
              </w:rPr>
              <w:t xml:space="preserve"> care</w:t>
            </w:r>
            <w:r w:rsidR="00745CA8" w:rsidRPr="00745CA8">
              <w:rPr>
                <w:rFonts w:eastAsia="Calibri" w:cs="Times New Roman"/>
                <w:b w:val="0"/>
                <w:color w:val="auto"/>
                <w:sz w:val="18"/>
                <w:szCs w:val="18"/>
              </w:rPr>
              <w:t xml:space="preserve"> to a Spanish speaking ICC who could better engage him.</w:t>
            </w:r>
          </w:p>
        </w:tc>
        <w:tc>
          <w:tcPr>
            <w:tcW w:w="5125" w:type="dxa"/>
          </w:tcPr>
          <w:p w14:paraId="2CBEE405" w14:textId="08867BC7" w:rsidR="00C74725" w:rsidRPr="008E2E6B" w:rsidRDefault="00C74725"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E2E6B">
              <w:rPr>
                <w:rFonts w:eastAsia="Calibri" w:cs="Times New Roman"/>
                <w:b/>
                <w:sz w:val="18"/>
                <w:szCs w:val="18"/>
              </w:rPr>
              <w:lastRenderedPageBreak/>
              <w:t>IHT</w:t>
            </w:r>
            <w:r w:rsidRPr="008E2E6B">
              <w:rPr>
                <w:rFonts w:eastAsia="Calibri" w:cs="Times New Roman"/>
                <w:sz w:val="18"/>
                <w:szCs w:val="18"/>
              </w:rPr>
              <w:t xml:space="preserve">: IHT understands the </w:t>
            </w:r>
            <w:r w:rsidR="00CF09A5">
              <w:rPr>
                <w:rFonts w:eastAsia="Calibri" w:cs="Times New Roman"/>
                <w:sz w:val="18"/>
                <w:szCs w:val="18"/>
              </w:rPr>
              <w:t>Caregiver</w:t>
            </w:r>
            <w:r w:rsidRPr="008E2E6B">
              <w:rPr>
                <w:rFonts w:eastAsia="Calibri" w:cs="Times New Roman"/>
                <w:sz w:val="18"/>
                <w:szCs w:val="18"/>
              </w:rPr>
              <w:t xml:space="preserve">'s reluctance to discuss emotions as perhaps being generational, but there has otherwise been almost no identification or discussion of this family's culture. There appears to be no awareness of a culture of adoption, although the </w:t>
            </w:r>
            <w:r w:rsidR="00CF09A5">
              <w:rPr>
                <w:rFonts w:eastAsia="Calibri" w:cs="Times New Roman"/>
                <w:sz w:val="18"/>
                <w:szCs w:val="18"/>
              </w:rPr>
              <w:t>Caregiver</w:t>
            </w:r>
            <w:r w:rsidRPr="008E2E6B">
              <w:rPr>
                <w:rFonts w:eastAsia="Calibri" w:cs="Times New Roman"/>
                <w:sz w:val="18"/>
                <w:szCs w:val="18"/>
              </w:rPr>
              <w:t xml:space="preserve"> adopted four children in her earlier years, including the youth's mother, long before she adopted the youth and her sister. Likewise, there has been no consideration of the </w:t>
            </w:r>
            <w:r w:rsidRPr="008E2E6B">
              <w:rPr>
                <w:rFonts w:eastAsia="Calibri" w:cs="Times New Roman"/>
                <w:sz w:val="18"/>
                <w:szCs w:val="18"/>
              </w:rPr>
              <w:lastRenderedPageBreak/>
              <w:t>culture of grandparents raising their grandchildren even though TT&amp;S is aware that their agency runs a support group for custodial grandparents.  IHT and TT&amp;S appear to believe that it would be inappropriate for them to share personal information about their own cultures in order to discuss similarities and differences with the family.</w:t>
            </w:r>
          </w:p>
          <w:p w14:paraId="30DEB555" w14:textId="77777777" w:rsidR="00C74725" w:rsidRPr="008E2E6B" w:rsidRDefault="00C74725"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0B1E65CE" w14:textId="22D4E7AC" w:rsidR="00C74725" w:rsidRDefault="00C74725" w:rsidP="008E5D34">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E2E6B">
              <w:rPr>
                <w:rFonts w:eastAsia="Calibri" w:cs="Times New Roman"/>
                <w:b/>
                <w:sz w:val="18"/>
                <w:szCs w:val="18"/>
              </w:rPr>
              <w:t>ICC</w:t>
            </w:r>
            <w:r w:rsidRPr="008E2E6B">
              <w:rPr>
                <w:rFonts w:eastAsia="Calibri" w:cs="Times New Roman"/>
                <w:sz w:val="18"/>
                <w:szCs w:val="18"/>
              </w:rPr>
              <w:t xml:space="preserve">: </w:t>
            </w:r>
            <w:r w:rsidR="008E5D34" w:rsidRPr="008E2E6B">
              <w:rPr>
                <w:rFonts w:eastAsia="Calibri" w:cs="Times New Roman"/>
                <w:sz w:val="18"/>
                <w:szCs w:val="18"/>
              </w:rPr>
              <w:t xml:space="preserve">Notable by </w:t>
            </w:r>
            <w:r w:rsidR="00551848" w:rsidRPr="008E2E6B">
              <w:rPr>
                <w:rFonts w:eastAsia="Calibri" w:cs="Times New Roman"/>
                <w:sz w:val="18"/>
                <w:szCs w:val="18"/>
              </w:rPr>
              <w:t>its</w:t>
            </w:r>
            <w:r w:rsidR="008E5D34" w:rsidRPr="008E2E6B">
              <w:rPr>
                <w:rFonts w:eastAsia="Calibri" w:cs="Times New Roman"/>
                <w:sz w:val="18"/>
                <w:szCs w:val="18"/>
              </w:rPr>
              <w:t xml:space="preserve"> almost complete absence is any reference to or consideration of this family's culture. The only reference is that the family is Catholic, but there is no exploration of whether this is important to them, or if they have a </w:t>
            </w:r>
            <w:r w:rsidR="00551848" w:rsidRPr="008E2E6B">
              <w:rPr>
                <w:rFonts w:eastAsia="Calibri" w:cs="Times New Roman"/>
                <w:sz w:val="18"/>
                <w:szCs w:val="18"/>
              </w:rPr>
              <w:t>church, which</w:t>
            </w:r>
            <w:r w:rsidR="008E5D34" w:rsidRPr="008E2E6B">
              <w:rPr>
                <w:rFonts w:eastAsia="Calibri" w:cs="Times New Roman"/>
                <w:sz w:val="18"/>
                <w:szCs w:val="18"/>
              </w:rPr>
              <w:t xml:space="preserve"> might be a source of support or community engagement (a goal for Youth). ICC had no idea what family's cultural heritage might be (maybe Irish? maybe Italian?) only that they spoke with a Boston accent. There is no exploration of extended family, despite noting that maternal uncle lived in the home when services were opened. Family's values are not identified in any way.</w:t>
            </w:r>
          </w:p>
          <w:p w14:paraId="6F306E97" w14:textId="65691383" w:rsidR="00551848" w:rsidRPr="008E2E6B" w:rsidRDefault="00551848" w:rsidP="008E5D34">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tc>
      </w:tr>
      <w:tr w:rsidR="00C74725" w14:paraId="3FB82C12" w14:textId="77777777" w:rsidTr="008F2736">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0255" w:type="dxa"/>
            <w:gridSpan w:val="2"/>
            <w:tcBorders>
              <w:left w:val="none" w:sz="0" w:space="0" w:color="auto"/>
            </w:tcBorders>
            <w:shd w:val="clear" w:color="auto" w:fill="EAB290" w:themeFill="accent2" w:themeFillTint="99"/>
          </w:tcPr>
          <w:p w14:paraId="5118CE89" w14:textId="532D710C" w:rsidR="00C74725" w:rsidRPr="00C74725" w:rsidRDefault="00C74725" w:rsidP="00C74725">
            <w:pPr>
              <w:widowControl w:val="0"/>
              <w:jc w:val="center"/>
              <w:rPr>
                <w:rFonts w:eastAsia="Calibri" w:cs="Times New Roman"/>
                <w:sz w:val="22"/>
                <w:szCs w:val="22"/>
              </w:rPr>
            </w:pPr>
            <w:r w:rsidRPr="00C74725">
              <w:rPr>
                <w:rFonts w:eastAsia="Calibri" w:cs="Times New Roman"/>
                <w:sz w:val="22"/>
                <w:szCs w:val="22"/>
              </w:rPr>
              <w:lastRenderedPageBreak/>
              <w:t>Cultural Sensitivity and Responsiveness</w:t>
            </w:r>
          </w:p>
        </w:tc>
      </w:tr>
      <w:tr w:rsidR="00C3677E" w14:paraId="176C8686" w14:textId="77777777" w:rsidTr="008F2736">
        <w:trPr>
          <w:trHeight w:val="1134"/>
        </w:trPr>
        <w:tc>
          <w:tcPr>
            <w:cnfStyle w:val="001000000000" w:firstRow="0" w:lastRow="0" w:firstColumn="1" w:lastColumn="0" w:oddVBand="0" w:evenVBand="0" w:oddHBand="0" w:evenHBand="0" w:firstRowFirstColumn="0" w:firstRowLastColumn="0" w:lastRowFirstColumn="0" w:lastRowLastColumn="0"/>
            <w:tcW w:w="5130" w:type="dxa"/>
            <w:tcBorders>
              <w:left w:val="none" w:sz="0" w:space="0" w:color="auto"/>
              <w:bottom w:val="none" w:sz="0" w:space="0" w:color="auto"/>
            </w:tcBorders>
            <w:shd w:val="clear" w:color="auto" w:fill="F8E5DA" w:themeFill="accent2" w:themeFillTint="33"/>
          </w:tcPr>
          <w:p w14:paraId="15FADB7D" w14:textId="1DDCBE7E" w:rsidR="00C3677E" w:rsidRDefault="00C3677E" w:rsidP="008010E8">
            <w:pPr>
              <w:widowControl w:val="0"/>
              <w:jc w:val="left"/>
              <w:rPr>
                <w:rFonts w:eastAsia="Calibri" w:cs="Times New Roman"/>
                <w:b w:val="0"/>
                <w:color w:val="auto"/>
                <w:sz w:val="18"/>
                <w:szCs w:val="18"/>
              </w:rPr>
            </w:pPr>
            <w:r w:rsidRPr="008F2736">
              <w:rPr>
                <w:rFonts w:eastAsia="Calibri" w:cs="Times New Roman"/>
                <w:color w:val="auto"/>
                <w:sz w:val="18"/>
                <w:szCs w:val="18"/>
              </w:rPr>
              <w:t>IHT</w:t>
            </w:r>
            <w:r w:rsidRPr="00C3677E">
              <w:rPr>
                <w:rFonts w:eastAsia="Calibri" w:cs="Times New Roman"/>
                <w:b w:val="0"/>
                <w:color w:val="auto"/>
                <w:sz w:val="18"/>
                <w:szCs w:val="18"/>
              </w:rPr>
              <w:t>: IHT has explored and understands the family's belie</w:t>
            </w:r>
            <w:r w:rsidR="00551848">
              <w:rPr>
                <w:rFonts w:eastAsia="Calibri" w:cs="Times New Roman"/>
                <w:b w:val="0"/>
                <w:color w:val="auto"/>
                <w:sz w:val="18"/>
                <w:szCs w:val="18"/>
              </w:rPr>
              <w:t xml:space="preserve">fs, traditions and identity </w:t>
            </w:r>
            <w:r w:rsidRPr="00C3677E">
              <w:rPr>
                <w:rFonts w:eastAsia="Calibri" w:cs="Times New Roman"/>
                <w:b w:val="0"/>
                <w:color w:val="auto"/>
                <w:sz w:val="18"/>
                <w:szCs w:val="18"/>
              </w:rPr>
              <w:t xml:space="preserve">from the Dominican Republic. She has explored </w:t>
            </w:r>
            <w:r w:rsidR="00551848">
              <w:rPr>
                <w:rFonts w:eastAsia="Calibri" w:cs="Times New Roman"/>
                <w:b w:val="0"/>
                <w:color w:val="auto"/>
                <w:sz w:val="18"/>
                <w:szCs w:val="18"/>
              </w:rPr>
              <w:t xml:space="preserve">this </w:t>
            </w:r>
            <w:r w:rsidRPr="00C3677E">
              <w:rPr>
                <w:rFonts w:eastAsia="Calibri" w:cs="Times New Roman"/>
                <w:b w:val="0"/>
                <w:color w:val="auto"/>
                <w:sz w:val="18"/>
                <w:szCs w:val="18"/>
              </w:rPr>
              <w:t xml:space="preserve">with </w:t>
            </w:r>
            <w:r w:rsidR="00551848">
              <w:rPr>
                <w:rFonts w:eastAsia="Calibri" w:cs="Times New Roman"/>
                <w:b w:val="0"/>
                <w:color w:val="auto"/>
                <w:sz w:val="18"/>
                <w:szCs w:val="18"/>
              </w:rPr>
              <w:t xml:space="preserve">the </w:t>
            </w:r>
            <w:r w:rsidRPr="00C3677E">
              <w:rPr>
                <w:rFonts w:eastAsia="Calibri" w:cs="Times New Roman"/>
                <w:b w:val="0"/>
                <w:color w:val="auto"/>
                <w:sz w:val="18"/>
                <w:szCs w:val="18"/>
              </w:rPr>
              <w:t xml:space="preserve">family as a way to understand youth's fears. The Father has expressed that, as a kid, he was a lot like </w:t>
            </w:r>
            <w:r w:rsidR="00551848">
              <w:rPr>
                <w:rFonts w:eastAsia="Calibri" w:cs="Times New Roman"/>
                <w:b w:val="0"/>
                <w:color w:val="auto"/>
                <w:sz w:val="18"/>
                <w:szCs w:val="18"/>
              </w:rPr>
              <w:t>the youth in that he, too,</w:t>
            </w:r>
            <w:r w:rsidRPr="00C3677E">
              <w:rPr>
                <w:rFonts w:eastAsia="Calibri" w:cs="Times New Roman"/>
                <w:b w:val="0"/>
                <w:color w:val="auto"/>
                <w:sz w:val="18"/>
                <w:szCs w:val="18"/>
              </w:rPr>
              <w:t xml:space="preserve"> had a lot of anxiety. IHT and family share special foods.  IHT made sweet cookies with youth, brother, and cousin for Christmas Eve. IHT explored parenting differences with the </w:t>
            </w:r>
            <w:r w:rsidR="00CF09A5">
              <w:rPr>
                <w:rFonts w:eastAsia="Calibri" w:cs="Times New Roman"/>
                <w:b w:val="0"/>
                <w:color w:val="auto"/>
                <w:sz w:val="18"/>
                <w:szCs w:val="18"/>
              </w:rPr>
              <w:t>Caregiver</w:t>
            </w:r>
            <w:r w:rsidRPr="00C3677E">
              <w:rPr>
                <w:rFonts w:eastAsia="Calibri" w:cs="Times New Roman"/>
                <w:b w:val="0"/>
                <w:color w:val="auto"/>
                <w:sz w:val="18"/>
                <w:szCs w:val="18"/>
              </w:rPr>
              <w:t xml:space="preserve">s (mother and father) and Maternal Grandfather and came to mutual agreement- e.g. father manages AM routing while mother is working and mother manages evening routine while father is working, with consistency and new understanding.  </w:t>
            </w:r>
            <w:r w:rsidR="00CF09A5">
              <w:rPr>
                <w:rFonts w:eastAsia="Calibri" w:cs="Times New Roman"/>
                <w:b w:val="0"/>
                <w:color w:val="auto"/>
                <w:sz w:val="18"/>
                <w:szCs w:val="18"/>
              </w:rPr>
              <w:t>Caregiver</w:t>
            </w:r>
            <w:r w:rsidRPr="00C3677E">
              <w:rPr>
                <w:rFonts w:eastAsia="Calibri" w:cs="Times New Roman"/>
                <w:b w:val="0"/>
                <w:color w:val="auto"/>
                <w:sz w:val="18"/>
                <w:szCs w:val="18"/>
              </w:rPr>
              <w:t xml:space="preserve"> feels IHT is respectful of their culture and makes suggestions that do not conflict with their culture.</w:t>
            </w:r>
          </w:p>
          <w:p w14:paraId="64D30AB0" w14:textId="77777777" w:rsidR="00745CA8" w:rsidRDefault="00745CA8" w:rsidP="008010E8">
            <w:pPr>
              <w:widowControl w:val="0"/>
              <w:jc w:val="left"/>
              <w:rPr>
                <w:rFonts w:eastAsia="Calibri" w:cs="Times New Roman"/>
                <w:b w:val="0"/>
                <w:color w:val="auto"/>
                <w:sz w:val="18"/>
                <w:szCs w:val="18"/>
              </w:rPr>
            </w:pPr>
          </w:p>
          <w:p w14:paraId="0AD1C5EA" w14:textId="670F8BF3" w:rsidR="00745CA8" w:rsidRDefault="00745CA8" w:rsidP="008010E8">
            <w:pPr>
              <w:widowControl w:val="0"/>
              <w:jc w:val="left"/>
              <w:rPr>
                <w:rFonts w:eastAsia="Calibri" w:cs="Times New Roman"/>
                <w:b w:val="0"/>
                <w:color w:val="auto"/>
                <w:sz w:val="18"/>
                <w:szCs w:val="18"/>
              </w:rPr>
            </w:pPr>
            <w:r w:rsidRPr="008F2736">
              <w:rPr>
                <w:rFonts w:eastAsia="Calibri" w:cs="Times New Roman"/>
                <w:color w:val="auto"/>
                <w:sz w:val="18"/>
                <w:szCs w:val="18"/>
              </w:rPr>
              <w:t>ICC</w:t>
            </w:r>
            <w:r>
              <w:rPr>
                <w:rFonts w:eastAsia="Calibri" w:cs="Times New Roman"/>
                <w:b w:val="0"/>
                <w:color w:val="auto"/>
                <w:sz w:val="18"/>
                <w:szCs w:val="18"/>
              </w:rPr>
              <w:t xml:space="preserve">: </w:t>
            </w:r>
            <w:r w:rsidRPr="00745CA8">
              <w:rPr>
                <w:rFonts w:eastAsia="Calibri" w:cs="Times New Roman"/>
                <w:b w:val="0"/>
                <w:color w:val="auto"/>
                <w:sz w:val="18"/>
                <w:szCs w:val="18"/>
              </w:rPr>
              <w:t>The ICC and Family Partner developed a very clear understanding of this family's culture as white, "working poor" people with a hardscrabble upbringing. For example, they were aware of the way that the school engaged DCF for "neglect" without addressing issues with the parents or respecting the efforts that the parents had made for years to sort out Youth's difficulties. ICC also had a good sense of how the Youth's encopresis, the family's homelessness, and parents' limited education and resources (in a relatively affluent area) could feed into prejudice about the family and the "blaming and shaming" attitude of the first school. They used their understanding to sow compassion with DCF and in the new school settin</w:t>
            </w:r>
            <w:r w:rsidR="00151330">
              <w:rPr>
                <w:rFonts w:eastAsia="Calibri" w:cs="Times New Roman"/>
                <w:b w:val="0"/>
                <w:color w:val="auto"/>
                <w:sz w:val="18"/>
                <w:szCs w:val="18"/>
              </w:rPr>
              <w:t>g.</w:t>
            </w:r>
          </w:p>
          <w:p w14:paraId="23D63E35" w14:textId="432558F0" w:rsidR="00745CA8" w:rsidRPr="00C3677E" w:rsidRDefault="00745CA8" w:rsidP="008010E8">
            <w:pPr>
              <w:widowControl w:val="0"/>
              <w:jc w:val="left"/>
              <w:rPr>
                <w:rFonts w:eastAsia="Calibri" w:cs="Times New Roman"/>
                <w:b w:val="0"/>
                <w:color w:val="auto"/>
                <w:sz w:val="18"/>
                <w:szCs w:val="18"/>
              </w:rPr>
            </w:pPr>
          </w:p>
        </w:tc>
        <w:tc>
          <w:tcPr>
            <w:tcW w:w="5125" w:type="dxa"/>
            <w:shd w:val="clear" w:color="auto" w:fill="FFFFFF" w:themeFill="background1"/>
          </w:tcPr>
          <w:p w14:paraId="60CC6D31" w14:textId="592DFA3B" w:rsidR="00C3677E" w:rsidRPr="008E2E6B" w:rsidRDefault="00C74725"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E2E6B">
              <w:rPr>
                <w:rFonts w:eastAsia="Calibri" w:cs="Times New Roman"/>
                <w:b/>
                <w:sz w:val="18"/>
                <w:szCs w:val="18"/>
              </w:rPr>
              <w:t>IHT</w:t>
            </w:r>
            <w:r w:rsidRPr="008E2E6B">
              <w:rPr>
                <w:rFonts w:eastAsia="Calibri" w:cs="Times New Roman"/>
                <w:sz w:val="18"/>
                <w:szCs w:val="18"/>
              </w:rPr>
              <w:t xml:space="preserve">: It is evident that the </w:t>
            </w:r>
            <w:r w:rsidR="00CF09A5">
              <w:rPr>
                <w:rFonts w:eastAsia="Calibri" w:cs="Times New Roman"/>
                <w:sz w:val="18"/>
                <w:szCs w:val="18"/>
              </w:rPr>
              <w:t>Caregiver</w:t>
            </w:r>
            <w:r w:rsidRPr="008E2E6B">
              <w:rPr>
                <w:rFonts w:eastAsia="Calibri" w:cs="Times New Roman"/>
                <w:sz w:val="18"/>
                <w:szCs w:val="18"/>
              </w:rPr>
              <w:t xml:space="preserve"> has a complex history, which affects the youth. While some of the factual history is known to the IHT, it appears that it hasn't been explored deeply and synthesized into an understanding of how it influences her and the youth's cognitive perception of th</w:t>
            </w:r>
            <w:r w:rsidR="00551848">
              <w:rPr>
                <w:rFonts w:eastAsia="Calibri" w:cs="Times New Roman"/>
                <w:sz w:val="18"/>
                <w:szCs w:val="18"/>
              </w:rPr>
              <w:t xml:space="preserve">e world. Some areas </w:t>
            </w:r>
            <w:r w:rsidRPr="008E2E6B">
              <w:rPr>
                <w:rFonts w:eastAsia="Calibri" w:cs="Times New Roman"/>
                <w:sz w:val="18"/>
                <w:szCs w:val="18"/>
              </w:rPr>
              <w:t xml:space="preserve">worthy of further exploration include the circumstances around the time the youth spent in kinship placement, what the youth understands about that time, the </w:t>
            </w:r>
            <w:r w:rsidR="00CF09A5">
              <w:rPr>
                <w:rFonts w:eastAsia="Calibri" w:cs="Times New Roman"/>
                <w:sz w:val="18"/>
                <w:szCs w:val="18"/>
              </w:rPr>
              <w:t>Caregiver</w:t>
            </w:r>
            <w:r w:rsidRPr="008E2E6B">
              <w:rPr>
                <w:rFonts w:eastAsia="Calibri" w:cs="Times New Roman"/>
                <w:sz w:val="18"/>
                <w:szCs w:val="18"/>
              </w:rPr>
              <w:t>'s perception of herself as a parent given tha</w:t>
            </w:r>
            <w:r w:rsidR="00551848">
              <w:rPr>
                <w:rFonts w:eastAsia="Calibri" w:cs="Times New Roman"/>
                <w:sz w:val="18"/>
                <w:szCs w:val="18"/>
              </w:rPr>
              <w:t>t she does not have custody of two</w:t>
            </w:r>
            <w:r w:rsidRPr="008E2E6B">
              <w:rPr>
                <w:rFonts w:eastAsia="Calibri" w:cs="Times New Roman"/>
                <w:sz w:val="18"/>
                <w:szCs w:val="18"/>
              </w:rPr>
              <w:t xml:space="preserve"> of her children, and the relationship between the </w:t>
            </w:r>
            <w:r w:rsidR="00CF09A5">
              <w:rPr>
                <w:rFonts w:eastAsia="Calibri" w:cs="Times New Roman"/>
                <w:sz w:val="18"/>
                <w:szCs w:val="18"/>
              </w:rPr>
              <w:t>Caregiver</w:t>
            </w:r>
            <w:r w:rsidRPr="008E2E6B">
              <w:rPr>
                <w:rFonts w:eastAsia="Calibri" w:cs="Times New Roman"/>
                <w:sz w:val="18"/>
                <w:szCs w:val="18"/>
              </w:rPr>
              <w:t xml:space="preserve"> and her father, who is a minister.</w:t>
            </w:r>
          </w:p>
          <w:p w14:paraId="087E051D" w14:textId="77777777" w:rsidR="00745CA8" w:rsidRPr="008E2E6B" w:rsidRDefault="00745CA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6D1D4853" w14:textId="27464630" w:rsidR="00745CA8" w:rsidRPr="008E2E6B" w:rsidRDefault="00745CA8" w:rsidP="0055184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8E2E6B">
              <w:rPr>
                <w:rFonts w:eastAsia="Calibri" w:cs="Times New Roman"/>
                <w:b/>
                <w:sz w:val="18"/>
                <w:szCs w:val="18"/>
              </w:rPr>
              <w:t>ICC</w:t>
            </w:r>
            <w:r w:rsidRPr="008E2E6B">
              <w:rPr>
                <w:rFonts w:eastAsia="Calibri" w:cs="Times New Roman"/>
                <w:sz w:val="18"/>
                <w:szCs w:val="18"/>
              </w:rPr>
              <w:t>:</w:t>
            </w:r>
            <w:r w:rsidR="008E5D34" w:rsidRPr="008E2E6B">
              <w:rPr>
                <w:rFonts w:eastAsia="Calibri" w:cs="Times New Roman"/>
                <w:sz w:val="18"/>
                <w:szCs w:val="18"/>
              </w:rPr>
              <w:t xml:space="preserve"> There appears to be an almost complete lack of awareness or use of this family's culture in the ICC's (and other providers') work with them. Despite Father's rich and varied cultural background, which he is very willing to discuss, this has not been explored. Neither racial/cultural differences within the family, nor intergenerational issues have been discussed. Nor has any racial or cultural similarities/differences between ICC and the family been discussed. ICC has not promoted such discussion or consideration among team members. Despite Father's initial and ongoing concerns about Youth's possible gang involvement, and the documented incident of Youth beating up another girl while the </w:t>
            </w:r>
            <w:r w:rsidR="001E3EB6">
              <w:rPr>
                <w:rFonts w:eastAsia="Calibri" w:cs="Times New Roman"/>
                <w:sz w:val="18"/>
                <w:szCs w:val="18"/>
              </w:rPr>
              <w:t>fight was recorded by "friends,"</w:t>
            </w:r>
            <w:r w:rsidR="008E5D34" w:rsidRPr="008E2E6B">
              <w:rPr>
                <w:rFonts w:eastAsia="Calibri" w:cs="Times New Roman"/>
                <w:sz w:val="18"/>
                <w:szCs w:val="18"/>
              </w:rPr>
              <w:t xml:space="preserve"> there has been no consideration or discussion about the prevalence of Cape Verdean gangs in the community. This seems even more notable given the recent </w:t>
            </w:r>
            <w:r w:rsidR="00551848">
              <w:rPr>
                <w:rFonts w:eastAsia="Calibri" w:cs="Times New Roman"/>
                <w:sz w:val="18"/>
                <w:szCs w:val="18"/>
              </w:rPr>
              <w:t>acts of violence in their neighbo</w:t>
            </w:r>
            <w:r w:rsidR="00151330">
              <w:rPr>
                <w:rFonts w:eastAsia="Calibri" w:cs="Times New Roman"/>
                <w:sz w:val="18"/>
                <w:szCs w:val="18"/>
              </w:rPr>
              <w:t>rhood which impacted the family</w:t>
            </w:r>
            <w:r w:rsidR="0065001E">
              <w:rPr>
                <w:rFonts w:eastAsia="Calibri" w:cs="Times New Roman"/>
                <w:sz w:val="18"/>
                <w:szCs w:val="18"/>
              </w:rPr>
              <w:t xml:space="preserve"> directly</w:t>
            </w:r>
            <w:r w:rsidR="00151330">
              <w:rPr>
                <w:rFonts w:eastAsia="Calibri" w:cs="Times New Roman"/>
                <w:sz w:val="18"/>
                <w:szCs w:val="18"/>
              </w:rPr>
              <w:t>.</w:t>
            </w:r>
          </w:p>
        </w:tc>
      </w:tr>
    </w:tbl>
    <w:p w14:paraId="34A7C8E3" w14:textId="77777777" w:rsidR="002E7476" w:rsidRDefault="002E7476" w:rsidP="00B62E8A">
      <w:pPr>
        <w:spacing w:before="240"/>
      </w:pPr>
    </w:p>
    <w:sectPr w:rsidR="002E7476" w:rsidSect="006C21AD">
      <w:footerReference w:type="default" r:id="rId12"/>
      <w:pgSz w:w="12240" w:h="15840"/>
      <w:pgMar w:top="720" w:right="720" w:bottom="720" w:left="72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D9A6C4" w16cid:durableId="1F82E682"/>
  <w16cid:commentId w16cid:paraId="00F8985A" w16cid:durableId="1F82F3F0"/>
  <w16cid:commentId w16cid:paraId="43A105A9" w16cid:durableId="1F82F348"/>
  <w16cid:commentId w16cid:paraId="5A18DA70" w16cid:durableId="1F82F34A"/>
  <w16cid:commentId w16cid:paraId="26991932" w16cid:durableId="1F82EF3A"/>
  <w16cid:commentId w16cid:paraId="01675F5C" w16cid:durableId="1F82EF64"/>
  <w16cid:commentId w16cid:paraId="2F470B80" w16cid:durableId="1F82F000"/>
  <w16cid:commentId w16cid:paraId="0FFC2BA6" w16cid:durableId="1F82FA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4AF66" w14:textId="77777777" w:rsidR="00FD3807" w:rsidRDefault="00FD3807" w:rsidP="00E354BB">
      <w:r>
        <w:separator/>
      </w:r>
    </w:p>
  </w:endnote>
  <w:endnote w:type="continuationSeparator" w:id="0">
    <w:p w14:paraId="33B2AACB" w14:textId="77777777" w:rsidR="00FD3807" w:rsidRDefault="00FD3807" w:rsidP="00E3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00"/>
    <w:family w:val="swiss"/>
    <w:pitch w:val="variable"/>
    <w:sig w:usb0="00000000" w:usb1="00000000" w:usb2="00000000" w:usb3="00000000" w:csb0="000001F7"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502994"/>
      <w:docPartObj>
        <w:docPartGallery w:val="Page Numbers (Bottom of Page)"/>
        <w:docPartUnique/>
      </w:docPartObj>
    </w:sdtPr>
    <w:sdtEndPr>
      <w:rPr>
        <w:noProof/>
      </w:rPr>
    </w:sdtEndPr>
    <w:sdtContent>
      <w:p w14:paraId="05B989E7" w14:textId="2E3E5341" w:rsidR="00977E84" w:rsidRDefault="00977E84">
        <w:pPr>
          <w:pStyle w:val="Footer"/>
          <w:jc w:val="right"/>
        </w:pPr>
        <w:r>
          <w:fldChar w:fldCharType="begin"/>
        </w:r>
        <w:r>
          <w:instrText xml:space="preserve"> PAGE   \* MERGEFORMAT </w:instrText>
        </w:r>
        <w:r>
          <w:fldChar w:fldCharType="separate"/>
        </w:r>
        <w:r w:rsidR="00F97048">
          <w:rPr>
            <w:noProof/>
          </w:rPr>
          <w:t>1</w:t>
        </w:r>
        <w:r>
          <w:rPr>
            <w:noProof/>
          </w:rPr>
          <w:fldChar w:fldCharType="end"/>
        </w:r>
      </w:p>
    </w:sdtContent>
  </w:sdt>
  <w:p w14:paraId="39EC0490" w14:textId="77777777" w:rsidR="00977E84" w:rsidRDefault="00977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964DE" w14:textId="77777777" w:rsidR="00FD3807" w:rsidRDefault="00FD3807" w:rsidP="00E354BB">
      <w:r>
        <w:separator/>
      </w:r>
    </w:p>
  </w:footnote>
  <w:footnote w:type="continuationSeparator" w:id="0">
    <w:p w14:paraId="13292BE8" w14:textId="77777777" w:rsidR="00FD3807" w:rsidRDefault="00FD3807" w:rsidP="00E354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766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F31FC4"/>
    <w:multiLevelType w:val="hybridMultilevel"/>
    <w:tmpl w:val="9314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D4A43"/>
    <w:multiLevelType w:val="hybridMultilevel"/>
    <w:tmpl w:val="7C94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92616"/>
    <w:multiLevelType w:val="hybridMultilevel"/>
    <w:tmpl w:val="805EF68E"/>
    <w:lvl w:ilvl="0" w:tplc="A1745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7166B"/>
    <w:multiLevelType w:val="hybridMultilevel"/>
    <w:tmpl w:val="5B58944C"/>
    <w:lvl w:ilvl="0" w:tplc="DEECC33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0047CD"/>
    <w:multiLevelType w:val="hybridMultilevel"/>
    <w:tmpl w:val="379A7F32"/>
    <w:lvl w:ilvl="0" w:tplc="1506E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ED1BA5"/>
    <w:multiLevelType w:val="hybridMultilevel"/>
    <w:tmpl w:val="9D403850"/>
    <w:lvl w:ilvl="0" w:tplc="04090001">
      <w:start w:val="1"/>
      <w:numFmt w:val="bullet"/>
      <w:lvlText w:val=""/>
      <w:lvlJc w:val="left"/>
      <w:pPr>
        <w:ind w:left="720" w:hanging="360"/>
      </w:pPr>
      <w:rPr>
        <w:rFonts w:ascii="Symbol" w:hAnsi="Symbol" w:hint="default"/>
      </w:rPr>
    </w:lvl>
    <w:lvl w:ilvl="1" w:tplc="AB1CDEA4">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876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9317900"/>
    <w:multiLevelType w:val="hybridMultilevel"/>
    <w:tmpl w:val="BE4E52A2"/>
    <w:lvl w:ilvl="0" w:tplc="048837B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2F4E87"/>
    <w:multiLevelType w:val="hybridMultilevel"/>
    <w:tmpl w:val="A8543F5E"/>
    <w:lvl w:ilvl="0" w:tplc="BD282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056A1F"/>
    <w:multiLevelType w:val="hybridMultilevel"/>
    <w:tmpl w:val="A088F240"/>
    <w:lvl w:ilvl="0" w:tplc="E86E4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580D24"/>
    <w:multiLevelType w:val="hybridMultilevel"/>
    <w:tmpl w:val="C0FE7466"/>
    <w:lvl w:ilvl="0" w:tplc="E66EB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7A3618"/>
    <w:multiLevelType w:val="hybridMultilevel"/>
    <w:tmpl w:val="2564CE6A"/>
    <w:lvl w:ilvl="0" w:tplc="DA1E4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6C7C78"/>
    <w:multiLevelType w:val="hybridMultilevel"/>
    <w:tmpl w:val="A6A0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2A56C7"/>
    <w:multiLevelType w:val="hybridMultilevel"/>
    <w:tmpl w:val="95729D12"/>
    <w:lvl w:ilvl="0" w:tplc="1FECF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7C79F6"/>
    <w:multiLevelType w:val="hybridMultilevel"/>
    <w:tmpl w:val="43080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C652612"/>
    <w:multiLevelType w:val="hybridMultilevel"/>
    <w:tmpl w:val="15A00DCE"/>
    <w:lvl w:ilvl="0" w:tplc="F0662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4226E3"/>
    <w:multiLevelType w:val="hybridMultilevel"/>
    <w:tmpl w:val="9A6CC2D8"/>
    <w:lvl w:ilvl="0" w:tplc="75A6F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275F1C"/>
    <w:multiLevelType w:val="hybridMultilevel"/>
    <w:tmpl w:val="24203C52"/>
    <w:lvl w:ilvl="0" w:tplc="74B0F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A501B"/>
    <w:multiLevelType w:val="hybridMultilevel"/>
    <w:tmpl w:val="F49E12C0"/>
    <w:lvl w:ilvl="0" w:tplc="04090015">
      <w:start w:val="1"/>
      <w:numFmt w:val="upperLetter"/>
      <w:lvlText w:val="%1."/>
      <w:lvlJc w:val="left"/>
      <w:pPr>
        <w:ind w:left="540" w:hanging="360"/>
      </w:pPr>
    </w:lvl>
    <w:lvl w:ilvl="1" w:tplc="0409000F">
      <w:start w:val="1"/>
      <w:numFmt w:val="decimal"/>
      <w:lvlText w:val="%2."/>
      <w:lvlJc w:val="left"/>
      <w:pPr>
        <w:tabs>
          <w:tab w:val="num" w:pos="1350"/>
        </w:tabs>
        <w:ind w:left="1350" w:hanging="360"/>
      </w:pPr>
      <w:rPr>
        <w:rFonts w:hint="default"/>
        <w:b w:val="0"/>
        <w:i w:val="0"/>
      </w:rPr>
    </w:lvl>
    <w:lvl w:ilvl="2" w:tplc="A1665ADA">
      <w:start w:val="1"/>
      <w:numFmt w:val="lowerRoman"/>
      <w:lvlText w:val="%3."/>
      <w:lvlJc w:val="right"/>
      <w:pPr>
        <w:tabs>
          <w:tab w:val="num" w:pos="2070"/>
        </w:tabs>
        <w:ind w:left="2070" w:hanging="180"/>
      </w:pPr>
      <w:rPr>
        <w:i w:val="0"/>
        <w:color w:val="auto"/>
      </w:rPr>
    </w:lvl>
    <w:lvl w:ilvl="3" w:tplc="0409000F">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nsid w:val="4E956976"/>
    <w:multiLevelType w:val="hybridMultilevel"/>
    <w:tmpl w:val="5FBC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1A2C2C"/>
    <w:multiLevelType w:val="hybridMultilevel"/>
    <w:tmpl w:val="7C8EF298"/>
    <w:lvl w:ilvl="0" w:tplc="371CB8F2">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6541B8A"/>
    <w:multiLevelType w:val="hybridMultilevel"/>
    <w:tmpl w:val="464A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A55D76"/>
    <w:multiLevelType w:val="hybridMultilevel"/>
    <w:tmpl w:val="E37A465A"/>
    <w:lvl w:ilvl="0" w:tplc="8A5EC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4300F8"/>
    <w:multiLevelType w:val="hybridMultilevel"/>
    <w:tmpl w:val="D92044CC"/>
    <w:lvl w:ilvl="0" w:tplc="C338B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A17755"/>
    <w:multiLevelType w:val="hybridMultilevel"/>
    <w:tmpl w:val="FED006E0"/>
    <w:lvl w:ilvl="0" w:tplc="04090001">
      <w:start w:val="1"/>
      <w:numFmt w:val="bullet"/>
      <w:lvlText w:val=""/>
      <w:lvlJc w:val="left"/>
      <w:pPr>
        <w:ind w:left="720" w:hanging="360"/>
      </w:pPr>
      <w:rPr>
        <w:rFonts w:ascii="Symbol" w:hAnsi="Symbol"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AB6FA9"/>
    <w:multiLevelType w:val="hybridMultilevel"/>
    <w:tmpl w:val="E428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6919A1"/>
    <w:multiLevelType w:val="hybridMultilevel"/>
    <w:tmpl w:val="3880F350"/>
    <w:lvl w:ilvl="0" w:tplc="FBCA2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AD48B0"/>
    <w:multiLevelType w:val="multilevel"/>
    <w:tmpl w:val="FDDEB384"/>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E7A1926"/>
    <w:multiLevelType w:val="hybridMultilevel"/>
    <w:tmpl w:val="FE161A86"/>
    <w:lvl w:ilvl="0" w:tplc="23E0A7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81300F"/>
    <w:multiLevelType w:val="hybridMultilevel"/>
    <w:tmpl w:val="8E2EFD90"/>
    <w:lvl w:ilvl="0" w:tplc="07FA6FBC">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A40E0D"/>
    <w:multiLevelType w:val="hybridMultilevel"/>
    <w:tmpl w:val="5434D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30"/>
  </w:num>
  <w:num w:numId="4">
    <w:abstractNumId w:val="28"/>
  </w:num>
  <w:num w:numId="5">
    <w:abstractNumId w:val="8"/>
  </w:num>
  <w:num w:numId="6">
    <w:abstractNumId w:val="25"/>
  </w:num>
  <w:num w:numId="7">
    <w:abstractNumId w:val="19"/>
  </w:num>
  <w:num w:numId="8">
    <w:abstractNumId w:val="31"/>
  </w:num>
  <w:num w:numId="9">
    <w:abstractNumId w:val="1"/>
  </w:num>
  <w:num w:numId="10">
    <w:abstractNumId w:val="2"/>
  </w:num>
  <w:num w:numId="11">
    <w:abstractNumId w:val="20"/>
  </w:num>
  <w:num w:numId="12">
    <w:abstractNumId w:val="13"/>
  </w:num>
  <w:num w:numId="13">
    <w:abstractNumId w:val="0"/>
  </w:num>
  <w:num w:numId="14">
    <w:abstractNumId w:val="24"/>
  </w:num>
  <w:num w:numId="15">
    <w:abstractNumId w:val="14"/>
  </w:num>
  <w:num w:numId="16">
    <w:abstractNumId w:val="6"/>
  </w:num>
  <w:num w:numId="17">
    <w:abstractNumId w:val="26"/>
  </w:num>
  <w:num w:numId="18">
    <w:abstractNumId w:val="22"/>
  </w:num>
  <w:num w:numId="19">
    <w:abstractNumId w:val="7"/>
  </w:num>
  <w:num w:numId="20">
    <w:abstractNumId w:val="15"/>
  </w:num>
  <w:num w:numId="21">
    <w:abstractNumId w:val="3"/>
  </w:num>
  <w:num w:numId="22">
    <w:abstractNumId w:val="11"/>
  </w:num>
  <w:num w:numId="23">
    <w:abstractNumId w:val="17"/>
  </w:num>
  <w:num w:numId="24">
    <w:abstractNumId w:val="10"/>
  </w:num>
  <w:num w:numId="25">
    <w:abstractNumId w:val="18"/>
  </w:num>
  <w:num w:numId="26">
    <w:abstractNumId w:val="5"/>
  </w:num>
  <w:num w:numId="27">
    <w:abstractNumId w:val="27"/>
  </w:num>
  <w:num w:numId="28">
    <w:abstractNumId w:val="9"/>
  </w:num>
  <w:num w:numId="29">
    <w:abstractNumId w:val="29"/>
  </w:num>
  <w:num w:numId="30">
    <w:abstractNumId w:val="23"/>
  </w:num>
  <w:num w:numId="31">
    <w:abstractNumId w:val="16"/>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isplayBackgroundShap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C11"/>
    <w:rsid w:val="000015AE"/>
    <w:rsid w:val="00002722"/>
    <w:rsid w:val="000037BC"/>
    <w:rsid w:val="00003D2E"/>
    <w:rsid w:val="00004404"/>
    <w:rsid w:val="00006F04"/>
    <w:rsid w:val="000074A8"/>
    <w:rsid w:val="00007B32"/>
    <w:rsid w:val="000102CC"/>
    <w:rsid w:val="00011327"/>
    <w:rsid w:val="00011DCF"/>
    <w:rsid w:val="000149D0"/>
    <w:rsid w:val="00014C6E"/>
    <w:rsid w:val="00014CA1"/>
    <w:rsid w:val="000165E4"/>
    <w:rsid w:val="0001662B"/>
    <w:rsid w:val="00017BA8"/>
    <w:rsid w:val="000258B3"/>
    <w:rsid w:val="00025BC8"/>
    <w:rsid w:val="00030190"/>
    <w:rsid w:val="00035138"/>
    <w:rsid w:val="00036EB2"/>
    <w:rsid w:val="00037FF4"/>
    <w:rsid w:val="0004104E"/>
    <w:rsid w:val="000425FA"/>
    <w:rsid w:val="00042887"/>
    <w:rsid w:val="00043503"/>
    <w:rsid w:val="00047614"/>
    <w:rsid w:val="00053610"/>
    <w:rsid w:val="00054062"/>
    <w:rsid w:val="000543FF"/>
    <w:rsid w:val="00056B1A"/>
    <w:rsid w:val="00061170"/>
    <w:rsid w:val="0006156F"/>
    <w:rsid w:val="000631F1"/>
    <w:rsid w:val="0006528C"/>
    <w:rsid w:val="00065CAC"/>
    <w:rsid w:val="00065E62"/>
    <w:rsid w:val="00066214"/>
    <w:rsid w:val="00072CED"/>
    <w:rsid w:val="000765A5"/>
    <w:rsid w:val="0007732C"/>
    <w:rsid w:val="00077D48"/>
    <w:rsid w:val="00080DBE"/>
    <w:rsid w:val="00081267"/>
    <w:rsid w:val="000845EB"/>
    <w:rsid w:val="00090557"/>
    <w:rsid w:val="00090679"/>
    <w:rsid w:val="0009146E"/>
    <w:rsid w:val="00091E69"/>
    <w:rsid w:val="00092630"/>
    <w:rsid w:val="000937C9"/>
    <w:rsid w:val="000951AD"/>
    <w:rsid w:val="00096073"/>
    <w:rsid w:val="00097515"/>
    <w:rsid w:val="00097B7D"/>
    <w:rsid w:val="000A2194"/>
    <w:rsid w:val="000B005C"/>
    <w:rsid w:val="000B13B4"/>
    <w:rsid w:val="000B22CD"/>
    <w:rsid w:val="000B43A6"/>
    <w:rsid w:val="000C082E"/>
    <w:rsid w:val="000C0938"/>
    <w:rsid w:val="000C1D38"/>
    <w:rsid w:val="000C24B5"/>
    <w:rsid w:val="000C2D84"/>
    <w:rsid w:val="000C6A80"/>
    <w:rsid w:val="000D243E"/>
    <w:rsid w:val="000D46BF"/>
    <w:rsid w:val="000D6618"/>
    <w:rsid w:val="000D77CD"/>
    <w:rsid w:val="000D7CD8"/>
    <w:rsid w:val="000E3D2E"/>
    <w:rsid w:val="000E50D6"/>
    <w:rsid w:val="000E6493"/>
    <w:rsid w:val="000E7A5C"/>
    <w:rsid w:val="000F713B"/>
    <w:rsid w:val="00100E1B"/>
    <w:rsid w:val="00101143"/>
    <w:rsid w:val="00101441"/>
    <w:rsid w:val="001028D9"/>
    <w:rsid w:val="001043FE"/>
    <w:rsid w:val="00104CAC"/>
    <w:rsid w:val="0011088A"/>
    <w:rsid w:val="00114A2A"/>
    <w:rsid w:val="00115582"/>
    <w:rsid w:val="00121054"/>
    <w:rsid w:val="00121DBF"/>
    <w:rsid w:val="00122D4C"/>
    <w:rsid w:val="00127337"/>
    <w:rsid w:val="00127FC1"/>
    <w:rsid w:val="00130599"/>
    <w:rsid w:val="001330B4"/>
    <w:rsid w:val="001334EF"/>
    <w:rsid w:val="00134F0D"/>
    <w:rsid w:val="00135901"/>
    <w:rsid w:val="00140420"/>
    <w:rsid w:val="00143B73"/>
    <w:rsid w:val="00143F75"/>
    <w:rsid w:val="001456B7"/>
    <w:rsid w:val="00146287"/>
    <w:rsid w:val="001478A0"/>
    <w:rsid w:val="00150616"/>
    <w:rsid w:val="001506FD"/>
    <w:rsid w:val="00150C53"/>
    <w:rsid w:val="00151330"/>
    <w:rsid w:val="00155F2C"/>
    <w:rsid w:val="00156B24"/>
    <w:rsid w:val="00156DF1"/>
    <w:rsid w:val="00175460"/>
    <w:rsid w:val="00175FA8"/>
    <w:rsid w:val="00177578"/>
    <w:rsid w:val="00177CB1"/>
    <w:rsid w:val="00181A56"/>
    <w:rsid w:val="001839B6"/>
    <w:rsid w:val="00183C05"/>
    <w:rsid w:val="001852D9"/>
    <w:rsid w:val="00186118"/>
    <w:rsid w:val="00187663"/>
    <w:rsid w:val="00191A77"/>
    <w:rsid w:val="00192AF2"/>
    <w:rsid w:val="001946C3"/>
    <w:rsid w:val="00195EFC"/>
    <w:rsid w:val="001A7A40"/>
    <w:rsid w:val="001A7CF8"/>
    <w:rsid w:val="001B03F0"/>
    <w:rsid w:val="001B0B9A"/>
    <w:rsid w:val="001B124E"/>
    <w:rsid w:val="001B1DA6"/>
    <w:rsid w:val="001B1DF7"/>
    <w:rsid w:val="001B57B9"/>
    <w:rsid w:val="001B6741"/>
    <w:rsid w:val="001C0DEF"/>
    <w:rsid w:val="001C1430"/>
    <w:rsid w:val="001C6762"/>
    <w:rsid w:val="001D176F"/>
    <w:rsid w:val="001D2F1F"/>
    <w:rsid w:val="001D360F"/>
    <w:rsid w:val="001D4C11"/>
    <w:rsid w:val="001D603B"/>
    <w:rsid w:val="001E0B5E"/>
    <w:rsid w:val="001E1B37"/>
    <w:rsid w:val="001E22FE"/>
    <w:rsid w:val="001E3EB6"/>
    <w:rsid w:val="001E5A81"/>
    <w:rsid w:val="001E77DC"/>
    <w:rsid w:val="001F3BAF"/>
    <w:rsid w:val="001F4426"/>
    <w:rsid w:val="001F5D59"/>
    <w:rsid w:val="001F5DD0"/>
    <w:rsid w:val="001F6E15"/>
    <w:rsid w:val="00201BA3"/>
    <w:rsid w:val="002023E3"/>
    <w:rsid w:val="00210B72"/>
    <w:rsid w:val="00212E3E"/>
    <w:rsid w:val="0021405C"/>
    <w:rsid w:val="002173ED"/>
    <w:rsid w:val="002175C1"/>
    <w:rsid w:val="00217757"/>
    <w:rsid w:val="00224FDD"/>
    <w:rsid w:val="00230239"/>
    <w:rsid w:val="0023282B"/>
    <w:rsid w:val="002336FF"/>
    <w:rsid w:val="00236A89"/>
    <w:rsid w:val="00240197"/>
    <w:rsid w:val="002425CE"/>
    <w:rsid w:val="00244024"/>
    <w:rsid w:val="00245565"/>
    <w:rsid w:val="0024667B"/>
    <w:rsid w:val="0025134A"/>
    <w:rsid w:val="0025781B"/>
    <w:rsid w:val="0025795F"/>
    <w:rsid w:val="002601AA"/>
    <w:rsid w:val="002603F6"/>
    <w:rsid w:val="00263A6B"/>
    <w:rsid w:val="002648C2"/>
    <w:rsid w:val="00267B19"/>
    <w:rsid w:val="002715F9"/>
    <w:rsid w:val="00271C28"/>
    <w:rsid w:val="00272F99"/>
    <w:rsid w:val="00273FE1"/>
    <w:rsid w:val="00276B57"/>
    <w:rsid w:val="00281423"/>
    <w:rsid w:val="002814B3"/>
    <w:rsid w:val="0028187C"/>
    <w:rsid w:val="00283716"/>
    <w:rsid w:val="00284517"/>
    <w:rsid w:val="002848E8"/>
    <w:rsid w:val="00284AD6"/>
    <w:rsid w:val="00287289"/>
    <w:rsid w:val="00294525"/>
    <w:rsid w:val="00296453"/>
    <w:rsid w:val="002A302E"/>
    <w:rsid w:val="002A6ABB"/>
    <w:rsid w:val="002A70F9"/>
    <w:rsid w:val="002C03C5"/>
    <w:rsid w:val="002C147B"/>
    <w:rsid w:val="002C1481"/>
    <w:rsid w:val="002C3E6A"/>
    <w:rsid w:val="002C3F6A"/>
    <w:rsid w:val="002C46E5"/>
    <w:rsid w:val="002C5B83"/>
    <w:rsid w:val="002D3659"/>
    <w:rsid w:val="002D3DE7"/>
    <w:rsid w:val="002D3F04"/>
    <w:rsid w:val="002D799B"/>
    <w:rsid w:val="002E10F4"/>
    <w:rsid w:val="002E1F02"/>
    <w:rsid w:val="002E22A1"/>
    <w:rsid w:val="002E44EA"/>
    <w:rsid w:val="002E6617"/>
    <w:rsid w:val="002E7476"/>
    <w:rsid w:val="002F08D0"/>
    <w:rsid w:val="002F11C3"/>
    <w:rsid w:val="002F3891"/>
    <w:rsid w:val="002F3C7F"/>
    <w:rsid w:val="002F4A7F"/>
    <w:rsid w:val="002F4B74"/>
    <w:rsid w:val="002F61C0"/>
    <w:rsid w:val="00300A9B"/>
    <w:rsid w:val="0030153D"/>
    <w:rsid w:val="00302297"/>
    <w:rsid w:val="00306393"/>
    <w:rsid w:val="00306CD1"/>
    <w:rsid w:val="00307BAC"/>
    <w:rsid w:val="00311AC8"/>
    <w:rsid w:val="00312E9A"/>
    <w:rsid w:val="00313418"/>
    <w:rsid w:val="003144E5"/>
    <w:rsid w:val="0031670E"/>
    <w:rsid w:val="00316BAC"/>
    <w:rsid w:val="00316F58"/>
    <w:rsid w:val="0032078D"/>
    <w:rsid w:val="0032650D"/>
    <w:rsid w:val="00326D76"/>
    <w:rsid w:val="00326F0F"/>
    <w:rsid w:val="003273DA"/>
    <w:rsid w:val="00333823"/>
    <w:rsid w:val="00334616"/>
    <w:rsid w:val="00335402"/>
    <w:rsid w:val="0033598D"/>
    <w:rsid w:val="00341572"/>
    <w:rsid w:val="003428A5"/>
    <w:rsid w:val="00343A24"/>
    <w:rsid w:val="00344F39"/>
    <w:rsid w:val="00345E13"/>
    <w:rsid w:val="003468B7"/>
    <w:rsid w:val="00346F16"/>
    <w:rsid w:val="0035308C"/>
    <w:rsid w:val="00353C7F"/>
    <w:rsid w:val="0035454B"/>
    <w:rsid w:val="00354619"/>
    <w:rsid w:val="0035511B"/>
    <w:rsid w:val="00355DAF"/>
    <w:rsid w:val="00357AD1"/>
    <w:rsid w:val="00365F8A"/>
    <w:rsid w:val="00367654"/>
    <w:rsid w:val="00367B9C"/>
    <w:rsid w:val="00367ED2"/>
    <w:rsid w:val="00374DB1"/>
    <w:rsid w:val="00377873"/>
    <w:rsid w:val="003805C0"/>
    <w:rsid w:val="00380F3A"/>
    <w:rsid w:val="00380F3F"/>
    <w:rsid w:val="003840C6"/>
    <w:rsid w:val="00384593"/>
    <w:rsid w:val="00385426"/>
    <w:rsid w:val="0038548E"/>
    <w:rsid w:val="00386D2B"/>
    <w:rsid w:val="00390EA8"/>
    <w:rsid w:val="003931E5"/>
    <w:rsid w:val="003970DC"/>
    <w:rsid w:val="003972CA"/>
    <w:rsid w:val="00397C33"/>
    <w:rsid w:val="00397DB0"/>
    <w:rsid w:val="003A2DB0"/>
    <w:rsid w:val="003A4193"/>
    <w:rsid w:val="003A585A"/>
    <w:rsid w:val="003A758A"/>
    <w:rsid w:val="003B0C03"/>
    <w:rsid w:val="003B1360"/>
    <w:rsid w:val="003B18E4"/>
    <w:rsid w:val="003B2A00"/>
    <w:rsid w:val="003B2C83"/>
    <w:rsid w:val="003B591C"/>
    <w:rsid w:val="003C172B"/>
    <w:rsid w:val="003C599A"/>
    <w:rsid w:val="003C622B"/>
    <w:rsid w:val="003D0550"/>
    <w:rsid w:val="003D3EB9"/>
    <w:rsid w:val="003D5DA0"/>
    <w:rsid w:val="003E12E5"/>
    <w:rsid w:val="003E37D0"/>
    <w:rsid w:val="003E5830"/>
    <w:rsid w:val="003F01EF"/>
    <w:rsid w:val="003F034E"/>
    <w:rsid w:val="003F17F8"/>
    <w:rsid w:val="003F1D10"/>
    <w:rsid w:val="003F3951"/>
    <w:rsid w:val="003F45B8"/>
    <w:rsid w:val="003F52D2"/>
    <w:rsid w:val="00402EDB"/>
    <w:rsid w:val="00404CBA"/>
    <w:rsid w:val="0040601B"/>
    <w:rsid w:val="0040718C"/>
    <w:rsid w:val="00407533"/>
    <w:rsid w:val="00410AEE"/>
    <w:rsid w:val="00410C5F"/>
    <w:rsid w:val="00413BDC"/>
    <w:rsid w:val="0041465F"/>
    <w:rsid w:val="00420784"/>
    <w:rsid w:val="00420D87"/>
    <w:rsid w:val="00421252"/>
    <w:rsid w:val="00421378"/>
    <w:rsid w:val="00421544"/>
    <w:rsid w:val="00421F73"/>
    <w:rsid w:val="00423B81"/>
    <w:rsid w:val="004255AC"/>
    <w:rsid w:val="00427765"/>
    <w:rsid w:val="00427E15"/>
    <w:rsid w:val="00430228"/>
    <w:rsid w:val="004330D2"/>
    <w:rsid w:val="00433B53"/>
    <w:rsid w:val="00434983"/>
    <w:rsid w:val="004402D0"/>
    <w:rsid w:val="004425F9"/>
    <w:rsid w:val="00450678"/>
    <w:rsid w:val="004517EB"/>
    <w:rsid w:val="00456FCD"/>
    <w:rsid w:val="00457866"/>
    <w:rsid w:val="00461A0C"/>
    <w:rsid w:val="004627DB"/>
    <w:rsid w:val="00462F44"/>
    <w:rsid w:val="00463101"/>
    <w:rsid w:val="00464541"/>
    <w:rsid w:val="00464AAC"/>
    <w:rsid w:val="004663A5"/>
    <w:rsid w:val="00466F89"/>
    <w:rsid w:val="00470694"/>
    <w:rsid w:val="0047075B"/>
    <w:rsid w:val="00473A8F"/>
    <w:rsid w:val="00473C74"/>
    <w:rsid w:val="004749E8"/>
    <w:rsid w:val="00477125"/>
    <w:rsid w:val="00482E19"/>
    <w:rsid w:val="004831D8"/>
    <w:rsid w:val="004832B7"/>
    <w:rsid w:val="00486318"/>
    <w:rsid w:val="00486918"/>
    <w:rsid w:val="004872A2"/>
    <w:rsid w:val="0049433A"/>
    <w:rsid w:val="004948C8"/>
    <w:rsid w:val="0049563E"/>
    <w:rsid w:val="004958DF"/>
    <w:rsid w:val="00496278"/>
    <w:rsid w:val="00497D9C"/>
    <w:rsid w:val="00497FA8"/>
    <w:rsid w:val="004A2307"/>
    <w:rsid w:val="004A49E9"/>
    <w:rsid w:val="004B352B"/>
    <w:rsid w:val="004B46EF"/>
    <w:rsid w:val="004B4984"/>
    <w:rsid w:val="004B6B3E"/>
    <w:rsid w:val="004C0F4E"/>
    <w:rsid w:val="004C200E"/>
    <w:rsid w:val="004C30E5"/>
    <w:rsid w:val="004C424F"/>
    <w:rsid w:val="004C58E0"/>
    <w:rsid w:val="004C5EB5"/>
    <w:rsid w:val="004D16AD"/>
    <w:rsid w:val="004D36C8"/>
    <w:rsid w:val="004D4981"/>
    <w:rsid w:val="004D4A61"/>
    <w:rsid w:val="004D4DCA"/>
    <w:rsid w:val="004E1EF8"/>
    <w:rsid w:val="004E2DD8"/>
    <w:rsid w:val="004E40A8"/>
    <w:rsid w:val="004E668C"/>
    <w:rsid w:val="004F0F5C"/>
    <w:rsid w:val="004F160C"/>
    <w:rsid w:val="004F1667"/>
    <w:rsid w:val="004F16F2"/>
    <w:rsid w:val="004F1ACA"/>
    <w:rsid w:val="004F3B10"/>
    <w:rsid w:val="004F766B"/>
    <w:rsid w:val="0050005B"/>
    <w:rsid w:val="00502EA9"/>
    <w:rsid w:val="00503FD1"/>
    <w:rsid w:val="00504E94"/>
    <w:rsid w:val="00504F8A"/>
    <w:rsid w:val="00505716"/>
    <w:rsid w:val="00505D89"/>
    <w:rsid w:val="00506121"/>
    <w:rsid w:val="00515C0B"/>
    <w:rsid w:val="00515E7B"/>
    <w:rsid w:val="00517CD6"/>
    <w:rsid w:val="00520F3F"/>
    <w:rsid w:val="005229D7"/>
    <w:rsid w:val="00525629"/>
    <w:rsid w:val="005260CA"/>
    <w:rsid w:val="00530CA3"/>
    <w:rsid w:val="0053133E"/>
    <w:rsid w:val="00532116"/>
    <w:rsid w:val="00533DDA"/>
    <w:rsid w:val="0053415F"/>
    <w:rsid w:val="005355A7"/>
    <w:rsid w:val="0053587C"/>
    <w:rsid w:val="00537C13"/>
    <w:rsid w:val="00537EDB"/>
    <w:rsid w:val="005401C7"/>
    <w:rsid w:val="00541306"/>
    <w:rsid w:val="005415C5"/>
    <w:rsid w:val="005432D4"/>
    <w:rsid w:val="00546770"/>
    <w:rsid w:val="00547187"/>
    <w:rsid w:val="00547295"/>
    <w:rsid w:val="00551848"/>
    <w:rsid w:val="005519FB"/>
    <w:rsid w:val="00551B22"/>
    <w:rsid w:val="005531FF"/>
    <w:rsid w:val="00557A10"/>
    <w:rsid w:val="00564740"/>
    <w:rsid w:val="00565796"/>
    <w:rsid w:val="00567665"/>
    <w:rsid w:val="00570637"/>
    <w:rsid w:val="0057196F"/>
    <w:rsid w:val="005766AF"/>
    <w:rsid w:val="005769DD"/>
    <w:rsid w:val="00577BB7"/>
    <w:rsid w:val="00580669"/>
    <w:rsid w:val="00580CFB"/>
    <w:rsid w:val="00581184"/>
    <w:rsid w:val="00581A71"/>
    <w:rsid w:val="00585962"/>
    <w:rsid w:val="0058647D"/>
    <w:rsid w:val="00590EB2"/>
    <w:rsid w:val="00592D91"/>
    <w:rsid w:val="005977BC"/>
    <w:rsid w:val="00597896"/>
    <w:rsid w:val="005A15C1"/>
    <w:rsid w:val="005A4C24"/>
    <w:rsid w:val="005A4C7D"/>
    <w:rsid w:val="005B0190"/>
    <w:rsid w:val="005B04E0"/>
    <w:rsid w:val="005B0841"/>
    <w:rsid w:val="005B27FE"/>
    <w:rsid w:val="005C0C13"/>
    <w:rsid w:val="005C15A7"/>
    <w:rsid w:val="005C4287"/>
    <w:rsid w:val="005C6D9C"/>
    <w:rsid w:val="005C78C4"/>
    <w:rsid w:val="005D25DA"/>
    <w:rsid w:val="005D35A8"/>
    <w:rsid w:val="005D4699"/>
    <w:rsid w:val="005D53EF"/>
    <w:rsid w:val="005D5E23"/>
    <w:rsid w:val="005D71F4"/>
    <w:rsid w:val="005E02B9"/>
    <w:rsid w:val="005E0BCC"/>
    <w:rsid w:val="005E2112"/>
    <w:rsid w:val="005E2760"/>
    <w:rsid w:val="005F275B"/>
    <w:rsid w:val="005F44C4"/>
    <w:rsid w:val="005F7050"/>
    <w:rsid w:val="00601364"/>
    <w:rsid w:val="00602025"/>
    <w:rsid w:val="0060313C"/>
    <w:rsid w:val="00604139"/>
    <w:rsid w:val="00607292"/>
    <w:rsid w:val="00613E90"/>
    <w:rsid w:val="00620524"/>
    <w:rsid w:val="0062185C"/>
    <w:rsid w:val="00630972"/>
    <w:rsid w:val="00630F87"/>
    <w:rsid w:val="006312BB"/>
    <w:rsid w:val="00632604"/>
    <w:rsid w:val="00634097"/>
    <w:rsid w:val="0063728A"/>
    <w:rsid w:val="00641AD3"/>
    <w:rsid w:val="00643EB9"/>
    <w:rsid w:val="00644543"/>
    <w:rsid w:val="00647E34"/>
    <w:rsid w:val="0065001E"/>
    <w:rsid w:val="006512A1"/>
    <w:rsid w:val="006540D4"/>
    <w:rsid w:val="00656069"/>
    <w:rsid w:val="006569DE"/>
    <w:rsid w:val="00657D96"/>
    <w:rsid w:val="00665A82"/>
    <w:rsid w:val="00666B15"/>
    <w:rsid w:val="0066774D"/>
    <w:rsid w:val="00671B7F"/>
    <w:rsid w:val="0067249C"/>
    <w:rsid w:val="00675EFD"/>
    <w:rsid w:val="00676BBD"/>
    <w:rsid w:val="00683B4E"/>
    <w:rsid w:val="00686C66"/>
    <w:rsid w:val="00690FC4"/>
    <w:rsid w:val="0069138F"/>
    <w:rsid w:val="00691E99"/>
    <w:rsid w:val="006A0E61"/>
    <w:rsid w:val="006A150E"/>
    <w:rsid w:val="006A2932"/>
    <w:rsid w:val="006A3E2D"/>
    <w:rsid w:val="006A4184"/>
    <w:rsid w:val="006A738A"/>
    <w:rsid w:val="006A7FBE"/>
    <w:rsid w:val="006B1338"/>
    <w:rsid w:val="006B13A5"/>
    <w:rsid w:val="006B5B64"/>
    <w:rsid w:val="006B60DE"/>
    <w:rsid w:val="006B7147"/>
    <w:rsid w:val="006B736A"/>
    <w:rsid w:val="006B7391"/>
    <w:rsid w:val="006C1154"/>
    <w:rsid w:val="006C21AD"/>
    <w:rsid w:val="006C250B"/>
    <w:rsid w:val="006C492C"/>
    <w:rsid w:val="006C5E7B"/>
    <w:rsid w:val="006D2E65"/>
    <w:rsid w:val="006D4835"/>
    <w:rsid w:val="006D5DD4"/>
    <w:rsid w:val="006D614C"/>
    <w:rsid w:val="006E363F"/>
    <w:rsid w:val="006E6E74"/>
    <w:rsid w:val="006E7666"/>
    <w:rsid w:val="006E7A9C"/>
    <w:rsid w:val="006E7E9C"/>
    <w:rsid w:val="006F0248"/>
    <w:rsid w:val="006F27FC"/>
    <w:rsid w:val="006F3F4F"/>
    <w:rsid w:val="006F4DCF"/>
    <w:rsid w:val="006F6430"/>
    <w:rsid w:val="0070354F"/>
    <w:rsid w:val="00705F67"/>
    <w:rsid w:val="00706B24"/>
    <w:rsid w:val="00707176"/>
    <w:rsid w:val="0070771A"/>
    <w:rsid w:val="00710EAB"/>
    <w:rsid w:val="00711F99"/>
    <w:rsid w:val="00712F85"/>
    <w:rsid w:val="00713D58"/>
    <w:rsid w:val="007141EE"/>
    <w:rsid w:val="00715026"/>
    <w:rsid w:val="007169D1"/>
    <w:rsid w:val="00717073"/>
    <w:rsid w:val="007278AE"/>
    <w:rsid w:val="00730C61"/>
    <w:rsid w:val="007330F6"/>
    <w:rsid w:val="00733B46"/>
    <w:rsid w:val="007407E9"/>
    <w:rsid w:val="007416D3"/>
    <w:rsid w:val="00741B34"/>
    <w:rsid w:val="00744928"/>
    <w:rsid w:val="007459A2"/>
    <w:rsid w:val="00745CA8"/>
    <w:rsid w:val="007505B0"/>
    <w:rsid w:val="007514B7"/>
    <w:rsid w:val="007565A9"/>
    <w:rsid w:val="0076048B"/>
    <w:rsid w:val="00761BA4"/>
    <w:rsid w:val="0076435D"/>
    <w:rsid w:val="007663AC"/>
    <w:rsid w:val="007705C6"/>
    <w:rsid w:val="00770DF2"/>
    <w:rsid w:val="007717FE"/>
    <w:rsid w:val="00771DC9"/>
    <w:rsid w:val="00772A17"/>
    <w:rsid w:val="0077302D"/>
    <w:rsid w:val="007739AF"/>
    <w:rsid w:val="0077404D"/>
    <w:rsid w:val="00774D2A"/>
    <w:rsid w:val="00774FE2"/>
    <w:rsid w:val="0077575D"/>
    <w:rsid w:val="00776A23"/>
    <w:rsid w:val="007825C5"/>
    <w:rsid w:val="00783EC5"/>
    <w:rsid w:val="00791C30"/>
    <w:rsid w:val="0079524A"/>
    <w:rsid w:val="007A0CD1"/>
    <w:rsid w:val="007A24B4"/>
    <w:rsid w:val="007A261B"/>
    <w:rsid w:val="007B2463"/>
    <w:rsid w:val="007B5607"/>
    <w:rsid w:val="007C2FB2"/>
    <w:rsid w:val="007C356E"/>
    <w:rsid w:val="007C35AB"/>
    <w:rsid w:val="007C562F"/>
    <w:rsid w:val="007C701B"/>
    <w:rsid w:val="007C7B6F"/>
    <w:rsid w:val="007D14AF"/>
    <w:rsid w:val="007D2453"/>
    <w:rsid w:val="007D73EB"/>
    <w:rsid w:val="007E2704"/>
    <w:rsid w:val="007E5C02"/>
    <w:rsid w:val="007E7C5B"/>
    <w:rsid w:val="007F1401"/>
    <w:rsid w:val="007F3A22"/>
    <w:rsid w:val="00800738"/>
    <w:rsid w:val="008010E8"/>
    <w:rsid w:val="00804BA4"/>
    <w:rsid w:val="00806177"/>
    <w:rsid w:val="00811E8E"/>
    <w:rsid w:val="00812771"/>
    <w:rsid w:val="00813049"/>
    <w:rsid w:val="00813305"/>
    <w:rsid w:val="00813B2E"/>
    <w:rsid w:val="00815541"/>
    <w:rsid w:val="00815814"/>
    <w:rsid w:val="00816D97"/>
    <w:rsid w:val="008179B7"/>
    <w:rsid w:val="00830EC3"/>
    <w:rsid w:val="00831B58"/>
    <w:rsid w:val="00831F8D"/>
    <w:rsid w:val="00833C9F"/>
    <w:rsid w:val="00837E8D"/>
    <w:rsid w:val="008406F0"/>
    <w:rsid w:val="008422F1"/>
    <w:rsid w:val="00843DB3"/>
    <w:rsid w:val="00845611"/>
    <w:rsid w:val="00850424"/>
    <w:rsid w:val="008515C5"/>
    <w:rsid w:val="00860B7D"/>
    <w:rsid w:val="00863F52"/>
    <w:rsid w:val="00864E0E"/>
    <w:rsid w:val="00865608"/>
    <w:rsid w:val="0086592B"/>
    <w:rsid w:val="00867CCC"/>
    <w:rsid w:val="008729AC"/>
    <w:rsid w:val="00872A2D"/>
    <w:rsid w:val="008755DF"/>
    <w:rsid w:val="0087585D"/>
    <w:rsid w:val="00877AF8"/>
    <w:rsid w:val="008832A1"/>
    <w:rsid w:val="00884365"/>
    <w:rsid w:val="008872A4"/>
    <w:rsid w:val="00887B0E"/>
    <w:rsid w:val="00896613"/>
    <w:rsid w:val="00897C45"/>
    <w:rsid w:val="008A06B7"/>
    <w:rsid w:val="008A1AEB"/>
    <w:rsid w:val="008A1F80"/>
    <w:rsid w:val="008A50EA"/>
    <w:rsid w:val="008A79BA"/>
    <w:rsid w:val="008B0F7E"/>
    <w:rsid w:val="008B37AE"/>
    <w:rsid w:val="008B7228"/>
    <w:rsid w:val="008B777E"/>
    <w:rsid w:val="008B7ED8"/>
    <w:rsid w:val="008C032E"/>
    <w:rsid w:val="008D064A"/>
    <w:rsid w:val="008D239F"/>
    <w:rsid w:val="008D2485"/>
    <w:rsid w:val="008D3DE3"/>
    <w:rsid w:val="008D3F1F"/>
    <w:rsid w:val="008E1923"/>
    <w:rsid w:val="008E23A6"/>
    <w:rsid w:val="008E2E6B"/>
    <w:rsid w:val="008E55AB"/>
    <w:rsid w:val="008E5886"/>
    <w:rsid w:val="008E5D34"/>
    <w:rsid w:val="008E725E"/>
    <w:rsid w:val="008F0A47"/>
    <w:rsid w:val="008F2233"/>
    <w:rsid w:val="008F2736"/>
    <w:rsid w:val="008F4C7F"/>
    <w:rsid w:val="008F6B0D"/>
    <w:rsid w:val="009001F8"/>
    <w:rsid w:val="009020A3"/>
    <w:rsid w:val="00903B8E"/>
    <w:rsid w:val="00904EE3"/>
    <w:rsid w:val="00904F46"/>
    <w:rsid w:val="00906775"/>
    <w:rsid w:val="009072CE"/>
    <w:rsid w:val="00910410"/>
    <w:rsid w:val="00913926"/>
    <w:rsid w:val="009156DD"/>
    <w:rsid w:val="009169F2"/>
    <w:rsid w:val="0092166C"/>
    <w:rsid w:val="00922EF6"/>
    <w:rsid w:val="009230A1"/>
    <w:rsid w:val="0092346C"/>
    <w:rsid w:val="00923BF4"/>
    <w:rsid w:val="00927A12"/>
    <w:rsid w:val="00930316"/>
    <w:rsid w:val="00931F3E"/>
    <w:rsid w:val="009324C8"/>
    <w:rsid w:val="00935656"/>
    <w:rsid w:val="00935881"/>
    <w:rsid w:val="00936F10"/>
    <w:rsid w:val="00937542"/>
    <w:rsid w:val="00943A9F"/>
    <w:rsid w:val="009519B7"/>
    <w:rsid w:val="00952111"/>
    <w:rsid w:val="0095326D"/>
    <w:rsid w:val="00953F07"/>
    <w:rsid w:val="00954FC1"/>
    <w:rsid w:val="00955A48"/>
    <w:rsid w:val="0095713F"/>
    <w:rsid w:val="00957F02"/>
    <w:rsid w:val="00960139"/>
    <w:rsid w:val="00960212"/>
    <w:rsid w:val="00962AB1"/>
    <w:rsid w:val="00964C69"/>
    <w:rsid w:val="009665D3"/>
    <w:rsid w:val="00966D51"/>
    <w:rsid w:val="00971BE2"/>
    <w:rsid w:val="00971CD8"/>
    <w:rsid w:val="00977398"/>
    <w:rsid w:val="00977E84"/>
    <w:rsid w:val="00980506"/>
    <w:rsid w:val="00981C4F"/>
    <w:rsid w:val="00985289"/>
    <w:rsid w:val="00986094"/>
    <w:rsid w:val="00987380"/>
    <w:rsid w:val="0098746D"/>
    <w:rsid w:val="00987922"/>
    <w:rsid w:val="00990739"/>
    <w:rsid w:val="0099476C"/>
    <w:rsid w:val="00994C85"/>
    <w:rsid w:val="009A3197"/>
    <w:rsid w:val="009A3A3E"/>
    <w:rsid w:val="009A73F0"/>
    <w:rsid w:val="009B0130"/>
    <w:rsid w:val="009B1AE8"/>
    <w:rsid w:val="009B1E9F"/>
    <w:rsid w:val="009B2B3C"/>
    <w:rsid w:val="009B614A"/>
    <w:rsid w:val="009B76B8"/>
    <w:rsid w:val="009C1B9A"/>
    <w:rsid w:val="009C410B"/>
    <w:rsid w:val="009C4F4D"/>
    <w:rsid w:val="009C742E"/>
    <w:rsid w:val="009C768F"/>
    <w:rsid w:val="009D1FA5"/>
    <w:rsid w:val="009D262F"/>
    <w:rsid w:val="009D4B93"/>
    <w:rsid w:val="009E2549"/>
    <w:rsid w:val="009E537C"/>
    <w:rsid w:val="009E5531"/>
    <w:rsid w:val="009E64B1"/>
    <w:rsid w:val="009E67B8"/>
    <w:rsid w:val="009E681E"/>
    <w:rsid w:val="009E6F70"/>
    <w:rsid w:val="009E7286"/>
    <w:rsid w:val="009E78E8"/>
    <w:rsid w:val="009F1335"/>
    <w:rsid w:val="00A02CA9"/>
    <w:rsid w:val="00A04DAB"/>
    <w:rsid w:val="00A06F05"/>
    <w:rsid w:val="00A073B3"/>
    <w:rsid w:val="00A07F8F"/>
    <w:rsid w:val="00A11158"/>
    <w:rsid w:val="00A118E2"/>
    <w:rsid w:val="00A140FD"/>
    <w:rsid w:val="00A14110"/>
    <w:rsid w:val="00A15E8F"/>
    <w:rsid w:val="00A17316"/>
    <w:rsid w:val="00A216E6"/>
    <w:rsid w:val="00A24EA1"/>
    <w:rsid w:val="00A25D6D"/>
    <w:rsid w:val="00A26153"/>
    <w:rsid w:val="00A27884"/>
    <w:rsid w:val="00A27D88"/>
    <w:rsid w:val="00A30735"/>
    <w:rsid w:val="00A31FE7"/>
    <w:rsid w:val="00A37F8F"/>
    <w:rsid w:val="00A4205B"/>
    <w:rsid w:val="00A4427B"/>
    <w:rsid w:val="00A47B60"/>
    <w:rsid w:val="00A50564"/>
    <w:rsid w:val="00A52443"/>
    <w:rsid w:val="00A5251E"/>
    <w:rsid w:val="00A55550"/>
    <w:rsid w:val="00A61C53"/>
    <w:rsid w:val="00A6239F"/>
    <w:rsid w:val="00A6758D"/>
    <w:rsid w:val="00A70175"/>
    <w:rsid w:val="00A7366A"/>
    <w:rsid w:val="00A774E5"/>
    <w:rsid w:val="00A80798"/>
    <w:rsid w:val="00A81767"/>
    <w:rsid w:val="00A81937"/>
    <w:rsid w:val="00A8250A"/>
    <w:rsid w:val="00A82589"/>
    <w:rsid w:val="00A83698"/>
    <w:rsid w:val="00A91229"/>
    <w:rsid w:val="00A91E7B"/>
    <w:rsid w:val="00A9456D"/>
    <w:rsid w:val="00A94F6E"/>
    <w:rsid w:val="00A96A74"/>
    <w:rsid w:val="00A96B12"/>
    <w:rsid w:val="00A979CD"/>
    <w:rsid w:val="00AA0899"/>
    <w:rsid w:val="00AA1AB0"/>
    <w:rsid w:val="00AA1F05"/>
    <w:rsid w:val="00AA31C9"/>
    <w:rsid w:val="00AA35A5"/>
    <w:rsid w:val="00AA4142"/>
    <w:rsid w:val="00AB3F63"/>
    <w:rsid w:val="00AB64B3"/>
    <w:rsid w:val="00AC1C25"/>
    <w:rsid w:val="00AC1F3C"/>
    <w:rsid w:val="00AC43BB"/>
    <w:rsid w:val="00AC467E"/>
    <w:rsid w:val="00AD1810"/>
    <w:rsid w:val="00AD3501"/>
    <w:rsid w:val="00AD54E8"/>
    <w:rsid w:val="00AD59FA"/>
    <w:rsid w:val="00AD6B2E"/>
    <w:rsid w:val="00AE10A9"/>
    <w:rsid w:val="00AE51EF"/>
    <w:rsid w:val="00AE603D"/>
    <w:rsid w:val="00AE7817"/>
    <w:rsid w:val="00AF1159"/>
    <w:rsid w:val="00AF2B6B"/>
    <w:rsid w:val="00AF34B0"/>
    <w:rsid w:val="00AF66BC"/>
    <w:rsid w:val="00B00B01"/>
    <w:rsid w:val="00B02137"/>
    <w:rsid w:val="00B024A1"/>
    <w:rsid w:val="00B027D7"/>
    <w:rsid w:val="00B02D1A"/>
    <w:rsid w:val="00B036A6"/>
    <w:rsid w:val="00B03ECC"/>
    <w:rsid w:val="00B064C2"/>
    <w:rsid w:val="00B075DA"/>
    <w:rsid w:val="00B07682"/>
    <w:rsid w:val="00B100E6"/>
    <w:rsid w:val="00B105A2"/>
    <w:rsid w:val="00B1096C"/>
    <w:rsid w:val="00B13192"/>
    <w:rsid w:val="00B15376"/>
    <w:rsid w:val="00B2015F"/>
    <w:rsid w:val="00B23D1C"/>
    <w:rsid w:val="00B252FB"/>
    <w:rsid w:val="00B27C06"/>
    <w:rsid w:val="00B30F74"/>
    <w:rsid w:val="00B33054"/>
    <w:rsid w:val="00B339D3"/>
    <w:rsid w:val="00B35C59"/>
    <w:rsid w:val="00B364D8"/>
    <w:rsid w:val="00B36A95"/>
    <w:rsid w:val="00B37C7B"/>
    <w:rsid w:val="00B411D0"/>
    <w:rsid w:val="00B41488"/>
    <w:rsid w:val="00B41DEA"/>
    <w:rsid w:val="00B4232B"/>
    <w:rsid w:val="00B448D0"/>
    <w:rsid w:val="00B4523E"/>
    <w:rsid w:val="00B471A8"/>
    <w:rsid w:val="00B57D0D"/>
    <w:rsid w:val="00B6046D"/>
    <w:rsid w:val="00B60879"/>
    <w:rsid w:val="00B62E8A"/>
    <w:rsid w:val="00B64527"/>
    <w:rsid w:val="00B64AD6"/>
    <w:rsid w:val="00B64DAE"/>
    <w:rsid w:val="00B64ED7"/>
    <w:rsid w:val="00B65852"/>
    <w:rsid w:val="00B67045"/>
    <w:rsid w:val="00B677E6"/>
    <w:rsid w:val="00B67968"/>
    <w:rsid w:val="00B67E30"/>
    <w:rsid w:val="00B706BC"/>
    <w:rsid w:val="00B72C64"/>
    <w:rsid w:val="00B7481A"/>
    <w:rsid w:val="00B77E95"/>
    <w:rsid w:val="00B82208"/>
    <w:rsid w:val="00B82AB2"/>
    <w:rsid w:val="00B82FB5"/>
    <w:rsid w:val="00B83E86"/>
    <w:rsid w:val="00B86148"/>
    <w:rsid w:val="00B87022"/>
    <w:rsid w:val="00B874D6"/>
    <w:rsid w:val="00B87BF4"/>
    <w:rsid w:val="00B929EA"/>
    <w:rsid w:val="00B9623E"/>
    <w:rsid w:val="00B968FC"/>
    <w:rsid w:val="00BA1EB5"/>
    <w:rsid w:val="00BA462C"/>
    <w:rsid w:val="00BA5FA2"/>
    <w:rsid w:val="00BA6971"/>
    <w:rsid w:val="00BB0039"/>
    <w:rsid w:val="00BB3C2C"/>
    <w:rsid w:val="00BB5469"/>
    <w:rsid w:val="00BB57D4"/>
    <w:rsid w:val="00BB5F09"/>
    <w:rsid w:val="00BC1BF3"/>
    <w:rsid w:val="00BC2FA2"/>
    <w:rsid w:val="00BC31DA"/>
    <w:rsid w:val="00BC5DFE"/>
    <w:rsid w:val="00BC7564"/>
    <w:rsid w:val="00BD0665"/>
    <w:rsid w:val="00BD4345"/>
    <w:rsid w:val="00BD4662"/>
    <w:rsid w:val="00BD4C56"/>
    <w:rsid w:val="00BD7480"/>
    <w:rsid w:val="00BE3447"/>
    <w:rsid w:val="00BE3BAD"/>
    <w:rsid w:val="00BE4894"/>
    <w:rsid w:val="00BE657A"/>
    <w:rsid w:val="00BE7094"/>
    <w:rsid w:val="00BF065A"/>
    <w:rsid w:val="00BF1C23"/>
    <w:rsid w:val="00BF262F"/>
    <w:rsid w:val="00BF4405"/>
    <w:rsid w:val="00BF7226"/>
    <w:rsid w:val="00C015B6"/>
    <w:rsid w:val="00C030C5"/>
    <w:rsid w:val="00C03961"/>
    <w:rsid w:val="00C04D2D"/>
    <w:rsid w:val="00C05117"/>
    <w:rsid w:val="00C05554"/>
    <w:rsid w:val="00C05C2E"/>
    <w:rsid w:val="00C071EB"/>
    <w:rsid w:val="00C1074E"/>
    <w:rsid w:val="00C10EBF"/>
    <w:rsid w:val="00C14A64"/>
    <w:rsid w:val="00C202ED"/>
    <w:rsid w:val="00C209E8"/>
    <w:rsid w:val="00C20F7B"/>
    <w:rsid w:val="00C21E94"/>
    <w:rsid w:val="00C2310F"/>
    <w:rsid w:val="00C252AB"/>
    <w:rsid w:val="00C255AF"/>
    <w:rsid w:val="00C25704"/>
    <w:rsid w:val="00C25828"/>
    <w:rsid w:val="00C26909"/>
    <w:rsid w:val="00C30FDF"/>
    <w:rsid w:val="00C32CB4"/>
    <w:rsid w:val="00C34B70"/>
    <w:rsid w:val="00C35AD9"/>
    <w:rsid w:val="00C366A8"/>
    <w:rsid w:val="00C3677E"/>
    <w:rsid w:val="00C3723F"/>
    <w:rsid w:val="00C44EF4"/>
    <w:rsid w:val="00C45C0D"/>
    <w:rsid w:val="00C47123"/>
    <w:rsid w:val="00C51FAB"/>
    <w:rsid w:val="00C62280"/>
    <w:rsid w:val="00C62D71"/>
    <w:rsid w:val="00C645D6"/>
    <w:rsid w:val="00C652DD"/>
    <w:rsid w:val="00C67161"/>
    <w:rsid w:val="00C673A6"/>
    <w:rsid w:val="00C715E8"/>
    <w:rsid w:val="00C72754"/>
    <w:rsid w:val="00C72B2D"/>
    <w:rsid w:val="00C74725"/>
    <w:rsid w:val="00C75985"/>
    <w:rsid w:val="00C810DD"/>
    <w:rsid w:val="00C82174"/>
    <w:rsid w:val="00C83394"/>
    <w:rsid w:val="00C85DEC"/>
    <w:rsid w:val="00C87BF4"/>
    <w:rsid w:val="00C91594"/>
    <w:rsid w:val="00C91C48"/>
    <w:rsid w:val="00C95149"/>
    <w:rsid w:val="00C9690D"/>
    <w:rsid w:val="00C9734E"/>
    <w:rsid w:val="00CA074D"/>
    <w:rsid w:val="00CA0A13"/>
    <w:rsid w:val="00CA1F5A"/>
    <w:rsid w:val="00CA29FD"/>
    <w:rsid w:val="00CA45F8"/>
    <w:rsid w:val="00CB0413"/>
    <w:rsid w:val="00CB0A62"/>
    <w:rsid w:val="00CB1A73"/>
    <w:rsid w:val="00CB5901"/>
    <w:rsid w:val="00CB5C9B"/>
    <w:rsid w:val="00CB678B"/>
    <w:rsid w:val="00CB78CE"/>
    <w:rsid w:val="00CC05DC"/>
    <w:rsid w:val="00CC1A48"/>
    <w:rsid w:val="00CC32A4"/>
    <w:rsid w:val="00CC336E"/>
    <w:rsid w:val="00CC3839"/>
    <w:rsid w:val="00CC3FC6"/>
    <w:rsid w:val="00CC3FDB"/>
    <w:rsid w:val="00CC4D7A"/>
    <w:rsid w:val="00CC5AC0"/>
    <w:rsid w:val="00CC5C9F"/>
    <w:rsid w:val="00CC5F5A"/>
    <w:rsid w:val="00CC600D"/>
    <w:rsid w:val="00CC6B94"/>
    <w:rsid w:val="00CD04D1"/>
    <w:rsid w:val="00CD08C2"/>
    <w:rsid w:val="00CD1202"/>
    <w:rsid w:val="00CD1ED8"/>
    <w:rsid w:val="00CD28C2"/>
    <w:rsid w:val="00CD379D"/>
    <w:rsid w:val="00CD4D8C"/>
    <w:rsid w:val="00CD5104"/>
    <w:rsid w:val="00CD5869"/>
    <w:rsid w:val="00CD7944"/>
    <w:rsid w:val="00CE038A"/>
    <w:rsid w:val="00CE2AE7"/>
    <w:rsid w:val="00CE2DAF"/>
    <w:rsid w:val="00CF00FD"/>
    <w:rsid w:val="00CF03FC"/>
    <w:rsid w:val="00CF09A5"/>
    <w:rsid w:val="00CF13A1"/>
    <w:rsid w:val="00CF3BD6"/>
    <w:rsid w:val="00CF40FD"/>
    <w:rsid w:val="00CF4131"/>
    <w:rsid w:val="00CF6AB0"/>
    <w:rsid w:val="00D01F5C"/>
    <w:rsid w:val="00D0281D"/>
    <w:rsid w:val="00D04575"/>
    <w:rsid w:val="00D05AD3"/>
    <w:rsid w:val="00D06503"/>
    <w:rsid w:val="00D06A66"/>
    <w:rsid w:val="00D07DE0"/>
    <w:rsid w:val="00D1004D"/>
    <w:rsid w:val="00D10944"/>
    <w:rsid w:val="00D10CE7"/>
    <w:rsid w:val="00D141E3"/>
    <w:rsid w:val="00D155FF"/>
    <w:rsid w:val="00D16C52"/>
    <w:rsid w:val="00D20162"/>
    <w:rsid w:val="00D2215E"/>
    <w:rsid w:val="00D22BED"/>
    <w:rsid w:val="00D26494"/>
    <w:rsid w:val="00D26685"/>
    <w:rsid w:val="00D30971"/>
    <w:rsid w:val="00D32683"/>
    <w:rsid w:val="00D35C24"/>
    <w:rsid w:val="00D3734F"/>
    <w:rsid w:val="00D37F21"/>
    <w:rsid w:val="00D400AA"/>
    <w:rsid w:val="00D409B4"/>
    <w:rsid w:val="00D414FC"/>
    <w:rsid w:val="00D46405"/>
    <w:rsid w:val="00D50956"/>
    <w:rsid w:val="00D5333A"/>
    <w:rsid w:val="00D555D6"/>
    <w:rsid w:val="00D61227"/>
    <w:rsid w:val="00D61832"/>
    <w:rsid w:val="00D623D3"/>
    <w:rsid w:val="00D70B2F"/>
    <w:rsid w:val="00D767B2"/>
    <w:rsid w:val="00D77D6E"/>
    <w:rsid w:val="00D804D1"/>
    <w:rsid w:val="00D80D43"/>
    <w:rsid w:val="00D8312F"/>
    <w:rsid w:val="00D838F0"/>
    <w:rsid w:val="00D84C35"/>
    <w:rsid w:val="00D86996"/>
    <w:rsid w:val="00D86F9E"/>
    <w:rsid w:val="00D94735"/>
    <w:rsid w:val="00D976BD"/>
    <w:rsid w:val="00DA02D6"/>
    <w:rsid w:val="00DA1660"/>
    <w:rsid w:val="00DA16BF"/>
    <w:rsid w:val="00DA2CE4"/>
    <w:rsid w:val="00DA5E19"/>
    <w:rsid w:val="00DA679F"/>
    <w:rsid w:val="00DA6D17"/>
    <w:rsid w:val="00DA757D"/>
    <w:rsid w:val="00DA7692"/>
    <w:rsid w:val="00DA79D6"/>
    <w:rsid w:val="00DA7A61"/>
    <w:rsid w:val="00DB028F"/>
    <w:rsid w:val="00DB0B66"/>
    <w:rsid w:val="00DB15F0"/>
    <w:rsid w:val="00DB57FE"/>
    <w:rsid w:val="00DB7D52"/>
    <w:rsid w:val="00DC12E3"/>
    <w:rsid w:val="00DC14EB"/>
    <w:rsid w:val="00DD091E"/>
    <w:rsid w:val="00DD0B79"/>
    <w:rsid w:val="00DD0DCF"/>
    <w:rsid w:val="00DD21F5"/>
    <w:rsid w:val="00DD2C5F"/>
    <w:rsid w:val="00DD6104"/>
    <w:rsid w:val="00DD6E20"/>
    <w:rsid w:val="00DD7755"/>
    <w:rsid w:val="00DE0B86"/>
    <w:rsid w:val="00DE2AAB"/>
    <w:rsid w:val="00DE3D43"/>
    <w:rsid w:val="00DE5025"/>
    <w:rsid w:val="00DE613E"/>
    <w:rsid w:val="00DF0CCF"/>
    <w:rsid w:val="00DF0D54"/>
    <w:rsid w:val="00DF32C3"/>
    <w:rsid w:val="00DF3B30"/>
    <w:rsid w:val="00DF48FA"/>
    <w:rsid w:val="00DF6892"/>
    <w:rsid w:val="00DF7DDC"/>
    <w:rsid w:val="00E04693"/>
    <w:rsid w:val="00E05F53"/>
    <w:rsid w:val="00E1085F"/>
    <w:rsid w:val="00E11908"/>
    <w:rsid w:val="00E15706"/>
    <w:rsid w:val="00E20148"/>
    <w:rsid w:val="00E2045B"/>
    <w:rsid w:val="00E21906"/>
    <w:rsid w:val="00E21AB6"/>
    <w:rsid w:val="00E25615"/>
    <w:rsid w:val="00E259ED"/>
    <w:rsid w:val="00E25CC4"/>
    <w:rsid w:val="00E2667E"/>
    <w:rsid w:val="00E26D29"/>
    <w:rsid w:val="00E3108F"/>
    <w:rsid w:val="00E31B1B"/>
    <w:rsid w:val="00E31DC2"/>
    <w:rsid w:val="00E327FF"/>
    <w:rsid w:val="00E34B9D"/>
    <w:rsid w:val="00E354BB"/>
    <w:rsid w:val="00E3557A"/>
    <w:rsid w:val="00E4084A"/>
    <w:rsid w:val="00E41BC5"/>
    <w:rsid w:val="00E43EC4"/>
    <w:rsid w:val="00E50446"/>
    <w:rsid w:val="00E50FC6"/>
    <w:rsid w:val="00E51058"/>
    <w:rsid w:val="00E51109"/>
    <w:rsid w:val="00E524E3"/>
    <w:rsid w:val="00E53FF0"/>
    <w:rsid w:val="00E542B0"/>
    <w:rsid w:val="00E5645A"/>
    <w:rsid w:val="00E56EA5"/>
    <w:rsid w:val="00E5762C"/>
    <w:rsid w:val="00E57F82"/>
    <w:rsid w:val="00E6077B"/>
    <w:rsid w:val="00E60AF6"/>
    <w:rsid w:val="00E6512A"/>
    <w:rsid w:val="00E6750F"/>
    <w:rsid w:val="00E6758A"/>
    <w:rsid w:val="00E71BB4"/>
    <w:rsid w:val="00E7255F"/>
    <w:rsid w:val="00E7286C"/>
    <w:rsid w:val="00E72988"/>
    <w:rsid w:val="00E755AE"/>
    <w:rsid w:val="00E758D0"/>
    <w:rsid w:val="00E772D4"/>
    <w:rsid w:val="00E80C0F"/>
    <w:rsid w:val="00E82430"/>
    <w:rsid w:val="00E82FAB"/>
    <w:rsid w:val="00E85896"/>
    <w:rsid w:val="00E861E5"/>
    <w:rsid w:val="00E869CB"/>
    <w:rsid w:val="00E877A1"/>
    <w:rsid w:val="00E949F5"/>
    <w:rsid w:val="00E95131"/>
    <w:rsid w:val="00EA0888"/>
    <w:rsid w:val="00EA10CE"/>
    <w:rsid w:val="00EA152D"/>
    <w:rsid w:val="00EA1EF5"/>
    <w:rsid w:val="00EA2D8F"/>
    <w:rsid w:val="00EA542A"/>
    <w:rsid w:val="00EA5AB4"/>
    <w:rsid w:val="00EA6EFA"/>
    <w:rsid w:val="00EA6F34"/>
    <w:rsid w:val="00EA75A0"/>
    <w:rsid w:val="00EB05FF"/>
    <w:rsid w:val="00EB0B9E"/>
    <w:rsid w:val="00EB11B9"/>
    <w:rsid w:val="00EB2238"/>
    <w:rsid w:val="00EB2618"/>
    <w:rsid w:val="00EB40F6"/>
    <w:rsid w:val="00EB439F"/>
    <w:rsid w:val="00EB4FC4"/>
    <w:rsid w:val="00EB573E"/>
    <w:rsid w:val="00EB58A0"/>
    <w:rsid w:val="00EB7AEB"/>
    <w:rsid w:val="00EC2716"/>
    <w:rsid w:val="00EC2A38"/>
    <w:rsid w:val="00EC43DD"/>
    <w:rsid w:val="00EC6D88"/>
    <w:rsid w:val="00ED111E"/>
    <w:rsid w:val="00ED36F8"/>
    <w:rsid w:val="00ED464C"/>
    <w:rsid w:val="00ED6653"/>
    <w:rsid w:val="00ED6A43"/>
    <w:rsid w:val="00EE0FC6"/>
    <w:rsid w:val="00EE27EF"/>
    <w:rsid w:val="00EE3CF8"/>
    <w:rsid w:val="00EE3D0D"/>
    <w:rsid w:val="00EE4B08"/>
    <w:rsid w:val="00EE4E34"/>
    <w:rsid w:val="00EE5FD6"/>
    <w:rsid w:val="00EE70A1"/>
    <w:rsid w:val="00EE7981"/>
    <w:rsid w:val="00EF034D"/>
    <w:rsid w:val="00EF2DC1"/>
    <w:rsid w:val="00EF3DE7"/>
    <w:rsid w:val="00EF4D2C"/>
    <w:rsid w:val="00F01F06"/>
    <w:rsid w:val="00F02BD5"/>
    <w:rsid w:val="00F06038"/>
    <w:rsid w:val="00F06A53"/>
    <w:rsid w:val="00F11362"/>
    <w:rsid w:val="00F14853"/>
    <w:rsid w:val="00F1548A"/>
    <w:rsid w:val="00F16205"/>
    <w:rsid w:val="00F16875"/>
    <w:rsid w:val="00F17F3A"/>
    <w:rsid w:val="00F20241"/>
    <w:rsid w:val="00F2121D"/>
    <w:rsid w:val="00F238B1"/>
    <w:rsid w:val="00F30591"/>
    <w:rsid w:val="00F31BDC"/>
    <w:rsid w:val="00F32CBF"/>
    <w:rsid w:val="00F35D78"/>
    <w:rsid w:val="00F37AD6"/>
    <w:rsid w:val="00F4065F"/>
    <w:rsid w:val="00F40823"/>
    <w:rsid w:val="00F40F0C"/>
    <w:rsid w:val="00F4240D"/>
    <w:rsid w:val="00F43E15"/>
    <w:rsid w:val="00F455F5"/>
    <w:rsid w:val="00F527A3"/>
    <w:rsid w:val="00F53F58"/>
    <w:rsid w:val="00F5667E"/>
    <w:rsid w:val="00F56BD5"/>
    <w:rsid w:val="00F56D60"/>
    <w:rsid w:val="00F56D73"/>
    <w:rsid w:val="00F57B06"/>
    <w:rsid w:val="00F57C2D"/>
    <w:rsid w:val="00F6016A"/>
    <w:rsid w:val="00F6424B"/>
    <w:rsid w:val="00F64AE7"/>
    <w:rsid w:val="00F6519B"/>
    <w:rsid w:val="00F6538A"/>
    <w:rsid w:val="00F65653"/>
    <w:rsid w:val="00F6586B"/>
    <w:rsid w:val="00F66F58"/>
    <w:rsid w:val="00F7040F"/>
    <w:rsid w:val="00F72210"/>
    <w:rsid w:val="00F73406"/>
    <w:rsid w:val="00F7683C"/>
    <w:rsid w:val="00F77385"/>
    <w:rsid w:val="00F817D3"/>
    <w:rsid w:val="00F82A91"/>
    <w:rsid w:val="00F8458F"/>
    <w:rsid w:val="00F84A08"/>
    <w:rsid w:val="00F876BC"/>
    <w:rsid w:val="00F931B8"/>
    <w:rsid w:val="00F9645A"/>
    <w:rsid w:val="00F97048"/>
    <w:rsid w:val="00F974C1"/>
    <w:rsid w:val="00F97BA0"/>
    <w:rsid w:val="00FA0CD8"/>
    <w:rsid w:val="00FA134C"/>
    <w:rsid w:val="00FB2FBF"/>
    <w:rsid w:val="00FB3C81"/>
    <w:rsid w:val="00FB44FB"/>
    <w:rsid w:val="00FB4763"/>
    <w:rsid w:val="00FB612A"/>
    <w:rsid w:val="00FB7F0C"/>
    <w:rsid w:val="00FC15E7"/>
    <w:rsid w:val="00FC52C1"/>
    <w:rsid w:val="00FC6294"/>
    <w:rsid w:val="00FC6D19"/>
    <w:rsid w:val="00FC783D"/>
    <w:rsid w:val="00FC7CFD"/>
    <w:rsid w:val="00FD33E6"/>
    <w:rsid w:val="00FD3807"/>
    <w:rsid w:val="00FD704F"/>
    <w:rsid w:val="00FE24EC"/>
    <w:rsid w:val="00FE592D"/>
    <w:rsid w:val="00FE6EA0"/>
    <w:rsid w:val="00FE70BD"/>
    <w:rsid w:val="00FE791B"/>
    <w:rsid w:val="00FE7B51"/>
    <w:rsid w:val="00FF162E"/>
    <w:rsid w:val="00FF2450"/>
    <w:rsid w:val="00FF262E"/>
    <w:rsid w:val="00FF44BF"/>
    <w:rsid w:val="00FF6C81"/>
    <w:rsid w:val="00FF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41E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7A3"/>
    <w:pPr>
      <w:jc w:val="both"/>
    </w:pPr>
  </w:style>
  <w:style w:type="paragraph" w:styleId="Heading1">
    <w:name w:val="heading 1"/>
    <w:basedOn w:val="Normal"/>
    <w:next w:val="Normal"/>
    <w:link w:val="Heading1Char"/>
    <w:uiPriority w:val="9"/>
    <w:qFormat/>
    <w:rsid w:val="002C3E6A"/>
    <w:pPr>
      <w:keepNext/>
      <w:keepLines/>
      <w:spacing w:before="240"/>
      <w:outlineLvl w:val="0"/>
    </w:pPr>
    <w:rPr>
      <w:rFonts w:ascii="Gill Sans MT" w:eastAsiaTheme="majorEastAsia" w:hAnsi="Gill Sans MT" w:cstheme="majorBidi"/>
      <w:b/>
      <w:bCs/>
      <w:color w:val="B85A22" w:themeColor="accent2" w:themeShade="BF"/>
      <w:sz w:val="32"/>
      <w:szCs w:val="32"/>
    </w:rPr>
  </w:style>
  <w:style w:type="paragraph" w:styleId="Heading2">
    <w:name w:val="heading 2"/>
    <w:basedOn w:val="Normal"/>
    <w:next w:val="Normal"/>
    <w:link w:val="Heading2Char"/>
    <w:uiPriority w:val="9"/>
    <w:unhideWhenUsed/>
    <w:qFormat/>
    <w:rsid w:val="002C3E6A"/>
    <w:pPr>
      <w:keepNext/>
      <w:keepLines/>
      <w:spacing w:before="40"/>
      <w:outlineLvl w:val="1"/>
    </w:pPr>
    <w:rPr>
      <w:rFonts w:ascii="Gill Sans MT" w:eastAsiaTheme="majorEastAsia" w:hAnsi="Gill Sans MT" w:cstheme="majorBidi"/>
      <w:b/>
      <w:bCs/>
      <w:color w:val="716767" w:themeColor="accent6" w:themeShade="BF"/>
      <w:sz w:val="26"/>
      <w:szCs w:val="26"/>
    </w:rPr>
  </w:style>
  <w:style w:type="paragraph" w:styleId="Heading3">
    <w:name w:val="heading 3"/>
    <w:basedOn w:val="Normal"/>
    <w:next w:val="Normal"/>
    <w:link w:val="Heading3Char"/>
    <w:uiPriority w:val="9"/>
    <w:unhideWhenUsed/>
    <w:qFormat/>
    <w:rsid w:val="00F66F58"/>
    <w:pPr>
      <w:keepNext/>
      <w:keepLines/>
      <w:spacing w:before="200"/>
      <w:jc w:val="center"/>
      <w:outlineLvl w:val="2"/>
    </w:pPr>
    <w:rPr>
      <w:rFonts w:ascii="Gill Sans" w:eastAsiaTheme="majorEastAsia" w:hAnsi="Gill Sans" w:cstheme="majorBidi"/>
      <w:b/>
      <w:bCs/>
      <w:color w:val="A17B36" w:themeColor="background2"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6D19"/>
    <w:rPr>
      <w:rFonts w:eastAsiaTheme="minorEastAsia"/>
      <w:sz w:val="22"/>
      <w:szCs w:val="22"/>
      <w:lang w:eastAsia="zh-CN"/>
    </w:rPr>
  </w:style>
  <w:style w:type="character" w:customStyle="1" w:styleId="NoSpacingChar">
    <w:name w:val="No Spacing Char"/>
    <w:basedOn w:val="DefaultParagraphFont"/>
    <w:link w:val="NoSpacing"/>
    <w:uiPriority w:val="1"/>
    <w:rsid w:val="00FC6D19"/>
    <w:rPr>
      <w:rFonts w:eastAsiaTheme="minorEastAsia"/>
      <w:sz w:val="22"/>
      <w:szCs w:val="22"/>
      <w:lang w:eastAsia="zh-CN"/>
    </w:rPr>
  </w:style>
  <w:style w:type="character" w:customStyle="1" w:styleId="Heading1Char">
    <w:name w:val="Heading 1 Char"/>
    <w:basedOn w:val="DefaultParagraphFont"/>
    <w:link w:val="Heading1"/>
    <w:uiPriority w:val="9"/>
    <w:rsid w:val="002C3E6A"/>
    <w:rPr>
      <w:rFonts w:ascii="Gill Sans MT" w:eastAsiaTheme="majorEastAsia" w:hAnsi="Gill Sans MT" w:cstheme="majorBidi"/>
      <w:b/>
      <w:bCs/>
      <w:color w:val="B85A22" w:themeColor="accent2" w:themeShade="BF"/>
      <w:sz w:val="32"/>
      <w:szCs w:val="32"/>
    </w:rPr>
  </w:style>
  <w:style w:type="character" w:customStyle="1" w:styleId="Heading2Char">
    <w:name w:val="Heading 2 Char"/>
    <w:basedOn w:val="DefaultParagraphFont"/>
    <w:link w:val="Heading2"/>
    <w:uiPriority w:val="9"/>
    <w:rsid w:val="002C3E6A"/>
    <w:rPr>
      <w:rFonts w:ascii="Gill Sans MT" w:eastAsiaTheme="majorEastAsia" w:hAnsi="Gill Sans MT" w:cstheme="majorBidi"/>
      <w:b/>
      <w:bCs/>
      <w:color w:val="716767" w:themeColor="accent6" w:themeShade="BF"/>
      <w:sz w:val="26"/>
      <w:szCs w:val="26"/>
    </w:rPr>
  </w:style>
  <w:style w:type="paragraph" w:styleId="TOCHeading">
    <w:name w:val="TOC Heading"/>
    <w:basedOn w:val="Heading1"/>
    <w:next w:val="Normal"/>
    <w:uiPriority w:val="39"/>
    <w:unhideWhenUsed/>
    <w:qFormat/>
    <w:rsid w:val="00E50446"/>
    <w:pPr>
      <w:spacing w:before="480" w:line="276" w:lineRule="auto"/>
      <w:outlineLvl w:val="9"/>
    </w:pPr>
    <w:rPr>
      <w:rFonts w:asciiTheme="majorHAnsi" w:hAnsiTheme="majorHAnsi"/>
      <w:color w:val="548AB7" w:themeColor="accent1" w:themeShade="BF"/>
      <w:sz w:val="28"/>
      <w:szCs w:val="28"/>
    </w:rPr>
  </w:style>
  <w:style w:type="paragraph" w:styleId="TOC1">
    <w:name w:val="toc 1"/>
    <w:basedOn w:val="Normal"/>
    <w:next w:val="Normal"/>
    <w:autoRedefine/>
    <w:uiPriority w:val="39"/>
    <w:unhideWhenUsed/>
    <w:rsid w:val="005D35A8"/>
    <w:pPr>
      <w:tabs>
        <w:tab w:val="right" w:leader="dot" w:pos="10790"/>
      </w:tabs>
      <w:spacing w:before="280"/>
    </w:pPr>
    <w:rPr>
      <w:b/>
      <w:bCs/>
    </w:rPr>
  </w:style>
  <w:style w:type="paragraph" w:styleId="TOC2">
    <w:name w:val="toc 2"/>
    <w:basedOn w:val="Normal"/>
    <w:next w:val="Normal"/>
    <w:autoRedefine/>
    <w:uiPriority w:val="39"/>
    <w:unhideWhenUsed/>
    <w:rsid w:val="00E50446"/>
    <w:pPr>
      <w:ind w:left="240"/>
    </w:pPr>
    <w:rPr>
      <w:b/>
      <w:bCs/>
      <w:sz w:val="22"/>
      <w:szCs w:val="22"/>
    </w:rPr>
  </w:style>
  <w:style w:type="paragraph" w:styleId="TOC3">
    <w:name w:val="toc 3"/>
    <w:basedOn w:val="Normal"/>
    <w:next w:val="Normal"/>
    <w:autoRedefine/>
    <w:uiPriority w:val="39"/>
    <w:unhideWhenUsed/>
    <w:rsid w:val="00C05554"/>
    <w:pPr>
      <w:tabs>
        <w:tab w:val="right" w:leader="dot" w:pos="10790"/>
      </w:tabs>
      <w:ind w:left="480"/>
    </w:pPr>
    <w:rPr>
      <w:sz w:val="22"/>
      <w:szCs w:val="22"/>
    </w:rPr>
  </w:style>
  <w:style w:type="paragraph" w:styleId="TOC4">
    <w:name w:val="toc 4"/>
    <w:basedOn w:val="Normal"/>
    <w:next w:val="Normal"/>
    <w:autoRedefine/>
    <w:uiPriority w:val="39"/>
    <w:semiHidden/>
    <w:unhideWhenUsed/>
    <w:rsid w:val="00E50446"/>
    <w:pPr>
      <w:ind w:left="720"/>
    </w:pPr>
    <w:rPr>
      <w:sz w:val="20"/>
      <w:szCs w:val="20"/>
    </w:rPr>
  </w:style>
  <w:style w:type="paragraph" w:styleId="TOC5">
    <w:name w:val="toc 5"/>
    <w:basedOn w:val="Normal"/>
    <w:next w:val="Normal"/>
    <w:autoRedefine/>
    <w:uiPriority w:val="39"/>
    <w:semiHidden/>
    <w:unhideWhenUsed/>
    <w:rsid w:val="00E50446"/>
    <w:pPr>
      <w:ind w:left="960"/>
    </w:pPr>
    <w:rPr>
      <w:sz w:val="20"/>
      <w:szCs w:val="20"/>
    </w:rPr>
  </w:style>
  <w:style w:type="paragraph" w:styleId="TOC6">
    <w:name w:val="toc 6"/>
    <w:basedOn w:val="Normal"/>
    <w:next w:val="Normal"/>
    <w:autoRedefine/>
    <w:uiPriority w:val="39"/>
    <w:semiHidden/>
    <w:unhideWhenUsed/>
    <w:rsid w:val="00E50446"/>
    <w:pPr>
      <w:ind w:left="1200"/>
    </w:pPr>
    <w:rPr>
      <w:sz w:val="20"/>
      <w:szCs w:val="20"/>
    </w:rPr>
  </w:style>
  <w:style w:type="paragraph" w:styleId="TOC7">
    <w:name w:val="toc 7"/>
    <w:basedOn w:val="Normal"/>
    <w:next w:val="Normal"/>
    <w:autoRedefine/>
    <w:uiPriority w:val="39"/>
    <w:semiHidden/>
    <w:unhideWhenUsed/>
    <w:rsid w:val="00E50446"/>
    <w:pPr>
      <w:ind w:left="1440"/>
    </w:pPr>
    <w:rPr>
      <w:sz w:val="20"/>
      <w:szCs w:val="20"/>
    </w:rPr>
  </w:style>
  <w:style w:type="paragraph" w:styleId="TOC8">
    <w:name w:val="toc 8"/>
    <w:basedOn w:val="Normal"/>
    <w:next w:val="Normal"/>
    <w:autoRedefine/>
    <w:uiPriority w:val="39"/>
    <w:semiHidden/>
    <w:unhideWhenUsed/>
    <w:rsid w:val="00E50446"/>
    <w:pPr>
      <w:ind w:left="1680"/>
    </w:pPr>
    <w:rPr>
      <w:sz w:val="20"/>
      <w:szCs w:val="20"/>
    </w:rPr>
  </w:style>
  <w:style w:type="paragraph" w:styleId="TOC9">
    <w:name w:val="toc 9"/>
    <w:basedOn w:val="Normal"/>
    <w:next w:val="Normal"/>
    <w:autoRedefine/>
    <w:uiPriority w:val="39"/>
    <w:semiHidden/>
    <w:unhideWhenUsed/>
    <w:rsid w:val="00E50446"/>
    <w:pPr>
      <w:ind w:left="1920"/>
    </w:pPr>
    <w:rPr>
      <w:sz w:val="20"/>
      <w:szCs w:val="20"/>
    </w:rPr>
  </w:style>
  <w:style w:type="paragraph" w:styleId="ListParagraph">
    <w:name w:val="List Paragraph"/>
    <w:basedOn w:val="Normal"/>
    <w:uiPriority w:val="34"/>
    <w:qFormat/>
    <w:rsid w:val="00774D2A"/>
    <w:pPr>
      <w:numPr>
        <w:numId w:val="3"/>
      </w:numPr>
      <w:contextualSpacing/>
    </w:pPr>
  </w:style>
  <w:style w:type="character" w:styleId="Hyperlink">
    <w:name w:val="Hyperlink"/>
    <w:basedOn w:val="DefaultParagraphFont"/>
    <w:uiPriority w:val="99"/>
    <w:unhideWhenUsed/>
    <w:rsid w:val="00A11158"/>
    <w:rPr>
      <w:color w:val="F7B615" w:themeColor="hyperlink"/>
      <w:u w:val="single"/>
    </w:rPr>
  </w:style>
  <w:style w:type="paragraph" w:styleId="BalloonText">
    <w:name w:val="Balloon Text"/>
    <w:basedOn w:val="Normal"/>
    <w:link w:val="BalloonTextChar"/>
    <w:uiPriority w:val="99"/>
    <w:semiHidden/>
    <w:unhideWhenUsed/>
    <w:rsid w:val="00C015B6"/>
    <w:rPr>
      <w:rFonts w:ascii="Tahoma" w:hAnsi="Tahoma" w:cs="Tahoma"/>
      <w:sz w:val="16"/>
      <w:szCs w:val="16"/>
    </w:rPr>
  </w:style>
  <w:style w:type="character" w:customStyle="1" w:styleId="BalloonTextChar">
    <w:name w:val="Balloon Text Char"/>
    <w:basedOn w:val="DefaultParagraphFont"/>
    <w:link w:val="BalloonText"/>
    <w:uiPriority w:val="99"/>
    <w:semiHidden/>
    <w:rsid w:val="00C015B6"/>
    <w:rPr>
      <w:rFonts w:ascii="Tahoma" w:hAnsi="Tahoma" w:cs="Tahoma"/>
      <w:sz w:val="16"/>
      <w:szCs w:val="16"/>
    </w:rPr>
  </w:style>
  <w:style w:type="character" w:customStyle="1" w:styleId="Heading3Char">
    <w:name w:val="Heading 3 Char"/>
    <w:basedOn w:val="DefaultParagraphFont"/>
    <w:link w:val="Heading3"/>
    <w:uiPriority w:val="9"/>
    <w:rsid w:val="00F66F58"/>
    <w:rPr>
      <w:rFonts w:ascii="Gill Sans" w:eastAsiaTheme="majorEastAsia" w:hAnsi="Gill Sans" w:cstheme="majorBidi"/>
      <w:b/>
      <w:bCs/>
      <w:color w:val="A17B36" w:themeColor="background2" w:themeShade="80"/>
      <w:sz w:val="22"/>
    </w:rPr>
  </w:style>
  <w:style w:type="table" w:customStyle="1" w:styleId="MediumShading1-Accent11">
    <w:name w:val="Medium Shading 1 - Accent 11"/>
    <w:basedOn w:val="TableNormal"/>
    <w:uiPriority w:val="63"/>
    <w:rsid w:val="001F5D59"/>
    <w:rPr>
      <w:rFonts w:ascii="Cambria" w:hAnsi="Cambria"/>
      <w:sz w:val="22"/>
      <w:szCs w:val="22"/>
    </w:r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CD5104"/>
    <w:rPr>
      <w:sz w:val="20"/>
      <w:szCs w:val="20"/>
    </w:rPr>
  </w:style>
  <w:style w:type="character" w:customStyle="1" w:styleId="FootnoteTextChar">
    <w:name w:val="Footnote Text Char"/>
    <w:basedOn w:val="DefaultParagraphFont"/>
    <w:link w:val="FootnoteText"/>
    <w:uiPriority w:val="99"/>
    <w:semiHidden/>
    <w:rsid w:val="00CD5104"/>
    <w:rPr>
      <w:sz w:val="20"/>
      <w:szCs w:val="20"/>
    </w:rPr>
  </w:style>
  <w:style w:type="character" w:styleId="FootnoteReference">
    <w:name w:val="footnote reference"/>
    <w:basedOn w:val="DefaultParagraphFont"/>
    <w:uiPriority w:val="99"/>
    <w:semiHidden/>
    <w:unhideWhenUsed/>
    <w:rsid w:val="00CD5104"/>
    <w:rPr>
      <w:vertAlign w:val="superscript"/>
    </w:rPr>
  </w:style>
  <w:style w:type="table" w:customStyle="1" w:styleId="MediumShading1-Accent12">
    <w:name w:val="Medium Shading 1 - Accent 12"/>
    <w:basedOn w:val="TableNormal"/>
    <w:uiPriority w:val="63"/>
    <w:rsid w:val="00CD5104"/>
    <w:rPr>
      <w:sz w:val="22"/>
      <w:szCs w:val="22"/>
    </w:r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paragraph" w:customStyle="1" w:styleId="Default">
    <w:name w:val="Default"/>
    <w:rsid w:val="00CD5104"/>
    <w:pPr>
      <w:autoSpaceDE w:val="0"/>
      <w:autoSpaceDN w:val="0"/>
      <w:adjustRightInd w:val="0"/>
    </w:pPr>
    <w:rPr>
      <w:rFonts w:ascii="Arial" w:hAnsi="Arial" w:cs="Arial"/>
      <w:color w:val="000000"/>
    </w:rPr>
  </w:style>
  <w:style w:type="paragraph" w:styleId="BodyTextIndent">
    <w:name w:val="Body Text Indent"/>
    <w:basedOn w:val="Normal"/>
    <w:link w:val="BodyTextIndentChar"/>
    <w:uiPriority w:val="99"/>
    <w:semiHidden/>
    <w:unhideWhenUsed/>
    <w:rsid w:val="00CD5104"/>
    <w:pPr>
      <w:spacing w:after="120"/>
      <w:ind w:left="360"/>
    </w:pPr>
  </w:style>
  <w:style w:type="character" w:customStyle="1" w:styleId="BodyTextIndentChar">
    <w:name w:val="Body Text Indent Char"/>
    <w:basedOn w:val="DefaultParagraphFont"/>
    <w:link w:val="BodyTextIndent"/>
    <w:uiPriority w:val="99"/>
    <w:semiHidden/>
    <w:rsid w:val="00CD5104"/>
  </w:style>
  <w:style w:type="table" w:styleId="TableGrid">
    <w:name w:val="Table Grid"/>
    <w:basedOn w:val="TableNormal"/>
    <w:uiPriority w:val="39"/>
    <w:rsid w:val="00A14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A140FD"/>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customStyle="1" w:styleId="LightGrid-Accent11">
    <w:name w:val="Light Grid - Accent 11"/>
    <w:basedOn w:val="TableNormal"/>
    <w:uiPriority w:val="62"/>
    <w:rsid w:val="00380F3A"/>
    <w:rPr>
      <w:sz w:val="22"/>
      <w:szCs w:val="22"/>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LightList-Accent5">
    <w:name w:val="Light List Accent 5"/>
    <w:basedOn w:val="TableNormal"/>
    <w:uiPriority w:val="61"/>
    <w:rsid w:val="00380F3A"/>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customStyle="1" w:styleId="MediumShading2-Accent11">
    <w:name w:val="Medium Shading 2 - Accent 11"/>
    <w:basedOn w:val="TableNormal"/>
    <w:uiPriority w:val="64"/>
    <w:rsid w:val="003805C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155F2C"/>
    <w:rPr>
      <w:sz w:val="16"/>
      <w:szCs w:val="16"/>
    </w:rPr>
  </w:style>
  <w:style w:type="paragraph" w:styleId="CommentText">
    <w:name w:val="annotation text"/>
    <w:basedOn w:val="Normal"/>
    <w:link w:val="CommentTextChar"/>
    <w:uiPriority w:val="99"/>
    <w:semiHidden/>
    <w:unhideWhenUsed/>
    <w:rsid w:val="00155F2C"/>
    <w:rPr>
      <w:sz w:val="20"/>
      <w:szCs w:val="20"/>
    </w:rPr>
  </w:style>
  <w:style w:type="character" w:customStyle="1" w:styleId="CommentTextChar">
    <w:name w:val="Comment Text Char"/>
    <w:basedOn w:val="DefaultParagraphFont"/>
    <w:link w:val="CommentText"/>
    <w:uiPriority w:val="99"/>
    <w:semiHidden/>
    <w:rsid w:val="00155F2C"/>
    <w:rPr>
      <w:sz w:val="20"/>
      <w:szCs w:val="20"/>
    </w:rPr>
  </w:style>
  <w:style w:type="paragraph" w:styleId="CommentSubject">
    <w:name w:val="annotation subject"/>
    <w:basedOn w:val="CommentText"/>
    <w:next w:val="CommentText"/>
    <w:link w:val="CommentSubjectChar"/>
    <w:uiPriority w:val="99"/>
    <w:semiHidden/>
    <w:unhideWhenUsed/>
    <w:rsid w:val="00155F2C"/>
    <w:rPr>
      <w:b/>
      <w:bCs/>
    </w:rPr>
  </w:style>
  <w:style w:type="character" w:customStyle="1" w:styleId="CommentSubjectChar">
    <w:name w:val="Comment Subject Char"/>
    <w:basedOn w:val="CommentTextChar"/>
    <w:link w:val="CommentSubject"/>
    <w:uiPriority w:val="99"/>
    <w:semiHidden/>
    <w:rsid w:val="00155F2C"/>
    <w:rPr>
      <w:b/>
      <w:bCs/>
      <w:sz w:val="20"/>
      <w:szCs w:val="20"/>
    </w:rPr>
  </w:style>
  <w:style w:type="paragraph" w:styleId="Header">
    <w:name w:val="header"/>
    <w:basedOn w:val="Normal"/>
    <w:link w:val="HeaderChar"/>
    <w:uiPriority w:val="99"/>
    <w:unhideWhenUsed/>
    <w:rsid w:val="006512A1"/>
    <w:pPr>
      <w:tabs>
        <w:tab w:val="center" w:pos="4680"/>
        <w:tab w:val="right" w:pos="9360"/>
      </w:tabs>
    </w:pPr>
  </w:style>
  <w:style w:type="character" w:customStyle="1" w:styleId="HeaderChar">
    <w:name w:val="Header Char"/>
    <w:basedOn w:val="DefaultParagraphFont"/>
    <w:link w:val="Header"/>
    <w:uiPriority w:val="99"/>
    <w:rsid w:val="006512A1"/>
  </w:style>
  <w:style w:type="paragraph" w:styleId="Footer">
    <w:name w:val="footer"/>
    <w:basedOn w:val="Normal"/>
    <w:link w:val="FooterChar"/>
    <w:uiPriority w:val="99"/>
    <w:unhideWhenUsed/>
    <w:rsid w:val="006512A1"/>
    <w:pPr>
      <w:tabs>
        <w:tab w:val="center" w:pos="4680"/>
        <w:tab w:val="right" w:pos="9360"/>
      </w:tabs>
    </w:pPr>
  </w:style>
  <w:style w:type="character" w:customStyle="1" w:styleId="FooterChar">
    <w:name w:val="Footer Char"/>
    <w:basedOn w:val="DefaultParagraphFont"/>
    <w:link w:val="Footer"/>
    <w:uiPriority w:val="99"/>
    <w:rsid w:val="006512A1"/>
  </w:style>
  <w:style w:type="character" w:styleId="IntenseEmphasis">
    <w:name w:val="Intense Emphasis"/>
    <w:basedOn w:val="DefaultParagraphFont"/>
    <w:uiPriority w:val="21"/>
    <w:qFormat/>
    <w:rsid w:val="003C599A"/>
    <w:rPr>
      <w:b/>
      <w:bCs/>
      <w:i/>
      <w:iCs/>
      <w:color w:val="94B6D2" w:themeColor="accent1"/>
    </w:rPr>
  </w:style>
  <w:style w:type="table" w:customStyle="1" w:styleId="MediumShading1-Accent111">
    <w:name w:val="Medium Shading 1 - Accent 111"/>
    <w:basedOn w:val="TableNormal"/>
    <w:uiPriority w:val="63"/>
    <w:rsid w:val="001506FD"/>
    <w:rPr>
      <w:rFonts w:ascii="Cambria"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Caption">
    <w:name w:val="caption"/>
    <w:basedOn w:val="Normal"/>
    <w:next w:val="Normal"/>
    <w:uiPriority w:val="35"/>
    <w:unhideWhenUsed/>
    <w:qFormat/>
    <w:rsid w:val="00E20148"/>
    <w:pPr>
      <w:widowControl w:val="0"/>
      <w:spacing w:after="200"/>
    </w:pPr>
    <w:rPr>
      <w:rFonts w:ascii="Cambria" w:hAnsi="Cambria"/>
      <w:b/>
      <w:bCs/>
      <w:color w:val="94B6D2" w:themeColor="accent1"/>
      <w:sz w:val="18"/>
      <w:szCs w:val="18"/>
    </w:rPr>
  </w:style>
  <w:style w:type="paragraph" w:styleId="Revision">
    <w:name w:val="Revision"/>
    <w:hidden/>
    <w:uiPriority w:val="99"/>
    <w:semiHidden/>
    <w:rsid w:val="00FC6294"/>
  </w:style>
  <w:style w:type="paragraph" w:styleId="NormalWeb">
    <w:name w:val="Normal (Web)"/>
    <w:basedOn w:val="Normal"/>
    <w:uiPriority w:val="99"/>
    <w:semiHidden/>
    <w:unhideWhenUsed/>
    <w:rsid w:val="004F766B"/>
    <w:pPr>
      <w:spacing w:before="100" w:beforeAutospacing="1" w:after="100" w:afterAutospacing="1"/>
    </w:pPr>
    <w:rPr>
      <w:rFonts w:ascii="Times New Roman" w:eastAsiaTheme="minorEastAsia" w:hAnsi="Times New Roman" w:cs="Times New Roman"/>
    </w:rPr>
  </w:style>
  <w:style w:type="table" w:customStyle="1" w:styleId="PlainTable31">
    <w:name w:val="Plain Table 31"/>
    <w:basedOn w:val="TableNormal"/>
    <w:uiPriority w:val="43"/>
    <w:rsid w:val="00AE603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Accent11">
    <w:name w:val="Grid Table 5 Dark - Accent 11"/>
    <w:basedOn w:val="TableNormal"/>
    <w:uiPriority w:val="50"/>
    <w:rsid w:val="00AE60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customStyle="1" w:styleId="GridTable5Dark-Accent21">
    <w:name w:val="Grid Table 5 Dark - Accent 21"/>
    <w:basedOn w:val="TableNormal"/>
    <w:uiPriority w:val="50"/>
    <w:rsid w:val="00AE60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customStyle="1" w:styleId="GridTable4-Accent21">
    <w:name w:val="Grid Table 4 - Accent 21"/>
    <w:basedOn w:val="TableNormal"/>
    <w:uiPriority w:val="49"/>
    <w:rsid w:val="00771DC9"/>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Strong">
    <w:name w:val="Strong"/>
    <w:basedOn w:val="DefaultParagraphFont"/>
    <w:uiPriority w:val="22"/>
    <w:qFormat/>
    <w:rsid w:val="00D10944"/>
    <w:rPr>
      <w:rFonts w:asciiTheme="minorHAnsi" w:hAnsiTheme="minorHAnsi"/>
      <w:b/>
      <w:bCs/>
      <w:sz w:val="24"/>
    </w:rPr>
  </w:style>
  <w:style w:type="table" w:customStyle="1" w:styleId="GridTable1Light-Accent21">
    <w:name w:val="Grid Table 1 Light - Accent 21"/>
    <w:basedOn w:val="TableNormal"/>
    <w:uiPriority w:val="46"/>
    <w:rsid w:val="00A216E6"/>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7A3"/>
    <w:pPr>
      <w:jc w:val="both"/>
    </w:pPr>
  </w:style>
  <w:style w:type="paragraph" w:styleId="Heading1">
    <w:name w:val="heading 1"/>
    <w:basedOn w:val="Normal"/>
    <w:next w:val="Normal"/>
    <w:link w:val="Heading1Char"/>
    <w:uiPriority w:val="9"/>
    <w:qFormat/>
    <w:rsid w:val="002C3E6A"/>
    <w:pPr>
      <w:keepNext/>
      <w:keepLines/>
      <w:spacing w:before="240"/>
      <w:outlineLvl w:val="0"/>
    </w:pPr>
    <w:rPr>
      <w:rFonts w:ascii="Gill Sans MT" w:eastAsiaTheme="majorEastAsia" w:hAnsi="Gill Sans MT" w:cstheme="majorBidi"/>
      <w:b/>
      <w:bCs/>
      <w:color w:val="B85A22" w:themeColor="accent2" w:themeShade="BF"/>
      <w:sz w:val="32"/>
      <w:szCs w:val="32"/>
    </w:rPr>
  </w:style>
  <w:style w:type="paragraph" w:styleId="Heading2">
    <w:name w:val="heading 2"/>
    <w:basedOn w:val="Normal"/>
    <w:next w:val="Normal"/>
    <w:link w:val="Heading2Char"/>
    <w:uiPriority w:val="9"/>
    <w:unhideWhenUsed/>
    <w:qFormat/>
    <w:rsid w:val="002C3E6A"/>
    <w:pPr>
      <w:keepNext/>
      <w:keepLines/>
      <w:spacing w:before="40"/>
      <w:outlineLvl w:val="1"/>
    </w:pPr>
    <w:rPr>
      <w:rFonts w:ascii="Gill Sans MT" w:eastAsiaTheme="majorEastAsia" w:hAnsi="Gill Sans MT" w:cstheme="majorBidi"/>
      <w:b/>
      <w:bCs/>
      <w:color w:val="716767" w:themeColor="accent6" w:themeShade="BF"/>
      <w:sz w:val="26"/>
      <w:szCs w:val="26"/>
    </w:rPr>
  </w:style>
  <w:style w:type="paragraph" w:styleId="Heading3">
    <w:name w:val="heading 3"/>
    <w:basedOn w:val="Normal"/>
    <w:next w:val="Normal"/>
    <w:link w:val="Heading3Char"/>
    <w:uiPriority w:val="9"/>
    <w:unhideWhenUsed/>
    <w:qFormat/>
    <w:rsid w:val="00F66F58"/>
    <w:pPr>
      <w:keepNext/>
      <w:keepLines/>
      <w:spacing w:before="200"/>
      <w:jc w:val="center"/>
      <w:outlineLvl w:val="2"/>
    </w:pPr>
    <w:rPr>
      <w:rFonts w:ascii="Gill Sans" w:eastAsiaTheme="majorEastAsia" w:hAnsi="Gill Sans" w:cstheme="majorBidi"/>
      <w:b/>
      <w:bCs/>
      <w:color w:val="A17B36" w:themeColor="background2"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6D19"/>
    <w:rPr>
      <w:rFonts w:eastAsiaTheme="minorEastAsia"/>
      <w:sz w:val="22"/>
      <w:szCs w:val="22"/>
      <w:lang w:eastAsia="zh-CN"/>
    </w:rPr>
  </w:style>
  <w:style w:type="character" w:customStyle="1" w:styleId="NoSpacingChar">
    <w:name w:val="No Spacing Char"/>
    <w:basedOn w:val="DefaultParagraphFont"/>
    <w:link w:val="NoSpacing"/>
    <w:uiPriority w:val="1"/>
    <w:rsid w:val="00FC6D19"/>
    <w:rPr>
      <w:rFonts w:eastAsiaTheme="minorEastAsia"/>
      <w:sz w:val="22"/>
      <w:szCs w:val="22"/>
      <w:lang w:eastAsia="zh-CN"/>
    </w:rPr>
  </w:style>
  <w:style w:type="character" w:customStyle="1" w:styleId="Heading1Char">
    <w:name w:val="Heading 1 Char"/>
    <w:basedOn w:val="DefaultParagraphFont"/>
    <w:link w:val="Heading1"/>
    <w:uiPriority w:val="9"/>
    <w:rsid w:val="002C3E6A"/>
    <w:rPr>
      <w:rFonts w:ascii="Gill Sans MT" w:eastAsiaTheme="majorEastAsia" w:hAnsi="Gill Sans MT" w:cstheme="majorBidi"/>
      <w:b/>
      <w:bCs/>
      <w:color w:val="B85A22" w:themeColor="accent2" w:themeShade="BF"/>
      <w:sz w:val="32"/>
      <w:szCs w:val="32"/>
    </w:rPr>
  </w:style>
  <w:style w:type="character" w:customStyle="1" w:styleId="Heading2Char">
    <w:name w:val="Heading 2 Char"/>
    <w:basedOn w:val="DefaultParagraphFont"/>
    <w:link w:val="Heading2"/>
    <w:uiPriority w:val="9"/>
    <w:rsid w:val="002C3E6A"/>
    <w:rPr>
      <w:rFonts w:ascii="Gill Sans MT" w:eastAsiaTheme="majorEastAsia" w:hAnsi="Gill Sans MT" w:cstheme="majorBidi"/>
      <w:b/>
      <w:bCs/>
      <w:color w:val="716767" w:themeColor="accent6" w:themeShade="BF"/>
      <w:sz w:val="26"/>
      <w:szCs w:val="26"/>
    </w:rPr>
  </w:style>
  <w:style w:type="paragraph" w:styleId="TOCHeading">
    <w:name w:val="TOC Heading"/>
    <w:basedOn w:val="Heading1"/>
    <w:next w:val="Normal"/>
    <w:uiPriority w:val="39"/>
    <w:unhideWhenUsed/>
    <w:qFormat/>
    <w:rsid w:val="00E50446"/>
    <w:pPr>
      <w:spacing w:before="480" w:line="276" w:lineRule="auto"/>
      <w:outlineLvl w:val="9"/>
    </w:pPr>
    <w:rPr>
      <w:rFonts w:asciiTheme="majorHAnsi" w:hAnsiTheme="majorHAnsi"/>
      <w:color w:val="548AB7" w:themeColor="accent1" w:themeShade="BF"/>
      <w:sz w:val="28"/>
      <w:szCs w:val="28"/>
    </w:rPr>
  </w:style>
  <w:style w:type="paragraph" w:styleId="TOC1">
    <w:name w:val="toc 1"/>
    <w:basedOn w:val="Normal"/>
    <w:next w:val="Normal"/>
    <w:autoRedefine/>
    <w:uiPriority w:val="39"/>
    <w:unhideWhenUsed/>
    <w:rsid w:val="005D35A8"/>
    <w:pPr>
      <w:tabs>
        <w:tab w:val="right" w:leader="dot" w:pos="10790"/>
      </w:tabs>
      <w:spacing w:before="280"/>
    </w:pPr>
    <w:rPr>
      <w:b/>
      <w:bCs/>
    </w:rPr>
  </w:style>
  <w:style w:type="paragraph" w:styleId="TOC2">
    <w:name w:val="toc 2"/>
    <w:basedOn w:val="Normal"/>
    <w:next w:val="Normal"/>
    <w:autoRedefine/>
    <w:uiPriority w:val="39"/>
    <w:unhideWhenUsed/>
    <w:rsid w:val="00E50446"/>
    <w:pPr>
      <w:ind w:left="240"/>
    </w:pPr>
    <w:rPr>
      <w:b/>
      <w:bCs/>
      <w:sz w:val="22"/>
      <w:szCs w:val="22"/>
    </w:rPr>
  </w:style>
  <w:style w:type="paragraph" w:styleId="TOC3">
    <w:name w:val="toc 3"/>
    <w:basedOn w:val="Normal"/>
    <w:next w:val="Normal"/>
    <w:autoRedefine/>
    <w:uiPriority w:val="39"/>
    <w:unhideWhenUsed/>
    <w:rsid w:val="00C05554"/>
    <w:pPr>
      <w:tabs>
        <w:tab w:val="right" w:leader="dot" w:pos="10790"/>
      </w:tabs>
      <w:ind w:left="480"/>
    </w:pPr>
    <w:rPr>
      <w:sz w:val="22"/>
      <w:szCs w:val="22"/>
    </w:rPr>
  </w:style>
  <w:style w:type="paragraph" w:styleId="TOC4">
    <w:name w:val="toc 4"/>
    <w:basedOn w:val="Normal"/>
    <w:next w:val="Normal"/>
    <w:autoRedefine/>
    <w:uiPriority w:val="39"/>
    <w:semiHidden/>
    <w:unhideWhenUsed/>
    <w:rsid w:val="00E50446"/>
    <w:pPr>
      <w:ind w:left="720"/>
    </w:pPr>
    <w:rPr>
      <w:sz w:val="20"/>
      <w:szCs w:val="20"/>
    </w:rPr>
  </w:style>
  <w:style w:type="paragraph" w:styleId="TOC5">
    <w:name w:val="toc 5"/>
    <w:basedOn w:val="Normal"/>
    <w:next w:val="Normal"/>
    <w:autoRedefine/>
    <w:uiPriority w:val="39"/>
    <w:semiHidden/>
    <w:unhideWhenUsed/>
    <w:rsid w:val="00E50446"/>
    <w:pPr>
      <w:ind w:left="960"/>
    </w:pPr>
    <w:rPr>
      <w:sz w:val="20"/>
      <w:szCs w:val="20"/>
    </w:rPr>
  </w:style>
  <w:style w:type="paragraph" w:styleId="TOC6">
    <w:name w:val="toc 6"/>
    <w:basedOn w:val="Normal"/>
    <w:next w:val="Normal"/>
    <w:autoRedefine/>
    <w:uiPriority w:val="39"/>
    <w:semiHidden/>
    <w:unhideWhenUsed/>
    <w:rsid w:val="00E50446"/>
    <w:pPr>
      <w:ind w:left="1200"/>
    </w:pPr>
    <w:rPr>
      <w:sz w:val="20"/>
      <w:szCs w:val="20"/>
    </w:rPr>
  </w:style>
  <w:style w:type="paragraph" w:styleId="TOC7">
    <w:name w:val="toc 7"/>
    <w:basedOn w:val="Normal"/>
    <w:next w:val="Normal"/>
    <w:autoRedefine/>
    <w:uiPriority w:val="39"/>
    <w:semiHidden/>
    <w:unhideWhenUsed/>
    <w:rsid w:val="00E50446"/>
    <w:pPr>
      <w:ind w:left="1440"/>
    </w:pPr>
    <w:rPr>
      <w:sz w:val="20"/>
      <w:szCs w:val="20"/>
    </w:rPr>
  </w:style>
  <w:style w:type="paragraph" w:styleId="TOC8">
    <w:name w:val="toc 8"/>
    <w:basedOn w:val="Normal"/>
    <w:next w:val="Normal"/>
    <w:autoRedefine/>
    <w:uiPriority w:val="39"/>
    <w:semiHidden/>
    <w:unhideWhenUsed/>
    <w:rsid w:val="00E50446"/>
    <w:pPr>
      <w:ind w:left="1680"/>
    </w:pPr>
    <w:rPr>
      <w:sz w:val="20"/>
      <w:szCs w:val="20"/>
    </w:rPr>
  </w:style>
  <w:style w:type="paragraph" w:styleId="TOC9">
    <w:name w:val="toc 9"/>
    <w:basedOn w:val="Normal"/>
    <w:next w:val="Normal"/>
    <w:autoRedefine/>
    <w:uiPriority w:val="39"/>
    <w:semiHidden/>
    <w:unhideWhenUsed/>
    <w:rsid w:val="00E50446"/>
    <w:pPr>
      <w:ind w:left="1920"/>
    </w:pPr>
    <w:rPr>
      <w:sz w:val="20"/>
      <w:szCs w:val="20"/>
    </w:rPr>
  </w:style>
  <w:style w:type="paragraph" w:styleId="ListParagraph">
    <w:name w:val="List Paragraph"/>
    <w:basedOn w:val="Normal"/>
    <w:uiPriority w:val="34"/>
    <w:qFormat/>
    <w:rsid w:val="00774D2A"/>
    <w:pPr>
      <w:numPr>
        <w:numId w:val="3"/>
      </w:numPr>
      <w:contextualSpacing/>
    </w:pPr>
  </w:style>
  <w:style w:type="character" w:styleId="Hyperlink">
    <w:name w:val="Hyperlink"/>
    <w:basedOn w:val="DefaultParagraphFont"/>
    <w:uiPriority w:val="99"/>
    <w:unhideWhenUsed/>
    <w:rsid w:val="00A11158"/>
    <w:rPr>
      <w:color w:val="F7B615" w:themeColor="hyperlink"/>
      <w:u w:val="single"/>
    </w:rPr>
  </w:style>
  <w:style w:type="paragraph" w:styleId="BalloonText">
    <w:name w:val="Balloon Text"/>
    <w:basedOn w:val="Normal"/>
    <w:link w:val="BalloonTextChar"/>
    <w:uiPriority w:val="99"/>
    <w:semiHidden/>
    <w:unhideWhenUsed/>
    <w:rsid w:val="00C015B6"/>
    <w:rPr>
      <w:rFonts w:ascii="Tahoma" w:hAnsi="Tahoma" w:cs="Tahoma"/>
      <w:sz w:val="16"/>
      <w:szCs w:val="16"/>
    </w:rPr>
  </w:style>
  <w:style w:type="character" w:customStyle="1" w:styleId="BalloonTextChar">
    <w:name w:val="Balloon Text Char"/>
    <w:basedOn w:val="DefaultParagraphFont"/>
    <w:link w:val="BalloonText"/>
    <w:uiPriority w:val="99"/>
    <w:semiHidden/>
    <w:rsid w:val="00C015B6"/>
    <w:rPr>
      <w:rFonts w:ascii="Tahoma" w:hAnsi="Tahoma" w:cs="Tahoma"/>
      <w:sz w:val="16"/>
      <w:szCs w:val="16"/>
    </w:rPr>
  </w:style>
  <w:style w:type="character" w:customStyle="1" w:styleId="Heading3Char">
    <w:name w:val="Heading 3 Char"/>
    <w:basedOn w:val="DefaultParagraphFont"/>
    <w:link w:val="Heading3"/>
    <w:uiPriority w:val="9"/>
    <w:rsid w:val="00F66F58"/>
    <w:rPr>
      <w:rFonts w:ascii="Gill Sans" w:eastAsiaTheme="majorEastAsia" w:hAnsi="Gill Sans" w:cstheme="majorBidi"/>
      <w:b/>
      <w:bCs/>
      <w:color w:val="A17B36" w:themeColor="background2" w:themeShade="80"/>
      <w:sz w:val="22"/>
    </w:rPr>
  </w:style>
  <w:style w:type="table" w:customStyle="1" w:styleId="MediumShading1-Accent11">
    <w:name w:val="Medium Shading 1 - Accent 11"/>
    <w:basedOn w:val="TableNormal"/>
    <w:uiPriority w:val="63"/>
    <w:rsid w:val="001F5D59"/>
    <w:rPr>
      <w:rFonts w:ascii="Cambria" w:hAnsi="Cambria"/>
      <w:sz w:val="22"/>
      <w:szCs w:val="22"/>
    </w:r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CD5104"/>
    <w:rPr>
      <w:sz w:val="20"/>
      <w:szCs w:val="20"/>
    </w:rPr>
  </w:style>
  <w:style w:type="character" w:customStyle="1" w:styleId="FootnoteTextChar">
    <w:name w:val="Footnote Text Char"/>
    <w:basedOn w:val="DefaultParagraphFont"/>
    <w:link w:val="FootnoteText"/>
    <w:uiPriority w:val="99"/>
    <w:semiHidden/>
    <w:rsid w:val="00CD5104"/>
    <w:rPr>
      <w:sz w:val="20"/>
      <w:szCs w:val="20"/>
    </w:rPr>
  </w:style>
  <w:style w:type="character" w:styleId="FootnoteReference">
    <w:name w:val="footnote reference"/>
    <w:basedOn w:val="DefaultParagraphFont"/>
    <w:uiPriority w:val="99"/>
    <w:semiHidden/>
    <w:unhideWhenUsed/>
    <w:rsid w:val="00CD5104"/>
    <w:rPr>
      <w:vertAlign w:val="superscript"/>
    </w:rPr>
  </w:style>
  <w:style w:type="table" w:customStyle="1" w:styleId="MediumShading1-Accent12">
    <w:name w:val="Medium Shading 1 - Accent 12"/>
    <w:basedOn w:val="TableNormal"/>
    <w:uiPriority w:val="63"/>
    <w:rsid w:val="00CD5104"/>
    <w:rPr>
      <w:sz w:val="22"/>
      <w:szCs w:val="22"/>
    </w:r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paragraph" w:customStyle="1" w:styleId="Default">
    <w:name w:val="Default"/>
    <w:rsid w:val="00CD5104"/>
    <w:pPr>
      <w:autoSpaceDE w:val="0"/>
      <w:autoSpaceDN w:val="0"/>
      <w:adjustRightInd w:val="0"/>
    </w:pPr>
    <w:rPr>
      <w:rFonts w:ascii="Arial" w:hAnsi="Arial" w:cs="Arial"/>
      <w:color w:val="000000"/>
    </w:rPr>
  </w:style>
  <w:style w:type="paragraph" w:styleId="BodyTextIndent">
    <w:name w:val="Body Text Indent"/>
    <w:basedOn w:val="Normal"/>
    <w:link w:val="BodyTextIndentChar"/>
    <w:uiPriority w:val="99"/>
    <w:semiHidden/>
    <w:unhideWhenUsed/>
    <w:rsid w:val="00CD5104"/>
    <w:pPr>
      <w:spacing w:after="120"/>
      <w:ind w:left="360"/>
    </w:pPr>
  </w:style>
  <w:style w:type="character" w:customStyle="1" w:styleId="BodyTextIndentChar">
    <w:name w:val="Body Text Indent Char"/>
    <w:basedOn w:val="DefaultParagraphFont"/>
    <w:link w:val="BodyTextIndent"/>
    <w:uiPriority w:val="99"/>
    <w:semiHidden/>
    <w:rsid w:val="00CD5104"/>
  </w:style>
  <w:style w:type="table" w:styleId="TableGrid">
    <w:name w:val="Table Grid"/>
    <w:basedOn w:val="TableNormal"/>
    <w:uiPriority w:val="39"/>
    <w:rsid w:val="00A14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A140FD"/>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customStyle="1" w:styleId="LightGrid-Accent11">
    <w:name w:val="Light Grid - Accent 11"/>
    <w:basedOn w:val="TableNormal"/>
    <w:uiPriority w:val="62"/>
    <w:rsid w:val="00380F3A"/>
    <w:rPr>
      <w:sz w:val="22"/>
      <w:szCs w:val="22"/>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LightList-Accent5">
    <w:name w:val="Light List Accent 5"/>
    <w:basedOn w:val="TableNormal"/>
    <w:uiPriority w:val="61"/>
    <w:rsid w:val="00380F3A"/>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customStyle="1" w:styleId="MediumShading2-Accent11">
    <w:name w:val="Medium Shading 2 - Accent 11"/>
    <w:basedOn w:val="TableNormal"/>
    <w:uiPriority w:val="64"/>
    <w:rsid w:val="003805C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155F2C"/>
    <w:rPr>
      <w:sz w:val="16"/>
      <w:szCs w:val="16"/>
    </w:rPr>
  </w:style>
  <w:style w:type="paragraph" w:styleId="CommentText">
    <w:name w:val="annotation text"/>
    <w:basedOn w:val="Normal"/>
    <w:link w:val="CommentTextChar"/>
    <w:uiPriority w:val="99"/>
    <w:semiHidden/>
    <w:unhideWhenUsed/>
    <w:rsid w:val="00155F2C"/>
    <w:rPr>
      <w:sz w:val="20"/>
      <w:szCs w:val="20"/>
    </w:rPr>
  </w:style>
  <w:style w:type="character" w:customStyle="1" w:styleId="CommentTextChar">
    <w:name w:val="Comment Text Char"/>
    <w:basedOn w:val="DefaultParagraphFont"/>
    <w:link w:val="CommentText"/>
    <w:uiPriority w:val="99"/>
    <w:semiHidden/>
    <w:rsid w:val="00155F2C"/>
    <w:rPr>
      <w:sz w:val="20"/>
      <w:szCs w:val="20"/>
    </w:rPr>
  </w:style>
  <w:style w:type="paragraph" w:styleId="CommentSubject">
    <w:name w:val="annotation subject"/>
    <w:basedOn w:val="CommentText"/>
    <w:next w:val="CommentText"/>
    <w:link w:val="CommentSubjectChar"/>
    <w:uiPriority w:val="99"/>
    <w:semiHidden/>
    <w:unhideWhenUsed/>
    <w:rsid w:val="00155F2C"/>
    <w:rPr>
      <w:b/>
      <w:bCs/>
    </w:rPr>
  </w:style>
  <w:style w:type="character" w:customStyle="1" w:styleId="CommentSubjectChar">
    <w:name w:val="Comment Subject Char"/>
    <w:basedOn w:val="CommentTextChar"/>
    <w:link w:val="CommentSubject"/>
    <w:uiPriority w:val="99"/>
    <w:semiHidden/>
    <w:rsid w:val="00155F2C"/>
    <w:rPr>
      <w:b/>
      <w:bCs/>
      <w:sz w:val="20"/>
      <w:szCs w:val="20"/>
    </w:rPr>
  </w:style>
  <w:style w:type="paragraph" w:styleId="Header">
    <w:name w:val="header"/>
    <w:basedOn w:val="Normal"/>
    <w:link w:val="HeaderChar"/>
    <w:uiPriority w:val="99"/>
    <w:unhideWhenUsed/>
    <w:rsid w:val="006512A1"/>
    <w:pPr>
      <w:tabs>
        <w:tab w:val="center" w:pos="4680"/>
        <w:tab w:val="right" w:pos="9360"/>
      </w:tabs>
    </w:pPr>
  </w:style>
  <w:style w:type="character" w:customStyle="1" w:styleId="HeaderChar">
    <w:name w:val="Header Char"/>
    <w:basedOn w:val="DefaultParagraphFont"/>
    <w:link w:val="Header"/>
    <w:uiPriority w:val="99"/>
    <w:rsid w:val="006512A1"/>
  </w:style>
  <w:style w:type="paragraph" w:styleId="Footer">
    <w:name w:val="footer"/>
    <w:basedOn w:val="Normal"/>
    <w:link w:val="FooterChar"/>
    <w:uiPriority w:val="99"/>
    <w:unhideWhenUsed/>
    <w:rsid w:val="006512A1"/>
    <w:pPr>
      <w:tabs>
        <w:tab w:val="center" w:pos="4680"/>
        <w:tab w:val="right" w:pos="9360"/>
      </w:tabs>
    </w:pPr>
  </w:style>
  <w:style w:type="character" w:customStyle="1" w:styleId="FooterChar">
    <w:name w:val="Footer Char"/>
    <w:basedOn w:val="DefaultParagraphFont"/>
    <w:link w:val="Footer"/>
    <w:uiPriority w:val="99"/>
    <w:rsid w:val="006512A1"/>
  </w:style>
  <w:style w:type="character" w:styleId="IntenseEmphasis">
    <w:name w:val="Intense Emphasis"/>
    <w:basedOn w:val="DefaultParagraphFont"/>
    <w:uiPriority w:val="21"/>
    <w:qFormat/>
    <w:rsid w:val="003C599A"/>
    <w:rPr>
      <w:b/>
      <w:bCs/>
      <w:i/>
      <w:iCs/>
      <w:color w:val="94B6D2" w:themeColor="accent1"/>
    </w:rPr>
  </w:style>
  <w:style w:type="table" w:customStyle="1" w:styleId="MediumShading1-Accent111">
    <w:name w:val="Medium Shading 1 - Accent 111"/>
    <w:basedOn w:val="TableNormal"/>
    <w:uiPriority w:val="63"/>
    <w:rsid w:val="001506FD"/>
    <w:rPr>
      <w:rFonts w:ascii="Cambria"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Caption">
    <w:name w:val="caption"/>
    <w:basedOn w:val="Normal"/>
    <w:next w:val="Normal"/>
    <w:uiPriority w:val="35"/>
    <w:unhideWhenUsed/>
    <w:qFormat/>
    <w:rsid w:val="00E20148"/>
    <w:pPr>
      <w:widowControl w:val="0"/>
      <w:spacing w:after="200"/>
    </w:pPr>
    <w:rPr>
      <w:rFonts w:ascii="Cambria" w:hAnsi="Cambria"/>
      <w:b/>
      <w:bCs/>
      <w:color w:val="94B6D2" w:themeColor="accent1"/>
      <w:sz w:val="18"/>
      <w:szCs w:val="18"/>
    </w:rPr>
  </w:style>
  <w:style w:type="paragraph" w:styleId="Revision">
    <w:name w:val="Revision"/>
    <w:hidden/>
    <w:uiPriority w:val="99"/>
    <w:semiHidden/>
    <w:rsid w:val="00FC6294"/>
  </w:style>
  <w:style w:type="paragraph" w:styleId="NormalWeb">
    <w:name w:val="Normal (Web)"/>
    <w:basedOn w:val="Normal"/>
    <w:uiPriority w:val="99"/>
    <w:semiHidden/>
    <w:unhideWhenUsed/>
    <w:rsid w:val="004F766B"/>
    <w:pPr>
      <w:spacing w:before="100" w:beforeAutospacing="1" w:after="100" w:afterAutospacing="1"/>
    </w:pPr>
    <w:rPr>
      <w:rFonts w:ascii="Times New Roman" w:eastAsiaTheme="minorEastAsia" w:hAnsi="Times New Roman" w:cs="Times New Roman"/>
    </w:rPr>
  </w:style>
  <w:style w:type="table" w:customStyle="1" w:styleId="PlainTable31">
    <w:name w:val="Plain Table 31"/>
    <w:basedOn w:val="TableNormal"/>
    <w:uiPriority w:val="43"/>
    <w:rsid w:val="00AE603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Accent11">
    <w:name w:val="Grid Table 5 Dark - Accent 11"/>
    <w:basedOn w:val="TableNormal"/>
    <w:uiPriority w:val="50"/>
    <w:rsid w:val="00AE60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customStyle="1" w:styleId="GridTable5Dark-Accent21">
    <w:name w:val="Grid Table 5 Dark - Accent 21"/>
    <w:basedOn w:val="TableNormal"/>
    <w:uiPriority w:val="50"/>
    <w:rsid w:val="00AE60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customStyle="1" w:styleId="GridTable4-Accent21">
    <w:name w:val="Grid Table 4 - Accent 21"/>
    <w:basedOn w:val="TableNormal"/>
    <w:uiPriority w:val="49"/>
    <w:rsid w:val="00771DC9"/>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Strong">
    <w:name w:val="Strong"/>
    <w:basedOn w:val="DefaultParagraphFont"/>
    <w:uiPriority w:val="22"/>
    <w:qFormat/>
    <w:rsid w:val="00D10944"/>
    <w:rPr>
      <w:rFonts w:asciiTheme="minorHAnsi" w:hAnsiTheme="minorHAnsi"/>
      <w:b/>
      <w:bCs/>
      <w:sz w:val="24"/>
    </w:rPr>
  </w:style>
  <w:style w:type="table" w:customStyle="1" w:styleId="GridTable1Light-Accent21">
    <w:name w:val="Grid Table 1 Light - Accent 21"/>
    <w:basedOn w:val="TableNormal"/>
    <w:uiPriority w:val="46"/>
    <w:rsid w:val="00A216E6"/>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042237">
      <w:bodyDiv w:val="1"/>
      <w:marLeft w:val="0"/>
      <w:marRight w:val="0"/>
      <w:marTop w:val="0"/>
      <w:marBottom w:val="0"/>
      <w:divBdr>
        <w:top w:val="none" w:sz="0" w:space="0" w:color="auto"/>
        <w:left w:val="none" w:sz="0" w:space="0" w:color="auto"/>
        <w:bottom w:val="none" w:sz="0" w:space="0" w:color="auto"/>
        <w:right w:val="none" w:sz="0" w:space="0" w:color="auto"/>
      </w:divBdr>
    </w:div>
    <w:div w:id="771777194">
      <w:bodyDiv w:val="1"/>
      <w:marLeft w:val="0"/>
      <w:marRight w:val="0"/>
      <w:marTop w:val="0"/>
      <w:marBottom w:val="0"/>
      <w:divBdr>
        <w:top w:val="none" w:sz="0" w:space="0" w:color="auto"/>
        <w:left w:val="none" w:sz="0" w:space="0" w:color="auto"/>
        <w:bottom w:val="none" w:sz="0" w:space="0" w:color="auto"/>
        <w:right w:val="none" w:sz="0" w:space="0" w:color="auto"/>
      </w:divBdr>
    </w:div>
    <w:div w:id="1276475473">
      <w:bodyDiv w:val="1"/>
      <w:marLeft w:val="0"/>
      <w:marRight w:val="0"/>
      <w:marTop w:val="0"/>
      <w:marBottom w:val="0"/>
      <w:divBdr>
        <w:top w:val="none" w:sz="0" w:space="0" w:color="auto"/>
        <w:left w:val="none" w:sz="0" w:space="0" w:color="auto"/>
        <w:bottom w:val="none" w:sz="0" w:space="0" w:color="auto"/>
        <w:right w:val="none" w:sz="0" w:space="0" w:color="auto"/>
      </w:divBdr>
    </w:div>
    <w:div w:id="1825969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microsoft.com/office/2016/09/relationships/commentsIds" Target="commentsIds.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224A02-60F6-4D0A-8779-D64C0C72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10795</Words>
  <Characters>61538</Characters>
  <Application>Microsoft Office Word</Application>
  <DocSecurity>4</DocSecurity>
  <Lines>512</Lines>
  <Paragraphs>144</Paragraphs>
  <ScaleCrop>false</ScaleCrop>
  <HeadingPairs>
    <vt:vector size="2" baseType="variant">
      <vt:variant>
        <vt:lpstr>Title</vt:lpstr>
      </vt:variant>
      <vt:variant>
        <vt:i4>1</vt:i4>
      </vt:variant>
    </vt:vector>
  </HeadingPairs>
  <TitlesOfParts>
    <vt:vector size="1" baseType="lpstr">
      <vt:lpstr>Massachusetts Practice Review (MPR)</vt:lpstr>
    </vt:vector>
  </TitlesOfParts>
  <Company>TAC</Company>
  <LinksUpToDate>false</LinksUpToDate>
  <CharactersWithSpaces>72189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Practice Review (MPR)</dc:title>
  <dc:subject>Fiscal Year 2017</dc:subject>
  <dc:creator>Prepared by:</dc:creator>
  <cp:lastModifiedBy> </cp:lastModifiedBy>
  <cp:revision>2</cp:revision>
  <cp:lastPrinted>2019-04-03T15:08:00Z</cp:lastPrinted>
  <dcterms:created xsi:type="dcterms:W3CDTF">2020-02-21T15:47:00Z</dcterms:created>
  <dcterms:modified xsi:type="dcterms:W3CDTF">2020-02-21T15:47:00Z</dcterms:modified>
</cp:coreProperties>
</file>