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048423D5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C4361F">
        <w:rPr>
          <w:rFonts w:ascii="Arial" w:hAnsi="Arial" w:cs="Arial"/>
          <w:b/>
          <w:bCs/>
          <w:color w:val="002060"/>
          <w:sz w:val="22"/>
          <w:szCs w:val="22"/>
        </w:rPr>
        <w:t>M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065D8DE4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</w:t>
      </w:r>
      <w:r w:rsidR="00FF6328">
        <w:rPr>
          <w:rFonts w:ascii="Arial" w:hAnsi="Arial" w:cs="Arial"/>
          <w:color w:val="000000" w:themeColor="text1"/>
        </w:rPr>
        <w:t xml:space="preserve">2 </w:t>
      </w:r>
      <w:r w:rsidR="000A27BC" w:rsidRPr="5A76BED9">
        <w:rPr>
          <w:rFonts w:ascii="Arial" w:hAnsi="Arial" w:cs="Arial"/>
          <w:color w:val="000000" w:themeColor="text1"/>
        </w:rPr>
        <w:t xml:space="preserve">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C4361F">
        <w:rPr>
          <w:rFonts w:ascii="Arial" w:hAnsi="Arial" w:cs="Arial"/>
          <w:color w:val="000000" w:themeColor="text1"/>
        </w:rPr>
        <w:t>M</w:t>
      </w:r>
      <w:r w:rsidR="007326C7">
        <w:rPr>
          <w:rFonts w:ascii="Arial" w:hAnsi="Arial" w:cs="Arial"/>
          <w:color w:val="000000" w:themeColor="text1"/>
        </w:rPr>
        <w:t xml:space="preserve">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C4361F">
        <w:rPr>
          <w:rFonts w:ascii="Arial" w:hAnsi="Arial" w:cs="Arial"/>
          <w:color w:val="000000" w:themeColor="text1"/>
        </w:rPr>
        <w:t>M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55"/>
        <w:gridCol w:w="720"/>
        <w:gridCol w:w="1440"/>
        <w:gridCol w:w="1620"/>
        <w:gridCol w:w="3600"/>
        <w:gridCol w:w="990"/>
      </w:tblGrid>
      <w:tr w:rsidR="008E6BC4" w:rsidRPr="00C623C0" w14:paraId="3EAEF6C6" w14:textId="77777777" w:rsidTr="00952440">
        <w:trPr>
          <w:trHeight w:val="479"/>
          <w:tblHeader/>
        </w:trPr>
        <w:tc>
          <w:tcPr>
            <w:tcW w:w="125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59C259DC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990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37698D" w:rsidRPr="00C623C0" w14:paraId="4671F46D" w14:textId="77777777" w:rsidTr="00952440">
        <w:trPr>
          <w:trHeight w:val="232"/>
        </w:trPr>
        <w:tc>
          <w:tcPr>
            <w:tcW w:w="1255" w:type="dxa"/>
          </w:tcPr>
          <w:p w14:paraId="2A2971C5" w14:textId="69784B41" w:rsidR="0037698D" w:rsidRPr="002E246F" w:rsidRDefault="0037698D" w:rsidP="0037698D">
            <w:pPr>
              <w:rPr>
                <w:rFonts w:ascii="Arial" w:hAnsi="Arial" w:cs="Arial"/>
                <w:color w:val="000000" w:themeColor="text1"/>
              </w:rPr>
            </w:pPr>
            <w:r w:rsidRPr="008375BC">
              <w:rPr>
                <w:rFonts w:ascii="Arial" w:hAnsi="Arial" w:cs="Arial"/>
                <w:color w:val="000000" w:themeColor="text1"/>
              </w:rPr>
              <w:t>Health-Related Social Needs</w:t>
            </w:r>
          </w:p>
        </w:tc>
        <w:tc>
          <w:tcPr>
            <w:tcW w:w="720" w:type="dxa"/>
          </w:tcPr>
          <w:p w14:paraId="12FE65E4" w14:textId="1BF52DBB" w:rsidR="0037698D" w:rsidRPr="002E246F" w:rsidRDefault="002E07AD" w:rsidP="0037698D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40" w:type="dxa"/>
          </w:tcPr>
          <w:p w14:paraId="44978EB4" w14:textId="46EBE477" w:rsidR="0037698D" w:rsidRPr="002E246F" w:rsidRDefault="0037698D" w:rsidP="0037698D">
            <w:pPr>
              <w:rPr>
                <w:rFonts w:ascii="Arial" w:hAnsi="Arial" w:cs="Arial"/>
                <w:color w:val="000000" w:themeColor="text1"/>
              </w:rPr>
            </w:pPr>
            <w:r w:rsidRPr="008375BC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054A760C" w14:textId="62A890A1" w:rsidR="0037698D" w:rsidRPr="002E246F" w:rsidRDefault="0037698D" w:rsidP="0037698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600" w:type="dxa"/>
          </w:tcPr>
          <w:p w14:paraId="149F57FE" w14:textId="77C163CD" w:rsidR="0037698D" w:rsidRPr="002E246F" w:rsidRDefault="0037698D" w:rsidP="0037698D">
            <w:pPr>
              <w:rPr>
                <w:rFonts w:ascii="Arial" w:hAnsi="Arial" w:cs="Arial"/>
                <w:color w:val="000000" w:themeColor="text1"/>
              </w:rPr>
            </w:pPr>
            <w:r w:rsidRPr="008375BC">
              <w:rPr>
                <w:rFonts w:ascii="Arial" w:hAnsi="Arial" w:cs="Arial"/>
              </w:rPr>
              <w:t>Removed “pending” and replaced with “</w:t>
            </w:r>
            <w:r w:rsidRPr="008375BC">
              <w:rPr>
                <w:rFonts w:ascii="Arial" w:hAnsi="Arial" w:cs="Arial"/>
                <w:i/>
                <w:iCs/>
              </w:rPr>
              <w:t>with</w:t>
            </w:r>
            <w:r w:rsidRPr="008375BC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8375BC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3FFF7680" w14:textId="405394CB" w:rsidR="0037698D" w:rsidRDefault="00705395" w:rsidP="00376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32522A9B" w14:textId="77777777" w:rsidTr="00952440">
        <w:trPr>
          <w:trHeight w:val="232"/>
        </w:trPr>
        <w:tc>
          <w:tcPr>
            <w:tcW w:w="1255" w:type="dxa"/>
          </w:tcPr>
          <w:p w14:paraId="0165A8D5" w14:textId="511E9E37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340A9F10" w14:textId="0288B071" w:rsidR="00705395" w:rsidRPr="002E246F" w:rsidRDefault="00926773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40" w:type="dxa"/>
          </w:tcPr>
          <w:p w14:paraId="1684FEAF" w14:textId="1EA88FCE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Policy Update</w:t>
            </w:r>
          </w:p>
        </w:tc>
        <w:tc>
          <w:tcPr>
            <w:tcW w:w="1620" w:type="dxa"/>
          </w:tcPr>
          <w:p w14:paraId="072B44B3" w14:textId="43A193EC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</w:p>
        </w:tc>
        <w:tc>
          <w:tcPr>
            <w:tcW w:w="3600" w:type="dxa"/>
          </w:tcPr>
          <w:p w14:paraId="21F73CF1" w14:textId="28B4A684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Removing requirement to submit member-level Race and Ethnicity data alongside annual clinical quality measure reporting.</w:t>
            </w:r>
          </w:p>
        </w:tc>
        <w:tc>
          <w:tcPr>
            <w:tcW w:w="990" w:type="dxa"/>
          </w:tcPr>
          <w:p w14:paraId="24E9A456" w14:textId="4A31DF6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424EC88D" w14:textId="77777777" w:rsidTr="00952440">
        <w:trPr>
          <w:trHeight w:val="232"/>
        </w:trPr>
        <w:tc>
          <w:tcPr>
            <w:tcW w:w="1255" w:type="dxa"/>
          </w:tcPr>
          <w:p w14:paraId="3AEB1B38" w14:textId="3564F15E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687FF521" w14:textId="1344EFCF" w:rsidR="00705395" w:rsidRPr="002E246F" w:rsidRDefault="004D792F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56, 57</w:t>
            </w:r>
          </w:p>
        </w:tc>
        <w:tc>
          <w:tcPr>
            <w:tcW w:w="1440" w:type="dxa"/>
          </w:tcPr>
          <w:p w14:paraId="0FEBDF43" w14:textId="7C8C6DB3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</w:p>
        </w:tc>
        <w:tc>
          <w:tcPr>
            <w:tcW w:w="1620" w:type="dxa"/>
          </w:tcPr>
          <w:p w14:paraId="66E0D2DF" w14:textId="325961F7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</w:p>
        </w:tc>
        <w:tc>
          <w:tcPr>
            <w:tcW w:w="3600" w:type="dxa"/>
          </w:tcPr>
          <w:p w14:paraId="5A06A46E" w14:textId="2A1016F9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Removed “30 day follow up” from FUM, FUA, and FUH (to align with Quality measure reporting).</w:t>
            </w:r>
          </w:p>
        </w:tc>
        <w:tc>
          <w:tcPr>
            <w:tcW w:w="990" w:type="dxa"/>
          </w:tcPr>
          <w:p w14:paraId="4BDEED9F" w14:textId="46D221C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57FED3C2" w14:textId="77777777" w:rsidTr="00952440">
        <w:trPr>
          <w:trHeight w:val="232"/>
        </w:trPr>
        <w:tc>
          <w:tcPr>
            <w:tcW w:w="1255" w:type="dxa"/>
          </w:tcPr>
          <w:p w14:paraId="2D8573B4" w14:textId="19659DA3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73B47ECE" w14:textId="5697CAB6" w:rsidR="00705395" w:rsidRPr="002E246F" w:rsidRDefault="004C4E6B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40" w:type="dxa"/>
          </w:tcPr>
          <w:p w14:paraId="6E718A70" w14:textId="6A5D31C8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14D8D038" w14:textId="144BAF02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Additional Measure Information</w:t>
            </w:r>
          </w:p>
        </w:tc>
        <w:tc>
          <w:tcPr>
            <w:tcW w:w="3600" w:type="dxa"/>
          </w:tcPr>
          <w:p w14:paraId="5CB8AC9D" w14:textId="3685A20A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acceptable use of imputed data in the stratified reports.</w:t>
            </w:r>
          </w:p>
        </w:tc>
        <w:tc>
          <w:tcPr>
            <w:tcW w:w="990" w:type="dxa"/>
          </w:tcPr>
          <w:p w14:paraId="33C2ECAF" w14:textId="5B2838C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51AC08E3" w14:textId="77777777" w:rsidTr="00952440">
        <w:trPr>
          <w:trHeight w:val="232"/>
        </w:trPr>
        <w:tc>
          <w:tcPr>
            <w:tcW w:w="1255" w:type="dxa"/>
          </w:tcPr>
          <w:p w14:paraId="646614A4" w14:textId="3FA629F5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3B32B65D" w14:textId="71138CA5" w:rsidR="00705395" w:rsidRPr="002E246F" w:rsidRDefault="00920A50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40" w:type="dxa"/>
          </w:tcPr>
          <w:p w14:paraId="238ADF02" w14:textId="64A46B0D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Policy Update</w:t>
            </w:r>
          </w:p>
        </w:tc>
        <w:tc>
          <w:tcPr>
            <w:tcW w:w="1620" w:type="dxa"/>
          </w:tcPr>
          <w:p w14:paraId="219A25AC" w14:textId="12ABC3C4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PY2 Performance Requirements &amp; Assessment</w:t>
            </w:r>
          </w:p>
        </w:tc>
        <w:tc>
          <w:tcPr>
            <w:tcW w:w="3600" w:type="dxa"/>
          </w:tcPr>
          <w:p w14:paraId="31A3F813" w14:textId="7B453118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Updating the Performance Assessment</w:t>
            </w:r>
            <w:r w:rsidR="0043661B">
              <w:rPr>
                <w:rStyle w:val="normaltextrun"/>
                <w:rFonts w:ascii="Arial" w:hAnsi="Arial" w:cs="Arial"/>
                <w:color w:val="000000"/>
              </w:rPr>
              <w:t xml:space="preserve"> so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that 100% of the measure points are attributed to submission of stratified reports.</w:t>
            </w:r>
          </w:p>
        </w:tc>
        <w:tc>
          <w:tcPr>
            <w:tcW w:w="990" w:type="dxa"/>
          </w:tcPr>
          <w:p w14:paraId="7A70BA67" w14:textId="3366323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54FF29C3" w14:textId="77777777" w:rsidTr="00952440">
        <w:trPr>
          <w:trHeight w:val="232"/>
        </w:trPr>
        <w:tc>
          <w:tcPr>
            <w:tcW w:w="1255" w:type="dxa"/>
          </w:tcPr>
          <w:p w14:paraId="58FFC5DC" w14:textId="2F8F2B9F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lastRenderedPageBreak/>
              <w:t>Language Access</w:t>
            </w:r>
          </w:p>
        </w:tc>
        <w:tc>
          <w:tcPr>
            <w:tcW w:w="720" w:type="dxa"/>
          </w:tcPr>
          <w:p w14:paraId="67566DB3" w14:textId="21400ADA" w:rsidR="00705395" w:rsidRPr="002E246F" w:rsidRDefault="00E85433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40" w:type="dxa"/>
          </w:tcPr>
          <w:p w14:paraId="79BB51A0" w14:textId="228946E9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22377305" w14:textId="07720B73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</w:p>
        </w:tc>
        <w:tc>
          <w:tcPr>
            <w:tcW w:w="3600" w:type="dxa"/>
          </w:tcPr>
          <w:p w14:paraId="44443F16" w14:textId="3D2DF419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B5827">
              <w:rPr>
                <w:rStyle w:val="normaltextrun"/>
                <w:rFonts w:ascii="Arial" w:hAnsi="Arial" w:cs="Arial"/>
                <w:color w:val="000000"/>
              </w:rPr>
              <w:t>Clarified Component 2, changing “either interpreter services or in language services” to “language assistance services</w:t>
            </w:r>
            <w:r>
              <w:rPr>
                <w:rStyle w:val="normaltextrun"/>
                <w:rFonts w:ascii="Arial" w:hAnsi="Arial" w:cs="Arial"/>
                <w:color w:val="000000"/>
              </w:rPr>
              <w:t>.</w:t>
            </w:r>
            <w:r w:rsidRPr="003B5827">
              <w:rPr>
                <w:rStyle w:val="normaltextrun"/>
                <w:rFonts w:ascii="Arial" w:hAnsi="Arial" w:cs="Arial"/>
                <w:color w:val="000000"/>
              </w:rPr>
              <w:t>”</w:t>
            </w:r>
          </w:p>
        </w:tc>
        <w:tc>
          <w:tcPr>
            <w:tcW w:w="990" w:type="dxa"/>
          </w:tcPr>
          <w:p w14:paraId="093518A5" w14:textId="3CE86F9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7A194BB1" w14:textId="77777777" w:rsidTr="00952440">
        <w:trPr>
          <w:trHeight w:val="232"/>
        </w:trPr>
        <w:tc>
          <w:tcPr>
            <w:tcW w:w="1255" w:type="dxa"/>
          </w:tcPr>
          <w:p w14:paraId="2B58E4B3" w14:textId="5A75A4D3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0C4A5FE7" w14:textId="5BD45EFE" w:rsidR="00705395" w:rsidRPr="002E246F" w:rsidRDefault="00AD39C6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40" w:type="dxa"/>
          </w:tcPr>
          <w:p w14:paraId="1C4DCF3A" w14:textId="6E410C6A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7013A149" w14:textId="50862F93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600" w:type="dxa"/>
          </w:tcPr>
          <w:p w14:paraId="3C1F56B8" w14:textId="46DBF7FD" w:rsidR="00705395" w:rsidRPr="003B5827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</w:rPr>
              <w:t>Removed “pending” and replaced with “</w:t>
            </w:r>
            <w:r w:rsidRPr="006F1E05">
              <w:rPr>
                <w:rFonts w:ascii="Arial" w:hAnsi="Arial" w:cs="Arial"/>
                <w:i/>
                <w:iCs/>
              </w:rPr>
              <w:t>with</w:t>
            </w:r>
            <w:r w:rsidRPr="006F1E05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6F1E05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194EAB96" w14:textId="695FCDA7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36557CA8" w14:textId="77777777" w:rsidTr="00952440">
        <w:trPr>
          <w:trHeight w:val="232"/>
        </w:trPr>
        <w:tc>
          <w:tcPr>
            <w:tcW w:w="1255" w:type="dxa"/>
          </w:tcPr>
          <w:p w14:paraId="2D1FCD0A" w14:textId="2C273E21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744E9C49" w14:textId="15C9948E" w:rsidR="00705395" w:rsidRDefault="007B5C43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62</w:t>
            </w:r>
          </w:p>
          <w:p w14:paraId="3D2050D2" w14:textId="77777777" w:rsidR="007B5C43" w:rsidRDefault="007B5C43" w:rsidP="007B5C43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3809C9DB" w14:textId="77777777" w:rsidR="007B5C43" w:rsidRPr="007B5C43" w:rsidRDefault="007B5C43" w:rsidP="007B5C4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A91AC80" w14:textId="7887440A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71939173" w14:textId="784A1B7B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600" w:type="dxa"/>
          </w:tcPr>
          <w:p w14:paraId="453FD8A5" w14:textId="4E0D3498" w:rsidR="00705395" w:rsidRPr="003B5827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</w:rPr>
              <w:t>Clarified Component 2 description and numerator, changing “either interpreter services or in language services” to “language assistance services</w:t>
            </w:r>
            <w:r>
              <w:rPr>
                <w:rFonts w:ascii="Arial" w:hAnsi="Arial" w:cs="Arial"/>
              </w:rPr>
              <w:t>.</w:t>
            </w:r>
            <w:r w:rsidRPr="00F24930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3D671320" w14:textId="0E78BFD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2BCFB7B6" w14:textId="77777777" w:rsidTr="00952440">
        <w:trPr>
          <w:trHeight w:val="232"/>
        </w:trPr>
        <w:tc>
          <w:tcPr>
            <w:tcW w:w="1255" w:type="dxa"/>
          </w:tcPr>
          <w:p w14:paraId="7169942E" w14:textId="25538D96" w:rsidR="00705395" w:rsidRPr="00F24930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7A66AD1B" w14:textId="14C487BC" w:rsidR="00705395" w:rsidRPr="002E246F" w:rsidRDefault="005E66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40" w:type="dxa"/>
          </w:tcPr>
          <w:p w14:paraId="500BE383" w14:textId="116B79DA" w:rsidR="00705395" w:rsidRPr="00F24930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7323F86C" w14:textId="632E692C" w:rsidR="00705395" w:rsidRPr="00F24930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600" w:type="dxa"/>
          </w:tcPr>
          <w:p w14:paraId="45FE2D49" w14:textId="0685BA0B" w:rsidR="00705395" w:rsidRPr="00F24930" w:rsidRDefault="00705395" w:rsidP="00705395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For Component 2 Numerator, addition of “language services documentation system (e.g., vendor logs)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F24930">
              <w:rPr>
                <w:rFonts w:ascii="Arial" w:hAnsi="Arial" w:cs="Arial"/>
                <w:color w:val="000000" w:themeColor="text1"/>
              </w:rPr>
              <w:t xml:space="preserve"> as an acceptable source of documentation for language assistance services provided.</w:t>
            </w:r>
          </w:p>
        </w:tc>
        <w:tc>
          <w:tcPr>
            <w:tcW w:w="990" w:type="dxa"/>
          </w:tcPr>
          <w:p w14:paraId="431C32A5" w14:textId="174E22CA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4C682DD6" w14:textId="77777777" w:rsidTr="00952440">
        <w:trPr>
          <w:trHeight w:val="232"/>
        </w:trPr>
        <w:tc>
          <w:tcPr>
            <w:tcW w:w="1255" w:type="dxa"/>
          </w:tcPr>
          <w:p w14:paraId="6B04E2F2" w14:textId="62D01AB4" w:rsidR="00705395" w:rsidRPr="002E246F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E246F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3583550D" w14:textId="6353B421" w:rsidR="00705395" w:rsidRPr="002E246F" w:rsidRDefault="00C75AD9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40" w:type="dxa"/>
          </w:tcPr>
          <w:p w14:paraId="0A62A65F" w14:textId="03D41350" w:rsidR="00705395" w:rsidRPr="002E246F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E246F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05954B67" w14:textId="12C04192" w:rsidR="00705395" w:rsidRPr="002E246F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E246F">
              <w:rPr>
                <w:rFonts w:ascii="Arial" w:hAnsi="Arial" w:cs="Arial"/>
                <w:color w:val="000000" w:themeColor="text1"/>
              </w:rPr>
              <w:t xml:space="preserve">PY2 Performance Requirements </w:t>
            </w:r>
            <w:r>
              <w:rPr>
                <w:rFonts w:ascii="Arial" w:hAnsi="Arial" w:cs="Arial"/>
                <w:color w:val="000000" w:themeColor="text1"/>
              </w:rPr>
              <w:t>&amp;</w:t>
            </w:r>
            <w:r w:rsidRPr="002E246F">
              <w:rPr>
                <w:rFonts w:ascii="Arial" w:hAnsi="Arial" w:cs="Arial"/>
                <w:color w:val="000000" w:themeColor="text1"/>
              </w:rPr>
              <w:t xml:space="preserve"> Assessment</w:t>
            </w:r>
          </w:p>
        </w:tc>
        <w:tc>
          <w:tcPr>
            <w:tcW w:w="3600" w:type="dxa"/>
          </w:tcPr>
          <w:p w14:paraId="4B7A6D6F" w14:textId="5C64AA95" w:rsidR="00705395" w:rsidRPr="002E246F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E246F">
              <w:rPr>
                <w:rFonts w:ascii="Arial" w:hAnsi="Arial" w:cs="Arial"/>
                <w:color w:val="000000" w:themeColor="text1"/>
              </w:rPr>
              <w:t xml:space="preserve">Changed due date for Component 2 from September 30, </w:t>
            </w:r>
            <w:proofErr w:type="gramStart"/>
            <w:r w:rsidRPr="002E246F">
              <w:rPr>
                <w:rFonts w:ascii="Arial" w:hAnsi="Arial" w:cs="Arial"/>
                <w:color w:val="000000" w:themeColor="text1"/>
              </w:rPr>
              <w:t>2025</w:t>
            </w:r>
            <w:proofErr w:type="gramEnd"/>
            <w:r w:rsidRPr="002E246F">
              <w:rPr>
                <w:rFonts w:ascii="Arial" w:hAnsi="Arial" w:cs="Arial"/>
                <w:color w:val="000000" w:themeColor="text1"/>
              </w:rPr>
              <w:t xml:space="preserve"> to December 31, 2025.</w:t>
            </w:r>
          </w:p>
        </w:tc>
        <w:tc>
          <w:tcPr>
            <w:tcW w:w="990" w:type="dxa"/>
          </w:tcPr>
          <w:p w14:paraId="32C50BF3" w14:textId="3531EA5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04ACD7B8" w14:textId="77777777" w:rsidTr="00952440">
        <w:trPr>
          <w:trHeight w:val="232"/>
        </w:trPr>
        <w:tc>
          <w:tcPr>
            <w:tcW w:w="1255" w:type="dxa"/>
          </w:tcPr>
          <w:p w14:paraId="2C573C32" w14:textId="08BDB523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29AD0E80" w14:textId="7E8105B3" w:rsidR="00705395" w:rsidRPr="002E246F" w:rsidRDefault="002D6EA1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40" w:type="dxa"/>
          </w:tcPr>
          <w:p w14:paraId="6F121126" w14:textId="70DABD01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2328D80A" w14:textId="1291BF89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600" w:type="dxa"/>
          </w:tcPr>
          <w:p w14:paraId="70F4CD93" w14:textId="7C6D9B18" w:rsidR="00705395" w:rsidRPr="002E246F" w:rsidRDefault="00705395" w:rsidP="00705395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</w:rPr>
              <w:t>Clarified ages for each of the six questions to align with the ages listed in the RELD SOGI Data Completeness – Disability Data Completeness measure (under Eligible Population)</w:t>
            </w:r>
          </w:p>
        </w:tc>
        <w:tc>
          <w:tcPr>
            <w:tcW w:w="990" w:type="dxa"/>
          </w:tcPr>
          <w:p w14:paraId="7A7F675A" w14:textId="085E075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705395" w:rsidRPr="00C623C0" w14:paraId="5A2196C1" w14:textId="77777777" w:rsidTr="00952440">
        <w:trPr>
          <w:trHeight w:val="232"/>
        </w:trPr>
        <w:tc>
          <w:tcPr>
            <w:tcW w:w="1255" w:type="dxa"/>
          </w:tcPr>
          <w:p w14:paraId="222A3E76" w14:textId="51E807A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RELD SOGI Data Completeness: All sub-measures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</w:tcPr>
          <w:p w14:paraId="49AAF4EE" w14:textId="03E3224A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3, 8, 13, 21, 33, 38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3E8333EA" w14:textId="7887812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4A6B6F99" w14:textId="0171C4A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Overview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16A52763" w14:textId="707036E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numerator source to “MCO ‘Member Data and Member Enrollment’ Monthly Data File Submission” and clarified denominator source to “MassHealth Enrollment Data.”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58E4BC88" w14:textId="7DD07840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7A9C69AE" w14:textId="77777777" w:rsidTr="00952440">
        <w:trPr>
          <w:trHeight w:val="232"/>
        </w:trPr>
        <w:tc>
          <w:tcPr>
            <w:tcW w:w="1255" w:type="dxa"/>
          </w:tcPr>
          <w:p w14:paraId="1447CB18" w14:textId="4BF3D48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21471C81" w14:textId="399B0CF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40" w:type="dxa"/>
          </w:tcPr>
          <w:p w14:paraId="401D50F6" w14:textId="10F63C4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3FB7CDE0" w14:textId="517293D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0961E26B" w14:textId="5E348D4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Rate 2: HRSN Screen Positive Rate to “Rate of HRSN identified (i.e., screen positive) among cases in Rate 1 numerator.”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0B37E6C2" w14:textId="58FEB75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7ECBC1EC" w14:textId="77777777" w:rsidTr="00952440">
        <w:trPr>
          <w:trHeight w:val="232"/>
        </w:trPr>
        <w:tc>
          <w:tcPr>
            <w:tcW w:w="1255" w:type="dxa"/>
          </w:tcPr>
          <w:p w14:paraId="5AAC245D" w14:textId="794C7C5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18FBE365" w14:textId="4B4D75C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40" w:type="dxa"/>
          </w:tcPr>
          <w:p w14:paraId="124F6AD8" w14:textId="671AA4E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BC28915" w14:textId="0435CCB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4111AF57" w14:textId="1EFAB62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Continuous Enrollment is “90 days” and Allowable Gap is “None.”</w:t>
            </w:r>
          </w:p>
        </w:tc>
        <w:tc>
          <w:tcPr>
            <w:tcW w:w="990" w:type="dxa"/>
          </w:tcPr>
          <w:p w14:paraId="5E8065BC" w14:textId="3ECBF7A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2BA6C8C5" w14:textId="77777777" w:rsidTr="00952440">
        <w:trPr>
          <w:trHeight w:val="232"/>
        </w:trPr>
        <w:tc>
          <w:tcPr>
            <w:tcW w:w="1255" w:type="dxa"/>
          </w:tcPr>
          <w:p w14:paraId="700EF128" w14:textId="132A1EA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HRSN Screening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</w:tcPr>
          <w:p w14:paraId="08467256" w14:textId="258B5267" w:rsidR="00705395" w:rsidRDefault="00705395" w:rsidP="00705395">
            <w:pPr>
              <w:rPr>
                <w:rFonts w:ascii="Arial" w:hAnsi="Arial" w:cs="Arial"/>
              </w:rPr>
            </w:pPr>
            <w:r w:rsidRPr="00493C27">
              <w:rPr>
                <w:rStyle w:val="normaltextrun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14:paraId="119D08D0" w14:textId="1C74453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5067D68C" w14:textId="33914BB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3A9EA189" w14:textId="77910897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description of Rate 2: HRSN Screen Positive Rate to “Rate of HRSN identified (i.e., screen positive) among cases in Rate 1 numerator.”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72A7D517" w14:textId="31E83E8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11EFE6B0" w14:textId="77777777" w:rsidTr="00952440">
        <w:trPr>
          <w:trHeight w:val="232"/>
        </w:trPr>
        <w:tc>
          <w:tcPr>
            <w:tcW w:w="1255" w:type="dxa"/>
          </w:tcPr>
          <w:p w14:paraId="2AB3E192" w14:textId="06975F5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lastRenderedPageBreak/>
              <w:t>HRSN Screening</w:t>
            </w:r>
          </w:p>
        </w:tc>
        <w:tc>
          <w:tcPr>
            <w:tcW w:w="720" w:type="dxa"/>
          </w:tcPr>
          <w:p w14:paraId="51E16EA9" w14:textId="64252C8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40" w:type="dxa"/>
          </w:tcPr>
          <w:p w14:paraId="505F3451" w14:textId="6FB3FE9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6F66E8FB" w14:textId="673A8A4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5A04D20E" w14:textId="4BD85C4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Rate 2 denominator description.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05FB3A15" w14:textId="35B35C6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370B8BFF" w14:textId="77777777" w:rsidTr="00952440">
        <w:trPr>
          <w:trHeight w:val="232"/>
        </w:trPr>
        <w:tc>
          <w:tcPr>
            <w:tcW w:w="1255" w:type="dxa"/>
          </w:tcPr>
          <w:p w14:paraId="1500A95C" w14:textId="4659D5E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556DDA05" w14:textId="5BEF671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52</w:t>
            </w:r>
          </w:p>
        </w:tc>
        <w:tc>
          <w:tcPr>
            <w:tcW w:w="1440" w:type="dxa"/>
          </w:tcPr>
          <w:p w14:paraId="7251D7D4" w14:textId="613CC85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48D1D8A6" w14:textId="73DE2B3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Data Reporting Requirements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3571433A" w14:textId="2D2D8C2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ICD-10 Code “Z59.12” to ICD-10 Codes Contribution to Rate 2 Numerators for Utility Difficulties.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552CE9A0" w14:textId="3CEC4DA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6A5B4E1D" w14:textId="77777777" w:rsidTr="00952440">
        <w:trPr>
          <w:trHeight w:val="232"/>
        </w:trPr>
        <w:tc>
          <w:tcPr>
            <w:tcW w:w="1255" w:type="dxa"/>
          </w:tcPr>
          <w:p w14:paraId="02B3D7C5" w14:textId="476617E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8695790" w14:textId="269E133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40" w:type="dxa"/>
          </w:tcPr>
          <w:p w14:paraId="0C511598" w14:textId="3833A2C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1DB63061" w14:textId="2FF7D21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Supplemental Data Reporting Requirements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716AA9A4" w14:textId="51432EC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23FADF75" w14:textId="506B098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268CC0B1" w14:textId="77777777" w:rsidTr="00952440">
        <w:trPr>
          <w:trHeight w:val="232"/>
        </w:trPr>
        <w:tc>
          <w:tcPr>
            <w:tcW w:w="1255" w:type="dxa"/>
          </w:tcPr>
          <w:p w14:paraId="433E923F" w14:textId="7F33C45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527D4451" w14:textId="22E5BAB8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40" w:type="dxa"/>
          </w:tcPr>
          <w:p w14:paraId="2AB2B191" w14:textId="7012DA81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2452CEDC" w14:textId="62059D90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PY2 Performance Requirements &amp; Assessment</w:t>
            </w:r>
          </w:p>
        </w:tc>
        <w:tc>
          <w:tcPr>
            <w:tcW w:w="3600" w:type="dxa"/>
          </w:tcPr>
          <w:p w14:paraId="17D696D4" w14:textId="5DBD2625" w:rsidR="00705395" w:rsidRDefault="00705395" w:rsidP="007053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the data submission due date is applicable to all data submitted by the MCO (administrative and supplemental, as applicable).</w:t>
            </w:r>
          </w:p>
        </w:tc>
        <w:tc>
          <w:tcPr>
            <w:tcW w:w="990" w:type="dxa"/>
          </w:tcPr>
          <w:p w14:paraId="1E6512BE" w14:textId="355888E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29B7D8AC" w14:textId="77777777" w:rsidTr="00952440">
        <w:trPr>
          <w:trHeight w:val="232"/>
        </w:trPr>
        <w:tc>
          <w:tcPr>
            <w:tcW w:w="1255" w:type="dxa"/>
          </w:tcPr>
          <w:p w14:paraId="5E32ED9C" w14:textId="1967004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62D264D1" w14:textId="23DDB8F0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0" w:type="dxa"/>
          </w:tcPr>
          <w:p w14:paraId="3C729C63" w14:textId="15ABE2C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3E6627A" w14:textId="7E27124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085C9400" w14:textId="3BF60E6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language about requesting additional member-level data.</w:t>
            </w:r>
          </w:p>
        </w:tc>
        <w:tc>
          <w:tcPr>
            <w:tcW w:w="990" w:type="dxa"/>
          </w:tcPr>
          <w:p w14:paraId="62A687E2" w14:textId="20890D77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3DD1BD80" w14:textId="77777777" w:rsidTr="00952440">
        <w:trPr>
          <w:trHeight w:val="232"/>
        </w:trPr>
        <w:tc>
          <w:tcPr>
            <w:tcW w:w="1255" w:type="dxa"/>
          </w:tcPr>
          <w:p w14:paraId="3C5D2645" w14:textId="5A2F4AA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5C91FCBB" w14:textId="009300A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440" w:type="dxa"/>
          </w:tcPr>
          <w:p w14:paraId="67997FB4" w14:textId="6BED1D7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6C4FA34" w14:textId="02914E0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Summary</w:t>
            </w:r>
          </w:p>
        </w:tc>
        <w:tc>
          <w:tcPr>
            <w:tcW w:w="3600" w:type="dxa"/>
          </w:tcPr>
          <w:p w14:paraId="4DBF6040" w14:textId="7598F0A0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setting of eligible outpatient visits: “MCO Primary Care Providers.”</w:t>
            </w:r>
          </w:p>
        </w:tc>
        <w:tc>
          <w:tcPr>
            <w:tcW w:w="990" w:type="dxa"/>
          </w:tcPr>
          <w:p w14:paraId="41DC5C67" w14:textId="44D6584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76395680" w14:textId="77777777" w:rsidTr="00952440">
        <w:trPr>
          <w:trHeight w:val="232"/>
        </w:trPr>
        <w:tc>
          <w:tcPr>
            <w:tcW w:w="1255" w:type="dxa"/>
          </w:tcPr>
          <w:p w14:paraId="5480B5C6" w14:textId="3735640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68CA5048" w14:textId="6F2E9CC7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0" w:type="dxa"/>
          </w:tcPr>
          <w:p w14:paraId="3476D4D1" w14:textId="65B7067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DCF16AA" w14:textId="397F70E0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1CA54F34" w14:textId="691A07F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sampling methodology language and added reference to the QEIP Portal User Guide, which contains further sampling methodology details.</w:t>
            </w:r>
          </w:p>
        </w:tc>
        <w:tc>
          <w:tcPr>
            <w:tcW w:w="990" w:type="dxa"/>
          </w:tcPr>
          <w:p w14:paraId="0CDC3065" w14:textId="6E04C77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266EC4EF" w14:textId="77777777" w:rsidTr="00952440">
        <w:trPr>
          <w:trHeight w:val="232"/>
        </w:trPr>
        <w:tc>
          <w:tcPr>
            <w:tcW w:w="1255" w:type="dxa"/>
          </w:tcPr>
          <w:p w14:paraId="168BD3DE" w14:textId="26B01FE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0D4BB2E9" w14:textId="23E5B2A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0" w:type="dxa"/>
          </w:tcPr>
          <w:p w14:paraId="2C1B3E28" w14:textId="7BAB378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C2C5023" w14:textId="727F71C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3B0B0CC2" w14:textId="1E3C601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31F5313D" w14:textId="4866461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14:paraId="2A2342B7" w14:textId="77777777" w:rsidTr="00952440">
        <w:trPr>
          <w:trHeight w:val="232"/>
        </w:trPr>
        <w:tc>
          <w:tcPr>
            <w:tcW w:w="1255" w:type="dxa"/>
          </w:tcPr>
          <w:p w14:paraId="35EC003E" w14:textId="4F1F5E59" w:rsidR="00705395" w:rsidRDefault="00705395" w:rsidP="00705395">
            <w:pPr>
              <w:rPr>
                <w:rFonts w:ascii="Arial" w:hAnsi="Arial" w:cs="Arial"/>
              </w:rPr>
            </w:pPr>
            <w:r w:rsidRPr="2219974A"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422F7035" w14:textId="7425554E" w:rsidR="00705395" w:rsidRDefault="00705395" w:rsidP="00705395">
            <w:pPr>
              <w:rPr>
                <w:rFonts w:ascii="Arial" w:hAnsi="Arial" w:cs="Arial"/>
              </w:rPr>
            </w:pPr>
            <w:r w:rsidRPr="2219974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63CBE170" w14:textId="4F82331D" w:rsidR="00705395" w:rsidRDefault="00705395" w:rsidP="00705395">
            <w:pPr>
              <w:rPr>
                <w:rFonts w:ascii="Arial" w:hAnsi="Arial" w:cs="Arial"/>
              </w:rPr>
            </w:pPr>
            <w:r w:rsidRPr="2219974A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1729736A" w14:textId="304DFD1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PY2 </w:t>
            </w:r>
            <w:r w:rsidRPr="2219974A">
              <w:rPr>
                <w:rFonts w:ascii="Arial" w:hAnsi="Arial" w:cs="Arial"/>
              </w:rPr>
              <w:t>Performance Requirements &amp; Assessment</w:t>
            </w:r>
          </w:p>
        </w:tc>
        <w:tc>
          <w:tcPr>
            <w:tcW w:w="3600" w:type="dxa"/>
          </w:tcPr>
          <w:p w14:paraId="6B69C6B8" w14:textId="2921785A" w:rsidR="00705395" w:rsidRDefault="00705395" w:rsidP="00705395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2219974A">
              <w:rPr>
                <w:rStyle w:val="normaltextrun"/>
                <w:rFonts w:ascii="Arial" w:hAnsi="Arial" w:cs="Arial"/>
                <w:color w:val="000000" w:themeColor="text1"/>
              </w:rPr>
              <w:t>Updated Component 2 reporting due date to 09/30/2025 (originally 09/01/2025) and removed reference to full population reporting methodology.</w:t>
            </w:r>
          </w:p>
        </w:tc>
        <w:tc>
          <w:tcPr>
            <w:tcW w:w="990" w:type="dxa"/>
          </w:tcPr>
          <w:p w14:paraId="1F749282" w14:textId="169B395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38032B38" w14:textId="77777777" w:rsidTr="00952440">
        <w:trPr>
          <w:trHeight w:val="232"/>
        </w:trPr>
        <w:tc>
          <w:tcPr>
            <w:tcW w:w="1255" w:type="dxa"/>
          </w:tcPr>
          <w:p w14:paraId="374E24CA" w14:textId="0D4038B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4BE63612" w14:textId="5F58777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0" w:type="dxa"/>
          </w:tcPr>
          <w:p w14:paraId="59B51E77" w14:textId="2D27A24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45E917A" w14:textId="6488FF5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0AFFAB6C" w14:textId="71AF123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DCC Training Rate denominator is all patient-facing staff “at the MCO.”</w:t>
            </w:r>
          </w:p>
        </w:tc>
        <w:tc>
          <w:tcPr>
            <w:tcW w:w="990" w:type="dxa"/>
          </w:tcPr>
          <w:p w14:paraId="0D600742" w14:textId="5BF2C04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5E130EDC" w14:textId="77777777" w:rsidTr="00952440">
        <w:trPr>
          <w:trHeight w:val="232"/>
        </w:trPr>
        <w:tc>
          <w:tcPr>
            <w:tcW w:w="1255" w:type="dxa"/>
          </w:tcPr>
          <w:p w14:paraId="2629DDDD" w14:textId="4737B1D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2F312DB8" w14:textId="0B25B7A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0" w:type="dxa"/>
          </w:tcPr>
          <w:p w14:paraId="0CB3BBCC" w14:textId="6BDADF2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6382D51" w14:textId="46AF981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142F5CB6" w14:textId="51BFE4E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Clarified that entities must report </w:t>
            </w: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number of patient-facing staff in their DCC Training Report.</w:t>
            </w:r>
          </w:p>
        </w:tc>
        <w:tc>
          <w:tcPr>
            <w:tcW w:w="990" w:type="dxa"/>
          </w:tcPr>
          <w:p w14:paraId="78047540" w14:textId="0AC7343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5F94A096" w14:textId="77777777" w:rsidTr="00952440">
        <w:trPr>
          <w:trHeight w:val="232"/>
        </w:trPr>
        <w:tc>
          <w:tcPr>
            <w:tcW w:w="1255" w:type="dxa"/>
          </w:tcPr>
          <w:p w14:paraId="7F9C6986" w14:textId="5EC15B8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2E893517" w14:textId="1503BD1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440" w:type="dxa"/>
          </w:tcPr>
          <w:p w14:paraId="60C66D20" w14:textId="5DA2771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37554030" w14:textId="3CBFF557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Measure Information</w:t>
            </w:r>
          </w:p>
        </w:tc>
        <w:tc>
          <w:tcPr>
            <w:tcW w:w="3600" w:type="dxa"/>
          </w:tcPr>
          <w:p w14:paraId="5C8C49ED" w14:textId="118AF9E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MassHealth reports data to MCOs, including stratifications.</w:t>
            </w:r>
          </w:p>
        </w:tc>
        <w:tc>
          <w:tcPr>
            <w:tcW w:w="990" w:type="dxa"/>
          </w:tcPr>
          <w:p w14:paraId="0CFCF6CC" w14:textId="172A11D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05395" w:rsidRPr="00C623C0" w14:paraId="5DEB3279" w14:textId="77777777" w:rsidTr="00952440">
        <w:trPr>
          <w:trHeight w:val="232"/>
        </w:trPr>
        <w:tc>
          <w:tcPr>
            <w:tcW w:w="1255" w:type="dxa"/>
          </w:tcPr>
          <w:p w14:paraId="649CBBCD" w14:textId="676441D0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RELD SOGI Data Completeness</w:t>
            </w:r>
          </w:p>
        </w:tc>
        <w:tc>
          <w:tcPr>
            <w:tcW w:w="720" w:type="dxa"/>
          </w:tcPr>
          <w:p w14:paraId="6BDD982A" w14:textId="13FC1CCD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440" w:type="dxa"/>
          </w:tcPr>
          <w:p w14:paraId="2F23644B" w14:textId="43DE53F4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7BCB4D69" w14:textId="29210A5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4165AFE1" w14:textId="59D5FD95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reference to “Member Data and Member Enrollment Monthly Submission Specifications for all Entities” from Version 2.0 to Version 3.0.</w:t>
            </w:r>
          </w:p>
        </w:tc>
        <w:tc>
          <w:tcPr>
            <w:tcW w:w="990" w:type="dxa"/>
          </w:tcPr>
          <w:p w14:paraId="75191297" w14:textId="21C81640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70E1E4F8" w14:textId="77777777" w:rsidTr="00952440">
        <w:trPr>
          <w:trHeight w:val="232"/>
        </w:trPr>
        <w:tc>
          <w:tcPr>
            <w:tcW w:w="1255" w:type="dxa"/>
          </w:tcPr>
          <w:p w14:paraId="5754F6C2" w14:textId="3DED4664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Health-Related Social Needs</w:t>
            </w:r>
          </w:p>
        </w:tc>
        <w:tc>
          <w:tcPr>
            <w:tcW w:w="720" w:type="dxa"/>
          </w:tcPr>
          <w:p w14:paraId="718B5B9F" w14:textId="52B23269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0A46D93A" w14:textId="1944B5F2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5B08404A" w14:textId="7C04C98C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</w:t>
            </w:r>
            <w:r w:rsidRPr="00C623C0">
              <w:rPr>
                <w:rFonts w:ascii="Arial" w:hAnsi="Arial" w:cs="Arial"/>
              </w:rPr>
              <w:t xml:space="preserve"> Data Reporting Requirements</w:t>
            </w:r>
          </w:p>
        </w:tc>
        <w:tc>
          <w:tcPr>
            <w:tcW w:w="3600" w:type="dxa"/>
          </w:tcPr>
          <w:p w14:paraId="51FB51F4" w14:textId="5EB4E862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Change “CPT” Code System to “HCPCS” Code System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3183ED96" w14:textId="69CE56A7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5AC0EEB4" w14:textId="77777777" w:rsidTr="00952440">
        <w:trPr>
          <w:trHeight w:val="246"/>
        </w:trPr>
        <w:tc>
          <w:tcPr>
            <w:tcW w:w="1255" w:type="dxa"/>
          </w:tcPr>
          <w:p w14:paraId="274BCF89" w14:textId="493B6A54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Health-Related Social Needs</w:t>
            </w:r>
          </w:p>
        </w:tc>
        <w:tc>
          <w:tcPr>
            <w:tcW w:w="720" w:type="dxa"/>
          </w:tcPr>
          <w:p w14:paraId="22657AC3" w14:textId="076B0551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0" w:type="dxa"/>
          </w:tcPr>
          <w:p w14:paraId="2A2342F6" w14:textId="2FB79E03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5CCB315" w14:textId="3235ABA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600" w:type="dxa"/>
          </w:tcPr>
          <w:p w14:paraId="38FEECB1" w14:textId="500752AD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“</w:t>
            </w:r>
            <w:r w:rsidRPr="00D110E1">
              <w:rPr>
                <w:rFonts w:ascii="Arial" w:hAnsi="Arial" w:cs="Arial"/>
              </w:rPr>
              <w:t>Member died during the measurement period</w:t>
            </w:r>
            <w:r>
              <w:rPr>
                <w:rFonts w:ascii="Arial" w:hAnsi="Arial" w:cs="Arial"/>
              </w:rPr>
              <w:t>” as an exclusion for Rate 1.</w:t>
            </w:r>
          </w:p>
        </w:tc>
        <w:tc>
          <w:tcPr>
            <w:tcW w:w="990" w:type="dxa"/>
          </w:tcPr>
          <w:p w14:paraId="26CB27C1" w14:textId="2E763B4A" w:rsidR="00705395" w:rsidRPr="00C623C0" w:rsidRDefault="00705395" w:rsidP="0070539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39E9F75E" w14:textId="77777777" w:rsidTr="00952440">
        <w:trPr>
          <w:trHeight w:val="246"/>
        </w:trPr>
        <w:tc>
          <w:tcPr>
            <w:tcW w:w="1255" w:type="dxa"/>
          </w:tcPr>
          <w:p w14:paraId="1DD3E727" w14:textId="044BE682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Health-Related Social Needs</w:t>
            </w:r>
          </w:p>
        </w:tc>
        <w:tc>
          <w:tcPr>
            <w:tcW w:w="720" w:type="dxa"/>
          </w:tcPr>
          <w:p w14:paraId="655783D4" w14:textId="6ED6AC11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53</w:t>
            </w:r>
          </w:p>
        </w:tc>
        <w:tc>
          <w:tcPr>
            <w:tcW w:w="1440" w:type="dxa"/>
          </w:tcPr>
          <w:p w14:paraId="696952DA" w14:textId="3C93F3C6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89C522F" w14:textId="59CACB3B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Supplemental Data Reporting Requirements</w:t>
            </w:r>
          </w:p>
        </w:tc>
        <w:tc>
          <w:tcPr>
            <w:tcW w:w="3600" w:type="dxa"/>
          </w:tcPr>
          <w:p w14:paraId="70099882" w14:textId="0DC0546A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language related to CP Screenings.</w:t>
            </w:r>
          </w:p>
        </w:tc>
        <w:tc>
          <w:tcPr>
            <w:tcW w:w="990" w:type="dxa"/>
          </w:tcPr>
          <w:p w14:paraId="3B2C9F59" w14:textId="48B31B54" w:rsidR="00705395" w:rsidRPr="00C623C0" w:rsidRDefault="00705395" w:rsidP="0070539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2D745FB8" w14:textId="77777777" w:rsidTr="00952440">
        <w:trPr>
          <w:trHeight w:val="246"/>
        </w:trPr>
        <w:tc>
          <w:tcPr>
            <w:tcW w:w="1255" w:type="dxa"/>
          </w:tcPr>
          <w:p w14:paraId="1F9DEEE2" w14:textId="06BEA9A9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Health-Related Social Needs</w:t>
            </w:r>
          </w:p>
        </w:tc>
        <w:tc>
          <w:tcPr>
            <w:tcW w:w="720" w:type="dxa"/>
          </w:tcPr>
          <w:p w14:paraId="08E217D7" w14:textId="5B7F5996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64B94E5F" w14:textId="3F9CBB3D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400865A" w14:textId="7AC7F4A3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Supplemental Data Reporting Requirements</w:t>
            </w:r>
          </w:p>
        </w:tc>
        <w:tc>
          <w:tcPr>
            <w:tcW w:w="3600" w:type="dxa"/>
          </w:tcPr>
          <w:p w14:paraId="132EFD7E" w14:textId="64011D7B" w:rsidR="00705395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Change “CPT” Code System to “HCPCS” Code System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0CBF999A" w14:textId="2F730D21" w:rsidR="00705395" w:rsidRPr="00C623C0" w:rsidRDefault="00705395" w:rsidP="0070539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7C3C2515" w14:textId="77777777" w:rsidTr="00952440">
        <w:trPr>
          <w:trHeight w:val="246"/>
        </w:trPr>
        <w:tc>
          <w:tcPr>
            <w:tcW w:w="1255" w:type="dxa"/>
          </w:tcPr>
          <w:p w14:paraId="22A8E60C" w14:textId="1813B154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Health-Related Social Needs</w:t>
            </w:r>
          </w:p>
        </w:tc>
        <w:tc>
          <w:tcPr>
            <w:tcW w:w="720" w:type="dxa"/>
          </w:tcPr>
          <w:p w14:paraId="448E304D" w14:textId="46869E2F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40" w:type="dxa"/>
          </w:tcPr>
          <w:p w14:paraId="1DDFE0ED" w14:textId="356F5388" w:rsidR="00705395" w:rsidRPr="00C623C0" w:rsidRDefault="00705395" w:rsidP="00705395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0C4AD9B" w14:textId="0AE455D0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0444CE0E" w14:textId="74BCB206" w:rsidR="00705395" w:rsidRPr="00C623C0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the due date from March 31,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to June 30, 2025.</w:t>
            </w:r>
          </w:p>
        </w:tc>
        <w:tc>
          <w:tcPr>
            <w:tcW w:w="990" w:type="dxa"/>
          </w:tcPr>
          <w:p w14:paraId="5EA1B225" w14:textId="74FC4100" w:rsidR="00705395" w:rsidRPr="00C623C0" w:rsidRDefault="00705395" w:rsidP="0070539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443934A3" w14:textId="77777777" w:rsidTr="00952440">
        <w:trPr>
          <w:trHeight w:val="246"/>
        </w:trPr>
        <w:tc>
          <w:tcPr>
            <w:tcW w:w="1255" w:type="dxa"/>
          </w:tcPr>
          <w:p w14:paraId="02F671E1" w14:textId="2CF405FF" w:rsidR="00705395" w:rsidRPr="00BE04E4" w:rsidRDefault="00705395" w:rsidP="00705395">
            <w:pPr>
              <w:rPr>
                <w:rFonts w:ascii="Arial" w:hAnsi="Arial" w:cs="Arial"/>
              </w:rPr>
            </w:pPr>
            <w:r w:rsidRPr="00BE04E4"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437B712C" w14:textId="6399868F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40" w:type="dxa"/>
          </w:tcPr>
          <w:p w14:paraId="71B173CF" w14:textId="2B6D3936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FB4C057" w14:textId="25221AF3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7F473C16" w14:textId="706CF935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Anchor Date from “December 31, 2024” to “</w:t>
            </w:r>
            <w:r w:rsidRPr="0045392D">
              <w:rPr>
                <w:rFonts w:ascii="Arial" w:hAnsi="Arial" w:cs="Arial"/>
              </w:rPr>
              <w:t>Date of Qualifying Outpatient Visit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990" w:type="dxa"/>
          </w:tcPr>
          <w:p w14:paraId="6AD914BF" w14:textId="79526141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7FC263A3" w14:textId="77777777" w:rsidTr="00952440">
        <w:trPr>
          <w:trHeight w:val="246"/>
        </w:trPr>
        <w:tc>
          <w:tcPr>
            <w:tcW w:w="1255" w:type="dxa"/>
          </w:tcPr>
          <w:p w14:paraId="7574F3BD" w14:textId="64AA9E42" w:rsidR="00705395" w:rsidRPr="00BE04E4" w:rsidRDefault="00705395" w:rsidP="00705395">
            <w:pPr>
              <w:rPr>
                <w:rFonts w:ascii="Arial" w:hAnsi="Arial" w:cs="Arial"/>
              </w:rPr>
            </w:pPr>
            <w:r w:rsidRPr="00BE04E4"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2B7918C" w14:textId="00862CE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40" w:type="dxa"/>
          </w:tcPr>
          <w:p w14:paraId="7757734F" w14:textId="3674AAF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70EF9A87" w14:textId="34CF05B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33081E8F" w14:textId="4BD1AF1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language to “Event/ Diagnosis” to clarify that MassHealth will identify the eligible outpatient visits.</w:t>
            </w:r>
          </w:p>
        </w:tc>
        <w:tc>
          <w:tcPr>
            <w:tcW w:w="990" w:type="dxa"/>
          </w:tcPr>
          <w:p w14:paraId="598934FB" w14:textId="449717F2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6AB8ED8F" w14:textId="77777777" w:rsidTr="00952440">
        <w:trPr>
          <w:trHeight w:val="232"/>
        </w:trPr>
        <w:tc>
          <w:tcPr>
            <w:tcW w:w="1255" w:type="dxa"/>
          </w:tcPr>
          <w:p w14:paraId="61A5352B" w14:textId="5969C6F1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9F5984D" w14:textId="37FAEB86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40" w:type="dxa"/>
          </w:tcPr>
          <w:p w14:paraId="7DE0881A" w14:textId="36AC42C0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9D24E40" w14:textId="4ED5158F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0E574136" w14:textId="799AE169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details around identifying eligible outpatient visits occurring at MCO Primary Care Providers (PCPs).</w:t>
            </w:r>
          </w:p>
        </w:tc>
        <w:tc>
          <w:tcPr>
            <w:tcW w:w="990" w:type="dxa"/>
          </w:tcPr>
          <w:p w14:paraId="446D5B5B" w14:textId="56F0EA04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21D6C58F" w14:textId="77777777" w:rsidTr="00952440">
        <w:trPr>
          <w:trHeight w:val="246"/>
        </w:trPr>
        <w:tc>
          <w:tcPr>
            <w:tcW w:w="1255" w:type="dxa"/>
          </w:tcPr>
          <w:p w14:paraId="537E8521" w14:textId="213FC177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37C61855" w14:textId="61C5DC77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440" w:type="dxa"/>
          </w:tcPr>
          <w:p w14:paraId="45A04A72" w14:textId="71C9B6DC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3154E1E3" w14:textId="5D999B75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Definitions</w:t>
            </w:r>
          </w:p>
        </w:tc>
        <w:tc>
          <w:tcPr>
            <w:tcW w:w="3600" w:type="dxa"/>
          </w:tcPr>
          <w:p w14:paraId="3578A9A3" w14:textId="3D02E90E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definition of “Interpreter Services” to definition of “Language Assistance Services.”</w:t>
            </w:r>
          </w:p>
        </w:tc>
        <w:tc>
          <w:tcPr>
            <w:tcW w:w="990" w:type="dxa"/>
          </w:tcPr>
          <w:p w14:paraId="7110A6E2" w14:textId="2532C1B2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25DEFD25" w14:textId="77777777" w:rsidTr="00952440">
        <w:trPr>
          <w:trHeight w:val="232"/>
        </w:trPr>
        <w:tc>
          <w:tcPr>
            <w:tcW w:w="1255" w:type="dxa"/>
          </w:tcPr>
          <w:p w14:paraId="4765CDA0" w14:textId="68929F96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78E4253" w14:textId="63963326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0" w:type="dxa"/>
          </w:tcPr>
          <w:p w14:paraId="179343C5" w14:textId="10658CEE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79B9956" w14:textId="5AE398BF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1A10EF4" w14:textId="7D240C31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Component 2 applies to outpatient visits occurring with MCO PCPs.</w:t>
            </w:r>
          </w:p>
        </w:tc>
        <w:tc>
          <w:tcPr>
            <w:tcW w:w="990" w:type="dxa"/>
          </w:tcPr>
          <w:p w14:paraId="5AC77D08" w14:textId="7DF3945E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0D3140F8" w14:textId="77777777" w:rsidTr="00952440">
        <w:trPr>
          <w:trHeight w:val="232"/>
        </w:trPr>
        <w:tc>
          <w:tcPr>
            <w:tcW w:w="1255" w:type="dxa"/>
          </w:tcPr>
          <w:p w14:paraId="6BEDCC90" w14:textId="1DD2E55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CCDA7E7" w14:textId="523FED9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0" w:type="dxa"/>
          </w:tcPr>
          <w:p w14:paraId="18AEF880" w14:textId="49D84EC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B800717" w14:textId="62F13F4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99CC6DC" w14:textId="0AE6C60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“Member dies during the outpatient visit” as an exclusion.</w:t>
            </w:r>
          </w:p>
        </w:tc>
        <w:tc>
          <w:tcPr>
            <w:tcW w:w="990" w:type="dxa"/>
          </w:tcPr>
          <w:p w14:paraId="1E85C708" w14:textId="1B0C5F39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4BF421DB" w14:textId="77777777" w:rsidTr="00952440">
        <w:trPr>
          <w:trHeight w:val="232"/>
        </w:trPr>
        <w:tc>
          <w:tcPr>
            <w:tcW w:w="1255" w:type="dxa"/>
          </w:tcPr>
          <w:p w14:paraId="7EAC34B5" w14:textId="39BCB69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F6F0708" w14:textId="2F16601A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440" w:type="dxa"/>
          </w:tcPr>
          <w:p w14:paraId="516D7A5F" w14:textId="60A8B47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6FFC7EC0" w14:textId="566C9AC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44978FB3" w14:textId="3F9665D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sampling methodology language to be visit-based rather than member based.</w:t>
            </w:r>
          </w:p>
        </w:tc>
        <w:tc>
          <w:tcPr>
            <w:tcW w:w="990" w:type="dxa"/>
          </w:tcPr>
          <w:p w14:paraId="05709AED" w14:textId="5D14A8FD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35BB8266" w14:textId="77777777" w:rsidTr="00952440">
        <w:trPr>
          <w:trHeight w:val="232"/>
        </w:trPr>
        <w:tc>
          <w:tcPr>
            <w:tcW w:w="1255" w:type="dxa"/>
          </w:tcPr>
          <w:p w14:paraId="1C41EEFF" w14:textId="507B420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Language Access</w:t>
            </w:r>
          </w:p>
        </w:tc>
        <w:tc>
          <w:tcPr>
            <w:tcW w:w="720" w:type="dxa"/>
          </w:tcPr>
          <w:p w14:paraId="287A6C67" w14:textId="55A51D9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440" w:type="dxa"/>
          </w:tcPr>
          <w:p w14:paraId="7B9D74FF" w14:textId="425FF797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629E42B6" w14:textId="111EEF4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6C72257E" w14:textId="6AE11626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the due date of Component 1 from December 31,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to March 31, 2025, and the due date of Component 2 from March 31,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to September 1, 2025.</w:t>
            </w:r>
          </w:p>
        </w:tc>
        <w:tc>
          <w:tcPr>
            <w:tcW w:w="990" w:type="dxa"/>
          </w:tcPr>
          <w:p w14:paraId="721549C2" w14:textId="359DD5F6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7F63AEC6" w14:textId="77777777" w:rsidTr="00952440">
        <w:trPr>
          <w:trHeight w:val="232"/>
        </w:trPr>
        <w:tc>
          <w:tcPr>
            <w:tcW w:w="1255" w:type="dxa"/>
          </w:tcPr>
          <w:p w14:paraId="1E14E96A" w14:textId="43BDF39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234B3D02" w14:textId="546582E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440" w:type="dxa"/>
          </w:tcPr>
          <w:p w14:paraId="187043BB" w14:textId="5145EB9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5E313C8" w14:textId="6F47D11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137AB800" w14:textId="260659E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the eligible population is all patient-facing staff at the MCO.</w:t>
            </w:r>
          </w:p>
        </w:tc>
        <w:tc>
          <w:tcPr>
            <w:tcW w:w="990" w:type="dxa"/>
          </w:tcPr>
          <w:p w14:paraId="65F19165" w14:textId="67A3B91D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71373E37" w14:textId="77777777" w:rsidTr="00952440">
        <w:trPr>
          <w:trHeight w:val="232"/>
        </w:trPr>
        <w:tc>
          <w:tcPr>
            <w:tcW w:w="1255" w:type="dxa"/>
          </w:tcPr>
          <w:p w14:paraId="20B7562E" w14:textId="7711813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3471F8CE" w14:textId="3980819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40" w:type="dxa"/>
          </w:tcPr>
          <w:p w14:paraId="1362C55D" w14:textId="7815176E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F3A420C" w14:textId="4B255DB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0904A838" w14:textId="5A369B5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denominator for the Component 2 Rate to “</w:t>
            </w:r>
            <w:r w:rsidRPr="00BF4CC9">
              <w:rPr>
                <w:rFonts w:ascii="Arial" w:hAnsi="Arial" w:cs="Arial"/>
              </w:rPr>
              <w:t>Total # of Patient-Facing Staff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990" w:type="dxa"/>
          </w:tcPr>
          <w:p w14:paraId="12B6285D" w14:textId="46B0967A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1C646015" w14:textId="77777777" w:rsidTr="00952440">
        <w:trPr>
          <w:trHeight w:val="232"/>
        </w:trPr>
        <w:tc>
          <w:tcPr>
            <w:tcW w:w="1255" w:type="dxa"/>
          </w:tcPr>
          <w:p w14:paraId="03D566BA" w14:textId="31DC14E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2CD29F79" w14:textId="68BE7C5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440" w:type="dxa"/>
          </w:tcPr>
          <w:p w14:paraId="273CBDC0" w14:textId="563CAA3A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0482B97" w14:textId="7F7E337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BBD2C93" w14:textId="4FCF2E78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final supplemental questions added to the Member Experience Survey (MES) related to accommodation needs.</w:t>
            </w:r>
          </w:p>
        </w:tc>
        <w:tc>
          <w:tcPr>
            <w:tcW w:w="990" w:type="dxa"/>
          </w:tcPr>
          <w:p w14:paraId="3363F2BF" w14:textId="5E75EF31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59105DE6" w14:textId="77777777" w:rsidTr="00952440">
        <w:trPr>
          <w:trHeight w:val="232"/>
        </w:trPr>
        <w:tc>
          <w:tcPr>
            <w:tcW w:w="1255" w:type="dxa"/>
          </w:tcPr>
          <w:p w14:paraId="44B54D98" w14:textId="4A3F5AD2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Standards for Health Equity</w:t>
            </w:r>
          </w:p>
        </w:tc>
        <w:tc>
          <w:tcPr>
            <w:tcW w:w="720" w:type="dxa"/>
          </w:tcPr>
          <w:p w14:paraId="7A6E8B12" w14:textId="296425A5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40" w:type="dxa"/>
          </w:tcPr>
          <w:p w14:paraId="7DDA1CFC" w14:textId="3382127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396DBAB" w14:textId="4FACDF8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3D760D28" w14:textId="1CDB83C1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the due date from December 31,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to January 31, 2025.</w:t>
            </w:r>
          </w:p>
        </w:tc>
        <w:tc>
          <w:tcPr>
            <w:tcW w:w="990" w:type="dxa"/>
          </w:tcPr>
          <w:p w14:paraId="74E38FCB" w14:textId="02C91FD5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75A45AD2" w14:textId="77777777" w:rsidTr="00952440">
        <w:trPr>
          <w:trHeight w:val="232"/>
        </w:trPr>
        <w:tc>
          <w:tcPr>
            <w:tcW w:w="1255" w:type="dxa"/>
          </w:tcPr>
          <w:p w14:paraId="4D558E8F" w14:textId="2E7E496C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664AE0EF" w14:textId="05F3970B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92-95</w:t>
            </w:r>
          </w:p>
        </w:tc>
        <w:tc>
          <w:tcPr>
            <w:tcW w:w="1440" w:type="dxa"/>
          </w:tcPr>
          <w:p w14:paraId="61A41A9F" w14:textId="01882C6D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F9E31E1" w14:textId="1223BB93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Entire measure</w:t>
            </w:r>
          </w:p>
        </w:tc>
        <w:tc>
          <w:tcPr>
            <w:tcW w:w="3600" w:type="dxa"/>
          </w:tcPr>
          <w:p w14:paraId="22EC8910" w14:textId="2AA220B9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Simplified language throughout the specification.</w:t>
            </w:r>
          </w:p>
        </w:tc>
        <w:tc>
          <w:tcPr>
            <w:tcW w:w="990" w:type="dxa"/>
          </w:tcPr>
          <w:p w14:paraId="6752FC42" w14:textId="68584C93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05395" w:rsidRPr="00C623C0" w14:paraId="0B4EDF6E" w14:textId="77777777" w:rsidTr="00952440">
        <w:trPr>
          <w:trHeight w:val="232"/>
        </w:trPr>
        <w:tc>
          <w:tcPr>
            <w:tcW w:w="1255" w:type="dxa"/>
          </w:tcPr>
          <w:p w14:paraId="7A4E3F91" w14:textId="44F84EA4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26E99F01" w14:textId="6F5C1A3A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0" w:type="dxa"/>
          </w:tcPr>
          <w:p w14:paraId="6B85B09E" w14:textId="51DCA51F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2D593A4" w14:textId="3E42B6EA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568D9FF7" w14:textId="70A48900" w:rsidR="00705395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MES questions in the Adult &amp; Child Communication Composites to reflect updated PY2 survey.</w:t>
            </w:r>
          </w:p>
        </w:tc>
        <w:tc>
          <w:tcPr>
            <w:tcW w:w="990" w:type="dxa"/>
          </w:tcPr>
          <w:p w14:paraId="123EB914" w14:textId="7718B3DD" w:rsidR="00705395" w:rsidRPr="00BE04E4" w:rsidRDefault="00705395" w:rsidP="0070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244EE"/>
    <w:rsid w:val="000327FD"/>
    <w:rsid w:val="000337C4"/>
    <w:rsid w:val="0003444D"/>
    <w:rsid w:val="00037F29"/>
    <w:rsid w:val="00040A48"/>
    <w:rsid w:val="00063810"/>
    <w:rsid w:val="000A27BC"/>
    <w:rsid w:val="000C2C5A"/>
    <w:rsid w:val="000F264C"/>
    <w:rsid w:val="00132F52"/>
    <w:rsid w:val="00154076"/>
    <w:rsid w:val="00187DDF"/>
    <w:rsid w:val="00193743"/>
    <w:rsid w:val="001B759E"/>
    <w:rsid w:val="001C4633"/>
    <w:rsid w:val="001E6DC2"/>
    <w:rsid w:val="0025420D"/>
    <w:rsid w:val="00254AA4"/>
    <w:rsid w:val="00261AC9"/>
    <w:rsid w:val="002657E1"/>
    <w:rsid w:val="002B12B2"/>
    <w:rsid w:val="002B736D"/>
    <w:rsid w:val="002C03EC"/>
    <w:rsid w:val="002C4109"/>
    <w:rsid w:val="002D6EA1"/>
    <w:rsid w:val="002E07AD"/>
    <w:rsid w:val="002E246F"/>
    <w:rsid w:val="00301065"/>
    <w:rsid w:val="00304F0F"/>
    <w:rsid w:val="00320F9C"/>
    <w:rsid w:val="0033747F"/>
    <w:rsid w:val="00341FC4"/>
    <w:rsid w:val="0034287B"/>
    <w:rsid w:val="003548C9"/>
    <w:rsid w:val="00355273"/>
    <w:rsid w:val="00362942"/>
    <w:rsid w:val="00364FDA"/>
    <w:rsid w:val="0037698D"/>
    <w:rsid w:val="00382C48"/>
    <w:rsid w:val="00394CE4"/>
    <w:rsid w:val="003B7481"/>
    <w:rsid w:val="003C6EAA"/>
    <w:rsid w:val="003E2A8D"/>
    <w:rsid w:val="00400D0C"/>
    <w:rsid w:val="00403F2D"/>
    <w:rsid w:val="00424CF0"/>
    <w:rsid w:val="0043661B"/>
    <w:rsid w:val="0044507C"/>
    <w:rsid w:val="00445DB9"/>
    <w:rsid w:val="00450D1F"/>
    <w:rsid w:val="00453219"/>
    <w:rsid w:val="0045392D"/>
    <w:rsid w:val="004557D2"/>
    <w:rsid w:val="00457372"/>
    <w:rsid w:val="00460D13"/>
    <w:rsid w:val="00467A44"/>
    <w:rsid w:val="004777D8"/>
    <w:rsid w:val="00483220"/>
    <w:rsid w:val="00493C27"/>
    <w:rsid w:val="00494A2D"/>
    <w:rsid w:val="004A0B7D"/>
    <w:rsid w:val="004B2BE1"/>
    <w:rsid w:val="004C1C18"/>
    <w:rsid w:val="004C4E6B"/>
    <w:rsid w:val="004D792F"/>
    <w:rsid w:val="004F5806"/>
    <w:rsid w:val="005177DB"/>
    <w:rsid w:val="005774C0"/>
    <w:rsid w:val="00580202"/>
    <w:rsid w:val="00594DB7"/>
    <w:rsid w:val="005A0B91"/>
    <w:rsid w:val="005A7621"/>
    <w:rsid w:val="005A7AD2"/>
    <w:rsid w:val="005B39D7"/>
    <w:rsid w:val="005C1DE2"/>
    <w:rsid w:val="005E4F1A"/>
    <w:rsid w:val="005E6695"/>
    <w:rsid w:val="005F6892"/>
    <w:rsid w:val="00605B8F"/>
    <w:rsid w:val="00611017"/>
    <w:rsid w:val="006159F4"/>
    <w:rsid w:val="00631AB6"/>
    <w:rsid w:val="00671B2D"/>
    <w:rsid w:val="00693B29"/>
    <w:rsid w:val="006A1000"/>
    <w:rsid w:val="006C2492"/>
    <w:rsid w:val="006E69DF"/>
    <w:rsid w:val="007017B5"/>
    <w:rsid w:val="00705395"/>
    <w:rsid w:val="00720B7A"/>
    <w:rsid w:val="00724792"/>
    <w:rsid w:val="007326C7"/>
    <w:rsid w:val="00743E9D"/>
    <w:rsid w:val="0076E01C"/>
    <w:rsid w:val="007745E4"/>
    <w:rsid w:val="00775A59"/>
    <w:rsid w:val="007A6A97"/>
    <w:rsid w:val="007B459C"/>
    <w:rsid w:val="007B5C43"/>
    <w:rsid w:val="007C3027"/>
    <w:rsid w:val="007D7B22"/>
    <w:rsid w:val="007F4AA9"/>
    <w:rsid w:val="007F6ADB"/>
    <w:rsid w:val="00801BE4"/>
    <w:rsid w:val="00821063"/>
    <w:rsid w:val="008217BC"/>
    <w:rsid w:val="008308C9"/>
    <w:rsid w:val="00853DD4"/>
    <w:rsid w:val="00856C7A"/>
    <w:rsid w:val="0087545A"/>
    <w:rsid w:val="00883956"/>
    <w:rsid w:val="00884142"/>
    <w:rsid w:val="008A47AA"/>
    <w:rsid w:val="008C0E19"/>
    <w:rsid w:val="008D60B6"/>
    <w:rsid w:val="008E53B1"/>
    <w:rsid w:val="008E6BC4"/>
    <w:rsid w:val="00900E67"/>
    <w:rsid w:val="00913EAF"/>
    <w:rsid w:val="00916721"/>
    <w:rsid w:val="00920A50"/>
    <w:rsid w:val="00924171"/>
    <w:rsid w:val="00926773"/>
    <w:rsid w:val="00952440"/>
    <w:rsid w:val="009743B0"/>
    <w:rsid w:val="00983B6A"/>
    <w:rsid w:val="00991298"/>
    <w:rsid w:val="009A3298"/>
    <w:rsid w:val="009B292B"/>
    <w:rsid w:val="009C7119"/>
    <w:rsid w:val="009D76A8"/>
    <w:rsid w:val="009E4481"/>
    <w:rsid w:val="009E5F2D"/>
    <w:rsid w:val="00A144A5"/>
    <w:rsid w:val="00A25590"/>
    <w:rsid w:val="00A27DAF"/>
    <w:rsid w:val="00A475AB"/>
    <w:rsid w:val="00A54584"/>
    <w:rsid w:val="00A661D7"/>
    <w:rsid w:val="00A77A53"/>
    <w:rsid w:val="00A92102"/>
    <w:rsid w:val="00AA446E"/>
    <w:rsid w:val="00AA5AF5"/>
    <w:rsid w:val="00AC09F2"/>
    <w:rsid w:val="00AD39C6"/>
    <w:rsid w:val="00AE1DE5"/>
    <w:rsid w:val="00AE46FC"/>
    <w:rsid w:val="00AF0A96"/>
    <w:rsid w:val="00AF3C6B"/>
    <w:rsid w:val="00B2642B"/>
    <w:rsid w:val="00B330BC"/>
    <w:rsid w:val="00B35853"/>
    <w:rsid w:val="00B47D06"/>
    <w:rsid w:val="00B646C1"/>
    <w:rsid w:val="00B6789D"/>
    <w:rsid w:val="00B72B1F"/>
    <w:rsid w:val="00B75291"/>
    <w:rsid w:val="00B838A2"/>
    <w:rsid w:val="00BA073B"/>
    <w:rsid w:val="00BB64A1"/>
    <w:rsid w:val="00BE04E4"/>
    <w:rsid w:val="00BE08D3"/>
    <w:rsid w:val="00BF35AF"/>
    <w:rsid w:val="00BF4CC9"/>
    <w:rsid w:val="00C015FA"/>
    <w:rsid w:val="00C07C81"/>
    <w:rsid w:val="00C33058"/>
    <w:rsid w:val="00C4361F"/>
    <w:rsid w:val="00C50F9B"/>
    <w:rsid w:val="00C6087B"/>
    <w:rsid w:val="00C623C0"/>
    <w:rsid w:val="00C742E4"/>
    <w:rsid w:val="00C75AD9"/>
    <w:rsid w:val="00C7711A"/>
    <w:rsid w:val="00CA18E8"/>
    <w:rsid w:val="00CA3ABC"/>
    <w:rsid w:val="00CA4650"/>
    <w:rsid w:val="00D110E1"/>
    <w:rsid w:val="00D13B1F"/>
    <w:rsid w:val="00D1614E"/>
    <w:rsid w:val="00D16A4C"/>
    <w:rsid w:val="00D27FCA"/>
    <w:rsid w:val="00D36C94"/>
    <w:rsid w:val="00D44292"/>
    <w:rsid w:val="00D504AD"/>
    <w:rsid w:val="00D56E46"/>
    <w:rsid w:val="00D61A27"/>
    <w:rsid w:val="00D74294"/>
    <w:rsid w:val="00DA6800"/>
    <w:rsid w:val="00DD0441"/>
    <w:rsid w:val="00DD49E5"/>
    <w:rsid w:val="00DF27DE"/>
    <w:rsid w:val="00E0425A"/>
    <w:rsid w:val="00E14A9E"/>
    <w:rsid w:val="00E44C0B"/>
    <w:rsid w:val="00E85433"/>
    <w:rsid w:val="00E9596D"/>
    <w:rsid w:val="00E95A7E"/>
    <w:rsid w:val="00EE50CC"/>
    <w:rsid w:val="00EF48F9"/>
    <w:rsid w:val="00EF6E1D"/>
    <w:rsid w:val="00F11409"/>
    <w:rsid w:val="00F16364"/>
    <w:rsid w:val="00F3551A"/>
    <w:rsid w:val="00F36DD2"/>
    <w:rsid w:val="00F460EC"/>
    <w:rsid w:val="00F63AC4"/>
    <w:rsid w:val="00F63AFE"/>
    <w:rsid w:val="00F7305B"/>
    <w:rsid w:val="00F74E6C"/>
    <w:rsid w:val="00F7706F"/>
    <w:rsid w:val="00FA1AB7"/>
    <w:rsid w:val="00FA7D63"/>
    <w:rsid w:val="00FC3A33"/>
    <w:rsid w:val="00FD43C9"/>
    <w:rsid w:val="00FD5044"/>
    <w:rsid w:val="00FE6B94"/>
    <w:rsid w:val="00FF6328"/>
    <w:rsid w:val="04B64386"/>
    <w:rsid w:val="05322332"/>
    <w:rsid w:val="0A303D98"/>
    <w:rsid w:val="0BA8957E"/>
    <w:rsid w:val="0E5B2887"/>
    <w:rsid w:val="12F3C1D1"/>
    <w:rsid w:val="1614398C"/>
    <w:rsid w:val="16B05469"/>
    <w:rsid w:val="1A92BC77"/>
    <w:rsid w:val="2219974A"/>
    <w:rsid w:val="27A06F05"/>
    <w:rsid w:val="27AB41D5"/>
    <w:rsid w:val="28649E86"/>
    <w:rsid w:val="2C110A82"/>
    <w:rsid w:val="2F766A57"/>
    <w:rsid w:val="3631D69A"/>
    <w:rsid w:val="3838D80D"/>
    <w:rsid w:val="3B0EA2D3"/>
    <w:rsid w:val="41DA218C"/>
    <w:rsid w:val="4311782F"/>
    <w:rsid w:val="4CB88954"/>
    <w:rsid w:val="53E7D088"/>
    <w:rsid w:val="54AC96F6"/>
    <w:rsid w:val="55516D6E"/>
    <w:rsid w:val="5A76BED9"/>
    <w:rsid w:val="610AF02E"/>
    <w:rsid w:val="6233C127"/>
    <w:rsid w:val="66AE63F6"/>
    <w:rsid w:val="6AA42312"/>
    <w:rsid w:val="6BA86436"/>
    <w:rsid w:val="6F8ED833"/>
    <w:rsid w:val="701C7240"/>
    <w:rsid w:val="75E9DA6B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C2492"/>
  </w:style>
  <w:style w:type="character" w:customStyle="1" w:styleId="eop">
    <w:name w:val="eop"/>
    <w:basedOn w:val="DefaultParagraphFont"/>
    <w:rsid w:val="006C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F6250-C6E2-41FB-88DB-34FCA00D1B0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ca181a51-b58f-4101-967e-bee951ab042e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cp:lastPrinted>2025-06-13T14:14:00Z</cp:lastPrinted>
  <dcterms:created xsi:type="dcterms:W3CDTF">2025-06-13T14:14:00Z</dcterms:created>
  <dcterms:modified xsi:type="dcterms:W3CDTF">2025-06-13T14:14:00Z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