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048423D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C4361F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62FF04CA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B34AB">
        <w:rPr>
          <w:rFonts w:ascii="Arial" w:hAnsi="Arial" w:cs="Arial"/>
          <w:b/>
          <w:bCs/>
          <w:color w:val="002060"/>
          <w:sz w:val="22"/>
          <w:szCs w:val="22"/>
        </w:rPr>
        <w:t>s 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67583658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</w:t>
      </w:r>
      <w:r w:rsidR="00074550">
        <w:rPr>
          <w:rFonts w:ascii="Arial" w:hAnsi="Arial" w:cs="Arial"/>
          <w:color w:val="000000" w:themeColor="text1"/>
        </w:rPr>
        <w:t>s 3-5</w:t>
      </w:r>
      <w:r w:rsidR="000A27BC" w:rsidRPr="5A76BED9">
        <w:rPr>
          <w:rFonts w:ascii="Arial" w:hAnsi="Arial" w:cs="Arial"/>
          <w:color w:val="000000" w:themeColor="text1"/>
        </w:rPr>
        <w:t xml:space="preserve"> (PY</w:t>
      </w:r>
      <w:r w:rsidR="0014703F">
        <w:rPr>
          <w:rFonts w:ascii="Arial" w:hAnsi="Arial" w:cs="Arial"/>
          <w:color w:val="000000" w:themeColor="text1"/>
        </w:rPr>
        <w:t>3-5</w:t>
      </w:r>
      <w:r w:rsidR="00074550">
        <w:rPr>
          <w:rFonts w:ascii="Arial" w:hAnsi="Arial" w:cs="Arial"/>
          <w:color w:val="000000" w:themeColor="text1"/>
        </w:rPr>
        <w:t>)</w:t>
      </w:r>
      <w:r w:rsidR="000A27BC" w:rsidRPr="5A76BED9">
        <w:rPr>
          <w:rFonts w:ascii="Arial" w:hAnsi="Arial" w:cs="Arial"/>
          <w:color w:val="000000" w:themeColor="text1"/>
        </w:rPr>
        <w:t xml:space="preserve">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C4361F">
        <w:rPr>
          <w:rFonts w:ascii="Arial" w:hAnsi="Arial" w:cs="Arial"/>
          <w:color w:val="000000" w:themeColor="text1"/>
        </w:rPr>
        <w:t>M</w:t>
      </w:r>
      <w:r w:rsidR="007326C7">
        <w:rPr>
          <w:rFonts w:ascii="Arial" w:hAnsi="Arial" w:cs="Arial"/>
          <w:color w:val="000000" w:themeColor="text1"/>
        </w:rPr>
        <w:t xml:space="preserve">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C4361F">
        <w:rPr>
          <w:rFonts w:ascii="Arial" w:hAnsi="Arial" w:cs="Arial"/>
          <w:color w:val="000000" w:themeColor="text1"/>
        </w:rPr>
        <w:t>M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2370C92" w14:textId="0FAC8451" w:rsidR="00F871FE" w:rsidRDefault="00D44292" w:rsidP="00F871FE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004961D1">
        <w:rPr>
          <w:rFonts w:ascii="Arial" w:hAnsi="Arial" w:cs="Arial"/>
        </w:rPr>
        <w:t>.</w:t>
      </w:r>
      <w:r w:rsidR="00F871FE">
        <w:rPr>
          <w:rFonts w:ascii="Arial" w:hAnsi="Arial" w:cs="Arial"/>
        </w:rPr>
        <w:t xml:space="preserve"> </w:t>
      </w:r>
    </w:p>
    <w:p w14:paraId="351446EC" w14:textId="77777777" w:rsidR="00F871FE" w:rsidRPr="00F871FE" w:rsidRDefault="00F871FE" w:rsidP="00F871FE">
      <w:pPr>
        <w:rPr>
          <w:rFonts w:ascii="Arial" w:hAnsi="Arial" w:cs="Arial"/>
        </w:rPr>
      </w:pP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2516"/>
        <w:gridCol w:w="790"/>
        <w:gridCol w:w="1537"/>
        <w:gridCol w:w="2299"/>
        <w:gridCol w:w="2478"/>
        <w:gridCol w:w="1090"/>
      </w:tblGrid>
      <w:tr w:rsidR="004961D1" w:rsidRPr="00C91DD0" w14:paraId="724D6D78" w14:textId="77777777" w:rsidTr="0074543B">
        <w:trPr>
          <w:tblHeader/>
        </w:trPr>
        <w:tc>
          <w:tcPr>
            <w:tcW w:w="2516" w:type="dxa"/>
          </w:tcPr>
          <w:p w14:paraId="1A54BB03" w14:textId="3A75EBFF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lastRenderedPageBreak/>
              <w:t>Measure Name</w:t>
            </w:r>
          </w:p>
        </w:tc>
        <w:tc>
          <w:tcPr>
            <w:tcW w:w="790" w:type="dxa"/>
          </w:tcPr>
          <w:p w14:paraId="3F972633" w14:textId="58EB7A57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Page #</w:t>
            </w:r>
          </w:p>
        </w:tc>
        <w:tc>
          <w:tcPr>
            <w:tcW w:w="1537" w:type="dxa"/>
          </w:tcPr>
          <w:p w14:paraId="24A150A4" w14:textId="5CC13A3D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Type of Update</w:t>
            </w:r>
          </w:p>
        </w:tc>
        <w:tc>
          <w:tcPr>
            <w:tcW w:w="2299" w:type="dxa"/>
          </w:tcPr>
          <w:p w14:paraId="5B9F5C73" w14:textId="7BE41FCE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Section Header</w:t>
            </w:r>
          </w:p>
        </w:tc>
        <w:tc>
          <w:tcPr>
            <w:tcW w:w="2478" w:type="dxa"/>
          </w:tcPr>
          <w:p w14:paraId="0BAA7C73" w14:textId="79A52662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Update</w:t>
            </w:r>
          </w:p>
        </w:tc>
        <w:tc>
          <w:tcPr>
            <w:tcW w:w="1090" w:type="dxa"/>
          </w:tcPr>
          <w:p w14:paraId="267504FF" w14:textId="4FBE63E1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Update release date</w:t>
            </w:r>
          </w:p>
        </w:tc>
      </w:tr>
      <w:tr w:rsidR="004961D1" w14:paraId="52A2EA0D" w14:textId="77777777" w:rsidTr="0074543B">
        <w:trPr>
          <w:trHeight w:val="300"/>
          <w:tblHeader/>
        </w:trPr>
        <w:tc>
          <w:tcPr>
            <w:tcW w:w="2516" w:type="dxa"/>
          </w:tcPr>
          <w:p w14:paraId="376E5124" w14:textId="3869E47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HRSN</w:t>
            </w:r>
          </w:p>
        </w:tc>
        <w:tc>
          <w:tcPr>
            <w:tcW w:w="790" w:type="dxa"/>
          </w:tcPr>
          <w:p w14:paraId="49D50DFE" w14:textId="17B3F75B" w:rsidR="004961D1" w:rsidRDefault="004961D1" w:rsidP="004961D1"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37" w:type="dxa"/>
          </w:tcPr>
          <w:p w14:paraId="563D02D2" w14:textId="46EC843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42427E25" w14:textId="6B6E6F2E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78" w:type="dxa"/>
          </w:tcPr>
          <w:p w14:paraId="56BCA019" w14:textId="6D35F66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due date (time – 5pm)</w:t>
            </w:r>
          </w:p>
        </w:tc>
        <w:tc>
          <w:tcPr>
            <w:tcW w:w="1090" w:type="dxa"/>
          </w:tcPr>
          <w:p w14:paraId="63BE6182" w14:textId="00DB3928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4E34C647" w14:textId="77777777" w:rsidTr="0074543B">
        <w:trPr>
          <w:trHeight w:val="300"/>
          <w:tblHeader/>
        </w:trPr>
        <w:tc>
          <w:tcPr>
            <w:tcW w:w="2516" w:type="dxa"/>
          </w:tcPr>
          <w:p w14:paraId="6AECF23C" w14:textId="41FD522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2F3E8615" w14:textId="49581B47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37" w:type="dxa"/>
          </w:tcPr>
          <w:p w14:paraId="5AC1D249" w14:textId="2C5012EE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2B82D65A" w14:textId="01200302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478" w:type="dxa"/>
          </w:tcPr>
          <w:p w14:paraId="5168FB50" w14:textId="36671D14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Removed section (not applicable to PY3-5)</w:t>
            </w:r>
          </w:p>
        </w:tc>
        <w:tc>
          <w:tcPr>
            <w:tcW w:w="1090" w:type="dxa"/>
          </w:tcPr>
          <w:p w14:paraId="3DDD873C" w14:textId="4561336A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2ADA6191" w14:textId="77777777" w:rsidTr="0074543B">
        <w:trPr>
          <w:trHeight w:val="300"/>
          <w:tblHeader/>
        </w:trPr>
        <w:tc>
          <w:tcPr>
            <w:tcW w:w="2516" w:type="dxa"/>
          </w:tcPr>
          <w:p w14:paraId="23ED5EBF" w14:textId="131C7645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5B3C5820" w14:textId="58D278BE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  <w:r w:rsidR="00E9297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4FB442BF" w14:textId="5433E7EE" w:rsidR="004961D1" w:rsidRDefault="00035764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2B5EFA18" w14:textId="745262D4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0DF8D2B7" w14:textId="36A107DF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measurement period for PY3 (July 1 – December 31, 2025)</w:t>
            </w:r>
          </w:p>
        </w:tc>
        <w:tc>
          <w:tcPr>
            <w:tcW w:w="1090" w:type="dxa"/>
          </w:tcPr>
          <w:p w14:paraId="222E8B85" w14:textId="3CFE4465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508F8419" w14:textId="77777777" w:rsidTr="0074543B">
        <w:trPr>
          <w:trHeight w:val="300"/>
          <w:tblHeader/>
        </w:trPr>
        <w:tc>
          <w:tcPr>
            <w:tcW w:w="2516" w:type="dxa"/>
          </w:tcPr>
          <w:p w14:paraId="4CA16FE2" w14:textId="0C8B9509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242696C9" w14:textId="7FE288C6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37" w:type="dxa"/>
          </w:tcPr>
          <w:p w14:paraId="376B7456" w14:textId="2D25A659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Technical Corrections</w:t>
            </w:r>
          </w:p>
        </w:tc>
        <w:tc>
          <w:tcPr>
            <w:tcW w:w="2299" w:type="dxa"/>
          </w:tcPr>
          <w:p w14:paraId="44A9EC0A" w14:textId="36A4080D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0444EC04" w14:textId="18F961BB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name of the referenced HEDIS Value Set – Outpatient Value Set</w:t>
            </w:r>
          </w:p>
        </w:tc>
        <w:tc>
          <w:tcPr>
            <w:tcW w:w="1090" w:type="dxa"/>
          </w:tcPr>
          <w:p w14:paraId="0F6C399F" w14:textId="0192BD33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3AE847B4" w14:textId="77777777" w:rsidTr="0074543B">
        <w:trPr>
          <w:trHeight w:val="300"/>
          <w:tblHeader/>
        </w:trPr>
        <w:tc>
          <w:tcPr>
            <w:tcW w:w="2516" w:type="dxa"/>
          </w:tcPr>
          <w:p w14:paraId="379D4872" w14:textId="529A2B9F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35B779E0" w14:textId="728D2E5D" w:rsidR="004961D1" w:rsidRDefault="004961D1" w:rsidP="004961D1"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  <w:r w:rsidR="00026D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057F8057" w14:textId="1FC50553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74964443" w14:textId="77E99FE5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78" w:type="dxa"/>
          </w:tcPr>
          <w:p w14:paraId="358A4DEB" w14:textId="70DABD5E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due date (time – 5pm)</w:t>
            </w:r>
          </w:p>
        </w:tc>
        <w:tc>
          <w:tcPr>
            <w:tcW w:w="1090" w:type="dxa"/>
          </w:tcPr>
          <w:p w14:paraId="579557AC" w14:textId="7570ED38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0220EC2E" w14:textId="77777777" w:rsidTr="0074543B">
        <w:trPr>
          <w:trHeight w:val="300"/>
          <w:tblHeader/>
        </w:trPr>
        <w:tc>
          <w:tcPr>
            <w:tcW w:w="2516" w:type="dxa"/>
          </w:tcPr>
          <w:p w14:paraId="4F0B3549" w14:textId="5704884C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4A065619" w14:textId="57FFB9F3" w:rsidR="004961D1" w:rsidRDefault="00EB5A1B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37" w:type="dxa"/>
          </w:tcPr>
          <w:p w14:paraId="7927A891" w14:textId="3D1980E9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7D1EBC71" w14:textId="5D2A50E2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Overview</w:t>
            </w:r>
          </w:p>
        </w:tc>
        <w:tc>
          <w:tcPr>
            <w:tcW w:w="2478" w:type="dxa"/>
          </w:tcPr>
          <w:p w14:paraId="4006222A" w14:textId="36AFF6D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Removed</w:t>
            </w:r>
            <w:proofErr w:type="gramEnd"/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member experience survey component of the measure.</w:t>
            </w:r>
          </w:p>
        </w:tc>
        <w:tc>
          <w:tcPr>
            <w:tcW w:w="1090" w:type="dxa"/>
          </w:tcPr>
          <w:p w14:paraId="59402ED6" w14:textId="0849772F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28A9C891" w14:textId="77777777" w:rsidTr="0074543B">
        <w:trPr>
          <w:trHeight w:val="3095"/>
          <w:tblHeader/>
        </w:trPr>
        <w:tc>
          <w:tcPr>
            <w:tcW w:w="2516" w:type="dxa"/>
          </w:tcPr>
          <w:p w14:paraId="4FBEB850" w14:textId="77777777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  <w:p w14:paraId="56FF9509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D73811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6FF8E2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1D90554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AC2A9E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09D589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47FAA1C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044C5A5" w14:textId="77777777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D643443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4E8EF5" w14:textId="77777777" w:rsidR="004961D1" w:rsidRPr="00C421AB" w:rsidRDefault="004961D1" w:rsidP="004961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2D0E62D" w14:textId="77777777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B3D7FAD" w14:textId="3145A2B8" w:rsidR="004961D1" w:rsidRPr="00C421AB" w:rsidRDefault="004961D1" w:rsidP="00496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0" w:type="dxa"/>
          </w:tcPr>
          <w:p w14:paraId="4210B493" w14:textId="52A9D23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6F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71-</w:t>
            </w:r>
            <w:r w:rsidR="00D26FD5" w:rsidRPr="00D26F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37" w:type="dxa"/>
          </w:tcPr>
          <w:p w14:paraId="4C2FDBD5" w14:textId="77777777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  <w:p w14:paraId="2BE6EDDC" w14:textId="77777777" w:rsidR="00D26FD5" w:rsidRPr="00D26FD5" w:rsidRDefault="00D26FD5" w:rsidP="00D26FD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F7D13C2" w14:textId="77777777" w:rsidR="00D26FD5" w:rsidRPr="00D26FD5" w:rsidRDefault="00D26FD5" w:rsidP="00D26FD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C9E0D" w14:textId="77777777" w:rsidR="00D26FD5" w:rsidRPr="00D26FD5" w:rsidRDefault="00D26FD5" w:rsidP="00D26FD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1ADCC5" w14:textId="77777777" w:rsidR="00D26FD5" w:rsidRDefault="00D26FD5" w:rsidP="00D26FD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2B88886" w14:textId="77777777" w:rsidR="00D26FD5" w:rsidRPr="00D26FD5" w:rsidRDefault="00D26FD5" w:rsidP="00D26FD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2230D90" w14:textId="77777777" w:rsidR="00D26FD5" w:rsidRDefault="00D26FD5" w:rsidP="00D26FD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6039DF3" w14:textId="77777777" w:rsidR="00D26FD5" w:rsidRDefault="00D26FD5" w:rsidP="00D26FD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2A8EB41" w14:textId="77777777" w:rsidR="00D26FD5" w:rsidRDefault="00D26FD5" w:rsidP="00D26FD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AF1C18E" w14:textId="019E4FEC" w:rsidR="00D26FD5" w:rsidRPr="00D26FD5" w:rsidRDefault="00D26FD5" w:rsidP="00D26F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14:paraId="477EBC78" w14:textId="29C249C8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Measure Summary, Eligible Population, Administrative Specifications, Reporting Method, and PY3-5 Performance Requirements and Assessments</w:t>
            </w:r>
          </w:p>
        </w:tc>
        <w:tc>
          <w:tcPr>
            <w:tcW w:w="2478" w:type="dxa"/>
          </w:tcPr>
          <w:p w14:paraId="20D88B3B" w14:textId="5B84D7EE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Removed</w:t>
            </w:r>
            <w:proofErr w:type="gramEnd"/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member experience survey component of the measure.</w:t>
            </w:r>
          </w:p>
        </w:tc>
        <w:tc>
          <w:tcPr>
            <w:tcW w:w="1090" w:type="dxa"/>
          </w:tcPr>
          <w:p w14:paraId="739F9B39" w14:textId="056DEC1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4AC44E41" w14:textId="77777777" w:rsidTr="0074543B">
        <w:trPr>
          <w:trHeight w:val="300"/>
          <w:tblHeader/>
        </w:trPr>
        <w:tc>
          <w:tcPr>
            <w:tcW w:w="2516" w:type="dxa"/>
          </w:tcPr>
          <w:p w14:paraId="3174E95A" w14:textId="0B10872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44298AE4" w14:textId="1ACAAB8D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  <w:r w:rsidR="0019667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6911BC11" w14:textId="6E114394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Technical Corrections</w:t>
            </w:r>
          </w:p>
        </w:tc>
        <w:tc>
          <w:tcPr>
            <w:tcW w:w="2299" w:type="dxa"/>
          </w:tcPr>
          <w:p w14:paraId="307AC7D6" w14:textId="6C0DDE6B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4D6A9C7D" w14:textId="6BF0A7CA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Corrected age to “at least 6 years of age on the date of the visit”</w:t>
            </w:r>
          </w:p>
        </w:tc>
        <w:tc>
          <w:tcPr>
            <w:tcW w:w="1090" w:type="dxa"/>
          </w:tcPr>
          <w:p w14:paraId="2E5D94B7" w14:textId="3676E0B2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961D1" w14:paraId="4F218A71" w14:textId="77777777" w:rsidTr="0074543B">
        <w:trPr>
          <w:trHeight w:val="300"/>
          <w:tblHeader/>
        </w:trPr>
        <w:tc>
          <w:tcPr>
            <w:tcW w:w="2516" w:type="dxa"/>
          </w:tcPr>
          <w:p w14:paraId="30006C9E" w14:textId="6533F8F5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Disability Accommodation Needs</w:t>
            </w:r>
          </w:p>
        </w:tc>
        <w:tc>
          <w:tcPr>
            <w:tcW w:w="790" w:type="dxa"/>
          </w:tcPr>
          <w:p w14:paraId="0F0288D6" w14:textId="317A14BC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  <w:r w:rsidR="0019667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63B9FE92" w14:textId="5BB950F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Technical Corrections</w:t>
            </w:r>
          </w:p>
        </w:tc>
        <w:tc>
          <w:tcPr>
            <w:tcW w:w="2299" w:type="dxa"/>
          </w:tcPr>
          <w:p w14:paraId="495F6804" w14:textId="538411BD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3DFF2787" w14:textId="69CC7611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name of the referenced HEDIS Value Set – Outpatient Value Set</w:t>
            </w:r>
          </w:p>
        </w:tc>
        <w:tc>
          <w:tcPr>
            <w:tcW w:w="1090" w:type="dxa"/>
          </w:tcPr>
          <w:p w14:paraId="5857CD06" w14:textId="6505FF2C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168B1968" w14:textId="77777777" w:rsidTr="0074543B">
        <w:trPr>
          <w:trHeight w:val="300"/>
          <w:tblHeader/>
        </w:trPr>
        <w:tc>
          <w:tcPr>
            <w:tcW w:w="2516" w:type="dxa"/>
          </w:tcPr>
          <w:p w14:paraId="4754F11D" w14:textId="7DB76F7E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397C8380" w14:textId="0B3D64E5" w:rsidR="004961D1" w:rsidRDefault="00196677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37" w:type="dxa"/>
          </w:tcPr>
          <w:p w14:paraId="05F32BF6" w14:textId="75227132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2BE68177" w14:textId="77948589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Definitions</w:t>
            </w:r>
          </w:p>
        </w:tc>
        <w:tc>
          <w:tcPr>
            <w:tcW w:w="2478" w:type="dxa"/>
          </w:tcPr>
          <w:p w14:paraId="74207881" w14:textId="051E1C59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definition for “members with a self-reported disability” to align with RELDSOGI definition (adding “as of December 31 of the measurement year).</w:t>
            </w:r>
          </w:p>
        </w:tc>
        <w:tc>
          <w:tcPr>
            <w:tcW w:w="1090" w:type="dxa"/>
          </w:tcPr>
          <w:p w14:paraId="39D7B222" w14:textId="55D7DEDB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14:paraId="14E49DEB" w14:textId="77777777" w:rsidTr="0074543B">
        <w:trPr>
          <w:trHeight w:val="300"/>
          <w:tblHeader/>
        </w:trPr>
        <w:tc>
          <w:tcPr>
            <w:tcW w:w="2516" w:type="dxa"/>
          </w:tcPr>
          <w:p w14:paraId="2B3880F2" w14:textId="5FA93F4D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6ED1A104" w14:textId="623515DF" w:rsidR="004961D1" w:rsidRDefault="004961D1" w:rsidP="004961D1"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  <w:r w:rsidR="00D26F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0682AAE4" w14:textId="4E8B1C40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01203D88" w14:textId="47A8D7CD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78" w:type="dxa"/>
          </w:tcPr>
          <w:p w14:paraId="5BC90564" w14:textId="6F7CA6F3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54E4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Clarified due date (time – 5pm)</w:t>
            </w:r>
          </w:p>
        </w:tc>
        <w:tc>
          <w:tcPr>
            <w:tcW w:w="1090" w:type="dxa"/>
          </w:tcPr>
          <w:p w14:paraId="6E989967" w14:textId="2A5E7D62" w:rsidR="004961D1" w:rsidRDefault="004961D1" w:rsidP="004961D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961D1" w:rsidRPr="00C91DD0" w14:paraId="494DDB64" w14:textId="77777777" w:rsidTr="0074543B">
        <w:tc>
          <w:tcPr>
            <w:tcW w:w="2516" w:type="dxa"/>
          </w:tcPr>
          <w:p w14:paraId="6D74E5C9" w14:textId="745CBE88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790" w:type="dxa"/>
          </w:tcPr>
          <w:p w14:paraId="38A04489" w14:textId="73D839AE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 xml:space="preserve"> &amp; 5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777200A0" w14:textId="7DAE2C49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6B8EF78D" w14:textId="1C8316BE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Data Reporting Requirements</w:t>
            </w:r>
          </w:p>
        </w:tc>
        <w:tc>
          <w:tcPr>
            <w:tcW w:w="2478" w:type="dxa"/>
          </w:tcPr>
          <w:p w14:paraId="66BBDF1F" w14:textId="3A39B74D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Added a note about G0136 code that it will no longer be applicable beginning January 1, 2026.</w:t>
            </w:r>
          </w:p>
        </w:tc>
        <w:tc>
          <w:tcPr>
            <w:tcW w:w="1090" w:type="dxa"/>
          </w:tcPr>
          <w:p w14:paraId="506B8EB0" w14:textId="56B24B6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91DD0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</w:tr>
      <w:tr w:rsidR="004961D1" w:rsidRPr="00C91DD0" w14:paraId="5A2CA92F" w14:textId="77777777" w:rsidTr="0074543B">
        <w:tc>
          <w:tcPr>
            <w:tcW w:w="2516" w:type="dxa"/>
          </w:tcPr>
          <w:p w14:paraId="1F5740F8" w14:textId="7BE04660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71643BFD" w14:textId="4222E72A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37" w:type="dxa"/>
          </w:tcPr>
          <w:p w14:paraId="2D5E4735" w14:textId="042DE02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14DE7E1E" w14:textId="6884B10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Performance Requirements and Assessments</w:t>
            </w:r>
          </w:p>
        </w:tc>
        <w:tc>
          <w:tcPr>
            <w:tcW w:w="2478" w:type="dxa"/>
          </w:tcPr>
          <w:p w14:paraId="369911C7" w14:textId="3A514E9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 xml:space="preserve">Changed due date of Measure Assessment Report from Oct 31, </w:t>
            </w:r>
            <w:proofErr w:type="gramStart"/>
            <w:r w:rsidRPr="00C91DD0">
              <w:rPr>
                <w:rFonts w:ascii="Arial" w:hAnsi="Arial" w:cs="Arial"/>
                <w:sz w:val="24"/>
                <w:szCs w:val="24"/>
              </w:rPr>
              <w:t>2025</w:t>
            </w:r>
            <w:proofErr w:type="gramEnd"/>
            <w:r w:rsidRPr="00C91DD0">
              <w:rPr>
                <w:rFonts w:ascii="Arial" w:hAnsi="Arial" w:cs="Arial"/>
                <w:sz w:val="24"/>
                <w:szCs w:val="24"/>
              </w:rPr>
              <w:t xml:space="preserve"> to “to be further specified by MassHealth.”</w:t>
            </w:r>
          </w:p>
        </w:tc>
        <w:tc>
          <w:tcPr>
            <w:tcW w:w="1090" w:type="dxa"/>
          </w:tcPr>
          <w:p w14:paraId="294BC0B5" w14:textId="43B48FA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03C35266" w14:textId="77777777" w:rsidTr="0074543B">
        <w:tc>
          <w:tcPr>
            <w:tcW w:w="2516" w:type="dxa"/>
          </w:tcPr>
          <w:p w14:paraId="6A1C3224" w14:textId="69B305DA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Competent Care</w:t>
            </w:r>
          </w:p>
        </w:tc>
        <w:tc>
          <w:tcPr>
            <w:tcW w:w="790" w:type="dxa"/>
          </w:tcPr>
          <w:p w14:paraId="56BC8457" w14:textId="13F4652C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37" w:type="dxa"/>
          </w:tcPr>
          <w:p w14:paraId="192DE1B6" w14:textId="21DA0ED2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1038D05F" w14:textId="45774CDB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Administrative Specifications</w:t>
            </w:r>
          </w:p>
        </w:tc>
        <w:tc>
          <w:tcPr>
            <w:tcW w:w="2478" w:type="dxa"/>
          </w:tcPr>
          <w:p w14:paraId="6E9E8A66" w14:textId="0CCC3ABD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Included the revised formula used to calculate the DCC Training Rate (Rate 1) and removed previous “Denominator” and “Numerator” descriptions</w:t>
            </w:r>
          </w:p>
        </w:tc>
        <w:tc>
          <w:tcPr>
            <w:tcW w:w="1090" w:type="dxa"/>
          </w:tcPr>
          <w:p w14:paraId="53306C9B" w14:textId="4641FA47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0FCEAC96" w14:textId="77777777" w:rsidTr="0074543B">
        <w:tc>
          <w:tcPr>
            <w:tcW w:w="2516" w:type="dxa"/>
          </w:tcPr>
          <w:p w14:paraId="363F752B" w14:textId="11F61B96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Competent Care</w:t>
            </w:r>
          </w:p>
        </w:tc>
        <w:tc>
          <w:tcPr>
            <w:tcW w:w="790" w:type="dxa"/>
          </w:tcPr>
          <w:p w14:paraId="3B7EBDC6" w14:textId="298D0270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37" w:type="dxa"/>
          </w:tcPr>
          <w:p w14:paraId="084335E4" w14:textId="21A35E54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157720F5" w14:textId="1366759D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Performance Requirements and Assessment</w:t>
            </w:r>
          </w:p>
        </w:tc>
        <w:tc>
          <w:tcPr>
            <w:tcW w:w="2478" w:type="dxa"/>
          </w:tcPr>
          <w:p w14:paraId="1638022A" w14:textId="5CBACB3F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Modified to state MassHealth will calculate the DCC Training Rate (Rate 1)</w:t>
            </w:r>
          </w:p>
        </w:tc>
        <w:tc>
          <w:tcPr>
            <w:tcW w:w="1090" w:type="dxa"/>
          </w:tcPr>
          <w:p w14:paraId="7DB7D0B5" w14:textId="51FD151F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13058037" w14:textId="77777777" w:rsidTr="0074543B">
        <w:tc>
          <w:tcPr>
            <w:tcW w:w="2516" w:type="dxa"/>
          </w:tcPr>
          <w:p w14:paraId="7A26090C" w14:textId="0514071B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Achievement of External Standards for Health Equity</w:t>
            </w:r>
          </w:p>
        </w:tc>
        <w:tc>
          <w:tcPr>
            <w:tcW w:w="790" w:type="dxa"/>
          </w:tcPr>
          <w:p w14:paraId="20360CD8" w14:textId="3F1FC5CC" w:rsidR="004961D1" w:rsidRPr="00C91DD0" w:rsidRDefault="004961D1" w:rsidP="004961D1">
            <w:pPr>
              <w:rPr>
                <w:rFonts w:ascii="Arial" w:hAnsi="Arial" w:cs="Arial"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54977B22" w14:textId="6C615AC4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525B97D3" w14:textId="755B0A24" w:rsidR="004961D1" w:rsidRPr="0069561B" w:rsidRDefault="004961D1" w:rsidP="004961D1">
            <w:pPr>
              <w:rPr>
                <w:rFonts w:ascii="Arial" w:hAnsi="Arial" w:cs="Arial"/>
              </w:rPr>
            </w:pPr>
            <w:r w:rsidRPr="0069561B">
              <w:rPr>
                <w:rFonts w:ascii="Arial" w:hAnsi="Arial" w:cs="Arial"/>
                <w:sz w:val="24"/>
                <w:szCs w:val="24"/>
              </w:rPr>
              <w:t>All Sections</w:t>
            </w:r>
          </w:p>
        </w:tc>
        <w:tc>
          <w:tcPr>
            <w:tcW w:w="2478" w:type="dxa"/>
          </w:tcPr>
          <w:p w14:paraId="1EDC56A4" w14:textId="056E4800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 xml:space="preserve">Noted the updated NCQA product name change from “Health </w:t>
            </w:r>
            <w:r w:rsidRPr="00C91DD0">
              <w:rPr>
                <w:rFonts w:ascii="Arial" w:hAnsi="Arial" w:cs="Arial"/>
                <w:sz w:val="24"/>
                <w:szCs w:val="24"/>
              </w:rPr>
              <w:lastRenderedPageBreak/>
              <w:t>Equity Accreditation” to “Health Outcomes Accreditation”</w:t>
            </w:r>
          </w:p>
        </w:tc>
        <w:tc>
          <w:tcPr>
            <w:tcW w:w="1090" w:type="dxa"/>
          </w:tcPr>
          <w:p w14:paraId="05F49504" w14:textId="6B686388" w:rsidR="004961D1" w:rsidRPr="00C91DD0" w:rsidRDefault="004961D1" w:rsidP="004961D1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lastRenderedPageBreak/>
              <w:t>1/9/26</w:t>
            </w:r>
          </w:p>
        </w:tc>
      </w:tr>
      <w:tr w:rsidR="004961D1" w:rsidRPr="00C91DD0" w14:paraId="69D200A2" w14:textId="77777777" w:rsidTr="0074543B">
        <w:tc>
          <w:tcPr>
            <w:tcW w:w="2516" w:type="dxa"/>
          </w:tcPr>
          <w:p w14:paraId="7118796D" w14:textId="32F3F8C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Achievement of External Standards for Health Equity</w:t>
            </w:r>
          </w:p>
        </w:tc>
        <w:tc>
          <w:tcPr>
            <w:tcW w:w="790" w:type="dxa"/>
          </w:tcPr>
          <w:p w14:paraId="52F74421" w14:textId="665D7EBF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537" w:type="dxa"/>
          </w:tcPr>
          <w:p w14:paraId="72FD97CD" w14:textId="45A4945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05B5904F" w14:textId="2032BBCF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Specifications</w:t>
            </w:r>
          </w:p>
        </w:tc>
        <w:tc>
          <w:tcPr>
            <w:tcW w:w="2478" w:type="dxa"/>
          </w:tcPr>
          <w:p w14:paraId="216DCB7E" w14:textId="75DD684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Clarified reporting requirement options: either 1a or 1b must be reported in PY3-5.</w:t>
            </w:r>
          </w:p>
        </w:tc>
        <w:tc>
          <w:tcPr>
            <w:tcW w:w="1090" w:type="dxa"/>
          </w:tcPr>
          <w:p w14:paraId="0C245B5F" w14:textId="29B7D87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740CAA00" w14:textId="77777777" w:rsidTr="0074543B">
        <w:tc>
          <w:tcPr>
            <w:tcW w:w="2516" w:type="dxa"/>
          </w:tcPr>
          <w:p w14:paraId="2B15C797" w14:textId="1E1E2692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790" w:type="dxa"/>
          </w:tcPr>
          <w:p w14:paraId="7D96A40C" w14:textId="2FB5E6B8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17206968" w14:textId="5E3387A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517876CC" w14:textId="79E7FD5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Overview</w:t>
            </w:r>
          </w:p>
        </w:tc>
        <w:tc>
          <w:tcPr>
            <w:tcW w:w="2478" w:type="dxa"/>
          </w:tcPr>
          <w:p w14:paraId="15725CE8" w14:textId="53EECD1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Given the decision to sunset the CG-CAPHS survey in 2026. Clarified that PY4 is Pay-for-Reporting and PY5 is Pay-for-Performance.</w:t>
            </w:r>
          </w:p>
        </w:tc>
        <w:tc>
          <w:tcPr>
            <w:tcW w:w="1090" w:type="dxa"/>
          </w:tcPr>
          <w:p w14:paraId="5F63003A" w14:textId="1DDEB85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6B23A097" w14:textId="77777777" w:rsidTr="0074543B">
        <w:tc>
          <w:tcPr>
            <w:tcW w:w="2516" w:type="dxa"/>
          </w:tcPr>
          <w:p w14:paraId="2957A42B" w14:textId="6C8986A9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790" w:type="dxa"/>
          </w:tcPr>
          <w:p w14:paraId="2241D32D" w14:textId="52C2AA9D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537" w:type="dxa"/>
          </w:tcPr>
          <w:p w14:paraId="524F18BF" w14:textId="2B597D9C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3F754874" w14:textId="68A4A609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Administrative Specifications</w:t>
            </w:r>
          </w:p>
        </w:tc>
        <w:tc>
          <w:tcPr>
            <w:tcW w:w="2478" w:type="dxa"/>
          </w:tcPr>
          <w:p w14:paraId="116967A8" w14:textId="1F330F34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Removed Question #5 in the Child Composite for Communication as it is not part of the composite.</w:t>
            </w:r>
          </w:p>
        </w:tc>
        <w:tc>
          <w:tcPr>
            <w:tcW w:w="1090" w:type="dxa"/>
          </w:tcPr>
          <w:p w14:paraId="13BA3F86" w14:textId="4E4AFBF8" w:rsidR="004961D1" w:rsidRPr="00D71533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4FB423A0" w14:textId="77777777" w:rsidTr="0074543B">
        <w:tc>
          <w:tcPr>
            <w:tcW w:w="2516" w:type="dxa"/>
          </w:tcPr>
          <w:p w14:paraId="0227B242" w14:textId="2CCAF56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790" w:type="dxa"/>
          </w:tcPr>
          <w:p w14:paraId="47EE2D72" w14:textId="65A880ED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17525359" w14:textId="6D72A81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4C543B26" w14:textId="62A74CB3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478" w:type="dxa"/>
          </w:tcPr>
          <w:p w14:paraId="566DF506" w14:textId="237E2FC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Added a note that MassHealth will not be administering the survey for PY2026.</w:t>
            </w:r>
          </w:p>
        </w:tc>
        <w:tc>
          <w:tcPr>
            <w:tcW w:w="1090" w:type="dxa"/>
          </w:tcPr>
          <w:p w14:paraId="535DC750" w14:textId="08075A1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7FA591F7" w14:textId="77777777" w:rsidTr="0074543B">
        <w:tc>
          <w:tcPr>
            <w:tcW w:w="2516" w:type="dxa"/>
          </w:tcPr>
          <w:p w14:paraId="1C94043A" w14:textId="3541B95B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790" w:type="dxa"/>
          </w:tcPr>
          <w:p w14:paraId="7572F936" w14:textId="629383E4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14:paraId="56CF8C25" w14:textId="3B85E2D8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73404746" w14:textId="1A5C542F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PY3-5 Performance Requirements and Assessment</w:t>
            </w:r>
          </w:p>
        </w:tc>
        <w:tc>
          <w:tcPr>
            <w:tcW w:w="2478" w:type="dxa"/>
          </w:tcPr>
          <w:p w14:paraId="03FB2E7C" w14:textId="63164F23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Added that PY4 and PY5 Performance Requirements and Assessment are under development.</w:t>
            </w:r>
          </w:p>
        </w:tc>
        <w:tc>
          <w:tcPr>
            <w:tcW w:w="1090" w:type="dxa"/>
          </w:tcPr>
          <w:p w14:paraId="56330DCF" w14:textId="4F42DDB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D71533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4961D1" w:rsidRPr="00C91DD0" w14:paraId="30DC3981" w14:textId="77777777" w:rsidTr="0074543B">
        <w:tc>
          <w:tcPr>
            <w:tcW w:w="2516" w:type="dxa"/>
          </w:tcPr>
          <w:p w14:paraId="3486A0CD" w14:textId="2EB7F41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790" w:type="dxa"/>
          </w:tcPr>
          <w:p w14:paraId="2BD3A1FB" w14:textId="621B0FDC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37" w:type="dxa"/>
          </w:tcPr>
          <w:p w14:paraId="70F9D4ED" w14:textId="433C430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3B6A7186" w14:textId="79E4A17C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7D91EB08" w14:textId="5313FD7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C91DD0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C91DD0">
              <w:rPr>
                <w:rFonts w:ascii="Arial" w:hAnsi="Arial" w:cs="Arial"/>
                <w:sz w:val="24"/>
                <w:szCs w:val="24"/>
              </w:rPr>
              <w:t xml:space="preserve"> permission from NCQA.”</w:t>
            </w:r>
          </w:p>
        </w:tc>
        <w:tc>
          <w:tcPr>
            <w:tcW w:w="1090" w:type="dxa"/>
          </w:tcPr>
          <w:p w14:paraId="61F28B70" w14:textId="40F0B6E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00757D9E" w14:textId="77777777" w:rsidTr="0074543B">
        <w:tc>
          <w:tcPr>
            <w:tcW w:w="2516" w:type="dxa"/>
          </w:tcPr>
          <w:p w14:paraId="0B96E056" w14:textId="6DA54D2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790" w:type="dxa"/>
          </w:tcPr>
          <w:p w14:paraId="3628E7E2" w14:textId="798DA27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37" w:type="dxa"/>
          </w:tcPr>
          <w:p w14:paraId="5A549C1F" w14:textId="499E8C3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7AF634FD" w14:textId="627603D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Data Reporting Requirements</w:t>
            </w:r>
          </w:p>
        </w:tc>
        <w:tc>
          <w:tcPr>
            <w:tcW w:w="2478" w:type="dxa"/>
          </w:tcPr>
          <w:p w14:paraId="525BC50C" w14:textId="647EB549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Added ICD-10 Code Z58.6 (</w:t>
            </w:r>
            <w:r w:rsidRPr="00C91DD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Inadequate drinking-water supply) to </w:t>
            </w:r>
            <w:r w:rsidRPr="00C91DD0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Inadequate Housing.</w:t>
            </w:r>
          </w:p>
        </w:tc>
        <w:tc>
          <w:tcPr>
            <w:tcW w:w="1090" w:type="dxa"/>
          </w:tcPr>
          <w:p w14:paraId="25A33002" w14:textId="6BFD8B5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01490E5E" w14:textId="77777777" w:rsidTr="0074543B">
        <w:tc>
          <w:tcPr>
            <w:tcW w:w="2516" w:type="dxa"/>
          </w:tcPr>
          <w:p w14:paraId="3660D56A" w14:textId="78D81A1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3BE81422" w14:textId="156DE443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37" w:type="dxa"/>
          </w:tcPr>
          <w:p w14:paraId="51592C60" w14:textId="33DA943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6508386A" w14:textId="6374CC7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076916AC" w14:textId="12D4937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Removed “30 day follow up” from FUM, FUA, and FUH (to align with Quality measure reporting).</w:t>
            </w:r>
          </w:p>
        </w:tc>
        <w:tc>
          <w:tcPr>
            <w:tcW w:w="1090" w:type="dxa"/>
          </w:tcPr>
          <w:p w14:paraId="659787FE" w14:textId="002A632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71D39653" w14:textId="77777777" w:rsidTr="0074543B">
        <w:tc>
          <w:tcPr>
            <w:tcW w:w="2516" w:type="dxa"/>
          </w:tcPr>
          <w:p w14:paraId="6AB8DF9F" w14:textId="752B5D2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Quality Performance Disparities Reduction</w:t>
            </w:r>
          </w:p>
        </w:tc>
        <w:tc>
          <w:tcPr>
            <w:tcW w:w="790" w:type="dxa"/>
          </w:tcPr>
          <w:p w14:paraId="5167CECC" w14:textId="1BA0CC81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58, 59</w:t>
            </w:r>
          </w:p>
        </w:tc>
        <w:tc>
          <w:tcPr>
            <w:tcW w:w="1537" w:type="dxa"/>
          </w:tcPr>
          <w:p w14:paraId="16754CF7" w14:textId="02D228F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2D1665F1" w14:textId="537B274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478" w:type="dxa"/>
          </w:tcPr>
          <w:p w14:paraId="4F518998" w14:textId="369DF56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Clarified acceptable use of imputed data in the stratified reports.</w:t>
            </w:r>
          </w:p>
        </w:tc>
        <w:tc>
          <w:tcPr>
            <w:tcW w:w="1090" w:type="dxa"/>
          </w:tcPr>
          <w:p w14:paraId="06186B28" w14:textId="64DC6CD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66C9E904" w14:textId="77777777" w:rsidTr="0074543B">
        <w:tc>
          <w:tcPr>
            <w:tcW w:w="2516" w:type="dxa"/>
          </w:tcPr>
          <w:p w14:paraId="5D3AE237" w14:textId="77499BE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37053FC2" w14:textId="5DEEAE2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7" w:type="dxa"/>
          </w:tcPr>
          <w:p w14:paraId="5F6BBEE8" w14:textId="289CFCA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4387A46C" w14:textId="299508E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478" w:type="dxa"/>
          </w:tcPr>
          <w:p w14:paraId="45BB8A6B" w14:textId="558454C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Clarified Component 2, changing “either interpreter services or in language services” to “language assistance services.”</w:t>
            </w:r>
          </w:p>
        </w:tc>
        <w:tc>
          <w:tcPr>
            <w:tcW w:w="1090" w:type="dxa"/>
          </w:tcPr>
          <w:p w14:paraId="46B9F3C7" w14:textId="50B50041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37136CB0" w14:textId="77777777" w:rsidTr="0074543B">
        <w:tc>
          <w:tcPr>
            <w:tcW w:w="2516" w:type="dxa"/>
          </w:tcPr>
          <w:p w14:paraId="5270C9EF" w14:textId="4AD78CA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4BFFC372" w14:textId="4A3C216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37" w:type="dxa"/>
          </w:tcPr>
          <w:p w14:paraId="2DF9BC4A" w14:textId="7FDB8AB1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60B92E7C" w14:textId="2464B3A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3B392F74" w14:textId="464D7B44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C91DD0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C91DD0">
              <w:rPr>
                <w:rFonts w:ascii="Arial" w:hAnsi="Arial" w:cs="Arial"/>
                <w:sz w:val="24"/>
                <w:szCs w:val="24"/>
              </w:rPr>
              <w:t xml:space="preserve"> permission from NCQA.”</w:t>
            </w:r>
          </w:p>
        </w:tc>
        <w:tc>
          <w:tcPr>
            <w:tcW w:w="1090" w:type="dxa"/>
          </w:tcPr>
          <w:p w14:paraId="1BDE37E7" w14:textId="257EB8D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176C9E3D" w14:textId="77777777" w:rsidTr="0074543B">
        <w:tc>
          <w:tcPr>
            <w:tcW w:w="2516" w:type="dxa"/>
          </w:tcPr>
          <w:p w14:paraId="15490ED4" w14:textId="0986FC56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2ECAA20D" w14:textId="1A8B20F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63, 64</w:t>
            </w:r>
          </w:p>
        </w:tc>
        <w:tc>
          <w:tcPr>
            <w:tcW w:w="1537" w:type="dxa"/>
          </w:tcPr>
          <w:p w14:paraId="2EB787B1" w14:textId="667DA17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51DD6944" w14:textId="7CA923D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361C38FC" w14:textId="7FD1748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Clarified Component 2 description and numerator, changing “either interpreter services or in language services” to “language assistance services.”</w:t>
            </w:r>
          </w:p>
        </w:tc>
        <w:tc>
          <w:tcPr>
            <w:tcW w:w="1090" w:type="dxa"/>
          </w:tcPr>
          <w:p w14:paraId="73C2E8DF" w14:textId="2170558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4F97A02B" w14:textId="77777777" w:rsidTr="0074543B">
        <w:tc>
          <w:tcPr>
            <w:tcW w:w="2516" w:type="dxa"/>
          </w:tcPr>
          <w:p w14:paraId="1D9877C1" w14:textId="6D8D167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7D36F748" w14:textId="58A2F26C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37" w:type="dxa"/>
          </w:tcPr>
          <w:p w14:paraId="40B992FF" w14:textId="7E3AFF5C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2A4914A2" w14:textId="38635C5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50A95614" w14:textId="56DB440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For Component 2 Numerator, addition of “language services documentation system (e.g., vendor logs)” as an acceptable source of documentation for language assistance services provided.</w:t>
            </w:r>
          </w:p>
        </w:tc>
        <w:tc>
          <w:tcPr>
            <w:tcW w:w="1090" w:type="dxa"/>
          </w:tcPr>
          <w:p w14:paraId="0B582532" w14:textId="34CCF3F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2E6BEE1A" w14:textId="77777777" w:rsidTr="0074543B">
        <w:tc>
          <w:tcPr>
            <w:tcW w:w="2516" w:type="dxa"/>
          </w:tcPr>
          <w:p w14:paraId="158BD666" w14:textId="35B8328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30ACCE50" w14:textId="76766EA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37" w:type="dxa"/>
          </w:tcPr>
          <w:p w14:paraId="7073A2EF" w14:textId="387FFD2C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1F3E9CCB" w14:textId="2120483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4011D5DD" w14:textId="6E80426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Removed Note in “Events” row. Not applicable as MassHealth will identify the eligible population and provide a sample.</w:t>
            </w:r>
          </w:p>
        </w:tc>
        <w:tc>
          <w:tcPr>
            <w:tcW w:w="1090" w:type="dxa"/>
          </w:tcPr>
          <w:p w14:paraId="07464905" w14:textId="49800EA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1005ACF8" w14:textId="77777777" w:rsidTr="0074543B">
        <w:tc>
          <w:tcPr>
            <w:tcW w:w="2516" w:type="dxa"/>
          </w:tcPr>
          <w:p w14:paraId="4AF0E67F" w14:textId="50BF278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16C77047" w14:textId="505B965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37" w:type="dxa"/>
          </w:tcPr>
          <w:p w14:paraId="7C2B1AF9" w14:textId="64A29770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1CB6B1BA" w14:textId="4C9880B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78" w:type="dxa"/>
          </w:tcPr>
          <w:p w14:paraId="27CCFC5F" w14:textId="1190102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C91DD0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C91DD0">
              <w:rPr>
                <w:rFonts w:ascii="Arial" w:hAnsi="Arial" w:cs="Arial"/>
                <w:sz w:val="24"/>
                <w:szCs w:val="24"/>
              </w:rPr>
              <w:t xml:space="preserve"> permission from NCQA.”</w:t>
            </w:r>
          </w:p>
        </w:tc>
        <w:tc>
          <w:tcPr>
            <w:tcW w:w="1090" w:type="dxa"/>
          </w:tcPr>
          <w:p w14:paraId="7DFA8D25" w14:textId="5EC8902B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293B214D" w14:textId="77777777" w:rsidTr="0074543B">
        <w:tc>
          <w:tcPr>
            <w:tcW w:w="2516" w:type="dxa"/>
          </w:tcPr>
          <w:p w14:paraId="089FD69A" w14:textId="4F4F9FF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Disability Accommodation Needs</w:t>
            </w:r>
          </w:p>
        </w:tc>
        <w:tc>
          <w:tcPr>
            <w:tcW w:w="790" w:type="dxa"/>
          </w:tcPr>
          <w:p w14:paraId="76F8845E" w14:textId="3CB847C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537" w:type="dxa"/>
          </w:tcPr>
          <w:p w14:paraId="36FB13B8" w14:textId="04A68BF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59304033" w14:textId="04544113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478" w:type="dxa"/>
          </w:tcPr>
          <w:p w14:paraId="2B1BD3DF" w14:textId="2F512E2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Revised ages for each of the six questions to align with the ages listed in the RELD SOGI Data Completeness – Disability Data Completeness measure (under Eligible Population).</w:t>
            </w:r>
          </w:p>
        </w:tc>
        <w:tc>
          <w:tcPr>
            <w:tcW w:w="1090" w:type="dxa"/>
          </w:tcPr>
          <w:p w14:paraId="659BE8B4" w14:textId="586537A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5F36400F" w14:textId="77777777" w:rsidTr="0074543B">
        <w:tc>
          <w:tcPr>
            <w:tcW w:w="2516" w:type="dxa"/>
          </w:tcPr>
          <w:p w14:paraId="49A65504" w14:textId="3E142009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0D186228" w14:textId="251DDF79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537" w:type="dxa"/>
          </w:tcPr>
          <w:p w14:paraId="7B7A5AFD" w14:textId="0612F58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2001A089" w14:textId="206139D2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478" w:type="dxa"/>
          </w:tcPr>
          <w:p w14:paraId="79786EB9" w14:textId="4CF3EC9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Added definition for “Covered Individual with Eligibility for MassHealth on the Basis of a Disability.”</w:t>
            </w:r>
          </w:p>
        </w:tc>
        <w:tc>
          <w:tcPr>
            <w:tcW w:w="1090" w:type="dxa"/>
          </w:tcPr>
          <w:p w14:paraId="1C3CAFF0" w14:textId="44C8BC71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2960979F" w14:textId="77777777" w:rsidTr="0074543B">
        <w:tc>
          <w:tcPr>
            <w:tcW w:w="2516" w:type="dxa"/>
          </w:tcPr>
          <w:p w14:paraId="57660FB5" w14:textId="63F2157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0175699A" w14:textId="592F3F77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77, 78</w:t>
            </w:r>
          </w:p>
        </w:tc>
        <w:tc>
          <w:tcPr>
            <w:tcW w:w="1537" w:type="dxa"/>
          </w:tcPr>
          <w:p w14:paraId="1060DA11" w14:textId="04A2970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6E9A7C97" w14:textId="6C8845AC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Reporting Method</w:t>
            </w:r>
          </w:p>
        </w:tc>
        <w:tc>
          <w:tcPr>
            <w:tcW w:w="2478" w:type="dxa"/>
          </w:tcPr>
          <w:p w14:paraId="37AA9DF6" w14:textId="42E5D3C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Changed Reporting Method for Element 2 in which MassHealth provides a sample for which the MCO is required to report.</w:t>
            </w:r>
          </w:p>
        </w:tc>
        <w:tc>
          <w:tcPr>
            <w:tcW w:w="1090" w:type="dxa"/>
          </w:tcPr>
          <w:p w14:paraId="277AB438" w14:textId="05FAD36A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512772FE" w14:textId="77777777" w:rsidTr="0074543B">
        <w:tc>
          <w:tcPr>
            <w:tcW w:w="2516" w:type="dxa"/>
          </w:tcPr>
          <w:p w14:paraId="0AC56801" w14:textId="7173630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5233A057" w14:textId="72AAB478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78-80</w:t>
            </w:r>
          </w:p>
        </w:tc>
        <w:tc>
          <w:tcPr>
            <w:tcW w:w="1537" w:type="dxa"/>
          </w:tcPr>
          <w:p w14:paraId="219B095E" w14:textId="19DA50F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2299" w:type="dxa"/>
          </w:tcPr>
          <w:p w14:paraId="53C313DE" w14:textId="6760C07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PY3-5 Performance Requirements and Assessments</w:t>
            </w:r>
          </w:p>
        </w:tc>
        <w:tc>
          <w:tcPr>
            <w:tcW w:w="2478" w:type="dxa"/>
          </w:tcPr>
          <w:p w14:paraId="05C45992" w14:textId="7777777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Changed due date for Reporting Element 2.</w:t>
            </w:r>
          </w:p>
          <w:p w14:paraId="58ACDC54" w14:textId="7777777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>In PY3: from ‘June 30, 2026’ to ‘September 1, 2026.’</w:t>
            </w:r>
          </w:p>
          <w:p w14:paraId="7DDE18BE" w14:textId="7A8D5562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PY4-5: from ‘June 30 following the PY’ to ‘September 1 following the PY.’ </w:t>
            </w:r>
          </w:p>
        </w:tc>
        <w:tc>
          <w:tcPr>
            <w:tcW w:w="1090" w:type="dxa"/>
          </w:tcPr>
          <w:p w14:paraId="4C681CD8" w14:textId="1B118CC3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4961D1" w:rsidRPr="00C91DD0" w14:paraId="64DC3C2C" w14:textId="77777777" w:rsidTr="0074543B">
        <w:tc>
          <w:tcPr>
            <w:tcW w:w="2516" w:type="dxa"/>
          </w:tcPr>
          <w:p w14:paraId="736355F7" w14:textId="276FB621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HRSN Screening</w:t>
            </w:r>
          </w:p>
        </w:tc>
        <w:tc>
          <w:tcPr>
            <w:tcW w:w="790" w:type="dxa"/>
          </w:tcPr>
          <w:p w14:paraId="44E5DAE4" w14:textId="03AADCBD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7" w:type="dxa"/>
          </w:tcPr>
          <w:p w14:paraId="410B47E7" w14:textId="4CE2EA4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68D2320C" w14:textId="384227F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78" w:type="dxa"/>
          </w:tcPr>
          <w:p w14:paraId="62D6DAFC" w14:textId="5D0412D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Clarified that the data submission due date is applicable to all data submitted by the MCO (administrative and supplemental, as applicable).</w:t>
            </w:r>
          </w:p>
        </w:tc>
        <w:tc>
          <w:tcPr>
            <w:tcW w:w="1090" w:type="dxa"/>
          </w:tcPr>
          <w:p w14:paraId="679BF393" w14:textId="005368F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7776E53D" w14:textId="77777777" w:rsidTr="0074543B">
        <w:tc>
          <w:tcPr>
            <w:tcW w:w="2516" w:type="dxa"/>
          </w:tcPr>
          <w:p w14:paraId="22552169" w14:textId="1AEFBC88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HRSN Screening</w:t>
            </w:r>
          </w:p>
        </w:tc>
        <w:tc>
          <w:tcPr>
            <w:tcW w:w="790" w:type="dxa"/>
          </w:tcPr>
          <w:p w14:paraId="36EF6C8C" w14:textId="7A20623B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7" w:type="dxa"/>
          </w:tcPr>
          <w:p w14:paraId="1A240191" w14:textId="47655BD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Clarification</w:t>
            </w:r>
            <w:r w:rsidRPr="00C91DD0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</w:tcPr>
          <w:p w14:paraId="725CCED2" w14:textId="1680D18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PY3-5 Performance Requirements &amp; Assessment</w:t>
            </w:r>
            <w:r w:rsidRPr="00C91DD0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8" w:type="dxa"/>
          </w:tcPr>
          <w:p w14:paraId="6D774280" w14:textId="66F2BEAB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expectations.</w:t>
            </w:r>
          </w:p>
        </w:tc>
        <w:tc>
          <w:tcPr>
            <w:tcW w:w="1090" w:type="dxa"/>
          </w:tcPr>
          <w:p w14:paraId="133F1E37" w14:textId="0989A0C8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59BC2CD7" w14:textId="77777777" w:rsidTr="0074543B">
        <w:tc>
          <w:tcPr>
            <w:tcW w:w="2516" w:type="dxa"/>
          </w:tcPr>
          <w:p w14:paraId="3D042E8F" w14:textId="7FE9D964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647AF851" w14:textId="4945CF22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537" w:type="dxa"/>
          </w:tcPr>
          <w:p w14:paraId="5C95297E" w14:textId="1628244B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6165C075" w14:textId="1D051C0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179521BF" w14:textId="6810F6A8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 xml:space="preserve">Removed reference to selection of </w:t>
            </w:r>
            <w:r w:rsidRPr="00C91DD0">
              <w:rPr>
                <w:rFonts w:ascii="Arial" w:hAnsi="Arial" w:cs="Arial"/>
                <w:sz w:val="24"/>
                <w:szCs w:val="24"/>
              </w:rPr>
              <w:lastRenderedPageBreak/>
              <w:t>alternative measures (given MCOs may select any measure from their Quality Slate).</w:t>
            </w:r>
          </w:p>
        </w:tc>
        <w:tc>
          <w:tcPr>
            <w:tcW w:w="1090" w:type="dxa"/>
          </w:tcPr>
          <w:p w14:paraId="4F3C5CAD" w14:textId="6DD37B1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lastRenderedPageBreak/>
              <w:t>3/14/25</w:t>
            </w:r>
          </w:p>
        </w:tc>
      </w:tr>
      <w:tr w:rsidR="004961D1" w:rsidRPr="00C91DD0" w14:paraId="569630D3" w14:textId="77777777" w:rsidTr="0074543B">
        <w:tc>
          <w:tcPr>
            <w:tcW w:w="2516" w:type="dxa"/>
          </w:tcPr>
          <w:p w14:paraId="733DF5D7" w14:textId="65274A4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2B0D2108" w14:textId="2F593C91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537" w:type="dxa"/>
          </w:tcPr>
          <w:p w14:paraId="31B90759" w14:textId="0D75580D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225BBA33" w14:textId="69BFA83D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3402FA57" w14:textId="78A60ADE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Clarified that MassHealth may request member-level data.</w:t>
            </w:r>
          </w:p>
        </w:tc>
        <w:tc>
          <w:tcPr>
            <w:tcW w:w="1090" w:type="dxa"/>
          </w:tcPr>
          <w:p w14:paraId="714A9DD7" w14:textId="14FBD745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4F85C1E8" w14:textId="77777777" w:rsidTr="0074543B">
        <w:tc>
          <w:tcPr>
            <w:tcW w:w="2516" w:type="dxa"/>
          </w:tcPr>
          <w:p w14:paraId="1A870EF6" w14:textId="1C7E25D8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4A55B082" w14:textId="2E7E96A7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37" w:type="dxa"/>
          </w:tcPr>
          <w:p w14:paraId="54614D75" w14:textId="49664D93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2299" w:type="dxa"/>
          </w:tcPr>
          <w:p w14:paraId="33E5605D" w14:textId="74BAD020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478" w:type="dxa"/>
          </w:tcPr>
          <w:p w14:paraId="01AEA7FB" w14:textId="3DCF3FA8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Expanded the full list of measures eligible for disparities reduction to include the entire MassHealth MCO Quality Slate and removed option to select alternative measures.</w:t>
            </w:r>
          </w:p>
        </w:tc>
        <w:tc>
          <w:tcPr>
            <w:tcW w:w="1090" w:type="dxa"/>
          </w:tcPr>
          <w:p w14:paraId="246EF3A5" w14:textId="52C9D663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77911262" w14:textId="77777777" w:rsidTr="0074543B">
        <w:tc>
          <w:tcPr>
            <w:tcW w:w="2516" w:type="dxa"/>
          </w:tcPr>
          <w:p w14:paraId="5BFD04C2" w14:textId="2432834F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790" w:type="dxa"/>
          </w:tcPr>
          <w:p w14:paraId="14AC76CC" w14:textId="40E44464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37" w:type="dxa"/>
          </w:tcPr>
          <w:p w14:paraId="37562E4D" w14:textId="1020903D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003B10AD" w14:textId="4C4A3AD1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Additional Measure Information</w:t>
            </w:r>
          </w:p>
        </w:tc>
        <w:tc>
          <w:tcPr>
            <w:tcW w:w="2478" w:type="dxa"/>
          </w:tcPr>
          <w:p w14:paraId="74FB6202" w14:textId="56BF48C7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Clarified that the Race &amp; Ethnicity standards for stratification apply to the PY3 Measure Assessment Report.</w:t>
            </w:r>
          </w:p>
        </w:tc>
        <w:tc>
          <w:tcPr>
            <w:tcW w:w="1090" w:type="dxa"/>
          </w:tcPr>
          <w:p w14:paraId="6AEBEA86" w14:textId="0357E6DE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189CE6E6" w14:textId="77777777" w:rsidTr="0074543B">
        <w:tc>
          <w:tcPr>
            <w:tcW w:w="2516" w:type="dxa"/>
          </w:tcPr>
          <w:p w14:paraId="4453A7C4" w14:textId="5E408DB1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Language Access</w:t>
            </w:r>
          </w:p>
        </w:tc>
        <w:tc>
          <w:tcPr>
            <w:tcW w:w="790" w:type="dxa"/>
          </w:tcPr>
          <w:p w14:paraId="5857EC48" w14:textId="6D889E3C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537" w:type="dxa"/>
          </w:tcPr>
          <w:p w14:paraId="40107D71" w14:textId="2D2B42F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53A9387C" w14:textId="6FB47EDA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78" w:type="dxa"/>
          </w:tcPr>
          <w:p w14:paraId="1DE8BE1F" w14:textId="7A7366D4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expectations.</w:t>
            </w:r>
          </w:p>
        </w:tc>
        <w:tc>
          <w:tcPr>
            <w:tcW w:w="1090" w:type="dxa"/>
          </w:tcPr>
          <w:p w14:paraId="04D27346" w14:textId="383CDA1D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164A4EE6" w14:textId="77777777" w:rsidTr="0074543B">
        <w:tc>
          <w:tcPr>
            <w:tcW w:w="2516" w:type="dxa"/>
          </w:tcPr>
          <w:p w14:paraId="5C6AC5E4" w14:textId="11885132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0736A93A" w14:textId="359FA9A8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537" w:type="dxa"/>
          </w:tcPr>
          <w:p w14:paraId="5706D10A" w14:textId="493C583D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3B8E4499" w14:textId="2B11FD92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Reporting Method</w:t>
            </w:r>
          </w:p>
        </w:tc>
        <w:tc>
          <w:tcPr>
            <w:tcW w:w="2478" w:type="dxa"/>
          </w:tcPr>
          <w:p w14:paraId="5BEA84DC" w14:textId="6C39829C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 for PY3.</w:t>
            </w:r>
          </w:p>
        </w:tc>
        <w:tc>
          <w:tcPr>
            <w:tcW w:w="1090" w:type="dxa"/>
          </w:tcPr>
          <w:p w14:paraId="4EF7DF9C" w14:textId="755479D4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4961D1" w:rsidRPr="00C91DD0" w14:paraId="6900FA30" w14:textId="77777777" w:rsidTr="0074543B">
        <w:tc>
          <w:tcPr>
            <w:tcW w:w="2516" w:type="dxa"/>
          </w:tcPr>
          <w:p w14:paraId="59BD1C0D" w14:textId="44D2AE3B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790" w:type="dxa"/>
          </w:tcPr>
          <w:p w14:paraId="46EA10B0" w14:textId="6172DCC8" w:rsidR="004961D1" w:rsidRPr="00C91DD0" w:rsidRDefault="004961D1" w:rsidP="004961D1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537" w:type="dxa"/>
          </w:tcPr>
          <w:p w14:paraId="1C8F1458" w14:textId="0E8CCC36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2299" w:type="dxa"/>
          </w:tcPr>
          <w:p w14:paraId="380C36BB" w14:textId="4A82E824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78" w:type="dxa"/>
          </w:tcPr>
          <w:p w14:paraId="479C77B4" w14:textId="1B109395" w:rsidR="004961D1" w:rsidRPr="00C91DD0" w:rsidRDefault="004961D1" w:rsidP="004961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1DD0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 for PY4-5.</w:t>
            </w:r>
          </w:p>
        </w:tc>
        <w:tc>
          <w:tcPr>
            <w:tcW w:w="1090" w:type="dxa"/>
          </w:tcPr>
          <w:p w14:paraId="58A91113" w14:textId="65FA812F" w:rsidR="004961D1" w:rsidRPr="00C91DD0" w:rsidRDefault="004961D1" w:rsidP="004961D1">
            <w:pPr>
              <w:rPr>
                <w:rFonts w:ascii="Arial" w:hAnsi="Arial" w:cs="Arial"/>
                <w:sz w:val="24"/>
                <w:szCs w:val="24"/>
              </w:rPr>
            </w:pPr>
            <w:r w:rsidRPr="00C91DD0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bookmarkEnd w:id="0"/>
    </w:tbl>
    <w:p w14:paraId="6A0FC4CD" w14:textId="77777777" w:rsidR="0015375A" w:rsidRDefault="0015375A" w:rsidP="00DA3EC7">
      <w:pPr>
        <w:spacing w:after="0" w:line="240" w:lineRule="auto"/>
        <w:rPr>
          <w:rFonts w:ascii="Arial" w:hAnsi="Arial" w:cs="Arial"/>
        </w:rPr>
      </w:pPr>
    </w:p>
    <w:sectPr w:rsidR="0015375A" w:rsidSect="00F871FE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3089" w14:textId="77777777" w:rsidR="009B25A2" w:rsidRDefault="009B25A2" w:rsidP="000F7356">
      <w:pPr>
        <w:spacing w:after="0" w:line="240" w:lineRule="auto"/>
      </w:pPr>
      <w:r>
        <w:separator/>
      </w:r>
    </w:p>
  </w:endnote>
  <w:endnote w:type="continuationSeparator" w:id="0">
    <w:p w14:paraId="2D2F5F9B" w14:textId="77777777" w:rsidR="009B25A2" w:rsidRDefault="009B25A2" w:rsidP="000F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6102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E74465" w14:textId="7CFA86CA" w:rsidR="000F7356" w:rsidRDefault="009642E3">
            <w:pPr>
              <w:pStyle w:val="Footer"/>
            </w:pPr>
            <w:r>
              <w:t xml:space="preserve">PY3-5 MQEIP Tech Spec Change Log: Updated </w:t>
            </w:r>
            <w:r w:rsidR="00C421AB">
              <w:t xml:space="preserve">March 9, </w:t>
            </w:r>
            <w:proofErr w:type="gramStart"/>
            <w:r w:rsidR="00B4512D">
              <w:t>2026</w:t>
            </w:r>
            <w:proofErr w:type="gramEnd"/>
            <w:r>
              <w:t xml:space="preserve">                                              </w:t>
            </w:r>
            <w:r w:rsidR="00C421AB">
              <w:t xml:space="preserve">        </w:t>
            </w:r>
            <w:r>
              <w:t xml:space="preserve"> </w:t>
            </w:r>
            <w:r w:rsidR="000F7356">
              <w:t xml:space="preserve">Page </w:t>
            </w:r>
            <w:r w:rsidR="000F7356">
              <w:rPr>
                <w:b/>
                <w:bCs/>
                <w:sz w:val="24"/>
                <w:szCs w:val="24"/>
              </w:rPr>
              <w:fldChar w:fldCharType="begin"/>
            </w:r>
            <w:r w:rsidR="000F7356">
              <w:rPr>
                <w:b/>
                <w:bCs/>
              </w:rPr>
              <w:instrText xml:space="preserve"> PAGE </w:instrText>
            </w:r>
            <w:r w:rsidR="000F7356">
              <w:rPr>
                <w:b/>
                <w:bCs/>
                <w:sz w:val="24"/>
                <w:szCs w:val="24"/>
              </w:rPr>
              <w:fldChar w:fldCharType="separate"/>
            </w:r>
            <w:r w:rsidR="000F7356">
              <w:rPr>
                <w:b/>
                <w:bCs/>
                <w:noProof/>
              </w:rPr>
              <w:t>2</w:t>
            </w:r>
            <w:r w:rsidR="000F7356">
              <w:rPr>
                <w:b/>
                <w:bCs/>
                <w:sz w:val="24"/>
                <w:szCs w:val="24"/>
              </w:rPr>
              <w:fldChar w:fldCharType="end"/>
            </w:r>
            <w:r w:rsidR="000F7356">
              <w:t xml:space="preserve"> of </w:t>
            </w:r>
            <w:r w:rsidR="000F7356">
              <w:rPr>
                <w:b/>
                <w:bCs/>
                <w:sz w:val="24"/>
                <w:szCs w:val="24"/>
              </w:rPr>
              <w:fldChar w:fldCharType="begin"/>
            </w:r>
            <w:r w:rsidR="000F7356">
              <w:rPr>
                <w:b/>
                <w:bCs/>
              </w:rPr>
              <w:instrText xml:space="preserve"> NUMPAGES  </w:instrText>
            </w:r>
            <w:r w:rsidR="000F7356">
              <w:rPr>
                <w:b/>
                <w:bCs/>
                <w:sz w:val="24"/>
                <w:szCs w:val="24"/>
              </w:rPr>
              <w:fldChar w:fldCharType="separate"/>
            </w:r>
            <w:r w:rsidR="000F7356">
              <w:rPr>
                <w:b/>
                <w:bCs/>
                <w:noProof/>
              </w:rPr>
              <w:t>2</w:t>
            </w:r>
            <w:r w:rsidR="000F73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9F7A" w14:textId="77777777" w:rsidR="009B25A2" w:rsidRDefault="009B25A2" w:rsidP="000F7356">
      <w:pPr>
        <w:spacing w:after="0" w:line="240" w:lineRule="auto"/>
      </w:pPr>
      <w:r>
        <w:separator/>
      </w:r>
    </w:p>
  </w:footnote>
  <w:footnote w:type="continuationSeparator" w:id="0">
    <w:p w14:paraId="5D0EB28B" w14:textId="77777777" w:rsidR="009B25A2" w:rsidRDefault="009B25A2" w:rsidP="000F7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3BFA"/>
    <w:rsid w:val="00023306"/>
    <w:rsid w:val="000244EE"/>
    <w:rsid w:val="00026D9D"/>
    <w:rsid w:val="000327FD"/>
    <w:rsid w:val="0003444D"/>
    <w:rsid w:val="00035764"/>
    <w:rsid w:val="00037F29"/>
    <w:rsid w:val="00040A48"/>
    <w:rsid w:val="00043AAD"/>
    <w:rsid w:val="00054AFF"/>
    <w:rsid w:val="00063810"/>
    <w:rsid w:val="00074550"/>
    <w:rsid w:val="000903D7"/>
    <w:rsid w:val="00091357"/>
    <w:rsid w:val="000A27BC"/>
    <w:rsid w:val="000B5D9F"/>
    <w:rsid w:val="000C1076"/>
    <w:rsid w:val="000D4CDA"/>
    <w:rsid w:val="000F067B"/>
    <w:rsid w:val="000F4C02"/>
    <w:rsid w:val="000F7356"/>
    <w:rsid w:val="00132F52"/>
    <w:rsid w:val="0014703F"/>
    <w:rsid w:val="0015375A"/>
    <w:rsid w:val="00154076"/>
    <w:rsid w:val="001746BD"/>
    <w:rsid w:val="00187DDF"/>
    <w:rsid w:val="00193743"/>
    <w:rsid w:val="00196677"/>
    <w:rsid w:val="001B759E"/>
    <w:rsid w:val="001F1CD6"/>
    <w:rsid w:val="00234053"/>
    <w:rsid w:val="002467BE"/>
    <w:rsid w:val="0025420D"/>
    <w:rsid w:val="00254AA4"/>
    <w:rsid w:val="00261AC9"/>
    <w:rsid w:val="00261E7A"/>
    <w:rsid w:val="002657E1"/>
    <w:rsid w:val="00295961"/>
    <w:rsid w:val="002B12B2"/>
    <w:rsid w:val="002B736D"/>
    <w:rsid w:val="002C03EC"/>
    <w:rsid w:val="002C2646"/>
    <w:rsid w:val="002C36DB"/>
    <w:rsid w:val="002C4109"/>
    <w:rsid w:val="002C5291"/>
    <w:rsid w:val="002C7037"/>
    <w:rsid w:val="002F39C8"/>
    <w:rsid w:val="002F6662"/>
    <w:rsid w:val="00301065"/>
    <w:rsid w:val="003013C0"/>
    <w:rsid w:val="00304F0F"/>
    <w:rsid w:val="00320F9C"/>
    <w:rsid w:val="00324516"/>
    <w:rsid w:val="0033747F"/>
    <w:rsid w:val="00341FC4"/>
    <w:rsid w:val="0034287B"/>
    <w:rsid w:val="00355273"/>
    <w:rsid w:val="00356F82"/>
    <w:rsid w:val="00364E41"/>
    <w:rsid w:val="00364FDA"/>
    <w:rsid w:val="003751B6"/>
    <w:rsid w:val="00382C48"/>
    <w:rsid w:val="0038390A"/>
    <w:rsid w:val="00390336"/>
    <w:rsid w:val="003B7481"/>
    <w:rsid w:val="003C66E2"/>
    <w:rsid w:val="003C6EAA"/>
    <w:rsid w:val="003D1EE2"/>
    <w:rsid w:val="00402201"/>
    <w:rsid w:val="00403F2D"/>
    <w:rsid w:val="00424CF0"/>
    <w:rsid w:val="0044507C"/>
    <w:rsid w:val="00445DB9"/>
    <w:rsid w:val="00453219"/>
    <w:rsid w:val="0045392D"/>
    <w:rsid w:val="004557D2"/>
    <w:rsid w:val="0045703D"/>
    <w:rsid w:val="00457372"/>
    <w:rsid w:val="00460D13"/>
    <w:rsid w:val="00467A44"/>
    <w:rsid w:val="004777D8"/>
    <w:rsid w:val="00483220"/>
    <w:rsid w:val="00484048"/>
    <w:rsid w:val="00494A2D"/>
    <w:rsid w:val="004961D1"/>
    <w:rsid w:val="00497FF1"/>
    <w:rsid w:val="004B50BA"/>
    <w:rsid w:val="004C1C18"/>
    <w:rsid w:val="004F62B6"/>
    <w:rsid w:val="005041B2"/>
    <w:rsid w:val="00504BC1"/>
    <w:rsid w:val="00511074"/>
    <w:rsid w:val="005147F4"/>
    <w:rsid w:val="005169AE"/>
    <w:rsid w:val="0052035C"/>
    <w:rsid w:val="005774C0"/>
    <w:rsid w:val="00580202"/>
    <w:rsid w:val="00594DB7"/>
    <w:rsid w:val="00597596"/>
    <w:rsid w:val="005A0B91"/>
    <w:rsid w:val="005A7621"/>
    <w:rsid w:val="005A7AD2"/>
    <w:rsid w:val="005B39D7"/>
    <w:rsid w:val="005C1DE2"/>
    <w:rsid w:val="005E1EA3"/>
    <w:rsid w:val="005E4F1A"/>
    <w:rsid w:val="005F2244"/>
    <w:rsid w:val="005F4CBC"/>
    <w:rsid w:val="005F6892"/>
    <w:rsid w:val="00605B8F"/>
    <w:rsid w:val="00611017"/>
    <w:rsid w:val="00620477"/>
    <w:rsid w:val="00631AB6"/>
    <w:rsid w:val="006425F6"/>
    <w:rsid w:val="00660183"/>
    <w:rsid w:val="00666C8B"/>
    <w:rsid w:val="00675A00"/>
    <w:rsid w:val="00693B29"/>
    <w:rsid w:val="0069561B"/>
    <w:rsid w:val="006A1000"/>
    <w:rsid w:val="006C2492"/>
    <w:rsid w:val="006C56D7"/>
    <w:rsid w:val="006C65FE"/>
    <w:rsid w:val="006E6E29"/>
    <w:rsid w:val="006F2DAF"/>
    <w:rsid w:val="00716A1D"/>
    <w:rsid w:val="00720B7A"/>
    <w:rsid w:val="00722E34"/>
    <w:rsid w:val="00726AB3"/>
    <w:rsid w:val="007326C7"/>
    <w:rsid w:val="00742724"/>
    <w:rsid w:val="00743E9D"/>
    <w:rsid w:val="0074543B"/>
    <w:rsid w:val="0076E01C"/>
    <w:rsid w:val="007745E4"/>
    <w:rsid w:val="00775A59"/>
    <w:rsid w:val="00777FE7"/>
    <w:rsid w:val="00781533"/>
    <w:rsid w:val="007831D4"/>
    <w:rsid w:val="007B459C"/>
    <w:rsid w:val="007C3027"/>
    <w:rsid w:val="007D7B22"/>
    <w:rsid w:val="007E2EA7"/>
    <w:rsid w:val="007F4AA9"/>
    <w:rsid w:val="007F6ADB"/>
    <w:rsid w:val="00801BE4"/>
    <w:rsid w:val="008072CD"/>
    <w:rsid w:val="008217BC"/>
    <w:rsid w:val="00853DD4"/>
    <w:rsid w:val="00856C7A"/>
    <w:rsid w:val="00865E78"/>
    <w:rsid w:val="0087545A"/>
    <w:rsid w:val="00880203"/>
    <w:rsid w:val="00881C1D"/>
    <w:rsid w:val="00884142"/>
    <w:rsid w:val="008A47AA"/>
    <w:rsid w:val="008B4FCD"/>
    <w:rsid w:val="008C0E19"/>
    <w:rsid w:val="008E53B1"/>
    <w:rsid w:val="008E6BC4"/>
    <w:rsid w:val="00900E67"/>
    <w:rsid w:val="00911DB1"/>
    <w:rsid w:val="00913EAF"/>
    <w:rsid w:val="009154D7"/>
    <w:rsid w:val="00916721"/>
    <w:rsid w:val="009642E3"/>
    <w:rsid w:val="00972A49"/>
    <w:rsid w:val="009743B0"/>
    <w:rsid w:val="009860BF"/>
    <w:rsid w:val="0099015D"/>
    <w:rsid w:val="00991298"/>
    <w:rsid w:val="009B25A2"/>
    <w:rsid w:val="009B292B"/>
    <w:rsid w:val="009C7119"/>
    <w:rsid w:val="009D76A8"/>
    <w:rsid w:val="009E1C89"/>
    <w:rsid w:val="009E4481"/>
    <w:rsid w:val="009F27B6"/>
    <w:rsid w:val="00A0453C"/>
    <w:rsid w:val="00A25590"/>
    <w:rsid w:val="00A27DAF"/>
    <w:rsid w:val="00A54584"/>
    <w:rsid w:val="00A77A53"/>
    <w:rsid w:val="00AA446E"/>
    <w:rsid w:val="00AA5AF5"/>
    <w:rsid w:val="00AC09F2"/>
    <w:rsid w:val="00AE46FC"/>
    <w:rsid w:val="00AF3C6B"/>
    <w:rsid w:val="00B2642B"/>
    <w:rsid w:val="00B330BC"/>
    <w:rsid w:val="00B35853"/>
    <w:rsid w:val="00B4512D"/>
    <w:rsid w:val="00B63776"/>
    <w:rsid w:val="00B646C1"/>
    <w:rsid w:val="00B6789D"/>
    <w:rsid w:val="00B72B1F"/>
    <w:rsid w:val="00B75291"/>
    <w:rsid w:val="00BA073B"/>
    <w:rsid w:val="00BA3181"/>
    <w:rsid w:val="00BE04E4"/>
    <w:rsid w:val="00BE08D3"/>
    <w:rsid w:val="00BE5590"/>
    <w:rsid w:val="00BF35AF"/>
    <w:rsid w:val="00BF4CC9"/>
    <w:rsid w:val="00C07C81"/>
    <w:rsid w:val="00C33058"/>
    <w:rsid w:val="00C421AB"/>
    <w:rsid w:val="00C4361F"/>
    <w:rsid w:val="00C50F9B"/>
    <w:rsid w:val="00C6087B"/>
    <w:rsid w:val="00C623C0"/>
    <w:rsid w:val="00C7711A"/>
    <w:rsid w:val="00C870B5"/>
    <w:rsid w:val="00C91DD0"/>
    <w:rsid w:val="00C9553F"/>
    <w:rsid w:val="00CA18E8"/>
    <w:rsid w:val="00CA4650"/>
    <w:rsid w:val="00CB34AB"/>
    <w:rsid w:val="00CB54D1"/>
    <w:rsid w:val="00CC60A0"/>
    <w:rsid w:val="00CD36DC"/>
    <w:rsid w:val="00CF582A"/>
    <w:rsid w:val="00D07B0C"/>
    <w:rsid w:val="00D110E1"/>
    <w:rsid w:val="00D12510"/>
    <w:rsid w:val="00D13B1F"/>
    <w:rsid w:val="00D1614E"/>
    <w:rsid w:val="00D16A4C"/>
    <w:rsid w:val="00D26FD5"/>
    <w:rsid w:val="00D27FCA"/>
    <w:rsid w:val="00D32C33"/>
    <w:rsid w:val="00D36C94"/>
    <w:rsid w:val="00D44292"/>
    <w:rsid w:val="00D504AD"/>
    <w:rsid w:val="00D52CA5"/>
    <w:rsid w:val="00D61A27"/>
    <w:rsid w:val="00D72232"/>
    <w:rsid w:val="00D74294"/>
    <w:rsid w:val="00DA3EC7"/>
    <w:rsid w:val="00DA6800"/>
    <w:rsid w:val="00DB3BC2"/>
    <w:rsid w:val="00DD0441"/>
    <w:rsid w:val="00DD49E5"/>
    <w:rsid w:val="00DF27DE"/>
    <w:rsid w:val="00DF5E2E"/>
    <w:rsid w:val="00E034C8"/>
    <w:rsid w:val="00E0425A"/>
    <w:rsid w:val="00E14A9E"/>
    <w:rsid w:val="00E54B98"/>
    <w:rsid w:val="00E652F0"/>
    <w:rsid w:val="00E92976"/>
    <w:rsid w:val="00E9596D"/>
    <w:rsid w:val="00E95A7E"/>
    <w:rsid w:val="00EB5A1B"/>
    <w:rsid w:val="00ED6E81"/>
    <w:rsid w:val="00EE50CC"/>
    <w:rsid w:val="00EF48F9"/>
    <w:rsid w:val="00EF6E1D"/>
    <w:rsid w:val="00F11409"/>
    <w:rsid w:val="00F460EC"/>
    <w:rsid w:val="00F63AC4"/>
    <w:rsid w:val="00F7305B"/>
    <w:rsid w:val="00F74E6C"/>
    <w:rsid w:val="00F7706F"/>
    <w:rsid w:val="00F80AAB"/>
    <w:rsid w:val="00F871FE"/>
    <w:rsid w:val="00FA7D63"/>
    <w:rsid w:val="00FA7F72"/>
    <w:rsid w:val="00FC3A33"/>
    <w:rsid w:val="00FD5044"/>
    <w:rsid w:val="00FE6B94"/>
    <w:rsid w:val="00FF7B86"/>
    <w:rsid w:val="033BD135"/>
    <w:rsid w:val="04B64386"/>
    <w:rsid w:val="05322332"/>
    <w:rsid w:val="086FAB0D"/>
    <w:rsid w:val="08CFD593"/>
    <w:rsid w:val="0BA8957E"/>
    <w:rsid w:val="0C2D5557"/>
    <w:rsid w:val="0E5B2887"/>
    <w:rsid w:val="0ECB8213"/>
    <w:rsid w:val="10F0EEBE"/>
    <w:rsid w:val="12F3C1D1"/>
    <w:rsid w:val="153085CB"/>
    <w:rsid w:val="1614398C"/>
    <w:rsid w:val="16B05469"/>
    <w:rsid w:val="1A92BC77"/>
    <w:rsid w:val="202AA48A"/>
    <w:rsid w:val="2156A020"/>
    <w:rsid w:val="24B8CAC1"/>
    <w:rsid w:val="27AB41D5"/>
    <w:rsid w:val="28649E86"/>
    <w:rsid w:val="289EC632"/>
    <w:rsid w:val="2C110A82"/>
    <w:rsid w:val="2F766A57"/>
    <w:rsid w:val="325D2D33"/>
    <w:rsid w:val="342EB759"/>
    <w:rsid w:val="3631D69A"/>
    <w:rsid w:val="3838D80D"/>
    <w:rsid w:val="397EEFE9"/>
    <w:rsid w:val="3B0EA2D3"/>
    <w:rsid w:val="412A5659"/>
    <w:rsid w:val="41DA218C"/>
    <w:rsid w:val="4311782F"/>
    <w:rsid w:val="4815E028"/>
    <w:rsid w:val="49BFB16F"/>
    <w:rsid w:val="4AB3F04E"/>
    <w:rsid w:val="4CB88954"/>
    <w:rsid w:val="503FF063"/>
    <w:rsid w:val="53E7D088"/>
    <w:rsid w:val="55516D6E"/>
    <w:rsid w:val="5A76BED9"/>
    <w:rsid w:val="5F6FE9ED"/>
    <w:rsid w:val="5F7CF293"/>
    <w:rsid w:val="6233C127"/>
    <w:rsid w:val="65E68511"/>
    <w:rsid w:val="6720800D"/>
    <w:rsid w:val="677CD1A2"/>
    <w:rsid w:val="67C28202"/>
    <w:rsid w:val="6AA42312"/>
    <w:rsid w:val="6BA86436"/>
    <w:rsid w:val="6C0FFAC1"/>
    <w:rsid w:val="6F8ED833"/>
    <w:rsid w:val="701C7240"/>
    <w:rsid w:val="70CAB51D"/>
    <w:rsid w:val="7300133F"/>
    <w:rsid w:val="73702253"/>
    <w:rsid w:val="7549E991"/>
    <w:rsid w:val="75CB6D8C"/>
    <w:rsid w:val="7754E4BF"/>
    <w:rsid w:val="7936370B"/>
    <w:rsid w:val="7FCD8A5E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C2492"/>
  </w:style>
  <w:style w:type="character" w:customStyle="1" w:styleId="eop">
    <w:name w:val="eop"/>
    <w:basedOn w:val="DefaultParagraphFont"/>
    <w:rsid w:val="006C2492"/>
  </w:style>
  <w:style w:type="paragraph" w:styleId="Header">
    <w:name w:val="header"/>
    <w:basedOn w:val="Normal"/>
    <w:link w:val="HeaderChar"/>
    <w:uiPriority w:val="99"/>
    <w:unhideWhenUsed/>
    <w:rsid w:val="000F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56"/>
  </w:style>
  <w:style w:type="paragraph" w:styleId="Footer">
    <w:name w:val="footer"/>
    <w:basedOn w:val="Normal"/>
    <w:link w:val="FooterChar"/>
    <w:uiPriority w:val="99"/>
    <w:unhideWhenUsed/>
    <w:rsid w:val="000F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3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2EF4A-CAB3-4DEC-8D88-C05D486E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126</cp:revision>
  <cp:lastPrinted>2026-03-09T18:51:00Z</cp:lastPrinted>
  <dcterms:created xsi:type="dcterms:W3CDTF">2024-11-04T14:19:00Z</dcterms:created>
  <dcterms:modified xsi:type="dcterms:W3CDTF">2026-03-09T18:51:00Z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b0cbb28d-e063-4ab5-8ca9-726c15d3584d</vt:lpwstr>
  </property>
</Properties>
</file>