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C6E" w:rsidRDefault="00D34C6E" w:rsidP="005A3877">
      <w:pPr>
        <w:spacing w:after="0" w:line="240" w:lineRule="auto"/>
        <w:rPr>
          <w:rFonts w:asciiTheme="majorHAnsi" w:hAnsiTheme="majorHAnsi"/>
          <w:b/>
          <w:sz w:val="28"/>
          <w:szCs w:val="28"/>
        </w:rPr>
      </w:pPr>
      <w:bookmarkStart w:id="0" w:name="_GoBack"/>
      <w:bookmarkEnd w:id="0"/>
    </w:p>
    <w:p w:rsidR="00D34C6E" w:rsidRDefault="00D34C6E" w:rsidP="005A3877">
      <w:pPr>
        <w:spacing w:after="0" w:line="240" w:lineRule="auto"/>
        <w:rPr>
          <w:rFonts w:asciiTheme="majorHAnsi" w:hAnsiTheme="majorHAnsi"/>
          <w:b/>
          <w:sz w:val="28"/>
          <w:szCs w:val="28"/>
        </w:rPr>
      </w:pPr>
    </w:p>
    <w:p w:rsidR="00D34C6E" w:rsidRDefault="00D34C6E" w:rsidP="005A3877">
      <w:pPr>
        <w:spacing w:after="0" w:line="240" w:lineRule="auto"/>
        <w:rPr>
          <w:rFonts w:asciiTheme="majorHAnsi" w:hAnsiTheme="majorHAnsi"/>
          <w:b/>
          <w:sz w:val="28"/>
          <w:szCs w:val="28"/>
        </w:rPr>
      </w:pPr>
    </w:p>
    <w:sdt>
      <w:sdtPr>
        <w:rPr>
          <w:rFonts w:asciiTheme="majorHAnsi" w:hAnsiTheme="majorHAnsi"/>
        </w:rPr>
        <w:id w:val="804828344"/>
        <w:docPartObj>
          <w:docPartGallery w:val="Cover Pages"/>
          <w:docPartUnique/>
        </w:docPartObj>
      </w:sdtPr>
      <w:sdtEndPr>
        <w:rPr>
          <w:color w:val="244061" w:themeColor="accent1" w:themeShade="80"/>
          <w:sz w:val="30"/>
          <w:szCs w:val="30"/>
        </w:rPr>
      </w:sdtEndPr>
      <w:sdtContent>
        <w:p w:rsidR="00D34C6E" w:rsidRPr="00296D12" w:rsidRDefault="00D34C6E" w:rsidP="00D34C6E">
          <w:pPr>
            <w:rPr>
              <w:rFonts w:asciiTheme="majorHAnsi" w:hAnsiTheme="majorHAnsi"/>
            </w:rPr>
          </w:pPr>
        </w:p>
        <w:p w:rsidR="00D34C6E" w:rsidRPr="00241EDB" w:rsidRDefault="00D34C6E" w:rsidP="00D34C6E">
          <w:pPr>
            <w:rPr>
              <w:rFonts w:asciiTheme="majorHAnsi" w:hAnsiTheme="majorHAnsi"/>
            </w:rPr>
          </w:pPr>
        </w:p>
        <w:p w:rsidR="00D34C6E" w:rsidRDefault="00D34C6E" w:rsidP="00D34C6E">
          <w:pPr>
            <w:spacing w:after="0" w:line="240" w:lineRule="auto"/>
            <w:rPr>
              <w:rFonts w:asciiTheme="majorHAnsi" w:hAnsiTheme="majorHAnsi"/>
              <w:b/>
              <w:sz w:val="40"/>
              <w:szCs w:val="40"/>
            </w:rPr>
          </w:pPr>
          <w:r>
            <w:rPr>
              <w:rFonts w:asciiTheme="majorHAnsi" w:hAnsiTheme="majorHAnsi"/>
              <w:noProof/>
            </w:rPr>
            <w:drawing>
              <wp:anchor distT="0" distB="0" distL="114300" distR="114300" simplePos="0" relativeHeight="251659264" behindDoc="0" locked="0" layoutInCell="1" allowOverlap="1" wp14:anchorId="5A9CB6CF" wp14:editId="491E0608">
                <wp:simplePos x="0" y="0"/>
                <wp:positionH relativeFrom="column">
                  <wp:posOffset>1127760</wp:posOffset>
                </wp:positionH>
                <wp:positionV relativeFrom="paragraph">
                  <wp:posOffset>109220</wp:posOffset>
                </wp:positionV>
                <wp:extent cx="3572510" cy="1190625"/>
                <wp:effectExtent l="0" t="0" r="0" b="0"/>
                <wp:wrapSquare wrapText="bothSides"/>
                <wp:docPr id="1" name="Picture 1" descr="U:\MRC logos -  letterhead - letters\MRC logo\mrc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RC logos -  letterhead - letters\MRC logo\mrc_col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251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4C6E" w:rsidRDefault="00D34C6E" w:rsidP="00D34C6E">
          <w:pPr>
            <w:spacing w:after="0" w:line="240" w:lineRule="auto"/>
            <w:rPr>
              <w:rFonts w:asciiTheme="majorHAnsi" w:hAnsiTheme="majorHAnsi"/>
              <w:b/>
              <w:sz w:val="40"/>
              <w:szCs w:val="40"/>
            </w:rPr>
          </w:pPr>
        </w:p>
        <w:p w:rsidR="00D34C6E" w:rsidRDefault="00D34C6E" w:rsidP="00D34C6E">
          <w:pPr>
            <w:spacing w:after="0" w:line="240" w:lineRule="auto"/>
            <w:rPr>
              <w:rFonts w:asciiTheme="majorHAnsi" w:hAnsiTheme="majorHAnsi"/>
              <w:b/>
              <w:sz w:val="40"/>
              <w:szCs w:val="40"/>
            </w:rPr>
          </w:pPr>
        </w:p>
        <w:p w:rsidR="00D34C6E" w:rsidRDefault="00D34C6E" w:rsidP="00D34C6E">
          <w:pPr>
            <w:spacing w:after="0" w:line="240" w:lineRule="auto"/>
            <w:rPr>
              <w:rFonts w:asciiTheme="majorHAnsi" w:hAnsiTheme="majorHAnsi"/>
              <w:b/>
              <w:sz w:val="40"/>
              <w:szCs w:val="40"/>
            </w:rPr>
          </w:pPr>
        </w:p>
        <w:p w:rsidR="00D34C6E" w:rsidRDefault="00D34C6E" w:rsidP="00D34C6E">
          <w:pPr>
            <w:spacing w:after="0" w:line="240" w:lineRule="auto"/>
            <w:rPr>
              <w:rFonts w:asciiTheme="majorHAnsi" w:hAnsiTheme="majorHAnsi"/>
              <w:b/>
              <w:color w:val="0F243E" w:themeColor="text2" w:themeShade="80"/>
              <w:sz w:val="36"/>
              <w:szCs w:val="36"/>
            </w:rPr>
          </w:pPr>
        </w:p>
        <w:p w:rsidR="00D34C6E" w:rsidRDefault="00D34C6E" w:rsidP="00D34C6E">
          <w:pPr>
            <w:spacing w:after="0" w:line="240" w:lineRule="auto"/>
            <w:rPr>
              <w:rFonts w:asciiTheme="majorHAnsi" w:hAnsiTheme="majorHAnsi"/>
              <w:b/>
              <w:color w:val="0F243E" w:themeColor="text2" w:themeShade="80"/>
              <w:sz w:val="36"/>
              <w:szCs w:val="36"/>
            </w:rPr>
          </w:pPr>
        </w:p>
        <w:p w:rsidR="00D34C6E" w:rsidRDefault="00D34C6E" w:rsidP="00D34C6E">
          <w:pPr>
            <w:spacing w:after="0" w:line="240" w:lineRule="auto"/>
            <w:rPr>
              <w:rFonts w:asciiTheme="majorHAnsi" w:hAnsiTheme="majorHAnsi"/>
              <w:b/>
              <w:color w:val="0F243E" w:themeColor="text2" w:themeShade="80"/>
              <w:sz w:val="36"/>
              <w:szCs w:val="36"/>
            </w:rPr>
          </w:pPr>
        </w:p>
        <w:p w:rsidR="00D34C6E" w:rsidRDefault="00D34C6E" w:rsidP="00D34C6E">
          <w:pPr>
            <w:spacing w:after="0" w:line="240" w:lineRule="auto"/>
            <w:rPr>
              <w:rFonts w:asciiTheme="majorHAnsi" w:hAnsiTheme="majorHAnsi"/>
              <w:b/>
              <w:color w:val="0F243E" w:themeColor="text2" w:themeShade="80"/>
              <w:sz w:val="36"/>
              <w:szCs w:val="36"/>
            </w:rPr>
          </w:pPr>
        </w:p>
        <w:p w:rsidR="00D34C6E" w:rsidRDefault="00D34C6E" w:rsidP="00D34C6E">
          <w:pPr>
            <w:spacing w:after="0" w:line="240" w:lineRule="auto"/>
            <w:rPr>
              <w:rFonts w:asciiTheme="majorHAnsi" w:hAnsiTheme="majorHAnsi"/>
              <w:b/>
              <w:color w:val="0F243E" w:themeColor="text2" w:themeShade="80"/>
              <w:sz w:val="36"/>
              <w:szCs w:val="36"/>
            </w:rPr>
          </w:pPr>
        </w:p>
        <w:p w:rsidR="00D34C6E" w:rsidRPr="006168CE" w:rsidRDefault="00D34C6E" w:rsidP="00D34C6E">
          <w:pPr>
            <w:spacing w:after="0"/>
            <w:jc w:val="center"/>
            <w:rPr>
              <w:rFonts w:asciiTheme="majorHAnsi" w:hAnsiTheme="majorHAnsi"/>
              <w:b/>
              <w:color w:val="244061" w:themeColor="accent1" w:themeShade="80"/>
              <w:sz w:val="50"/>
              <w:szCs w:val="50"/>
            </w:rPr>
          </w:pPr>
          <w:r w:rsidRPr="006168CE">
            <w:rPr>
              <w:rFonts w:asciiTheme="majorHAnsi" w:hAnsiTheme="majorHAnsi"/>
              <w:b/>
              <w:color w:val="244061" w:themeColor="accent1" w:themeShade="80"/>
              <w:sz w:val="50"/>
              <w:szCs w:val="50"/>
            </w:rPr>
            <w:t>MRC 2014 Consumer Satisfaction Survey</w:t>
          </w:r>
        </w:p>
        <w:p w:rsidR="00D34C6E" w:rsidRPr="00567952" w:rsidRDefault="00D34C6E" w:rsidP="00D34C6E">
          <w:pPr>
            <w:spacing w:after="0" w:line="240" w:lineRule="auto"/>
            <w:jc w:val="center"/>
            <w:rPr>
              <w:rFonts w:asciiTheme="majorHAnsi" w:hAnsiTheme="majorHAnsi"/>
              <w:b/>
              <w:color w:val="244061" w:themeColor="accent1" w:themeShade="80"/>
              <w:sz w:val="60"/>
              <w:szCs w:val="60"/>
            </w:rPr>
          </w:pPr>
          <w:r>
            <w:rPr>
              <w:rFonts w:asciiTheme="majorHAnsi" w:hAnsiTheme="majorHAnsi"/>
              <w:b/>
              <w:color w:val="244061" w:themeColor="accent1" w:themeShade="80"/>
              <w:sz w:val="60"/>
              <w:szCs w:val="60"/>
            </w:rPr>
            <w:t>Summary</w:t>
          </w:r>
          <w:r w:rsidRPr="00567952">
            <w:rPr>
              <w:rFonts w:asciiTheme="majorHAnsi" w:hAnsiTheme="majorHAnsi"/>
              <w:b/>
              <w:color w:val="244061" w:themeColor="accent1" w:themeShade="80"/>
              <w:sz w:val="60"/>
              <w:szCs w:val="60"/>
            </w:rPr>
            <w:t xml:space="preserve"> Report</w:t>
          </w:r>
        </w:p>
        <w:p w:rsidR="00D34C6E" w:rsidRPr="009D1B14" w:rsidRDefault="00E840C4" w:rsidP="00D34C6E">
          <w:pPr>
            <w:spacing w:after="0" w:line="240" w:lineRule="auto"/>
            <w:ind w:left="-180" w:right="-180"/>
            <w:rPr>
              <w:rFonts w:asciiTheme="majorHAnsi" w:hAnsiTheme="majorHAnsi"/>
              <w:b/>
              <w:color w:val="244061" w:themeColor="accent1" w:themeShade="80"/>
              <w:sz w:val="16"/>
              <w:szCs w:val="16"/>
            </w:rPr>
          </w:pPr>
          <w:r>
            <w:rPr>
              <w:rFonts w:asciiTheme="majorHAnsi" w:hAnsiTheme="majorHAnsi"/>
              <w:sz w:val="24"/>
              <w:szCs w:val="24"/>
            </w:rPr>
            <w:pict>
              <v:rect id="_x0000_i1025" style="width:470.45pt;height:2pt" o:hrpct="968" o:hralign="center" o:hrstd="t" o:hrnoshade="t" o:hr="t" fillcolor="#243f60 [1604]" stroked="f"/>
            </w:pict>
          </w:r>
        </w:p>
        <w:p w:rsidR="00D34C6E" w:rsidRPr="0084645E" w:rsidRDefault="00D34C6E" w:rsidP="00D34C6E">
          <w:pPr>
            <w:spacing w:after="0" w:line="240" w:lineRule="auto"/>
            <w:rPr>
              <w:rFonts w:asciiTheme="majorHAnsi" w:hAnsiTheme="majorHAnsi"/>
              <w:color w:val="244061" w:themeColor="accent1" w:themeShade="80"/>
              <w:sz w:val="16"/>
              <w:szCs w:val="16"/>
            </w:rPr>
          </w:pPr>
        </w:p>
        <w:p w:rsidR="00D34C6E" w:rsidRDefault="00D34C6E" w:rsidP="00D34C6E">
          <w:pPr>
            <w:spacing w:after="0"/>
            <w:jc w:val="center"/>
            <w:rPr>
              <w:rFonts w:asciiTheme="majorHAnsi" w:hAnsiTheme="majorHAnsi"/>
              <w:b/>
              <w:color w:val="244061" w:themeColor="accent1" w:themeShade="80"/>
              <w:sz w:val="30"/>
              <w:szCs w:val="30"/>
            </w:rPr>
          </w:pPr>
          <w:r>
            <w:rPr>
              <w:rFonts w:asciiTheme="majorHAnsi" w:hAnsiTheme="majorHAnsi"/>
              <w:b/>
              <w:color w:val="244061" w:themeColor="accent1" w:themeShade="80"/>
              <w:sz w:val="30"/>
              <w:szCs w:val="30"/>
            </w:rPr>
            <w:t>Presented to the Massachusetts State Rehabilitation Council (SRC)</w:t>
          </w:r>
        </w:p>
        <w:p w:rsidR="00D34C6E" w:rsidRPr="00CA0718" w:rsidRDefault="00E840C4" w:rsidP="00D34C6E">
          <w:pPr>
            <w:spacing w:after="0" w:line="240" w:lineRule="auto"/>
            <w:rPr>
              <w:rFonts w:asciiTheme="majorHAnsi" w:hAnsiTheme="majorHAnsi"/>
              <w:b/>
              <w:color w:val="0F243E" w:themeColor="text2" w:themeShade="80"/>
              <w:sz w:val="28"/>
              <w:szCs w:val="28"/>
            </w:rPr>
          </w:pPr>
          <w:r>
            <w:rPr>
              <w:rFonts w:asciiTheme="majorHAnsi" w:hAnsiTheme="majorHAnsi"/>
              <w:sz w:val="24"/>
              <w:szCs w:val="24"/>
            </w:rPr>
            <w:pict>
              <v:rect id="_x0000_i1026" style="width:468pt;height:1.5pt" o:hralign="center" o:hrstd="t" o:hrnoshade="t" o:hr="t" fillcolor="#243f60 [1604]" stroked="f"/>
            </w:pict>
          </w:r>
        </w:p>
        <w:p w:rsidR="00D34C6E" w:rsidRDefault="00D34C6E" w:rsidP="00D34C6E">
          <w:pPr>
            <w:rPr>
              <w:rFonts w:asciiTheme="majorHAnsi" w:hAnsiTheme="majorHAnsi"/>
              <w:b/>
              <w:color w:val="0F243E" w:themeColor="text2" w:themeShade="80"/>
              <w:sz w:val="24"/>
              <w:szCs w:val="24"/>
            </w:rPr>
          </w:pPr>
        </w:p>
        <w:p w:rsidR="00D34C6E" w:rsidRPr="00CA0718" w:rsidRDefault="00D34C6E" w:rsidP="00D34C6E">
          <w:pPr>
            <w:rPr>
              <w:rFonts w:asciiTheme="majorHAnsi" w:hAnsiTheme="majorHAnsi"/>
              <w:b/>
              <w:color w:val="0F243E" w:themeColor="text2" w:themeShade="80"/>
              <w:sz w:val="24"/>
              <w:szCs w:val="24"/>
            </w:rPr>
          </w:pPr>
        </w:p>
        <w:p w:rsidR="00D34C6E" w:rsidRDefault="00D34C6E" w:rsidP="00D34C6E">
          <w:pPr>
            <w:rPr>
              <w:rFonts w:asciiTheme="majorHAnsi" w:hAnsiTheme="majorHAnsi"/>
              <w:i/>
              <w:color w:val="D9D9D9" w:themeColor="background1" w:themeShade="D9"/>
              <w:sz w:val="24"/>
              <w:szCs w:val="24"/>
            </w:rPr>
          </w:pPr>
        </w:p>
        <w:p w:rsidR="00D34C6E" w:rsidRPr="00AC723F" w:rsidRDefault="00D34C6E" w:rsidP="00D34C6E">
          <w:pPr>
            <w:spacing w:after="0" w:line="240" w:lineRule="auto"/>
            <w:ind w:left="-90" w:right="-90"/>
            <w:jc w:val="center"/>
            <w:rPr>
              <w:rFonts w:asciiTheme="majorHAnsi" w:hAnsiTheme="majorHAnsi"/>
              <w:b/>
              <w:color w:val="244061" w:themeColor="accent1" w:themeShade="80"/>
              <w:sz w:val="34"/>
              <w:szCs w:val="34"/>
            </w:rPr>
          </w:pPr>
          <w:r w:rsidRPr="00AC723F">
            <w:rPr>
              <w:rFonts w:asciiTheme="majorHAnsi" w:hAnsiTheme="majorHAnsi"/>
              <w:b/>
              <w:color w:val="244061" w:themeColor="accent1" w:themeShade="80"/>
              <w:sz w:val="34"/>
              <w:szCs w:val="34"/>
            </w:rPr>
            <w:t>MRC Research, Development, and Performance Management</w:t>
          </w:r>
        </w:p>
        <w:p w:rsidR="00D34C6E" w:rsidRDefault="00D34C6E" w:rsidP="00D34C6E">
          <w:pPr>
            <w:rPr>
              <w:rFonts w:asciiTheme="majorHAnsi" w:hAnsiTheme="majorHAnsi"/>
              <w:b/>
              <w:color w:val="0F243E" w:themeColor="text2" w:themeShade="80"/>
              <w:sz w:val="28"/>
              <w:szCs w:val="28"/>
            </w:rPr>
          </w:pPr>
        </w:p>
        <w:p w:rsidR="00D34C6E" w:rsidRPr="009D1B14" w:rsidRDefault="00D34C6E" w:rsidP="00D34C6E">
          <w:pPr>
            <w:jc w:val="center"/>
            <w:rPr>
              <w:rFonts w:asciiTheme="majorHAnsi" w:hAnsiTheme="majorHAnsi"/>
              <w:color w:val="244061" w:themeColor="accent1" w:themeShade="80"/>
              <w:sz w:val="30"/>
              <w:szCs w:val="30"/>
            </w:rPr>
          </w:pPr>
          <w:r>
            <w:rPr>
              <w:rFonts w:asciiTheme="majorHAnsi" w:hAnsiTheme="majorHAnsi"/>
              <w:b/>
              <w:color w:val="244061" w:themeColor="accent1" w:themeShade="80"/>
              <w:sz w:val="30"/>
              <w:szCs w:val="30"/>
            </w:rPr>
            <w:t>June</w:t>
          </w:r>
          <w:r w:rsidRPr="009D1B14">
            <w:rPr>
              <w:rFonts w:asciiTheme="majorHAnsi" w:hAnsiTheme="majorHAnsi"/>
              <w:b/>
              <w:color w:val="244061" w:themeColor="accent1" w:themeShade="80"/>
              <w:sz w:val="30"/>
              <w:szCs w:val="30"/>
            </w:rPr>
            <w:t xml:space="preserve"> </w:t>
          </w:r>
          <w:r>
            <w:rPr>
              <w:rFonts w:asciiTheme="majorHAnsi" w:hAnsiTheme="majorHAnsi"/>
              <w:b/>
              <w:color w:val="244061" w:themeColor="accent1" w:themeShade="80"/>
              <w:sz w:val="30"/>
              <w:szCs w:val="30"/>
            </w:rPr>
            <w:t xml:space="preserve">9, </w:t>
          </w:r>
          <w:r w:rsidRPr="009D1B14">
            <w:rPr>
              <w:rFonts w:asciiTheme="majorHAnsi" w:hAnsiTheme="majorHAnsi"/>
              <w:b/>
              <w:color w:val="244061" w:themeColor="accent1" w:themeShade="80"/>
              <w:sz w:val="30"/>
              <w:szCs w:val="30"/>
            </w:rPr>
            <w:t>2015</w:t>
          </w:r>
          <w:r>
            <w:rPr>
              <w:rFonts w:asciiTheme="majorHAnsi" w:hAnsiTheme="majorHAnsi"/>
              <w:b/>
              <w:color w:val="244061" w:themeColor="accent1" w:themeShade="80"/>
              <w:sz w:val="30"/>
              <w:szCs w:val="30"/>
            </w:rPr>
            <w:t xml:space="preserve">   </w:t>
          </w:r>
          <w:r>
            <w:rPr>
              <w:rFonts w:asciiTheme="majorHAnsi" w:hAnsiTheme="majorHAnsi"/>
              <w:b/>
              <w:color w:val="244061" w:themeColor="accent1" w:themeShade="80"/>
              <w:sz w:val="30"/>
              <w:szCs w:val="30"/>
            </w:rPr>
            <w:tab/>
          </w:r>
        </w:p>
      </w:sdtContent>
    </w:sdt>
    <w:p w:rsidR="00D34C6E" w:rsidRDefault="00D34C6E" w:rsidP="005A3877">
      <w:pPr>
        <w:spacing w:after="0" w:line="240" w:lineRule="auto"/>
        <w:rPr>
          <w:rFonts w:asciiTheme="majorHAnsi" w:hAnsiTheme="majorHAnsi"/>
          <w:b/>
          <w:sz w:val="28"/>
          <w:szCs w:val="28"/>
        </w:rPr>
      </w:pPr>
    </w:p>
    <w:p w:rsidR="00D34C6E" w:rsidRDefault="00D34C6E" w:rsidP="005A3877">
      <w:pPr>
        <w:spacing w:after="0" w:line="240" w:lineRule="auto"/>
        <w:rPr>
          <w:rFonts w:asciiTheme="majorHAnsi" w:hAnsiTheme="majorHAnsi"/>
          <w:b/>
          <w:sz w:val="28"/>
          <w:szCs w:val="28"/>
        </w:rPr>
      </w:pPr>
    </w:p>
    <w:p w:rsidR="00D34C6E" w:rsidRDefault="00D34C6E" w:rsidP="005A3877">
      <w:pPr>
        <w:spacing w:after="0" w:line="240" w:lineRule="auto"/>
        <w:rPr>
          <w:rFonts w:asciiTheme="majorHAnsi" w:hAnsiTheme="majorHAnsi"/>
          <w:b/>
          <w:sz w:val="28"/>
          <w:szCs w:val="28"/>
        </w:rPr>
      </w:pPr>
    </w:p>
    <w:p w:rsidR="00BB53E3" w:rsidRDefault="00BB53E3" w:rsidP="00667225">
      <w:pPr>
        <w:spacing w:after="0" w:line="264" w:lineRule="auto"/>
        <w:ind w:right="-540"/>
        <w:rPr>
          <w:rFonts w:asciiTheme="majorHAnsi" w:hAnsiTheme="majorHAnsi"/>
          <w:b/>
          <w:color w:val="244061" w:themeColor="accent1" w:themeShade="80"/>
          <w:sz w:val="24"/>
          <w:szCs w:val="24"/>
        </w:rPr>
      </w:pPr>
    </w:p>
    <w:p w:rsidR="00CA4C06" w:rsidRDefault="004A5CC0" w:rsidP="00667225">
      <w:pPr>
        <w:spacing w:after="0" w:line="264" w:lineRule="auto"/>
        <w:ind w:right="-540"/>
        <w:rPr>
          <w:rFonts w:asciiTheme="majorHAnsi" w:hAnsiTheme="majorHAnsi"/>
          <w:b/>
          <w:color w:val="244061" w:themeColor="accent1" w:themeShade="80"/>
          <w:sz w:val="24"/>
          <w:szCs w:val="24"/>
        </w:rPr>
      </w:pPr>
      <w:r>
        <w:rPr>
          <w:rFonts w:asciiTheme="majorHAnsi" w:hAnsiTheme="majorHAnsi"/>
          <w:b/>
          <w:color w:val="244061" w:themeColor="accent1" w:themeShade="80"/>
          <w:sz w:val="24"/>
          <w:szCs w:val="24"/>
        </w:rPr>
        <w:lastRenderedPageBreak/>
        <w:t>KEY FINDINGS AND RESULTS</w:t>
      </w:r>
    </w:p>
    <w:p w:rsidR="00667225" w:rsidRDefault="00E840C4" w:rsidP="00667225">
      <w:pPr>
        <w:spacing w:after="0" w:line="264" w:lineRule="auto"/>
        <w:ind w:right="-540"/>
        <w:rPr>
          <w:rFonts w:asciiTheme="majorHAnsi" w:hAnsiTheme="majorHAnsi" w:cs="Times New Roman"/>
          <w:color w:val="244061" w:themeColor="accent1" w:themeShade="80"/>
          <w:sz w:val="24"/>
          <w:szCs w:val="24"/>
        </w:rPr>
      </w:pPr>
      <w:r>
        <w:rPr>
          <w:rFonts w:asciiTheme="majorHAnsi" w:hAnsiTheme="majorHAnsi"/>
          <w:sz w:val="24"/>
          <w:szCs w:val="24"/>
        </w:rPr>
        <w:pict>
          <v:rect id="_x0000_i1027" style="width:468pt;height:1.5pt" o:hralign="center" o:hrstd="t" o:hrnoshade="t" o:hr="t" fillcolor="#243f60 [1604]" stroked="f"/>
        </w:pict>
      </w:r>
    </w:p>
    <w:p w:rsidR="00667225" w:rsidRPr="00851F02" w:rsidRDefault="00667225" w:rsidP="00667225">
      <w:pPr>
        <w:spacing w:after="0" w:line="264" w:lineRule="auto"/>
        <w:ind w:right="-540"/>
        <w:rPr>
          <w:rFonts w:asciiTheme="majorHAnsi" w:hAnsiTheme="majorHAnsi" w:cs="Times New Roman"/>
          <w:color w:val="244061" w:themeColor="accent1" w:themeShade="80"/>
          <w:sz w:val="12"/>
          <w:szCs w:val="12"/>
        </w:rPr>
      </w:pPr>
    </w:p>
    <w:p w:rsidR="00B635C1" w:rsidRPr="00D34C6E" w:rsidRDefault="00B635C1" w:rsidP="00B635C1">
      <w:pPr>
        <w:autoSpaceDE w:val="0"/>
        <w:autoSpaceDN w:val="0"/>
        <w:adjustRightInd w:val="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The 2014 MRC consumer satisfaction survey </w:t>
      </w:r>
      <w:r w:rsidR="00356416">
        <w:rPr>
          <w:rFonts w:asciiTheme="majorHAnsi" w:hAnsiTheme="majorHAnsi"/>
          <w:color w:val="244061" w:themeColor="accent1" w:themeShade="80"/>
          <w:sz w:val="24"/>
          <w:szCs w:val="24"/>
        </w:rPr>
        <w:t xml:space="preserve">was the first </w:t>
      </w:r>
      <w:r w:rsidRPr="00D34C6E">
        <w:rPr>
          <w:rFonts w:asciiTheme="majorHAnsi" w:hAnsiTheme="majorHAnsi"/>
          <w:color w:val="244061" w:themeColor="accent1" w:themeShade="80"/>
          <w:sz w:val="24"/>
          <w:szCs w:val="24"/>
        </w:rPr>
        <w:t xml:space="preserve">to be implemented completely online. </w:t>
      </w:r>
      <w:r w:rsidR="00356416" w:rsidRPr="00D34C6E">
        <w:rPr>
          <w:rFonts w:asciiTheme="majorHAnsi" w:hAnsiTheme="majorHAnsi"/>
          <w:color w:val="244061" w:themeColor="accent1" w:themeShade="80"/>
          <w:sz w:val="24"/>
          <w:szCs w:val="24"/>
        </w:rPr>
        <w:t xml:space="preserve">There were 319 responses out of </w:t>
      </w:r>
      <w:r w:rsidR="00A44619">
        <w:rPr>
          <w:rFonts w:asciiTheme="majorHAnsi" w:hAnsiTheme="majorHAnsi"/>
          <w:color w:val="244061" w:themeColor="accent1" w:themeShade="80"/>
          <w:sz w:val="24"/>
          <w:szCs w:val="24"/>
        </w:rPr>
        <w:t xml:space="preserve">a total of </w:t>
      </w:r>
      <w:r w:rsidR="00356416" w:rsidRPr="00D34C6E">
        <w:rPr>
          <w:rFonts w:asciiTheme="majorHAnsi" w:hAnsiTheme="majorHAnsi"/>
          <w:color w:val="244061" w:themeColor="accent1" w:themeShade="80"/>
          <w:sz w:val="24"/>
          <w:szCs w:val="24"/>
        </w:rPr>
        <w:t xml:space="preserve">1,687 survey recipients, achieving a response rate of 19% and </w:t>
      </w:r>
      <w:r w:rsidR="00A44619">
        <w:rPr>
          <w:rFonts w:asciiTheme="majorHAnsi" w:hAnsiTheme="majorHAnsi"/>
          <w:color w:val="244061" w:themeColor="accent1" w:themeShade="80"/>
          <w:sz w:val="24"/>
          <w:szCs w:val="24"/>
        </w:rPr>
        <w:t xml:space="preserve">strong </w:t>
      </w:r>
      <w:r w:rsidR="00356416" w:rsidRPr="00D34C6E">
        <w:rPr>
          <w:rFonts w:asciiTheme="majorHAnsi" w:hAnsiTheme="majorHAnsi"/>
          <w:color w:val="244061" w:themeColor="accent1" w:themeShade="80"/>
          <w:sz w:val="24"/>
          <w:szCs w:val="24"/>
        </w:rPr>
        <w:t>statistical validity</w:t>
      </w:r>
      <w:r w:rsidR="00356416">
        <w:rPr>
          <w:rFonts w:asciiTheme="majorHAnsi" w:hAnsiTheme="majorHAnsi"/>
          <w:color w:val="244061" w:themeColor="accent1" w:themeShade="80"/>
          <w:sz w:val="24"/>
          <w:szCs w:val="24"/>
        </w:rPr>
        <w:t xml:space="preserve">. </w:t>
      </w:r>
      <w:r w:rsidRPr="00D34C6E">
        <w:rPr>
          <w:rFonts w:asciiTheme="majorHAnsi" w:hAnsiTheme="majorHAnsi"/>
          <w:color w:val="244061" w:themeColor="accent1" w:themeShade="80"/>
          <w:sz w:val="24"/>
          <w:szCs w:val="24"/>
        </w:rPr>
        <w:t xml:space="preserve">The </w:t>
      </w:r>
      <w:r w:rsidR="00A44619">
        <w:rPr>
          <w:rFonts w:asciiTheme="majorHAnsi" w:hAnsiTheme="majorHAnsi"/>
          <w:color w:val="244061" w:themeColor="accent1" w:themeShade="80"/>
          <w:sz w:val="24"/>
          <w:szCs w:val="24"/>
        </w:rPr>
        <w:t>relatively high</w:t>
      </w:r>
      <w:r w:rsidRPr="00D34C6E">
        <w:rPr>
          <w:rFonts w:asciiTheme="majorHAnsi" w:hAnsiTheme="majorHAnsi"/>
          <w:color w:val="244061" w:themeColor="accent1" w:themeShade="80"/>
          <w:sz w:val="24"/>
          <w:szCs w:val="24"/>
        </w:rPr>
        <w:t xml:space="preserve"> response </w:t>
      </w:r>
      <w:r w:rsidR="00356416">
        <w:rPr>
          <w:rFonts w:asciiTheme="majorHAnsi" w:hAnsiTheme="majorHAnsi"/>
          <w:color w:val="244061" w:themeColor="accent1" w:themeShade="80"/>
          <w:sz w:val="24"/>
          <w:szCs w:val="24"/>
        </w:rPr>
        <w:t>demonstrates</w:t>
      </w:r>
      <w:r w:rsidRPr="00D34C6E">
        <w:rPr>
          <w:rFonts w:asciiTheme="majorHAnsi" w:hAnsiTheme="majorHAnsi"/>
          <w:color w:val="244061" w:themeColor="accent1" w:themeShade="80"/>
          <w:sz w:val="24"/>
          <w:szCs w:val="24"/>
        </w:rPr>
        <w:t xml:space="preserve"> the viability of conducting an all-online satisfaction survey</w:t>
      </w:r>
      <w:r w:rsidR="008E6253">
        <w:rPr>
          <w:rFonts w:asciiTheme="majorHAnsi" w:hAnsiTheme="majorHAnsi"/>
          <w:color w:val="244061" w:themeColor="accent1" w:themeShade="80"/>
          <w:sz w:val="24"/>
          <w:szCs w:val="24"/>
        </w:rPr>
        <w:t xml:space="preserve"> using email addresses</w:t>
      </w:r>
      <w:r w:rsidRPr="00D34C6E">
        <w:rPr>
          <w:rFonts w:asciiTheme="majorHAnsi" w:hAnsiTheme="majorHAnsi"/>
          <w:color w:val="244061" w:themeColor="accent1" w:themeShade="80"/>
          <w:sz w:val="24"/>
          <w:szCs w:val="24"/>
        </w:rPr>
        <w:t>. In addition, new survey questi</w:t>
      </w:r>
      <w:r w:rsidR="008E6253">
        <w:rPr>
          <w:rFonts w:asciiTheme="majorHAnsi" w:hAnsiTheme="majorHAnsi"/>
          <w:color w:val="244061" w:themeColor="accent1" w:themeShade="80"/>
          <w:sz w:val="24"/>
          <w:szCs w:val="24"/>
        </w:rPr>
        <w:t xml:space="preserve">ons yielded valuable data on </w:t>
      </w:r>
      <w:r w:rsidRPr="00D34C6E">
        <w:rPr>
          <w:rFonts w:asciiTheme="majorHAnsi" w:hAnsiTheme="majorHAnsi"/>
          <w:color w:val="244061" w:themeColor="accent1" w:themeShade="80"/>
          <w:sz w:val="24"/>
          <w:szCs w:val="24"/>
        </w:rPr>
        <w:t xml:space="preserve">consumer outcomes. </w:t>
      </w:r>
    </w:p>
    <w:p w:rsidR="00B635C1" w:rsidRPr="00D34C6E" w:rsidRDefault="00B635C1" w:rsidP="000433E7">
      <w:pPr>
        <w:pStyle w:val="ListParagraph"/>
        <w:numPr>
          <w:ilvl w:val="0"/>
          <w:numId w:val="1"/>
        </w:numPr>
        <w:spacing w:after="0" w:line="264" w:lineRule="auto"/>
        <w:ind w:left="180" w:right="-540" w:hanging="18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A large majority of MRC consumers, 84%, were satisfied with MRC services overall. About 49% (very close to half) were very satisfied</w:t>
      </w:r>
      <w:r w:rsidR="00356416">
        <w:rPr>
          <w:rFonts w:asciiTheme="majorHAnsi" w:hAnsiTheme="majorHAnsi"/>
          <w:color w:val="244061" w:themeColor="accent1" w:themeShade="80"/>
          <w:sz w:val="24"/>
          <w:szCs w:val="24"/>
        </w:rPr>
        <w:t>.</w:t>
      </w:r>
    </w:p>
    <w:p w:rsidR="00B635C1" w:rsidRPr="00D34C6E" w:rsidRDefault="00B635C1" w:rsidP="000433E7">
      <w:pPr>
        <w:pStyle w:val="ListParagraph"/>
        <w:numPr>
          <w:ilvl w:val="0"/>
          <w:numId w:val="1"/>
        </w:numPr>
        <w:spacing w:after="0" w:line="288" w:lineRule="auto"/>
        <w:ind w:left="180" w:hanging="180"/>
        <w:rPr>
          <w:rFonts w:asciiTheme="majorHAnsi" w:hAnsiTheme="majorHAnsi"/>
          <w:b/>
          <w:color w:val="244061" w:themeColor="accent1" w:themeShade="80"/>
          <w:sz w:val="24"/>
          <w:szCs w:val="24"/>
        </w:rPr>
      </w:pPr>
      <w:r w:rsidRPr="00D34C6E">
        <w:rPr>
          <w:rFonts w:asciiTheme="majorHAnsi" w:hAnsiTheme="majorHAnsi"/>
          <w:color w:val="244061" w:themeColor="accent1" w:themeShade="80"/>
          <w:sz w:val="24"/>
          <w:szCs w:val="24"/>
        </w:rPr>
        <w:t>About 80% of respondents would encourage others with disabilities to go to the MRC for training or employment services.</w:t>
      </w:r>
    </w:p>
    <w:p w:rsidR="00B635C1" w:rsidRPr="00D34C6E" w:rsidRDefault="00B635C1" w:rsidP="000433E7">
      <w:pPr>
        <w:pStyle w:val="ListParagraph"/>
        <w:numPr>
          <w:ilvl w:val="0"/>
          <w:numId w:val="1"/>
        </w:numPr>
        <w:spacing w:after="0" w:line="264" w:lineRule="auto"/>
        <w:ind w:left="180" w:right="-540" w:hanging="180"/>
        <w:rPr>
          <w:rFonts w:asciiTheme="majorHAnsi" w:hAnsiTheme="majorHAnsi"/>
          <w:b/>
          <w:color w:val="244061" w:themeColor="accent1" w:themeShade="80"/>
          <w:sz w:val="24"/>
          <w:szCs w:val="24"/>
        </w:rPr>
      </w:pPr>
      <w:r w:rsidRPr="00D34C6E">
        <w:rPr>
          <w:rFonts w:asciiTheme="majorHAnsi" w:hAnsiTheme="majorHAnsi"/>
          <w:color w:val="244061" w:themeColor="accent1" w:themeShade="80"/>
          <w:sz w:val="24"/>
          <w:szCs w:val="24"/>
        </w:rPr>
        <w:t>About 83% of respondents were satisfied that MRC services assisted them in becoming more independent (44% were very satisfied, 27% were satisfied, and 12% somewhat satisfied).</w:t>
      </w:r>
    </w:p>
    <w:p w:rsidR="00B635C1" w:rsidRPr="00D34C6E" w:rsidRDefault="00B635C1" w:rsidP="000433E7">
      <w:pPr>
        <w:pStyle w:val="ListParagraph"/>
        <w:numPr>
          <w:ilvl w:val="0"/>
          <w:numId w:val="1"/>
        </w:numPr>
        <w:spacing w:after="0" w:line="264" w:lineRule="auto"/>
        <w:ind w:left="180" w:right="-540" w:hanging="180"/>
        <w:rPr>
          <w:rFonts w:asciiTheme="majorHAnsi" w:hAnsiTheme="majorHAnsi"/>
          <w:b/>
          <w:color w:val="244061" w:themeColor="accent1" w:themeShade="80"/>
          <w:sz w:val="24"/>
          <w:szCs w:val="24"/>
        </w:rPr>
      </w:pPr>
      <w:r w:rsidRPr="00D34C6E">
        <w:rPr>
          <w:rFonts w:asciiTheme="majorHAnsi" w:hAnsiTheme="majorHAnsi"/>
          <w:color w:val="244061" w:themeColor="accent1" w:themeShade="80"/>
          <w:sz w:val="24"/>
          <w:szCs w:val="24"/>
        </w:rPr>
        <w:t xml:space="preserve">71% of respondents (224 individuals) reported that they had a job. </w:t>
      </w:r>
    </w:p>
    <w:p w:rsidR="00B635C1" w:rsidRPr="00D34C6E" w:rsidRDefault="00B635C1" w:rsidP="000433E7">
      <w:pPr>
        <w:pStyle w:val="ListParagraph"/>
        <w:numPr>
          <w:ilvl w:val="0"/>
          <w:numId w:val="1"/>
        </w:numPr>
        <w:spacing w:after="0" w:line="288" w:lineRule="auto"/>
        <w:ind w:left="180" w:hanging="18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88% of respondents with a job were satisfied with their job</w:t>
      </w:r>
      <w:r w:rsidR="00356416">
        <w:rPr>
          <w:rFonts w:asciiTheme="majorHAnsi" w:hAnsiTheme="majorHAnsi"/>
          <w:color w:val="244061" w:themeColor="accent1" w:themeShade="80"/>
          <w:sz w:val="24"/>
          <w:szCs w:val="24"/>
        </w:rPr>
        <w:t xml:space="preserve"> </w:t>
      </w:r>
      <w:r w:rsidRPr="00D34C6E">
        <w:rPr>
          <w:rFonts w:asciiTheme="majorHAnsi" w:hAnsiTheme="majorHAnsi"/>
          <w:color w:val="244061" w:themeColor="accent1" w:themeShade="80"/>
          <w:sz w:val="24"/>
          <w:szCs w:val="24"/>
        </w:rPr>
        <w:t xml:space="preserve">(38% </w:t>
      </w:r>
      <w:r w:rsidR="00356416">
        <w:rPr>
          <w:rFonts w:asciiTheme="majorHAnsi" w:hAnsiTheme="majorHAnsi"/>
          <w:color w:val="244061" w:themeColor="accent1" w:themeShade="80"/>
          <w:sz w:val="24"/>
          <w:szCs w:val="24"/>
        </w:rPr>
        <w:t xml:space="preserve">were </w:t>
      </w:r>
      <w:r w:rsidRPr="00D34C6E">
        <w:rPr>
          <w:rFonts w:asciiTheme="majorHAnsi" w:hAnsiTheme="majorHAnsi"/>
          <w:color w:val="244061" w:themeColor="accent1" w:themeShade="80"/>
          <w:sz w:val="24"/>
          <w:szCs w:val="24"/>
        </w:rPr>
        <w:t>very satisfied</w:t>
      </w:r>
      <w:r w:rsidR="00356416">
        <w:rPr>
          <w:rFonts w:asciiTheme="majorHAnsi" w:hAnsiTheme="majorHAnsi"/>
          <w:color w:val="244061" w:themeColor="accent1" w:themeShade="80"/>
          <w:sz w:val="24"/>
          <w:szCs w:val="24"/>
        </w:rPr>
        <w:t xml:space="preserve">). </w:t>
      </w:r>
    </w:p>
    <w:p w:rsidR="00B635C1" w:rsidRPr="00D34C6E" w:rsidRDefault="00B635C1" w:rsidP="000433E7">
      <w:pPr>
        <w:pStyle w:val="ListParagraph"/>
        <w:numPr>
          <w:ilvl w:val="0"/>
          <w:numId w:val="1"/>
        </w:numPr>
        <w:spacing w:after="0" w:line="264" w:lineRule="auto"/>
        <w:ind w:left="180" w:right="-540" w:hanging="18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About 84% of respondents were satisfied that their job matched the goals developed in their MRC employment plan (38% were very satisfied in this regard). </w:t>
      </w:r>
    </w:p>
    <w:p w:rsidR="00B635C1" w:rsidRPr="00D34C6E" w:rsidRDefault="00B635C1" w:rsidP="000433E7">
      <w:pPr>
        <w:pStyle w:val="ListParagraph"/>
        <w:numPr>
          <w:ilvl w:val="0"/>
          <w:numId w:val="1"/>
        </w:numPr>
        <w:spacing w:after="0" w:line="288" w:lineRule="auto"/>
        <w:ind w:left="180" w:hanging="18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A majority of respondents with jobs (38%) work more than 35 hours per week. The next largest group with jobs (14.5%) work 16-20 hours per week.</w:t>
      </w:r>
      <w:r w:rsidRPr="00D34C6E">
        <w:rPr>
          <w:rFonts w:asciiTheme="majorHAnsi" w:hAnsiTheme="majorHAnsi"/>
          <w:noProof/>
          <w:color w:val="244061" w:themeColor="accent1" w:themeShade="80"/>
          <w:sz w:val="24"/>
          <w:szCs w:val="24"/>
        </w:rPr>
        <w:t xml:space="preserve"> </w:t>
      </w:r>
    </w:p>
    <w:p w:rsidR="00B635C1" w:rsidRPr="00D34C6E" w:rsidRDefault="00B635C1" w:rsidP="000433E7">
      <w:pPr>
        <w:pStyle w:val="ListParagraph"/>
        <w:numPr>
          <w:ilvl w:val="0"/>
          <w:numId w:val="1"/>
        </w:numPr>
        <w:spacing w:after="0" w:line="288" w:lineRule="auto"/>
        <w:ind w:left="180" w:hanging="18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The majority of respondents with jobs earn between $12 and $20 per hour. (</w:t>
      </w:r>
      <w:r w:rsidR="00E55B44">
        <w:rPr>
          <w:rFonts w:asciiTheme="majorHAnsi" w:hAnsiTheme="majorHAnsi"/>
          <w:color w:val="244061" w:themeColor="accent1" w:themeShade="80"/>
          <w:sz w:val="24"/>
          <w:szCs w:val="24"/>
        </w:rPr>
        <w:t>27</w:t>
      </w:r>
      <w:r w:rsidRPr="00D34C6E">
        <w:rPr>
          <w:rFonts w:asciiTheme="majorHAnsi" w:hAnsiTheme="majorHAnsi"/>
          <w:color w:val="244061" w:themeColor="accent1" w:themeShade="80"/>
          <w:sz w:val="24"/>
          <w:szCs w:val="24"/>
        </w:rPr>
        <w:t>% earn $12 to $14 an hour, 23% earn $9 to $11 an hour, and 20% earn $15 to $20 an hour.)</w:t>
      </w:r>
    </w:p>
    <w:p w:rsidR="00B635C1" w:rsidRPr="00D34C6E" w:rsidRDefault="00E55B44" w:rsidP="000433E7">
      <w:pPr>
        <w:pStyle w:val="ListParagraph"/>
        <w:numPr>
          <w:ilvl w:val="0"/>
          <w:numId w:val="1"/>
        </w:numPr>
        <w:spacing w:after="0" w:line="288" w:lineRule="auto"/>
        <w:ind w:left="180" w:hanging="180"/>
        <w:rPr>
          <w:rFonts w:asciiTheme="majorHAnsi" w:hAnsiTheme="majorHAnsi"/>
          <w:color w:val="244061" w:themeColor="accent1" w:themeShade="80"/>
          <w:sz w:val="24"/>
          <w:szCs w:val="24"/>
        </w:rPr>
      </w:pPr>
      <w:r>
        <w:rPr>
          <w:rFonts w:asciiTheme="majorHAnsi" w:hAnsiTheme="majorHAnsi"/>
          <w:color w:val="244061" w:themeColor="accent1" w:themeShade="80"/>
          <w:sz w:val="24"/>
          <w:szCs w:val="24"/>
        </w:rPr>
        <w:t>83</w:t>
      </w:r>
      <w:r w:rsidR="00B635C1" w:rsidRPr="00D34C6E">
        <w:rPr>
          <w:rFonts w:asciiTheme="majorHAnsi" w:hAnsiTheme="majorHAnsi"/>
          <w:color w:val="244061" w:themeColor="accent1" w:themeShade="80"/>
          <w:sz w:val="24"/>
          <w:szCs w:val="24"/>
        </w:rPr>
        <w:t>% of respondents were satisfied with the ability of the MRC to identify their interests, str</w:t>
      </w:r>
      <w:r>
        <w:rPr>
          <w:rFonts w:asciiTheme="majorHAnsi" w:hAnsiTheme="majorHAnsi"/>
          <w:color w:val="244061" w:themeColor="accent1" w:themeShade="80"/>
          <w:sz w:val="24"/>
          <w:szCs w:val="24"/>
        </w:rPr>
        <w:t>engths, and employment goals (40</w:t>
      </w:r>
      <w:r w:rsidR="00B635C1" w:rsidRPr="00D34C6E">
        <w:rPr>
          <w:rFonts w:asciiTheme="majorHAnsi" w:hAnsiTheme="majorHAnsi"/>
          <w:color w:val="244061" w:themeColor="accent1" w:themeShade="80"/>
          <w:sz w:val="24"/>
          <w:szCs w:val="24"/>
        </w:rPr>
        <w:t>% of respondents were very satisfied in this regard).</w:t>
      </w:r>
    </w:p>
    <w:p w:rsidR="00B635C1" w:rsidRPr="00D34C6E" w:rsidRDefault="00B635C1" w:rsidP="000433E7">
      <w:pPr>
        <w:pStyle w:val="ListParagraph"/>
        <w:numPr>
          <w:ilvl w:val="0"/>
          <w:numId w:val="1"/>
        </w:numPr>
        <w:spacing w:after="0" w:line="288" w:lineRule="auto"/>
        <w:ind w:left="180" w:hanging="18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Overall, 82.5% were satisfied with the employment plan that they developed with their MRC counselor (42% were very satisfied, 24% were satisfied, and 15.5% were somewhat satisfied with their employment plan.) </w:t>
      </w:r>
    </w:p>
    <w:p w:rsidR="00B635C1" w:rsidRPr="00D34C6E" w:rsidRDefault="00B635C1" w:rsidP="000433E7">
      <w:pPr>
        <w:pStyle w:val="ListParagraph"/>
        <w:numPr>
          <w:ilvl w:val="0"/>
          <w:numId w:val="1"/>
        </w:numPr>
        <w:spacing w:after="0" w:line="288" w:lineRule="auto"/>
        <w:ind w:left="180" w:hanging="18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Overall, 82.5% were satisfied with their level of participation in their employment plan (40.5% were very satisfied, 27.5% satisfied, and 14.5% somewhat satisfied).</w:t>
      </w:r>
    </w:p>
    <w:p w:rsidR="00B635C1" w:rsidRPr="00D34C6E" w:rsidRDefault="00B635C1" w:rsidP="000433E7">
      <w:pPr>
        <w:pStyle w:val="ListParagraph"/>
        <w:numPr>
          <w:ilvl w:val="0"/>
          <w:numId w:val="1"/>
        </w:numPr>
        <w:spacing w:after="240"/>
        <w:ind w:left="180" w:hanging="180"/>
        <w:rPr>
          <w:rFonts w:asciiTheme="majorHAnsi" w:hAnsiTheme="majorHAnsi" w:cs="Arial"/>
          <w:color w:val="244061" w:themeColor="accent1" w:themeShade="80"/>
          <w:sz w:val="24"/>
          <w:szCs w:val="24"/>
          <w:lang w:val="en"/>
        </w:rPr>
      </w:pPr>
      <w:r w:rsidRPr="00D34C6E">
        <w:rPr>
          <w:rFonts w:asciiTheme="majorHAnsi" w:hAnsiTheme="majorHAnsi" w:cs="Arial"/>
          <w:color w:val="244061" w:themeColor="accent1" w:themeShade="80"/>
          <w:sz w:val="24"/>
          <w:szCs w:val="24"/>
          <w:lang w:val="en"/>
        </w:rPr>
        <w:t>A majority of respondents were very satisfied with the kinds of job leads they received through the MRC. Overall, about 70% of respondents were satisfied with their job leads.</w:t>
      </w:r>
    </w:p>
    <w:p w:rsidR="00B635C1" w:rsidRPr="00D34C6E" w:rsidRDefault="00B635C1" w:rsidP="000433E7">
      <w:pPr>
        <w:pStyle w:val="ListParagraph"/>
        <w:numPr>
          <w:ilvl w:val="0"/>
          <w:numId w:val="1"/>
        </w:numPr>
        <w:spacing w:after="240"/>
        <w:ind w:left="180" w:hanging="180"/>
        <w:rPr>
          <w:rFonts w:asciiTheme="majorHAnsi" w:hAnsiTheme="majorHAnsi" w:cs="Arial"/>
          <w:color w:val="244061" w:themeColor="accent1" w:themeShade="80"/>
          <w:sz w:val="24"/>
          <w:szCs w:val="24"/>
          <w:lang w:val="en"/>
        </w:rPr>
      </w:pPr>
      <w:r w:rsidRPr="00D34C6E">
        <w:rPr>
          <w:rFonts w:asciiTheme="majorHAnsi" w:hAnsiTheme="majorHAnsi" w:cs="Arial"/>
          <w:color w:val="244061" w:themeColor="accent1" w:themeShade="80"/>
          <w:sz w:val="24"/>
          <w:szCs w:val="24"/>
          <w:lang w:val="en"/>
        </w:rPr>
        <w:t>A majority of respondents (67%) were very satisfied with the number of job interviews they received through the MRC.</w:t>
      </w:r>
    </w:p>
    <w:p w:rsidR="00356416" w:rsidRPr="00356416" w:rsidRDefault="00B635C1" w:rsidP="000433E7">
      <w:pPr>
        <w:pStyle w:val="ListParagraph"/>
        <w:numPr>
          <w:ilvl w:val="0"/>
          <w:numId w:val="1"/>
        </w:numPr>
        <w:spacing w:after="0" w:line="264" w:lineRule="auto"/>
        <w:ind w:left="180" w:right="-540" w:hanging="180"/>
        <w:rPr>
          <w:rFonts w:asciiTheme="majorHAnsi" w:hAnsiTheme="majorHAnsi" w:cs="Times New Roman"/>
          <w:color w:val="244061" w:themeColor="accent1" w:themeShade="80"/>
          <w:sz w:val="24"/>
          <w:szCs w:val="24"/>
        </w:rPr>
      </w:pPr>
      <w:r w:rsidRPr="00D34C6E">
        <w:rPr>
          <w:rFonts w:asciiTheme="majorHAnsi" w:hAnsiTheme="majorHAnsi" w:cs="Times New Roman"/>
          <w:bCs/>
          <w:color w:val="244061" w:themeColor="accent1" w:themeShade="80"/>
          <w:sz w:val="24"/>
          <w:szCs w:val="24"/>
        </w:rPr>
        <w:t>About 79% of survey respondents were satisfied with the promptness of services at the MRC.</w:t>
      </w:r>
    </w:p>
    <w:p w:rsidR="00CC0FB5" w:rsidRDefault="00CC0FB5" w:rsidP="00356416">
      <w:pPr>
        <w:spacing w:after="0" w:line="264" w:lineRule="auto"/>
        <w:ind w:right="-540"/>
        <w:rPr>
          <w:rFonts w:asciiTheme="majorHAnsi" w:hAnsiTheme="majorHAnsi"/>
          <w:b/>
          <w:color w:val="244061" w:themeColor="accent1" w:themeShade="80"/>
          <w:sz w:val="24"/>
          <w:szCs w:val="24"/>
        </w:rPr>
      </w:pPr>
    </w:p>
    <w:p w:rsidR="00CA4C06" w:rsidRDefault="00CA4C06" w:rsidP="00356416">
      <w:pPr>
        <w:spacing w:after="0" w:line="264" w:lineRule="auto"/>
        <w:ind w:right="-540"/>
        <w:rPr>
          <w:rFonts w:asciiTheme="majorHAnsi" w:hAnsiTheme="majorHAnsi"/>
          <w:b/>
          <w:color w:val="244061" w:themeColor="accent1" w:themeShade="80"/>
          <w:sz w:val="24"/>
          <w:szCs w:val="24"/>
        </w:rPr>
      </w:pPr>
    </w:p>
    <w:p w:rsidR="00CA4C06" w:rsidRDefault="00CA4C06" w:rsidP="00356416">
      <w:pPr>
        <w:spacing w:after="0" w:line="264" w:lineRule="auto"/>
        <w:ind w:right="-540"/>
        <w:rPr>
          <w:rFonts w:asciiTheme="majorHAnsi" w:hAnsiTheme="majorHAnsi"/>
          <w:b/>
          <w:color w:val="244061" w:themeColor="accent1" w:themeShade="80"/>
          <w:sz w:val="24"/>
          <w:szCs w:val="24"/>
        </w:rPr>
      </w:pPr>
    </w:p>
    <w:p w:rsidR="00CA4C06" w:rsidRDefault="00CA4C06" w:rsidP="00356416">
      <w:pPr>
        <w:spacing w:after="0" w:line="264" w:lineRule="auto"/>
        <w:ind w:right="-540"/>
        <w:rPr>
          <w:rFonts w:asciiTheme="majorHAnsi" w:hAnsiTheme="majorHAnsi"/>
          <w:b/>
          <w:color w:val="244061" w:themeColor="accent1" w:themeShade="80"/>
          <w:sz w:val="24"/>
          <w:szCs w:val="24"/>
        </w:rPr>
      </w:pPr>
    </w:p>
    <w:p w:rsidR="00CA4C06" w:rsidRDefault="00CA4C06" w:rsidP="00356416">
      <w:pPr>
        <w:spacing w:after="0" w:line="264" w:lineRule="auto"/>
        <w:ind w:right="-540"/>
        <w:rPr>
          <w:rFonts w:asciiTheme="majorHAnsi" w:hAnsiTheme="majorHAnsi"/>
          <w:b/>
          <w:color w:val="244061" w:themeColor="accent1" w:themeShade="80"/>
          <w:sz w:val="24"/>
          <w:szCs w:val="24"/>
        </w:rPr>
      </w:pPr>
    </w:p>
    <w:p w:rsidR="00CA4C06" w:rsidRDefault="004A5CC0" w:rsidP="00356416">
      <w:pPr>
        <w:spacing w:after="0" w:line="264" w:lineRule="auto"/>
        <w:ind w:right="-540"/>
        <w:rPr>
          <w:rFonts w:asciiTheme="majorHAnsi" w:hAnsiTheme="majorHAnsi"/>
          <w:b/>
          <w:color w:val="244061" w:themeColor="accent1" w:themeShade="80"/>
          <w:sz w:val="24"/>
          <w:szCs w:val="24"/>
        </w:rPr>
      </w:pPr>
      <w:r w:rsidRPr="00356416">
        <w:rPr>
          <w:rFonts w:asciiTheme="majorHAnsi" w:hAnsiTheme="majorHAnsi"/>
          <w:b/>
          <w:color w:val="244061" w:themeColor="accent1" w:themeShade="80"/>
          <w:sz w:val="24"/>
          <w:szCs w:val="24"/>
        </w:rPr>
        <w:lastRenderedPageBreak/>
        <w:t xml:space="preserve">BACKGROUND </w:t>
      </w:r>
      <w:r w:rsidRPr="00356416">
        <w:rPr>
          <w:rFonts w:asciiTheme="majorHAnsi" w:hAnsiTheme="majorHAnsi"/>
          <w:b/>
          <w:i/>
          <w:color w:val="244061" w:themeColor="accent1" w:themeShade="80"/>
          <w:sz w:val="24"/>
          <w:szCs w:val="24"/>
        </w:rPr>
        <w:t>&amp;</w:t>
      </w:r>
      <w:r w:rsidRPr="00356416">
        <w:rPr>
          <w:rFonts w:asciiTheme="majorHAnsi" w:hAnsiTheme="majorHAnsi"/>
          <w:color w:val="244061" w:themeColor="accent1" w:themeShade="80"/>
          <w:sz w:val="24"/>
          <w:szCs w:val="24"/>
        </w:rPr>
        <w:t xml:space="preserve"> </w:t>
      </w:r>
      <w:r w:rsidRPr="00356416">
        <w:rPr>
          <w:rFonts w:asciiTheme="majorHAnsi" w:hAnsiTheme="majorHAnsi"/>
          <w:b/>
          <w:color w:val="244061" w:themeColor="accent1" w:themeShade="80"/>
          <w:sz w:val="24"/>
          <w:szCs w:val="24"/>
        </w:rPr>
        <w:t>METHODOLOGY</w:t>
      </w:r>
    </w:p>
    <w:p w:rsidR="000433E7" w:rsidRPr="00356416" w:rsidRDefault="00E840C4" w:rsidP="00356416">
      <w:pPr>
        <w:spacing w:after="0" w:line="264" w:lineRule="auto"/>
        <w:ind w:right="-540"/>
        <w:rPr>
          <w:rFonts w:asciiTheme="majorHAnsi" w:hAnsiTheme="majorHAnsi" w:cs="Times New Roman"/>
          <w:color w:val="244061" w:themeColor="accent1" w:themeShade="80"/>
          <w:sz w:val="24"/>
          <w:szCs w:val="24"/>
        </w:rPr>
      </w:pPr>
      <w:r>
        <w:rPr>
          <w:rFonts w:asciiTheme="majorHAnsi" w:hAnsiTheme="majorHAnsi"/>
          <w:sz w:val="24"/>
          <w:szCs w:val="24"/>
        </w:rPr>
        <w:pict>
          <v:rect id="_x0000_i1028" style="width:468pt;height:1.5pt" o:hralign="center" o:hrstd="t" o:hrnoshade="t" o:hr="t" fillcolor="#243f60 [1604]" stroked="f"/>
        </w:pict>
      </w:r>
    </w:p>
    <w:p w:rsidR="000433E7" w:rsidRPr="00851F02" w:rsidRDefault="000433E7" w:rsidP="000433E7">
      <w:pPr>
        <w:spacing w:after="0" w:line="240" w:lineRule="auto"/>
        <w:rPr>
          <w:rFonts w:asciiTheme="majorHAnsi" w:hAnsiTheme="majorHAnsi"/>
          <w:b/>
          <w:color w:val="244061" w:themeColor="accent1" w:themeShade="80"/>
          <w:sz w:val="12"/>
          <w:szCs w:val="12"/>
        </w:rPr>
      </w:pPr>
    </w:p>
    <w:p w:rsidR="000433E7" w:rsidRPr="00D34C6E" w:rsidRDefault="000433E7" w:rsidP="00682443">
      <w:pPr>
        <w:ind w:right="-18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The Massachusetts Rehabilitation Commission’s (MRC) Research, Development, and Performance Management Department works with the Consumer Satisfaction Committee of the State Rehabilitation Council (SRC) to implement the annual Consumer Satisfaction Survey and survey report. The Consumer Satisfaction Committee is a standing committee of the SRC that meets regularly to monitor the mandated Consumer Satisfaction Survey. </w:t>
      </w:r>
      <w:r w:rsidR="00682443" w:rsidRPr="00D34C6E">
        <w:rPr>
          <w:rFonts w:asciiTheme="majorHAnsi" w:hAnsiTheme="majorHAnsi"/>
          <w:color w:val="244061" w:themeColor="accent1" w:themeShade="80"/>
          <w:sz w:val="24"/>
          <w:szCs w:val="24"/>
        </w:rPr>
        <w:t>Results and preliminary drafts of this survey report were shared and discussed with the Consumer Satisfaction Committee.</w:t>
      </w:r>
    </w:p>
    <w:p w:rsidR="000433E7" w:rsidRPr="00D34C6E" w:rsidRDefault="000433E7" w:rsidP="000433E7">
      <w:pPr>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The annual Consumer Satisfaction Survey measures consumer satisfaction with</w:t>
      </w:r>
      <w:r w:rsidR="00CC0FB5">
        <w:rPr>
          <w:rFonts w:asciiTheme="majorHAnsi" w:hAnsiTheme="majorHAnsi"/>
          <w:color w:val="244061" w:themeColor="accent1" w:themeShade="80"/>
          <w:sz w:val="24"/>
          <w:szCs w:val="24"/>
        </w:rPr>
        <w:t xml:space="preserve"> the MRC</w:t>
      </w:r>
      <w:r w:rsidRPr="00D34C6E">
        <w:rPr>
          <w:rFonts w:asciiTheme="majorHAnsi" w:hAnsiTheme="majorHAnsi"/>
          <w:color w:val="244061" w:themeColor="accent1" w:themeShade="80"/>
          <w:sz w:val="24"/>
          <w:szCs w:val="24"/>
        </w:rPr>
        <w:t>’s VR programs and services</w:t>
      </w:r>
      <w:r w:rsidR="00CC0FB5">
        <w:rPr>
          <w:rFonts w:asciiTheme="majorHAnsi" w:hAnsiTheme="majorHAnsi"/>
          <w:color w:val="244061" w:themeColor="accent1" w:themeShade="80"/>
          <w:sz w:val="24"/>
          <w:szCs w:val="24"/>
        </w:rPr>
        <w:t xml:space="preserve">, </w:t>
      </w:r>
      <w:r w:rsidRPr="00D34C6E">
        <w:rPr>
          <w:rFonts w:asciiTheme="majorHAnsi" w:hAnsiTheme="majorHAnsi"/>
          <w:color w:val="244061" w:themeColor="accent1" w:themeShade="80"/>
          <w:sz w:val="24"/>
          <w:szCs w:val="24"/>
        </w:rPr>
        <w:t>supports the quality improvement and evaluation activities of the MRC</w:t>
      </w:r>
      <w:r w:rsidR="00CC0FB5">
        <w:rPr>
          <w:rFonts w:asciiTheme="majorHAnsi" w:hAnsiTheme="majorHAnsi"/>
          <w:color w:val="244061" w:themeColor="accent1" w:themeShade="80"/>
          <w:sz w:val="24"/>
          <w:szCs w:val="24"/>
        </w:rPr>
        <w:t>, and</w:t>
      </w:r>
      <w:r w:rsidRPr="00D34C6E">
        <w:rPr>
          <w:rFonts w:asciiTheme="majorHAnsi" w:hAnsiTheme="majorHAnsi"/>
          <w:color w:val="244061" w:themeColor="accent1" w:themeShade="80"/>
          <w:sz w:val="24"/>
          <w:szCs w:val="24"/>
        </w:rPr>
        <w:t xml:space="preserve"> makes up part of the Comprehensive Statewide Needs Assessment (CSNA) process. The survey is intended for all MRC consumers whose cases were closed in “Status 26” or “Status 28” in the prior federal fiscal year (between October 1</w:t>
      </w:r>
      <w:r w:rsidRPr="00D34C6E">
        <w:rPr>
          <w:rFonts w:asciiTheme="majorHAnsi" w:hAnsiTheme="majorHAnsi"/>
          <w:color w:val="244061" w:themeColor="accent1" w:themeShade="80"/>
          <w:sz w:val="24"/>
          <w:szCs w:val="24"/>
          <w:vertAlign w:val="superscript"/>
        </w:rPr>
        <w:t>st</w:t>
      </w:r>
      <w:r w:rsidRPr="00D34C6E">
        <w:rPr>
          <w:rFonts w:asciiTheme="majorHAnsi" w:hAnsiTheme="majorHAnsi"/>
          <w:color w:val="244061" w:themeColor="accent1" w:themeShade="80"/>
          <w:sz w:val="24"/>
          <w:szCs w:val="24"/>
        </w:rPr>
        <w:t xml:space="preserve"> and September 30</w:t>
      </w:r>
      <w:r w:rsidRPr="00D34C6E">
        <w:rPr>
          <w:rFonts w:asciiTheme="majorHAnsi" w:hAnsiTheme="majorHAnsi"/>
          <w:color w:val="244061" w:themeColor="accent1" w:themeShade="80"/>
          <w:sz w:val="24"/>
          <w:szCs w:val="24"/>
          <w:vertAlign w:val="superscript"/>
        </w:rPr>
        <w:t>th</w:t>
      </w:r>
      <w:r w:rsidRPr="00D34C6E">
        <w:rPr>
          <w:rFonts w:asciiTheme="majorHAnsi" w:hAnsiTheme="majorHAnsi"/>
          <w:color w:val="244061" w:themeColor="accent1" w:themeShade="80"/>
          <w:sz w:val="24"/>
          <w:szCs w:val="24"/>
        </w:rPr>
        <w:t xml:space="preserve">). Status 26 consumers are those who are successfully closed after their Individualized Plan for Employment goals are achieved. Status 28 consumers are those who are unsuccessfully closed after receiving VR services.  </w:t>
      </w:r>
    </w:p>
    <w:p w:rsidR="000433E7" w:rsidRPr="00D34C6E" w:rsidRDefault="000433E7" w:rsidP="000433E7">
      <w:pPr>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In 2014, the MRC Research, Development, and Performance Management Department enacted key changes to the survey in consultation with the Consumer Satisfaction Committee of the SRC. The changes included: implementing 2014 survey as an all-online survey; introducing new survey questions measuring the employment status, job satisfaction, work hours, and wages of recently closed consumers; and rewording and reordering </w:t>
      </w:r>
      <w:r w:rsidR="00CC0FB5">
        <w:rPr>
          <w:rFonts w:asciiTheme="majorHAnsi" w:hAnsiTheme="majorHAnsi"/>
          <w:color w:val="244061" w:themeColor="accent1" w:themeShade="80"/>
          <w:sz w:val="24"/>
          <w:szCs w:val="24"/>
        </w:rPr>
        <w:t>some</w:t>
      </w:r>
      <w:r w:rsidRPr="00D34C6E">
        <w:rPr>
          <w:rFonts w:asciiTheme="majorHAnsi" w:hAnsiTheme="majorHAnsi"/>
          <w:color w:val="244061" w:themeColor="accent1" w:themeShade="80"/>
          <w:sz w:val="24"/>
          <w:szCs w:val="24"/>
        </w:rPr>
        <w:t xml:space="preserve"> survey questions to increase </w:t>
      </w:r>
      <w:r w:rsidR="00CC0FB5">
        <w:rPr>
          <w:rFonts w:asciiTheme="majorHAnsi" w:hAnsiTheme="majorHAnsi"/>
          <w:color w:val="244061" w:themeColor="accent1" w:themeShade="80"/>
          <w:sz w:val="24"/>
          <w:szCs w:val="24"/>
        </w:rPr>
        <w:t xml:space="preserve">their </w:t>
      </w:r>
      <w:r w:rsidRPr="00D34C6E">
        <w:rPr>
          <w:rFonts w:asciiTheme="majorHAnsi" w:hAnsiTheme="majorHAnsi"/>
          <w:color w:val="244061" w:themeColor="accent1" w:themeShade="80"/>
          <w:sz w:val="24"/>
          <w:szCs w:val="24"/>
        </w:rPr>
        <w:t>clarity and effectiveness.</w:t>
      </w:r>
    </w:p>
    <w:p w:rsidR="000433E7" w:rsidRPr="00D34C6E" w:rsidRDefault="000433E7" w:rsidP="000433E7">
      <w:pPr>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The total number of consumers closed in Status 26 or 28 in </w:t>
      </w:r>
      <w:r>
        <w:rPr>
          <w:rFonts w:asciiTheme="majorHAnsi" w:hAnsiTheme="majorHAnsi"/>
          <w:color w:val="244061" w:themeColor="accent1" w:themeShade="80"/>
          <w:sz w:val="24"/>
          <w:szCs w:val="24"/>
        </w:rPr>
        <w:t>fiscal year 2014</w:t>
      </w:r>
      <w:r w:rsidRPr="00D34C6E">
        <w:rPr>
          <w:rFonts w:asciiTheme="majorHAnsi" w:hAnsiTheme="majorHAnsi"/>
          <w:color w:val="244061" w:themeColor="accent1" w:themeShade="80"/>
          <w:sz w:val="24"/>
          <w:szCs w:val="24"/>
        </w:rPr>
        <w:t xml:space="preserve"> period was 7,647</w:t>
      </w:r>
      <w:r w:rsidR="00B674EB">
        <w:rPr>
          <w:rFonts w:asciiTheme="majorHAnsi" w:hAnsiTheme="majorHAnsi"/>
          <w:color w:val="244061" w:themeColor="accent1" w:themeShade="80"/>
          <w:sz w:val="24"/>
          <w:szCs w:val="24"/>
        </w:rPr>
        <w:t>. T</w:t>
      </w:r>
      <w:r w:rsidRPr="00D34C6E">
        <w:rPr>
          <w:rFonts w:asciiTheme="majorHAnsi" w:hAnsiTheme="majorHAnsi"/>
          <w:color w:val="244061" w:themeColor="accent1" w:themeShade="80"/>
          <w:sz w:val="24"/>
          <w:szCs w:val="24"/>
        </w:rPr>
        <w:t xml:space="preserve">he number of </w:t>
      </w:r>
      <w:r w:rsidR="00B674EB">
        <w:rPr>
          <w:rFonts w:asciiTheme="majorHAnsi" w:hAnsiTheme="majorHAnsi"/>
          <w:color w:val="244061" w:themeColor="accent1" w:themeShade="80"/>
          <w:sz w:val="24"/>
          <w:szCs w:val="24"/>
        </w:rPr>
        <w:t>these</w:t>
      </w:r>
      <w:r w:rsidRPr="00D34C6E">
        <w:rPr>
          <w:rFonts w:asciiTheme="majorHAnsi" w:hAnsiTheme="majorHAnsi"/>
          <w:color w:val="244061" w:themeColor="accent1" w:themeShade="80"/>
          <w:sz w:val="24"/>
          <w:szCs w:val="24"/>
        </w:rPr>
        <w:t xml:space="preserve"> with known email addresses was 1,842. Out of the 1,842, there were</w:t>
      </w:r>
      <w:r w:rsidR="00E55B44">
        <w:rPr>
          <w:rFonts w:asciiTheme="majorHAnsi" w:hAnsiTheme="majorHAnsi"/>
          <w:color w:val="244061" w:themeColor="accent1" w:themeShade="80"/>
          <w:sz w:val="24"/>
          <w:szCs w:val="24"/>
        </w:rPr>
        <w:t xml:space="preserve"> </w:t>
      </w:r>
      <w:r w:rsidRPr="00D34C6E">
        <w:rPr>
          <w:rFonts w:asciiTheme="majorHAnsi" w:hAnsiTheme="majorHAnsi"/>
          <w:color w:val="244061" w:themeColor="accent1" w:themeShade="80"/>
          <w:sz w:val="24"/>
          <w:szCs w:val="24"/>
        </w:rPr>
        <w:t>155 undeliverable email addresses</w:t>
      </w:r>
      <w:r w:rsidR="00B674EB">
        <w:rPr>
          <w:rFonts w:asciiTheme="majorHAnsi" w:hAnsiTheme="majorHAnsi"/>
          <w:color w:val="244061" w:themeColor="accent1" w:themeShade="80"/>
          <w:sz w:val="24"/>
          <w:szCs w:val="24"/>
        </w:rPr>
        <w:t>. T</w:t>
      </w:r>
      <w:r w:rsidRPr="00D34C6E">
        <w:rPr>
          <w:rFonts w:asciiTheme="majorHAnsi" w:hAnsiTheme="majorHAnsi"/>
          <w:color w:val="244061" w:themeColor="accent1" w:themeShade="80"/>
          <w:sz w:val="24"/>
          <w:szCs w:val="24"/>
        </w:rPr>
        <w:t>he final sample size was 1,687. A survey announcement was emailed to th</w:t>
      </w:r>
      <w:r w:rsidR="00851431">
        <w:rPr>
          <w:rFonts w:asciiTheme="majorHAnsi" w:hAnsiTheme="majorHAnsi"/>
          <w:color w:val="244061" w:themeColor="accent1" w:themeShade="80"/>
          <w:sz w:val="24"/>
          <w:szCs w:val="24"/>
        </w:rPr>
        <w:t xml:space="preserve">e </w:t>
      </w:r>
      <w:r w:rsidRPr="00D34C6E">
        <w:rPr>
          <w:rFonts w:asciiTheme="majorHAnsi" w:hAnsiTheme="majorHAnsi"/>
          <w:color w:val="244061" w:themeColor="accent1" w:themeShade="80"/>
          <w:sz w:val="24"/>
          <w:szCs w:val="24"/>
        </w:rPr>
        <w:t xml:space="preserve">1,687 </w:t>
      </w:r>
      <w:r w:rsidR="00B674EB">
        <w:rPr>
          <w:rFonts w:asciiTheme="majorHAnsi" w:hAnsiTheme="majorHAnsi"/>
          <w:color w:val="244061" w:themeColor="accent1" w:themeShade="80"/>
          <w:sz w:val="24"/>
          <w:szCs w:val="24"/>
        </w:rPr>
        <w:t>individuals</w:t>
      </w:r>
      <w:r w:rsidRPr="00D34C6E">
        <w:rPr>
          <w:rFonts w:asciiTheme="majorHAnsi" w:hAnsiTheme="majorHAnsi"/>
          <w:color w:val="244061" w:themeColor="accent1" w:themeShade="80"/>
          <w:sz w:val="24"/>
          <w:szCs w:val="24"/>
        </w:rPr>
        <w:t xml:space="preserve"> in November, and four reminders were sent between November and February. The survey closed on February 25</w:t>
      </w:r>
      <w:r w:rsidRPr="00D34C6E">
        <w:rPr>
          <w:rFonts w:asciiTheme="majorHAnsi" w:hAnsiTheme="majorHAnsi"/>
          <w:color w:val="244061" w:themeColor="accent1" w:themeShade="80"/>
          <w:sz w:val="24"/>
          <w:szCs w:val="24"/>
          <w:vertAlign w:val="superscript"/>
        </w:rPr>
        <w:t>th</w:t>
      </w:r>
      <w:r w:rsidRPr="00D34C6E">
        <w:rPr>
          <w:rFonts w:asciiTheme="majorHAnsi" w:hAnsiTheme="majorHAnsi"/>
          <w:color w:val="244061" w:themeColor="accent1" w:themeShade="80"/>
          <w:sz w:val="24"/>
          <w:szCs w:val="24"/>
        </w:rPr>
        <w:t xml:space="preserve">. </w:t>
      </w:r>
    </w:p>
    <w:p w:rsidR="000433E7" w:rsidRPr="00D34C6E" w:rsidRDefault="000433E7" w:rsidP="000433E7">
      <w:pPr>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There were a total of 319 survey responses, achieving </w:t>
      </w:r>
      <w:r w:rsidR="00B674EB">
        <w:rPr>
          <w:rFonts w:asciiTheme="majorHAnsi" w:hAnsiTheme="majorHAnsi"/>
          <w:color w:val="244061" w:themeColor="accent1" w:themeShade="80"/>
          <w:sz w:val="24"/>
          <w:szCs w:val="24"/>
        </w:rPr>
        <w:t xml:space="preserve">a </w:t>
      </w:r>
      <w:r w:rsidR="00B674EB" w:rsidRPr="00D34C6E">
        <w:rPr>
          <w:rFonts w:asciiTheme="majorHAnsi" w:hAnsiTheme="majorHAnsi"/>
          <w:color w:val="244061" w:themeColor="accent1" w:themeShade="80"/>
          <w:sz w:val="24"/>
          <w:szCs w:val="24"/>
        </w:rPr>
        <w:t xml:space="preserve">response rate </w:t>
      </w:r>
      <w:r w:rsidR="00B674EB">
        <w:rPr>
          <w:rFonts w:asciiTheme="majorHAnsi" w:hAnsiTheme="majorHAnsi"/>
          <w:color w:val="244061" w:themeColor="accent1" w:themeShade="80"/>
          <w:sz w:val="24"/>
          <w:szCs w:val="24"/>
        </w:rPr>
        <w:t>of 19% and</w:t>
      </w:r>
      <w:r w:rsidR="00B674EB" w:rsidRPr="00D34C6E">
        <w:rPr>
          <w:rFonts w:asciiTheme="majorHAnsi" w:hAnsiTheme="majorHAnsi"/>
          <w:color w:val="244061" w:themeColor="accent1" w:themeShade="80"/>
          <w:sz w:val="24"/>
          <w:szCs w:val="24"/>
        </w:rPr>
        <w:t xml:space="preserve"> </w:t>
      </w:r>
      <w:r w:rsidRPr="00D34C6E">
        <w:rPr>
          <w:rFonts w:asciiTheme="majorHAnsi" w:hAnsiTheme="majorHAnsi"/>
          <w:color w:val="244061" w:themeColor="accent1" w:themeShade="80"/>
          <w:sz w:val="24"/>
          <w:szCs w:val="24"/>
        </w:rPr>
        <w:t xml:space="preserve">statistical validity </w:t>
      </w:r>
      <w:r w:rsidR="00B674EB">
        <w:rPr>
          <w:rFonts w:asciiTheme="majorHAnsi" w:hAnsiTheme="majorHAnsi"/>
          <w:color w:val="244061" w:themeColor="accent1" w:themeShade="80"/>
          <w:sz w:val="24"/>
          <w:szCs w:val="24"/>
        </w:rPr>
        <w:t>(</w:t>
      </w:r>
      <w:r w:rsidRPr="00D34C6E">
        <w:rPr>
          <w:rFonts w:asciiTheme="majorHAnsi" w:hAnsiTheme="majorHAnsi"/>
          <w:color w:val="244061" w:themeColor="accent1" w:themeShade="80"/>
          <w:sz w:val="24"/>
          <w:szCs w:val="24"/>
        </w:rPr>
        <w:t>at a confidence level of 95% with a 5% margin of error</w:t>
      </w:r>
      <w:r w:rsidR="00B674EB">
        <w:rPr>
          <w:rFonts w:asciiTheme="majorHAnsi" w:hAnsiTheme="majorHAnsi"/>
          <w:color w:val="244061" w:themeColor="accent1" w:themeShade="80"/>
          <w:sz w:val="24"/>
          <w:szCs w:val="24"/>
        </w:rPr>
        <w:t xml:space="preserve">, </w:t>
      </w:r>
      <w:r w:rsidRPr="00D34C6E">
        <w:rPr>
          <w:rFonts w:asciiTheme="majorHAnsi" w:hAnsiTheme="majorHAnsi"/>
          <w:color w:val="244061" w:themeColor="accent1" w:themeShade="80"/>
          <w:sz w:val="24"/>
          <w:szCs w:val="24"/>
        </w:rPr>
        <w:t xml:space="preserve">using a 70:30 distribution split). These results exceed the </w:t>
      </w:r>
      <w:r w:rsidR="00B674EB">
        <w:rPr>
          <w:rFonts w:asciiTheme="majorHAnsi" w:hAnsiTheme="majorHAnsi"/>
          <w:color w:val="244061" w:themeColor="accent1" w:themeShade="80"/>
          <w:sz w:val="24"/>
          <w:szCs w:val="24"/>
        </w:rPr>
        <w:t>2013 results</w:t>
      </w:r>
      <w:r w:rsidRPr="00D34C6E">
        <w:rPr>
          <w:rFonts w:asciiTheme="majorHAnsi" w:hAnsiTheme="majorHAnsi"/>
          <w:color w:val="244061" w:themeColor="accent1" w:themeShade="80"/>
          <w:sz w:val="24"/>
          <w:szCs w:val="24"/>
        </w:rPr>
        <w:t xml:space="preserve"> in both response rate and satisfa</w:t>
      </w:r>
      <w:r w:rsidR="00B674EB">
        <w:rPr>
          <w:rFonts w:asciiTheme="majorHAnsi" w:hAnsiTheme="majorHAnsi"/>
          <w:color w:val="244061" w:themeColor="accent1" w:themeShade="80"/>
          <w:sz w:val="24"/>
          <w:szCs w:val="24"/>
        </w:rPr>
        <w:t>ction rate. Along with the use of mailed surveys, t</w:t>
      </w:r>
      <w:r w:rsidRPr="00D34C6E">
        <w:rPr>
          <w:rFonts w:asciiTheme="majorHAnsi" w:hAnsiTheme="majorHAnsi"/>
          <w:color w:val="244061" w:themeColor="accent1" w:themeShade="80"/>
          <w:sz w:val="24"/>
          <w:szCs w:val="24"/>
        </w:rPr>
        <w:t>h</w:t>
      </w:r>
      <w:r w:rsidR="00B674EB">
        <w:rPr>
          <w:rFonts w:asciiTheme="majorHAnsi" w:hAnsiTheme="majorHAnsi"/>
          <w:color w:val="244061" w:themeColor="accent1" w:themeShade="80"/>
          <w:sz w:val="24"/>
          <w:szCs w:val="24"/>
        </w:rPr>
        <w:t xml:space="preserve">e 2013 survey </w:t>
      </w:r>
      <w:r w:rsidRPr="00D34C6E">
        <w:rPr>
          <w:rFonts w:asciiTheme="majorHAnsi" w:hAnsiTheme="majorHAnsi"/>
          <w:color w:val="244061" w:themeColor="accent1" w:themeShade="80"/>
          <w:sz w:val="24"/>
          <w:szCs w:val="24"/>
        </w:rPr>
        <w:t xml:space="preserve">was sent to 1,277 closed cases with valid email addresses. </w:t>
      </w:r>
      <w:r w:rsidR="00B674EB">
        <w:rPr>
          <w:rFonts w:asciiTheme="majorHAnsi" w:hAnsiTheme="majorHAnsi"/>
          <w:color w:val="244061" w:themeColor="accent1" w:themeShade="80"/>
          <w:sz w:val="24"/>
          <w:szCs w:val="24"/>
        </w:rPr>
        <w:t>In</w:t>
      </w:r>
      <w:r w:rsidRPr="00D34C6E">
        <w:rPr>
          <w:rFonts w:asciiTheme="majorHAnsi" w:hAnsiTheme="majorHAnsi"/>
          <w:color w:val="244061" w:themeColor="accent1" w:themeShade="80"/>
          <w:sz w:val="24"/>
          <w:szCs w:val="24"/>
        </w:rPr>
        <w:t xml:space="preserve"> 2013</w:t>
      </w:r>
      <w:r w:rsidR="00B674EB">
        <w:rPr>
          <w:rFonts w:asciiTheme="majorHAnsi" w:hAnsiTheme="majorHAnsi"/>
          <w:color w:val="244061" w:themeColor="accent1" w:themeShade="80"/>
          <w:sz w:val="24"/>
          <w:szCs w:val="24"/>
        </w:rPr>
        <w:t>,</w:t>
      </w:r>
      <w:r w:rsidRPr="00D34C6E">
        <w:rPr>
          <w:rFonts w:asciiTheme="majorHAnsi" w:hAnsiTheme="majorHAnsi"/>
          <w:color w:val="244061" w:themeColor="accent1" w:themeShade="80"/>
          <w:sz w:val="24"/>
          <w:szCs w:val="24"/>
        </w:rPr>
        <w:t xml:space="preserve"> there were 159 online </w:t>
      </w:r>
      <w:r w:rsidR="00B674EB">
        <w:rPr>
          <w:rFonts w:asciiTheme="majorHAnsi" w:hAnsiTheme="majorHAnsi"/>
          <w:color w:val="244061" w:themeColor="accent1" w:themeShade="80"/>
          <w:sz w:val="24"/>
          <w:szCs w:val="24"/>
        </w:rPr>
        <w:t>responses (</w:t>
      </w:r>
      <w:r w:rsidRPr="00D34C6E">
        <w:rPr>
          <w:rFonts w:asciiTheme="majorHAnsi" w:hAnsiTheme="majorHAnsi"/>
          <w:color w:val="244061" w:themeColor="accent1" w:themeShade="80"/>
          <w:sz w:val="24"/>
          <w:szCs w:val="24"/>
        </w:rPr>
        <w:t>a response rate of 12%</w:t>
      </w:r>
      <w:r w:rsidR="00B674EB">
        <w:rPr>
          <w:rFonts w:asciiTheme="majorHAnsi" w:hAnsiTheme="majorHAnsi"/>
          <w:color w:val="244061" w:themeColor="accent1" w:themeShade="80"/>
          <w:sz w:val="24"/>
          <w:szCs w:val="24"/>
        </w:rPr>
        <w:t>)</w:t>
      </w:r>
      <w:r w:rsidRPr="00D34C6E">
        <w:rPr>
          <w:rFonts w:asciiTheme="majorHAnsi" w:hAnsiTheme="majorHAnsi"/>
          <w:color w:val="244061" w:themeColor="accent1" w:themeShade="80"/>
          <w:sz w:val="24"/>
          <w:szCs w:val="24"/>
        </w:rPr>
        <w:t>.</w:t>
      </w:r>
    </w:p>
    <w:p w:rsidR="000433E7" w:rsidRPr="00D34C6E" w:rsidRDefault="000433E7" w:rsidP="000433E7">
      <w:pPr>
        <w:ind w:right="-18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The 2014 survey responses were exported for statistical analysis. Data from the MRC electronic management information system (MRCIS) was linked to survey responses to </w:t>
      </w:r>
      <w:r w:rsidRPr="00D34C6E">
        <w:rPr>
          <w:rFonts w:asciiTheme="majorHAnsi" w:hAnsiTheme="majorHAnsi"/>
          <w:color w:val="244061" w:themeColor="accent1" w:themeShade="80"/>
          <w:sz w:val="24"/>
          <w:szCs w:val="24"/>
        </w:rPr>
        <w:lastRenderedPageBreak/>
        <w:t xml:space="preserve">explore demographic correlation. Consumer comments to open-ended questions were analyzed using qualitative methods. Common themes were coded and categorized according to theme and frequency. The Research, Development, and Performance Management Department refers any survey respondents who express serious problems or concerns through the consumer satisfaction survey to the MRC Ombudsman’s office. No such instances arose in the 2014 survey. </w:t>
      </w:r>
    </w:p>
    <w:p w:rsidR="000433E7" w:rsidRPr="00D34C6E" w:rsidRDefault="000433E7" w:rsidP="000433E7">
      <w:pPr>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A limitation of the 2014 Consumer Satisfaction Survey methodology was that drawing a sample comprised only of consumers with email addresses could have resulted in a sample that did not accurately represent the full population of Status 26 and 28 closed cases, constituting a coverage error. However, the final sample of 1,687 individuals were not notably different in age, race, gender, or level of education from previous years’ survey samples, when samples were drawn randomly and data was collected entirely or primarily by mail. As in previous years, the 2014 respondents were slightly older and slightly more educated than the overall population of closed cases. The slight difference between the 2014 survey respondents and the total population of 2014 closed cases would very likely persist regardless of what sampling approach was used. That is, survey respondents would continue to be slightly older and slightly better educated than the overall population. </w:t>
      </w:r>
    </w:p>
    <w:p w:rsidR="000433E7" w:rsidRPr="00D34C6E" w:rsidRDefault="000433E7" w:rsidP="000433E7">
      <w:pPr>
        <w:spacing w:after="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The benefits of increased efficiency, cost savings, and of meeting consumers’ growing desire for more electronic forms of communication outweigh the stated limitations. It is also reasonable to expect that the number of MRC VR consumers with recorded email addresses will continue to grow across all demographics, reducing any potential coverage error over time. The general makeup of the 2014 survey respondents is discussed below.</w:t>
      </w:r>
    </w:p>
    <w:p w:rsidR="000433E7" w:rsidRPr="00D34C6E" w:rsidRDefault="000433E7" w:rsidP="000433E7">
      <w:pPr>
        <w:autoSpaceDE w:val="0"/>
        <w:autoSpaceDN w:val="0"/>
        <w:adjustRightInd w:val="0"/>
        <w:spacing w:after="0"/>
        <w:rPr>
          <w:rFonts w:asciiTheme="majorHAnsi" w:hAnsiTheme="majorHAnsi"/>
          <w:color w:val="244061" w:themeColor="accent1" w:themeShade="80"/>
          <w:sz w:val="24"/>
          <w:szCs w:val="24"/>
        </w:rPr>
      </w:pPr>
    </w:p>
    <w:p w:rsidR="000433E7" w:rsidRPr="00D34C6E" w:rsidRDefault="000433E7" w:rsidP="000433E7">
      <w:pPr>
        <w:autoSpaceDE w:val="0"/>
        <w:autoSpaceDN w:val="0"/>
        <w:adjustRightInd w:val="0"/>
        <w:spacing w:after="0"/>
        <w:rPr>
          <w:rFonts w:asciiTheme="majorHAnsi" w:hAnsiTheme="majorHAnsi"/>
          <w:color w:val="244061" w:themeColor="accent1" w:themeShade="80"/>
          <w:sz w:val="16"/>
          <w:szCs w:val="16"/>
        </w:rPr>
      </w:pPr>
    </w:p>
    <w:p w:rsidR="00CA4C06" w:rsidRDefault="004A5CC0" w:rsidP="00667225">
      <w:pPr>
        <w:spacing w:after="0"/>
        <w:rPr>
          <w:rFonts w:asciiTheme="majorHAnsi" w:hAnsiTheme="majorHAnsi"/>
          <w:b/>
          <w:color w:val="244061" w:themeColor="accent1" w:themeShade="80"/>
          <w:sz w:val="24"/>
          <w:szCs w:val="24"/>
        </w:rPr>
      </w:pPr>
      <w:r w:rsidRPr="00D34C6E">
        <w:rPr>
          <w:rFonts w:asciiTheme="majorHAnsi" w:hAnsiTheme="majorHAnsi"/>
          <w:b/>
          <w:color w:val="244061" w:themeColor="accent1" w:themeShade="80"/>
          <w:sz w:val="24"/>
          <w:szCs w:val="24"/>
        </w:rPr>
        <w:t xml:space="preserve">DEMOGRAPHIC CHARACTERISTICS OF </w:t>
      </w:r>
      <w:r>
        <w:rPr>
          <w:rFonts w:asciiTheme="majorHAnsi" w:hAnsiTheme="majorHAnsi"/>
          <w:b/>
          <w:color w:val="244061" w:themeColor="accent1" w:themeShade="80"/>
          <w:sz w:val="24"/>
          <w:szCs w:val="24"/>
        </w:rPr>
        <w:t xml:space="preserve">2014 SATISFACTION </w:t>
      </w:r>
      <w:r w:rsidRPr="00D34C6E">
        <w:rPr>
          <w:rFonts w:asciiTheme="majorHAnsi" w:hAnsiTheme="majorHAnsi"/>
          <w:b/>
          <w:color w:val="244061" w:themeColor="accent1" w:themeShade="80"/>
          <w:sz w:val="24"/>
          <w:szCs w:val="24"/>
        </w:rPr>
        <w:t>SURVEY RESPONDENTS</w:t>
      </w:r>
    </w:p>
    <w:p w:rsidR="000433E7" w:rsidRDefault="00E840C4" w:rsidP="00667225">
      <w:pPr>
        <w:spacing w:after="0"/>
        <w:rPr>
          <w:rFonts w:asciiTheme="majorHAnsi" w:hAnsiTheme="majorHAnsi"/>
          <w:b/>
          <w:color w:val="244061" w:themeColor="accent1" w:themeShade="80"/>
          <w:sz w:val="24"/>
          <w:szCs w:val="24"/>
        </w:rPr>
      </w:pPr>
      <w:r>
        <w:rPr>
          <w:rFonts w:asciiTheme="majorHAnsi" w:hAnsiTheme="majorHAnsi"/>
          <w:b/>
          <w:color w:val="244061" w:themeColor="accent1" w:themeShade="80"/>
          <w:sz w:val="28"/>
          <w:szCs w:val="28"/>
        </w:rPr>
        <w:pict>
          <v:rect id="_x0000_i1029" style="width:468pt;height:1.5pt" o:hralign="center" o:hrstd="t" o:hrnoshade="t" o:hr="t" fillcolor="#0f243e [1615]" stroked="f"/>
        </w:pict>
      </w:r>
    </w:p>
    <w:p w:rsidR="00667225" w:rsidRPr="00C67ABC" w:rsidRDefault="00667225" w:rsidP="00667225">
      <w:pPr>
        <w:spacing w:after="0"/>
        <w:rPr>
          <w:rFonts w:asciiTheme="majorHAnsi" w:hAnsiTheme="majorHAnsi"/>
          <w:b/>
          <w:color w:val="244061" w:themeColor="accent1" w:themeShade="80"/>
          <w:sz w:val="16"/>
          <w:szCs w:val="16"/>
        </w:rPr>
      </w:pPr>
    </w:p>
    <w:p w:rsidR="00C67ABC" w:rsidRPr="00C67ABC" w:rsidRDefault="00C67ABC" w:rsidP="000433E7">
      <w:pPr>
        <w:spacing w:after="60" w:line="240" w:lineRule="auto"/>
        <w:rPr>
          <w:rFonts w:asciiTheme="majorHAnsi" w:hAnsiTheme="majorHAnsi"/>
          <w:color w:val="244061" w:themeColor="accent1" w:themeShade="80"/>
          <w:sz w:val="24"/>
          <w:szCs w:val="24"/>
        </w:rPr>
      </w:pPr>
      <w:r w:rsidRPr="00C67ABC">
        <w:rPr>
          <w:rFonts w:asciiTheme="majorHAnsi" w:hAnsiTheme="majorHAnsi"/>
          <w:color w:val="244061" w:themeColor="accent1" w:themeShade="80"/>
          <w:sz w:val="24"/>
          <w:szCs w:val="24"/>
        </w:rPr>
        <w:t>The following itemizes key demographic information comparing respondents to the 2014 satisfaction survey to the population from which they were sampled.</w:t>
      </w:r>
    </w:p>
    <w:p w:rsidR="00C67ABC" w:rsidRPr="00C67ABC" w:rsidRDefault="00C67ABC" w:rsidP="000433E7">
      <w:pPr>
        <w:spacing w:after="60" w:line="240" w:lineRule="auto"/>
        <w:rPr>
          <w:rFonts w:asciiTheme="majorHAnsi" w:hAnsiTheme="majorHAnsi"/>
          <w:b/>
          <w:color w:val="244061" w:themeColor="accent1" w:themeShade="80"/>
          <w:sz w:val="20"/>
          <w:szCs w:val="20"/>
        </w:rPr>
      </w:pPr>
    </w:p>
    <w:p w:rsidR="00BC1C71" w:rsidRDefault="000433E7" w:rsidP="000433E7">
      <w:pPr>
        <w:spacing w:after="60" w:line="240" w:lineRule="auto"/>
        <w:rPr>
          <w:rFonts w:asciiTheme="majorHAnsi" w:hAnsiTheme="majorHAnsi"/>
          <w:b/>
          <w:color w:val="244061" w:themeColor="accent1" w:themeShade="80"/>
          <w:sz w:val="24"/>
          <w:szCs w:val="24"/>
        </w:rPr>
      </w:pPr>
      <w:r w:rsidRPr="00C91E39">
        <w:rPr>
          <w:rFonts w:asciiTheme="majorHAnsi" w:hAnsiTheme="majorHAnsi"/>
          <w:b/>
          <w:color w:val="244061" w:themeColor="accent1" w:themeShade="80"/>
          <w:sz w:val="24"/>
          <w:szCs w:val="24"/>
        </w:rPr>
        <w:t>Gender</w:t>
      </w:r>
      <w:r>
        <w:rPr>
          <w:rFonts w:asciiTheme="majorHAnsi" w:hAnsiTheme="majorHAnsi"/>
          <w:b/>
          <w:color w:val="244061" w:themeColor="accent1" w:themeShade="80"/>
          <w:sz w:val="24"/>
          <w:szCs w:val="24"/>
        </w:rPr>
        <w:t>:</w:t>
      </w:r>
      <w:r w:rsidR="009F171F">
        <w:rPr>
          <w:rFonts w:asciiTheme="majorHAnsi" w:hAnsiTheme="majorHAnsi"/>
          <w:b/>
          <w:color w:val="244061" w:themeColor="accent1" w:themeShade="80"/>
          <w:sz w:val="24"/>
          <w:szCs w:val="24"/>
        </w:rPr>
        <w:t xml:space="preserve"> </w:t>
      </w:r>
    </w:p>
    <w:p w:rsidR="009F171F" w:rsidRDefault="000433E7" w:rsidP="000433E7">
      <w:pPr>
        <w:spacing w:after="60" w:line="240" w:lineRule="auto"/>
        <w:rPr>
          <w:rFonts w:asciiTheme="majorHAnsi" w:hAnsiTheme="majorHAnsi"/>
          <w:b/>
          <w:color w:val="244061" w:themeColor="accent1" w:themeShade="80"/>
          <w:sz w:val="24"/>
          <w:szCs w:val="24"/>
        </w:rPr>
      </w:pPr>
      <w:r w:rsidRPr="00D34C6E">
        <w:rPr>
          <w:rFonts w:asciiTheme="majorHAnsi" w:hAnsiTheme="majorHAnsi"/>
          <w:color w:val="244061" w:themeColor="accent1" w:themeShade="80"/>
          <w:sz w:val="24"/>
          <w:szCs w:val="24"/>
        </w:rPr>
        <w:t>There were 47% men and 53% women among respondents, a rough inverse of the figures for the population of MRC closed cases in FY 2014</w:t>
      </w:r>
      <w:r>
        <w:rPr>
          <w:rFonts w:asciiTheme="majorHAnsi" w:hAnsiTheme="majorHAnsi"/>
          <w:color w:val="244061" w:themeColor="accent1" w:themeShade="80"/>
          <w:sz w:val="24"/>
          <w:szCs w:val="24"/>
        </w:rPr>
        <w:t xml:space="preserve"> (</w:t>
      </w:r>
      <w:r w:rsidRPr="00D34C6E">
        <w:rPr>
          <w:rFonts w:asciiTheme="majorHAnsi" w:hAnsiTheme="majorHAnsi"/>
          <w:color w:val="244061" w:themeColor="accent1" w:themeShade="80"/>
          <w:sz w:val="24"/>
          <w:szCs w:val="24"/>
        </w:rPr>
        <w:t>54.7% male and 45.3% female</w:t>
      </w:r>
      <w:r>
        <w:rPr>
          <w:rFonts w:asciiTheme="majorHAnsi" w:hAnsiTheme="majorHAnsi"/>
          <w:color w:val="244061" w:themeColor="accent1" w:themeShade="80"/>
          <w:sz w:val="24"/>
          <w:szCs w:val="24"/>
        </w:rPr>
        <w:t>).</w:t>
      </w:r>
      <w:r w:rsidRPr="00D34C6E">
        <w:rPr>
          <w:rFonts w:asciiTheme="majorHAnsi" w:hAnsiTheme="majorHAnsi"/>
          <w:color w:val="244061" w:themeColor="accent1" w:themeShade="80"/>
          <w:sz w:val="24"/>
          <w:szCs w:val="24"/>
        </w:rPr>
        <w:t xml:space="preserve"> </w:t>
      </w:r>
    </w:p>
    <w:p w:rsidR="009F171F" w:rsidRPr="005A43D9" w:rsidRDefault="009F171F" w:rsidP="000433E7">
      <w:pPr>
        <w:spacing w:after="60" w:line="240" w:lineRule="auto"/>
        <w:rPr>
          <w:rFonts w:asciiTheme="majorHAnsi" w:hAnsiTheme="majorHAnsi"/>
          <w:b/>
          <w:color w:val="244061" w:themeColor="accent1" w:themeShade="80"/>
          <w:sz w:val="20"/>
          <w:szCs w:val="20"/>
        </w:rPr>
      </w:pPr>
    </w:p>
    <w:p w:rsidR="00BC1C71" w:rsidRDefault="000433E7" w:rsidP="009F171F">
      <w:pPr>
        <w:spacing w:after="60" w:line="240" w:lineRule="auto"/>
        <w:rPr>
          <w:rFonts w:asciiTheme="majorHAnsi" w:hAnsiTheme="majorHAnsi"/>
          <w:b/>
          <w:color w:val="244061" w:themeColor="accent1" w:themeShade="80"/>
          <w:sz w:val="24"/>
          <w:szCs w:val="24"/>
        </w:rPr>
      </w:pPr>
      <w:r w:rsidRPr="00C91E39">
        <w:rPr>
          <w:rFonts w:asciiTheme="majorHAnsi" w:hAnsiTheme="majorHAnsi"/>
          <w:b/>
          <w:color w:val="244061" w:themeColor="accent1" w:themeShade="80"/>
          <w:sz w:val="24"/>
          <w:szCs w:val="24"/>
        </w:rPr>
        <w:t>Race/Ethnicity:</w:t>
      </w:r>
      <w:r w:rsidR="009F171F">
        <w:rPr>
          <w:rFonts w:asciiTheme="majorHAnsi" w:hAnsiTheme="majorHAnsi"/>
          <w:b/>
          <w:color w:val="244061" w:themeColor="accent1" w:themeShade="80"/>
          <w:sz w:val="24"/>
          <w:szCs w:val="24"/>
        </w:rPr>
        <w:t xml:space="preserve"> </w:t>
      </w:r>
    </w:p>
    <w:p w:rsidR="000433E7" w:rsidRPr="009F171F" w:rsidRDefault="000433E7" w:rsidP="009F171F">
      <w:pPr>
        <w:spacing w:after="60" w:line="240" w:lineRule="auto"/>
        <w:rPr>
          <w:rFonts w:asciiTheme="majorHAnsi" w:hAnsiTheme="majorHAnsi"/>
          <w:b/>
          <w:color w:val="244061" w:themeColor="accent1" w:themeShade="80"/>
          <w:sz w:val="24"/>
          <w:szCs w:val="24"/>
        </w:rPr>
      </w:pPr>
      <w:r w:rsidRPr="00D34C6E">
        <w:rPr>
          <w:rFonts w:asciiTheme="majorHAnsi" w:hAnsiTheme="majorHAnsi"/>
          <w:color w:val="244061" w:themeColor="accent1" w:themeShade="80"/>
          <w:sz w:val="24"/>
          <w:szCs w:val="24"/>
        </w:rPr>
        <w:t>With regard to race/ethnicity, the percentage of Whites was very slightly higher among respondents (84%) than among the population of FY 2014 closed cases (82.3%). There were somewhat fewer African Americans (13.6% vs. 14.7%) and Hispanics (7.3% vs. 10%) among respondents than the population. Asian/Pacific Islanders made up 3.5% of all MRC VR closures, and 2.5% of all survey respondents in FY 2014.</w:t>
      </w:r>
    </w:p>
    <w:p w:rsidR="00BC1C71" w:rsidRDefault="000433E7" w:rsidP="009F171F">
      <w:pPr>
        <w:spacing w:after="120" w:line="240" w:lineRule="auto"/>
        <w:rPr>
          <w:rFonts w:ascii="Calibri Light" w:hAnsi="Calibri Light"/>
          <w:b/>
          <w:color w:val="244061" w:themeColor="accent1" w:themeShade="80"/>
          <w:sz w:val="24"/>
          <w:szCs w:val="24"/>
        </w:rPr>
      </w:pPr>
      <w:r w:rsidRPr="00C91E39">
        <w:rPr>
          <w:rFonts w:asciiTheme="majorHAnsi" w:hAnsiTheme="majorHAnsi"/>
          <w:b/>
          <w:color w:val="244061" w:themeColor="accent1" w:themeShade="80"/>
          <w:sz w:val="24"/>
          <w:szCs w:val="24"/>
        </w:rPr>
        <w:t>Age:</w:t>
      </w:r>
      <w:r w:rsidR="009F171F">
        <w:rPr>
          <w:rFonts w:ascii="Calibri Light" w:hAnsi="Calibri Light"/>
          <w:b/>
          <w:color w:val="244061" w:themeColor="accent1" w:themeShade="80"/>
          <w:sz w:val="24"/>
          <w:szCs w:val="24"/>
        </w:rPr>
        <w:t xml:space="preserve"> </w:t>
      </w:r>
    </w:p>
    <w:p w:rsidR="000433E7" w:rsidRPr="009F171F" w:rsidRDefault="000433E7" w:rsidP="009F171F">
      <w:pPr>
        <w:spacing w:after="120" w:line="240" w:lineRule="auto"/>
        <w:rPr>
          <w:rFonts w:ascii="Calibri Light" w:hAnsi="Calibri Light"/>
          <w:b/>
          <w:color w:val="244061" w:themeColor="accent1" w:themeShade="80"/>
          <w:sz w:val="24"/>
          <w:szCs w:val="24"/>
        </w:rPr>
      </w:pPr>
      <w:r w:rsidRPr="00D34C6E">
        <w:rPr>
          <w:rFonts w:asciiTheme="majorHAnsi" w:hAnsiTheme="majorHAnsi"/>
          <w:color w:val="244061" w:themeColor="accent1" w:themeShade="80"/>
          <w:sz w:val="24"/>
          <w:szCs w:val="24"/>
        </w:rPr>
        <w:t xml:space="preserve">As in previous years, respondents were slightly older than the population from which they were sampled. The following </w:t>
      </w:r>
      <w:r>
        <w:rPr>
          <w:rFonts w:asciiTheme="majorHAnsi" w:hAnsiTheme="majorHAnsi"/>
          <w:color w:val="244061" w:themeColor="accent1" w:themeShade="80"/>
          <w:sz w:val="24"/>
          <w:szCs w:val="24"/>
        </w:rPr>
        <w:t>presents information regarding age demographics</w:t>
      </w:r>
      <w:r w:rsidRPr="00D34C6E">
        <w:rPr>
          <w:rFonts w:asciiTheme="majorHAnsi" w:hAnsiTheme="majorHAnsi"/>
          <w:color w:val="244061" w:themeColor="accent1" w:themeShade="80"/>
          <w:sz w:val="24"/>
          <w:szCs w:val="24"/>
        </w:rPr>
        <w:t>:</w:t>
      </w:r>
    </w:p>
    <w:p w:rsidR="000433E7" w:rsidRPr="00D34C6E" w:rsidRDefault="009F171F" w:rsidP="000433E7">
      <w:pPr>
        <w:pStyle w:val="ListParagraph"/>
        <w:numPr>
          <w:ilvl w:val="0"/>
          <w:numId w:val="10"/>
        </w:numPr>
        <w:ind w:left="360"/>
        <w:rPr>
          <w:rFonts w:asciiTheme="majorHAnsi" w:hAnsiTheme="majorHAnsi"/>
          <w:color w:val="244061" w:themeColor="accent1" w:themeShade="80"/>
          <w:sz w:val="24"/>
          <w:szCs w:val="24"/>
        </w:rPr>
      </w:pPr>
      <w:r>
        <w:rPr>
          <w:rFonts w:asciiTheme="majorHAnsi" w:hAnsiTheme="majorHAnsi"/>
          <w:color w:val="244061" w:themeColor="accent1" w:themeShade="80"/>
          <w:sz w:val="24"/>
          <w:szCs w:val="24"/>
        </w:rPr>
        <w:t>The largest group</w:t>
      </w:r>
      <w:r w:rsidR="000433E7" w:rsidRPr="00D34C6E">
        <w:rPr>
          <w:rFonts w:asciiTheme="majorHAnsi" w:hAnsiTheme="majorHAnsi"/>
          <w:color w:val="244061" w:themeColor="accent1" w:themeShade="80"/>
          <w:sz w:val="24"/>
          <w:szCs w:val="24"/>
        </w:rPr>
        <w:t xml:space="preserve"> of respondents w</w:t>
      </w:r>
      <w:r>
        <w:rPr>
          <w:rFonts w:asciiTheme="majorHAnsi" w:hAnsiTheme="majorHAnsi"/>
          <w:color w:val="244061" w:themeColor="accent1" w:themeShade="80"/>
          <w:sz w:val="24"/>
          <w:szCs w:val="24"/>
        </w:rPr>
        <w:t>as</w:t>
      </w:r>
      <w:r w:rsidR="000433E7" w:rsidRPr="00D34C6E">
        <w:rPr>
          <w:rFonts w:asciiTheme="majorHAnsi" w:hAnsiTheme="majorHAnsi"/>
          <w:color w:val="244061" w:themeColor="accent1" w:themeShade="80"/>
          <w:sz w:val="24"/>
          <w:szCs w:val="24"/>
        </w:rPr>
        <w:t xml:space="preserve"> in the 41-50 age range (27.5%) follow</w:t>
      </w:r>
      <w:r w:rsidR="00E55B44">
        <w:rPr>
          <w:rFonts w:asciiTheme="majorHAnsi" w:hAnsiTheme="majorHAnsi"/>
          <w:color w:val="244061" w:themeColor="accent1" w:themeShade="80"/>
          <w:sz w:val="24"/>
          <w:szCs w:val="24"/>
        </w:rPr>
        <w:t>ed by the 51-60 age range (22.5</w:t>
      </w:r>
      <w:r w:rsidR="000433E7" w:rsidRPr="00D34C6E">
        <w:rPr>
          <w:rFonts w:asciiTheme="majorHAnsi" w:hAnsiTheme="majorHAnsi"/>
          <w:color w:val="244061" w:themeColor="accent1" w:themeShade="80"/>
          <w:sz w:val="24"/>
          <w:szCs w:val="24"/>
        </w:rPr>
        <w:t xml:space="preserve">). There were </w:t>
      </w:r>
      <w:r>
        <w:rPr>
          <w:rFonts w:asciiTheme="majorHAnsi" w:hAnsiTheme="majorHAnsi"/>
          <w:color w:val="244061" w:themeColor="accent1" w:themeShade="80"/>
          <w:sz w:val="24"/>
          <w:szCs w:val="24"/>
        </w:rPr>
        <w:t xml:space="preserve">notably </w:t>
      </w:r>
      <w:r w:rsidR="000433E7" w:rsidRPr="00D34C6E">
        <w:rPr>
          <w:rFonts w:asciiTheme="majorHAnsi" w:hAnsiTheme="majorHAnsi"/>
          <w:color w:val="244061" w:themeColor="accent1" w:themeShade="80"/>
          <w:sz w:val="24"/>
          <w:szCs w:val="24"/>
        </w:rPr>
        <w:t xml:space="preserve">more </w:t>
      </w:r>
      <w:r>
        <w:rPr>
          <w:rFonts w:asciiTheme="majorHAnsi" w:hAnsiTheme="majorHAnsi"/>
          <w:color w:val="244061" w:themeColor="accent1" w:themeShade="80"/>
          <w:sz w:val="24"/>
          <w:szCs w:val="24"/>
        </w:rPr>
        <w:t>41-50 year</w:t>
      </w:r>
      <w:r w:rsidRPr="00D34C6E">
        <w:rPr>
          <w:rFonts w:asciiTheme="majorHAnsi" w:hAnsiTheme="majorHAnsi"/>
          <w:color w:val="244061" w:themeColor="accent1" w:themeShade="80"/>
          <w:sz w:val="24"/>
          <w:szCs w:val="24"/>
        </w:rPr>
        <w:t xml:space="preserve"> old </w:t>
      </w:r>
      <w:r w:rsidR="000433E7" w:rsidRPr="00D34C6E">
        <w:rPr>
          <w:rFonts w:asciiTheme="majorHAnsi" w:hAnsiTheme="majorHAnsi"/>
          <w:color w:val="244061" w:themeColor="accent1" w:themeShade="80"/>
          <w:sz w:val="24"/>
          <w:szCs w:val="24"/>
        </w:rPr>
        <w:t xml:space="preserve">respondents (27.5%) compared to all FY 2014 cases closed in Status 26 or 28 (20%).  </w:t>
      </w:r>
    </w:p>
    <w:p w:rsidR="000433E7" w:rsidRPr="005D0E0D" w:rsidRDefault="000433E7" w:rsidP="005D0E0D">
      <w:pPr>
        <w:pStyle w:val="ListParagraph"/>
        <w:numPr>
          <w:ilvl w:val="0"/>
          <w:numId w:val="10"/>
        </w:numPr>
        <w:ind w:left="36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There were more respondents over 50 (33%) than the overall population (25%).</w:t>
      </w:r>
    </w:p>
    <w:p w:rsidR="000433E7" w:rsidRDefault="000433E7" w:rsidP="000433E7">
      <w:pPr>
        <w:pStyle w:val="ListParagraph"/>
        <w:numPr>
          <w:ilvl w:val="0"/>
          <w:numId w:val="9"/>
        </w:numPr>
        <w:ind w:left="360"/>
        <w:rPr>
          <w:rFonts w:asciiTheme="majorHAnsi" w:hAnsiTheme="majorHAnsi"/>
          <w:color w:val="244061" w:themeColor="accent1" w:themeShade="80"/>
          <w:sz w:val="24"/>
          <w:szCs w:val="24"/>
        </w:rPr>
      </w:pPr>
      <w:r w:rsidRPr="00D34C6E">
        <w:rPr>
          <w:rFonts w:asciiTheme="majorHAnsi" w:hAnsiTheme="majorHAnsi"/>
          <w:color w:val="244061" w:themeColor="accent1" w:themeShade="80"/>
          <w:sz w:val="24"/>
          <w:szCs w:val="24"/>
        </w:rPr>
        <w:t xml:space="preserve">There were fewer respondents in the 23-30 age range (17.5%) compared to the FY 2014 </w:t>
      </w:r>
      <w:r w:rsidR="009F171F">
        <w:rPr>
          <w:rFonts w:asciiTheme="majorHAnsi" w:hAnsiTheme="majorHAnsi"/>
          <w:color w:val="244061" w:themeColor="accent1" w:themeShade="80"/>
          <w:sz w:val="24"/>
          <w:szCs w:val="24"/>
        </w:rPr>
        <w:t xml:space="preserve">population of closed cases </w:t>
      </w:r>
      <w:r w:rsidRPr="00D34C6E">
        <w:rPr>
          <w:rFonts w:asciiTheme="majorHAnsi" w:hAnsiTheme="majorHAnsi"/>
          <w:color w:val="244061" w:themeColor="accent1" w:themeShade="80"/>
          <w:sz w:val="24"/>
          <w:szCs w:val="24"/>
        </w:rPr>
        <w:t xml:space="preserve">(24%). </w:t>
      </w:r>
    </w:p>
    <w:p w:rsidR="00CA4C06" w:rsidRPr="00CA4C06" w:rsidRDefault="00CA4C06" w:rsidP="00CA4C06">
      <w:pPr>
        <w:pStyle w:val="ListParagraph"/>
        <w:numPr>
          <w:ilvl w:val="0"/>
          <w:numId w:val="9"/>
        </w:numPr>
        <w:ind w:left="360"/>
        <w:rPr>
          <w:rFonts w:asciiTheme="majorHAnsi" w:hAnsiTheme="majorHAnsi"/>
          <w:color w:val="244061" w:themeColor="accent1" w:themeShade="80"/>
          <w:sz w:val="24"/>
          <w:szCs w:val="24"/>
        </w:rPr>
      </w:pPr>
      <w:r w:rsidRPr="00CA4C06">
        <w:rPr>
          <w:rFonts w:asciiTheme="majorHAnsi" w:hAnsiTheme="majorHAnsi"/>
          <w:color w:val="244061" w:themeColor="accent1" w:themeShade="80"/>
          <w:sz w:val="24"/>
          <w:szCs w:val="24"/>
        </w:rPr>
        <w:t xml:space="preserve">The 31-40 age range was a closer match; there were 53 respondents, or 17%, in this range and there were 16% of the total group of MRC cases closed in Status 26 or 28. </w:t>
      </w:r>
    </w:p>
    <w:p w:rsidR="00BC1C71" w:rsidRDefault="000433E7" w:rsidP="005D0E0D">
      <w:pPr>
        <w:spacing w:after="60" w:line="240" w:lineRule="auto"/>
        <w:rPr>
          <w:rFonts w:asciiTheme="majorHAnsi" w:hAnsiTheme="majorHAnsi"/>
          <w:b/>
          <w:color w:val="244061" w:themeColor="accent1" w:themeShade="80"/>
          <w:sz w:val="24"/>
          <w:szCs w:val="24"/>
        </w:rPr>
      </w:pPr>
      <w:r w:rsidRPr="00293E18">
        <w:rPr>
          <w:rFonts w:asciiTheme="majorHAnsi" w:hAnsiTheme="majorHAnsi"/>
          <w:b/>
          <w:color w:val="244061" w:themeColor="accent1" w:themeShade="80"/>
          <w:sz w:val="24"/>
          <w:szCs w:val="24"/>
        </w:rPr>
        <w:t>Education:</w:t>
      </w:r>
      <w:r w:rsidR="005A43D9">
        <w:rPr>
          <w:rFonts w:asciiTheme="majorHAnsi" w:hAnsiTheme="majorHAnsi"/>
          <w:b/>
          <w:color w:val="244061" w:themeColor="accent1" w:themeShade="80"/>
          <w:sz w:val="24"/>
          <w:szCs w:val="24"/>
        </w:rPr>
        <w:t xml:space="preserve"> </w:t>
      </w:r>
    </w:p>
    <w:p w:rsidR="000433E7" w:rsidRPr="005D0E0D" w:rsidRDefault="000433E7" w:rsidP="005D0E0D">
      <w:pPr>
        <w:spacing w:after="60" w:line="240" w:lineRule="auto"/>
        <w:rPr>
          <w:rFonts w:asciiTheme="majorHAnsi" w:hAnsiTheme="majorHAnsi"/>
          <w:b/>
          <w:color w:val="244061" w:themeColor="accent1" w:themeShade="80"/>
          <w:sz w:val="24"/>
          <w:szCs w:val="24"/>
        </w:rPr>
      </w:pPr>
      <w:r w:rsidRPr="00D34C6E">
        <w:rPr>
          <w:rFonts w:asciiTheme="majorHAnsi" w:hAnsiTheme="majorHAnsi"/>
          <w:color w:val="244061" w:themeColor="accent1" w:themeShade="80"/>
          <w:sz w:val="24"/>
          <w:szCs w:val="24"/>
        </w:rPr>
        <w:t xml:space="preserve">As in previous years, survey respondents were slightly more educated than the population from which they were sampled. </w:t>
      </w:r>
      <w:r w:rsidR="005A43D9">
        <w:rPr>
          <w:rFonts w:asciiTheme="majorHAnsi" w:hAnsiTheme="majorHAnsi"/>
          <w:color w:val="244061" w:themeColor="accent1" w:themeShade="80"/>
          <w:sz w:val="24"/>
          <w:szCs w:val="24"/>
        </w:rPr>
        <w:t>A</w:t>
      </w:r>
      <w:r w:rsidRPr="00D34C6E">
        <w:rPr>
          <w:rFonts w:asciiTheme="majorHAnsi" w:hAnsiTheme="majorHAnsi"/>
          <w:color w:val="244061" w:themeColor="accent1" w:themeShade="80"/>
          <w:sz w:val="24"/>
          <w:szCs w:val="24"/>
        </w:rPr>
        <w:t xml:space="preserve"> majority of respondents had an Associates’ degree</w:t>
      </w:r>
      <w:r w:rsidR="005A43D9">
        <w:rPr>
          <w:rFonts w:asciiTheme="majorHAnsi" w:hAnsiTheme="majorHAnsi"/>
          <w:color w:val="244061" w:themeColor="accent1" w:themeShade="80"/>
          <w:sz w:val="24"/>
          <w:szCs w:val="24"/>
        </w:rPr>
        <w:t>/</w:t>
      </w:r>
      <w:r w:rsidRPr="00D34C6E">
        <w:rPr>
          <w:rFonts w:asciiTheme="majorHAnsi" w:hAnsiTheme="majorHAnsi"/>
          <w:color w:val="244061" w:themeColor="accent1" w:themeShade="80"/>
          <w:sz w:val="24"/>
          <w:szCs w:val="24"/>
        </w:rPr>
        <w:t>certificate or a Ba</w:t>
      </w:r>
      <w:r w:rsidR="005A43D9">
        <w:rPr>
          <w:rFonts w:asciiTheme="majorHAnsi" w:hAnsiTheme="majorHAnsi"/>
          <w:color w:val="244061" w:themeColor="accent1" w:themeShade="80"/>
          <w:sz w:val="24"/>
          <w:szCs w:val="24"/>
        </w:rPr>
        <w:t>chelor’s degree (</w:t>
      </w:r>
      <w:r w:rsidRPr="00D34C6E">
        <w:rPr>
          <w:rFonts w:asciiTheme="majorHAnsi" w:hAnsiTheme="majorHAnsi"/>
          <w:color w:val="244061" w:themeColor="accent1" w:themeShade="80"/>
          <w:sz w:val="24"/>
          <w:szCs w:val="24"/>
        </w:rPr>
        <w:t>51% compared to about 38% in the population</w:t>
      </w:r>
      <w:r w:rsidR="005A43D9">
        <w:rPr>
          <w:rFonts w:asciiTheme="majorHAnsi" w:hAnsiTheme="majorHAnsi"/>
          <w:color w:val="244061" w:themeColor="accent1" w:themeShade="80"/>
          <w:sz w:val="24"/>
          <w:szCs w:val="24"/>
        </w:rPr>
        <w:t>)</w:t>
      </w:r>
      <w:r w:rsidRPr="00D34C6E">
        <w:rPr>
          <w:rFonts w:asciiTheme="majorHAnsi" w:hAnsiTheme="majorHAnsi"/>
          <w:color w:val="244061" w:themeColor="accent1" w:themeShade="80"/>
          <w:sz w:val="24"/>
          <w:szCs w:val="24"/>
        </w:rPr>
        <w:t>.</w:t>
      </w:r>
    </w:p>
    <w:p w:rsidR="00BC1C71" w:rsidRDefault="00BC1C71" w:rsidP="005A43D9">
      <w:pPr>
        <w:spacing w:after="60" w:line="240" w:lineRule="auto"/>
        <w:rPr>
          <w:rFonts w:asciiTheme="majorHAnsi" w:hAnsiTheme="majorHAnsi"/>
          <w:b/>
          <w:color w:val="244061" w:themeColor="accent1" w:themeShade="80"/>
          <w:sz w:val="24"/>
          <w:szCs w:val="24"/>
        </w:rPr>
      </w:pPr>
    </w:p>
    <w:p w:rsidR="00BC1C71" w:rsidRDefault="000433E7" w:rsidP="005A43D9">
      <w:pPr>
        <w:spacing w:after="60" w:line="240" w:lineRule="auto"/>
        <w:rPr>
          <w:rFonts w:asciiTheme="majorHAnsi" w:hAnsiTheme="majorHAnsi"/>
          <w:b/>
          <w:color w:val="244061" w:themeColor="accent1" w:themeShade="80"/>
          <w:sz w:val="24"/>
          <w:szCs w:val="24"/>
        </w:rPr>
      </w:pPr>
      <w:r w:rsidRPr="00293E18">
        <w:rPr>
          <w:rFonts w:asciiTheme="majorHAnsi" w:hAnsiTheme="majorHAnsi"/>
          <w:b/>
          <w:color w:val="244061" w:themeColor="accent1" w:themeShade="80"/>
          <w:sz w:val="24"/>
          <w:szCs w:val="24"/>
        </w:rPr>
        <w:t>Disability</w:t>
      </w:r>
      <w:r>
        <w:rPr>
          <w:rFonts w:asciiTheme="majorHAnsi" w:hAnsiTheme="majorHAnsi"/>
          <w:b/>
          <w:color w:val="244061" w:themeColor="accent1" w:themeShade="80"/>
          <w:sz w:val="24"/>
          <w:szCs w:val="24"/>
        </w:rPr>
        <w:t>:</w:t>
      </w:r>
      <w:r w:rsidR="005A43D9">
        <w:rPr>
          <w:rFonts w:asciiTheme="majorHAnsi" w:hAnsiTheme="majorHAnsi"/>
          <w:b/>
          <w:color w:val="244061" w:themeColor="accent1" w:themeShade="80"/>
          <w:sz w:val="24"/>
          <w:szCs w:val="24"/>
        </w:rPr>
        <w:t xml:space="preserve"> </w:t>
      </w:r>
    </w:p>
    <w:p w:rsidR="00667225" w:rsidRPr="005A43D9" w:rsidRDefault="000433E7" w:rsidP="005A43D9">
      <w:pPr>
        <w:spacing w:after="60" w:line="240" w:lineRule="auto"/>
        <w:rPr>
          <w:rFonts w:asciiTheme="majorHAnsi" w:hAnsiTheme="majorHAnsi"/>
          <w:b/>
          <w:color w:val="244061" w:themeColor="accent1" w:themeShade="80"/>
          <w:sz w:val="24"/>
          <w:szCs w:val="24"/>
        </w:rPr>
      </w:pPr>
      <w:r w:rsidRPr="00D34C6E">
        <w:rPr>
          <w:rFonts w:asciiTheme="majorHAnsi" w:hAnsiTheme="majorHAnsi"/>
          <w:color w:val="244061" w:themeColor="accent1" w:themeShade="80"/>
          <w:sz w:val="24"/>
          <w:szCs w:val="24"/>
        </w:rPr>
        <w:t xml:space="preserve">There were few differences with type of disability between respondents and the population from which they were drawn, with some exceptions; there were many more respondents with hearing/communication disabilities (18%, vs. 8.5%) and there were more respondents with Mobility/Orthopedic disabilities than the population of cases closed in Status 26 or 28 (16% vs. 10.3%). There were less respondents with cognitive disabilities in all the FY 2014 cases closed in Status 26 or 28 (16% vs. 25%).  </w:t>
      </w:r>
    </w:p>
    <w:p w:rsidR="005A43D9" w:rsidRPr="005A43D9" w:rsidRDefault="005A43D9" w:rsidP="002F12BF">
      <w:pPr>
        <w:spacing w:after="60"/>
        <w:rPr>
          <w:rFonts w:asciiTheme="majorHAnsi" w:hAnsiTheme="majorHAnsi"/>
          <w:b/>
          <w:color w:val="244061" w:themeColor="accent1" w:themeShade="80"/>
          <w:sz w:val="20"/>
          <w:szCs w:val="20"/>
        </w:rPr>
      </w:pPr>
    </w:p>
    <w:p w:rsidR="00BC1C71" w:rsidRDefault="000433E7" w:rsidP="005A43D9">
      <w:pPr>
        <w:spacing w:after="60"/>
        <w:rPr>
          <w:rFonts w:asciiTheme="majorHAnsi" w:hAnsiTheme="majorHAnsi"/>
          <w:color w:val="244061" w:themeColor="accent1" w:themeShade="80"/>
          <w:sz w:val="24"/>
          <w:szCs w:val="24"/>
        </w:rPr>
      </w:pPr>
      <w:r w:rsidRPr="00293E18">
        <w:rPr>
          <w:rFonts w:asciiTheme="majorHAnsi" w:hAnsiTheme="majorHAnsi"/>
          <w:b/>
          <w:color w:val="244061" w:themeColor="accent1" w:themeShade="80"/>
          <w:sz w:val="24"/>
          <w:szCs w:val="24"/>
        </w:rPr>
        <w:t>Work Hours and Wages</w:t>
      </w:r>
      <w:r>
        <w:rPr>
          <w:rFonts w:asciiTheme="majorHAnsi" w:hAnsiTheme="majorHAnsi"/>
          <w:b/>
          <w:color w:val="244061" w:themeColor="accent1" w:themeShade="80"/>
          <w:sz w:val="24"/>
          <w:szCs w:val="24"/>
        </w:rPr>
        <w:t>:</w:t>
      </w:r>
      <w:r w:rsidR="005A43D9">
        <w:rPr>
          <w:rFonts w:asciiTheme="majorHAnsi" w:hAnsiTheme="majorHAnsi"/>
          <w:color w:val="244061" w:themeColor="accent1" w:themeShade="80"/>
          <w:sz w:val="24"/>
          <w:szCs w:val="24"/>
        </w:rPr>
        <w:t xml:space="preserve"> </w:t>
      </w:r>
    </w:p>
    <w:p w:rsidR="000433E7" w:rsidRPr="005A43D9" w:rsidRDefault="000433E7" w:rsidP="005A43D9">
      <w:pPr>
        <w:spacing w:after="60"/>
        <w:rPr>
          <w:rFonts w:asciiTheme="majorHAnsi" w:hAnsiTheme="majorHAnsi"/>
          <w:color w:val="244061" w:themeColor="accent1" w:themeShade="80"/>
          <w:sz w:val="24"/>
          <w:szCs w:val="24"/>
        </w:rPr>
      </w:pPr>
      <w:r>
        <w:rPr>
          <w:rFonts w:asciiTheme="majorHAnsi" w:hAnsiTheme="majorHAnsi"/>
          <w:color w:val="244061" w:themeColor="accent1" w:themeShade="80"/>
          <w:sz w:val="24"/>
          <w:szCs w:val="24"/>
        </w:rPr>
        <w:t xml:space="preserve">The 2014 satisfaction survey was the first to ask respondents about their employment outcomes (job status, wages, and work hours). </w:t>
      </w:r>
      <w:r w:rsidRPr="00D34C6E">
        <w:rPr>
          <w:rFonts w:asciiTheme="majorHAnsi" w:hAnsiTheme="majorHAnsi"/>
          <w:color w:val="244061" w:themeColor="accent1" w:themeShade="80"/>
          <w:sz w:val="24"/>
          <w:szCs w:val="24"/>
        </w:rPr>
        <w:t xml:space="preserve">With regard to hours worked per week and hourly wages, survey respondents essentially matched the population of MRC closed cases. A large majority of respondents with jobs (38%, the largest group by far) responded that they work 35 hour or more, followed by 16-20 hours by week (14.5%). In addition, </w:t>
      </w:r>
      <w:r w:rsidRPr="00D34C6E">
        <w:rPr>
          <w:rFonts w:asciiTheme="majorHAnsi" w:hAnsiTheme="majorHAnsi" w:cs="Arial"/>
          <w:color w:val="244061" w:themeColor="accent1" w:themeShade="80"/>
          <w:sz w:val="24"/>
          <w:szCs w:val="24"/>
          <w:lang w:val="en"/>
        </w:rPr>
        <w:t xml:space="preserve">70% of respondents, or 143 individuals, earn between $11 and $20 an hour, with the majority earning $12 to $14 an hour. By comparison, the population of all MRC VR closed cases in FY 2014 had an average work week of 26.9 hours, and average hourly wages of $12.69. </w:t>
      </w:r>
    </w:p>
    <w:p w:rsidR="005A43D9" w:rsidRPr="005A43D9" w:rsidRDefault="005A43D9" w:rsidP="000433E7">
      <w:pPr>
        <w:spacing w:after="60" w:line="240" w:lineRule="auto"/>
        <w:rPr>
          <w:rFonts w:asciiTheme="majorHAnsi" w:hAnsiTheme="majorHAnsi"/>
          <w:b/>
          <w:color w:val="244061" w:themeColor="accent1" w:themeShade="80"/>
          <w:sz w:val="20"/>
          <w:szCs w:val="20"/>
        </w:rPr>
      </w:pPr>
    </w:p>
    <w:p w:rsidR="00BC1C71" w:rsidRDefault="000433E7" w:rsidP="005A43D9">
      <w:pPr>
        <w:spacing w:after="60" w:line="240" w:lineRule="auto"/>
        <w:rPr>
          <w:rFonts w:asciiTheme="majorHAnsi" w:hAnsiTheme="majorHAnsi"/>
          <w:b/>
          <w:color w:val="244061" w:themeColor="accent1" w:themeShade="80"/>
          <w:sz w:val="24"/>
          <w:szCs w:val="24"/>
        </w:rPr>
      </w:pPr>
      <w:r w:rsidRPr="00FC5D2B">
        <w:rPr>
          <w:rFonts w:asciiTheme="majorHAnsi" w:hAnsiTheme="majorHAnsi"/>
          <w:b/>
          <w:color w:val="244061" w:themeColor="accent1" w:themeShade="80"/>
          <w:sz w:val="24"/>
          <w:szCs w:val="24"/>
        </w:rPr>
        <w:t>Status at Closure:</w:t>
      </w:r>
      <w:r w:rsidR="005A43D9">
        <w:rPr>
          <w:rFonts w:asciiTheme="majorHAnsi" w:hAnsiTheme="majorHAnsi"/>
          <w:b/>
          <w:color w:val="244061" w:themeColor="accent1" w:themeShade="80"/>
          <w:sz w:val="24"/>
          <w:szCs w:val="24"/>
        </w:rPr>
        <w:t xml:space="preserve"> </w:t>
      </w:r>
    </w:p>
    <w:p w:rsidR="000433E7" w:rsidRPr="005A43D9" w:rsidRDefault="000433E7" w:rsidP="005A43D9">
      <w:pPr>
        <w:spacing w:after="60" w:line="240" w:lineRule="auto"/>
        <w:rPr>
          <w:rFonts w:asciiTheme="majorHAnsi" w:hAnsiTheme="majorHAnsi"/>
          <w:b/>
          <w:color w:val="244061" w:themeColor="accent1" w:themeShade="80"/>
          <w:sz w:val="24"/>
          <w:szCs w:val="24"/>
        </w:rPr>
      </w:pPr>
      <w:r w:rsidRPr="00D34C6E">
        <w:rPr>
          <w:rFonts w:asciiTheme="majorHAnsi" w:hAnsiTheme="majorHAnsi"/>
          <w:color w:val="244061" w:themeColor="accent1" w:themeShade="80"/>
          <w:sz w:val="24"/>
          <w:szCs w:val="24"/>
        </w:rPr>
        <w:t xml:space="preserve">The percentage of 2014 survey respondents who were closed in Status 26 was 74%, a great majority, while </w:t>
      </w:r>
      <w:r w:rsidR="009410F8">
        <w:rPr>
          <w:rFonts w:asciiTheme="majorHAnsi" w:hAnsiTheme="majorHAnsi"/>
          <w:color w:val="244061" w:themeColor="accent1" w:themeShade="80"/>
          <w:sz w:val="24"/>
          <w:szCs w:val="24"/>
        </w:rPr>
        <w:t>2</w:t>
      </w:r>
      <w:r w:rsidRPr="00D34C6E">
        <w:rPr>
          <w:rFonts w:asciiTheme="majorHAnsi" w:hAnsiTheme="majorHAnsi"/>
          <w:color w:val="244061" w:themeColor="accent1" w:themeShade="80"/>
          <w:sz w:val="24"/>
          <w:szCs w:val="24"/>
        </w:rPr>
        <w:t>6% were closed in Status 28. By comparison, among the population of all MRC closed cases in FFY 2014, Status 26 cases accounted for 63.3% of closed cases while Status 28 accounted for 36.7</w:t>
      </w:r>
      <w:r w:rsidR="00CA4C06">
        <w:rPr>
          <w:rFonts w:asciiTheme="majorHAnsi" w:hAnsiTheme="majorHAnsi"/>
          <w:color w:val="244061" w:themeColor="accent1" w:themeShade="80"/>
          <w:sz w:val="24"/>
          <w:szCs w:val="24"/>
        </w:rPr>
        <w:t>%. As in previous years, it is reasonable</w:t>
      </w:r>
      <w:r w:rsidRPr="00D34C6E">
        <w:rPr>
          <w:rFonts w:asciiTheme="majorHAnsi" w:hAnsiTheme="majorHAnsi"/>
          <w:color w:val="244061" w:themeColor="accent1" w:themeShade="80"/>
          <w:sz w:val="24"/>
          <w:szCs w:val="24"/>
        </w:rPr>
        <w:t xml:space="preserve"> to receive more survey responses from </w:t>
      </w:r>
      <w:r w:rsidR="006F5BF2">
        <w:rPr>
          <w:rFonts w:asciiTheme="majorHAnsi" w:hAnsiTheme="majorHAnsi"/>
          <w:color w:val="244061" w:themeColor="accent1" w:themeShade="80"/>
          <w:sz w:val="24"/>
          <w:szCs w:val="24"/>
        </w:rPr>
        <w:t>those closed in Status 26</w:t>
      </w:r>
      <w:r w:rsidRPr="00D34C6E">
        <w:rPr>
          <w:rFonts w:asciiTheme="majorHAnsi" w:hAnsiTheme="majorHAnsi"/>
          <w:color w:val="244061" w:themeColor="accent1" w:themeShade="80"/>
          <w:sz w:val="24"/>
          <w:szCs w:val="24"/>
        </w:rPr>
        <w:t xml:space="preserve"> vs </w:t>
      </w:r>
      <w:r w:rsidR="006F5BF2">
        <w:rPr>
          <w:rFonts w:asciiTheme="majorHAnsi" w:hAnsiTheme="majorHAnsi"/>
          <w:color w:val="244061" w:themeColor="accent1" w:themeShade="80"/>
          <w:sz w:val="24"/>
          <w:szCs w:val="24"/>
        </w:rPr>
        <w:t>those closed in Status 28</w:t>
      </w:r>
      <w:r w:rsidRPr="00D34C6E">
        <w:rPr>
          <w:rFonts w:asciiTheme="majorHAnsi" w:hAnsiTheme="majorHAnsi"/>
          <w:color w:val="244061" w:themeColor="accent1" w:themeShade="80"/>
          <w:sz w:val="24"/>
          <w:szCs w:val="24"/>
        </w:rPr>
        <w:t>.</w:t>
      </w:r>
    </w:p>
    <w:p w:rsidR="005A43D9" w:rsidRPr="005A43D9" w:rsidRDefault="005A43D9" w:rsidP="000433E7">
      <w:pPr>
        <w:spacing w:after="60" w:line="240" w:lineRule="auto"/>
        <w:rPr>
          <w:rFonts w:asciiTheme="majorHAnsi" w:hAnsiTheme="majorHAnsi"/>
          <w:b/>
          <w:color w:val="244061" w:themeColor="accent1" w:themeShade="80"/>
          <w:sz w:val="20"/>
          <w:szCs w:val="20"/>
        </w:rPr>
      </w:pPr>
    </w:p>
    <w:p w:rsidR="00BC1C71" w:rsidRDefault="000433E7" w:rsidP="005A43D9">
      <w:pPr>
        <w:spacing w:after="60" w:line="240" w:lineRule="auto"/>
        <w:rPr>
          <w:rFonts w:asciiTheme="majorHAnsi" w:hAnsiTheme="majorHAnsi"/>
          <w:b/>
          <w:color w:val="244061" w:themeColor="accent1" w:themeShade="80"/>
          <w:sz w:val="24"/>
          <w:szCs w:val="24"/>
        </w:rPr>
      </w:pPr>
      <w:r w:rsidRPr="00FC5D2B">
        <w:rPr>
          <w:rFonts w:asciiTheme="majorHAnsi" w:hAnsiTheme="majorHAnsi"/>
          <w:b/>
          <w:color w:val="244061" w:themeColor="accent1" w:themeShade="80"/>
          <w:sz w:val="24"/>
          <w:szCs w:val="24"/>
        </w:rPr>
        <w:t>MRC Area Offices:</w:t>
      </w:r>
      <w:r w:rsidR="005A43D9">
        <w:rPr>
          <w:rFonts w:asciiTheme="majorHAnsi" w:hAnsiTheme="majorHAnsi"/>
          <w:b/>
          <w:color w:val="244061" w:themeColor="accent1" w:themeShade="80"/>
          <w:sz w:val="24"/>
          <w:szCs w:val="24"/>
        </w:rPr>
        <w:t xml:space="preserve"> </w:t>
      </w:r>
    </w:p>
    <w:p w:rsidR="000433E7" w:rsidRPr="005A43D9" w:rsidRDefault="000433E7" w:rsidP="005A43D9">
      <w:pPr>
        <w:spacing w:after="60" w:line="240" w:lineRule="auto"/>
        <w:rPr>
          <w:rFonts w:asciiTheme="majorHAnsi" w:hAnsiTheme="majorHAnsi"/>
          <w:b/>
          <w:color w:val="244061" w:themeColor="accent1" w:themeShade="80"/>
          <w:sz w:val="24"/>
          <w:szCs w:val="24"/>
        </w:rPr>
      </w:pPr>
      <w:r w:rsidRPr="00D34C6E">
        <w:rPr>
          <w:rFonts w:asciiTheme="majorHAnsi" w:hAnsiTheme="majorHAnsi"/>
          <w:color w:val="244061" w:themeColor="accent1" w:themeShade="80"/>
          <w:sz w:val="24"/>
          <w:szCs w:val="24"/>
        </w:rPr>
        <w:t xml:space="preserve">With regard to the distribution of responses from the MRC area offices, there were between 2 and 44 respondents from each of the offices (which vary greatly in the number of consumers served depending on catchment area). The largest number of responses came </w:t>
      </w:r>
      <w:r w:rsidR="00E55B44">
        <w:rPr>
          <w:rFonts w:asciiTheme="majorHAnsi" w:hAnsiTheme="majorHAnsi"/>
          <w:color w:val="244061" w:themeColor="accent1" w:themeShade="80"/>
          <w:sz w:val="24"/>
          <w:szCs w:val="24"/>
        </w:rPr>
        <w:t xml:space="preserve">from </w:t>
      </w:r>
      <w:r w:rsidRPr="00D34C6E">
        <w:rPr>
          <w:rFonts w:asciiTheme="majorHAnsi" w:hAnsiTheme="majorHAnsi"/>
          <w:color w:val="244061" w:themeColor="accent1" w:themeShade="80"/>
          <w:sz w:val="24"/>
          <w:szCs w:val="24"/>
        </w:rPr>
        <w:t xml:space="preserve">area offices in relatively dense areas, such as </w:t>
      </w:r>
      <w:r>
        <w:rPr>
          <w:rFonts w:asciiTheme="majorHAnsi" w:hAnsiTheme="majorHAnsi"/>
          <w:color w:val="244061" w:themeColor="accent1" w:themeShade="80"/>
          <w:sz w:val="24"/>
          <w:szCs w:val="24"/>
        </w:rPr>
        <w:t>Downtown</w:t>
      </w:r>
      <w:r w:rsidRPr="00D34C6E">
        <w:rPr>
          <w:rFonts w:asciiTheme="majorHAnsi" w:hAnsiTheme="majorHAnsi"/>
          <w:color w:val="244061" w:themeColor="accent1" w:themeShade="80"/>
          <w:sz w:val="24"/>
          <w:szCs w:val="24"/>
        </w:rPr>
        <w:t xml:space="preserve"> Boston</w:t>
      </w:r>
      <w:r>
        <w:rPr>
          <w:rFonts w:asciiTheme="majorHAnsi" w:hAnsiTheme="majorHAnsi"/>
          <w:color w:val="244061" w:themeColor="accent1" w:themeShade="80"/>
          <w:sz w:val="24"/>
          <w:szCs w:val="24"/>
        </w:rPr>
        <w:t xml:space="preserve"> (44)</w:t>
      </w:r>
      <w:r w:rsidRPr="00D34C6E">
        <w:rPr>
          <w:rFonts w:asciiTheme="majorHAnsi" w:hAnsiTheme="majorHAnsi"/>
          <w:color w:val="244061" w:themeColor="accent1" w:themeShade="80"/>
          <w:sz w:val="24"/>
          <w:szCs w:val="24"/>
        </w:rPr>
        <w:t>, Somerville</w:t>
      </w:r>
      <w:r>
        <w:rPr>
          <w:rFonts w:asciiTheme="majorHAnsi" w:hAnsiTheme="majorHAnsi"/>
          <w:color w:val="244061" w:themeColor="accent1" w:themeShade="80"/>
          <w:sz w:val="24"/>
          <w:szCs w:val="24"/>
        </w:rPr>
        <w:t xml:space="preserve"> (32), and </w:t>
      </w:r>
      <w:r w:rsidRPr="00D34C6E">
        <w:rPr>
          <w:rFonts w:asciiTheme="majorHAnsi" w:hAnsiTheme="majorHAnsi"/>
          <w:color w:val="244061" w:themeColor="accent1" w:themeShade="80"/>
          <w:sz w:val="24"/>
          <w:szCs w:val="24"/>
        </w:rPr>
        <w:t>Worcester</w:t>
      </w:r>
      <w:r>
        <w:rPr>
          <w:rFonts w:asciiTheme="majorHAnsi" w:hAnsiTheme="majorHAnsi"/>
          <w:color w:val="244061" w:themeColor="accent1" w:themeShade="80"/>
          <w:sz w:val="24"/>
          <w:szCs w:val="24"/>
        </w:rPr>
        <w:t xml:space="preserve"> (26).</w:t>
      </w:r>
      <w:r w:rsidRPr="00D34C6E">
        <w:rPr>
          <w:rFonts w:asciiTheme="majorHAnsi" w:hAnsiTheme="majorHAnsi"/>
          <w:color w:val="244061" w:themeColor="accent1" w:themeShade="80"/>
          <w:sz w:val="24"/>
          <w:szCs w:val="24"/>
        </w:rPr>
        <w:t xml:space="preserve"> </w:t>
      </w:r>
      <w:r>
        <w:rPr>
          <w:rFonts w:asciiTheme="majorHAnsi" w:hAnsiTheme="majorHAnsi"/>
          <w:color w:val="244061" w:themeColor="accent1" w:themeShade="80"/>
          <w:sz w:val="24"/>
          <w:szCs w:val="24"/>
        </w:rPr>
        <w:t>The offices with the least number of responses were Fall River (2), Milford (3), Fitchburg (3), and Sturbridge (4).</w:t>
      </w:r>
    </w:p>
    <w:p w:rsidR="00CB18B2" w:rsidRPr="00B26D85" w:rsidRDefault="00CB18B2" w:rsidP="00B26D85">
      <w:pPr>
        <w:spacing w:after="0"/>
        <w:rPr>
          <w:rFonts w:asciiTheme="majorHAnsi" w:hAnsiTheme="majorHAnsi"/>
          <w:color w:val="244061" w:themeColor="accent1" w:themeShade="80"/>
          <w:sz w:val="24"/>
          <w:szCs w:val="24"/>
        </w:rPr>
      </w:pPr>
    </w:p>
    <w:p w:rsidR="00CB18B2" w:rsidRPr="00D34C6E" w:rsidRDefault="00CB18B2" w:rsidP="00CB18B2">
      <w:pPr>
        <w:autoSpaceDE w:val="0"/>
        <w:autoSpaceDN w:val="0"/>
        <w:adjustRightInd w:val="0"/>
        <w:spacing w:after="0"/>
        <w:rPr>
          <w:rFonts w:asciiTheme="majorHAnsi" w:hAnsiTheme="majorHAnsi"/>
          <w:color w:val="244061" w:themeColor="accent1" w:themeShade="80"/>
          <w:sz w:val="16"/>
          <w:szCs w:val="16"/>
        </w:rPr>
      </w:pPr>
    </w:p>
    <w:p w:rsidR="00CA4C06" w:rsidRDefault="00CA4C06" w:rsidP="00CA4C06">
      <w:pPr>
        <w:spacing w:after="0" w:line="240" w:lineRule="auto"/>
        <w:ind w:right="-547"/>
        <w:rPr>
          <w:rFonts w:asciiTheme="majorHAnsi" w:hAnsiTheme="majorHAnsi"/>
          <w:b/>
          <w:color w:val="244061" w:themeColor="accent1" w:themeShade="80"/>
          <w:sz w:val="24"/>
          <w:szCs w:val="24"/>
        </w:rPr>
      </w:pPr>
      <w:r>
        <w:rPr>
          <w:rFonts w:asciiTheme="majorHAnsi" w:hAnsiTheme="majorHAnsi"/>
          <w:b/>
          <w:color w:val="244061" w:themeColor="accent1" w:themeShade="80"/>
          <w:sz w:val="24"/>
          <w:szCs w:val="24"/>
        </w:rPr>
        <w:t>RECOMMENDATIONS</w:t>
      </w:r>
    </w:p>
    <w:p w:rsidR="0075135B" w:rsidRDefault="00E840C4" w:rsidP="0075135B">
      <w:pPr>
        <w:spacing w:after="0" w:line="264" w:lineRule="auto"/>
        <w:ind w:right="-540"/>
        <w:rPr>
          <w:rFonts w:asciiTheme="majorHAnsi" w:hAnsiTheme="majorHAnsi"/>
          <w:b/>
          <w:color w:val="244061" w:themeColor="accent1" w:themeShade="80"/>
          <w:sz w:val="24"/>
          <w:szCs w:val="24"/>
        </w:rPr>
      </w:pPr>
      <w:r>
        <w:rPr>
          <w:rFonts w:asciiTheme="majorHAnsi" w:hAnsiTheme="majorHAnsi"/>
          <w:b/>
          <w:color w:val="244061" w:themeColor="accent1" w:themeShade="80"/>
          <w:sz w:val="28"/>
          <w:szCs w:val="28"/>
        </w:rPr>
        <w:pict>
          <v:rect id="_x0000_i1030" style="width:468pt;height:1.5pt" o:hralign="center" o:hrstd="t" o:hrnoshade="t" o:hr="t" fillcolor="#0f243e [1615]" stroked="f"/>
        </w:pict>
      </w:r>
    </w:p>
    <w:p w:rsidR="007B6962" w:rsidRPr="002F12BF" w:rsidRDefault="007B6962" w:rsidP="0075135B">
      <w:pPr>
        <w:spacing w:after="0" w:line="264" w:lineRule="auto"/>
        <w:ind w:right="-540"/>
        <w:rPr>
          <w:rFonts w:asciiTheme="majorHAnsi" w:hAnsiTheme="majorHAnsi"/>
          <w:b/>
          <w:color w:val="244061" w:themeColor="accent1" w:themeShade="80"/>
          <w:sz w:val="12"/>
          <w:szCs w:val="12"/>
        </w:rPr>
      </w:pPr>
    </w:p>
    <w:p w:rsidR="00994AED" w:rsidRDefault="00994AED" w:rsidP="00994AED">
      <w:pPr>
        <w:pStyle w:val="ListParagraph"/>
        <w:numPr>
          <w:ilvl w:val="0"/>
          <w:numId w:val="12"/>
        </w:numPr>
        <w:spacing w:after="0" w:line="264" w:lineRule="auto"/>
        <w:ind w:right="-540"/>
        <w:rPr>
          <w:rFonts w:asciiTheme="majorHAnsi" w:hAnsiTheme="majorHAnsi"/>
          <w:color w:val="244061" w:themeColor="accent1" w:themeShade="80"/>
          <w:sz w:val="24"/>
          <w:szCs w:val="24"/>
        </w:rPr>
      </w:pPr>
      <w:r>
        <w:rPr>
          <w:rFonts w:asciiTheme="majorHAnsi" w:hAnsiTheme="majorHAnsi"/>
          <w:color w:val="244061" w:themeColor="accent1" w:themeShade="80"/>
          <w:sz w:val="24"/>
          <w:szCs w:val="24"/>
        </w:rPr>
        <w:t xml:space="preserve">The MRC should continue to work to make sure all new and existing consumers are given access to the MRC Consumer Handbook, to increase consistency and uniformity of </w:t>
      </w:r>
      <w:r w:rsidR="00496958">
        <w:rPr>
          <w:rFonts w:asciiTheme="majorHAnsi" w:hAnsiTheme="majorHAnsi"/>
          <w:color w:val="244061" w:themeColor="accent1" w:themeShade="80"/>
          <w:sz w:val="24"/>
          <w:szCs w:val="24"/>
        </w:rPr>
        <w:t xml:space="preserve">VR </w:t>
      </w:r>
      <w:r>
        <w:rPr>
          <w:rFonts w:asciiTheme="majorHAnsi" w:hAnsiTheme="majorHAnsi"/>
          <w:color w:val="244061" w:themeColor="accent1" w:themeShade="80"/>
          <w:sz w:val="24"/>
          <w:szCs w:val="24"/>
        </w:rPr>
        <w:t xml:space="preserve">services </w:t>
      </w:r>
      <w:r w:rsidR="00496958">
        <w:rPr>
          <w:rFonts w:asciiTheme="majorHAnsi" w:hAnsiTheme="majorHAnsi"/>
          <w:color w:val="244061" w:themeColor="accent1" w:themeShade="80"/>
          <w:sz w:val="24"/>
          <w:szCs w:val="24"/>
        </w:rPr>
        <w:t>across area offices and providers as well as to</w:t>
      </w:r>
      <w:r>
        <w:rPr>
          <w:rFonts w:asciiTheme="majorHAnsi" w:hAnsiTheme="majorHAnsi"/>
          <w:color w:val="244061" w:themeColor="accent1" w:themeShade="80"/>
          <w:sz w:val="24"/>
          <w:szCs w:val="24"/>
        </w:rPr>
        <w:t xml:space="preserve"> ensure that consumers are </w:t>
      </w:r>
      <w:r w:rsidR="00496958">
        <w:rPr>
          <w:rFonts w:asciiTheme="majorHAnsi" w:hAnsiTheme="majorHAnsi"/>
          <w:color w:val="244061" w:themeColor="accent1" w:themeShade="80"/>
          <w:sz w:val="24"/>
          <w:szCs w:val="24"/>
        </w:rPr>
        <w:t xml:space="preserve">made </w:t>
      </w:r>
      <w:r>
        <w:rPr>
          <w:rFonts w:asciiTheme="majorHAnsi" w:hAnsiTheme="majorHAnsi"/>
          <w:color w:val="244061" w:themeColor="accent1" w:themeShade="80"/>
          <w:sz w:val="24"/>
          <w:szCs w:val="24"/>
        </w:rPr>
        <w:t>aware of all services</w:t>
      </w:r>
      <w:r w:rsidR="00496958">
        <w:rPr>
          <w:rFonts w:asciiTheme="majorHAnsi" w:hAnsiTheme="majorHAnsi"/>
          <w:color w:val="244061" w:themeColor="accent1" w:themeShade="80"/>
          <w:sz w:val="24"/>
          <w:szCs w:val="24"/>
        </w:rPr>
        <w:t xml:space="preserve"> available to them</w:t>
      </w:r>
      <w:r>
        <w:rPr>
          <w:rFonts w:asciiTheme="majorHAnsi" w:hAnsiTheme="majorHAnsi"/>
          <w:color w:val="244061" w:themeColor="accent1" w:themeShade="80"/>
          <w:sz w:val="24"/>
          <w:szCs w:val="24"/>
        </w:rPr>
        <w:t>. The MRC will continue to track consumer awareness of the handbook through the annual Consumer Satisfaction Survey.</w:t>
      </w:r>
    </w:p>
    <w:p w:rsidR="00994AED" w:rsidRPr="00994AED" w:rsidRDefault="00994AED" w:rsidP="00994AED">
      <w:pPr>
        <w:pStyle w:val="ListParagraph"/>
        <w:spacing w:after="0" w:line="264" w:lineRule="auto"/>
        <w:ind w:right="-540"/>
        <w:rPr>
          <w:rFonts w:asciiTheme="majorHAnsi" w:hAnsiTheme="majorHAnsi"/>
          <w:color w:val="244061" w:themeColor="accent1" w:themeShade="80"/>
          <w:sz w:val="16"/>
          <w:szCs w:val="16"/>
        </w:rPr>
      </w:pPr>
    </w:p>
    <w:p w:rsidR="00484F30" w:rsidRPr="00496958" w:rsidRDefault="000B44BB" w:rsidP="00496958">
      <w:pPr>
        <w:pStyle w:val="ListParagraph"/>
        <w:numPr>
          <w:ilvl w:val="0"/>
          <w:numId w:val="12"/>
        </w:numPr>
        <w:spacing w:after="0" w:line="264" w:lineRule="auto"/>
        <w:ind w:right="-540"/>
        <w:rPr>
          <w:rFonts w:asciiTheme="majorHAnsi" w:hAnsiTheme="majorHAnsi"/>
          <w:color w:val="244061" w:themeColor="accent1" w:themeShade="80"/>
          <w:sz w:val="24"/>
          <w:szCs w:val="24"/>
        </w:rPr>
      </w:pPr>
      <w:r>
        <w:rPr>
          <w:rFonts w:asciiTheme="majorHAnsi" w:hAnsiTheme="majorHAnsi"/>
          <w:color w:val="244061" w:themeColor="accent1" w:themeShade="80"/>
          <w:sz w:val="24"/>
          <w:szCs w:val="24"/>
        </w:rPr>
        <w:t>The MRC should work to i</w:t>
      </w:r>
      <w:r w:rsidR="002F12BF">
        <w:rPr>
          <w:rFonts w:asciiTheme="majorHAnsi" w:hAnsiTheme="majorHAnsi"/>
          <w:color w:val="244061" w:themeColor="accent1" w:themeShade="80"/>
          <w:sz w:val="24"/>
          <w:szCs w:val="24"/>
        </w:rPr>
        <w:t>mprove</w:t>
      </w:r>
      <w:r>
        <w:rPr>
          <w:rFonts w:asciiTheme="majorHAnsi" w:hAnsiTheme="majorHAnsi"/>
          <w:color w:val="244061" w:themeColor="accent1" w:themeShade="80"/>
          <w:sz w:val="24"/>
          <w:szCs w:val="24"/>
        </w:rPr>
        <w:t xml:space="preserve"> the quality and number of job interviews and job leads for MRC VR consumers. Though satisfaction with these services was moderately high (in the 60% to 70% range), improvements can be made. </w:t>
      </w:r>
    </w:p>
    <w:p w:rsidR="00496958" w:rsidRPr="00994AED" w:rsidRDefault="00496958" w:rsidP="00496958">
      <w:pPr>
        <w:pStyle w:val="ListParagraph"/>
        <w:spacing w:after="0" w:line="264" w:lineRule="auto"/>
        <w:ind w:right="-540"/>
        <w:rPr>
          <w:rFonts w:asciiTheme="majorHAnsi" w:hAnsiTheme="majorHAnsi"/>
          <w:color w:val="244061" w:themeColor="accent1" w:themeShade="80"/>
          <w:sz w:val="16"/>
          <w:szCs w:val="16"/>
        </w:rPr>
      </w:pPr>
    </w:p>
    <w:p w:rsidR="00496958" w:rsidRPr="00714BE8" w:rsidRDefault="006F39FA" w:rsidP="00182EB2">
      <w:pPr>
        <w:pStyle w:val="ListParagraph"/>
        <w:numPr>
          <w:ilvl w:val="0"/>
          <w:numId w:val="12"/>
        </w:numPr>
        <w:spacing w:after="0" w:line="264" w:lineRule="auto"/>
        <w:ind w:right="-540"/>
        <w:rPr>
          <w:rFonts w:asciiTheme="majorHAnsi" w:hAnsiTheme="majorHAnsi"/>
          <w:color w:val="244061" w:themeColor="accent1" w:themeShade="80"/>
          <w:sz w:val="16"/>
          <w:szCs w:val="16"/>
        </w:rPr>
      </w:pPr>
      <w:r>
        <w:rPr>
          <w:rFonts w:asciiTheme="majorHAnsi" w:hAnsiTheme="majorHAnsi"/>
          <w:color w:val="244061" w:themeColor="accent1" w:themeShade="80"/>
          <w:sz w:val="24"/>
          <w:szCs w:val="24"/>
        </w:rPr>
        <w:t xml:space="preserve">The MRC </w:t>
      </w:r>
      <w:r w:rsidR="00323910">
        <w:rPr>
          <w:rFonts w:asciiTheme="majorHAnsi" w:hAnsiTheme="majorHAnsi"/>
          <w:color w:val="244061" w:themeColor="accent1" w:themeShade="80"/>
          <w:sz w:val="24"/>
          <w:szCs w:val="24"/>
        </w:rPr>
        <w:t>should continue to work to measure and analyze consumer outcomes beyond the current 90 day case closure timeframe, to determine longer term outcomes regarding job status, work hours, wages, and job satisfaction for MRC VR consumers.</w:t>
      </w:r>
    </w:p>
    <w:p w:rsidR="00714BE8" w:rsidRPr="00714BE8" w:rsidRDefault="00714BE8" w:rsidP="00714BE8">
      <w:pPr>
        <w:spacing w:after="0" w:line="264" w:lineRule="auto"/>
        <w:ind w:right="-540"/>
        <w:rPr>
          <w:rFonts w:asciiTheme="majorHAnsi" w:hAnsiTheme="majorHAnsi"/>
          <w:color w:val="244061" w:themeColor="accent1" w:themeShade="80"/>
          <w:sz w:val="16"/>
          <w:szCs w:val="16"/>
        </w:rPr>
      </w:pPr>
    </w:p>
    <w:p w:rsidR="00714BE8" w:rsidRDefault="00714BE8" w:rsidP="00714BE8">
      <w:pPr>
        <w:pStyle w:val="ListParagraph"/>
        <w:numPr>
          <w:ilvl w:val="0"/>
          <w:numId w:val="12"/>
        </w:numPr>
        <w:spacing w:after="0" w:line="264" w:lineRule="auto"/>
        <w:ind w:right="-540"/>
        <w:rPr>
          <w:rFonts w:asciiTheme="majorHAnsi" w:hAnsiTheme="majorHAnsi"/>
          <w:color w:val="244061" w:themeColor="accent1" w:themeShade="80"/>
          <w:sz w:val="24"/>
          <w:szCs w:val="24"/>
        </w:rPr>
      </w:pPr>
      <w:r>
        <w:rPr>
          <w:rFonts w:asciiTheme="majorHAnsi" w:hAnsiTheme="majorHAnsi"/>
          <w:color w:val="244061" w:themeColor="accent1" w:themeShade="80"/>
          <w:sz w:val="24"/>
          <w:szCs w:val="24"/>
        </w:rPr>
        <w:t xml:space="preserve">Following SRC recommendations and annual Needs Assessment findings that indicate a growing preference for more electronic forms of communication from consumers, </w:t>
      </w:r>
      <w:r w:rsidR="00E55B44">
        <w:rPr>
          <w:rFonts w:asciiTheme="majorHAnsi" w:hAnsiTheme="majorHAnsi"/>
          <w:color w:val="244061" w:themeColor="accent1" w:themeShade="80"/>
          <w:sz w:val="24"/>
          <w:szCs w:val="24"/>
        </w:rPr>
        <w:t>t</w:t>
      </w:r>
      <w:r w:rsidRPr="007B6962">
        <w:rPr>
          <w:rFonts w:asciiTheme="majorHAnsi" w:hAnsiTheme="majorHAnsi"/>
          <w:color w:val="244061" w:themeColor="accent1" w:themeShade="80"/>
          <w:sz w:val="24"/>
          <w:szCs w:val="24"/>
        </w:rPr>
        <w:t>he</w:t>
      </w:r>
      <w:r>
        <w:rPr>
          <w:rFonts w:asciiTheme="majorHAnsi" w:hAnsiTheme="majorHAnsi"/>
          <w:color w:val="244061" w:themeColor="accent1" w:themeShade="80"/>
          <w:sz w:val="24"/>
          <w:szCs w:val="24"/>
        </w:rPr>
        <w:t xml:space="preserve"> MRC should continue to </w:t>
      </w:r>
      <w:r w:rsidR="005231C0">
        <w:rPr>
          <w:rFonts w:asciiTheme="majorHAnsi" w:hAnsiTheme="majorHAnsi"/>
          <w:color w:val="244061" w:themeColor="accent1" w:themeShade="80"/>
          <w:sz w:val="24"/>
          <w:szCs w:val="24"/>
        </w:rPr>
        <w:t>work to increase the number of recorded consumer email addresses, in order to facilitate future online surveys as well as general communication with consumers.</w:t>
      </w:r>
    </w:p>
    <w:p w:rsidR="00484F30" w:rsidRPr="00714BE8" w:rsidRDefault="00484F30" w:rsidP="00714BE8">
      <w:pPr>
        <w:spacing w:after="0" w:line="264" w:lineRule="auto"/>
        <w:ind w:right="-540"/>
        <w:rPr>
          <w:rFonts w:asciiTheme="majorHAnsi" w:hAnsiTheme="majorHAnsi"/>
          <w:color w:val="244061" w:themeColor="accent1" w:themeShade="80"/>
          <w:sz w:val="24"/>
          <w:szCs w:val="24"/>
        </w:rPr>
      </w:pPr>
    </w:p>
    <w:p w:rsidR="005A3877" w:rsidRPr="00D34C6E" w:rsidRDefault="005A3877" w:rsidP="000433E7">
      <w:pPr>
        <w:spacing w:after="0"/>
        <w:rPr>
          <w:rFonts w:ascii="Cambria" w:hAnsi="Cambria"/>
          <w:b/>
          <w:color w:val="244061" w:themeColor="accent1" w:themeShade="80"/>
          <w:sz w:val="28"/>
          <w:szCs w:val="28"/>
        </w:rPr>
      </w:pPr>
    </w:p>
    <w:sectPr w:rsidR="005A3877" w:rsidRPr="00D34C6E" w:rsidSect="006D6594">
      <w:headerReference w:type="default" r:id="rId10"/>
      <w:footerReference w:type="defaul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04" w:rsidRDefault="00BC1204" w:rsidP="001302A6">
      <w:pPr>
        <w:spacing w:after="0" w:line="240" w:lineRule="auto"/>
      </w:pPr>
      <w:r>
        <w:separator/>
      </w:r>
    </w:p>
  </w:endnote>
  <w:endnote w:type="continuationSeparator" w:id="0">
    <w:p w:rsidR="00BC1204" w:rsidRDefault="00BC1204" w:rsidP="0013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911141"/>
      <w:docPartObj>
        <w:docPartGallery w:val="Page Numbers (Bottom of Page)"/>
        <w:docPartUnique/>
      </w:docPartObj>
    </w:sdtPr>
    <w:sdtEndPr/>
    <w:sdtContent>
      <w:p w:rsidR="00BC1204" w:rsidRPr="0070726D" w:rsidRDefault="0070726D" w:rsidP="0070726D">
        <w:pPr>
          <w:pStyle w:val="Footer"/>
          <w:jc w:val="center"/>
          <w:rPr>
            <w:rFonts w:asciiTheme="majorHAnsi" w:hAnsiTheme="majorHAnsi"/>
          </w:rPr>
        </w:pPr>
        <w:r w:rsidRPr="006258FF">
          <w:rPr>
            <w:rFonts w:asciiTheme="majorHAnsi" w:hAnsiTheme="majorHAnsi"/>
            <w:color w:val="7F7F7F" w:themeColor="text1" w:themeTint="80"/>
          </w:rPr>
          <w:t>Massachusetts Rehabilitation Commission</w:t>
        </w:r>
        <w:r>
          <w:rPr>
            <w:rFonts w:asciiTheme="majorHAnsi" w:hAnsiTheme="majorHAnsi"/>
            <w:color w:val="7F7F7F" w:themeColor="text1" w:themeTint="80"/>
          </w:rPr>
          <w:t xml:space="preserve"> 2014 Consumer Satisfaction Survey</w:t>
        </w:r>
      </w:p>
    </w:sdtContent>
  </w:sdt>
  <w:p w:rsidR="00BC1204" w:rsidRDefault="00BC1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8FF" w:rsidRPr="006258FF" w:rsidRDefault="006258FF" w:rsidP="00F72C06">
    <w:pPr>
      <w:pStyle w:val="Footer"/>
      <w:jc w:val="center"/>
      <w:rPr>
        <w:rFonts w:asciiTheme="majorHAnsi" w:hAnsiTheme="majorHAnsi"/>
      </w:rPr>
    </w:pPr>
    <w:r w:rsidRPr="006258FF">
      <w:rPr>
        <w:rFonts w:asciiTheme="majorHAnsi" w:hAnsiTheme="majorHAnsi"/>
        <w:color w:val="7F7F7F" w:themeColor="text1" w:themeTint="80"/>
      </w:rPr>
      <w:t>Massachusetts Rehabilitation Commission</w:t>
    </w:r>
    <w:r w:rsidR="00F72C06">
      <w:rPr>
        <w:rFonts w:asciiTheme="majorHAnsi" w:hAnsiTheme="majorHAnsi"/>
        <w:color w:val="7F7F7F" w:themeColor="text1" w:themeTint="80"/>
      </w:rPr>
      <w:t xml:space="preserve"> 2014 Consumer Satisfaction Survey</w:t>
    </w:r>
    <w:r w:rsidR="00851F02">
      <w:rPr>
        <w:rFonts w:asciiTheme="majorHAnsi" w:hAnsiTheme="majorHAnsi"/>
        <w:color w:val="7F7F7F" w:themeColor="text1" w:themeTint="80"/>
      </w:rPr>
      <w:t xml:space="preserve"> Report Summary</w:t>
    </w:r>
  </w:p>
  <w:p w:rsidR="006258FF" w:rsidRDefault="00625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04" w:rsidRDefault="00BC1204" w:rsidP="001302A6">
      <w:pPr>
        <w:spacing w:after="0" w:line="240" w:lineRule="auto"/>
      </w:pPr>
      <w:r>
        <w:separator/>
      </w:r>
    </w:p>
  </w:footnote>
  <w:footnote w:type="continuationSeparator" w:id="0">
    <w:p w:rsidR="00BC1204" w:rsidRDefault="00BC1204" w:rsidP="00130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399477"/>
      <w:docPartObj>
        <w:docPartGallery w:val="Page Numbers (Top of Page)"/>
        <w:docPartUnique/>
      </w:docPartObj>
    </w:sdtPr>
    <w:sdtEndPr>
      <w:rPr>
        <w:noProof/>
      </w:rPr>
    </w:sdtEndPr>
    <w:sdtContent>
      <w:p w:rsidR="006D6594" w:rsidRDefault="006D6594">
        <w:pPr>
          <w:pStyle w:val="Header"/>
          <w:jc w:val="right"/>
        </w:pPr>
        <w:r>
          <w:fldChar w:fldCharType="begin"/>
        </w:r>
        <w:r>
          <w:instrText xml:space="preserve"> PAGE   \* MERGEFORMAT </w:instrText>
        </w:r>
        <w:r>
          <w:fldChar w:fldCharType="separate"/>
        </w:r>
        <w:r w:rsidR="00E840C4">
          <w:rPr>
            <w:noProof/>
          </w:rPr>
          <w:t>2</w:t>
        </w:r>
        <w:r>
          <w:rPr>
            <w:noProof/>
          </w:rPr>
          <w:fldChar w:fldCharType="end"/>
        </w:r>
      </w:p>
    </w:sdtContent>
  </w:sdt>
  <w:p w:rsidR="006D6594" w:rsidRDefault="006D6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E7202"/>
    <w:multiLevelType w:val="hybridMultilevel"/>
    <w:tmpl w:val="3A509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D2E6F"/>
    <w:multiLevelType w:val="hybridMultilevel"/>
    <w:tmpl w:val="2872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22A51"/>
    <w:multiLevelType w:val="hybridMultilevel"/>
    <w:tmpl w:val="CC3EF96E"/>
    <w:lvl w:ilvl="0" w:tplc="8528AD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B3176"/>
    <w:multiLevelType w:val="hybridMultilevel"/>
    <w:tmpl w:val="553A24E4"/>
    <w:lvl w:ilvl="0" w:tplc="8D0811E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E70CE2"/>
    <w:multiLevelType w:val="hybridMultilevel"/>
    <w:tmpl w:val="CD62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E10FB"/>
    <w:multiLevelType w:val="hybridMultilevel"/>
    <w:tmpl w:val="34D0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6C3A51"/>
    <w:multiLevelType w:val="hybridMultilevel"/>
    <w:tmpl w:val="F88E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763AEC"/>
    <w:multiLevelType w:val="hybridMultilevel"/>
    <w:tmpl w:val="4CA0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D91020"/>
    <w:multiLevelType w:val="hybridMultilevel"/>
    <w:tmpl w:val="C5862268"/>
    <w:lvl w:ilvl="0" w:tplc="50AC2B7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2B719C"/>
    <w:multiLevelType w:val="hybridMultilevel"/>
    <w:tmpl w:val="9C5A9F1C"/>
    <w:lvl w:ilvl="0" w:tplc="DA72C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9B2F1D"/>
    <w:multiLevelType w:val="hybridMultilevel"/>
    <w:tmpl w:val="4F16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2127BB"/>
    <w:multiLevelType w:val="hybridMultilevel"/>
    <w:tmpl w:val="73309A9E"/>
    <w:lvl w:ilvl="0" w:tplc="04AA5DF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2016D8"/>
    <w:multiLevelType w:val="hybridMultilevel"/>
    <w:tmpl w:val="099A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4"/>
  </w:num>
  <w:num w:numId="5">
    <w:abstractNumId w:val="2"/>
  </w:num>
  <w:num w:numId="6">
    <w:abstractNumId w:val="0"/>
  </w:num>
  <w:num w:numId="7">
    <w:abstractNumId w:val="11"/>
  </w:num>
  <w:num w:numId="8">
    <w:abstractNumId w:val="8"/>
  </w:num>
  <w:num w:numId="9">
    <w:abstractNumId w:val="12"/>
  </w:num>
  <w:num w:numId="10">
    <w:abstractNumId w:val="5"/>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9D"/>
    <w:rsid w:val="00004DA0"/>
    <w:rsid w:val="0000744F"/>
    <w:rsid w:val="00012869"/>
    <w:rsid w:val="000128FE"/>
    <w:rsid w:val="000151BC"/>
    <w:rsid w:val="0002055E"/>
    <w:rsid w:val="00020CA8"/>
    <w:rsid w:val="00031251"/>
    <w:rsid w:val="00031401"/>
    <w:rsid w:val="000315CB"/>
    <w:rsid w:val="00032CD1"/>
    <w:rsid w:val="00034B80"/>
    <w:rsid w:val="00041DF4"/>
    <w:rsid w:val="000433E7"/>
    <w:rsid w:val="00043A84"/>
    <w:rsid w:val="00045A33"/>
    <w:rsid w:val="00045A6B"/>
    <w:rsid w:val="0005402A"/>
    <w:rsid w:val="00055C31"/>
    <w:rsid w:val="00055CCC"/>
    <w:rsid w:val="00060EB1"/>
    <w:rsid w:val="00064CE2"/>
    <w:rsid w:val="000669A5"/>
    <w:rsid w:val="00073F0E"/>
    <w:rsid w:val="00076648"/>
    <w:rsid w:val="00077955"/>
    <w:rsid w:val="00082E78"/>
    <w:rsid w:val="00083E41"/>
    <w:rsid w:val="0008447F"/>
    <w:rsid w:val="00086B54"/>
    <w:rsid w:val="00086BD9"/>
    <w:rsid w:val="00087E1A"/>
    <w:rsid w:val="0009119A"/>
    <w:rsid w:val="000A113A"/>
    <w:rsid w:val="000A2F82"/>
    <w:rsid w:val="000A399F"/>
    <w:rsid w:val="000A7CFE"/>
    <w:rsid w:val="000B1075"/>
    <w:rsid w:val="000B44BB"/>
    <w:rsid w:val="000B5CDD"/>
    <w:rsid w:val="000C3311"/>
    <w:rsid w:val="000C3D60"/>
    <w:rsid w:val="000C4BFB"/>
    <w:rsid w:val="000D0C17"/>
    <w:rsid w:val="000D33F3"/>
    <w:rsid w:val="000D60E9"/>
    <w:rsid w:val="000D6667"/>
    <w:rsid w:val="000D6E9A"/>
    <w:rsid w:val="000D6EBD"/>
    <w:rsid w:val="000E0B5F"/>
    <w:rsid w:val="000E4B24"/>
    <w:rsid w:val="000E5752"/>
    <w:rsid w:val="000E68B0"/>
    <w:rsid w:val="001000B9"/>
    <w:rsid w:val="00106117"/>
    <w:rsid w:val="00106A6C"/>
    <w:rsid w:val="00110EBB"/>
    <w:rsid w:val="00111047"/>
    <w:rsid w:val="00111358"/>
    <w:rsid w:val="00120279"/>
    <w:rsid w:val="00124689"/>
    <w:rsid w:val="001253AD"/>
    <w:rsid w:val="001278C9"/>
    <w:rsid w:val="001302A6"/>
    <w:rsid w:val="00130FC2"/>
    <w:rsid w:val="00133BFE"/>
    <w:rsid w:val="0014339F"/>
    <w:rsid w:val="001455C9"/>
    <w:rsid w:val="001473D8"/>
    <w:rsid w:val="0015262D"/>
    <w:rsid w:val="00156923"/>
    <w:rsid w:val="00161CD9"/>
    <w:rsid w:val="00163DCD"/>
    <w:rsid w:val="00164330"/>
    <w:rsid w:val="00165F73"/>
    <w:rsid w:val="0017190B"/>
    <w:rsid w:val="001742DE"/>
    <w:rsid w:val="00176731"/>
    <w:rsid w:val="00177D12"/>
    <w:rsid w:val="0018074F"/>
    <w:rsid w:val="00180A59"/>
    <w:rsid w:val="00180EC2"/>
    <w:rsid w:val="0019054A"/>
    <w:rsid w:val="001907F4"/>
    <w:rsid w:val="00193315"/>
    <w:rsid w:val="0019345B"/>
    <w:rsid w:val="001970CB"/>
    <w:rsid w:val="00197BD6"/>
    <w:rsid w:val="001A1FBE"/>
    <w:rsid w:val="001A260A"/>
    <w:rsid w:val="001A5183"/>
    <w:rsid w:val="001A60D8"/>
    <w:rsid w:val="001A6F25"/>
    <w:rsid w:val="001B2043"/>
    <w:rsid w:val="001D4778"/>
    <w:rsid w:val="001D4B52"/>
    <w:rsid w:val="001D557A"/>
    <w:rsid w:val="001D7736"/>
    <w:rsid w:val="001D7767"/>
    <w:rsid w:val="001E1005"/>
    <w:rsid w:val="001E3958"/>
    <w:rsid w:val="001E4EF2"/>
    <w:rsid w:val="001F2F7D"/>
    <w:rsid w:val="001F7131"/>
    <w:rsid w:val="002020FB"/>
    <w:rsid w:val="002063B6"/>
    <w:rsid w:val="0020705B"/>
    <w:rsid w:val="00207159"/>
    <w:rsid w:val="00210338"/>
    <w:rsid w:val="00210819"/>
    <w:rsid w:val="0021312E"/>
    <w:rsid w:val="002151FC"/>
    <w:rsid w:val="00215C47"/>
    <w:rsid w:val="00216F01"/>
    <w:rsid w:val="00217899"/>
    <w:rsid w:val="00222B05"/>
    <w:rsid w:val="0022418B"/>
    <w:rsid w:val="00224480"/>
    <w:rsid w:val="002270E4"/>
    <w:rsid w:val="00230684"/>
    <w:rsid w:val="0023219D"/>
    <w:rsid w:val="002338B1"/>
    <w:rsid w:val="00240C05"/>
    <w:rsid w:val="00241C7D"/>
    <w:rsid w:val="00241EDB"/>
    <w:rsid w:val="00242CEF"/>
    <w:rsid w:val="0024502F"/>
    <w:rsid w:val="00245C57"/>
    <w:rsid w:val="0024640D"/>
    <w:rsid w:val="0024698C"/>
    <w:rsid w:val="00250B7D"/>
    <w:rsid w:val="00250CEE"/>
    <w:rsid w:val="00254212"/>
    <w:rsid w:val="002542A7"/>
    <w:rsid w:val="0026259B"/>
    <w:rsid w:val="0026329A"/>
    <w:rsid w:val="002636B3"/>
    <w:rsid w:val="00265D04"/>
    <w:rsid w:val="00267969"/>
    <w:rsid w:val="00267E66"/>
    <w:rsid w:val="0027205D"/>
    <w:rsid w:val="00273650"/>
    <w:rsid w:val="002826EB"/>
    <w:rsid w:val="002845AF"/>
    <w:rsid w:val="00287AA2"/>
    <w:rsid w:val="00293E18"/>
    <w:rsid w:val="00296D12"/>
    <w:rsid w:val="00296FD8"/>
    <w:rsid w:val="0029757D"/>
    <w:rsid w:val="002A1AD9"/>
    <w:rsid w:val="002A648B"/>
    <w:rsid w:val="002B3CE3"/>
    <w:rsid w:val="002C1DFB"/>
    <w:rsid w:val="002C547A"/>
    <w:rsid w:val="002C7A20"/>
    <w:rsid w:val="002E1394"/>
    <w:rsid w:val="002F12BF"/>
    <w:rsid w:val="002F5403"/>
    <w:rsid w:val="002F550D"/>
    <w:rsid w:val="00303C72"/>
    <w:rsid w:val="00304186"/>
    <w:rsid w:val="003042E0"/>
    <w:rsid w:val="00304589"/>
    <w:rsid w:val="003057A2"/>
    <w:rsid w:val="00306702"/>
    <w:rsid w:val="00307BF1"/>
    <w:rsid w:val="0031502C"/>
    <w:rsid w:val="0032181F"/>
    <w:rsid w:val="00322FB6"/>
    <w:rsid w:val="00323910"/>
    <w:rsid w:val="003264D8"/>
    <w:rsid w:val="003267C2"/>
    <w:rsid w:val="00327289"/>
    <w:rsid w:val="00330C7A"/>
    <w:rsid w:val="00334D1D"/>
    <w:rsid w:val="003354A6"/>
    <w:rsid w:val="00340E10"/>
    <w:rsid w:val="00342EB6"/>
    <w:rsid w:val="00343AF4"/>
    <w:rsid w:val="003442E4"/>
    <w:rsid w:val="00350712"/>
    <w:rsid w:val="0035168A"/>
    <w:rsid w:val="00356416"/>
    <w:rsid w:val="003655A7"/>
    <w:rsid w:val="003660C9"/>
    <w:rsid w:val="003673B4"/>
    <w:rsid w:val="003725F7"/>
    <w:rsid w:val="0037782A"/>
    <w:rsid w:val="0038372A"/>
    <w:rsid w:val="00390506"/>
    <w:rsid w:val="003917DB"/>
    <w:rsid w:val="00392FDD"/>
    <w:rsid w:val="00395C9D"/>
    <w:rsid w:val="00396E6B"/>
    <w:rsid w:val="003A3EF0"/>
    <w:rsid w:val="003A5E67"/>
    <w:rsid w:val="003B22F5"/>
    <w:rsid w:val="003B3DED"/>
    <w:rsid w:val="003B7998"/>
    <w:rsid w:val="003C0694"/>
    <w:rsid w:val="003C0BF1"/>
    <w:rsid w:val="003C0D08"/>
    <w:rsid w:val="003C54DF"/>
    <w:rsid w:val="003D3F77"/>
    <w:rsid w:val="003E0E08"/>
    <w:rsid w:val="003E2E22"/>
    <w:rsid w:val="003E4F9C"/>
    <w:rsid w:val="003F3515"/>
    <w:rsid w:val="003F37B1"/>
    <w:rsid w:val="003F5F62"/>
    <w:rsid w:val="003F6A3C"/>
    <w:rsid w:val="003F7DB8"/>
    <w:rsid w:val="0040071B"/>
    <w:rsid w:val="00401ECC"/>
    <w:rsid w:val="00403BDF"/>
    <w:rsid w:val="00404587"/>
    <w:rsid w:val="00411190"/>
    <w:rsid w:val="00417CA8"/>
    <w:rsid w:val="00420EA2"/>
    <w:rsid w:val="00423D95"/>
    <w:rsid w:val="004243D3"/>
    <w:rsid w:val="00433869"/>
    <w:rsid w:val="00440934"/>
    <w:rsid w:val="0044176C"/>
    <w:rsid w:val="00442492"/>
    <w:rsid w:val="004472DC"/>
    <w:rsid w:val="004534F1"/>
    <w:rsid w:val="00456089"/>
    <w:rsid w:val="00462355"/>
    <w:rsid w:val="00464EF5"/>
    <w:rsid w:val="004676EB"/>
    <w:rsid w:val="00470EAD"/>
    <w:rsid w:val="004724AC"/>
    <w:rsid w:val="00472940"/>
    <w:rsid w:val="00472CFE"/>
    <w:rsid w:val="00472FBB"/>
    <w:rsid w:val="00480C96"/>
    <w:rsid w:val="00482079"/>
    <w:rsid w:val="00484034"/>
    <w:rsid w:val="0048417A"/>
    <w:rsid w:val="00484F30"/>
    <w:rsid w:val="0048696F"/>
    <w:rsid w:val="00486C4F"/>
    <w:rsid w:val="00491941"/>
    <w:rsid w:val="0049541A"/>
    <w:rsid w:val="00496958"/>
    <w:rsid w:val="004A026E"/>
    <w:rsid w:val="004A100E"/>
    <w:rsid w:val="004A3509"/>
    <w:rsid w:val="004A5CC0"/>
    <w:rsid w:val="004A65DC"/>
    <w:rsid w:val="004A6C10"/>
    <w:rsid w:val="004B07BA"/>
    <w:rsid w:val="004B49A5"/>
    <w:rsid w:val="004B7C7E"/>
    <w:rsid w:val="004C5CA2"/>
    <w:rsid w:val="004D773B"/>
    <w:rsid w:val="004D7C4C"/>
    <w:rsid w:val="004E5319"/>
    <w:rsid w:val="004F03A7"/>
    <w:rsid w:val="004F61B8"/>
    <w:rsid w:val="004F7A36"/>
    <w:rsid w:val="00500479"/>
    <w:rsid w:val="00500C46"/>
    <w:rsid w:val="00501DE7"/>
    <w:rsid w:val="0051047E"/>
    <w:rsid w:val="00514D6C"/>
    <w:rsid w:val="005217F2"/>
    <w:rsid w:val="005231C0"/>
    <w:rsid w:val="0052385B"/>
    <w:rsid w:val="00525DF9"/>
    <w:rsid w:val="0052670E"/>
    <w:rsid w:val="00532996"/>
    <w:rsid w:val="0054137A"/>
    <w:rsid w:val="00541BB0"/>
    <w:rsid w:val="00545B02"/>
    <w:rsid w:val="0055407E"/>
    <w:rsid w:val="00555650"/>
    <w:rsid w:val="00565DD2"/>
    <w:rsid w:val="00565EF8"/>
    <w:rsid w:val="00566B08"/>
    <w:rsid w:val="00566FE7"/>
    <w:rsid w:val="00573A48"/>
    <w:rsid w:val="00577B31"/>
    <w:rsid w:val="00577E3E"/>
    <w:rsid w:val="00581F22"/>
    <w:rsid w:val="00582E71"/>
    <w:rsid w:val="00592461"/>
    <w:rsid w:val="005930CF"/>
    <w:rsid w:val="00596F8C"/>
    <w:rsid w:val="005A107A"/>
    <w:rsid w:val="005A2DE6"/>
    <w:rsid w:val="005A3877"/>
    <w:rsid w:val="005A43D9"/>
    <w:rsid w:val="005B0338"/>
    <w:rsid w:val="005B0DE7"/>
    <w:rsid w:val="005B1149"/>
    <w:rsid w:val="005B287C"/>
    <w:rsid w:val="005B3722"/>
    <w:rsid w:val="005B74B7"/>
    <w:rsid w:val="005C2CC6"/>
    <w:rsid w:val="005D0E0D"/>
    <w:rsid w:val="005D23C9"/>
    <w:rsid w:val="005D24C9"/>
    <w:rsid w:val="005D49BE"/>
    <w:rsid w:val="005D741E"/>
    <w:rsid w:val="005E2C7B"/>
    <w:rsid w:val="005E6063"/>
    <w:rsid w:val="005F24C7"/>
    <w:rsid w:val="005F5EDE"/>
    <w:rsid w:val="0060500F"/>
    <w:rsid w:val="0060525B"/>
    <w:rsid w:val="00620D04"/>
    <w:rsid w:val="00624CA3"/>
    <w:rsid w:val="006250CB"/>
    <w:rsid w:val="006258FF"/>
    <w:rsid w:val="00633EFD"/>
    <w:rsid w:val="006377F8"/>
    <w:rsid w:val="00640553"/>
    <w:rsid w:val="00640C79"/>
    <w:rsid w:val="006440EE"/>
    <w:rsid w:val="006517FD"/>
    <w:rsid w:val="00657109"/>
    <w:rsid w:val="00667225"/>
    <w:rsid w:val="006760C6"/>
    <w:rsid w:val="00680886"/>
    <w:rsid w:val="00682443"/>
    <w:rsid w:val="00684123"/>
    <w:rsid w:val="00686028"/>
    <w:rsid w:val="00690934"/>
    <w:rsid w:val="006913FE"/>
    <w:rsid w:val="0069551E"/>
    <w:rsid w:val="006958F3"/>
    <w:rsid w:val="006B0A4A"/>
    <w:rsid w:val="006B2FAB"/>
    <w:rsid w:val="006B59D7"/>
    <w:rsid w:val="006B78D6"/>
    <w:rsid w:val="006C0AF2"/>
    <w:rsid w:val="006D311B"/>
    <w:rsid w:val="006D3352"/>
    <w:rsid w:val="006D4DCE"/>
    <w:rsid w:val="006D6594"/>
    <w:rsid w:val="006D7D1B"/>
    <w:rsid w:val="006E2610"/>
    <w:rsid w:val="006E7361"/>
    <w:rsid w:val="006E79AD"/>
    <w:rsid w:val="006F39FA"/>
    <w:rsid w:val="006F5BF2"/>
    <w:rsid w:val="006F5FD2"/>
    <w:rsid w:val="007007D1"/>
    <w:rsid w:val="00702C21"/>
    <w:rsid w:val="00706252"/>
    <w:rsid w:val="0070726D"/>
    <w:rsid w:val="007121B2"/>
    <w:rsid w:val="00714BE8"/>
    <w:rsid w:val="007161ED"/>
    <w:rsid w:val="00723093"/>
    <w:rsid w:val="00723AD6"/>
    <w:rsid w:val="00723EF4"/>
    <w:rsid w:val="00727021"/>
    <w:rsid w:val="00730735"/>
    <w:rsid w:val="00733A68"/>
    <w:rsid w:val="00733FE9"/>
    <w:rsid w:val="007354FF"/>
    <w:rsid w:val="0073613F"/>
    <w:rsid w:val="00736C05"/>
    <w:rsid w:val="00736EE8"/>
    <w:rsid w:val="00740BAB"/>
    <w:rsid w:val="00743F34"/>
    <w:rsid w:val="007502F9"/>
    <w:rsid w:val="0075135B"/>
    <w:rsid w:val="00751520"/>
    <w:rsid w:val="00752E9A"/>
    <w:rsid w:val="00755C7F"/>
    <w:rsid w:val="00755EC5"/>
    <w:rsid w:val="007616FB"/>
    <w:rsid w:val="00762AA7"/>
    <w:rsid w:val="007709BC"/>
    <w:rsid w:val="00772B87"/>
    <w:rsid w:val="007739AA"/>
    <w:rsid w:val="00783F50"/>
    <w:rsid w:val="00784A57"/>
    <w:rsid w:val="00785E41"/>
    <w:rsid w:val="00786D00"/>
    <w:rsid w:val="00794161"/>
    <w:rsid w:val="00795892"/>
    <w:rsid w:val="0079606E"/>
    <w:rsid w:val="00797E29"/>
    <w:rsid w:val="007A04D0"/>
    <w:rsid w:val="007A09DF"/>
    <w:rsid w:val="007A29C3"/>
    <w:rsid w:val="007A3813"/>
    <w:rsid w:val="007B2B97"/>
    <w:rsid w:val="007B2BF5"/>
    <w:rsid w:val="007B519C"/>
    <w:rsid w:val="007B6962"/>
    <w:rsid w:val="007B77E5"/>
    <w:rsid w:val="007C0481"/>
    <w:rsid w:val="007C4108"/>
    <w:rsid w:val="007C5E00"/>
    <w:rsid w:val="007C64F9"/>
    <w:rsid w:val="007C6EFE"/>
    <w:rsid w:val="007D07D5"/>
    <w:rsid w:val="007D0CC4"/>
    <w:rsid w:val="007D1298"/>
    <w:rsid w:val="007D42E6"/>
    <w:rsid w:val="007D75DA"/>
    <w:rsid w:val="007E21E2"/>
    <w:rsid w:val="007E4D3F"/>
    <w:rsid w:val="007E52C7"/>
    <w:rsid w:val="007E78B1"/>
    <w:rsid w:val="007F2A88"/>
    <w:rsid w:val="007F3BAD"/>
    <w:rsid w:val="008025E6"/>
    <w:rsid w:val="008046DC"/>
    <w:rsid w:val="00805B22"/>
    <w:rsid w:val="008071B1"/>
    <w:rsid w:val="008131C5"/>
    <w:rsid w:val="008136CE"/>
    <w:rsid w:val="00814CCA"/>
    <w:rsid w:val="008150CA"/>
    <w:rsid w:val="00823AC2"/>
    <w:rsid w:val="00826129"/>
    <w:rsid w:val="00833962"/>
    <w:rsid w:val="00836531"/>
    <w:rsid w:val="00840518"/>
    <w:rsid w:val="0084295A"/>
    <w:rsid w:val="00844E36"/>
    <w:rsid w:val="00851112"/>
    <w:rsid w:val="00851431"/>
    <w:rsid w:val="00851F02"/>
    <w:rsid w:val="00852E43"/>
    <w:rsid w:val="00853A81"/>
    <w:rsid w:val="00855A55"/>
    <w:rsid w:val="00857D42"/>
    <w:rsid w:val="00860E9F"/>
    <w:rsid w:val="008632AB"/>
    <w:rsid w:val="008676A9"/>
    <w:rsid w:val="00867E1D"/>
    <w:rsid w:val="0087184B"/>
    <w:rsid w:val="008747D4"/>
    <w:rsid w:val="00881DF2"/>
    <w:rsid w:val="0088354E"/>
    <w:rsid w:val="008837EB"/>
    <w:rsid w:val="00892E9B"/>
    <w:rsid w:val="00895A1B"/>
    <w:rsid w:val="008A2B0B"/>
    <w:rsid w:val="008A4447"/>
    <w:rsid w:val="008A55FD"/>
    <w:rsid w:val="008B1EE9"/>
    <w:rsid w:val="008B4724"/>
    <w:rsid w:val="008B6133"/>
    <w:rsid w:val="008C0A3E"/>
    <w:rsid w:val="008C3275"/>
    <w:rsid w:val="008C4448"/>
    <w:rsid w:val="008E1A8D"/>
    <w:rsid w:val="008E43E1"/>
    <w:rsid w:val="008E47CC"/>
    <w:rsid w:val="008E6253"/>
    <w:rsid w:val="008E63AE"/>
    <w:rsid w:val="008F08A0"/>
    <w:rsid w:val="008F363C"/>
    <w:rsid w:val="0091022B"/>
    <w:rsid w:val="0091702A"/>
    <w:rsid w:val="009174EB"/>
    <w:rsid w:val="00917E6E"/>
    <w:rsid w:val="00923F17"/>
    <w:rsid w:val="009320B5"/>
    <w:rsid w:val="009355FF"/>
    <w:rsid w:val="0093643E"/>
    <w:rsid w:val="009410F8"/>
    <w:rsid w:val="0094524A"/>
    <w:rsid w:val="0095025A"/>
    <w:rsid w:val="00960425"/>
    <w:rsid w:val="00963218"/>
    <w:rsid w:val="009639AD"/>
    <w:rsid w:val="0096711B"/>
    <w:rsid w:val="009815F4"/>
    <w:rsid w:val="009823CE"/>
    <w:rsid w:val="0098421B"/>
    <w:rsid w:val="00984293"/>
    <w:rsid w:val="00984D0A"/>
    <w:rsid w:val="00985C88"/>
    <w:rsid w:val="009901EF"/>
    <w:rsid w:val="00994AED"/>
    <w:rsid w:val="00997376"/>
    <w:rsid w:val="009A1FF7"/>
    <w:rsid w:val="009A7F9A"/>
    <w:rsid w:val="009B0A7E"/>
    <w:rsid w:val="009B573B"/>
    <w:rsid w:val="009B6467"/>
    <w:rsid w:val="009C020F"/>
    <w:rsid w:val="009C1AF3"/>
    <w:rsid w:val="009C3406"/>
    <w:rsid w:val="009C408B"/>
    <w:rsid w:val="009C57A3"/>
    <w:rsid w:val="009C6964"/>
    <w:rsid w:val="009C7F53"/>
    <w:rsid w:val="009D1B14"/>
    <w:rsid w:val="009D49C5"/>
    <w:rsid w:val="009E43F4"/>
    <w:rsid w:val="009E516B"/>
    <w:rsid w:val="009E5DF5"/>
    <w:rsid w:val="009E6316"/>
    <w:rsid w:val="009F171F"/>
    <w:rsid w:val="009F269D"/>
    <w:rsid w:val="009F4153"/>
    <w:rsid w:val="009F6C07"/>
    <w:rsid w:val="00A05266"/>
    <w:rsid w:val="00A05AC8"/>
    <w:rsid w:val="00A05FDA"/>
    <w:rsid w:val="00A07C18"/>
    <w:rsid w:val="00A10A98"/>
    <w:rsid w:val="00A11B55"/>
    <w:rsid w:val="00A21FFD"/>
    <w:rsid w:val="00A226C2"/>
    <w:rsid w:val="00A2495D"/>
    <w:rsid w:val="00A26067"/>
    <w:rsid w:val="00A26A02"/>
    <w:rsid w:val="00A26B65"/>
    <w:rsid w:val="00A3064C"/>
    <w:rsid w:val="00A32CA7"/>
    <w:rsid w:val="00A44619"/>
    <w:rsid w:val="00A4632E"/>
    <w:rsid w:val="00A51B25"/>
    <w:rsid w:val="00A545F1"/>
    <w:rsid w:val="00A618CB"/>
    <w:rsid w:val="00A62574"/>
    <w:rsid w:val="00A629BE"/>
    <w:rsid w:val="00A642F4"/>
    <w:rsid w:val="00A8433F"/>
    <w:rsid w:val="00A87095"/>
    <w:rsid w:val="00A8762D"/>
    <w:rsid w:val="00A91607"/>
    <w:rsid w:val="00A91E46"/>
    <w:rsid w:val="00A92FEA"/>
    <w:rsid w:val="00A94D6E"/>
    <w:rsid w:val="00A96083"/>
    <w:rsid w:val="00AA04CF"/>
    <w:rsid w:val="00AA1633"/>
    <w:rsid w:val="00AA2FF3"/>
    <w:rsid w:val="00AA3A50"/>
    <w:rsid w:val="00AA4030"/>
    <w:rsid w:val="00AB0A9B"/>
    <w:rsid w:val="00AB4F4E"/>
    <w:rsid w:val="00AC723F"/>
    <w:rsid w:val="00AD3A11"/>
    <w:rsid w:val="00AE1985"/>
    <w:rsid w:val="00AE5711"/>
    <w:rsid w:val="00AE57B3"/>
    <w:rsid w:val="00AF1DBE"/>
    <w:rsid w:val="00AF3C96"/>
    <w:rsid w:val="00AF6743"/>
    <w:rsid w:val="00B1008C"/>
    <w:rsid w:val="00B12F86"/>
    <w:rsid w:val="00B13159"/>
    <w:rsid w:val="00B2009D"/>
    <w:rsid w:val="00B26D85"/>
    <w:rsid w:val="00B30121"/>
    <w:rsid w:val="00B538A6"/>
    <w:rsid w:val="00B61454"/>
    <w:rsid w:val="00B635C1"/>
    <w:rsid w:val="00B674EB"/>
    <w:rsid w:val="00B73F7B"/>
    <w:rsid w:val="00B7721C"/>
    <w:rsid w:val="00B77CF7"/>
    <w:rsid w:val="00B80518"/>
    <w:rsid w:val="00B814F4"/>
    <w:rsid w:val="00B95350"/>
    <w:rsid w:val="00B95B3A"/>
    <w:rsid w:val="00B95CAB"/>
    <w:rsid w:val="00B96D6C"/>
    <w:rsid w:val="00BA0C6B"/>
    <w:rsid w:val="00BA1937"/>
    <w:rsid w:val="00BB4FA7"/>
    <w:rsid w:val="00BB53E3"/>
    <w:rsid w:val="00BB5D1F"/>
    <w:rsid w:val="00BB7F64"/>
    <w:rsid w:val="00BC053A"/>
    <w:rsid w:val="00BC1204"/>
    <w:rsid w:val="00BC1C71"/>
    <w:rsid w:val="00BC5BEC"/>
    <w:rsid w:val="00BC5F8F"/>
    <w:rsid w:val="00BC6E1E"/>
    <w:rsid w:val="00BD000A"/>
    <w:rsid w:val="00BD35D1"/>
    <w:rsid w:val="00BD3775"/>
    <w:rsid w:val="00BE0962"/>
    <w:rsid w:val="00BE26BD"/>
    <w:rsid w:val="00BE4B32"/>
    <w:rsid w:val="00BF55F2"/>
    <w:rsid w:val="00BF67CC"/>
    <w:rsid w:val="00BF7527"/>
    <w:rsid w:val="00C03EB3"/>
    <w:rsid w:val="00C069FE"/>
    <w:rsid w:val="00C078A3"/>
    <w:rsid w:val="00C12366"/>
    <w:rsid w:val="00C17CF4"/>
    <w:rsid w:val="00C2052F"/>
    <w:rsid w:val="00C20B2F"/>
    <w:rsid w:val="00C2139E"/>
    <w:rsid w:val="00C215B6"/>
    <w:rsid w:val="00C25DB1"/>
    <w:rsid w:val="00C3010D"/>
    <w:rsid w:val="00C33ABB"/>
    <w:rsid w:val="00C3486B"/>
    <w:rsid w:val="00C40AED"/>
    <w:rsid w:val="00C429D2"/>
    <w:rsid w:val="00C45D01"/>
    <w:rsid w:val="00C508BD"/>
    <w:rsid w:val="00C518F8"/>
    <w:rsid w:val="00C51D35"/>
    <w:rsid w:val="00C534FF"/>
    <w:rsid w:val="00C5428E"/>
    <w:rsid w:val="00C55064"/>
    <w:rsid w:val="00C553CD"/>
    <w:rsid w:val="00C609C8"/>
    <w:rsid w:val="00C613A6"/>
    <w:rsid w:val="00C655E5"/>
    <w:rsid w:val="00C65635"/>
    <w:rsid w:val="00C662D4"/>
    <w:rsid w:val="00C67935"/>
    <w:rsid w:val="00C67ABC"/>
    <w:rsid w:val="00C73FDF"/>
    <w:rsid w:val="00C76682"/>
    <w:rsid w:val="00C87753"/>
    <w:rsid w:val="00C91D8B"/>
    <w:rsid w:val="00C91E39"/>
    <w:rsid w:val="00C930F2"/>
    <w:rsid w:val="00C94AAF"/>
    <w:rsid w:val="00C97D9A"/>
    <w:rsid w:val="00CA0718"/>
    <w:rsid w:val="00CA4C06"/>
    <w:rsid w:val="00CB02C8"/>
    <w:rsid w:val="00CB061F"/>
    <w:rsid w:val="00CB18B2"/>
    <w:rsid w:val="00CB22AA"/>
    <w:rsid w:val="00CB24AE"/>
    <w:rsid w:val="00CB535A"/>
    <w:rsid w:val="00CC0FB5"/>
    <w:rsid w:val="00CC2B33"/>
    <w:rsid w:val="00CC3858"/>
    <w:rsid w:val="00CC4641"/>
    <w:rsid w:val="00CD057D"/>
    <w:rsid w:val="00CD23C2"/>
    <w:rsid w:val="00CD272D"/>
    <w:rsid w:val="00CD6DA0"/>
    <w:rsid w:val="00CE423D"/>
    <w:rsid w:val="00CF115D"/>
    <w:rsid w:val="00CF14CC"/>
    <w:rsid w:val="00CF3B58"/>
    <w:rsid w:val="00CF50C3"/>
    <w:rsid w:val="00CF5D2A"/>
    <w:rsid w:val="00CF6677"/>
    <w:rsid w:val="00CF6F32"/>
    <w:rsid w:val="00CF749C"/>
    <w:rsid w:val="00D0287A"/>
    <w:rsid w:val="00D03366"/>
    <w:rsid w:val="00D136C1"/>
    <w:rsid w:val="00D150CE"/>
    <w:rsid w:val="00D170A9"/>
    <w:rsid w:val="00D172B3"/>
    <w:rsid w:val="00D17775"/>
    <w:rsid w:val="00D200FB"/>
    <w:rsid w:val="00D21D9D"/>
    <w:rsid w:val="00D27E9B"/>
    <w:rsid w:val="00D30044"/>
    <w:rsid w:val="00D32355"/>
    <w:rsid w:val="00D34C6E"/>
    <w:rsid w:val="00D366D8"/>
    <w:rsid w:val="00D376C3"/>
    <w:rsid w:val="00D51497"/>
    <w:rsid w:val="00D60E60"/>
    <w:rsid w:val="00D638F6"/>
    <w:rsid w:val="00D657EC"/>
    <w:rsid w:val="00D70D37"/>
    <w:rsid w:val="00D711DB"/>
    <w:rsid w:val="00D736CB"/>
    <w:rsid w:val="00D75ABB"/>
    <w:rsid w:val="00D80492"/>
    <w:rsid w:val="00D80929"/>
    <w:rsid w:val="00D919B8"/>
    <w:rsid w:val="00D95694"/>
    <w:rsid w:val="00D96905"/>
    <w:rsid w:val="00D96BA4"/>
    <w:rsid w:val="00DA1A6A"/>
    <w:rsid w:val="00DA1E5D"/>
    <w:rsid w:val="00DA3DC9"/>
    <w:rsid w:val="00DA6460"/>
    <w:rsid w:val="00DB12EA"/>
    <w:rsid w:val="00DB183F"/>
    <w:rsid w:val="00DB691A"/>
    <w:rsid w:val="00DB76BA"/>
    <w:rsid w:val="00DC0705"/>
    <w:rsid w:val="00DC5028"/>
    <w:rsid w:val="00DC5162"/>
    <w:rsid w:val="00DC5D0E"/>
    <w:rsid w:val="00DC7B4E"/>
    <w:rsid w:val="00DE1354"/>
    <w:rsid w:val="00DE5B82"/>
    <w:rsid w:val="00DE648A"/>
    <w:rsid w:val="00DF1985"/>
    <w:rsid w:val="00DF2187"/>
    <w:rsid w:val="00DF2AB6"/>
    <w:rsid w:val="00DF342A"/>
    <w:rsid w:val="00DF3C9A"/>
    <w:rsid w:val="00E053DE"/>
    <w:rsid w:val="00E104AA"/>
    <w:rsid w:val="00E121F3"/>
    <w:rsid w:val="00E12E49"/>
    <w:rsid w:val="00E13A99"/>
    <w:rsid w:val="00E16025"/>
    <w:rsid w:val="00E160DF"/>
    <w:rsid w:val="00E3262A"/>
    <w:rsid w:val="00E361CA"/>
    <w:rsid w:val="00E3736A"/>
    <w:rsid w:val="00E37706"/>
    <w:rsid w:val="00E403E3"/>
    <w:rsid w:val="00E4076B"/>
    <w:rsid w:val="00E40C6A"/>
    <w:rsid w:val="00E41415"/>
    <w:rsid w:val="00E41663"/>
    <w:rsid w:val="00E554DD"/>
    <w:rsid w:val="00E55B44"/>
    <w:rsid w:val="00E56E15"/>
    <w:rsid w:val="00E6610C"/>
    <w:rsid w:val="00E71CEA"/>
    <w:rsid w:val="00E7550F"/>
    <w:rsid w:val="00E819B1"/>
    <w:rsid w:val="00E82FB5"/>
    <w:rsid w:val="00E840C4"/>
    <w:rsid w:val="00E908FC"/>
    <w:rsid w:val="00E939F5"/>
    <w:rsid w:val="00E94AA9"/>
    <w:rsid w:val="00E95031"/>
    <w:rsid w:val="00E97E4F"/>
    <w:rsid w:val="00EA2D44"/>
    <w:rsid w:val="00EA5865"/>
    <w:rsid w:val="00EB04E6"/>
    <w:rsid w:val="00EB5BD7"/>
    <w:rsid w:val="00ED029C"/>
    <w:rsid w:val="00ED0870"/>
    <w:rsid w:val="00ED1A26"/>
    <w:rsid w:val="00EE213F"/>
    <w:rsid w:val="00EE3631"/>
    <w:rsid w:val="00EF0E35"/>
    <w:rsid w:val="00EF7736"/>
    <w:rsid w:val="00EF7CA3"/>
    <w:rsid w:val="00F00A4C"/>
    <w:rsid w:val="00F00E4A"/>
    <w:rsid w:val="00F020D3"/>
    <w:rsid w:val="00F06998"/>
    <w:rsid w:val="00F06BC6"/>
    <w:rsid w:val="00F123EF"/>
    <w:rsid w:val="00F14833"/>
    <w:rsid w:val="00F24211"/>
    <w:rsid w:val="00F26D77"/>
    <w:rsid w:val="00F35755"/>
    <w:rsid w:val="00F363F8"/>
    <w:rsid w:val="00F37A5F"/>
    <w:rsid w:val="00F37A8C"/>
    <w:rsid w:val="00F40991"/>
    <w:rsid w:val="00F4680E"/>
    <w:rsid w:val="00F556B5"/>
    <w:rsid w:val="00F57296"/>
    <w:rsid w:val="00F5784F"/>
    <w:rsid w:val="00F64E40"/>
    <w:rsid w:val="00F65206"/>
    <w:rsid w:val="00F66306"/>
    <w:rsid w:val="00F726A6"/>
    <w:rsid w:val="00F72C06"/>
    <w:rsid w:val="00F73506"/>
    <w:rsid w:val="00F743CC"/>
    <w:rsid w:val="00F772A2"/>
    <w:rsid w:val="00F77C32"/>
    <w:rsid w:val="00F81B90"/>
    <w:rsid w:val="00F869BF"/>
    <w:rsid w:val="00F86D1A"/>
    <w:rsid w:val="00FA3345"/>
    <w:rsid w:val="00FA72F5"/>
    <w:rsid w:val="00FB02F3"/>
    <w:rsid w:val="00FB6B54"/>
    <w:rsid w:val="00FC203A"/>
    <w:rsid w:val="00FC53E6"/>
    <w:rsid w:val="00FC5D2B"/>
    <w:rsid w:val="00FD2E9B"/>
    <w:rsid w:val="00FD3F98"/>
    <w:rsid w:val="00FE0949"/>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31A2393D-6556-4BE1-8BE4-920D7990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74F"/>
  </w:style>
  <w:style w:type="paragraph" w:styleId="Heading1">
    <w:name w:val="heading 1"/>
    <w:basedOn w:val="Normal"/>
    <w:next w:val="Normal"/>
    <w:link w:val="Heading1Char"/>
    <w:uiPriority w:val="9"/>
    <w:qFormat/>
    <w:rsid w:val="00895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95A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5A1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95A1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95A1B"/>
    <w:rPr>
      <w:b/>
      <w:bCs/>
    </w:rPr>
  </w:style>
  <w:style w:type="paragraph" w:styleId="BalloonText">
    <w:name w:val="Balloon Text"/>
    <w:basedOn w:val="Normal"/>
    <w:link w:val="BalloonTextChar"/>
    <w:uiPriority w:val="99"/>
    <w:semiHidden/>
    <w:unhideWhenUsed/>
    <w:rsid w:val="00055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C31"/>
    <w:rPr>
      <w:rFonts w:ascii="Tahoma" w:hAnsi="Tahoma" w:cs="Tahoma"/>
      <w:sz w:val="16"/>
      <w:szCs w:val="16"/>
    </w:rPr>
  </w:style>
  <w:style w:type="paragraph" w:styleId="Header">
    <w:name w:val="header"/>
    <w:basedOn w:val="Normal"/>
    <w:link w:val="HeaderChar"/>
    <w:uiPriority w:val="99"/>
    <w:unhideWhenUsed/>
    <w:rsid w:val="00130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2A6"/>
  </w:style>
  <w:style w:type="paragraph" w:styleId="Footer">
    <w:name w:val="footer"/>
    <w:basedOn w:val="Normal"/>
    <w:link w:val="FooterChar"/>
    <w:uiPriority w:val="99"/>
    <w:unhideWhenUsed/>
    <w:rsid w:val="00130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2A6"/>
  </w:style>
  <w:style w:type="table" w:styleId="LightShading-Accent3">
    <w:name w:val="Light Shading Accent 3"/>
    <w:basedOn w:val="TableNormal"/>
    <w:uiPriority w:val="60"/>
    <w:rsid w:val="00C73FD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4A65DC"/>
    <w:pPr>
      <w:ind w:left="720"/>
      <w:contextualSpacing/>
    </w:pPr>
  </w:style>
  <w:style w:type="character" w:styleId="Hyperlink">
    <w:name w:val="Hyperlink"/>
    <w:basedOn w:val="DefaultParagraphFont"/>
    <w:uiPriority w:val="99"/>
    <w:unhideWhenUsed/>
    <w:rsid w:val="007B7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19433">
      <w:bodyDiv w:val="1"/>
      <w:marLeft w:val="0"/>
      <w:marRight w:val="0"/>
      <w:marTop w:val="0"/>
      <w:marBottom w:val="0"/>
      <w:divBdr>
        <w:top w:val="none" w:sz="0" w:space="0" w:color="auto"/>
        <w:left w:val="none" w:sz="0" w:space="0" w:color="auto"/>
        <w:bottom w:val="none" w:sz="0" w:space="0" w:color="auto"/>
        <w:right w:val="none" w:sz="0" w:space="0" w:color="auto"/>
      </w:divBdr>
    </w:div>
    <w:div w:id="1042825081">
      <w:bodyDiv w:val="1"/>
      <w:marLeft w:val="0"/>
      <w:marRight w:val="0"/>
      <w:marTop w:val="0"/>
      <w:marBottom w:val="0"/>
      <w:divBdr>
        <w:top w:val="none" w:sz="0" w:space="0" w:color="auto"/>
        <w:left w:val="none" w:sz="0" w:space="0" w:color="auto"/>
        <w:bottom w:val="none" w:sz="0" w:space="0" w:color="auto"/>
        <w:right w:val="none" w:sz="0" w:space="0" w:color="auto"/>
      </w:divBdr>
    </w:div>
    <w:div w:id="1788306768">
      <w:bodyDiv w:val="1"/>
      <w:marLeft w:val="0"/>
      <w:marRight w:val="0"/>
      <w:marTop w:val="0"/>
      <w:marBottom w:val="0"/>
      <w:divBdr>
        <w:top w:val="none" w:sz="0" w:space="0" w:color="auto"/>
        <w:left w:val="none" w:sz="0" w:space="0" w:color="auto"/>
        <w:bottom w:val="none" w:sz="0" w:space="0" w:color="auto"/>
        <w:right w:val="none" w:sz="0" w:space="0" w:color="auto"/>
      </w:divBdr>
    </w:div>
    <w:div w:id="18660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2013-12-27T00:00:00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603AAC-09C5-47AE-9B0A-E817CAA0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1874</Words>
  <Characters>10688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Consumer Satisfaction Survey      FFY 2013 Report</vt:lpstr>
    </vt:vector>
  </TitlesOfParts>
  <Company/>
  <LinksUpToDate>false</LinksUpToDate>
  <CharactersWithSpaces>12537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2015-07-01T17:12:00Z</dcterms:created>
  <dc:creator>Consumer Satisfaction Committee of the SRC:</dc:creator>
  <lastModifiedBy>Scher, Alison (MRC)</lastModifiedBy>
  <lastPrinted>2015-06-09T12:47:00Z</lastPrinted>
  <dcterms:modified xsi:type="dcterms:W3CDTF">2015-07-01T17:12:00Z</dcterms:modified>
  <revision>2</revision>
  <dc:title>Consumer Satisfaction Survey FFY 2013 Report</dc:title>
</coreProperties>
</file>