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4A4" w:rsidRDefault="00EB14A4" w:rsidP="00EB14A4">
      <w:pPr>
        <w:jc w:val="center"/>
        <w:rPr>
          <w:rFonts w:ascii="Arial" w:hAnsi="Arial" w:cs="Arial"/>
          <w:b/>
          <w:bCs/>
          <w:sz w:val="28"/>
          <w:szCs w:val="28"/>
        </w:rPr>
      </w:pPr>
      <w:bookmarkStart w:id="0" w:name="_GoBack"/>
      <w:bookmarkEnd w:id="0"/>
      <w:r>
        <w:rPr>
          <w:rFonts w:ascii="Arial" w:hAnsi="Arial" w:cs="Arial"/>
          <w:b/>
          <w:bCs/>
          <w:noProof/>
          <w:sz w:val="28"/>
          <w:szCs w:val="28"/>
        </w:rPr>
        <w:drawing>
          <wp:anchor distT="0" distB="0" distL="114300" distR="114300" simplePos="0" relativeHeight="251658240" behindDoc="0" locked="0" layoutInCell="1" allowOverlap="1" wp14:anchorId="26EE402C" wp14:editId="1D20962D">
            <wp:simplePos x="0" y="0"/>
            <wp:positionH relativeFrom="page">
              <wp:align>left</wp:align>
            </wp:positionH>
            <wp:positionV relativeFrom="paragraph">
              <wp:posOffset>-914400</wp:posOffset>
            </wp:positionV>
            <wp:extent cx="7779385" cy="17316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9385" cy="1731645"/>
                    </a:xfrm>
                    <a:prstGeom prst="rect">
                      <a:avLst/>
                    </a:prstGeom>
                    <a:noFill/>
                  </pic:spPr>
                </pic:pic>
              </a:graphicData>
            </a:graphic>
            <wp14:sizeRelH relativeFrom="page">
              <wp14:pctWidth>0</wp14:pctWidth>
            </wp14:sizeRelH>
            <wp14:sizeRelV relativeFrom="page">
              <wp14:pctHeight>0</wp14:pctHeight>
            </wp14:sizeRelV>
          </wp:anchor>
        </w:drawing>
      </w:r>
    </w:p>
    <w:p w:rsidR="00EB14A4" w:rsidRDefault="00EB14A4" w:rsidP="00EB14A4">
      <w:pPr>
        <w:jc w:val="center"/>
        <w:rPr>
          <w:rFonts w:ascii="Arial" w:hAnsi="Arial" w:cs="Arial"/>
          <w:b/>
          <w:bCs/>
          <w:sz w:val="28"/>
          <w:szCs w:val="28"/>
        </w:rPr>
      </w:pPr>
    </w:p>
    <w:p w:rsidR="00EB14A4" w:rsidRDefault="00EB14A4" w:rsidP="00EB14A4">
      <w:pPr>
        <w:jc w:val="center"/>
        <w:rPr>
          <w:rFonts w:ascii="Arial" w:hAnsi="Arial" w:cs="Arial"/>
          <w:b/>
          <w:bCs/>
          <w:sz w:val="28"/>
          <w:szCs w:val="28"/>
        </w:rPr>
      </w:pPr>
    </w:p>
    <w:p w:rsidR="00EB14A4" w:rsidRDefault="00EB14A4" w:rsidP="00EB14A4">
      <w:pPr>
        <w:jc w:val="center"/>
        <w:rPr>
          <w:rFonts w:ascii="Arial" w:hAnsi="Arial" w:cs="Arial"/>
          <w:b/>
          <w:bCs/>
          <w:sz w:val="28"/>
          <w:szCs w:val="28"/>
        </w:rPr>
      </w:pPr>
    </w:p>
    <w:p w:rsidR="00090198" w:rsidRDefault="00090198" w:rsidP="00EB14A4">
      <w:pPr>
        <w:jc w:val="center"/>
        <w:rPr>
          <w:rFonts w:ascii="Arial" w:hAnsi="Arial" w:cs="Arial"/>
          <w:b/>
          <w:bCs/>
          <w:sz w:val="28"/>
          <w:szCs w:val="28"/>
        </w:rPr>
      </w:pPr>
      <w:r>
        <w:rPr>
          <w:rFonts w:ascii="Arial" w:hAnsi="Arial" w:cs="Arial"/>
          <w:b/>
          <w:bCs/>
          <w:sz w:val="28"/>
          <w:szCs w:val="28"/>
        </w:rPr>
        <w:t>MRC - Assistive Technology P</w:t>
      </w:r>
      <w:r w:rsidR="00EB14A4" w:rsidRPr="003E24D0">
        <w:rPr>
          <w:rFonts w:ascii="Arial" w:hAnsi="Arial" w:cs="Arial"/>
          <w:b/>
          <w:bCs/>
          <w:sz w:val="28"/>
          <w:szCs w:val="28"/>
        </w:rPr>
        <w:t>rograms</w:t>
      </w:r>
    </w:p>
    <w:p w:rsidR="00EB14A4" w:rsidRPr="003E24D0" w:rsidRDefault="0025018F" w:rsidP="00EB14A4">
      <w:pPr>
        <w:jc w:val="center"/>
        <w:rPr>
          <w:rFonts w:ascii="Arial" w:hAnsi="Arial" w:cs="Arial"/>
          <w:b/>
          <w:bCs/>
          <w:sz w:val="28"/>
          <w:szCs w:val="28"/>
        </w:rPr>
      </w:pPr>
      <w:r>
        <w:rPr>
          <w:rFonts w:ascii="Arial" w:hAnsi="Arial" w:cs="Arial"/>
          <w:b/>
          <w:bCs/>
          <w:sz w:val="28"/>
          <w:szCs w:val="28"/>
        </w:rPr>
        <w:t>July 1, 2015 - June 30, 2016</w:t>
      </w:r>
    </w:p>
    <w:p w:rsidR="00EB14A4" w:rsidRPr="005C0376" w:rsidRDefault="00EB14A4" w:rsidP="00EB14A4">
      <w:pPr>
        <w:rPr>
          <w:rFonts w:ascii="Arial" w:hAnsi="Arial" w:cs="Arial"/>
        </w:rPr>
      </w:pPr>
    </w:p>
    <w:p w:rsidR="00EB14A4" w:rsidRPr="00584956" w:rsidRDefault="00EB14A4" w:rsidP="00EB14A4">
      <w:pPr>
        <w:autoSpaceDE w:val="0"/>
        <w:autoSpaceDN w:val="0"/>
        <w:adjustRightInd w:val="0"/>
        <w:rPr>
          <w:rFonts w:ascii="Arial" w:hAnsi="Arial" w:cs="Arial"/>
          <w:color w:val="000000"/>
          <w:sz w:val="20"/>
          <w:szCs w:val="20"/>
        </w:rPr>
      </w:pPr>
    </w:p>
    <w:p w:rsidR="00EB14A4" w:rsidRPr="00584956" w:rsidRDefault="00EB14A4" w:rsidP="00EB14A4">
      <w:pPr>
        <w:rPr>
          <w:rFonts w:ascii="Arial" w:hAnsi="Arial" w:cs="Arial"/>
          <w:b/>
          <w:bCs/>
        </w:rPr>
      </w:pPr>
      <w:r w:rsidRPr="00584956">
        <w:rPr>
          <w:rFonts w:ascii="Arial" w:hAnsi="Arial" w:cs="Arial"/>
          <w:b/>
          <w:bCs/>
        </w:rPr>
        <w:t>Assistive Technology – Independent Living</w:t>
      </w:r>
    </w:p>
    <w:p w:rsidR="00EB14A4" w:rsidRPr="00584956" w:rsidRDefault="00EB14A4" w:rsidP="00EB14A4">
      <w:pPr>
        <w:rPr>
          <w:rFonts w:ascii="Arial" w:hAnsi="Arial" w:cs="Arial"/>
          <w:sz w:val="20"/>
          <w:szCs w:val="20"/>
        </w:rPr>
      </w:pPr>
      <w:r w:rsidRPr="00584956">
        <w:rPr>
          <w:rFonts w:ascii="Arial" w:hAnsi="Arial" w:cs="Arial"/>
          <w:sz w:val="20"/>
          <w:szCs w:val="20"/>
        </w:rPr>
        <w:t xml:space="preserve">The Assistive Technology – Independent Living Program is a state-funded program, created in 1999 to enable individuals with severe disabilities to access assistive technology (AT) devices and training.  AT devices and services help to give an individual with a disability control over their environment and achieve self-determined goals.  MRC contracts with three organizations for the provision of AT assessments, purchase and set-up of equipment, training and follow-up.  </w:t>
      </w:r>
    </w:p>
    <w:p w:rsidR="00EB14A4" w:rsidRPr="00584956" w:rsidRDefault="00EB14A4" w:rsidP="00EB14A4">
      <w:pPr>
        <w:rPr>
          <w:rFonts w:ascii="Arial" w:hAnsi="Arial" w:cs="Arial"/>
          <w:sz w:val="20"/>
          <w:szCs w:val="20"/>
        </w:rPr>
      </w:pPr>
    </w:p>
    <w:tbl>
      <w:tblPr>
        <w:tblStyle w:val="TableGrid"/>
        <w:tblW w:w="0" w:type="auto"/>
        <w:tblLook w:val="04A0" w:firstRow="1" w:lastRow="0" w:firstColumn="1" w:lastColumn="0" w:noHBand="0" w:noVBand="1"/>
      </w:tblPr>
      <w:tblGrid>
        <w:gridCol w:w="4495"/>
        <w:gridCol w:w="720"/>
      </w:tblGrid>
      <w:tr w:rsidR="00090198" w:rsidRPr="00584956" w:rsidTr="006450B2">
        <w:tc>
          <w:tcPr>
            <w:tcW w:w="4495" w:type="dxa"/>
            <w:shd w:val="clear" w:color="auto" w:fill="CCCCFF"/>
          </w:tcPr>
          <w:p w:rsidR="00090198" w:rsidRPr="00584956" w:rsidRDefault="00090198" w:rsidP="00090198">
            <w:pPr>
              <w:autoSpaceDE w:val="0"/>
              <w:autoSpaceDN w:val="0"/>
              <w:adjustRightInd w:val="0"/>
              <w:rPr>
                <w:rFonts w:ascii="Arial" w:hAnsi="Arial" w:cs="Arial"/>
                <w:color w:val="000000"/>
                <w:sz w:val="20"/>
                <w:szCs w:val="20"/>
              </w:rPr>
            </w:pPr>
            <w:r w:rsidRPr="00584956">
              <w:rPr>
                <w:rFonts w:ascii="Arial" w:hAnsi="Arial" w:cs="Arial"/>
                <w:color w:val="000000"/>
                <w:sz w:val="20"/>
                <w:szCs w:val="20"/>
              </w:rPr>
              <w:t># of New Referrals for AT – IL Services</w:t>
            </w:r>
          </w:p>
        </w:tc>
        <w:tc>
          <w:tcPr>
            <w:tcW w:w="720" w:type="dxa"/>
            <w:shd w:val="clear" w:color="auto" w:fill="CCCCFF"/>
          </w:tcPr>
          <w:p w:rsidR="00090198" w:rsidRPr="00584956" w:rsidRDefault="00656619" w:rsidP="00C67824">
            <w:pPr>
              <w:autoSpaceDE w:val="0"/>
              <w:autoSpaceDN w:val="0"/>
              <w:adjustRightInd w:val="0"/>
              <w:rPr>
                <w:rFonts w:ascii="Arial" w:hAnsi="Arial" w:cs="Arial"/>
                <w:color w:val="000000"/>
                <w:sz w:val="20"/>
                <w:szCs w:val="20"/>
              </w:rPr>
            </w:pPr>
            <w:r>
              <w:rPr>
                <w:rFonts w:ascii="Arial" w:hAnsi="Arial" w:cs="Arial"/>
                <w:color w:val="000000"/>
                <w:sz w:val="20"/>
                <w:szCs w:val="20"/>
              </w:rPr>
              <w:t>269</w:t>
            </w:r>
          </w:p>
        </w:tc>
      </w:tr>
      <w:tr w:rsidR="00090198" w:rsidRPr="00584956" w:rsidTr="006450B2">
        <w:tc>
          <w:tcPr>
            <w:tcW w:w="4495" w:type="dxa"/>
            <w:shd w:val="clear" w:color="auto" w:fill="CCCCFF"/>
          </w:tcPr>
          <w:p w:rsidR="00090198" w:rsidRPr="00584956" w:rsidRDefault="00090198" w:rsidP="00C67824">
            <w:pPr>
              <w:autoSpaceDE w:val="0"/>
              <w:autoSpaceDN w:val="0"/>
              <w:adjustRightInd w:val="0"/>
              <w:rPr>
                <w:rFonts w:ascii="Arial" w:hAnsi="Arial" w:cs="Arial"/>
                <w:color w:val="000000"/>
                <w:sz w:val="20"/>
                <w:szCs w:val="20"/>
              </w:rPr>
            </w:pPr>
            <w:r w:rsidRPr="00584956">
              <w:rPr>
                <w:rFonts w:ascii="Arial" w:hAnsi="Arial" w:cs="Arial"/>
                <w:color w:val="000000"/>
                <w:sz w:val="20"/>
                <w:szCs w:val="20"/>
              </w:rPr>
              <w:t># of New Consumers Served</w:t>
            </w:r>
          </w:p>
        </w:tc>
        <w:tc>
          <w:tcPr>
            <w:tcW w:w="720" w:type="dxa"/>
            <w:shd w:val="clear" w:color="auto" w:fill="CCCCFF"/>
          </w:tcPr>
          <w:p w:rsidR="00090198" w:rsidRPr="00584956" w:rsidRDefault="00656619" w:rsidP="00C67824">
            <w:pPr>
              <w:autoSpaceDE w:val="0"/>
              <w:autoSpaceDN w:val="0"/>
              <w:adjustRightInd w:val="0"/>
              <w:rPr>
                <w:rFonts w:ascii="Arial" w:hAnsi="Arial" w:cs="Arial"/>
                <w:color w:val="000000"/>
                <w:sz w:val="20"/>
                <w:szCs w:val="20"/>
              </w:rPr>
            </w:pPr>
            <w:r>
              <w:rPr>
                <w:rFonts w:ascii="Arial" w:hAnsi="Arial" w:cs="Arial"/>
                <w:color w:val="000000"/>
                <w:sz w:val="20"/>
                <w:szCs w:val="20"/>
              </w:rPr>
              <w:t>324</w:t>
            </w:r>
          </w:p>
        </w:tc>
      </w:tr>
      <w:tr w:rsidR="00090198" w:rsidRPr="00584956" w:rsidTr="006450B2">
        <w:tc>
          <w:tcPr>
            <w:tcW w:w="4495" w:type="dxa"/>
            <w:shd w:val="clear" w:color="auto" w:fill="CCCCFF"/>
          </w:tcPr>
          <w:p w:rsidR="00090198" w:rsidRPr="00584956" w:rsidRDefault="00090198" w:rsidP="00C67824">
            <w:pPr>
              <w:autoSpaceDE w:val="0"/>
              <w:autoSpaceDN w:val="0"/>
              <w:adjustRightInd w:val="0"/>
              <w:rPr>
                <w:rFonts w:ascii="Arial" w:hAnsi="Arial" w:cs="Arial"/>
                <w:color w:val="000000"/>
                <w:sz w:val="20"/>
                <w:szCs w:val="20"/>
              </w:rPr>
            </w:pPr>
            <w:r w:rsidRPr="00584956">
              <w:rPr>
                <w:rFonts w:ascii="Arial" w:hAnsi="Arial" w:cs="Arial"/>
                <w:color w:val="000000"/>
                <w:sz w:val="20"/>
                <w:szCs w:val="20"/>
              </w:rPr>
              <w:t>Cumulative Total # of Consumers Served</w:t>
            </w:r>
            <w:r w:rsidR="00501E63">
              <w:rPr>
                <w:rFonts w:ascii="Arial" w:hAnsi="Arial" w:cs="Arial"/>
                <w:color w:val="000000"/>
                <w:sz w:val="20"/>
                <w:szCs w:val="20"/>
              </w:rPr>
              <w:t xml:space="preserve"> (</w:t>
            </w:r>
            <w:proofErr w:type="spellStart"/>
            <w:r w:rsidR="00501E63">
              <w:rPr>
                <w:rFonts w:ascii="Arial" w:hAnsi="Arial" w:cs="Arial"/>
                <w:color w:val="000000"/>
                <w:sz w:val="20"/>
                <w:szCs w:val="20"/>
              </w:rPr>
              <w:t>Avg</w:t>
            </w:r>
            <w:proofErr w:type="spellEnd"/>
            <w:r w:rsidR="00501E63">
              <w:rPr>
                <w:rFonts w:ascii="Arial" w:hAnsi="Arial" w:cs="Arial"/>
                <w:color w:val="000000"/>
                <w:sz w:val="20"/>
                <w:szCs w:val="20"/>
              </w:rPr>
              <w:t>)</w:t>
            </w:r>
          </w:p>
        </w:tc>
        <w:tc>
          <w:tcPr>
            <w:tcW w:w="720" w:type="dxa"/>
            <w:shd w:val="clear" w:color="auto" w:fill="CCCCFF"/>
          </w:tcPr>
          <w:p w:rsidR="00090198" w:rsidRPr="00584956" w:rsidRDefault="00AE7F02" w:rsidP="00C67824">
            <w:pPr>
              <w:autoSpaceDE w:val="0"/>
              <w:autoSpaceDN w:val="0"/>
              <w:adjustRightInd w:val="0"/>
              <w:rPr>
                <w:rFonts w:ascii="Arial" w:hAnsi="Arial" w:cs="Arial"/>
                <w:color w:val="000000"/>
                <w:sz w:val="20"/>
                <w:szCs w:val="20"/>
              </w:rPr>
            </w:pPr>
            <w:r>
              <w:rPr>
                <w:rFonts w:ascii="Arial" w:hAnsi="Arial" w:cs="Arial"/>
                <w:color w:val="000000"/>
                <w:sz w:val="20"/>
                <w:szCs w:val="20"/>
              </w:rPr>
              <w:t>477</w:t>
            </w:r>
          </w:p>
        </w:tc>
      </w:tr>
    </w:tbl>
    <w:p w:rsidR="006B42CD" w:rsidRPr="00584956" w:rsidRDefault="006B42CD" w:rsidP="006B42CD">
      <w:pPr>
        <w:rPr>
          <w:rFonts w:ascii="Arial" w:hAnsi="Arial" w:cs="Arial"/>
          <w:b/>
          <w:bCs/>
          <w:sz w:val="20"/>
          <w:szCs w:val="20"/>
        </w:rPr>
      </w:pPr>
    </w:p>
    <w:p w:rsidR="00090198" w:rsidRPr="00584956" w:rsidRDefault="00090198" w:rsidP="006B42CD">
      <w:pPr>
        <w:rPr>
          <w:rFonts w:ascii="Arial" w:hAnsi="Arial" w:cs="Arial"/>
          <w:b/>
          <w:bCs/>
          <w:sz w:val="20"/>
          <w:szCs w:val="20"/>
        </w:rPr>
      </w:pPr>
    </w:p>
    <w:p w:rsidR="006B42CD" w:rsidRPr="00584956" w:rsidRDefault="006B42CD" w:rsidP="006B42CD">
      <w:pPr>
        <w:rPr>
          <w:rFonts w:ascii="Arial" w:hAnsi="Arial" w:cs="Arial"/>
          <w:b/>
          <w:bCs/>
        </w:rPr>
      </w:pPr>
      <w:r w:rsidRPr="00584956">
        <w:rPr>
          <w:rFonts w:ascii="Arial" w:hAnsi="Arial" w:cs="Arial"/>
          <w:b/>
          <w:bCs/>
        </w:rPr>
        <w:t>Adaptive Assistance (VR)</w:t>
      </w:r>
    </w:p>
    <w:p w:rsidR="006B42CD" w:rsidRPr="00584956" w:rsidRDefault="006B42CD" w:rsidP="00997B71">
      <w:pPr>
        <w:widowControl w:val="0"/>
        <w:tabs>
          <w:tab w:val="left" w:pos="204"/>
        </w:tabs>
        <w:autoSpaceDE w:val="0"/>
        <w:autoSpaceDN w:val="0"/>
        <w:adjustRightInd w:val="0"/>
        <w:rPr>
          <w:rFonts w:ascii="Arial" w:hAnsi="Arial" w:cs="Arial"/>
          <w:sz w:val="20"/>
          <w:szCs w:val="20"/>
        </w:rPr>
      </w:pPr>
      <w:r w:rsidRPr="00584956">
        <w:rPr>
          <w:rFonts w:ascii="Arial" w:hAnsi="Arial" w:cs="Arial"/>
          <w:sz w:val="20"/>
          <w:szCs w:val="20"/>
        </w:rPr>
        <w:t>Adaptive Assistance serves individuals eligible for vocational rehabilitation services that require rehabilitation technology to be able to achieve an employment outcome.</w:t>
      </w:r>
      <w:r w:rsidR="00997B71" w:rsidRPr="00584956">
        <w:rPr>
          <w:rFonts w:ascii="Arial" w:hAnsi="Arial" w:cs="Arial"/>
          <w:sz w:val="20"/>
          <w:szCs w:val="20"/>
        </w:rPr>
        <w:t xml:space="preserve">  </w:t>
      </w:r>
      <w:r w:rsidRPr="00584956">
        <w:rPr>
          <w:rFonts w:ascii="Arial" w:hAnsi="Arial" w:cs="Arial"/>
          <w:sz w:val="20"/>
          <w:szCs w:val="20"/>
        </w:rPr>
        <w:t>Through community providers, the program provides evaluations, devices and training of individuals with disabilities in utilization of assistive devices and assistive technology.</w:t>
      </w:r>
    </w:p>
    <w:p w:rsidR="00E32AA3" w:rsidRPr="00584956" w:rsidRDefault="00E32AA3" w:rsidP="00997B71">
      <w:pPr>
        <w:widowControl w:val="0"/>
        <w:tabs>
          <w:tab w:val="left" w:pos="204"/>
        </w:tabs>
        <w:autoSpaceDE w:val="0"/>
        <w:autoSpaceDN w:val="0"/>
        <w:adjustRightInd w:val="0"/>
        <w:rPr>
          <w:rFonts w:ascii="Arial" w:hAnsi="Arial" w:cs="Arial"/>
          <w:sz w:val="20"/>
          <w:szCs w:val="20"/>
        </w:rPr>
      </w:pPr>
    </w:p>
    <w:tbl>
      <w:tblPr>
        <w:tblStyle w:val="TableGrid"/>
        <w:tblW w:w="0" w:type="auto"/>
        <w:tblLook w:val="04A0" w:firstRow="1" w:lastRow="0" w:firstColumn="1" w:lastColumn="0" w:noHBand="0" w:noVBand="1"/>
      </w:tblPr>
      <w:tblGrid>
        <w:gridCol w:w="4495"/>
        <w:gridCol w:w="720"/>
      </w:tblGrid>
      <w:tr w:rsidR="00E32AA3" w:rsidRPr="00584956" w:rsidTr="006450B2">
        <w:tc>
          <w:tcPr>
            <w:tcW w:w="4495" w:type="dxa"/>
            <w:shd w:val="clear" w:color="auto" w:fill="CCCCFF"/>
          </w:tcPr>
          <w:p w:rsidR="00E32AA3" w:rsidRPr="00584956" w:rsidRDefault="00E32AA3" w:rsidP="00C67824">
            <w:pPr>
              <w:autoSpaceDE w:val="0"/>
              <w:autoSpaceDN w:val="0"/>
              <w:adjustRightInd w:val="0"/>
              <w:rPr>
                <w:rFonts w:ascii="Arial" w:hAnsi="Arial" w:cs="Arial"/>
                <w:color w:val="000000"/>
                <w:sz w:val="20"/>
                <w:szCs w:val="20"/>
              </w:rPr>
            </w:pPr>
            <w:r w:rsidRPr="00584956">
              <w:rPr>
                <w:rFonts w:ascii="Arial" w:hAnsi="Arial" w:cs="Arial"/>
                <w:color w:val="000000"/>
                <w:sz w:val="20"/>
                <w:szCs w:val="20"/>
              </w:rPr>
              <w:t># of New Referrals</w:t>
            </w:r>
          </w:p>
        </w:tc>
        <w:tc>
          <w:tcPr>
            <w:tcW w:w="720" w:type="dxa"/>
            <w:shd w:val="clear" w:color="auto" w:fill="CCCCFF"/>
          </w:tcPr>
          <w:p w:rsidR="00E32AA3" w:rsidRPr="00584956" w:rsidRDefault="00656619" w:rsidP="00C67824">
            <w:pPr>
              <w:autoSpaceDE w:val="0"/>
              <w:autoSpaceDN w:val="0"/>
              <w:adjustRightInd w:val="0"/>
              <w:rPr>
                <w:rFonts w:ascii="Arial" w:hAnsi="Arial" w:cs="Arial"/>
                <w:color w:val="000000"/>
                <w:sz w:val="20"/>
                <w:szCs w:val="20"/>
              </w:rPr>
            </w:pPr>
            <w:r>
              <w:rPr>
                <w:rFonts w:ascii="Arial" w:hAnsi="Arial" w:cs="Arial"/>
                <w:color w:val="000000"/>
                <w:sz w:val="20"/>
                <w:szCs w:val="20"/>
              </w:rPr>
              <w:t>615</w:t>
            </w:r>
          </w:p>
        </w:tc>
      </w:tr>
      <w:tr w:rsidR="00E32AA3" w:rsidRPr="00584956" w:rsidTr="006450B2">
        <w:tc>
          <w:tcPr>
            <w:tcW w:w="4495" w:type="dxa"/>
            <w:shd w:val="clear" w:color="auto" w:fill="CCCCFF"/>
          </w:tcPr>
          <w:p w:rsidR="00E32AA3" w:rsidRPr="00584956" w:rsidRDefault="00E32AA3" w:rsidP="00C67824">
            <w:pPr>
              <w:autoSpaceDE w:val="0"/>
              <w:autoSpaceDN w:val="0"/>
              <w:adjustRightInd w:val="0"/>
              <w:rPr>
                <w:rFonts w:ascii="Arial" w:hAnsi="Arial" w:cs="Arial"/>
                <w:color w:val="000000"/>
                <w:sz w:val="20"/>
                <w:szCs w:val="20"/>
              </w:rPr>
            </w:pPr>
            <w:r w:rsidRPr="00584956">
              <w:rPr>
                <w:rFonts w:ascii="Arial" w:hAnsi="Arial" w:cs="Arial"/>
                <w:color w:val="000000"/>
                <w:sz w:val="20"/>
                <w:szCs w:val="20"/>
              </w:rPr>
              <w:t>Cumulative Total # of Consumers Served</w:t>
            </w:r>
          </w:p>
        </w:tc>
        <w:tc>
          <w:tcPr>
            <w:tcW w:w="720" w:type="dxa"/>
            <w:shd w:val="clear" w:color="auto" w:fill="CCCCFF"/>
          </w:tcPr>
          <w:p w:rsidR="00E32AA3" w:rsidRPr="00584956" w:rsidRDefault="00656619" w:rsidP="00C67824">
            <w:pPr>
              <w:autoSpaceDE w:val="0"/>
              <w:autoSpaceDN w:val="0"/>
              <w:adjustRightInd w:val="0"/>
              <w:rPr>
                <w:rFonts w:ascii="Arial" w:hAnsi="Arial" w:cs="Arial"/>
                <w:color w:val="000000"/>
                <w:sz w:val="20"/>
                <w:szCs w:val="20"/>
              </w:rPr>
            </w:pPr>
            <w:r>
              <w:rPr>
                <w:rFonts w:ascii="Arial" w:hAnsi="Arial" w:cs="Arial"/>
                <w:color w:val="000000"/>
                <w:sz w:val="20"/>
                <w:szCs w:val="20"/>
              </w:rPr>
              <w:t>771</w:t>
            </w:r>
          </w:p>
        </w:tc>
      </w:tr>
    </w:tbl>
    <w:p w:rsidR="00E32AA3" w:rsidRPr="00584956" w:rsidRDefault="00E32AA3" w:rsidP="00997B71">
      <w:pPr>
        <w:widowControl w:val="0"/>
        <w:tabs>
          <w:tab w:val="left" w:pos="204"/>
        </w:tabs>
        <w:autoSpaceDE w:val="0"/>
        <w:autoSpaceDN w:val="0"/>
        <w:adjustRightInd w:val="0"/>
        <w:rPr>
          <w:rFonts w:ascii="Arial" w:hAnsi="Arial" w:cs="Arial"/>
          <w:sz w:val="20"/>
          <w:szCs w:val="20"/>
        </w:rPr>
      </w:pPr>
    </w:p>
    <w:p w:rsidR="00997B71" w:rsidRPr="00584956" w:rsidRDefault="00997B71" w:rsidP="00997B71">
      <w:pPr>
        <w:rPr>
          <w:rFonts w:ascii="Arial" w:hAnsi="Arial" w:cs="Arial"/>
          <w:b/>
          <w:bCs/>
          <w:sz w:val="20"/>
          <w:szCs w:val="20"/>
        </w:rPr>
      </w:pPr>
    </w:p>
    <w:p w:rsidR="00997B71" w:rsidRPr="00584956" w:rsidRDefault="00997B71" w:rsidP="00997B71">
      <w:pPr>
        <w:rPr>
          <w:rFonts w:ascii="Arial" w:hAnsi="Arial" w:cs="Arial"/>
          <w:b/>
          <w:bCs/>
        </w:rPr>
      </w:pPr>
      <w:r w:rsidRPr="00584956">
        <w:rPr>
          <w:rFonts w:ascii="Arial" w:hAnsi="Arial" w:cs="Arial"/>
          <w:b/>
          <w:bCs/>
        </w:rPr>
        <w:t>Vehicle Modifications (VR)</w:t>
      </w:r>
    </w:p>
    <w:p w:rsidR="00997B71" w:rsidRPr="00584956" w:rsidRDefault="00997B71" w:rsidP="00997B71">
      <w:pPr>
        <w:rPr>
          <w:rFonts w:ascii="Arial" w:hAnsi="Arial" w:cs="Arial"/>
          <w:sz w:val="20"/>
          <w:szCs w:val="20"/>
        </w:rPr>
      </w:pPr>
      <w:r w:rsidRPr="00584956">
        <w:rPr>
          <w:rFonts w:ascii="Arial" w:hAnsi="Arial" w:cs="Arial"/>
          <w:sz w:val="20"/>
          <w:szCs w:val="20"/>
        </w:rPr>
        <w:t xml:space="preserve">The Vehicle Modification Program provides driving evaluations, vehicle modifications and equipment installation to privately owned vehicles of individuals with disabilities to enable them to achieve an employment outcome by removing barriers to transportation.  Vehicle modification services may include a lowered floor on vans, raised roof, automatic wheelchair lift, automatic door opener, servo primary controls, </w:t>
      </w:r>
      <w:proofErr w:type="gramStart"/>
      <w:r w:rsidRPr="00584956">
        <w:rPr>
          <w:rFonts w:ascii="Arial" w:hAnsi="Arial" w:cs="Arial"/>
          <w:sz w:val="20"/>
          <w:szCs w:val="20"/>
        </w:rPr>
        <w:t>reduced</w:t>
      </w:r>
      <w:proofErr w:type="gramEnd"/>
      <w:r w:rsidRPr="00584956">
        <w:rPr>
          <w:rFonts w:ascii="Arial" w:hAnsi="Arial" w:cs="Arial"/>
          <w:sz w:val="20"/>
          <w:szCs w:val="20"/>
        </w:rPr>
        <w:t>-effort steering and braking, and similar modifications.  Non-structural modifications may include mechanical hand controls, car-top wheelchair carriers, scooter lifts, steering knobs and similar modifications.</w:t>
      </w:r>
    </w:p>
    <w:p w:rsidR="00584956" w:rsidRPr="00584956" w:rsidRDefault="00584956" w:rsidP="00997B71">
      <w:pPr>
        <w:rPr>
          <w:rFonts w:ascii="Arial" w:hAnsi="Arial" w:cs="Arial"/>
          <w:sz w:val="20"/>
          <w:szCs w:val="20"/>
        </w:rPr>
      </w:pPr>
    </w:p>
    <w:tbl>
      <w:tblPr>
        <w:tblStyle w:val="TableGrid"/>
        <w:tblW w:w="0" w:type="auto"/>
        <w:tblLook w:val="04A0" w:firstRow="1" w:lastRow="0" w:firstColumn="1" w:lastColumn="0" w:noHBand="0" w:noVBand="1"/>
      </w:tblPr>
      <w:tblGrid>
        <w:gridCol w:w="4495"/>
        <w:gridCol w:w="720"/>
      </w:tblGrid>
      <w:tr w:rsidR="00584956" w:rsidRPr="00584956" w:rsidTr="006450B2">
        <w:tc>
          <w:tcPr>
            <w:tcW w:w="4495" w:type="dxa"/>
            <w:shd w:val="clear" w:color="auto" w:fill="CCCCFF"/>
          </w:tcPr>
          <w:p w:rsidR="00584956" w:rsidRPr="00584956" w:rsidRDefault="00584956" w:rsidP="00C67824">
            <w:pPr>
              <w:autoSpaceDE w:val="0"/>
              <w:autoSpaceDN w:val="0"/>
              <w:adjustRightInd w:val="0"/>
              <w:rPr>
                <w:rFonts w:ascii="Arial" w:hAnsi="Arial" w:cs="Arial"/>
                <w:color w:val="000000"/>
                <w:sz w:val="20"/>
                <w:szCs w:val="20"/>
              </w:rPr>
            </w:pPr>
            <w:r w:rsidRPr="00584956">
              <w:rPr>
                <w:rFonts w:ascii="Arial" w:hAnsi="Arial" w:cs="Arial"/>
                <w:color w:val="000000"/>
                <w:sz w:val="20"/>
                <w:szCs w:val="20"/>
              </w:rPr>
              <w:t># of New Referrals</w:t>
            </w:r>
          </w:p>
        </w:tc>
        <w:tc>
          <w:tcPr>
            <w:tcW w:w="720" w:type="dxa"/>
            <w:shd w:val="clear" w:color="auto" w:fill="CCCCFF"/>
          </w:tcPr>
          <w:p w:rsidR="00584956" w:rsidRPr="00584956" w:rsidRDefault="00656619" w:rsidP="00C67824">
            <w:pPr>
              <w:autoSpaceDE w:val="0"/>
              <w:autoSpaceDN w:val="0"/>
              <w:adjustRightInd w:val="0"/>
              <w:rPr>
                <w:rFonts w:ascii="Arial" w:hAnsi="Arial" w:cs="Arial"/>
                <w:color w:val="000000"/>
                <w:sz w:val="20"/>
                <w:szCs w:val="20"/>
              </w:rPr>
            </w:pPr>
            <w:r>
              <w:rPr>
                <w:rFonts w:ascii="Arial" w:hAnsi="Arial" w:cs="Arial"/>
                <w:color w:val="000000"/>
                <w:sz w:val="20"/>
                <w:szCs w:val="20"/>
              </w:rPr>
              <w:t>64</w:t>
            </w:r>
          </w:p>
        </w:tc>
      </w:tr>
      <w:tr w:rsidR="00584956" w:rsidRPr="00584956" w:rsidTr="006450B2">
        <w:tc>
          <w:tcPr>
            <w:tcW w:w="4495" w:type="dxa"/>
            <w:shd w:val="clear" w:color="auto" w:fill="CCCCFF"/>
          </w:tcPr>
          <w:p w:rsidR="00584956" w:rsidRPr="00584956" w:rsidRDefault="00584956" w:rsidP="00C67824">
            <w:pPr>
              <w:autoSpaceDE w:val="0"/>
              <w:autoSpaceDN w:val="0"/>
              <w:adjustRightInd w:val="0"/>
              <w:rPr>
                <w:rFonts w:ascii="Arial" w:hAnsi="Arial" w:cs="Arial"/>
                <w:color w:val="000000"/>
                <w:sz w:val="20"/>
                <w:szCs w:val="20"/>
              </w:rPr>
            </w:pPr>
            <w:r w:rsidRPr="00584956">
              <w:rPr>
                <w:rFonts w:ascii="Arial" w:hAnsi="Arial" w:cs="Arial"/>
                <w:color w:val="000000"/>
                <w:sz w:val="20"/>
                <w:szCs w:val="20"/>
              </w:rPr>
              <w:t># of Jobs Successfully Completed</w:t>
            </w:r>
          </w:p>
        </w:tc>
        <w:tc>
          <w:tcPr>
            <w:tcW w:w="720" w:type="dxa"/>
            <w:shd w:val="clear" w:color="auto" w:fill="CCCCFF"/>
          </w:tcPr>
          <w:p w:rsidR="00584956" w:rsidRPr="00584956" w:rsidRDefault="00E83E01" w:rsidP="00C67824">
            <w:pPr>
              <w:autoSpaceDE w:val="0"/>
              <w:autoSpaceDN w:val="0"/>
              <w:adjustRightInd w:val="0"/>
              <w:rPr>
                <w:rFonts w:ascii="Arial" w:hAnsi="Arial" w:cs="Arial"/>
                <w:color w:val="000000"/>
                <w:sz w:val="20"/>
                <w:szCs w:val="20"/>
              </w:rPr>
            </w:pPr>
            <w:r>
              <w:rPr>
                <w:rFonts w:ascii="Arial" w:hAnsi="Arial" w:cs="Arial"/>
                <w:color w:val="000000"/>
                <w:sz w:val="20"/>
                <w:szCs w:val="20"/>
              </w:rPr>
              <w:t>36</w:t>
            </w:r>
          </w:p>
        </w:tc>
      </w:tr>
      <w:tr w:rsidR="00E83E01" w:rsidRPr="00584956" w:rsidTr="006450B2">
        <w:tc>
          <w:tcPr>
            <w:tcW w:w="4495" w:type="dxa"/>
            <w:shd w:val="clear" w:color="auto" w:fill="CCCCFF"/>
          </w:tcPr>
          <w:p w:rsidR="00E83E01" w:rsidRPr="00584956" w:rsidRDefault="00E83E01" w:rsidP="00205C6A">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00205C6A">
              <w:rPr>
                <w:rFonts w:ascii="Arial" w:hAnsi="Arial" w:cs="Arial"/>
                <w:color w:val="000000"/>
                <w:sz w:val="20"/>
                <w:szCs w:val="20"/>
              </w:rPr>
              <w:t>of</w:t>
            </w:r>
            <w:r>
              <w:rPr>
                <w:rFonts w:ascii="Arial" w:hAnsi="Arial" w:cs="Arial"/>
                <w:color w:val="000000"/>
                <w:sz w:val="20"/>
                <w:szCs w:val="20"/>
              </w:rPr>
              <w:t xml:space="preserve"> Non-Structural Jobs Completed</w:t>
            </w:r>
          </w:p>
        </w:tc>
        <w:tc>
          <w:tcPr>
            <w:tcW w:w="720" w:type="dxa"/>
            <w:shd w:val="clear" w:color="auto" w:fill="CCCCFF"/>
          </w:tcPr>
          <w:p w:rsidR="00E83E01" w:rsidRDefault="00E83E01" w:rsidP="00C67824">
            <w:pPr>
              <w:autoSpaceDE w:val="0"/>
              <w:autoSpaceDN w:val="0"/>
              <w:adjustRightInd w:val="0"/>
              <w:rPr>
                <w:rFonts w:ascii="Arial" w:hAnsi="Arial" w:cs="Arial"/>
                <w:color w:val="000000"/>
                <w:sz w:val="20"/>
                <w:szCs w:val="20"/>
              </w:rPr>
            </w:pPr>
            <w:r>
              <w:rPr>
                <w:rFonts w:ascii="Arial" w:hAnsi="Arial" w:cs="Arial"/>
                <w:color w:val="000000"/>
                <w:sz w:val="20"/>
                <w:szCs w:val="20"/>
              </w:rPr>
              <w:t>16</w:t>
            </w:r>
          </w:p>
        </w:tc>
      </w:tr>
    </w:tbl>
    <w:p w:rsidR="00490A89" w:rsidRDefault="00490A89" w:rsidP="00997B71">
      <w:pPr>
        <w:rPr>
          <w:rFonts w:ascii="Arial" w:hAnsi="Arial" w:cs="Arial"/>
          <w:b/>
          <w:bCs/>
        </w:rPr>
      </w:pPr>
    </w:p>
    <w:p w:rsidR="00997B71" w:rsidRPr="00584956" w:rsidRDefault="00997B71" w:rsidP="00997B71">
      <w:pPr>
        <w:rPr>
          <w:rFonts w:ascii="Arial" w:hAnsi="Arial" w:cs="Arial"/>
          <w:b/>
          <w:bCs/>
        </w:rPr>
      </w:pPr>
      <w:proofErr w:type="spellStart"/>
      <w:r w:rsidRPr="00584956">
        <w:rPr>
          <w:rFonts w:ascii="Arial" w:hAnsi="Arial" w:cs="Arial"/>
          <w:b/>
          <w:bCs/>
        </w:rPr>
        <w:t>MassMATCH</w:t>
      </w:r>
      <w:proofErr w:type="spellEnd"/>
      <w:r w:rsidRPr="00584956">
        <w:rPr>
          <w:rFonts w:ascii="Arial" w:hAnsi="Arial" w:cs="Arial"/>
          <w:b/>
          <w:bCs/>
        </w:rPr>
        <w:t xml:space="preserve"> (Mass. Initiative to Maximize AT in Consumers’ Hands)</w:t>
      </w:r>
    </w:p>
    <w:p w:rsidR="004D589E" w:rsidRDefault="00997B71" w:rsidP="00997B71">
      <w:pPr>
        <w:rPr>
          <w:rFonts w:ascii="Arial" w:hAnsi="Arial" w:cs="Arial"/>
          <w:sz w:val="20"/>
          <w:szCs w:val="20"/>
        </w:rPr>
      </w:pPr>
      <w:r w:rsidRPr="00584956">
        <w:rPr>
          <w:rFonts w:ascii="Arial" w:hAnsi="Arial" w:cs="Arial"/>
          <w:sz w:val="20"/>
          <w:szCs w:val="20"/>
        </w:rPr>
        <w:t xml:space="preserve">Funded through the federal 2004 AT Act which funds state programs to create access to assistive technology for individuals with disabilities.  Funds do not directly purchase AT for individuals, but support programs that help make AT affordable and available to people who can benefit from it.  These include device demonstration programs, device loan programs, device reuse programs (to exchange, repair or recycle used equipment), and alternative financing programs (to provide access to low-cost loans).  The program also provides training and technical assistance, particularly to help people with disabilities transition from school to work (or continued education) or from institution to community living. MRC’s </w:t>
      </w:r>
      <w:proofErr w:type="spellStart"/>
      <w:r w:rsidRPr="00584956">
        <w:rPr>
          <w:rFonts w:ascii="Arial" w:hAnsi="Arial" w:cs="Arial"/>
          <w:sz w:val="20"/>
          <w:szCs w:val="20"/>
        </w:rPr>
        <w:t>MassMATCH</w:t>
      </w:r>
      <w:proofErr w:type="spellEnd"/>
      <w:r w:rsidRPr="00584956">
        <w:rPr>
          <w:rFonts w:ascii="Arial" w:hAnsi="Arial" w:cs="Arial"/>
          <w:sz w:val="20"/>
          <w:szCs w:val="20"/>
        </w:rPr>
        <w:t xml:space="preserve"> program funds two AT Regional Centers – in Pittsfield and Boston, as well as overseeing the AT Loan program, </w:t>
      </w:r>
      <w:r w:rsidR="00490A89">
        <w:rPr>
          <w:rFonts w:ascii="Arial" w:hAnsi="Arial" w:cs="Arial"/>
          <w:sz w:val="20"/>
          <w:szCs w:val="20"/>
        </w:rPr>
        <w:t>DME r</w:t>
      </w:r>
      <w:r w:rsidR="00C56507" w:rsidRPr="00C56507">
        <w:rPr>
          <w:rFonts w:ascii="Arial" w:hAnsi="Arial" w:cs="Arial"/>
          <w:sz w:val="20"/>
          <w:szCs w:val="20"/>
        </w:rPr>
        <w:t>ecycling programs</w:t>
      </w:r>
      <w:r w:rsidR="00C56507">
        <w:rPr>
          <w:rFonts w:ascii="Arial" w:hAnsi="Arial" w:cs="Arial"/>
          <w:sz w:val="20"/>
          <w:szCs w:val="20"/>
        </w:rPr>
        <w:t>,</w:t>
      </w:r>
      <w:r w:rsidR="00C56507" w:rsidRPr="00C56507">
        <w:rPr>
          <w:rFonts w:ascii="Arial" w:hAnsi="Arial" w:cs="Arial"/>
          <w:sz w:val="20"/>
          <w:szCs w:val="20"/>
        </w:rPr>
        <w:t xml:space="preserve"> </w:t>
      </w:r>
      <w:r w:rsidRPr="00584956">
        <w:rPr>
          <w:rFonts w:ascii="Arial" w:hAnsi="Arial" w:cs="Arial"/>
          <w:sz w:val="20"/>
          <w:szCs w:val="20"/>
        </w:rPr>
        <w:t>Get AT Stuff device reuse website, and the AT School Share initiative.  The Get AT Stuff website was developed and is operated in collaboration with our New England AT program partners.</w:t>
      </w:r>
    </w:p>
    <w:p w:rsidR="009A22C6" w:rsidRDefault="009A22C6" w:rsidP="00997B71">
      <w:pPr>
        <w:rPr>
          <w:rFonts w:ascii="Arial" w:hAnsi="Arial" w:cs="Arial"/>
          <w:sz w:val="20"/>
          <w:szCs w:val="20"/>
        </w:rPr>
      </w:pPr>
    </w:p>
    <w:tbl>
      <w:tblPr>
        <w:tblStyle w:val="TableGrid"/>
        <w:tblW w:w="0" w:type="auto"/>
        <w:tblLook w:val="04A0" w:firstRow="1" w:lastRow="0" w:firstColumn="1" w:lastColumn="0" w:noHBand="0" w:noVBand="1"/>
      </w:tblPr>
      <w:tblGrid>
        <w:gridCol w:w="4495"/>
        <w:gridCol w:w="1217"/>
      </w:tblGrid>
      <w:tr w:rsidR="00490A89" w:rsidRPr="009E6CF1" w:rsidTr="00490A89">
        <w:tc>
          <w:tcPr>
            <w:tcW w:w="4495" w:type="dxa"/>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 DME devices refurbished &amp; reused</w:t>
            </w:r>
          </w:p>
        </w:tc>
        <w:tc>
          <w:tcPr>
            <w:tcW w:w="1170" w:type="dxa"/>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924</w:t>
            </w:r>
          </w:p>
        </w:tc>
      </w:tr>
      <w:tr w:rsidR="00490A89" w:rsidRPr="009E6CF1" w:rsidTr="00490A89">
        <w:tc>
          <w:tcPr>
            <w:tcW w:w="4495" w:type="dxa"/>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Value of refurbished &amp; reassigned DME</w:t>
            </w:r>
          </w:p>
        </w:tc>
        <w:tc>
          <w:tcPr>
            <w:tcW w:w="1170" w:type="dxa"/>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$1,173,361</w:t>
            </w:r>
          </w:p>
        </w:tc>
      </w:tr>
      <w:tr w:rsidR="00490A89" w:rsidRPr="009E6CF1" w:rsidTr="00490A89">
        <w:tc>
          <w:tcPr>
            <w:tcW w:w="4495" w:type="dxa"/>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 long-term device loans</w:t>
            </w:r>
          </w:p>
        </w:tc>
        <w:tc>
          <w:tcPr>
            <w:tcW w:w="1170" w:type="dxa"/>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117</w:t>
            </w:r>
          </w:p>
        </w:tc>
      </w:tr>
      <w:tr w:rsidR="00490A89" w:rsidRPr="009E6CF1" w:rsidTr="00490A89">
        <w:tc>
          <w:tcPr>
            <w:tcW w:w="4495" w:type="dxa"/>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 transactions in AT Exchange</w:t>
            </w:r>
          </w:p>
        </w:tc>
        <w:tc>
          <w:tcPr>
            <w:tcW w:w="1170" w:type="dxa"/>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30</w:t>
            </w:r>
          </w:p>
        </w:tc>
      </w:tr>
      <w:tr w:rsidR="00490A89" w:rsidRPr="009E6CF1" w:rsidTr="00490A89">
        <w:tc>
          <w:tcPr>
            <w:tcW w:w="4495" w:type="dxa"/>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 device demonstrations</w:t>
            </w:r>
          </w:p>
        </w:tc>
        <w:tc>
          <w:tcPr>
            <w:tcW w:w="1170" w:type="dxa"/>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155</w:t>
            </w:r>
          </w:p>
        </w:tc>
      </w:tr>
      <w:tr w:rsidR="00490A89" w:rsidRPr="009E6CF1" w:rsidTr="00490A89">
        <w:tc>
          <w:tcPr>
            <w:tcW w:w="4495" w:type="dxa"/>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 device demonstration participants</w:t>
            </w:r>
          </w:p>
        </w:tc>
        <w:tc>
          <w:tcPr>
            <w:tcW w:w="1170" w:type="dxa"/>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237</w:t>
            </w:r>
          </w:p>
        </w:tc>
      </w:tr>
      <w:tr w:rsidR="00490A89" w:rsidRPr="009E6CF1" w:rsidTr="00490A89">
        <w:tc>
          <w:tcPr>
            <w:tcW w:w="4495" w:type="dxa"/>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 short-term devices loaned</w:t>
            </w:r>
          </w:p>
        </w:tc>
        <w:tc>
          <w:tcPr>
            <w:tcW w:w="1170" w:type="dxa"/>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1,169</w:t>
            </w:r>
          </w:p>
        </w:tc>
      </w:tr>
      <w:tr w:rsidR="00490A89" w:rsidRPr="009E6CF1" w:rsidTr="00490A89">
        <w:tc>
          <w:tcPr>
            <w:tcW w:w="4495" w:type="dxa"/>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 individuals borrowing devices</w:t>
            </w:r>
          </w:p>
        </w:tc>
        <w:tc>
          <w:tcPr>
            <w:tcW w:w="1170" w:type="dxa"/>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618</w:t>
            </w:r>
          </w:p>
        </w:tc>
      </w:tr>
      <w:tr w:rsidR="00490A89" w:rsidRPr="009E6CF1" w:rsidTr="00490A89">
        <w:tc>
          <w:tcPr>
            <w:tcW w:w="4495" w:type="dxa"/>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 individuals receiving Information &amp; assistance</w:t>
            </w:r>
          </w:p>
        </w:tc>
        <w:tc>
          <w:tcPr>
            <w:tcW w:w="1170" w:type="dxa"/>
          </w:tcPr>
          <w:p w:rsidR="00490A89" w:rsidRPr="001F0C19" w:rsidRDefault="00490A89" w:rsidP="001F0C19">
            <w:pPr>
              <w:autoSpaceDE w:val="0"/>
              <w:autoSpaceDN w:val="0"/>
              <w:adjustRightInd w:val="0"/>
              <w:rPr>
                <w:rFonts w:ascii="Arial" w:hAnsi="Arial" w:cs="Arial"/>
                <w:color w:val="000000"/>
                <w:sz w:val="20"/>
                <w:szCs w:val="20"/>
              </w:rPr>
            </w:pPr>
            <w:r w:rsidRPr="00490A89">
              <w:rPr>
                <w:rFonts w:ascii="Arial" w:hAnsi="Arial" w:cs="Arial"/>
                <w:color w:val="000000"/>
                <w:sz w:val="20"/>
                <w:szCs w:val="20"/>
              </w:rPr>
              <w:t>3,271</w:t>
            </w:r>
          </w:p>
        </w:tc>
      </w:tr>
      <w:tr w:rsidR="00490A89" w:rsidRPr="009E6CF1" w:rsidTr="00490A89">
        <w:tc>
          <w:tcPr>
            <w:tcW w:w="4495" w:type="dxa"/>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 training participants</w:t>
            </w:r>
          </w:p>
        </w:tc>
        <w:tc>
          <w:tcPr>
            <w:tcW w:w="1170" w:type="dxa"/>
          </w:tcPr>
          <w:p w:rsidR="00490A89" w:rsidRPr="001F0C19" w:rsidRDefault="00490A89" w:rsidP="001F0C19">
            <w:pPr>
              <w:autoSpaceDE w:val="0"/>
              <w:autoSpaceDN w:val="0"/>
              <w:adjustRightInd w:val="0"/>
              <w:rPr>
                <w:rFonts w:ascii="Arial" w:hAnsi="Arial" w:cs="Arial"/>
                <w:color w:val="000000"/>
                <w:sz w:val="20"/>
                <w:szCs w:val="20"/>
              </w:rPr>
            </w:pPr>
            <w:r w:rsidRPr="00490A89">
              <w:rPr>
                <w:rFonts w:ascii="Arial" w:hAnsi="Arial" w:cs="Arial"/>
                <w:color w:val="000000"/>
                <w:sz w:val="20"/>
                <w:szCs w:val="20"/>
              </w:rPr>
              <w:t>705</w:t>
            </w:r>
          </w:p>
        </w:tc>
      </w:tr>
    </w:tbl>
    <w:p w:rsidR="009A22C6" w:rsidRPr="00584956" w:rsidRDefault="009A22C6" w:rsidP="00997B71">
      <w:pPr>
        <w:rPr>
          <w:rFonts w:ascii="Arial" w:hAnsi="Arial" w:cs="Arial"/>
          <w:sz w:val="20"/>
          <w:szCs w:val="20"/>
        </w:rPr>
      </w:pPr>
    </w:p>
    <w:p w:rsidR="00997B71" w:rsidRPr="00584956" w:rsidRDefault="00997B71" w:rsidP="00997B71">
      <w:pPr>
        <w:rPr>
          <w:rFonts w:ascii="Arial" w:hAnsi="Arial" w:cs="Arial"/>
          <w:sz w:val="20"/>
          <w:szCs w:val="20"/>
        </w:rPr>
      </w:pPr>
    </w:p>
    <w:p w:rsidR="00490A89" w:rsidRPr="00490A89" w:rsidRDefault="00490A89" w:rsidP="00490A89">
      <w:pPr>
        <w:rPr>
          <w:rFonts w:ascii="Arial" w:hAnsi="Arial" w:cs="Arial"/>
          <w:b/>
          <w:bCs/>
        </w:rPr>
      </w:pPr>
      <w:r w:rsidRPr="00490A89">
        <w:rPr>
          <w:rFonts w:ascii="Arial" w:hAnsi="Arial" w:cs="Arial"/>
          <w:b/>
          <w:bCs/>
        </w:rPr>
        <w:t>Assistive Technology Loan Program (administered by Easter Seals - FFY16)</w:t>
      </w:r>
    </w:p>
    <w:p w:rsidR="00490A89" w:rsidRPr="001F0C19" w:rsidRDefault="00490A89" w:rsidP="00490A89">
      <w:pPr>
        <w:rPr>
          <w:rFonts w:ascii="Arial" w:hAnsi="Arial" w:cs="Arial"/>
          <w:sz w:val="20"/>
          <w:szCs w:val="20"/>
        </w:rPr>
      </w:pPr>
      <w:r w:rsidRPr="001F0C19">
        <w:rPr>
          <w:rFonts w:ascii="Arial" w:hAnsi="Arial" w:cs="Arial"/>
          <w:sz w:val="20"/>
          <w:szCs w:val="20"/>
        </w:rPr>
        <w:t xml:space="preserve">The Massachusetts Assistive Technology Loan Program (administered by Easter Seals) gives people with disabilities and their </w:t>
      </w:r>
      <w:r w:rsidR="00604658" w:rsidRPr="001F0C19">
        <w:rPr>
          <w:rFonts w:ascii="Arial" w:hAnsi="Arial" w:cs="Arial"/>
          <w:sz w:val="20"/>
          <w:szCs w:val="20"/>
        </w:rPr>
        <w:t>families’</w:t>
      </w:r>
      <w:r w:rsidRPr="001F0C19">
        <w:rPr>
          <w:rFonts w:ascii="Arial" w:hAnsi="Arial" w:cs="Arial"/>
          <w:sz w:val="20"/>
          <w:szCs w:val="20"/>
        </w:rPr>
        <w:t xml:space="preserve"> access to low-interest loans so they can buy the assistive technology devices they need.  The program offers lower interest rates than a traditional bank loan, and may guarantee loans for applicants who are not approved for loans upon initial application to the Bank.  </w:t>
      </w:r>
    </w:p>
    <w:p w:rsidR="00490A89" w:rsidRPr="00490A89" w:rsidRDefault="00490A89" w:rsidP="00490A89">
      <w:pPr>
        <w:rPr>
          <w:rFonts w:ascii="Arial" w:hAnsi="Arial" w:cs="Arial"/>
          <w:b/>
          <w:bCs/>
        </w:rPr>
      </w:pPr>
    </w:p>
    <w:tbl>
      <w:tblPr>
        <w:tblStyle w:val="TableGrid"/>
        <w:tblW w:w="0" w:type="auto"/>
        <w:tblLook w:val="04A0" w:firstRow="1" w:lastRow="0" w:firstColumn="1" w:lastColumn="0" w:noHBand="0" w:noVBand="1"/>
      </w:tblPr>
      <w:tblGrid>
        <w:gridCol w:w="4495"/>
        <w:gridCol w:w="720"/>
      </w:tblGrid>
      <w:tr w:rsidR="00490A89" w:rsidRPr="00490A89" w:rsidTr="009529B6">
        <w:tc>
          <w:tcPr>
            <w:tcW w:w="4495" w:type="dxa"/>
            <w:shd w:val="clear" w:color="auto" w:fill="CCCCFF"/>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 of Applications</w:t>
            </w:r>
          </w:p>
        </w:tc>
        <w:tc>
          <w:tcPr>
            <w:tcW w:w="720" w:type="dxa"/>
            <w:shd w:val="clear" w:color="auto" w:fill="CCCCFF"/>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115</w:t>
            </w:r>
          </w:p>
        </w:tc>
      </w:tr>
      <w:tr w:rsidR="00490A89" w:rsidRPr="00490A89" w:rsidTr="009529B6">
        <w:tc>
          <w:tcPr>
            <w:tcW w:w="4495" w:type="dxa"/>
            <w:shd w:val="clear" w:color="auto" w:fill="CCCCFF"/>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 of Applications Approved</w:t>
            </w:r>
          </w:p>
        </w:tc>
        <w:tc>
          <w:tcPr>
            <w:tcW w:w="720" w:type="dxa"/>
            <w:shd w:val="clear" w:color="auto" w:fill="CCCCFF"/>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55</w:t>
            </w:r>
          </w:p>
        </w:tc>
      </w:tr>
      <w:tr w:rsidR="00490A89" w:rsidRPr="00490A89" w:rsidTr="009529B6">
        <w:tc>
          <w:tcPr>
            <w:tcW w:w="4495" w:type="dxa"/>
            <w:shd w:val="clear" w:color="auto" w:fill="CCCCFF"/>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 of Loans Made</w:t>
            </w:r>
          </w:p>
        </w:tc>
        <w:tc>
          <w:tcPr>
            <w:tcW w:w="720" w:type="dxa"/>
            <w:shd w:val="clear" w:color="auto" w:fill="CCCCFF"/>
          </w:tcPr>
          <w:p w:rsidR="00490A89" w:rsidRPr="001F0C19" w:rsidRDefault="00490A89" w:rsidP="001F0C19">
            <w:pPr>
              <w:autoSpaceDE w:val="0"/>
              <w:autoSpaceDN w:val="0"/>
              <w:adjustRightInd w:val="0"/>
              <w:rPr>
                <w:rFonts w:ascii="Arial" w:hAnsi="Arial" w:cs="Arial"/>
                <w:color w:val="000000"/>
                <w:sz w:val="20"/>
                <w:szCs w:val="20"/>
              </w:rPr>
            </w:pPr>
            <w:r w:rsidRPr="001F0C19">
              <w:rPr>
                <w:rFonts w:ascii="Arial" w:hAnsi="Arial" w:cs="Arial"/>
                <w:color w:val="000000"/>
                <w:sz w:val="20"/>
                <w:szCs w:val="20"/>
              </w:rPr>
              <w:t>47</w:t>
            </w:r>
          </w:p>
        </w:tc>
      </w:tr>
    </w:tbl>
    <w:p w:rsidR="00490A89" w:rsidRPr="00490A89" w:rsidRDefault="00490A89" w:rsidP="00490A89">
      <w:pPr>
        <w:rPr>
          <w:rFonts w:ascii="Arial" w:hAnsi="Arial" w:cs="Arial"/>
          <w:b/>
          <w:bCs/>
        </w:rPr>
      </w:pPr>
    </w:p>
    <w:p w:rsidR="00997B71" w:rsidRPr="00584956" w:rsidRDefault="00997B71" w:rsidP="00997B71">
      <w:pPr>
        <w:rPr>
          <w:rFonts w:ascii="Arial" w:hAnsi="Arial" w:cs="Arial"/>
          <w:b/>
          <w:bCs/>
        </w:rPr>
      </w:pPr>
      <w:r w:rsidRPr="00584956">
        <w:rPr>
          <w:rFonts w:ascii="Arial" w:hAnsi="Arial" w:cs="Arial"/>
          <w:b/>
          <w:bCs/>
        </w:rPr>
        <w:t>Home Modification Loan Program</w:t>
      </w:r>
    </w:p>
    <w:p w:rsidR="00997B71" w:rsidRDefault="00997B71" w:rsidP="00997B71">
      <w:pPr>
        <w:rPr>
          <w:rFonts w:ascii="Arial" w:hAnsi="Arial" w:cs="Arial"/>
          <w:sz w:val="20"/>
          <w:szCs w:val="20"/>
        </w:rPr>
      </w:pPr>
      <w:r w:rsidRPr="00584956">
        <w:rPr>
          <w:rFonts w:ascii="Arial" w:hAnsi="Arial" w:cs="Arial"/>
          <w:sz w:val="20"/>
          <w:szCs w:val="20"/>
        </w:rPr>
        <w:t>The state bond-funded Home Modification Loan Program provides loans up to $30,000 to make access modifications to the primary, permanent residence of elders, adults with disabilities, and families with children with disabilities.  Such modifications allow people to remain in their homes to live independently in their communities.  Loans are made at 0% or 3% and may be amortizing or deferred.</w:t>
      </w:r>
    </w:p>
    <w:p w:rsidR="00FD171A" w:rsidRDefault="00FD171A" w:rsidP="00997B71">
      <w:pPr>
        <w:rPr>
          <w:rFonts w:ascii="Arial" w:hAnsi="Arial" w:cs="Arial"/>
          <w:sz w:val="20"/>
          <w:szCs w:val="20"/>
        </w:rPr>
      </w:pPr>
    </w:p>
    <w:tbl>
      <w:tblPr>
        <w:tblStyle w:val="TableGrid"/>
        <w:tblW w:w="0" w:type="auto"/>
        <w:tblLook w:val="04A0" w:firstRow="1" w:lastRow="0" w:firstColumn="1" w:lastColumn="0" w:noHBand="0" w:noVBand="1"/>
      </w:tblPr>
      <w:tblGrid>
        <w:gridCol w:w="4495"/>
        <w:gridCol w:w="720"/>
      </w:tblGrid>
      <w:tr w:rsidR="00FD171A" w:rsidRPr="00584956" w:rsidTr="006450B2">
        <w:tc>
          <w:tcPr>
            <w:tcW w:w="4495" w:type="dxa"/>
            <w:shd w:val="clear" w:color="auto" w:fill="CCCCFF"/>
          </w:tcPr>
          <w:p w:rsidR="00FD171A" w:rsidRPr="00584956" w:rsidRDefault="006450B2" w:rsidP="00C67824">
            <w:pPr>
              <w:autoSpaceDE w:val="0"/>
              <w:autoSpaceDN w:val="0"/>
              <w:adjustRightInd w:val="0"/>
              <w:rPr>
                <w:rFonts w:ascii="Arial" w:hAnsi="Arial" w:cs="Arial"/>
                <w:color w:val="000000"/>
                <w:sz w:val="20"/>
                <w:szCs w:val="20"/>
              </w:rPr>
            </w:pPr>
            <w:r>
              <w:rPr>
                <w:rFonts w:ascii="Arial" w:hAnsi="Arial" w:cs="Arial"/>
                <w:color w:val="000000"/>
                <w:sz w:val="20"/>
                <w:szCs w:val="20"/>
              </w:rPr>
              <w:t># of Applications</w:t>
            </w:r>
          </w:p>
        </w:tc>
        <w:tc>
          <w:tcPr>
            <w:tcW w:w="720" w:type="dxa"/>
            <w:shd w:val="clear" w:color="auto" w:fill="CCCCFF"/>
          </w:tcPr>
          <w:p w:rsidR="00FD171A" w:rsidRPr="00584956" w:rsidRDefault="00F61DDB" w:rsidP="00C67824">
            <w:pPr>
              <w:autoSpaceDE w:val="0"/>
              <w:autoSpaceDN w:val="0"/>
              <w:adjustRightInd w:val="0"/>
              <w:rPr>
                <w:rFonts w:ascii="Arial" w:hAnsi="Arial" w:cs="Arial"/>
                <w:color w:val="000000"/>
                <w:sz w:val="20"/>
                <w:szCs w:val="20"/>
              </w:rPr>
            </w:pPr>
            <w:r>
              <w:rPr>
                <w:rFonts w:ascii="Arial" w:hAnsi="Arial" w:cs="Arial"/>
                <w:color w:val="000000"/>
                <w:sz w:val="20"/>
                <w:szCs w:val="20"/>
              </w:rPr>
              <w:t>152</w:t>
            </w:r>
          </w:p>
        </w:tc>
      </w:tr>
      <w:tr w:rsidR="006450B2" w:rsidRPr="00584956" w:rsidTr="006450B2">
        <w:tc>
          <w:tcPr>
            <w:tcW w:w="4495" w:type="dxa"/>
            <w:shd w:val="clear" w:color="auto" w:fill="CCCCFF"/>
          </w:tcPr>
          <w:p w:rsidR="006450B2" w:rsidRPr="00584956" w:rsidRDefault="006450B2" w:rsidP="00C67824">
            <w:pPr>
              <w:autoSpaceDE w:val="0"/>
              <w:autoSpaceDN w:val="0"/>
              <w:adjustRightInd w:val="0"/>
              <w:rPr>
                <w:rFonts w:ascii="Arial" w:hAnsi="Arial" w:cs="Arial"/>
                <w:color w:val="000000"/>
                <w:sz w:val="20"/>
                <w:szCs w:val="20"/>
              </w:rPr>
            </w:pPr>
            <w:r>
              <w:rPr>
                <w:rFonts w:ascii="Arial" w:hAnsi="Arial" w:cs="Arial"/>
                <w:color w:val="000000"/>
                <w:sz w:val="20"/>
                <w:szCs w:val="20"/>
              </w:rPr>
              <w:t># of Eligible Consumers</w:t>
            </w:r>
          </w:p>
        </w:tc>
        <w:tc>
          <w:tcPr>
            <w:tcW w:w="720" w:type="dxa"/>
            <w:shd w:val="clear" w:color="auto" w:fill="CCCCFF"/>
          </w:tcPr>
          <w:p w:rsidR="006450B2" w:rsidRPr="00584956" w:rsidRDefault="00F61DDB" w:rsidP="00C67824">
            <w:pPr>
              <w:autoSpaceDE w:val="0"/>
              <w:autoSpaceDN w:val="0"/>
              <w:adjustRightInd w:val="0"/>
              <w:rPr>
                <w:rFonts w:ascii="Arial" w:hAnsi="Arial" w:cs="Arial"/>
                <w:color w:val="000000"/>
                <w:sz w:val="20"/>
                <w:szCs w:val="20"/>
              </w:rPr>
            </w:pPr>
            <w:r>
              <w:rPr>
                <w:rFonts w:ascii="Arial" w:hAnsi="Arial" w:cs="Arial"/>
                <w:color w:val="000000"/>
                <w:sz w:val="20"/>
                <w:szCs w:val="20"/>
              </w:rPr>
              <w:t>149</w:t>
            </w:r>
          </w:p>
        </w:tc>
      </w:tr>
      <w:tr w:rsidR="00FD171A" w:rsidRPr="00584956" w:rsidTr="006450B2">
        <w:tc>
          <w:tcPr>
            <w:tcW w:w="4495" w:type="dxa"/>
            <w:shd w:val="clear" w:color="auto" w:fill="CCCCFF"/>
          </w:tcPr>
          <w:p w:rsidR="00FD171A" w:rsidRPr="00584956" w:rsidRDefault="006450B2" w:rsidP="00C67824">
            <w:pPr>
              <w:autoSpaceDE w:val="0"/>
              <w:autoSpaceDN w:val="0"/>
              <w:adjustRightInd w:val="0"/>
              <w:rPr>
                <w:rFonts w:ascii="Arial" w:hAnsi="Arial" w:cs="Arial"/>
                <w:color w:val="000000"/>
                <w:sz w:val="20"/>
                <w:szCs w:val="20"/>
              </w:rPr>
            </w:pPr>
            <w:r>
              <w:rPr>
                <w:rFonts w:ascii="Arial" w:hAnsi="Arial" w:cs="Arial"/>
                <w:color w:val="000000"/>
                <w:sz w:val="20"/>
                <w:szCs w:val="20"/>
              </w:rPr>
              <w:t>Total # of Loan Approvals</w:t>
            </w:r>
          </w:p>
        </w:tc>
        <w:tc>
          <w:tcPr>
            <w:tcW w:w="720" w:type="dxa"/>
            <w:shd w:val="clear" w:color="auto" w:fill="CCCCFF"/>
          </w:tcPr>
          <w:p w:rsidR="00FD171A" w:rsidRPr="00584956" w:rsidRDefault="00F61DDB" w:rsidP="00C67824">
            <w:pPr>
              <w:autoSpaceDE w:val="0"/>
              <w:autoSpaceDN w:val="0"/>
              <w:adjustRightInd w:val="0"/>
              <w:rPr>
                <w:rFonts w:ascii="Arial" w:hAnsi="Arial" w:cs="Arial"/>
                <w:color w:val="000000"/>
                <w:sz w:val="20"/>
                <w:szCs w:val="20"/>
              </w:rPr>
            </w:pPr>
            <w:r>
              <w:rPr>
                <w:rFonts w:ascii="Arial" w:hAnsi="Arial" w:cs="Arial"/>
                <w:color w:val="000000"/>
                <w:sz w:val="20"/>
                <w:szCs w:val="20"/>
              </w:rPr>
              <w:t>152</w:t>
            </w:r>
          </w:p>
        </w:tc>
      </w:tr>
      <w:tr w:rsidR="006450B2" w:rsidRPr="00584956" w:rsidTr="006450B2">
        <w:tc>
          <w:tcPr>
            <w:tcW w:w="4495" w:type="dxa"/>
            <w:shd w:val="clear" w:color="auto" w:fill="CCCCFF"/>
          </w:tcPr>
          <w:p w:rsidR="006450B2" w:rsidRPr="00F61DDB" w:rsidRDefault="006450B2" w:rsidP="00C67824">
            <w:pPr>
              <w:autoSpaceDE w:val="0"/>
              <w:autoSpaceDN w:val="0"/>
              <w:adjustRightInd w:val="0"/>
              <w:rPr>
                <w:rFonts w:ascii="Arial" w:hAnsi="Arial" w:cs="Arial"/>
                <w:sz w:val="20"/>
                <w:szCs w:val="20"/>
              </w:rPr>
            </w:pPr>
            <w:r w:rsidRPr="00F61DDB">
              <w:rPr>
                <w:rFonts w:ascii="Arial" w:hAnsi="Arial" w:cs="Arial"/>
                <w:sz w:val="20"/>
                <w:szCs w:val="20"/>
              </w:rPr>
              <w:t># of Consumers Successfully Served</w:t>
            </w:r>
          </w:p>
        </w:tc>
        <w:tc>
          <w:tcPr>
            <w:tcW w:w="720" w:type="dxa"/>
            <w:shd w:val="clear" w:color="auto" w:fill="CCCCFF"/>
          </w:tcPr>
          <w:p w:rsidR="006450B2" w:rsidRPr="00F61DDB" w:rsidRDefault="00F61DDB" w:rsidP="00C67824">
            <w:pPr>
              <w:autoSpaceDE w:val="0"/>
              <w:autoSpaceDN w:val="0"/>
              <w:adjustRightInd w:val="0"/>
              <w:rPr>
                <w:rFonts w:ascii="Arial" w:hAnsi="Arial" w:cs="Arial"/>
                <w:sz w:val="20"/>
                <w:szCs w:val="20"/>
              </w:rPr>
            </w:pPr>
            <w:r w:rsidRPr="00F61DDB">
              <w:rPr>
                <w:rFonts w:ascii="Arial" w:hAnsi="Arial" w:cs="Arial"/>
                <w:sz w:val="20"/>
                <w:szCs w:val="20"/>
              </w:rPr>
              <w:t>116</w:t>
            </w:r>
          </w:p>
        </w:tc>
      </w:tr>
    </w:tbl>
    <w:p w:rsidR="00FD171A" w:rsidRPr="00584956" w:rsidRDefault="00FD171A" w:rsidP="00997B71">
      <w:pPr>
        <w:rPr>
          <w:rFonts w:ascii="Arial" w:hAnsi="Arial" w:cs="Arial"/>
          <w:sz w:val="20"/>
          <w:szCs w:val="20"/>
        </w:rPr>
      </w:pPr>
    </w:p>
    <w:p w:rsidR="00997B71" w:rsidRPr="00584956" w:rsidRDefault="00997B71" w:rsidP="00997B71">
      <w:pPr>
        <w:rPr>
          <w:rFonts w:ascii="Arial" w:hAnsi="Arial" w:cs="Arial"/>
          <w:sz w:val="20"/>
          <w:szCs w:val="20"/>
        </w:rPr>
      </w:pPr>
    </w:p>
    <w:p w:rsidR="00997B71" w:rsidRPr="00584956" w:rsidRDefault="00997B71" w:rsidP="00997B71">
      <w:pPr>
        <w:rPr>
          <w:rFonts w:ascii="Arial" w:hAnsi="Arial" w:cs="Arial"/>
          <w:b/>
          <w:bCs/>
        </w:rPr>
      </w:pPr>
      <w:r w:rsidRPr="00584956">
        <w:rPr>
          <w:rFonts w:ascii="Arial" w:hAnsi="Arial" w:cs="Arial"/>
          <w:b/>
          <w:bCs/>
        </w:rPr>
        <w:t>Adaptive Housing (VR)</w:t>
      </w:r>
    </w:p>
    <w:p w:rsidR="00997B71" w:rsidRDefault="00997B71" w:rsidP="00997B71">
      <w:pPr>
        <w:rPr>
          <w:rFonts w:ascii="Arial" w:hAnsi="Arial" w:cs="Arial"/>
          <w:sz w:val="20"/>
          <w:szCs w:val="20"/>
        </w:rPr>
      </w:pPr>
      <w:r w:rsidRPr="00584956">
        <w:rPr>
          <w:rFonts w:ascii="Arial" w:hAnsi="Arial" w:cs="Arial"/>
          <w:sz w:val="20"/>
          <w:szCs w:val="20"/>
        </w:rPr>
        <w:t>The Adaptive Housing Program provides housing evaluations, architectural services, housing modifications, and equipment installation to individuals with disabilities to enable them to achieve an employment outcome by removing barriers to living in their current home.  Modifications may include wheelchair ramps and lifts, stair lifts, bathroom modifications (such as roll-in showers, roll under sinks and widened doors), and kitchen modifications (such as lowered counters, and roll under cooktops).  Minor Home Modifications may include door openers, grab bars, handrails, and widening of doors.</w:t>
      </w:r>
    </w:p>
    <w:p w:rsidR="006450B2" w:rsidRDefault="006450B2" w:rsidP="00997B71">
      <w:pPr>
        <w:rPr>
          <w:rFonts w:ascii="Arial" w:hAnsi="Arial" w:cs="Arial"/>
          <w:sz w:val="20"/>
          <w:szCs w:val="20"/>
        </w:rPr>
      </w:pPr>
    </w:p>
    <w:tbl>
      <w:tblPr>
        <w:tblStyle w:val="TableGrid"/>
        <w:tblW w:w="0" w:type="auto"/>
        <w:tblLook w:val="04A0" w:firstRow="1" w:lastRow="0" w:firstColumn="1" w:lastColumn="0" w:noHBand="0" w:noVBand="1"/>
      </w:tblPr>
      <w:tblGrid>
        <w:gridCol w:w="4495"/>
        <w:gridCol w:w="720"/>
      </w:tblGrid>
      <w:tr w:rsidR="006450B2" w:rsidRPr="00584956" w:rsidTr="006450B2">
        <w:tc>
          <w:tcPr>
            <w:tcW w:w="4495" w:type="dxa"/>
            <w:shd w:val="clear" w:color="auto" w:fill="CCCCFF"/>
          </w:tcPr>
          <w:p w:rsidR="006450B2" w:rsidRPr="00584956" w:rsidRDefault="006450B2" w:rsidP="00C67824">
            <w:pPr>
              <w:autoSpaceDE w:val="0"/>
              <w:autoSpaceDN w:val="0"/>
              <w:adjustRightInd w:val="0"/>
              <w:rPr>
                <w:rFonts w:ascii="Arial" w:hAnsi="Arial" w:cs="Arial"/>
                <w:color w:val="000000"/>
                <w:sz w:val="20"/>
                <w:szCs w:val="20"/>
              </w:rPr>
            </w:pPr>
            <w:r>
              <w:rPr>
                <w:rFonts w:ascii="Arial" w:hAnsi="Arial" w:cs="Arial"/>
                <w:color w:val="000000"/>
                <w:sz w:val="20"/>
                <w:szCs w:val="20"/>
              </w:rPr>
              <w:t># of New Referrals</w:t>
            </w:r>
          </w:p>
        </w:tc>
        <w:tc>
          <w:tcPr>
            <w:tcW w:w="720" w:type="dxa"/>
            <w:shd w:val="clear" w:color="auto" w:fill="CCCCFF"/>
          </w:tcPr>
          <w:p w:rsidR="006450B2" w:rsidRPr="00584956" w:rsidRDefault="00B84005" w:rsidP="00C67824">
            <w:pPr>
              <w:autoSpaceDE w:val="0"/>
              <w:autoSpaceDN w:val="0"/>
              <w:adjustRightInd w:val="0"/>
              <w:rPr>
                <w:rFonts w:ascii="Arial" w:hAnsi="Arial" w:cs="Arial"/>
                <w:color w:val="000000"/>
                <w:sz w:val="20"/>
                <w:szCs w:val="20"/>
              </w:rPr>
            </w:pPr>
            <w:r>
              <w:rPr>
                <w:rFonts w:ascii="Arial" w:hAnsi="Arial" w:cs="Arial"/>
                <w:color w:val="000000"/>
                <w:sz w:val="20"/>
                <w:szCs w:val="20"/>
              </w:rPr>
              <w:t>17</w:t>
            </w:r>
          </w:p>
        </w:tc>
      </w:tr>
      <w:tr w:rsidR="006450B2" w:rsidRPr="00584956" w:rsidTr="006450B2">
        <w:tc>
          <w:tcPr>
            <w:tcW w:w="4495" w:type="dxa"/>
            <w:shd w:val="clear" w:color="auto" w:fill="CCCCFF"/>
          </w:tcPr>
          <w:p w:rsidR="006450B2" w:rsidRPr="00B84005" w:rsidRDefault="006450B2" w:rsidP="00C67824">
            <w:pPr>
              <w:autoSpaceDE w:val="0"/>
              <w:autoSpaceDN w:val="0"/>
              <w:adjustRightInd w:val="0"/>
              <w:rPr>
                <w:rFonts w:ascii="Arial" w:hAnsi="Arial" w:cs="Arial"/>
                <w:sz w:val="20"/>
                <w:szCs w:val="20"/>
              </w:rPr>
            </w:pPr>
            <w:r w:rsidRPr="00B84005">
              <w:rPr>
                <w:rFonts w:ascii="Arial" w:hAnsi="Arial" w:cs="Arial"/>
                <w:sz w:val="20"/>
                <w:szCs w:val="20"/>
              </w:rPr>
              <w:t># of Jobs Successfully Completed</w:t>
            </w:r>
          </w:p>
        </w:tc>
        <w:tc>
          <w:tcPr>
            <w:tcW w:w="720" w:type="dxa"/>
            <w:shd w:val="clear" w:color="auto" w:fill="CCCCFF"/>
          </w:tcPr>
          <w:p w:rsidR="006450B2" w:rsidRPr="00B84005" w:rsidRDefault="00B84005" w:rsidP="00C67824">
            <w:pPr>
              <w:autoSpaceDE w:val="0"/>
              <w:autoSpaceDN w:val="0"/>
              <w:adjustRightInd w:val="0"/>
              <w:rPr>
                <w:rFonts w:ascii="Arial" w:hAnsi="Arial" w:cs="Arial"/>
                <w:sz w:val="20"/>
                <w:szCs w:val="20"/>
              </w:rPr>
            </w:pPr>
            <w:r w:rsidRPr="00B84005">
              <w:rPr>
                <w:rFonts w:ascii="Arial" w:hAnsi="Arial" w:cs="Arial"/>
                <w:sz w:val="20"/>
                <w:szCs w:val="20"/>
              </w:rPr>
              <w:t>5</w:t>
            </w:r>
          </w:p>
        </w:tc>
      </w:tr>
    </w:tbl>
    <w:p w:rsidR="006450B2" w:rsidRDefault="006450B2" w:rsidP="00997B71">
      <w:pPr>
        <w:rPr>
          <w:rFonts w:ascii="Arial" w:hAnsi="Arial" w:cs="Arial"/>
          <w:sz w:val="20"/>
          <w:szCs w:val="20"/>
        </w:rPr>
      </w:pPr>
    </w:p>
    <w:p w:rsidR="00B65BBA" w:rsidRDefault="00B65BBA" w:rsidP="00B65BBA">
      <w:pPr>
        <w:rPr>
          <w:rFonts w:ascii="Arial" w:hAnsi="Arial" w:cs="Arial"/>
          <w:b/>
          <w:bCs/>
        </w:rPr>
      </w:pPr>
    </w:p>
    <w:p w:rsidR="00B65BBA" w:rsidRPr="00584956" w:rsidRDefault="00B65BBA" w:rsidP="00B65BBA">
      <w:pPr>
        <w:rPr>
          <w:rFonts w:ascii="Arial" w:hAnsi="Arial" w:cs="Arial"/>
          <w:b/>
          <w:bCs/>
        </w:rPr>
      </w:pPr>
      <w:r>
        <w:rPr>
          <w:rFonts w:ascii="Arial" w:hAnsi="Arial" w:cs="Arial"/>
          <w:b/>
          <w:bCs/>
        </w:rPr>
        <w:t>Ergonomic Program</w:t>
      </w:r>
    </w:p>
    <w:p w:rsidR="00B65BBA" w:rsidRDefault="006A4559" w:rsidP="00997B71">
      <w:pPr>
        <w:rPr>
          <w:rFonts w:ascii="Arial" w:hAnsi="Arial" w:cs="Arial"/>
          <w:sz w:val="20"/>
          <w:szCs w:val="20"/>
        </w:rPr>
      </w:pPr>
      <w:r w:rsidRPr="00584956">
        <w:rPr>
          <w:rFonts w:ascii="Arial" w:hAnsi="Arial" w:cs="Arial"/>
          <w:sz w:val="20"/>
          <w:szCs w:val="20"/>
        </w:rPr>
        <w:t xml:space="preserve">The </w:t>
      </w:r>
      <w:r>
        <w:rPr>
          <w:rFonts w:ascii="Arial" w:hAnsi="Arial" w:cs="Arial"/>
          <w:sz w:val="20"/>
          <w:szCs w:val="20"/>
        </w:rPr>
        <w:t>Ergonomic</w:t>
      </w:r>
      <w:r w:rsidRPr="00584956">
        <w:rPr>
          <w:rFonts w:ascii="Arial" w:hAnsi="Arial" w:cs="Arial"/>
          <w:sz w:val="20"/>
          <w:szCs w:val="20"/>
        </w:rPr>
        <w:t xml:space="preserve"> Program</w:t>
      </w:r>
      <w:r>
        <w:rPr>
          <w:rFonts w:ascii="Arial" w:hAnsi="Arial" w:cs="Arial"/>
          <w:sz w:val="20"/>
          <w:szCs w:val="20"/>
        </w:rPr>
        <w:t xml:space="preserve"> provides ergonomic worksite assessments to clients, employees of the Commonwealth, and to any Massachusetts worker.</w:t>
      </w:r>
    </w:p>
    <w:p w:rsidR="006A4559" w:rsidRDefault="006A4559" w:rsidP="00997B71">
      <w:pPr>
        <w:rPr>
          <w:rFonts w:ascii="Arial" w:hAnsi="Arial" w:cs="Arial"/>
          <w:sz w:val="20"/>
          <w:szCs w:val="20"/>
        </w:rPr>
      </w:pPr>
    </w:p>
    <w:tbl>
      <w:tblPr>
        <w:tblStyle w:val="TableGrid"/>
        <w:tblW w:w="0" w:type="auto"/>
        <w:tblLook w:val="04A0" w:firstRow="1" w:lastRow="0" w:firstColumn="1" w:lastColumn="0" w:noHBand="0" w:noVBand="1"/>
      </w:tblPr>
      <w:tblGrid>
        <w:gridCol w:w="4495"/>
        <w:gridCol w:w="720"/>
      </w:tblGrid>
      <w:tr w:rsidR="006A4559" w:rsidRPr="00584956" w:rsidTr="001D1450">
        <w:tc>
          <w:tcPr>
            <w:tcW w:w="4495" w:type="dxa"/>
            <w:shd w:val="clear" w:color="auto" w:fill="CCCCFF"/>
          </w:tcPr>
          <w:p w:rsidR="006A4559" w:rsidRPr="00584956" w:rsidRDefault="006A4559" w:rsidP="00135FE6">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of </w:t>
            </w:r>
            <w:r w:rsidR="00135FE6">
              <w:rPr>
                <w:rFonts w:ascii="Arial" w:hAnsi="Arial" w:cs="Arial"/>
                <w:color w:val="000000"/>
                <w:sz w:val="20"/>
                <w:szCs w:val="20"/>
              </w:rPr>
              <w:t>New Referrals</w:t>
            </w:r>
          </w:p>
        </w:tc>
        <w:tc>
          <w:tcPr>
            <w:tcW w:w="720" w:type="dxa"/>
            <w:shd w:val="clear" w:color="auto" w:fill="CCCCFF"/>
          </w:tcPr>
          <w:p w:rsidR="006A4559" w:rsidRPr="00584956" w:rsidRDefault="00B84005" w:rsidP="001D1450">
            <w:pPr>
              <w:autoSpaceDE w:val="0"/>
              <w:autoSpaceDN w:val="0"/>
              <w:adjustRightInd w:val="0"/>
              <w:rPr>
                <w:rFonts w:ascii="Arial" w:hAnsi="Arial" w:cs="Arial"/>
                <w:color w:val="000000"/>
                <w:sz w:val="20"/>
                <w:szCs w:val="20"/>
              </w:rPr>
            </w:pPr>
            <w:r>
              <w:rPr>
                <w:rFonts w:ascii="Arial" w:hAnsi="Arial" w:cs="Arial"/>
                <w:color w:val="000000"/>
                <w:sz w:val="20"/>
                <w:szCs w:val="20"/>
              </w:rPr>
              <w:t>24</w:t>
            </w:r>
          </w:p>
        </w:tc>
      </w:tr>
      <w:tr w:rsidR="006A4559" w:rsidRPr="00584956" w:rsidTr="001D1450">
        <w:tc>
          <w:tcPr>
            <w:tcW w:w="4495" w:type="dxa"/>
            <w:shd w:val="clear" w:color="auto" w:fill="CCCCFF"/>
          </w:tcPr>
          <w:p w:rsidR="006A4559" w:rsidRPr="00584956" w:rsidRDefault="006A4559" w:rsidP="00135FE6">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of </w:t>
            </w:r>
            <w:r w:rsidR="00135FE6">
              <w:rPr>
                <w:rFonts w:ascii="Arial" w:hAnsi="Arial" w:cs="Arial"/>
                <w:color w:val="000000"/>
                <w:sz w:val="20"/>
                <w:szCs w:val="20"/>
              </w:rPr>
              <w:t>Jobs Successfully Completed</w:t>
            </w:r>
          </w:p>
        </w:tc>
        <w:tc>
          <w:tcPr>
            <w:tcW w:w="720" w:type="dxa"/>
            <w:shd w:val="clear" w:color="auto" w:fill="CCCCFF"/>
          </w:tcPr>
          <w:p w:rsidR="006A4559" w:rsidRPr="00584956" w:rsidRDefault="00B84005" w:rsidP="001D1450">
            <w:pPr>
              <w:autoSpaceDE w:val="0"/>
              <w:autoSpaceDN w:val="0"/>
              <w:adjustRightInd w:val="0"/>
              <w:rPr>
                <w:rFonts w:ascii="Arial" w:hAnsi="Arial" w:cs="Arial"/>
                <w:color w:val="000000"/>
                <w:sz w:val="20"/>
                <w:szCs w:val="20"/>
              </w:rPr>
            </w:pPr>
            <w:r>
              <w:rPr>
                <w:rFonts w:ascii="Arial" w:hAnsi="Arial" w:cs="Arial"/>
                <w:color w:val="000000"/>
                <w:sz w:val="20"/>
                <w:szCs w:val="20"/>
              </w:rPr>
              <w:t>23</w:t>
            </w:r>
          </w:p>
        </w:tc>
      </w:tr>
    </w:tbl>
    <w:p w:rsidR="006A4559" w:rsidRPr="00584956" w:rsidRDefault="006A4559" w:rsidP="00997B71">
      <w:pPr>
        <w:rPr>
          <w:rFonts w:ascii="Arial" w:hAnsi="Arial" w:cs="Arial"/>
          <w:sz w:val="20"/>
          <w:szCs w:val="20"/>
        </w:rPr>
      </w:pPr>
    </w:p>
    <w:sectPr w:rsidR="006A4559" w:rsidRPr="00584956" w:rsidSect="008462AB">
      <w:pgSz w:w="12240" w:h="15840"/>
      <w:pgMar w:top="1440" w:right="1080" w:bottom="12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E4C46"/>
    <w:multiLevelType w:val="multilevel"/>
    <w:tmpl w:val="0409001D"/>
    <w:styleLink w:val="test"/>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4A4"/>
    <w:rsid w:val="00065E78"/>
    <w:rsid w:val="00090198"/>
    <w:rsid w:val="000C6A81"/>
    <w:rsid w:val="00114561"/>
    <w:rsid w:val="00135FE6"/>
    <w:rsid w:val="001F0C19"/>
    <w:rsid w:val="001F4E02"/>
    <w:rsid w:val="00205C6A"/>
    <w:rsid w:val="0025018F"/>
    <w:rsid w:val="002B401F"/>
    <w:rsid w:val="0041436A"/>
    <w:rsid w:val="00490A89"/>
    <w:rsid w:val="004D589E"/>
    <w:rsid w:val="00501E63"/>
    <w:rsid w:val="00584956"/>
    <w:rsid w:val="00604658"/>
    <w:rsid w:val="006450B2"/>
    <w:rsid w:val="00656619"/>
    <w:rsid w:val="006A4559"/>
    <w:rsid w:val="006B42CD"/>
    <w:rsid w:val="007922A1"/>
    <w:rsid w:val="008462AB"/>
    <w:rsid w:val="008D7320"/>
    <w:rsid w:val="00997B71"/>
    <w:rsid w:val="009A22C6"/>
    <w:rsid w:val="00A611CD"/>
    <w:rsid w:val="00A82028"/>
    <w:rsid w:val="00AA1B91"/>
    <w:rsid w:val="00AE7F02"/>
    <w:rsid w:val="00B1283D"/>
    <w:rsid w:val="00B65BBA"/>
    <w:rsid w:val="00B829B1"/>
    <w:rsid w:val="00B84005"/>
    <w:rsid w:val="00C56507"/>
    <w:rsid w:val="00E32AA3"/>
    <w:rsid w:val="00E618CB"/>
    <w:rsid w:val="00E83E01"/>
    <w:rsid w:val="00EB14A4"/>
    <w:rsid w:val="00F61DDB"/>
    <w:rsid w:val="00FC5079"/>
    <w:rsid w:val="00FD171A"/>
    <w:rsid w:val="00FE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79215-73CE-4538-8301-4AA223C4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4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st">
    <w:name w:val="test"/>
    <w:uiPriority w:val="99"/>
    <w:rsid w:val="008D7320"/>
    <w:pPr>
      <w:numPr>
        <w:numId w:val="1"/>
      </w:numPr>
    </w:pPr>
  </w:style>
  <w:style w:type="table" w:styleId="TableGrid">
    <w:name w:val="Table Grid"/>
    <w:basedOn w:val="TableNormal"/>
    <w:uiPriority w:val="39"/>
    <w:rsid w:val="00EB1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E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E63"/>
    <w:rPr>
      <w:rFonts w:ascii="Segoe UI" w:eastAsia="Times New Roman" w:hAnsi="Segoe UI" w:cs="Segoe UI"/>
      <w:sz w:val="18"/>
      <w:szCs w:val="18"/>
    </w:rPr>
  </w:style>
  <w:style w:type="paragraph" w:styleId="Revision">
    <w:name w:val="Revision"/>
    <w:hidden/>
    <w:uiPriority w:val="99"/>
    <w:semiHidden/>
    <w:rsid w:val="00490A8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png"/>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5416</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2017-08-15T15:38:00Z</dcterms:created>
  <dc:creator>Coombs, Charlene (MRC)</dc:creator>
  <lastModifiedBy>Scher, Alison (MRC)</lastModifiedBy>
  <lastPrinted>2017-05-17T14:40:00Z</lastPrinted>
  <dcterms:modified xsi:type="dcterms:W3CDTF">2017-08-15T15:38:00Z</dcterms:modified>
  <revision>2</revision>
</coreProperties>
</file>