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2CD" w:rsidRPr="00221664" w:rsidRDefault="00C412CD" w:rsidP="00221664">
      <w:pPr>
        <w:spacing w:after="0" w:line="360" w:lineRule="auto"/>
        <w:jc w:val="center"/>
        <w:rPr>
          <w:b/>
          <w:sz w:val="24"/>
          <w:szCs w:val="24"/>
        </w:rPr>
      </w:pPr>
      <w:r w:rsidRPr="00221664">
        <w:rPr>
          <w:b/>
          <w:sz w:val="24"/>
          <w:szCs w:val="24"/>
        </w:rPr>
        <w:t>MRC AUTISM DATA REPORT SUMMARY</w:t>
      </w:r>
    </w:p>
    <w:p w:rsidR="00C412CD" w:rsidRPr="00221664" w:rsidRDefault="00C412CD" w:rsidP="00221664">
      <w:pPr>
        <w:spacing w:after="0" w:line="360" w:lineRule="auto"/>
        <w:jc w:val="center"/>
        <w:rPr>
          <w:sz w:val="24"/>
          <w:szCs w:val="24"/>
        </w:rPr>
      </w:pPr>
      <w:r w:rsidRPr="00221664">
        <w:rPr>
          <w:sz w:val="24"/>
          <w:szCs w:val="24"/>
        </w:rPr>
        <w:t>Youth Aged 14-22</w:t>
      </w:r>
    </w:p>
    <w:p w:rsidR="00C412CD" w:rsidRPr="00221664" w:rsidRDefault="00C412CD" w:rsidP="00221664">
      <w:pPr>
        <w:spacing w:after="0" w:line="360" w:lineRule="auto"/>
        <w:jc w:val="center"/>
        <w:rPr>
          <w:sz w:val="24"/>
          <w:szCs w:val="24"/>
        </w:rPr>
      </w:pPr>
      <w:r w:rsidRPr="00221664">
        <w:rPr>
          <w:sz w:val="24"/>
          <w:szCs w:val="24"/>
        </w:rPr>
        <w:t>Served FY2019</w:t>
      </w:r>
    </w:p>
    <w:p w:rsidR="007729B2" w:rsidRPr="00221664" w:rsidRDefault="007729B2" w:rsidP="0038100D">
      <w:pPr>
        <w:spacing w:line="480" w:lineRule="auto"/>
        <w:rPr>
          <w:sz w:val="24"/>
          <w:szCs w:val="24"/>
        </w:rPr>
      </w:pPr>
    </w:p>
    <w:p w:rsidR="00C412CD" w:rsidRPr="00221664" w:rsidRDefault="00C412CD" w:rsidP="00221664">
      <w:pPr>
        <w:spacing w:before="120" w:after="240" w:line="240" w:lineRule="auto"/>
        <w:rPr>
          <w:sz w:val="24"/>
          <w:szCs w:val="24"/>
          <w:u w:val="single"/>
        </w:rPr>
      </w:pPr>
      <w:r w:rsidRPr="00221664">
        <w:rPr>
          <w:sz w:val="24"/>
          <w:szCs w:val="24"/>
          <w:u w:val="single"/>
        </w:rPr>
        <w:t>Demographics</w:t>
      </w:r>
    </w:p>
    <w:p w:rsidR="00900207" w:rsidRDefault="00BF0347" w:rsidP="00221664">
      <w:pPr>
        <w:spacing w:after="120" w:line="340" w:lineRule="exact"/>
        <w:rPr>
          <w:sz w:val="24"/>
          <w:szCs w:val="24"/>
        </w:rPr>
      </w:pPr>
      <w:r>
        <w:rPr>
          <w:sz w:val="24"/>
          <w:szCs w:val="24"/>
        </w:rPr>
        <w:t>MRC served a total of</w:t>
      </w:r>
      <w:r>
        <w:rPr>
          <w:sz w:val="24"/>
          <w:szCs w:val="24"/>
        </w:rPr>
        <w:t xml:space="preserve"> 1,815 individuals aged 16 to 22 during FY2019 (Between </w:t>
      </w:r>
      <w:r w:rsidR="00AE0EE3" w:rsidRPr="00221664">
        <w:rPr>
          <w:sz w:val="24"/>
          <w:szCs w:val="24"/>
        </w:rPr>
        <w:t>July 1, 2018 and June 30, 2019</w:t>
      </w:r>
      <w:r>
        <w:rPr>
          <w:sz w:val="24"/>
          <w:szCs w:val="24"/>
        </w:rPr>
        <w:t>) in its VR program. Of these, slightly</w:t>
      </w:r>
      <w:r w:rsidR="00AE0EE3" w:rsidRPr="00221664">
        <w:rPr>
          <w:sz w:val="24"/>
          <w:szCs w:val="24"/>
        </w:rPr>
        <w:t xml:space="preserve"> over 60% were</w:t>
      </w:r>
      <w:r w:rsidR="00444502" w:rsidRPr="00221664">
        <w:rPr>
          <w:sz w:val="24"/>
          <w:szCs w:val="24"/>
        </w:rPr>
        <w:t xml:space="preserve"> enrolled in some type of</w:t>
      </w:r>
      <w:r w:rsidR="00AE0EE3" w:rsidRPr="00221664">
        <w:rPr>
          <w:sz w:val="24"/>
          <w:szCs w:val="24"/>
        </w:rPr>
        <w:t xml:space="preserve"> </w:t>
      </w:r>
      <w:r w:rsidR="00AE0EE3" w:rsidRPr="00221664">
        <w:rPr>
          <w:b/>
          <w:sz w:val="24"/>
          <w:szCs w:val="24"/>
        </w:rPr>
        <w:t xml:space="preserve">high school </w:t>
      </w:r>
      <w:r w:rsidR="00444502" w:rsidRPr="00E43A39">
        <w:rPr>
          <w:sz w:val="24"/>
          <w:szCs w:val="24"/>
        </w:rPr>
        <w:t>(</w:t>
      </w:r>
      <w:r w:rsidR="00551E32" w:rsidRPr="00E43A39">
        <w:rPr>
          <w:sz w:val="24"/>
          <w:szCs w:val="24"/>
        </w:rPr>
        <w:t xml:space="preserve">1114, or </w:t>
      </w:r>
      <w:r w:rsidR="00444502" w:rsidRPr="00E43A39">
        <w:rPr>
          <w:sz w:val="24"/>
          <w:szCs w:val="24"/>
        </w:rPr>
        <w:t>61.4%)</w:t>
      </w:r>
      <w:r w:rsidR="00AE0EE3" w:rsidRPr="00E43A39">
        <w:rPr>
          <w:sz w:val="24"/>
          <w:szCs w:val="24"/>
        </w:rPr>
        <w:t>.</w:t>
      </w:r>
      <w:r w:rsidR="00AE0EE3" w:rsidRPr="00221664">
        <w:rPr>
          <w:sz w:val="24"/>
          <w:szCs w:val="24"/>
        </w:rPr>
        <w:t xml:space="preserve">  </w:t>
      </w:r>
      <w:r w:rsidR="00C412CD" w:rsidRPr="00221664">
        <w:rPr>
          <w:sz w:val="24"/>
          <w:szCs w:val="24"/>
        </w:rPr>
        <w:t>The vast majority (</w:t>
      </w:r>
      <w:r w:rsidR="00551E32" w:rsidRPr="00221664">
        <w:rPr>
          <w:sz w:val="24"/>
          <w:szCs w:val="24"/>
        </w:rPr>
        <w:t xml:space="preserve">1508, or </w:t>
      </w:r>
      <w:r w:rsidR="00AE0EE3" w:rsidRPr="00221664">
        <w:rPr>
          <w:sz w:val="24"/>
          <w:szCs w:val="24"/>
        </w:rPr>
        <w:t>83</w:t>
      </w:r>
      <w:r w:rsidR="00C412CD" w:rsidRPr="00221664">
        <w:rPr>
          <w:sz w:val="24"/>
          <w:szCs w:val="24"/>
        </w:rPr>
        <w:t>.1</w:t>
      </w:r>
      <w:r w:rsidR="00AE0EE3" w:rsidRPr="00221664">
        <w:rPr>
          <w:sz w:val="24"/>
          <w:szCs w:val="24"/>
        </w:rPr>
        <w:t>%</w:t>
      </w:r>
      <w:r w:rsidR="00C412CD" w:rsidRPr="00221664">
        <w:rPr>
          <w:sz w:val="24"/>
          <w:szCs w:val="24"/>
        </w:rPr>
        <w:t>)</w:t>
      </w:r>
      <w:r w:rsidR="00AE0EE3" w:rsidRPr="00221664">
        <w:rPr>
          <w:sz w:val="24"/>
          <w:szCs w:val="24"/>
        </w:rPr>
        <w:t xml:space="preserve"> identified as </w:t>
      </w:r>
      <w:r w:rsidR="00AE0EE3" w:rsidRPr="00221664">
        <w:rPr>
          <w:b/>
          <w:sz w:val="24"/>
          <w:szCs w:val="24"/>
        </w:rPr>
        <w:t>male</w:t>
      </w:r>
      <w:r w:rsidR="00AE0EE3" w:rsidRPr="00221664">
        <w:rPr>
          <w:sz w:val="24"/>
          <w:szCs w:val="24"/>
        </w:rPr>
        <w:t xml:space="preserve">, while the </w:t>
      </w:r>
      <w:r w:rsidR="00C412CD" w:rsidRPr="00221664">
        <w:rPr>
          <w:sz w:val="24"/>
          <w:szCs w:val="24"/>
        </w:rPr>
        <w:t xml:space="preserve">remaining </w:t>
      </w:r>
      <w:r w:rsidR="00AE0EE3" w:rsidRPr="00221664">
        <w:rPr>
          <w:sz w:val="24"/>
          <w:szCs w:val="24"/>
        </w:rPr>
        <w:t xml:space="preserve">17% were either </w:t>
      </w:r>
      <w:r w:rsidR="00AE0EE3" w:rsidRPr="00221664">
        <w:rPr>
          <w:b/>
          <w:sz w:val="24"/>
          <w:szCs w:val="24"/>
        </w:rPr>
        <w:t>female</w:t>
      </w:r>
      <w:r w:rsidR="00AE0EE3" w:rsidRPr="00221664">
        <w:rPr>
          <w:sz w:val="24"/>
          <w:szCs w:val="24"/>
        </w:rPr>
        <w:t xml:space="preserve"> </w:t>
      </w:r>
      <w:r w:rsidR="00C412CD" w:rsidRPr="00221664">
        <w:rPr>
          <w:sz w:val="24"/>
          <w:szCs w:val="24"/>
        </w:rPr>
        <w:t>(</w:t>
      </w:r>
      <w:r w:rsidR="00551E32" w:rsidRPr="00221664">
        <w:rPr>
          <w:sz w:val="24"/>
          <w:szCs w:val="24"/>
        </w:rPr>
        <w:t xml:space="preserve">303, or </w:t>
      </w:r>
      <w:r w:rsidR="00C412CD" w:rsidRPr="00221664">
        <w:rPr>
          <w:sz w:val="24"/>
          <w:szCs w:val="24"/>
        </w:rPr>
        <w:t xml:space="preserve">16.7%) </w:t>
      </w:r>
      <w:r w:rsidR="00AE0EE3" w:rsidRPr="00221664">
        <w:rPr>
          <w:sz w:val="24"/>
          <w:szCs w:val="24"/>
        </w:rPr>
        <w:t xml:space="preserve">or chose not to disclose their gender.  The </w:t>
      </w:r>
      <w:r w:rsidR="00AE0EE3" w:rsidRPr="00221664">
        <w:rPr>
          <w:b/>
          <w:sz w:val="24"/>
          <w:szCs w:val="24"/>
        </w:rPr>
        <w:t>age</w:t>
      </w:r>
      <w:r w:rsidR="00AE0EE3" w:rsidRPr="00221664">
        <w:rPr>
          <w:sz w:val="24"/>
          <w:szCs w:val="24"/>
        </w:rPr>
        <w:t xml:space="preserve"> </w:t>
      </w:r>
      <w:r w:rsidR="00551E32" w:rsidRPr="00E43A39">
        <w:rPr>
          <w:b/>
          <w:sz w:val="24"/>
          <w:szCs w:val="24"/>
        </w:rPr>
        <w:t>range</w:t>
      </w:r>
      <w:r w:rsidR="00551E32" w:rsidRPr="00221664">
        <w:rPr>
          <w:sz w:val="24"/>
          <w:szCs w:val="24"/>
        </w:rPr>
        <w:t xml:space="preserve"> of those who</w:t>
      </w:r>
      <w:r w:rsidR="00AE0EE3" w:rsidRPr="00221664">
        <w:rPr>
          <w:sz w:val="24"/>
          <w:szCs w:val="24"/>
        </w:rPr>
        <w:t xml:space="preserve"> received services </w:t>
      </w:r>
      <w:r w:rsidR="00551E32" w:rsidRPr="00221664">
        <w:rPr>
          <w:sz w:val="24"/>
          <w:szCs w:val="24"/>
        </w:rPr>
        <w:t xml:space="preserve">was </w:t>
      </w:r>
      <w:r w:rsidR="00AE0EE3" w:rsidRPr="00E43A39">
        <w:rPr>
          <w:b/>
          <w:sz w:val="24"/>
          <w:szCs w:val="24"/>
        </w:rPr>
        <w:t>between 16 and 22</w:t>
      </w:r>
      <w:r w:rsidR="00551E32" w:rsidRPr="00221664">
        <w:rPr>
          <w:sz w:val="24"/>
          <w:szCs w:val="24"/>
        </w:rPr>
        <w:t xml:space="preserve">, with those </w:t>
      </w:r>
      <w:r w:rsidR="00551E32" w:rsidRPr="00221664">
        <w:rPr>
          <w:b/>
          <w:sz w:val="24"/>
          <w:szCs w:val="24"/>
        </w:rPr>
        <w:t>18 and over</w:t>
      </w:r>
      <w:r>
        <w:rPr>
          <w:b/>
          <w:sz w:val="24"/>
          <w:szCs w:val="24"/>
        </w:rPr>
        <w:t xml:space="preserve"> at the end of the fiscal year</w:t>
      </w:r>
      <w:r w:rsidR="00551E32" w:rsidRPr="00221664">
        <w:rPr>
          <w:sz w:val="24"/>
          <w:szCs w:val="24"/>
        </w:rPr>
        <w:t xml:space="preserve"> comprising 94.</w:t>
      </w:r>
      <w:r w:rsidR="00B80C5B">
        <w:rPr>
          <w:sz w:val="24"/>
          <w:szCs w:val="24"/>
        </w:rPr>
        <w:t>4</w:t>
      </w:r>
      <w:r w:rsidR="00551E32" w:rsidRPr="00221664">
        <w:rPr>
          <w:sz w:val="24"/>
          <w:szCs w:val="24"/>
        </w:rPr>
        <w:t>%.</w:t>
      </w:r>
      <w:r>
        <w:rPr>
          <w:sz w:val="24"/>
          <w:szCs w:val="24"/>
        </w:rPr>
        <w:t xml:space="preserve">  </w:t>
      </w:r>
    </w:p>
    <w:p w:rsidR="001F7CF8" w:rsidRDefault="00BF0347" w:rsidP="00221664">
      <w:pPr>
        <w:spacing w:after="120" w:line="340" w:lineRule="exact"/>
        <w:rPr>
          <w:sz w:val="24"/>
          <w:szCs w:val="24"/>
        </w:rPr>
      </w:pPr>
      <w:r>
        <w:rPr>
          <w:sz w:val="24"/>
          <w:szCs w:val="24"/>
        </w:rPr>
        <w:t>There is a concentration of students with autism served in offices with catchment areas in suburban areas (such as the Milford, Lowell, and Framingham, and Somerville offices), particularly in the 128 and 495 belts versus those with more urban catchment areas (Springfield, Holyoke, Brockton, Boston, Roxbury)</w:t>
      </w:r>
    </w:p>
    <w:p w:rsidR="00BF0347" w:rsidRPr="00221664" w:rsidRDefault="00BF0347" w:rsidP="00221664">
      <w:pPr>
        <w:spacing w:after="120" w:line="340" w:lineRule="exact"/>
        <w:rPr>
          <w:sz w:val="24"/>
          <w:szCs w:val="24"/>
        </w:rPr>
      </w:pPr>
      <w:r>
        <w:rPr>
          <w:sz w:val="24"/>
          <w:szCs w:val="24"/>
        </w:rPr>
        <w:t>Note that disability information for potentially eligible Pre-ETS students was not available in FY2019.  This information is being collected for these students as of July 1, 2019 for FY2020.</w:t>
      </w:r>
    </w:p>
    <w:p w:rsidR="00551E32" w:rsidRPr="00221664" w:rsidRDefault="00551E32" w:rsidP="00221664">
      <w:pPr>
        <w:spacing w:after="120" w:line="300" w:lineRule="exact"/>
        <w:rPr>
          <w:sz w:val="24"/>
          <w:szCs w:val="24"/>
        </w:rPr>
      </w:pPr>
    </w:p>
    <w:p w:rsidR="00551E32" w:rsidRPr="00221664" w:rsidRDefault="00551E32" w:rsidP="00221664">
      <w:pPr>
        <w:spacing w:before="120" w:after="240" w:line="240" w:lineRule="auto"/>
        <w:rPr>
          <w:sz w:val="24"/>
          <w:szCs w:val="24"/>
          <w:u w:val="single"/>
        </w:rPr>
      </w:pPr>
      <w:r w:rsidRPr="00221664">
        <w:rPr>
          <w:sz w:val="24"/>
          <w:szCs w:val="24"/>
          <w:u w:val="single"/>
        </w:rPr>
        <w:t>Employment</w:t>
      </w:r>
    </w:p>
    <w:p w:rsidR="001F7CF8" w:rsidRPr="00221664" w:rsidRDefault="00551E32" w:rsidP="00BF0347">
      <w:pPr>
        <w:spacing w:line="340" w:lineRule="exact"/>
        <w:rPr>
          <w:sz w:val="24"/>
          <w:szCs w:val="24"/>
        </w:rPr>
      </w:pPr>
      <w:r w:rsidRPr="00221664">
        <w:rPr>
          <w:sz w:val="24"/>
          <w:szCs w:val="24"/>
        </w:rPr>
        <w:t>During this period, 97</w:t>
      </w:r>
      <w:r w:rsidR="001E6077" w:rsidRPr="00221664">
        <w:rPr>
          <w:sz w:val="24"/>
          <w:szCs w:val="24"/>
        </w:rPr>
        <w:t xml:space="preserve"> (</w:t>
      </w:r>
      <w:r w:rsidR="00AE0EE3" w:rsidRPr="00221664">
        <w:rPr>
          <w:sz w:val="24"/>
          <w:szCs w:val="24"/>
        </w:rPr>
        <w:t>5</w:t>
      </w:r>
      <w:r w:rsidR="001E6077" w:rsidRPr="00221664">
        <w:rPr>
          <w:sz w:val="24"/>
          <w:szCs w:val="24"/>
        </w:rPr>
        <w:t>.3</w:t>
      </w:r>
      <w:r w:rsidR="00AE0EE3" w:rsidRPr="00221664">
        <w:rPr>
          <w:sz w:val="24"/>
          <w:szCs w:val="24"/>
        </w:rPr>
        <w:t xml:space="preserve">% </w:t>
      </w:r>
      <w:r w:rsidR="001E6077" w:rsidRPr="00221664">
        <w:rPr>
          <w:sz w:val="24"/>
          <w:szCs w:val="24"/>
        </w:rPr>
        <w:t xml:space="preserve">of </w:t>
      </w:r>
      <w:r w:rsidR="004B1BDF">
        <w:rPr>
          <w:sz w:val="24"/>
          <w:szCs w:val="24"/>
        </w:rPr>
        <w:t>the</w:t>
      </w:r>
      <w:r w:rsidR="001E6077" w:rsidRPr="00221664">
        <w:rPr>
          <w:sz w:val="24"/>
          <w:szCs w:val="24"/>
        </w:rPr>
        <w:t xml:space="preserve"> </w:t>
      </w:r>
      <w:r w:rsidR="004B1BDF">
        <w:rPr>
          <w:sz w:val="24"/>
          <w:szCs w:val="24"/>
        </w:rPr>
        <w:t>overall student pool</w:t>
      </w:r>
      <w:r w:rsidR="001E6077" w:rsidRPr="00221664">
        <w:rPr>
          <w:sz w:val="24"/>
          <w:szCs w:val="24"/>
        </w:rPr>
        <w:t xml:space="preserve">) </w:t>
      </w:r>
      <w:r w:rsidR="00AE0EE3" w:rsidRPr="00221664">
        <w:rPr>
          <w:sz w:val="24"/>
          <w:szCs w:val="24"/>
        </w:rPr>
        <w:t xml:space="preserve">landed a </w:t>
      </w:r>
      <w:r w:rsidR="00E43A39">
        <w:rPr>
          <w:sz w:val="24"/>
          <w:szCs w:val="24"/>
        </w:rPr>
        <w:t>S</w:t>
      </w:r>
      <w:r w:rsidR="00AE0EE3" w:rsidRPr="00221664">
        <w:rPr>
          <w:sz w:val="24"/>
          <w:szCs w:val="24"/>
        </w:rPr>
        <w:t xml:space="preserve">uccessful </w:t>
      </w:r>
      <w:r w:rsidR="00E43A39">
        <w:rPr>
          <w:sz w:val="24"/>
          <w:szCs w:val="24"/>
        </w:rPr>
        <w:t>E</w:t>
      </w:r>
      <w:r w:rsidR="00AE0EE3" w:rsidRPr="00221664">
        <w:rPr>
          <w:sz w:val="24"/>
          <w:szCs w:val="24"/>
        </w:rPr>
        <w:t xml:space="preserve">mployment </w:t>
      </w:r>
      <w:r w:rsidR="00E43A39">
        <w:rPr>
          <w:sz w:val="24"/>
          <w:szCs w:val="24"/>
        </w:rPr>
        <w:t>O</w:t>
      </w:r>
      <w:r w:rsidR="00AE0EE3" w:rsidRPr="00221664">
        <w:rPr>
          <w:sz w:val="24"/>
          <w:szCs w:val="24"/>
        </w:rPr>
        <w:t>utcome</w:t>
      </w:r>
      <w:r w:rsidR="00CD2905" w:rsidRPr="00221664">
        <w:rPr>
          <w:sz w:val="24"/>
          <w:szCs w:val="24"/>
        </w:rPr>
        <w:t xml:space="preserve"> (</w:t>
      </w:r>
      <w:r w:rsidR="00CD2905" w:rsidRPr="00221664">
        <w:rPr>
          <w:b/>
          <w:sz w:val="24"/>
          <w:szCs w:val="24"/>
        </w:rPr>
        <w:t>SEO</w:t>
      </w:r>
      <w:r w:rsidR="00CD2905" w:rsidRPr="00221664">
        <w:rPr>
          <w:sz w:val="24"/>
          <w:szCs w:val="24"/>
        </w:rPr>
        <w:t>)</w:t>
      </w:r>
      <w:r w:rsidR="00AE0EE3" w:rsidRPr="00221664">
        <w:rPr>
          <w:sz w:val="24"/>
          <w:szCs w:val="24"/>
        </w:rPr>
        <w:t>.</w:t>
      </w:r>
      <w:r w:rsidR="00CD2905" w:rsidRPr="00221664">
        <w:rPr>
          <w:sz w:val="24"/>
          <w:szCs w:val="24"/>
        </w:rPr>
        <w:t xml:space="preserve">  All SEO have </w:t>
      </w:r>
      <w:r w:rsidR="00CD2905" w:rsidRPr="00221664">
        <w:rPr>
          <w:b/>
          <w:sz w:val="24"/>
          <w:szCs w:val="24"/>
        </w:rPr>
        <w:t>health insurance</w:t>
      </w:r>
      <w:r w:rsidR="00CD2905" w:rsidRPr="00221664">
        <w:rPr>
          <w:sz w:val="24"/>
          <w:szCs w:val="24"/>
        </w:rPr>
        <w:t xml:space="preserve">, </w:t>
      </w:r>
      <w:r w:rsidR="001E6077" w:rsidRPr="00221664">
        <w:rPr>
          <w:sz w:val="24"/>
          <w:szCs w:val="24"/>
        </w:rPr>
        <w:t>with 9.3</w:t>
      </w:r>
      <w:r w:rsidR="00CD2905" w:rsidRPr="00221664">
        <w:rPr>
          <w:sz w:val="24"/>
          <w:szCs w:val="24"/>
        </w:rPr>
        <w:t xml:space="preserve">% of </w:t>
      </w:r>
      <w:r w:rsidR="00823E16" w:rsidRPr="00221664">
        <w:rPr>
          <w:sz w:val="24"/>
          <w:szCs w:val="24"/>
        </w:rPr>
        <w:t>those being</w:t>
      </w:r>
      <w:r w:rsidR="00CD2905" w:rsidRPr="00221664">
        <w:rPr>
          <w:sz w:val="24"/>
          <w:szCs w:val="24"/>
        </w:rPr>
        <w:t xml:space="preserve"> employer-sponsored.  </w:t>
      </w:r>
      <w:r w:rsidR="001E6077" w:rsidRPr="00221664">
        <w:rPr>
          <w:sz w:val="24"/>
          <w:szCs w:val="24"/>
        </w:rPr>
        <w:t xml:space="preserve">The </w:t>
      </w:r>
      <w:r w:rsidR="001E6077" w:rsidRPr="00E43A39">
        <w:rPr>
          <w:b/>
          <w:sz w:val="24"/>
          <w:szCs w:val="24"/>
        </w:rPr>
        <w:t>average</w:t>
      </w:r>
      <w:r w:rsidR="001E6077" w:rsidRPr="00221664">
        <w:rPr>
          <w:sz w:val="24"/>
          <w:szCs w:val="24"/>
        </w:rPr>
        <w:t xml:space="preserve"> </w:t>
      </w:r>
      <w:r w:rsidR="001E6077" w:rsidRPr="00221664">
        <w:rPr>
          <w:b/>
          <w:sz w:val="24"/>
          <w:szCs w:val="24"/>
        </w:rPr>
        <w:t>hours worked</w:t>
      </w:r>
      <w:r w:rsidR="001E6077" w:rsidRPr="00221664">
        <w:rPr>
          <w:sz w:val="24"/>
          <w:szCs w:val="24"/>
        </w:rPr>
        <w:t xml:space="preserve"> for </w:t>
      </w:r>
      <w:r w:rsidR="00823E16" w:rsidRPr="00221664">
        <w:rPr>
          <w:sz w:val="24"/>
          <w:szCs w:val="24"/>
        </w:rPr>
        <w:t>this</w:t>
      </w:r>
      <w:r w:rsidR="001E6077" w:rsidRPr="00221664">
        <w:rPr>
          <w:sz w:val="24"/>
          <w:szCs w:val="24"/>
        </w:rPr>
        <w:t xml:space="preserve"> SEO </w:t>
      </w:r>
      <w:r w:rsidR="00823E16" w:rsidRPr="00221664">
        <w:rPr>
          <w:sz w:val="24"/>
          <w:szCs w:val="24"/>
        </w:rPr>
        <w:t xml:space="preserve">group </w:t>
      </w:r>
      <w:r w:rsidR="001E6077" w:rsidRPr="00221664">
        <w:rPr>
          <w:sz w:val="24"/>
          <w:szCs w:val="24"/>
        </w:rPr>
        <w:t xml:space="preserve">total 23.9 per week, with a median of 20.0 hours.  </w:t>
      </w:r>
      <w:r w:rsidR="001E6077" w:rsidRPr="00E43A39">
        <w:rPr>
          <w:b/>
          <w:sz w:val="24"/>
          <w:szCs w:val="24"/>
        </w:rPr>
        <w:t>Average</w:t>
      </w:r>
      <w:r w:rsidR="001E6077" w:rsidRPr="00221664">
        <w:rPr>
          <w:sz w:val="24"/>
          <w:szCs w:val="24"/>
        </w:rPr>
        <w:t xml:space="preserve"> </w:t>
      </w:r>
      <w:r w:rsidR="001E6077" w:rsidRPr="00221664">
        <w:rPr>
          <w:b/>
          <w:sz w:val="24"/>
          <w:szCs w:val="24"/>
        </w:rPr>
        <w:t>hourly wage</w:t>
      </w:r>
      <w:r w:rsidR="001E6077" w:rsidRPr="00221664">
        <w:rPr>
          <w:sz w:val="24"/>
          <w:szCs w:val="24"/>
        </w:rPr>
        <w:t xml:space="preserve"> is $13.20, with a median wage of $12.00.</w:t>
      </w:r>
    </w:p>
    <w:p w:rsidR="001E6077" w:rsidRPr="00221664" w:rsidRDefault="00823E16" w:rsidP="00221664">
      <w:pPr>
        <w:spacing w:before="120" w:after="240" w:line="240" w:lineRule="auto"/>
        <w:rPr>
          <w:sz w:val="24"/>
          <w:szCs w:val="24"/>
          <w:u w:val="single"/>
        </w:rPr>
      </w:pPr>
      <w:r w:rsidRPr="00221664">
        <w:rPr>
          <w:sz w:val="24"/>
          <w:szCs w:val="24"/>
          <w:u w:val="single"/>
        </w:rPr>
        <w:t>Current Statuses</w:t>
      </w:r>
    </w:p>
    <w:p w:rsidR="00C95730" w:rsidRPr="00221664" w:rsidRDefault="00CD2905" w:rsidP="00900207">
      <w:pPr>
        <w:spacing w:line="340" w:lineRule="exact"/>
        <w:rPr>
          <w:sz w:val="24"/>
          <w:szCs w:val="24"/>
        </w:rPr>
      </w:pPr>
      <w:r w:rsidRPr="00221664">
        <w:rPr>
          <w:sz w:val="24"/>
          <w:szCs w:val="24"/>
        </w:rPr>
        <w:t xml:space="preserve">Approximately three-quarters </w:t>
      </w:r>
      <w:r w:rsidR="00823E16" w:rsidRPr="00221664">
        <w:rPr>
          <w:sz w:val="24"/>
          <w:szCs w:val="24"/>
        </w:rPr>
        <w:t xml:space="preserve">(1358, or 74.8%) </w:t>
      </w:r>
      <w:r w:rsidRPr="00221664">
        <w:rPr>
          <w:sz w:val="24"/>
          <w:szCs w:val="24"/>
        </w:rPr>
        <w:t xml:space="preserve">of </w:t>
      </w:r>
      <w:r w:rsidR="001E6077" w:rsidRPr="00221664">
        <w:rPr>
          <w:sz w:val="24"/>
          <w:szCs w:val="24"/>
        </w:rPr>
        <w:t>this group of consumers</w:t>
      </w:r>
      <w:r w:rsidRPr="00221664">
        <w:rPr>
          <w:sz w:val="24"/>
          <w:szCs w:val="24"/>
        </w:rPr>
        <w:t xml:space="preserve"> </w:t>
      </w:r>
      <w:r w:rsidR="00823E16" w:rsidRPr="00221664">
        <w:rPr>
          <w:sz w:val="24"/>
          <w:szCs w:val="24"/>
        </w:rPr>
        <w:t xml:space="preserve">with autism </w:t>
      </w:r>
      <w:r w:rsidRPr="00221664">
        <w:rPr>
          <w:sz w:val="24"/>
          <w:szCs w:val="24"/>
        </w:rPr>
        <w:t xml:space="preserve">are currently in </w:t>
      </w:r>
      <w:r w:rsidRPr="00221664">
        <w:rPr>
          <w:b/>
          <w:sz w:val="24"/>
          <w:szCs w:val="24"/>
        </w:rPr>
        <w:t>Status 18</w:t>
      </w:r>
      <w:r w:rsidRPr="00221664">
        <w:rPr>
          <w:sz w:val="24"/>
          <w:szCs w:val="24"/>
        </w:rPr>
        <w:t xml:space="preserve"> (training phase), while the </w:t>
      </w:r>
      <w:r w:rsidR="00823E16" w:rsidRPr="00221664">
        <w:rPr>
          <w:sz w:val="24"/>
          <w:szCs w:val="24"/>
        </w:rPr>
        <w:t xml:space="preserve">remaining </w:t>
      </w:r>
      <w:r w:rsidRPr="00221664">
        <w:rPr>
          <w:sz w:val="24"/>
          <w:szCs w:val="24"/>
        </w:rPr>
        <w:t xml:space="preserve">25% are </w:t>
      </w:r>
      <w:r w:rsidR="009B0506" w:rsidRPr="00221664">
        <w:rPr>
          <w:sz w:val="24"/>
          <w:szCs w:val="24"/>
        </w:rPr>
        <w:t>elsewhere in the VR process (</w:t>
      </w:r>
      <w:r w:rsidRPr="00221664">
        <w:rPr>
          <w:sz w:val="24"/>
          <w:szCs w:val="24"/>
        </w:rPr>
        <w:t xml:space="preserve">Status 16 </w:t>
      </w:r>
      <w:r w:rsidR="009B0506" w:rsidRPr="00221664">
        <w:rPr>
          <w:sz w:val="24"/>
          <w:szCs w:val="24"/>
        </w:rPr>
        <w:t>and</w:t>
      </w:r>
      <w:r w:rsidRPr="00221664">
        <w:rPr>
          <w:sz w:val="24"/>
          <w:szCs w:val="24"/>
        </w:rPr>
        <w:t xml:space="preserve"> lower or</w:t>
      </w:r>
      <w:r w:rsidR="009B0506" w:rsidRPr="00221664">
        <w:rPr>
          <w:sz w:val="24"/>
          <w:szCs w:val="24"/>
        </w:rPr>
        <w:t xml:space="preserve"> Status 20 and above).  </w:t>
      </w:r>
      <w:r w:rsidR="00823E16" w:rsidRPr="00221664">
        <w:rPr>
          <w:sz w:val="24"/>
          <w:szCs w:val="24"/>
        </w:rPr>
        <w:t>About</w:t>
      </w:r>
      <w:r w:rsidR="009B0506" w:rsidRPr="00221664">
        <w:rPr>
          <w:sz w:val="24"/>
          <w:szCs w:val="24"/>
        </w:rPr>
        <w:t xml:space="preserve"> seven-tenths that were served </w:t>
      </w:r>
      <w:r w:rsidR="00823E16" w:rsidRPr="00221664">
        <w:rPr>
          <w:sz w:val="24"/>
          <w:szCs w:val="24"/>
        </w:rPr>
        <w:t xml:space="preserve">(1293, or 71.2%) </w:t>
      </w:r>
      <w:r w:rsidR="009B0506" w:rsidRPr="00221664">
        <w:rPr>
          <w:sz w:val="24"/>
          <w:szCs w:val="24"/>
        </w:rPr>
        <w:t xml:space="preserve">have </w:t>
      </w:r>
      <w:r w:rsidR="00823E16" w:rsidRPr="00221664">
        <w:rPr>
          <w:b/>
          <w:sz w:val="24"/>
          <w:szCs w:val="24"/>
        </w:rPr>
        <w:t>less than</w:t>
      </w:r>
      <w:r w:rsidR="009B0506" w:rsidRPr="00221664">
        <w:rPr>
          <w:b/>
          <w:sz w:val="24"/>
          <w:szCs w:val="24"/>
        </w:rPr>
        <w:t xml:space="preserve"> a high school </w:t>
      </w:r>
      <w:r w:rsidR="009B0506" w:rsidRPr="00E43A39">
        <w:rPr>
          <w:b/>
          <w:sz w:val="24"/>
          <w:szCs w:val="24"/>
        </w:rPr>
        <w:t>diploma</w:t>
      </w:r>
      <w:r w:rsidR="009B0506" w:rsidRPr="00221664">
        <w:rPr>
          <w:sz w:val="24"/>
          <w:szCs w:val="24"/>
        </w:rPr>
        <w:t xml:space="preserve">, while the </w:t>
      </w:r>
      <w:r w:rsidR="00823E16" w:rsidRPr="00221664">
        <w:rPr>
          <w:sz w:val="24"/>
          <w:szCs w:val="24"/>
        </w:rPr>
        <w:t>remainder (</w:t>
      </w:r>
      <w:r w:rsidR="00B80C5B">
        <w:rPr>
          <w:sz w:val="24"/>
          <w:szCs w:val="24"/>
        </w:rPr>
        <w:t>522</w:t>
      </w:r>
      <w:r w:rsidR="00823E16" w:rsidRPr="00221664">
        <w:rPr>
          <w:sz w:val="24"/>
          <w:szCs w:val="24"/>
        </w:rPr>
        <w:t xml:space="preserve">, or </w:t>
      </w:r>
      <w:r w:rsidR="007729B2" w:rsidRPr="00221664">
        <w:rPr>
          <w:sz w:val="24"/>
          <w:szCs w:val="24"/>
        </w:rPr>
        <w:t>28.8</w:t>
      </w:r>
      <w:r w:rsidR="009B0506" w:rsidRPr="00221664">
        <w:rPr>
          <w:sz w:val="24"/>
          <w:szCs w:val="24"/>
        </w:rPr>
        <w:t>%</w:t>
      </w:r>
      <w:r w:rsidR="007729B2" w:rsidRPr="00221664">
        <w:rPr>
          <w:sz w:val="24"/>
          <w:szCs w:val="24"/>
        </w:rPr>
        <w:t>)</w:t>
      </w:r>
      <w:r w:rsidR="009B0506" w:rsidRPr="00221664">
        <w:rPr>
          <w:sz w:val="24"/>
          <w:szCs w:val="24"/>
        </w:rPr>
        <w:t xml:space="preserve"> have achieved either that or a higher level of education.</w:t>
      </w:r>
      <w:r w:rsidRPr="00221664">
        <w:rPr>
          <w:sz w:val="24"/>
          <w:szCs w:val="24"/>
        </w:rPr>
        <w:t xml:space="preserve">  </w:t>
      </w:r>
      <w:r w:rsidR="009B0506" w:rsidRPr="00221664">
        <w:rPr>
          <w:sz w:val="24"/>
          <w:szCs w:val="24"/>
        </w:rPr>
        <w:t>66</w:t>
      </w:r>
      <w:r w:rsidR="007729B2" w:rsidRPr="00221664">
        <w:rPr>
          <w:sz w:val="24"/>
          <w:szCs w:val="24"/>
        </w:rPr>
        <w:t>.2</w:t>
      </w:r>
      <w:r w:rsidR="009B0506" w:rsidRPr="00221664">
        <w:rPr>
          <w:sz w:val="24"/>
          <w:szCs w:val="24"/>
        </w:rPr>
        <w:t xml:space="preserve">% </w:t>
      </w:r>
      <w:r w:rsidR="007729B2" w:rsidRPr="00221664">
        <w:rPr>
          <w:sz w:val="24"/>
          <w:szCs w:val="24"/>
        </w:rPr>
        <w:t xml:space="preserve">(1201) </w:t>
      </w:r>
      <w:r w:rsidR="009B0506" w:rsidRPr="00221664">
        <w:rPr>
          <w:sz w:val="24"/>
          <w:szCs w:val="24"/>
        </w:rPr>
        <w:t xml:space="preserve">of youth consumers are currently receiving </w:t>
      </w:r>
      <w:r w:rsidR="009B0506" w:rsidRPr="00221664">
        <w:rPr>
          <w:b/>
          <w:sz w:val="24"/>
          <w:szCs w:val="24"/>
        </w:rPr>
        <w:t>pre-employment transition services</w:t>
      </w:r>
      <w:r w:rsidR="009B0506" w:rsidRPr="00221664">
        <w:rPr>
          <w:sz w:val="24"/>
          <w:szCs w:val="24"/>
        </w:rPr>
        <w:t xml:space="preserve"> in the </w:t>
      </w:r>
      <w:r w:rsidR="00E4633A">
        <w:rPr>
          <w:sz w:val="24"/>
          <w:szCs w:val="24"/>
        </w:rPr>
        <w:t>I</w:t>
      </w:r>
      <w:r w:rsidR="009B0506" w:rsidRPr="00221664">
        <w:rPr>
          <w:sz w:val="24"/>
          <w:szCs w:val="24"/>
        </w:rPr>
        <w:t xml:space="preserve">ndividualized </w:t>
      </w:r>
      <w:r w:rsidR="00E4633A">
        <w:rPr>
          <w:sz w:val="24"/>
          <w:szCs w:val="24"/>
        </w:rPr>
        <w:t>P</w:t>
      </w:r>
      <w:r w:rsidR="009B0506" w:rsidRPr="00221664">
        <w:rPr>
          <w:sz w:val="24"/>
          <w:szCs w:val="24"/>
        </w:rPr>
        <w:t xml:space="preserve">lan </w:t>
      </w:r>
      <w:r w:rsidR="00E4633A">
        <w:rPr>
          <w:sz w:val="24"/>
          <w:szCs w:val="24"/>
        </w:rPr>
        <w:t xml:space="preserve">for Employment </w:t>
      </w:r>
      <w:r w:rsidR="009B0506" w:rsidRPr="00221664">
        <w:rPr>
          <w:sz w:val="24"/>
          <w:szCs w:val="24"/>
        </w:rPr>
        <w:t>(</w:t>
      </w:r>
      <w:r w:rsidR="009B0506" w:rsidRPr="00E76EB3">
        <w:rPr>
          <w:b/>
          <w:sz w:val="24"/>
          <w:szCs w:val="24"/>
        </w:rPr>
        <w:t>IPE</w:t>
      </w:r>
      <w:r w:rsidR="009B0506" w:rsidRPr="00221664">
        <w:rPr>
          <w:sz w:val="24"/>
          <w:szCs w:val="24"/>
        </w:rPr>
        <w:t>).  60</w:t>
      </w:r>
      <w:r w:rsidR="007729B2" w:rsidRPr="00221664">
        <w:rPr>
          <w:sz w:val="24"/>
          <w:szCs w:val="24"/>
        </w:rPr>
        <w:t>.1</w:t>
      </w:r>
      <w:r w:rsidR="009B0506" w:rsidRPr="00221664">
        <w:rPr>
          <w:sz w:val="24"/>
          <w:szCs w:val="24"/>
        </w:rPr>
        <w:t xml:space="preserve">% currently have services for work-based learning experiences.  </w:t>
      </w:r>
      <w:r w:rsidR="007729B2" w:rsidRPr="00221664">
        <w:rPr>
          <w:sz w:val="24"/>
          <w:szCs w:val="24"/>
        </w:rPr>
        <w:t>Finally</w:t>
      </w:r>
      <w:r w:rsidR="009B0506" w:rsidRPr="00221664">
        <w:rPr>
          <w:sz w:val="24"/>
          <w:szCs w:val="24"/>
        </w:rPr>
        <w:t xml:space="preserve">, less than 1% </w:t>
      </w:r>
      <w:r w:rsidR="00BF0347">
        <w:rPr>
          <w:sz w:val="24"/>
          <w:szCs w:val="24"/>
        </w:rPr>
        <w:t>were</w:t>
      </w:r>
      <w:r w:rsidR="00612D0E" w:rsidRPr="00221664">
        <w:rPr>
          <w:sz w:val="24"/>
          <w:szCs w:val="24"/>
        </w:rPr>
        <w:t xml:space="preserve"> employed </w:t>
      </w:r>
      <w:r w:rsidR="007729B2" w:rsidRPr="00221664">
        <w:rPr>
          <w:sz w:val="24"/>
          <w:szCs w:val="24"/>
        </w:rPr>
        <w:t xml:space="preserve">(12, or 0.7%) </w:t>
      </w:r>
      <w:r w:rsidR="00612D0E" w:rsidRPr="00221664">
        <w:rPr>
          <w:sz w:val="24"/>
          <w:szCs w:val="24"/>
        </w:rPr>
        <w:t xml:space="preserve">at the time they applied for </w:t>
      </w:r>
      <w:r w:rsidR="00E4633A">
        <w:rPr>
          <w:sz w:val="24"/>
          <w:szCs w:val="24"/>
        </w:rPr>
        <w:t>VR services</w:t>
      </w:r>
      <w:r w:rsidR="00612D0E" w:rsidRPr="00221664">
        <w:rPr>
          <w:sz w:val="24"/>
          <w:szCs w:val="24"/>
        </w:rPr>
        <w:t>.</w:t>
      </w:r>
      <w:bookmarkStart w:id="0" w:name="_GoBack"/>
      <w:bookmarkEnd w:id="0"/>
    </w:p>
    <w:sectPr w:rsidR="00C95730" w:rsidRPr="00221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E3"/>
    <w:rsid w:val="00013BEE"/>
    <w:rsid w:val="00055BC7"/>
    <w:rsid w:val="001E6077"/>
    <w:rsid w:val="001F7CF8"/>
    <w:rsid w:val="00221664"/>
    <w:rsid w:val="0038100D"/>
    <w:rsid w:val="00444502"/>
    <w:rsid w:val="004B1BDF"/>
    <w:rsid w:val="004C1FDB"/>
    <w:rsid w:val="004C600F"/>
    <w:rsid w:val="00551E32"/>
    <w:rsid w:val="00612D0E"/>
    <w:rsid w:val="007729B2"/>
    <w:rsid w:val="00823E16"/>
    <w:rsid w:val="008D5237"/>
    <w:rsid w:val="00900207"/>
    <w:rsid w:val="009B0506"/>
    <w:rsid w:val="00A956CF"/>
    <w:rsid w:val="00AE0EE3"/>
    <w:rsid w:val="00B80C5B"/>
    <w:rsid w:val="00BF0347"/>
    <w:rsid w:val="00C04C7D"/>
    <w:rsid w:val="00C412CD"/>
    <w:rsid w:val="00CB4D65"/>
    <w:rsid w:val="00CD2905"/>
    <w:rsid w:val="00D37F10"/>
    <w:rsid w:val="00E43A39"/>
    <w:rsid w:val="00E4633A"/>
    <w:rsid w:val="00E7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E2002-B25D-4D70-BC0A-DFAB5059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EB2C-23F8-44FB-A1B0-5554BA83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Scott (MRC)</dc:creator>
  <cp:lastModifiedBy>Porell, Graham (MRC)</cp:lastModifiedBy>
  <cp:revision>2</cp:revision>
  <cp:lastPrinted>2019-12-26T20:02:00Z</cp:lastPrinted>
  <dcterms:created xsi:type="dcterms:W3CDTF">2020-01-03T21:06:00Z</dcterms:created>
  <dcterms:modified xsi:type="dcterms:W3CDTF">2020-01-03T21:06:00Z</dcterms:modified>
</cp:coreProperties>
</file>