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B27A" w14:textId="77777777" w:rsidR="00F70D4E" w:rsidRDefault="00F70D4E" w:rsidP="00F70D4E">
      <w:pPr>
        <w:pStyle w:val="BodyText"/>
        <w:spacing w:before="7"/>
        <w:jc w:val="center"/>
      </w:pPr>
    </w:p>
    <w:p w14:paraId="3E47C5DE" w14:textId="171F2292" w:rsidR="00F70D4E" w:rsidRPr="004B40C6" w:rsidRDefault="004B40C6" w:rsidP="00F70D4E">
      <w:pPr>
        <w:pStyle w:val="BodyText"/>
        <w:spacing w:before="7"/>
        <w:jc w:val="center"/>
        <w:rPr>
          <w:rFonts w:ascii="Aptos" w:hAnsi="Aptos"/>
          <w:sz w:val="28"/>
        </w:rPr>
      </w:pPr>
      <w:r w:rsidRPr="004B40C6">
        <w:rPr>
          <w:rFonts w:ascii="Aptos" w:hAnsi="Aptos"/>
        </w:rPr>
        <w:t>Appendix</w:t>
      </w:r>
      <w:r w:rsidRPr="004B40C6">
        <w:rPr>
          <w:rFonts w:ascii="Aptos" w:hAnsi="Aptos"/>
          <w:spacing w:val="-5"/>
        </w:rPr>
        <w:t xml:space="preserve"> </w:t>
      </w:r>
      <w:r w:rsidRPr="004B40C6">
        <w:rPr>
          <w:rFonts w:ascii="Aptos" w:hAnsi="Aptos"/>
          <w:spacing w:val="-10"/>
        </w:rPr>
        <w:t>2</w:t>
      </w:r>
    </w:p>
    <w:p w14:paraId="627E9D6E" w14:textId="77777777" w:rsidR="00F70D4E" w:rsidRPr="004B40C6" w:rsidRDefault="00F70D4E" w:rsidP="00F70D4E">
      <w:pPr>
        <w:pStyle w:val="BodyText"/>
        <w:ind w:left="277" w:right="278"/>
        <w:jc w:val="center"/>
        <w:rPr>
          <w:rFonts w:ascii="Aptos" w:hAnsi="Aptos"/>
          <w:spacing w:val="-2"/>
        </w:rPr>
      </w:pPr>
    </w:p>
    <w:p w14:paraId="2E6A5F40" w14:textId="199E965A" w:rsidR="00F70D4E" w:rsidRPr="004B40C6" w:rsidRDefault="004B40C6" w:rsidP="004B40C6">
      <w:pPr>
        <w:pStyle w:val="Heading1"/>
      </w:pPr>
      <w:r w:rsidRPr="004B40C6">
        <w:t>Narrative</w:t>
      </w:r>
    </w:p>
    <w:p w14:paraId="0D99268D" w14:textId="77777777" w:rsidR="00F463E4" w:rsidRDefault="00F463E4" w:rsidP="007429A9">
      <w:pPr>
        <w:pStyle w:val="HBsl"/>
        <w:spacing w:after="120"/>
        <w:rPr>
          <w:rFonts w:asciiTheme="minorHAnsi" w:hAnsiTheme="minorHAnsi"/>
          <w:b/>
          <w:bCs/>
          <w:sz w:val="21"/>
          <w:szCs w:val="21"/>
        </w:rPr>
        <w:sectPr w:rsidR="00F463E4" w:rsidSect="00F70D4E">
          <w:headerReference w:type="first" r:id="rId7"/>
          <w:pgSz w:w="12240" w:h="15840" w:code="1"/>
          <w:pgMar w:top="1440" w:right="1440" w:bottom="1440" w:left="1440" w:header="720" w:footer="720" w:gutter="0"/>
          <w:cols w:space="720"/>
          <w:titlePg/>
          <w:docGrid w:linePitch="360"/>
        </w:sectPr>
      </w:pPr>
    </w:p>
    <w:p w14:paraId="2ABE8231" w14:textId="77777777" w:rsidR="00E040C8" w:rsidRPr="0064627E" w:rsidRDefault="00E040C8" w:rsidP="0027045D">
      <w:pPr>
        <w:pStyle w:val="Heading2"/>
        <w:rPr>
          <w:sz w:val="24"/>
          <w:szCs w:val="24"/>
        </w:rPr>
      </w:pPr>
      <w:r w:rsidRPr="0064627E">
        <w:rPr>
          <w:sz w:val="24"/>
          <w:szCs w:val="24"/>
        </w:rPr>
        <w:lastRenderedPageBreak/>
        <w:t>Project Description</w:t>
      </w:r>
    </w:p>
    <w:p w14:paraId="69954B1E" w14:textId="2FEE5E68" w:rsidR="00E040C8" w:rsidRPr="0064627E" w:rsidRDefault="000556B3" w:rsidP="004B40C6">
      <w:pPr>
        <w:pStyle w:val="HBblj"/>
        <w:spacing w:after="120"/>
        <w:rPr>
          <w:rFonts w:asciiTheme="minorHAnsi" w:eastAsia="PMingLiU" w:hAnsiTheme="minorHAnsi"/>
        </w:rPr>
      </w:pPr>
      <w:r w:rsidRPr="0064627E">
        <w:rPr>
          <w:rFonts w:asciiTheme="minorHAnsi" w:eastAsia="PMingLiU" w:hAnsiTheme="minorHAnsi"/>
        </w:rPr>
        <w:t>Baystate Health</w:t>
      </w:r>
      <w:r w:rsidR="00E040C8" w:rsidRPr="0064627E">
        <w:rPr>
          <w:rFonts w:asciiTheme="minorHAnsi" w:eastAsia="PMingLiU" w:hAnsiTheme="minorHAnsi"/>
        </w:rPr>
        <w:t>, Inc. (the “Applicant”</w:t>
      </w:r>
      <w:r w:rsidR="000964EF" w:rsidRPr="0064627E">
        <w:rPr>
          <w:rFonts w:asciiTheme="minorHAnsi" w:eastAsia="PMingLiU" w:hAnsiTheme="minorHAnsi"/>
        </w:rPr>
        <w:t xml:space="preserve"> or “BH”</w:t>
      </w:r>
      <w:r w:rsidR="00E040C8" w:rsidRPr="0064627E">
        <w:rPr>
          <w:rFonts w:asciiTheme="minorHAnsi" w:eastAsia="PMingLiU" w:hAnsiTheme="minorHAnsi"/>
        </w:rPr>
        <w:t xml:space="preserve">), with a principal place of business at </w:t>
      </w:r>
      <w:r w:rsidR="00D06006" w:rsidRPr="0064627E">
        <w:rPr>
          <w:rFonts w:asciiTheme="minorHAnsi" w:eastAsia="PMingLiU" w:hAnsiTheme="minorHAnsi"/>
        </w:rPr>
        <w:t xml:space="preserve">759 Chestnut Street, </w:t>
      </w:r>
      <w:r w:rsidRPr="0064627E">
        <w:rPr>
          <w:rFonts w:asciiTheme="minorHAnsi" w:eastAsia="PMingLiU" w:hAnsiTheme="minorHAnsi"/>
        </w:rPr>
        <w:t>Springfield</w:t>
      </w:r>
      <w:r w:rsidR="008D0968" w:rsidRPr="0064627E">
        <w:rPr>
          <w:rFonts w:asciiTheme="minorHAnsi" w:eastAsia="PMingLiU" w:hAnsiTheme="minorHAnsi"/>
        </w:rPr>
        <w:t>,</w:t>
      </w:r>
      <w:r w:rsidRPr="0064627E">
        <w:rPr>
          <w:rFonts w:asciiTheme="minorHAnsi" w:eastAsia="PMingLiU" w:hAnsiTheme="minorHAnsi"/>
        </w:rPr>
        <w:t xml:space="preserve"> MA 01199</w:t>
      </w:r>
      <w:r w:rsidR="00E040C8" w:rsidRPr="0064627E">
        <w:rPr>
          <w:rFonts w:asciiTheme="minorHAnsi" w:eastAsia="PMingLiU" w:hAnsiTheme="minorHAnsi"/>
        </w:rPr>
        <w:t xml:space="preserve">, seeks a Determination of Need (DoN) from the Massachusetts Department of Public Health (DPH) for the transfer of ownership of </w:t>
      </w:r>
      <w:r w:rsidR="00796FA4" w:rsidRPr="0064627E">
        <w:rPr>
          <w:rFonts w:asciiTheme="minorHAnsi" w:eastAsia="PMingLiU" w:hAnsiTheme="minorHAnsi"/>
        </w:rPr>
        <w:t xml:space="preserve">The </w:t>
      </w:r>
      <w:r w:rsidR="00457998" w:rsidRPr="0064627E">
        <w:rPr>
          <w:rFonts w:asciiTheme="minorHAnsi" w:eastAsia="PMingLiU" w:hAnsiTheme="minorHAnsi"/>
        </w:rPr>
        <w:t>Mercy</w:t>
      </w:r>
      <w:r w:rsidR="00796FA4" w:rsidRPr="0064627E">
        <w:rPr>
          <w:rFonts w:asciiTheme="minorHAnsi" w:eastAsia="PMingLiU" w:hAnsiTheme="minorHAnsi"/>
        </w:rPr>
        <w:t xml:space="preserve"> Hospital, Inc.</w:t>
      </w:r>
      <w:r w:rsidR="001171DF" w:rsidRPr="0064627E">
        <w:rPr>
          <w:rFonts w:asciiTheme="minorHAnsi" w:eastAsia="PMingLiU" w:hAnsiTheme="minorHAnsi"/>
        </w:rPr>
        <w:t>, d</w:t>
      </w:r>
      <w:r w:rsidR="00810F09" w:rsidRPr="0064627E">
        <w:rPr>
          <w:rFonts w:asciiTheme="minorHAnsi" w:eastAsia="PMingLiU" w:hAnsiTheme="minorHAnsi"/>
        </w:rPr>
        <w:t>/</w:t>
      </w:r>
      <w:r w:rsidR="001171DF" w:rsidRPr="0064627E">
        <w:rPr>
          <w:rFonts w:asciiTheme="minorHAnsi" w:eastAsia="PMingLiU" w:hAnsiTheme="minorHAnsi"/>
        </w:rPr>
        <w:t>b</w:t>
      </w:r>
      <w:r w:rsidR="00810F09" w:rsidRPr="0064627E">
        <w:rPr>
          <w:rFonts w:asciiTheme="minorHAnsi" w:eastAsia="PMingLiU" w:hAnsiTheme="minorHAnsi"/>
        </w:rPr>
        <w:t>/</w:t>
      </w:r>
      <w:r w:rsidR="001171DF" w:rsidRPr="0064627E">
        <w:rPr>
          <w:rFonts w:asciiTheme="minorHAnsi" w:eastAsia="PMingLiU" w:hAnsiTheme="minorHAnsi"/>
        </w:rPr>
        <w:t xml:space="preserve">a </w:t>
      </w:r>
      <w:r w:rsidR="00457998" w:rsidRPr="0064627E">
        <w:rPr>
          <w:rFonts w:asciiTheme="minorHAnsi" w:eastAsia="PMingLiU" w:hAnsiTheme="minorHAnsi"/>
        </w:rPr>
        <w:t>Mercy</w:t>
      </w:r>
      <w:r w:rsidR="00796FA4" w:rsidRPr="0064627E">
        <w:rPr>
          <w:rFonts w:asciiTheme="minorHAnsi" w:eastAsia="PMingLiU" w:hAnsiTheme="minorHAnsi"/>
        </w:rPr>
        <w:t xml:space="preserve"> Medical Center (</w:t>
      </w:r>
      <w:r w:rsidR="00457998" w:rsidRPr="0064627E">
        <w:rPr>
          <w:rFonts w:asciiTheme="minorHAnsi" w:eastAsia="PMingLiU" w:hAnsiTheme="minorHAnsi"/>
        </w:rPr>
        <w:t>MMC</w:t>
      </w:r>
      <w:r w:rsidR="00796FA4" w:rsidRPr="0064627E">
        <w:rPr>
          <w:rFonts w:asciiTheme="minorHAnsi" w:eastAsia="PMingLiU" w:hAnsiTheme="minorHAnsi"/>
        </w:rPr>
        <w:t>),</w:t>
      </w:r>
      <w:r w:rsidR="00E040C8" w:rsidRPr="0064627E">
        <w:rPr>
          <w:rFonts w:asciiTheme="minorHAnsi" w:eastAsia="PMingLiU" w:hAnsiTheme="minorHAnsi"/>
        </w:rPr>
        <w:t xml:space="preserve"> located at </w:t>
      </w:r>
      <w:r w:rsidR="00F618FE" w:rsidRPr="0064627E">
        <w:rPr>
          <w:rFonts w:asciiTheme="minorHAnsi" w:eastAsia="PMingLiU" w:hAnsiTheme="minorHAnsi"/>
        </w:rPr>
        <w:t>271 Carew St, Springfield, MA 0110</w:t>
      </w:r>
      <w:r w:rsidR="008D0968" w:rsidRPr="0064627E">
        <w:rPr>
          <w:rFonts w:asciiTheme="minorHAnsi" w:eastAsia="PMingLiU" w:hAnsiTheme="minorHAnsi"/>
        </w:rPr>
        <w:t>4</w:t>
      </w:r>
      <w:r w:rsidR="000964EF" w:rsidRPr="0064627E">
        <w:rPr>
          <w:rFonts w:asciiTheme="minorHAnsi" w:eastAsia="PMingLiU" w:hAnsiTheme="minorHAnsi"/>
        </w:rPr>
        <w:t xml:space="preserve"> </w:t>
      </w:r>
      <w:r w:rsidR="00847E19" w:rsidRPr="0064627E">
        <w:rPr>
          <w:rFonts w:asciiTheme="minorHAnsi" w:eastAsia="PMingLiU" w:hAnsiTheme="minorHAnsi"/>
        </w:rPr>
        <w:t>(the “Application”)</w:t>
      </w:r>
      <w:r w:rsidR="00E040C8" w:rsidRPr="0064627E">
        <w:rPr>
          <w:rFonts w:asciiTheme="minorHAnsi" w:eastAsia="PMingLiU" w:hAnsiTheme="minorHAnsi"/>
        </w:rPr>
        <w:t xml:space="preserve">. The transfer will be effectuated by </w:t>
      </w:r>
      <w:r w:rsidR="000964EF" w:rsidRPr="0064627E">
        <w:rPr>
          <w:rFonts w:asciiTheme="minorHAnsi" w:eastAsia="PMingLiU" w:hAnsiTheme="minorHAnsi"/>
        </w:rPr>
        <w:t>the Applicant</w:t>
      </w:r>
      <w:r w:rsidR="004F3305" w:rsidRPr="0064627E">
        <w:rPr>
          <w:rFonts w:asciiTheme="minorHAnsi" w:eastAsia="PMingLiU" w:hAnsiTheme="minorHAnsi"/>
        </w:rPr>
        <w:t xml:space="preserve"> becoming the sole corporate member of </w:t>
      </w:r>
      <w:r w:rsidR="00810F09" w:rsidRPr="0064627E">
        <w:rPr>
          <w:rFonts w:asciiTheme="minorHAnsi" w:eastAsia="PMingLiU" w:hAnsiTheme="minorHAnsi"/>
        </w:rPr>
        <w:t>The Mercy Hospital, Inc.</w:t>
      </w:r>
      <w:r w:rsidR="004F3305" w:rsidRPr="0064627E">
        <w:rPr>
          <w:rFonts w:asciiTheme="minorHAnsi" w:eastAsia="PMingLiU" w:hAnsiTheme="minorHAnsi"/>
        </w:rPr>
        <w:t xml:space="preserve"> </w:t>
      </w:r>
      <w:r w:rsidR="00E040C8" w:rsidRPr="0064627E">
        <w:rPr>
          <w:rFonts w:asciiTheme="minorHAnsi" w:eastAsia="PMingLiU" w:hAnsiTheme="minorHAnsi"/>
        </w:rPr>
        <w:t xml:space="preserve">(the “Proposed </w:t>
      </w:r>
      <w:r w:rsidRPr="0064627E">
        <w:rPr>
          <w:rFonts w:asciiTheme="minorHAnsi" w:eastAsia="PMingLiU" w:hAnsiTheme="minorHAnsi"/>
        </w:rPr>
        <w:t>Transfer</w:t>
      </w:r>
      <w:r w:rsidR="00E040C8" w:rsidRPr="0064627E">
        <w:rPr>
          <w:rFonts w:asciiTheme="minorHAnsi" w:eastAsia="PMingLiU" w:hAnsiTheme="minorHAnsi"/>
        </w:rPr>
        <w:t xml:space="preserve">”). Following the Proposed </w:t>
      </w:r>
      <w:r w:rsidRPr="0064627E">
        <w:rPr>
          <w:rFonts w:asciiTheme="minorHAnsi" w:eastAsia="PMingLiU" w:hAnsiTheme="minorHAnsi"/>
        </w:rPr>
        <w:t>Transfer</w:t>
      </w:r>
      <w:r w:rsidR="00E040C8" w:rsidRPr="0064627E">
        <w:rPr>
          <w:rFonts w:asciiTheme="minorHAnsi" w:eastAsia="PMingLiU" w:hAnsiTheme="minorHAnsi"/>
        </w:rPr>
        <w:t xml:space="preserve">, </w:t>
      </w:r>
      <w:r w:rsidR="00457998" w:rsidRPr="0064627E">
        <w:rPr>
          <w:rFonts w:asciiTheme="minorHAnsi" w:eastAsia="PMingLiU" w:hAnsiTheme="minorHAnsi"/>
        </w:rPr>
        <w:t>MMC</w:t>
      </w:r>
      <w:r w:rsidRPr="0064627E">
        <w:rPr>
          <w:rFonts w:asciiTheme="minorHAnsi" w:eastAsia="PMingLiU" w:hAnsiTheme="minorHAnsi"/>
        </w:rPr>
        <w:t xml:space="preserve"> will become a community hospital </w:t>
      </w:r>
      <w:r w:rsidR="00391E69" w:rsidRPr="0064627E">
        <w:rPr>
          <w:rFonts w:asciiTheme="minorHAnsi" w:eastAsia="PMingLiU" w:hAnsiTheme="minorHAnsi"/>
        </w:rPr>
        <w:t>member of</w:t>
      </w:r>
      <w:r w:rsidRPr="0064627E">
        <w:rPr>
          <w:rFonts w:asciiTheme="minorHAnsi" w:eastAsia="PMingLiU" w:hAnsiTheme="minorHAnsi"/>
        </w:rPr>
        <w:t xml:space="preserve"> Baystate Health</w:t>
      </w:r>
      <w:r w:rsidR="00E040C8" w:rsidRPr="0064627E">
        <w:rPr>
          <w:rFonts w:asciiTheme="minorHAnsi" w:eastAsia="PMingLiU" w:hAnsiTheme="minorHAnsi"/>
        </w:rPr>
        <w:t xml:space="preserve">. </w:t>
      </w:r>
    </w:p>
    <w:p w14:paraId="77D73915" w14:textId="1DBD4391" w:rsidR="000556B3" w:rsidRPr="0064627E" w:rsidRDefault="000556B3" w:rsidP="007429A9">
      <w:pPr>
        <w:pStyle w:val="HBblj"/>
        <w:spacing w:after="120"/>
        <w:rPr>
          <w:rFonts w:asciiTheme="minorHAnsi" w:eastAsia="PMingLiU" w:hAnsiTheme="minorHAnsi"/>
        </w:rPr>
      </w:pPr>
      <w:r w:rsidRPr="0064627E">
        <w:rPr>
          <w:rFonts w:asciiTheme="minorHAnsi" w:eastAsia="PMingLiU" w:hAnsiTheme="minorHAnsi"/>
        </w:rPr>
        <w:t xml:space="preserve">Baystate Health is a not-for-profit, integrated healthcare system serving over 800,000 people throughout </w:t>
      </w:r>
      <w:r w:rsidR="00AD7593" w:rsidRPr="0064627E">
        <w:rPr>
          <w:rFonts w:asciiTheme="minorHAnsi" w:eastAsia="PMingLiU" w:hAnsiTheme="minorHAnsi"/>
        </w:rPr>
        <w:t>W</w:t>
      </w:r>
      <w:r w:rsidRPr="0064627E">
        <w:rPr>
          <w:rFonts w:asciiTheme="minorHAnsi" w:eastAsia="PMingLiU" w:hAnsiTheme="minorHAnsi"/>
        </w:rPr>
        <w:t>estern</w:t>
      </w:r>
      <w:r w:rsidR="00344D92" w:rsidRPr="0064627E">
        <w:rPr>
          <w:rFonts w:asciiTheme="minorHAnsi" w:eastAsia="PMingLiU" w:hAnsiTheme="minorHAnsi"/>
        </w:rPr>
        <w:t xml:space="preserve"> Massachusetts</w:t>
      </w:r>
      <w:r w:rsidRPr="0064627E">
        <w:rPr>
          <w:rFonts w:asciiTheme="minorHAnsi" w:eastAsia="PMingLiU" w:hAnsiTheme="minorHAnsi"/>
        </w:rPr>
        <w:t xml:space="preserve">. </w:t>
      </w:r>
      <w:r w:rsidR="005E7593" w:rsidRPr="0064627E">
        <w:rPr>
          <w:rFonts w:asciiTheme="minorHAnsi" w:eastAsia="PMingLiU" w:hAnsiTheme="minorHAnsi"/>
        </w:rPr>
        <w:t>BH includes</w:t>
      </w:r>
      <w:r w:rsidRPr="0064627E">
        <w:rPr>
          <w:rFonts w:asciiTheme="minorHAnsi" w:eastAsia="PMingLiU" w:hAnsiTheme="minorHAnsi"/>
        </w:rPr>
        <w:t xml:space="preserve"> Baystate Medical Center</w:t>
      </w:r>
      <w:r w:rsidR="00796FA4" w:rsidRPr="0064627E">
        <w:rPr>
          <w:rFonts w:asciiTheme="minorHAnsi" w:eastAsia="PMingLiU" w:hAnsiTheme="minorHAnsi"/>
        </w:rPr>
        <w:t xml:space="preserve"> (BMC)</w:t>
      </w:r>
      <w:r w:rsidRPr="0064627E">
        <w:rPr>
          <w:rFonts w:asciiTheme="minorHAnsi" w:eastAsia="PMingLiU" w:hAnsiTheme="minorHAnsi"/>
        </w:rPr>
        <w:t xml:space="preserve">, </w:t>
      </w:r>
      <w:r w:rsidR="00452F00" w:rsidRPr="0064627E">
        <w:rPr>
          <w:rFonts w:asciiTheme="minorHAnsi" w:eastAsia="PMingLiU" w:hAnsiTheme="minorHAnsi"/>
        </w:rPr>
        <w:t>an academic medical center</w:t>
      </w:r>
      <w:r w:rsidR="004B13A3" w:rsidRPr="0064627E">
        <w:rPr>
          <w:rFonts w:asciiTheme="minorHAnsi" w:eastAsia="PMingLiU" w:hAnsiTheme="minorHAnsi"/>
        </w:rPr>
        <w:t>;</w:t>
      </w:r>
      <w:r w:rsidR="00452F00" w:rsidRPr="0064627E">
        <w:rPr>
          <w:rFonts w:asciiTheme="minorHAnsi" w:eastAsia="PMingLiU" w:hAnsiTheme="minorHAnsi"/>
        </w:rPr>
        <w:t xml:space="preserve"> </w:t>
      </w:r>
      <w:r w:rsidRPr="0064627E">
        <w:rPr>
          <w:rFonts w:asciiTheme="minorHAnsi" w:eastAsia="PMingLiU" w:hAnsiTheme="minorHAnsi"/>
        </w:rPr>
        <w:t>three community hospitals – Baystate Noble Hospital, Baystate Franklin Medical Center, and Baystate Wing Hospital</w:t>
      </w:r>
      <w:r w:rsidR="005E7593" w:rsidRPr="0064627E">
        <w:rPr>
          <w:rFonts w:asciiTheme="minorHAnsi" w:eastAsia="PMingLiU" w:hAnsiTheme="minorHAnsi"/>
        </w:rPr>
        <w:t>;</w:t>
      </w:r>
      <w:r w:rsidR="00452F00" w:rsidRPr="0064627E">
        <w:rPr>
          <w:rFonts w:asciiTheme="minorHAnsi" w:eastAsia="PMingLiU" w:hAnsiTheme="minorHAnsi"/>
        </w:rPr>
        <w:t xml:space="preserve"> and a network of medical practices</w:t>
      </w:r>
      <w:r w:rsidRPr="0064627E">
        <w:rPr>
          <w:rFonts w:asciiTheme="minorHAnsi" w:eastAsia="PMingLiU" w:hAnsiTheme="minorHAnsi"/>
        </w:rPr>
        <w:t xml:space="preserve">. </w:t>
      </w:r>
      <w:r w:rsidR="005E7593" w:rsidRPr="0064627E">
        <w:rPr>
          <w:rFonts w:asciiTheme="minorHAnsi" w:eastAsia="PMingLiU" w:hAnsiTheme="minorHAnsi"/>
        </w:rPr>
        <w:t>It</w:t>
      </w:r>
      <w:r w:rsidRPr="0064627E">
        <w:rPr>
          <w:rFonts w:asciiTheme="minorHAnsi" w:eastAsia="PMingLiU" w:hAnsiTheme="minorHAnsi"/>
        </w:rPr>
        <w:t xml:space="preserve"> also includes </w:t>
      </w:r>
      <w:r w:rsidR="00AC790B" w:rsidRPr="0064627E">
        <w:rPr>
          <w:rFonts w:asciiTheme="minorHAnsi" w:eastAsia="PMingLiU" w:hAnsiTheme="minorHAnsi"/>
        </w:rPr>
        <w:t>Baycare Health Partners (</w:t>
      </w:r>
      <w:r w:rsidR="00874C08" w:rsidRPr="0064627E">
        <w:rPr>
          <w:rFonts w:asciiTheme="minorHAnsi" w:eastAsia="PMingLiU" w:hAnsiTheme="minorHAnsi"/>
        </w:rPr>
        <w:t>Clinically Integrated Network</w:t>
      </w:r>
      <w:r w:rsidR="00AC790B" w:rsidRPr="0064627E">
        <w:rPr>
          <w:rFonts w:asciiTheme="minorHAnsi" w:eastAsia="PMingLiU" w:hAnsiTheme="minorHAnsi"/>
        </w:rPr>
        <w:t>)</w:t>
      </w:r>
      <w:r w:rsidR="00041FBD" w:rsidRPr="0064627E">
        <w:rPr>
          <w:rFonts w:asciiTheme="minorHAnsi" w:eastAsia="PMingLiU" w:hAnsiTheme="minorHAnsi"/>
        </w:rPr>
        <w:t>;</w:t>
      </w:r>
      <w:r w:rsidR="00AC790B" w:rsidRPr="0064627E">
        <w:rPr>
          <w:rFonts w:asciiTheme="minorHAnsi" w:eastAsia="PMingLiU" w:hAnsiTheme="minorHAnsi"/>
        </w:rPr>
        <w:t xml:space="preserve"> </w:t>
      </w:r>
      <w:r w:rsidR="0036077F" w:rsidRPr="0064627E">
        <w:rPr>
          <w:rFonts w:asciiTheme="minorHAnsi" w:eastAsia="PMingLiU" w:hAnsiTheme="minorHAnsi"/>
        </w:rPr>
        <w:t>Pioneer Valley Accountable Care, LLC (Medicare ACO) and Baystate Health Care Alliance (</w:t>
      </w:r>
      <w:proofErr w:type="spellStart"/>
      <w:r w:rsidR="0036077F" w:rsidRPr="0064627E">
        <w:rPr>
          <w:rFonts w:asciiTheme="minorHAnsi" w:eastAsia="PMingLiU" w:hAnsiTheme="minorHAnsi"/>
        </w:rPr>
        <w:t>BeHealthy</w:t>
      </w:r>
      <w:proofErr w:type="spellEnd"/>
      <w:r w:rsidR="0036077F" w:rsidRPr="0064627E">
        <w:rPr>
          <w:rFonts w:asciiTheme="minorHAnsi" w:eastAsia="PMingLiU" w:hAnsiTheme="minorHAnsi"/>
        </w:rPr>
        <w:t xml:space="preserve"> Medicaid ACO); </w:t>
      </w:r>
      <w:r w:rsidR="00D663E0" w:rsidRPr="0064627E">
        <w:rPr>
          <w:rFonts w:asciiTheme="minorHAnsi" w:eastAsia="PMingLiU" w:hAnsiTheme="minorHAnsi"/>
        </w:rPr>
        <w:t>Health New England, Inc. (</w:t>
      </w:r>
      <w:r w:rsidR="004C127A" w:rsidRPr="0064627E">
        <w:rPr>
          <w:rFonts w:asciiTheme="minorHAnsi" w:eastAsia="PMingLiU" w:hAnsiTheme="minorHAnsi"/>
        </w:rPr>
        <w:t xml:space="preserve">a </w:t>
      </w:r>
      <w:r w:rsidR="00D663E0" w:rsidRPr="0064627E">
        <w:rPr>
          <w:rFonts w:asciiTheme="minorHAnsi" w:eastAsia="PMingLiU" w:hAnsiTheme="minorHAnsi"/>
        </w:rPr>
        <w:t xml:space="preserve">health plan); </w:t>
      </w:r>
      <w:r w:rsidR="0036077F" w:rsidRPr="0064627E">
        <w:rPr>
          <w:rFonts w:asciiTheme="minorHAnsi" w:eastAsia="PMingLiU" w:hAnsiTheme="minorHAnsi"/>
        </w:rPr>
        <w:t>Baystate Radiology and Imaging LLC (multiple locations)</w:t>
      </w:r>
      <w:r w:rsidR="00041FBD" w:rsidRPr="0064627E">
        <w:rPr>
          <w:rFonts w:asciiTheme="minorHAnsi" w:eastAsia="PMingLiU" w:hAnsiTheme="minorHAnsi"/>
        </w:rPr>
        <w:t>;</w:t>
      </w:r>
      <w:r w:rsidR="00AD7593" w:rsidRPr="0064627E">
        <w:rPr>
          <w:rFonts w:asciiTheme="minorHAnsi" w:eastAsia="PMingLiU" w:hAnsiTheme="minorHAnsi"/>
        </w:rPr>
        <w:t xml:space="preserve"> </w:t>
      </w:r>
      <w:r w:rsidR="0036077F" w:rsidRPr="0064627E">
        <w:rPr>
          <w:rFonts w:asciiTheme="minorHAnsi" w:eastAsia="PMingLiU" w:hAnsiTheme="minorHAnsi"/>
        </w:rPr>
        <w:t xml:space="preserve">Franklin MRI, LLC (Greenfield &amp; Palmer); Baystate MRI and Imaging Center, LLC (Springfield); and Pioneer Valley Life Sciences Institute (Springfield). Baystate Health is also a partial owner of </w:t>
      </w:r>
      <w:r w:rsidR="00D663E0" w:rsidRPr="0064627E">
        <w:rPr>
          <w:rFonts w:asciiTheme="minorHAnsi" w:eastAsia="PMingLiU" w:hAnsiTheme="minorHAnsi"/>
        </w:rPr>
        <w:t>an</w:t>
      </w:r>
      <w:r w:rsidR="0036077F" w:rsidRPr="0064627E">
        <w:rPr>
          <w:rFonts w:asciiTheme="minorHAnsi" w:eastAsia="PMingLiU" w:hAnsiTheme="minorHAnsi"/>
        </w:rPr>
        <w:t xml:space="preserve"> ambulatory surgery center (Baystate Orthopedic Surgery Center</w:t>
      </w:r>
      <w:r w:rsidR="004C127A" w:rsidRPr="0064627E">
        <w:rPr>
          <w:rFonts w:asciiTheme="minorHAnsi" w:eastAsia="PMingLiU" w:hAnsiTheme="minorHAnsi"/>
        </w:rPr>
        <w:t>, Springfield</w:t>
      </w:r>
      <w:r w:rsidR="003328F2" w:rsidRPr="0064627E">
        <w:rPr>
          <w:rFonts w:asciiTheme="minorHAnsi" w:eastAsia="PMingLiU" w:hAnsiTheme="minorHAnsi"/>
        </w:rPr>
        <w:t>)</w:t>
      </w:r>
      <w:r w:rsidR="0036077F" w:rsidRPr="0064627E">
        <w:rPr>
          <w:rFonts w:asciiTheme="minorHAnsi" w:eastAsia="PMingLiU" w:hAnsiTheme="minorHAnsi"/>
        </w:rPr>
        <w:t xml:space="preserve"> and an inpatient psychiatric hospital </w:t>
      </w:r>
      <w:r w:rsidR="004C127A" w:rsidRPr="0064627E">
        <w:rPr>
          <w:rFonts w:asciiTheme="minorHAnsi" w:eastAsia="PMingLiU" w:hAnsiTheme="minorHAnsi"/>
        </w:rPr>
        <w:t>(Valley Springs Behavioral Health Hospital, Holyoke)</w:t>
      </w:r>
      <w:r w:rsidR="0036077F" w:rsidRPr="0064627E">
        <w:rPr>
          <w:rFonts w:asciiTheme="minorHAnsi" w:eastAsia="PMingLiU" w:hAnsiTheme="minorHAnsi"/>
        </w:rPr>
        <w:t xml:space="preserve">. </w:t>
      </w:r>
    </w:p>
    <w:p w14:paraId="4E8EB729" w14:textId="04788001" w:rsidR="00796FA4" w:rsidRPr="0064627E" w:rsidRDefault="00457998" w:rsidP="001171DF">
      <w:pPr>
        <w:spacing w:after="120"/>
        <w:jc w:val="both"/>
        <w:rPr>
          <w:rFonts w:asciiTheme="minorHAnsi" w:hAnsiTheme="minorHAnsi"/>
        </w:rPr>
      </w:pPr>
      <w:r w:rsidRPr="0064627E">
        <w:rPr>
          <w:rFonts w:ascii="Aptos" w:hAnsi="Aptos"/>
        </w:rPr>
        <w:t>MMC</w:t>
      </w:r>
      <w:r w:rsidR="00796FA4" w:rsidRPr="0064627E">
        <w:rPr>
          <w:rFonts w:ascii="Aptos" w:hAnsi="Aptos"/>
        </w:rPr>
        <w:t xml:space="preserve"> </w:t>
      </w:r>
      <w:r w:rsidR="000556B3" w:rsidRPr="0064627E">
        <w:rPr>
          <w:rFonts w:asciiTheme="minorHAnsi" w:hAnsiTheme="minorHAnsi"/>
        </w:rPr>
        <w:t xml:space="preserve">is owned by Trinity Health </w:t>
      </w:r>
      <w:proofErr w:type="gramStart"/>
      <w:r w:rsidR="3C84DB47" w:rsidRPr="0064627E">
        <w:rPr>
          <w:rFonts w:asciiTheme="minorHAnsi" w:hAnsiTheme="minorHAnsi"/>
        </w:rPr>
        <w:t>O</w:t>
      </w:r>
      <w:r w:rsidR="000556B3" w:rsidRPr="0064627E">
        <w:rPr>
          <w:rFonts w:asciiTheme="minorHAnsi" w:hAnsiTheme="minorHAnsi"/>
        </w:rPr>
        <w:t>f</w:t>
      </w:r>
      <w:proofErr w:type="gramEnd"/>
      <w:r w:rsidR="000556B3" w:rsidRPr="0064627E">
        <w:rPr>
          <w:rFonts w:asciiTheme="minorHAnsi" w:hAnsiTheme="minorHAnsi"/>
        </w:rPr>
        <w:t xml:space="preserve"> New England</w:t>
      </w:r>
      <w:r w:rsidR="00D06006" w:rsidRPr="0064627E">
        <w:rPr>
          <w:rFonts w:asciiTheme="minorHAnsi" w:hAnsiTheme="minorHAnsi"/>
        </w:rPr>
        <w:t xml:space="preserve"> Corporation, Inc.</w:t>
      </w:r>
      <w:r w:rsidR="00391E69" w:rsidRPr="0064627E">
        <w:rPr>
          <w:rFonts w:asciiTheme="minorHAnsi" w:hAnsiTheme="minorHAnsi"/>
        </w:rPr>
        <w:t xml:space="preserve"> (</w:t>
      </w:r>
      <w:proofErr w:type="spellStart"/>
      <w:r w:rsidR="00391E69" w:rsidRPr="0064627E">
        <w:rPr>
          <w:rFonts w:asciiTheme="minorHAnsi" w:hAnsiTheme="minorHAnsi"/>
        </w:rPr>
        <w:t>TH</w:t>
      </w:r>
      <w:r w:rsidR="13C412AA" w:rsidRPr="0064627E">
        <w:rPr>
          <w:rFonts w:asciiTheme="minorHAnsi" w:hAnsiTheme="minorHAnsi"/>
        </w:rPr>
        <w:t>Of</w:t>
      </w:r>
      <w:r w:rsidR="00391E69" w:rsidRPr="0064627E">
        <w:rPr>
          <w:rFonts w:asciiTheme="minorHAnsi" w:hAnsiTheme="minorHAnsi"/>
        </w:rPr>
        <w:t>NE</w:t>
      </w:r>
      <w:proofErr w:type="spellEnd"/>
      <w:r w:rsidR="00391E69" w:rsidRPr="0064627E">
        <w:rPr>
          <w:rFonts w:asciiTheme="minorHAnsi" w:hAnsiTheme="minorHAnsi"/>
        </w:rPr>
        <w:t>)</w:t>
      </w:r>
      <w:r w:rsidR="000556B3" w:rsidRPr="0064627E">
        <w:rPr>
          <w:rFonts w:asciiTheme="minorHAnsi" w:hAnsiTheme="minorHAnsi"/>
        </w:rPr>
        <w:t xml:space="preserve">, </w:t>
      </w:r>
      <w:r w:rsidR="00D06006" w:rsidRPr="0064627E">
        <w:rPr>
          <w:rFonts w:asciiTheme="minorHAnsi" w:hAnsiTheme="minorHAnsi"/>
        </w:rPr>
        <w:t>which is part of</w:t>
      </w:r>
      <w:r w:rsidR="000556B3" w:rsidRPr="0064627E">
        <w:rPr>
          <w:rFonts w:asciiTheme="minorHAnsi" w:hAnsiTheme="minorHAnsi"/>
        </w:rPr>
        <w:t xml:space="preserve"> Trinity Health</w:t>
      </w:r>
      <w:r w:rsidR="00D06006" w:rsidRPr="0064627E">
        <w:rPr>
          <w:rFonts w:asciiTheme="minorHAnsi" w:hAnsiTheme="minorHAnsi"/>
        </w:rPr>
        <w:t xml:space="preserve"> Corporation</w:t>
      </w:r>
      <w:r w:rsidR="000556B3" w:rsidRPr="0064627E">
        <w:rPr>
          <w:rFonts w:asciiTheme="minorHAnsi" w:hAnsiTheme="minorHAnsi"/>
        </w:rPr>
        <w:t xml:space="preserve"> </w:t>
      </w:r>
      <w:r w:rsidR="00391E69" w:rsidRPr="0064627E">
        <w:rPr>
          <w:rFonts w:asciiTheme="minorHAnsi" w:hAnsiTheme="minorHAnsi"/>
        </w:rPr>
        <w:t xml:space="preserve">(Trinity) </w:t>
      </w:r>
      <w:r w:rsidR="000556B3" w:rsidRPr="0064627E">
        <w:rPr>
          <w:rFonts w:asciiTheme="minorHAnsi" w:hAnsiTheme="minorHAnsi"/>
        </w:rPr>
        <w:t xml:space="preserve">based in Livonia, Michigan. </w:t>
      </w:r>
      <w:r w:rsidR="0008531F" w:rsidRPr="0064627E">
        <w:rPr>
          <w:rFonts w:asciiTheme="minorHAnsi" w:hAnsiTheme="minorHAnsi"/>
        </w:rPr>
        <w:t>In addition to MMC, Trinity’s New England portfolio includes three Connecticut hospitals: Saint Francis Hospital (Hartford)</w:t>
      </w:r>
      <w:r w:rsidR="00041FBD" w:rsidRPr="0064627E">
        <w:rPr>
          <w:rFonts w:asciiTheme="minorHAnsi" w:hAnsiTheme="minorHAnsi"/>
        </w:rPr>
        <w:t>;</w:t>
      </w:r>
      <w:r w:rsidR="0008531F" w:rsidRPr="0064627E">
        <w:rPr>
          <w:rFonts w:asciiTheme="minorHAnsi" w:hAnsiTheme="minorHAnsi"/>
        </w:rPr>
        <w:t xml:space="preserve"> Johnson Memorial Hospital (Stafford Springs)</w:t>
      </w:r>
      <w:r w:rsidR="00041FBD" w:rsidRPr="0064627E">
        <w:rPr>
          <w:rFonts w:asciiTheme="minorHAnsi" w:hAnsiTheme="minorHAnsi"/>
        </w:rPr>
        <w:t>;</w:t>
      </w:r>
      <w:r w:rsidR="0008531F" w:rsidRPr="0064627E">
        <w:rPr>
          <w:rFonts w:asciiTheme="minorHAnsi" w:hAnsiTheme="minorHAnsi"/>
        </w:rPr>
        <w:t xml:space="preserve"> and Saint Mary’s Hospital (Waterbury). </w:t>
      </w:r>
      <w:r w:rsidRPr="0064627E">
        <w:rPr>
          <w:rFonts w:asciiTheme="minorHAnsi" w:hAnsiTheme="minorHAnsi"/>
        </w:rPr>
        <w:t>MMC</w:t>
      </w:r>
      <w:r w:rsidR="00796FA4" w:rsidRPr="0064627E">
        <w:rPr>
          <w:rFonts w:asciiTheme="minorHAnsi" w:hAnsiTheme="minorHAnsi"/>
        </w:rPr>
        <w:t xml:space="preserve"> includes several </w:t>
      </w:r>
      <w:r w:rsidR="001171DF" w:rsidRPr="0064627E">
        <w:rPr>
          <w:rFonts w:asciiTheme="minorHAnsi" w:hAnsiTheme="minorHAnsi"/>
        </w:rPr>
        <w:t>subsidiaries</w:t>
      </w:r>
      <w:r w:rsidR="00796FA4" w:rsidRPr="0064627E">
        <w:rPr>
          <w:rFonts w:asciiTheme="minorHAnsi" w:hAnsiTheme="minorHAnsi"/>
        </w:rPr>
        <w:t>, including System Coordinated Services, Inc. dba Life Laboratories</w:t>
      </w:r>
      <w:r w:rsidR="00041FBD" w:rsidRPr="0064627E">
        <w:rPr>
          <w:rFonts w:asciiTheme="minorHAnsi" w:hAnsiTheme="minorHAnsi"/>
        </w:rPr>
        <w:t>;</w:t>
      </w:r>
      <w:r w:rsidR="00796FA4" w:rsidRPr="0064627E">
        <w:rPr>
          <w:rFonts w:asciiTheme="minorHAnsi" w:hAnsiTheme="minorHAnsi"/>
        </w:rPr>
        <w:t xml:space="preserve"> </w:t>
      </w:r>
      <w:r w:rsidRPr="0064627E">
        <w:rPr>
          <w:rFonts w:asciiTheme="minorHAnsi" w:hAnsiTheme="minorHAnsi"/>
        </w:rPr>
        <w:t>MMC</w:t>
      </w:r>
      <w:r w:rsidR="00796FA4" w:rsidRPr="0064627E">
        <w:rPr>
          <w:rFonts w:asciiTheme="minorHAnsi" w:hAnsiTheme="minorHAnsi"/>
        </w:rPr>
        <w:t xml:space="preserve"> Health Care Accountable Care Organization, LLC</w:t>
      </w:r>
      <w:r w:rsidR="00041FBD" w:rsidRPr="0064627E">
        <w:rPr>
          <w:rFonts w:asciiTheme="minorHAnsi" w:hAnsiTheme="minorHAnsi"/>
        </w:rPr>
        <w:t>;</w:t>
      </w:r>
      <w:r w:rsidR="00796FA4" w:rsidRPr="0064627E">
        <w:rPr>
          <w:rFonts w:asciiTheme="minorHAnsi" w:hAnsiTheme="minorHAnsi"/>
        </w:rPr>
        <w:t xml:space="preserve"> Pioneer Valley Cardiology Associates, Inc.</w:t>
      </w:r>
      <w:r w:rsidR="00041FBD" w:rsidRPr="0064627E">
        <w:rPr>
          <w:rFonts w:asciiTheme="minorHAnsi" w:hAnsiTheme="minorHAnsi"/>
        </w:rPr>
        <w:t>;</w:t>
      </w:r>
      <w:r w:rsidR="00796FA4" w:rsidRPr="0064627E">
        <w:rPr>
          <w:rFonts w:asciiTheme="minorHAnsi" w:hAnsiTheme="minorHAnsi"/>
        </w:rPr>
        <w:t xml:space="preserve"> </w:t>
      </w:r>
      <w:r w:rsidRPr="0064627E">
        <w:rPr>
          <w:rFonts w:asciiTheme="minorHAnsi" w:hAnsiTheme="minorHAnsi"/>
        </w:rPr>
        <w:t>MMC</w:t>
      </w:r>
      <w:r w:rsidR="00796FA4" w:rsidRPr="0064627E">
        <w:rPr>
          <w:rFonts w:asciiTheme="minorHAnsi" w:hAnsiTheme="minorHAnsi"/>
        </w:rPr>
        <w:t xml:space="preserve"> Inpatient Medical Associates, Inc.</w:t>
      </w:r>
      <w:r w:rsidR="00041FBD" w:rsidRPr="0064627E">
        <w:rPr>
          <w:rFonts w:asciiTheme="minorHAnsi" w:hAnsiTheme="minorHAnsi"/>
        </w:rPr>
        <w:t>;</w:t>
      </w:r>
      <w:r w:rsidR="00796FA4" w:rsidRPr="0064627E">
        <w:rPr>
          <w:rFonts w:asciiTheme="minorHAnsi" w:hAnsiTheme="minorHAnsi"/>
        </w:rPr>
        <w:t xml:space="preserve"> </w:t>
      </w:r>
      <w:r w:rsidRPr="0064627E">
        <w:rPr>
          <w:rFonts w:asciiTheme="minorHAnsi" w:hAnsiTheme="minorHAnsi"/>
        </w:rPr>
        <w:t>MMC</w:t>
      </w:r>
      <w:r w:rsidR="00796FA4" w:rsidRPr="0064627E">
        <w:rPr>
          <w:rFonts w:asciiTheme="minorHAnsi" w:hAnsiTheme="minorHAnsi"/>
        </w:rPr>
        <w:t xml:space="preserve"> Specialist Physicians, Inc.</w:t>
      </w:r>
      <w:r w:rsidR="00041FBD" w:rsidRPr="0064627E">
        <w:rPr>
          <w:rFonts w:asciiTheme="minorHAnsi" w:hAnsiTheme="minorHAnsi"/>
        </w:rPr>
        <w:t>;</w:t>
      </w:r>
      <w:r w:rsidR="00796FA4" w:rsidRPr="0064627E">
        <w:rPr>
          <w:rFonts w:asciiTheme="minorHAnsi" w:hAnsiTheme="minorHAnsi"/>
        </w:rPr>
        <w:t xml:space="preserve"> </w:t>
      </w:r>
      <w:r w:rsidR="00021819" w:rsidRPr="0064627E">
        <w:rPr>
          <w:rFonts w:asciiTheme="minorHAnsi" w:hAnsiTheme="minorHAnsi"/>
        </w:rPr>
        <w:t>Mercy</w:t>
      </w:r>
      <w:r w:rsidR="00796FA4" w:rsidRPr="0064627E">
        <w:rPr>
          <w:rFonts w:asciiTheme="minorHAnsi" w:hAnsiTheme="minorHAnsi"/>
        </w:rPr>
        <w:t xml:space="preserve"> Medical Group, Inc.</w:t>
      </w:r>
      <w:r w:rsidR="00041FBD" w:rsidRPr="0064627E">
        <w:rPr>
          <w:rFonts w:asciiTheme="minorHAnsi" w:hAnsiTheme="minorHAnsi"/>
        </w:rPr>
        <w:t>;</w:t>
      </w:r>
      <w:r w:rsidR="00391E69" w:rsidRPr="0064627E">
        <w:rPr>
          <w:rFonts w:asciiTheme="minorHAnsi" w:hAnsiTheme="minorHAnsi"/>
        </w:rPr>
        <w:t xml:space="preserve"> </w:t>
      </w:r>
      <w:r w:rsidR="00796FA4" w:rsidRPr="0064627E">
        <w:rPr>
          <w:rFonts w:asciiTheme="minorHAnsi" w:hAnsiTheme="minorHAnsi"/>
        </w:rPr>
        <w:t>Riverbend Medical Group, Inc</w:t>
      </w:r>
      <w:r w:rsidR="008D0968" w:rsidRPr="0064627E">
        <w:rPr>
          <w:rFonts w:asciiTheme="minorHAnsi" w:hAnsiTheme="minorHAnsi"/>
        </w:rPr>
        <w:t>.</w:t>
      </w:r>
      <w:r w:rsidR="00041FBD" w:rsidRPr="0064627E">
        <w:rPr>
          <w:rFonts w:asciiTheme="minorHAnsi" w:hAnsiTheme="minorHAnsi"/>
        </w:rPr>
        <w:t>;</w:t>
      </w:r>
      <w:r w:rsidR="00391E69" w:rsidRPr="0064627E">
        <w:rPr>
          <w:rFonts w:asciiTheme="minorHAnsi" w:hAnsiTheme="minorHAnsi"/>
        </w:rPr>
        <w:t xml:space="preserve"> and Brightside, Inc.</w:t>
      </w:r>
      <w:r w:rsidR="001171DF" w:rsidRPr="0064627E">
        <w:rPr>
          <w:rStyle w:val="FootnoteReference"/>
          <w:rFonts w:asciiTheme="minorHAnsi" w:hAnsiTheme="minorHAnsi"/>
        </w:rPr>
        <w:footnoteReference w:id="1"/>
      </w:r>
      <w:r w:rsidR="00391E69" w:rsidRPr="0064627E">
        <w:rPr>
          <w:rFonts w:asciiTheme="minorHAnsi" w:hAnsiTheme="minorHAnsi"/>
        </w:rPr>
        <w:t xml:space="preserve"> </w:t>
      </w:r>
      <w:r w:rsidR="001171DF" w:rsidRPr="0064627E">
        <w:rPr>
          <w:rFonts w:asciiTheme="minorHAnsi" w:hAnsiTheme="minorHAnsi"/>
        </w:rPr>
        <w:t>Its joint ventures include a 50</w:t>
      </w:r>
      <w:r w:rsidR="007E75D5">
        <w:rPr>
          <w:rFonts w:asciiTheme="minorHAnsi" w:hAnsiTheme="minorHAnsi"/>
        </w:rPr>
        <w:t xml:space="preserve"> percent</w:t>
      </w:r>
      <w:r w:rsidR="001171DF" w:rsidRPr="0064627E">
        <w:rPr>
          <w:rFonts w:asciiTheme="minorHAnsi" w:hAnsiTheme="minorHAnsi"/>
        </w:rPr>
        <w:t xml:space="preserve"> ownership in both Greater Springfield MRI Limited Partnership and Western Massachusetts PET/CT Imaging Center, Inc. </w:t>
      </w:r>
    </w:p>
    <w:p w14:paraId="0C965A5F" w14:textId="56FEF815" w:rsidR="00FA1F1A" w:rsidRPr="0064627E" w:rsidRDefault="00452F00" w:rsidP="00AD7593">
      <w:pPr>
        <w:spacing w:after="120"/>
        <w:jc w:val="both"/>
        <w:rPr>
          <w:rFonts w:asciiTheme="minorHAnsi" w:hAnsiTheme="minorHAnsi"/>
        </w:rPr>
      </w:pPr>
      <w:r w:rsidRPr="0064627E">
        <w:rPr>
          <w:rFonts w:asciiTheme="minorHAnsi" w:hAnsiTheme="minorHAnsi"/>
        </w:rPr>
        <w:t>MMC is</w:t>
      </w:r>
      <w:r w:rsidR="00FA1F1A" w:rsidRPr="0064627E">
        <w:rPr>
          <w:rFonts w:ascii="Aptos" w:hAnsi="Aptos"/>
        </w:rPr>
        <w:t xml:space="preserve"> a high-public payer community hospital </w:t>
      </w:r>
      <w:r w:rsidR="0008531F" w:rsidRPr="0064627E">
        <w:rPr>
          <w:rFonts w:ascii="Aptos" w:hAnsi="Aptos"/>
        </w:rPr>
        <w:t xml:space="preserve">in Springfield, </w:t>
      </w:r>
      <w:r w:rsidR="00FA1F1A" w:rsidRPr="0064627E">
        <w:rPr>
          <w:rFonts w:asciiTheme="minorHAnsi" w:hAnsiTheme="minorHAnsi"/>
        </w:rPr>
        <w:t>located just one mile from BMC</w:t>
      </w:r>
      <w:r w:rsidR="0008531F" w:rsidRPr="0064627E">
        <w:rPr>
          <w:rFonts w:asciiTheme="minorHAnsi" w:hAnsiTheme="minorHAnsi"/>
        </w:rPr>
        <w:t>,</w:t>
      </w:r>
      <w:r w:rsidRPr="0064627E">
        <w:rPr>
          <w:rFonts w:asciiTheme="minorHAnsi" w:hAnsiTheme="minorHAnsi"/>
        </w:rPr>
        <w:t xml:space="preserve"> licensed for </w:t>
      </w:r>
      <w:r w:rsidRPr="0064627E">
        <w:rPr>
          <w:rFonts w:ascii="Aptos" w:hAnsi="Aptos"/>
        </w:rPr>
        <w:t>251 inpatient beds</w:t>
      </w:r>
      <w:r w:rsidRPr="0064627E">
        <w:rPr>
          <w:rFonts w:asciiTheme="minorHAnsi" w:hAnsiTheme="minorHAnsi"/>
        </w:rPr>
        <w:t>, including 156 medical/surgical beds, 16 intensive</w:t>
      </w:r>
      <w:r w:rsidR="00FA1F1A" w:rsidRPr="0064627E">
        <w:rPr>
          <w:rFonts w:asciiTheme="minorHAnsi" w:hAnsiTheme="minorHAnsi"/>
        </w:rPr>
        <w:t xml:space="preserve"> and coronary</w:t>
      </w:r>
      <w:r w:rsidRPr="0064627E">
        <w:rPr>
          <w:rFonts w:asciiTheme="minorHAnsi" w:hAnsiTheme="minorHAnsi"/>
        </w:rPr>
        <w:t xml:space="preserve"> care unit beds,</w:t>
      </w:r>
      <w:r w:rsidR="00FA1F1A" w:rsidRPr="0064627E">
        <w:rPr>
          <w:rFonts w:asciiTheme="minorHAnsi" w:hAnsiTheme="minorHAnsi"/>
        </w:rPr>
        <w:t xml:space="preserve"> 16 maternity beds,</w:t>
      </w:r>
      <w:r w:rsidRPr="0064627E">
        <w:rPr>
          <w:rFonts w:asciiTheme="minorHAnsi" w:hAnsiTheme="minorHAnsi"/>
        </w:rPr>
        <w:t xml:space="preserve"> three pediatric beds, and 60 rehabilitation beds. MMC also operates a 24/7 emergency department (ED) with over </w:t>
      </w:r>
      <w:r w:rsidR="007824B3" w:rsidRPr="0064627E">
        <w:rPr>
          <w:rFonts w:asciiTheme="minorHAnsi" w:hAnsiTheme="minorHAnsi"/>
        </w:rPr>
        <w:t>45</w:t>
      </w:r>
      <w:r w:rsidRPr="0064627E">
        <w:rPr>
          <w:rFonts w:asciiTheme="minorHAnsi" w:hAnsiTheme="minorHAnsi"/>
        </w:rPr>
        <w:t xml:space="preserve">,000 visits annually. </w:t>
      </w:r>
      <w:r w:rsidR="00FA1F1A" w:rsidRPr="0064627E">
        <w:rPr>
          <w:rFonts w:asciiTheme="minorHAnsi" w:hAnsiTheme="minorHAnsi"/>
        </w:rPr>
        <w:t>It</w:t>
      </w:r>
      <w:r w:rsidR="00CC1867" w:rsidRPr="0064627E">
        <w:rPr>
          <w:rFonts w:asciiTheme="minorHAnsi" w:hAnsiTheme="minorHAnsi"/>
        </w:rPr>
        <w:t>s</w:t>
      </w:r>
      <w:r w:rsidR="00FA1F1A" w:rsidRPr="0064627E">
        <w:rPr>
          <w:rFonts w:asciiTheme="minorHAnsi" w:hAnsiTheme="minorHAnsi"/>
        </w:rPr>
        <w:t xml:space="preserve"> satellite locations include Outpatient Rehabilitation at Mercy Wellness Center (East Longmeadow), Mercy Outpatient Cardiology (Springfield), Mercy Medical Rehabilitation Center (Chicopee), Mercy Medical Center Mandel Multiple Sclerosis Center (Springfield), and Mercy Rehabilitation Outpatient Services (Springfield). </w:t>
      </w:r>
    </w:p>
    <w:p w14:paraId="5E3BEF7E" w14:textId="257CD97F" w:rsidR="00457998" w:rsidRPr="0064627E" w:rsidRDefault="007E37AF" w:rsidP="00752DA7">
      <w:pPr>
        <w:spacing w:after="120"/>
        <w:jc w:val="both"/>
        <w:rPr>
          <w:rFonts w:asciiTheme="minorHAnsi" w:hAnsiTheme="minorHAnsi"/>
        </w:rPr>
      </w:pPr>
      <w:r w:rsidRPr="0064627E">
        <w:rPr>
          <w:rFonts w:asciiTheme="minorHAnsi" w:hAnsiTheme="minorHAnsi"/>
        </w:rPr>
        <w:lastRenderedPageBreak/>
        <w:t xml:space="preserve">Over the past decade, MMC has faced significant and ongoing challenges that have threatened its long-term viability despite substantial efforts to improve its financial position. </w:t>
      </w:r>
      <w:r w:rsidR="0008531F" w:rsidRPr="0064627E">
        <w:rPr>
          <w:rFonts w:asciiTheme="minorHAnsi" w:hAnsiTheme="minorHAnsi"/>
        </w:rPr>
        <w:t xml:space="preserve">Most recently, MMC </w:t>
      </w:r>
      <w:r w:rsidR="00892F9B" w:rsidRPr="0064627E">
        <w:rPr>
          <w:rFonts w:asciiTheme="minorHAnsi" w:hAnsiTheme="minorHAnsi"/>
        </w:rPr>
        <w:t>suspended</w:t>
      </w:r>
      <w:r w:rsidR="004C127A" w:rsidRPr="0064627E">
        <w:rPr>
          <w:rFonts w:asciiTheme="minorHAnsi" w:hAnsiTheme="minorHAnsi"/>
        </w:rPr>
        <w:t xml:space="preserve"> </w:t>
      </w:r>
      <w:r w:rsidR="0008531F" w:rsidRPr="0064627E">
        <w:rPr>
          <w:rFonts w:asciiTheme="minorHAnsi" w:hAnsiTheme="minorHAnsi"/>
        </w:rPr>
        <w:t>its maternity service due to the significant loss of physicians. In addition, MMC</w:t>
      </w:r>
      <w:r w:rsidR="00A3232E" w:rsidRPr="0064627E">
        <w:rPr>
          <w:rFonts w:asciiTheme="minorHAnsi" w:hAnsiTheme="minorHAnsi"/>
        </w:rPr>
        <w:t xml:space="preserve"> has</w:t>
      </w:r>
      <w:r w:rsidR="00353D03" w:rsidRPr="0064627E">
        <w:rPr>
          <w:rFonts w:asciiTheme="minorHAnsi" w:hAnsiTheme="minorHAnsi"/>
        </w:rPr>
        <w:t xml:space="preserve"> </w:t>
      </w:r>
      <w:r w:rsidR="00AA21FA" w:rsidRPr="0064627E">
        <w:rPr>
          <w:rFonts w:asciiTheme="minorHAnsi" w:hAnsiTheme="minorHAnsi"/>
        </w:rPr>
        <w:t xml:space="preserve">available </w:t>
      </w:r>
      <w:r w:rsidR="00A3232E" w:rsidRPr="0064627E">
        <w:rPr>
          <w:rFonts w:asciiTheme="minorHAnsi" w:hAnsiTheme="minorHAnsi"/>
        </w:rPr>
        <w:t>bed capacity as it</w:t>
      </w:r>
      <w:r w:rsidR="0008531F" w:rsidRPr="0064627E">
        <w:rPr>
          <w:rFonts w:asciiTheme="minorHAnsi" w:hAnsiTheme="minorHAnsi"/>
        </w:rPr>
        <w:t xml:space="preserve">s </w:t>
      </w:r>
      <w:r w:rsidR="005E7593" w:rsidRPr="0064627E">
        <w:rPr>
          <w:rFonts w:asciiTheme="minorHAnsi" w:hAnsiTheme="minorHAnsi"/>
        </w:rPr>
        <w:t xml:space="preserve">medical/surgical </w:t>
      </w:r>
      <w:r w:rsidR="004A3BC6" w:rsidRPr="0064627E">
        <w:rPr>
          <w:rFonts w:asciiTheme="minorHAnsi" w:hAnsiTheme="minorHAnsi"/>
        </w:rPr>
        <w:t xml:space="preserve">and rehabilitation </w:t>
      </w:r>
      <w:r w:rsidR="00245669" w:rsidRPr="0064627E">
        <w:rPr>
          <w:rFonts w:asciiTheme="minorHAnsi" w:hAnsiTheme="minorHAnsi"/>
        </w:rPr>
        <w:t xml:space="preserve">beds </w:t>
      </w:r>
      <w:r w:rsidR="005E7593" w:rsidRPr="0064627E">
        <w:rPr>
          <w:rFonts w:asciiTheme="minorHAnsi" w:hAnsiTheme="minorHAnsi"/>
        </w:rPr>
        <w:t>are not fully staffed</w:t>
      </w:r>
      <w:r w:rsidR="4D1D373A" w:rsidRPr="0064627E">
        <w:rPr>
          <w:rFonts w:asciiTheme="minorHAnsi" w:hAnsiTheme="minorHAnsi"/>
        </w:rPr>
        <w:t xml:space="preserve"> due to insufficient patient volumes to utilize the unstaffed beds</w:t>
      </w:r>
      <w:r w:rsidR="005E7593" w:rsidRPr="0064627E">
        <w:rPr>
          <w:rFonts w:asciiTheme="minorHAnsi" w:hAnsiTheme="minorHAnsi"/>
        </w:rPr>
        <w:t xml:space="preserve">. </w:t>
      </w:r>
      <w:r w:rsidR="007429A9" w:rsidRPr="0064627E">
        <w:rPr>
          <w:rFonts w:asciiTheme="minorHAnsi" w:hAnsiTheme="minorHAnsi"/>
        </w:rPr>
        <w:t xml:space="preserve">The integration of </w:t>
      </w:r>
      <w:r w:rsidR="00457998" w:rsidRPr="0064627E">
        <w:rPr>
          <w:rFonts w:asciiTheme="minorHAnsi" w:hAnsiTheme="minorHAnsi"/>
        </w:rPr>
        <w:t>MMC</w:t>
      </w:r>
      <w:r w:rsidR="007429A9" w:rsidRPr="0064627E">
        <w:rPr>
          <w:rFonts w:asciiTheme="minorHAnsi" w:hAnsiTheme="minorHAnsi"/>
        </w:rPr>
        <w:t xml:space="preserve"> into </w:t>
      </w:r>
      <w:r w:rsidR="005E7593" w:rsidRPr="0064627E">
        <w:rPr>
          <w:rFonts w:asciiTheme="minorHAnsi" w:hAnsiTheme="minorHAnsi"/>
        </w:rPr>
        <w:t>BH</w:t>
      </w:r>
      <w:r w:rsidR="007429A9" w:rsidRPr="0064627E">
        <w:rPr>
          <w:rFonts w:asciiTheme="minorHAnsi" w:hAnsiTheme="minorHAnsi"/>
        </w:rPr>
        <w:t xml:space="preserve">, as further described in this Application, will </w:t>
      </w:r>
      <w:r w:rsidR="00796FA4" w:rsidRPr="0064627E">
        <w:rPr>
          <w:rFonts w:asciiTheme="minorHAnsi" w:hAnsiTheme="minorHAnsi"/>
        </w:rPr>
        <w:t>facilitate a</w:t>
      </w:r>
      <w:r w:rsidR="00E040C8" w:rsidRPr="0064627E">
        <w:rPr>
          <w:rFonts w:asciiTheme="minorHAnsi" w:hAnsiTheme="minorHAnsi"/>
        </w:rPr>
        <w:t xml:space="preserve"> more effective use of resources to better manage </w:t>
      </w:r>
      <w:r w:rsidR="007429A9" w:rsidRPr="0064627E">
        <w:rPr>
          <w:rFonts w:asciiTheme="minorHAnsi" w:hAnsiTheme="minorHAnsi"/>
        </w:rPr>
        <w:t xml:space="preserve">where and how </w:t>
      </w:r>
      <w:r w:rsidR="00E040C8" w:rsidRPr="0064627E">
        <w:rPr>
          <w:rFonts w:asciiTheme="minorHAnsi" w:hAnsiTheme="minorHAnsi"/>
        </w:rPr>
        <w:t>patient</w:t>
      </w:r>
      <w:r w:rsidR="007429A9" w:rsidRPr="0064627E">
        <w:rPr>
          <w:rFonts w:asciiTheme="minorHAnsi" w:hAnsiTheme="minorHAnsi"/>
        </w:rPr>
        <w:t xml:space="preserve">s receive </w:t>
      </w:r>
      <w:r w:rsidR="00E040C8" w:rsidRPr="0064627E">
        <w:rPr>
          <w:rFonts w:asciiTheme="minorHAnsi" w:hAnsiTheme="minorHAnsi"/>
        </w:rPr>
        <w:t xml:space="preserve">care, </w:t>
      </w:r>
      <w:r w:rsidR="007429A9" w:rsidRPr="0064627E">
        <w:rPr>
          <w:rFonts w:asciiTheme="minorHAnsi" w:hAnsiTheme="minorHAnsi"/>
        </w:rPr>
        <w:t xml:space="preserve">resulting in </w:t>
      </w:r>
      <w:r w:rsidR="00391E69" w:rsidRPr="0064627E">
        <w:rPr>
          <w:rFonts w:asciiTheme="minorHAnsi" w:hAnsiTheme="minorHAnsi"/>
        </w:rPr>
        <w:t>improved</w:t>
      </w:r>
      <w:r w:rsidR="00BE554D" w:rsidRPr="0064627E">
        <w:rPr>
          <w:rFonts w:asciiTheme="minorHAnsi" w:hAnsiTheme="minorHAnsi"/>
        </w:rPr>
        <w:t xml:space="preserve"> access to services and</w:t>
      </w:r>
      <w:r w:rsidR="00E040C8" w:rsidRPr="0064627E">
        <w:rPr>
          <w:rFonts w:asciiTheme="minorHAnsi" w:hAnsiTheme="minorHAnsi"/>
        </w:rPr>
        <w:t xml:space="preserve"> health outcomes </w:t>
      </w:r>
      <w:r w:rsidR="007429A9" w:rsidRPr="0064627E">
        <w:rPr>
          <w:rFonts w:asciiTheme="minorHAnsi" w:hAnsiTheme="minorHAnsi"/>
        </w:rPr>
        <w:t xml:space="preserve">for patients. </w:t>
      </w:r>
      <w:r w:rsidR="00826776" w:rsidRPr="0064627E">
        <w:rPr>
          <w:rFonts w:asciiTheme="minorHAnsi" w:hAnsiTheme="minorHAnsi"/>
        </w:rPr>
        <w:t xml:space="preserve">Following the Proposed Transfer, as MMC becomes fully integrated into </w:t>
      </w:r>
      <w:r w:rsidR="005E7593" w:rsidRPr="0064627E">
        <w:rPr>
          <w:rFonts w:asciiTheme="minorHAnsi" w:hAnsiTheme="minorHAnsi"/>
        </w:rPr>
        <w:t>BH</w:t>
      </w:r>
      <w:r w:rsidR="00826776" w:rsidRPr="0064627E">
        <w:rPr>
          <w:rFonts w:asciiTheme="minorHAnsi" w:hAnsiTheme="minorHAnsi"/>
        </w:rPr>
        <w:t>, the Applicant will determine how to effectively distribute services to reduce unnecessary duplication and achieve cost savings for the continued sustainability of MMC</w:t>
      </w:r>
      <w:r w:rsidR="00752DA7" w:rsidRPr="0064627E">
        <w:rPr>
          <w:rFonts w:asciiTheme="minorHAnsi" w:hAnsiTheme="minorHAnsi"/>
        </w:rPr>
        <w:t xml:space="preserve">. </w:t>
      </w:r>
      <w:r w:rsidR="001D251A" w:rsidRPr="0064627E">
        <w:rPr>
          <w:rFonts w:asciiTheme="minorHAnsi" w:hAnsiTheme="minorHAnsi"/>
          <w:snapToGrid w:val="0"/>
        </w:rPr>
        <w:t>Based</w:t>
      </w:r>
      <w:r w:rsidR="00AB4A0A" w:rsidRPr="0064627E">
        <w:rPr>
          <w:rFonts w:asciiTheme="minorHAnsi" w:hAnsiTheme="minorHAnsi"/>
        </w:rPr>
        <w:t xml:space="preserve"> </w:t>
      </w:r>
      <w:r w:rsidR="000404EC" w:rsidRPr="0064627E">
        <w:rPr>
          <w:rFonts w:asciiTheme="minorHAnsi" w:hAnsiTheme="minorHAnsi"/>
        </w:rPr>
        <w:t xml:space="preserve">on the </w:t>
      </w:r>
      <w:r w:rsidR="005E7593" w:rsidRPr="0064627E">
        <w:rPr>
          <w:rFonts w:asciiTheme="minorHAnsi" w:hAnsiTheme="minorHAnsi"/>
          <w:snapToGrid w:val="0"/>
        </w:rPr>
        <w:t>impact on access to patients across the region if MMC closes</w:t>
      </w:r>
      <w:r w:rsidR="000404EC" w:rsidRPr="0064627E">
        <w:rPr>
          <w:rFonts w:asciiTheme="minorHAnsi" w:hAnsiTheme="minorHAnsi"/>
        </w:rPr>
        <w:t xml:space="preserve">, </w:t>
      </w:r>
      <w:r w:rsidR="00A8796B" w:rsidRPr="0064627E">
        <w:rPr>
          <w:rFonts w:asciiTheme="minorHAnsi" w:hAnsiTheme="minorHAnsi"/>
        </w:rPr>
        <w:t xml:space="preserve">the Proposed Transfer </w:t>
      </w:r>
      <w:r w:rsidR="001D251A" w:rsidRPr="0064627E">
        <w:rPr>
          <w:rFonts w:asciiTheme="minorHAnsi" w:hAnsiTheme="minorHAnsi"/>
        </w:rPr>
        <w:t xml:space="preserve">meets </w:t>
      </w:r>
      <w:r w:rsidR="00E040C8" w:rsidRPr="0064627E">
        <w:rPr>
          <w:rFonts w:asciiTheme="minorHAnsi" w:hAnsiTheme="minorHAnsi"/>
        </w:rPr>
        <w:t xml:space="preserve">the factors for determining need and should be approved. </w:t>
      </w:r>
    </w:p>
    <w:p w14:paraId="4768DB43" w14:textId="66214B94" w:rsidR="001319DC" w:rsidRPr="0064627E" w:rsidRDefault="001319DC" w:rsidP="0027045D">
      <w:pPr>
        <w:pStyle w:val="Heading2"/>
        <w:rPr>
          <w:i/>
          <w:iCs/>
          <w:sz w:val="24"/>
          <w:szCs w:val="24"/>
        </w:rPr>
      </w:pPr>
      <w:r w:rsidRPr="0064627E">
        <w:rPr>
          <w:sz w:val="24"/>
          <w:szCs w:val="24"/>
        </w:rPr>
        <w:t xml:space="preserve">F1.a.i </w:t>
      </w:r>
      <w:r w:rsidRPr="0064627E">
        <w:rPr>
          <w:i/>
          <w:iCs/>
          <w:sz w:val="24"/>
          <w:szCs w:val="24"/>
        </w:rPr>
        <w:tab/>
      </w:r>
      <w:r w:rsidRPr="0064627E">
        <w:rPr>
          <w:sz w:val="24"/>
          <w:szCs w:val="24"/>
        </w:rPr>
        <w:t>Patient Panel</w:t>
      </w:r>
    </w:p>
    <w:p w14:paraId="3DE0853C" w14:textId="60D1ED18" w:rsidR="00A04E07" w:rsidRPr="0064627E" w:rsidRDefault="001319DC" w:rsidP="00457998">
      <w:pPr>
        <w:pStyle w:val="HBbl1j"/>
        <w:rPr>
          <w:rFonts w:asciiTheme="minorHAnsi" w:eastAsia="PMingLiU" w:hAnsiTheme="minorHAnsi"/>
          <w:b/>
          <w:bCs/>
        </w:rPr>
      </w:pPr>
      <w:r w:rsidRPr="0064627E">
        <w:rPr>
          <w:rFonts w:asciiTheme="minorHAnsi" w:eastAsia="PMingLiU" w:hAnsiTheme="minorHAnsi"/>
          <w:b/>
          <w:bCs/>
        </w:rPr>
        <w:t>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status and other priority populations relevant to the Applicant’s existing patient panel and payer mix.</w:t>
      </w:r>
    </w:p>
    <w:p w14:paraId="61D22293" w14:textId="001AAEB6" w:rsidR="00BE554D" w:rsidRPr="0064627E" w:rsidRDefault="00BE554D" w:rsidP="007B6F28">
      <w:pPr>
        <w:pStyle w:val="HBbl1j"/>
        <w:spacing w:after="120"/>
        <w:ind w:left="0"/>
        <w:rPr>
          <w:rFonts w:asciiTheme="minorHAnsi" w:eastAsia="PMingLiU" w:hAnsiTheme="minorHAnsi"/>
        </w:rPr>
      </w:pPr>
      <w:r w:rsidRPr="0064627E">
        <w:rPr>
          <w:rFonts w:asciiTheme="minorHAnsi" w:eastAsia="PMingLiU" w:hAnsiTheme="minorHAnsi"/>
        </w:rPr>
        <w:t>The following is a summary of the Patient Panels of the Applicant and MMC, with further detail provided in the tables that follow.</w:t>
      </w:r>
    </w:p>
    <w:p w14:paraId="4D34C242" w14:textId="2DBD3A12" w:rsidR="001319DC" w:rsidRPr="0064627E" w:rsidRDefault="001319DC" w:rsidP="0027045D">
      <w:pPr>
        <w:pStyle w:val="Heading3"/>
        <w:rPr>
          <w:sz w:val="24"/>
          <w:szCs w:val="24"/>
        </w:rPr>
      </w:pPr>
      <w:r w:rsidRPr="0064627E">
        <w:rPr>
          <w:sz w:val="24"/>
          <w:szCs w:val="24"/>
        </w:rPr>
        <w:t>Baystate Health</w:t>
      </w:r>
      <w:r w:rsidR="00A512BB" w:rsidRPr="0064627E">
        <w:rPr>
          <w:sz w:val="24"/>
          <w:szCs w:val="24"/>
        </w:rPr>
        <w:t xml:space="preserve"> (Table 1)</w:t>
      </w:r>
    </w:p>
    <w:p w14:paraId="4B03FDE7" w14:textId="4F4B528D" w:rsidR="000E32C5" w:rsidRPr="0064627E" w:rsidRDefault="000E32C5" w:rsidP="007B6F28">
      <w:pPr>
        <w:pStyle w:val="ListParagraph"/>
        <w:numPr>
          <w:ilvl w:val="0"/>
          <w:numId w:val="9"/>
        </w:numPr>
        <w:spacing w:after="120"/>
        <w:jc w:val="both"/>
        <w:rPr>
          <w:rFonts w:asciiTheme="minorHAnsi" w:hAnsiTheme="minorHAnsi" w:cs="Arial"/>
        </w:rPr>
      </w:pPr>
      <w:r w:rsidRPr="0064627E">
        <w:rPr>
          <w:rFonts w:asciiTheme="minorHAnsi" w:hAnsiTheme="minorHAnsi" w:cs="Arial"/>
        </w:rPr>
        <w:t xml:space="preserve">Gender: </w:t>
      </w:r>
      <w:r w:rsidR="005E7593" w:rsidRPr="0064627E">
        <w:rPr>
          <w:rFonts w:asciiTheme="minorHAnsi" w:hAnsiTheme="minorHAnsi" w:cs="Arial"/>
        </w:rPr>
        <w:t>BH</w:t>
      </w:r>
      <w:r w:rsidR="001171DF" w:rsidRPr="0064627E">
        <w:rPr>
          <w:rFonts w:asciiTheme="minorHAnsi" w:hAnsiTheme="minorHAnsi" w:cs="Arial"/>
        </w:rPr>
        <w:t>’s</w:t>
      </w:r>
      <w:r w:rsidR="001319DC" w:rsidRPr="0064627E">
        <w:rPr>
          <w:rFonts w:asciiTheme="minorHAnsi" w:hAnsiTheme="minorHAnsi" w:cs="Arial"/>
        </w:rPr>
        <w:t xml:space="preserve"> </w:t>
      </w:r>
      <w:r w:rsidR="001171DF" w:rsidRPr="0064627E">
        <w:rPr>
          <w:rFonts w:asciiTheme="minorHAnsi" w:hAnsiTheme="minorHAnsi" w:cs="Arial"/>
        </w:rPr>
        <w:t>Patient Panel</w:t>
      </w:r>
      <w:r w:rsidR="001319DC" w:rsidRPr="0064627E">
        <w:rPr>
          <w:rFonts w:asciiTheme="minorHAnsi" w:hAnsiTheme="minorHAnsi" w:cs="Arial"/>
        </w:rPr>
        <w:t xml:space="preserve"> was consistently 58</w:t>
      </w:r>
      <w:r w:rsidR="00914D28">
        <w:rPr>
          <w:rFonts w:asciiTheme="minorHAnsi" w:hAnsiTheme="minorHAnsi" w:cs="Arial"/>
        </w:rPr>
        <w:t xml:space="preserve"> percent</w:t>
      </w:r>
      <w:r w:rsidR="001319DC" w:rsidRPr="0064627E">
        <w:rPr>
          <w:rFonts w:asciiTheme="minorHAnsi" w:hAnsiTheme="minorHAnsi" w:cs="Arial"/>
        </w:rPr>
        <w:t xml:space="preserve"> female and 42</w:t>
      </w:r>
      <w:r w:rsidR="00914D28">
        <w:rPr>
          <w:rFonts w:asciiTheme="minorHAnsi" w:hAnsiTheme="minorHAnsi" w:cs="Arial"/>
        </w:rPr>
        <w:t xml:space="preserve"> percent</w:t>
      </w:r>
      <w:r w:rsidR="001319DC" w:rsidRPr="0064627E">
        <w:rPr>
          <w:rFonts w:asciiTheme="minorHAnsi" w:hAnsiTheme="minorHAnsi" w:cs="Arial"/>
        </w:rPr>
        <w:t xml:space="preserve"> male each year from FY202</w:t>
      </w:r>
      <w:r w:rsidR="005E32E8" w:rsidRPr="0064627E">
        <w:rPr>
          <w:rFonts w:asciiTheme="minorHAnsi" w:hAnsiTheme="minorHAnsi" w:cs="Arial"/>
        </w:rPr>
        <w:t>3</w:t>
      </w:r>
      <w:r w:rsidR="001319DC" w:rsidRPr="0064627E">
        <w:rPr>
          <w:rFonts w:asciiTheme="minorHAnsi" w:hAnsiTheme="minorHAnsi" w:cs="Arial"/>
        </w:rPr>
        <w:t xml:space="preserve"> through FY202</w:t>
      </w:r>
      <w:r w:rsidR="005E32E8" w:rsidRPr="0064627E">
        <w:rPr>
          <w:rFonts w:asciiTheme="minorHAnsi" w:hAnsiTheme="minorHAnsi" w:cs="Arial"/>
        </w:rPr>
        <w:t>5</w:t>
      </w:r>
      <w:r w:rsidR="001171DF" w:rsidRPr="0064627E">
        <w:rPr>
          <w:rFonts w:asciiTheme="minorHAnsi" w:hAnsiTheme="minorHAnsi" w:cs="Arial"/>
        </w:rPr>
        <w:t xml:space="preserve">. </w:t>
      </w:r>
    </w:p>
    <w:p w14:paraId="78914DE4" w14:textId="17DC5DC9" w:rsidR="000E32C5" w:rsidRPr="0064627E" w:rsidRDefault="001319DC" w:rsidP="007B6F28">
      <w:pPr>
        <w:pStyle w:val="ListParagraph"/>
        <w:numPr>
          <w:ilvl w:val="0"/>
          <w:numId w:val="9"/>
        </w:numPr>
        <w:spacing w:after="120"/>
        <w:jc w:val="both"/>
        <w:rPr>
          <w:rFonts w:asciiTheme="minorHAnsi" w:hAnsiTheme="minorHAnsi" w:cs="Arial"/>
        </w:rPr>
      </w:pPr>
      <w:r w:rsidRPr="0064627E">
        <w:rPr>
          <w:rFonts w:asciiTheme="minorHAnsi" w:hAnsiTheme="minorHAnsi" w:cs="Arial"/>
        </w:rPr>
        <w:t>Age</w:t>
      </w:r>
      <w:r w:rsidR="000E32C5" w:rsidRPr="0064627E">
        <w:rPr>
          <w:rFonts w:asciiTheme="minorHAnsi" w:hAnsiTheme="minorHAnsi" w:cs="Arial"/>
        </w:rPr>
        <w:t>:</w:t>
      </w:r>
      <w:r w:rsidRPr="0064627E">
        <w:rPr>
          <w:rFonts w:asciiTheme="minorHAnsi" w:hAnsiTheme="minorHAnsi" w:cs="Arial"/>
        </w:rPr>
        <w:t xml:space="preserve"> </w:t>
      </w:r>
      <w:r w:rsidR="000E32C5" w:rsidRPr="0064627E">
        <w:rPr>
          <w:rFonts w:asciiTheme="minorHAnsi" w:hAnsiTheme="minorHAnsi" w:cs="Arial"/>
        </w:rPr>
        <w:t>A</w:t>
      </w:r>
      <w:r w:rsidRPr="0064627E">
        <w:rPr>
          <w:rFonts w:asciiTheme="minorHAnsi" w:hAnsiTheme="minorHAnsi" w:cs="Arial"/>
        </w:rPr>
        <w:t>pproximately 18</w:t>
      </w:r>
      <w:r w:rsidR="00182271">
        <w:rPr>
          <w:rFonts w:asciiTheme="minorHAnsi" w:hAnsiTheme="minorHAnsi" w:cs="Arial"/>
        </w:rPr>
        <w:t xml:space="preserve"> percent</w:t>
      </w:r>
      <w:r w:rsidRPr="0064627E">
        <w:rPr>
          <w:rFonts w:asciiTheme="minorHAnsi" w:hAnsiTheme="minorHAnsi" w:cs="Arial"/>
        </w:rPr>
        <w:t xml:space="preserve"> of </w:t>
      </w:r>
      <w:r w:rsidR="005E7593" w:rsidRPr="0064627E">
        <w:rPr>
          <w:rFonts w:asciiTheme="minorHAnsi" w:hAnsiTheme="minorHAnsi" w:cs="Arial"/>
        </w:rPr>
        <w:t>BH</w:t>
      </w:r>
      <w:r w:rsidRPr="0064627E">
        <w:rPr>
          <w:rFonts w:asciiTheme="minorHAnsi" w:hAnsiTheme="minorHAnsi" w:cs="Arial"/>
        </w:rPr>
        <w:t>’s patients were age</w:t>
      </w:r>
      <w:r w:rsidR="005E7593" w:rsidRPr="0064627E">
        <w:rPr>
          <w:rFonts w:asciiTheme="minorHAnsi" w:hAnsiTheme="minorHAnsi" w:cs="Arial"/>
        </w:rPr>
        <w:t>d</w:t>
      </w:r>
      <w:r w:rsidRPr="0064627E">
        <w:rPr>
          <w:rFonts w:asciiTheme="minorHAnsi" w:hAnsiTheme="minorHAnsi" w:cs="Arial"/>
        </w:rPr>
        <w:t xml:space="preserve"> 0-18, while the largest age group was 19-45, comprising about 28</w:t>
      </w:r>
      <w:r w:rsidR="00182271">
        <w:rPr>
          <w:rFonts w:asciiTheme="minorHAnsi" w:hAnsiTheme="minorHAnsi" w:cs="Arial"/>
        </w:rPr>
        <w:t xml:space="preserve"> percent</w:t>
      </w:r>
      <w:r w:rsidRPr="0064627E">
        <w:rPr>
          <w:rFonts w:asciiTheme="minorHAnsi" w:hAnsiTheme="minorHAnsi" w:cs="Arial"/>
        </w:rPr>
        <w:t xml:space="preserve"> of the </w:t>
      </w:r>
      <w:r w:rsidR="00D15147" w:rsidRPr="0064627E">
        <w:rPr>
          <w:rFonts w:asciiTheme="minorHAnsi" w:hAnsiTheme="minorHAnsi" w:cs="Arial"/>
        </w:rPr>
        <w:t>P</w:t>
      </w:r>
      <w:r w:rsidRPr="0064627E">
        <w:rPr>
          <w:rFonts w:asciiTheme="minorHAnsi" w:hAnsiTheme="minorHAnsi" w:cs="Arial"/>
        </w:rPr>
        <w:t xml:space="preserve">atient </w:t>
      </w:r>
      <w:r w:rsidR="00D15147" w:rsidRPr="0064627E">
        <w:rPr>
          <w:rFonts w:asciiTheme="minorHAnsi" w:hAnsiTheme="minorHAnsi" w:cs="Arial"/>
        </w:rPr>
        <w:t>P</w:t>
      </w:r>
      <w:r w:rsidRPr="0064627E">
        <w:rPr>
          <w:rFonts w:asciiTheme="minorHAnsi" w:hAnsiTheme="minorHAnsi" w:cs="Arial"/>
        </w:rPr>
        <w:t>anel</w:t>
      </w:r>
      <w:r w:rsidR="001171DF" w:rsidRPr="0064627E">
        <w:rPr>
          <w:rFonts w:asciiTheme="minorHAnsi" w:hAnsiTheme="minorHAnsi" w:cs="Arial"/>
        </w:rPr>
        <w:t xml:space="preserve"> from FY202</w:t>
      </w:r>
      <w:r w:rsidR="008D0968" w:rsidRPr="0064627E">
        <w:rPr>
          <w:rFonts w:asciiTheme="minorHAnsi" w:hAnsiTheme="minorHAnsi" w:cs="Arial"/>
        </w:rPr>
        <w:t>3</w:t>
      </w:r>
      <w:r w:rsidR="001171DF" w:rsidRPr="0064627E">
        <w:rPr>
          <w:rFonts w:asciiTheme="minorHAnsi" w:hAnsiTheme="minorHAnsi" w:cs="Arial"/>
        </w:rPr>
        <w:t>-FY202</w:t>
      </w:r>
      <w:r w:rsidR="008D0968" w:rsidRPr="0064627E">
        <w:rPr>
          <w:rFonts w:asciiTheme="minorHAnsi" w:hAnsiTheme="minorHAnsi" w:cs="Arial"/>
        </w:rPr>
        <w:t>5</w:t>
      </w:r>
      <w:r w:rsidRPr="0064627E">
        <w:rPr>
          <w:rFonts w:asciiTheme="minorHAnsi" w:hAnsiTheme="minorHAnsi" w:cs="Arial"/>
        </w:rPr>
        <w:t>. Patients aged 46-64 accounted for 26-28</w:t>
      </w:r>
      <w:r w:rsidR="00182271">
        <w:rPr>
          <w:rFonts w:asciiTheme="minorHAnsi" w:hAnsiTheme="minorHAnsi" w:cs="Arial"/>
        </w:rPr>
        <w:t xml:space="preserve"> percent</w:t>
      </w:r>
      <w:r w:rsidR="001171DF" w:rsidRPr="0064627E">
        <w:rPr>
          <w:rFonts w:asciiTheme="minorHAnsi" w:hAnsiTheme="minorHAnsi" w:cs="Arial"/>
        </w:rPr>
        <w:t xml:space="preserve"> of the Patient Panel during the same period</w:t>
      </w:r>
      <w:r w:rsidRPr="0064627E">
        <w:rPr>
          <w:rFonts w:asciiTheme="minorHAnsi" w:hAnsiTheme="minorHAnsi" w:cs="Arial"/>
        </w:rPr>
        <w:t>, and those aged 65 and older increased from 2</w:t>
      </w:r>
      <w:r w:rsidR="008D0968" w:rsidRPr="0064627E">
        <w:rPr>
          <w:rFonts w:asciiTheme="minorHAnsi" w:hAnsiTheme="minorHAnsi" w:cs="Arial"/>
        </w:rPr>
        <w:t>7</w:t>
      </w:r>
      <w:r w:rsidR="00182271">
        <w:rPr>
          <w:rFonts w:asciiTheme="minorHAnsi" w:hAnsiTheme="minorHAnsi" w:cs="Arial"/>
        </w:rPr>
        <w:t xml:space="preserve"> percent</w:t>
      </w:r>
      <w:r w:rsidRPr="0064627E">
        <w:rPr>
          <w:rFonts w:asciiTheme="minorHAnsi" w:hAnsiTheme="minorHAnsi" w:cs="Arial"/>
        </w:rPr>
        <w:t xml:space="preserve"> in FY202</w:t>
      </w:r>
      <w:r w:rsidR="008D0968" w:rsidRPr="0064627E">
        <w:rPr>
          <w:rFonts w:asciiTheme="minorHAnsi" w:hAnsiTheme="minorHAnsi" w:cs="Arial"/>
        </w:rPr>
        <w:t>3</w:t>
      </w:r>
      <w:r w:rsidRPr="0064627E">
        <w:rPr>
          <w:rFonts w:asciiTheme="minorHAnsi" w:hAnsiTheme="minorHAnsi" w:cs="Arial"/>
        </w:rPr>
        <w:t xml:space="preserve"> to 2</w:t>
      </w:r>
      <w:r w:rsidR="008D0968" w:rsidRPr="0064627E">
        <w:rPr>
          <w:rFonts w:asciiTheme="minorHAnsi" w:hAnsiTheme="minorHAnsi" w:cs="Arial"/>
        </w:rPr>
        <w:t>9</w:t>
      </w:r>
      <w:r w:rsidR="00182271">
        <w:rPr>
          <w:rFonts w:asciiTheme="minorHAnsi" w:hAnsiTheme="minorHAnsi" w:cs="Arial"/>
        </w:rPr>
        <w:t xml:space="preserve"> percent</w:t>
      </w:r>
      <w:r w:rsidRPr="0064627E">
        <w:rPr>
          <w:rFonts w:asciiTheme="minorHAnsi" w:hAnsiTheme="minorHAnsi" w:cs="Arial"/>
        </w:rPr>
        <w:t xml:space="preserve"> in FY202</w:t>
      </w:r>
      <w:r w:rsidR="008D0968" w:rsidRPr="0064627E">
        <w:rPr>
          <w:rFonts w:asciiTheme="minorHAnsi" w:hAnsiTheme="minorHAnsi" w:cs="Arial"/>
        </w:rPr>
        <w:t>5</w:t>
      </w:r>
      <w:r w:rsidRPr="0064627E">
        <w:rPr>
          <w:rFonts w:asciiTheme="minorHAnsi" w:hAnsiTheme="minorHAnsi" w:cs="Arial"/>
        </w:rPr>
        <w:t xml:space="preserve">. </w:t>
      </w:r>
    </w:p>
    <w:p w14:paraId="2564B918" w14:textId="7ACAF232" w:rsidR="001319DC" w:rsidRPr="0064627E" w:rsidRDefault="000E32C5" w:rsidP="007B6F28">
      <w:pPr>
        <w:pStyle w:val="ListParagraph"/>
        <w:numPr>
          <w:ilvl w:val="0"/>
          <w:numId w:val="9"/>
        </w:numPr>
        <w:spacing w:after="120"/>
        <w:jc w:val="both"/>
        <w:rPr>
          <w:rFonts w:asciiTheme="minorHAnsi" w:hAnsiTheme="minorHAnsi" w:cs="Arial"/>
        </w:rPr>
      </w:pPr>
      <w:r w:rsidRPr="0064627E">
        <w:rPr>
          <w:rFonts w:asciiTheme="minorHAnsi" w:hAnsiTheme="minorHAnsi" w:cs="Arial"/>
        </w:rPr>
        <w:t xml:space="preserve">Race/Ethnicity: </w:t>
      </w:r>
      <w:r w:rsidR="001171DF" w:rsidRPr="0064627E">
        <w:rPr>
          <w:rFonts w:asciiTheme="minorHAnsi" w:hAnsiTheme="minorHAnsi" w:cs="Arial"/>
        </w:rPr>
        <w:t>T</w:t>
      </w:r>
      <w:r w:rsidR="001319DC" w:rsidRPr="0064627E">
        <w:rPr>
          <w:rFonts w:asciiTheme="minorHAnsi" w:hAnsiTheme="minorHAnsi" w:cs="Arial"/>
        </w:rPr>
        <w:t xml:space="preserve">he majority of </w:t>
      </w:r>
      <w:r w:rsidR="005E7593" w:rsidRPr="0064627E">
        <w:rPr>
          <w:rFonts w:asciiTheme="minorHAnsi" w:hAnsiTheme="minorHAnsi" w:cs="Arial"/>
        </w:rPr>
        <w:t>BH</w:t>
      </w:r>
      <w:r w:rsidR="001319DC" w:rsidRPr="0064627E">
        <w:rPr>
          <w:rFonts w:asciiTheme="minorHAnsi" w:hAnsiTheme="minorHAnsi" w:cs="Arial"/>
        </w:rPr>
        <w:t>’s patients identified as White, making up 6</w:t>
      </w:r>
      <w:r w:rsidR="008D0968" w:rsidRPr="0064627E">
        <w:rPr>
          <w:rFonts w:asciiTheme="minorHAnsi" w:hAnsiTheme="minorHAnsi" w:cs="Arial"/>
        </w:rPr>
        <w:t>7</w:t>
      </w:r>
      <w:r w:rsidR="00182271">
        <w:rPr>
          <w:rFonts w:asciiTheme="minorHAnsi" w:hAnsiTheme="minorHAnsi" w:cs="Arial"/>
        </w:rPr>
        <w:t xml:space="preserve"> percent</w:t>
      </w:r>
      <w:r w:rsidR="001319DC" w:rsidRPr="0064627E">
        <w:rPr>
          <w:rFonts w:asciiTheme="minorHAnsi" w:hAnsiTheme="minorHAnsi" w:cs="Arial"/>
        </w:rPr>
        <w:t xml:space="preserve"> of the </w:t>
      </w:r>
      <w:r w:rsidR="00CC1867" w:rsidRPr="0064627E">
        <w:rPr>
          <w:rFonts w:asciiTheme="minorHAnsi" w:hAnsiTheme="minorHAnsi" w:cs="Arial"/>
        </w:rPr>
        <w:t>P</w:t>
      </w:r>
      <w:r w:rsidR="001319DC" w:rsidRPr="0064627E">
        <w:rPr>
          <w:rFonts w:asciiTheme="minorHAnsi" w:hAnsiTheme="minorHAnsi" w:cs="Arial"/>
        </w:rPr>
        <w:t xml:space="preserve">atient </w:t>
      </w:r>
      <w:r w:rsidR="00CC1867" w:rsidRPr="0064627E">
        <w:rPr>
          <w:rFonts w:asciiTheme="minorHAnsi" w:hAnsiTheme="minorHAnsi" w:cs="Arial"/>
        </w:rPr>
        <w:t>P</w:t>
      </w:r>
      <w:r w:rsidR="001319DC" w:rsidRPr="0064627E">
        <w:rPr>
          <w:rFonts w:asciiTheme="minorHAnsi" w:hAnsiTheme="minorHAnsi" w:cs="Arial"/>
        </w:rPr>
        <w:t>anel in FY202</w:t>
      </w:r>
      <w:r w:rsidR="008D0968" w:rsidRPr="0064627E">
        <w:rPr>
          <w:rFonts w:asciiTheme="minorHAnsi" w:hAnsiTheme="minorHAnsi" w:cs="Arial"/>
        </w:rPr>
        <w:t>5</w:t>
      </w:r>
      <w:r w:rsidR="001319DC" w:rsidRPr="0064627E">
        <w:rPr>
          <w:rFonts w:asciiTheme="minorHAnsi" w:hAnsiTheme="minorHAnsi" w:cs="Arial"/>
        </w:rPr>
        <w:t xml:space="preserve">. </w:t>
      </w:r>
      <w:r w:rsidR="008D0968" w:rsidRPr="0064627E">
        <w:rPr>
          <w:rFonts w:asciiTheme="minorHAnsi" w:hAnsiTheme="minorHAnsi" w:cs="Arial"/>
        </w:rPr>
        <w:t>Hispanic patients accounted for 20</w:t>
      </w:r>
      <w:r w:rsidR="007E75D5">
        <w:rPr>
          <w:rFonts w:asciiTheme="minorHAnsi" w:hAnsiTheme="minorHAnsi" w:cs="Arial"/>
        </w:rPr>
        <w:t xml:space="preserve"> percent</w:t>
      </w:r>
      <w:r w:rsidR="008D0968" w:rsidRPr="0064627E">
        <w:rPr>
          <w:rFonts w:asciiTheme="minorHAnsi" w:hAnsiTheme="minorHAnsi" w:cs="Arial"/>
        </w:rPr>
        <w:t xml:space="preserve"> of all </w:t>
      </w:r>
      <w:r w:rsidR="005E7593" w:rsidRPr="0064627E">
        <w:rPr>
          <w:rFonts w:asciiTheme="minorHAnsi" w:hAnsiTheme="minorHAnsi" w:cs="Arial"/>
        </w:rPr>
        <w:t>BH</w:t>
      </w:r>
      <w:r w:rsidR="008D0968" w:rsidRPr="0064627E">
        <w:rPr>
          <w:rFonts w:asciiTheme="minorHAnsi" w:hAnsiTheme="minorHAnsi" w:cs="Arial"/>
        </w:rPr>
        <w:t xml:space="preserve"> patients in FY</w:t>
      </w:r>
      <w:r w:rsidR="00CC1867" w:rsidRPr="0064627E">
        <w:rPr>
          <w:rFonts w:asciiTheme="minorHAnsi" w:hAnsiTheme="minorHAnsi" w:cs="Arial"/>
        </w:rPr>
        <w:t>20</w:t>
      </w:r>
      <w:r w:rsidR="008D0968" w:rsidRPr="0064627E">
        <w:rPr>
          <w:rFonts w:asciiTheme="minorHAnsi" w:hAnsiTheme="minorHAnsi" w:cs="Arial"/>
        </w:rPr>
        <w:t xml:space="preserve">25 while </w:t>
      </w:r>
      <w:r w:rsidR="001319DC" w:rsidRPr="0064627E">
        <w:rPr>
          <w:rFonts w:asciiTheme="minorHAnsi" w:hAnsiTheme="minorHAnsi" w:cs="Arial"/>
        </w:rPr>
        <w:t>Black or African American patients represented 7</w:t>
      </w:r>
      <w:r w:rsidR="007E75D5">
        <w:rPr>
          <w:rFonts w:asciiTheme="minorHAnsi" w:hAnsiTheme="minorHAnsi" w:cs="Arial"/>
        </w:rPr>
        <w:t xml:space="preserve"> percent</w:t>
      </w:r>
      <w:r w:rsidR="001319DC" w:rsidRPr="0064627E">
        <w:rPr>
          <w:rFonts w:asciiTheme="minorHAnsi" w:hAnsiTheme="minorHAnsi" w:cs="Arial"/>
        </w:rPr>
        <w:t xml:space="preserve"> of the </w:t>
      </w:r>
      <w:r w:rsidR="005E7593" w:rsidRPr="0064627E">
        <w:rPr>
          <w:rFonts w:asciiTheme="minorHAnsi" w:hAnsiTheme="minorHAnsi" w:cs="Arial"/>
        </w:rPr>
        <w:t>P</w:t>
      </w:r>
      <w:r w:rsidR="001319DC" w:rsidRPr="0064627E">
        <w:rPr>
          <w:rFonts w:asciiTheme="minorHAnsi" w:hAnsiTheme="minorHAnsi" w:cs="Arial"/>
        </w:rPr>
        <w:t xml:space="preserve">atient </w:t>
      </w:r>
      <w:r w:rsidR="005E7593" w:rsidRPr="0064627E">
        <w:rPr>
          <w:rFonts w:asciiTheme="minorHAnsi" w:hAnsiTheme="minorHAnsi" w:cs="Arial"/>
        </w:rPr>
        <w:t>P</w:t>
      </w:r>
      <w:r w:rsidR="001319DC" w:rsidRPr="0064627E">
        <w:rPr>
          <w:rFonts w:asciiTheme="minorHAnsi" w:hAnsiTheme="minorHAnsi" w:cs="Arial"/>
        </w:rPr>
        <w:t>anel each year. A small proportion of patients either refused to answer or were categorized as unknown, accounting for about 4</w:t>
      </w:r>
      <w:r w:rsidR="007E75D5">
        <w:rPr>
          <w:rFonts w:asciiTheme="minorHAnsi" w:hAnsiTheme="minorHAnsi" w:cs="Arial"/>
        </w:rPr>
        <w:t xml:space="preserve"> percent</w:t>
      </w:r>
      <w:r w:rsidR="001319DC" w:rsidRPr="0064627E">
        <w:rPr>
          <w:rFonts w:asciiTheme="minorHAnsi" w:hAnsiTheme="minorHAnsi" w:cs="Arial"/>
        </w:rPr>
        <w:t xml:space="preserve"> </w:t>
      </w:r>
      <w:r w:rsidR="005E7593" w:rsidRPr="0064627E">
        <w:rPr>
          <w:rFonts w:asciiTheme="minorHAnsi" w:hAnsiTheme="minorHAnsi" w:cs="Arial"/>
        </w:rPr>
        <w:t xml:space="preserve">of patients </w:t>
      </w:r>
      <w:r w:rsidR="001319DC" w:rsidRPr="0064627E">
        <w:rPr>
          <w:rFonts w:asciiTheme="minorHAnsi" w:hAnsiTheme="minorHAnsi" w:cs="Arial"/>
        </w:rPr>
        <w:t>in each year.</w:t>
      </w:r>
      <w:r w:rsidR="00F618FE" w:rsidRPr="0064627E">
        <w:rPr>
          <w:rFonts w:asciiTheme="minorHAnsi" w:hAnsiTheme="minorHAnsi" w:cs="Arial"/>
        </w:rPr>
        <w:t xml:space="preserve"> </w:t>
      </w:r>
    </w:p>
    <w:p w14:paraId="241DA144" w14:textId="3A05FAE3" w:rsidR="001319DC" w:rsidRPr="0064627E" w:rsidRDefault="00457998" w:rsidP="00250B51">
      <w:pPr>
        <w:pStyle w:val="Heading3"/>
        <w:rPr>
          <w:sz w:val="24"/>
          <w:szCs w:val="24"/>
        </w:rPr>
      </w:pPr>
      <w:r w:rsidRPr="0064627E">
        <w:rPr>
          <w:sz w:val="24"/>
          <w:szCs w:val="24"/>
        </w:rPr>
        <w:t xml:space="preserve">Mercy Medical Center </w:t>
      </w:r>
      <w:r w:rsidR="00A512BB" w:rsidRPr="0064627E">
        <w:rPr>
          <w:sz w:val="24"/>
          <w:szCs w:val="24"/>
        </w:rPr>
        <w:t>(Table 2)</w:t>
      </w:r>
    </w:p>
    <w:p w14:paraId="3ACD7B4E" w14:textId="17DFC24E" w:rsidR="00F618FE" w:rsidRPr="0064627E" w:rsidRDefault="00F618FE" w:rsidP="007B6F28">
      <w:pPr>
        <w:pStyle w:val="ListParagraph"/>
        <w:numPr>
          <w:ilvl w:val="0"/>
          <w:numId w:val="9"/>
        </w:numPr>
        <w:spacing w:after="120"/>
        <w:jc w:val="both"/>
        <w:rPr>
          <w:rFonts w:asciiTheme="minorHAnsi" w:hAnsiTheme="minorHAnsi" w:cs="Arial"/>
        </w:rPr>
      </w:pPr>
      <w:r w:rsidRPr="0064627E">
        <w:rPr>
          <w:rFonts w:asciiTheme="minorHAnsi" w:hAnsiTheme="minorHAnsi" w:cs="Arial"/>
        </w:rPr>
        <w:t xml:space="preserve">Gender: </w:t>
      </w:r>
      <w:r w:rsidR="00457998" w:rsidRPr="0064627E">
        <w:rPr>
          <w:rFonts w:asciiTheme="minorHAnsi" w:hAnsiTheme="minorHAnsi" w:cs="Arial"/>
        </w:rPr>
        <w:t>MMC</w:t>
      </w:r>
      <w:r w:rsidR="00D843B7" w:rsidRPr="0064627E">
        <w:rPr>
          <w:rFonts w:asciiTheme="minorHAnsi" w:hAnsiTheme="minorHAnsi" w:cs="Arial"/>
        </w:rPr>
        <w:t>’s Patient Panel</w:t>
      </w:r>
      <w:r w:rsidR="001319DC" w:rsidRPr="0064627E">
        <w:rPr>
          <w:rFonts w:asciiTheme="minorHAnsi" w:hAnsiTheme="minorHAnsi" w:cs="Arial"/>
        </w:rPr>
        <w:t xml:space="preserve"> from FY202</w:t>
      </w:r>
      <w:r w:rsidR="008D0968" w:rsidRPr="0064627E">
        <w:rPr>
          <w:rFonts w:asciiTheme="minorHAnsi" w:hAnsiTheme="minorHAnsi" w:cs="Arial"/>
        </w:rPr>
        <w:t>3</w:t>
      </w:r>
      <w:r w:rsidR="001319DC" w:rsidRPr="0064627E">
        <w:rPr>
          <w:rFonts w:asciiTheme="minorHAnsi" w:hAnsiTheme="minorHAnsi" w:cs="Arial"/>
        </w:rPr>
        <w:t xml:space="preserve"> through FY202</w:t>
      </w:r>
      <w:r w:rsidR="008D0968" w:rsidRPr="0064627E">
        <w:rPr>
          <w:rFonts w:asciiTheme="minorHAnsi" w:hAnsiTheme="minorHAnsi" w:cs="Arial"/>
        </w:rPr>
        <w:t>5</w:t>
      </w:r>
      <w:r w:rsidR="001319DC" w:rsidRPr="0064627E">
        <w:rPr>
          <w:rFonts w:asciiTheme="minorHAnsi" w:hAnsiTheme="minorHAnsi" w:cs="Arial"/>
        </w:rPr>
        <w:t xml:space="preserve"> was </w:t>
      </w:r>
      <w:r w:rsidR="00106EE7" w:rsidRPr="0064627E">
        <w:rPr>
          <w:rFonts w:asciiTheme="minorHAnsi" w:hAnsiTheme="minorHAnsi" w:cs="Arial"/>
        </w:rPr>
        <w:t>roughly 60</w:t>
      </w:r>
      <w:r w:rsidR="00BC71A1">
        <w:rPr>
          <w:rFonts w:asciiTheme="minorHAnsi" w:hAnsiTheme="minorHAnsi" w:cs="Arial"/>
        </w:rPr>
        <w:t xml:space="preserve"> percent</w:t>
      </w:r>
      <w:r w:rsidR="001319DC" w:rsidRPr="0064627E">
        <w:rPr>
          <w:rFonts w:asciiTheme="minorHAnsi" w:hAnsiTheme="minorHAnsi" w:cs="Arial"/>
        </w:rPr>
        <w:t xml:space="preserve"> female and 4</w:t>
      </w:r>
      <w:r w:rsidR="00106EE7" w:rsidRPr="0064627E">
        <w:rPr>
          <w:rFonts w:asciiTheme="minorHAnsi" w:hAnsiTheme="minorHAnsi" w:cs="Arial"/>
        </w:rPr>
        <w:t>0</w:t>
      </w:r>
      <w:r w:rsidR="00BC71A1">
        <w:rPr>
          <w:rFonts w:asciiTheme="minorHAnsi" w:hAnsiTheme="minorHAnsi" w:cs="Arial"/>
        </w:rPr>
        <w:t xml:space="preserve"> percent</w:t>
      </w:r>
      <w:r w:rsidR="001319DC" w:rsidRPr="0064627E">
        <w:rPr>
          <w:rFonts w:asciiTheme="minorHAnsi" w:hAnsiTheme="minorHAnsi" w:cs="Arial"/>
        </w:rPr>
        <w:t xml:space="preserve"> male, with a negligible number of patients reporting as other or unknown gender. </w:t>
      </w:r>
    </w:p>
    <w:p w14:paraId="4C8C4B95" w14:textId="0BDD09A5" w:rsidR="004C127A" w:rsidRPr="0064627E" w:rsidRDefault="001319DC" w:rsidP="003F5A56">
      <w:pPr>
        <w:pStyle w:val="ListParagraph"/>
        <w:numPr>
          <w:ilvl w:val="0"/>
          <w:numId w:val="9"/>
        </w:numPr>
        <w:jc w:val="both"/>
        <w:rPr>
          <w:rFonts w:asciiTheme="minorHAnsi" w:hAnsiTheme="minorHAnsi" w:cs="Arial"/>
        </w:rPr>
      </w:pPr>
      <w:r w:rsidRPr="0064627E">
        <w:rPr>
          <w:rFonts w:asciiTheme="minorHAnsi" w:hAnsiTheme="minorHAnsi" w:cs="Arial"/>
        </w:rPr>
        <w:lastRenderedPageBreak/>
        <w:t>Age</w:t>
      </w:r>
      <w:r w:rsidR="00F618FE" w:rsidRPr="0064627E">
        <w:rPr>
          <w:rFonts w:asciiTheme="minorHAnsi" w:hAnsiTheme="minorHAnsi" w:cs="Arial"/>
        </w:rPr>
        <w:t xml:space="preserve">: </w:t>
      </w:r>
      <w:r w:rsidRPr="0064627E">
        <w:rPr>
          <w:rFonts w:asciiTheme="minorHAnsi" w:hAnsiTheme="minorHAnsi" w:cs="Arial"/>
        </w:rPr>
        <w:t xml:space="preserve">Pediatric patients (aged 0-17) made up </w:t>
      </w:r>
      <w:r w:rsidR="004C127A" w:rsidRPr="0064627E">
        <w:rPr>
          <w:rFonts w:asciiTheme="minorHAnsi" w:hAnsiTheme="minorHAnsi" w:cs="Arial"/>
        </w:rPr>
        <w:t xml:space="preserve">the smallest </w:t>
      </w:r>
      <w:r w:rsidR="00D15147" w:rsidRPr="0064627E">
        <w:rPr>
          <w:rFonts w:asciiTheme="minorHAnsi" w:hAnsiTheme="minorHAnsi" w:cs="Arial"/>
        </w:rPr>
        <w:t>percentage</w:t>
      </w:r>
      <w:r w:rsidRPr="0064627E">
        <w:rPr>
          <w:rFonts w:asciiTheme="minorHAnsi" w:hAnsiTheme="minorHAnsi" w:cs="Arial"/>
        </w:rPr>
        <w:t xml:space="preserve"> of the </w:t>
      </w:r>
      <w:r w:rsidR="004C127A" w:rsidRPr="0064627E">
        <w:rPr>
          <w:rFonts w:asciiTheme="minorHAnsi" w:hAnsiTheme="minorHAnsi" w:cs="Arial"/>
        </w:rPr>
        <w:t>P</w:t>
      </w:r>
      <w:r w:rsidRPr="0064627E">
        <w:rPr>
          <w:rFonts w:asciiTheme="minorHAnsi" w:hAnsiTheme="minorHAnsi" w:cs="Arial"/>
        </w:rPr>
        <w:t xml:space="preserve">atient </w:t>
      </w:r>
      <w:r w:rsidR="00AA21FA" w:rsidRPr="0064627E">
        <w:rPr>
          <w:rFonts w:asciiTheme="minorHAnsi" w:hAnsiTheme="minorHAnsi" w:cs="Arial"/>
        </w:rPr>
        <w:t>P</w:t>
      </w:r>
      <w:r w:rsidRPr="0064627E">
        <w:rPr>
          <w:rFonts w:asciiTheme="minorHAnsi" w:hAnsiTheme="minorHAnsi" w:cs="Arial"/>
        </w:rPr>
        <w:t>anel, decreasing from 6</w:t>
      </w:r>
      <w:r w:rsidR="00BC71A1">
        <w:rPr>
          <w:rFonts w:asciiTheme="minorHAnsi" w:hAnsiTheme="minorHAnsi" w:cs="Arial"/>
        </w:rPr>
        <w:t xml:space="preserve"> percent</w:t>
      </w:r>
      <w:r w:rsidRPr="0064627E">
        <w:rPr>
          <w:rFonts w:asciiTheme="minorHAnsi" w:hAnsiTheme="minorHAnsi" w:cs="Arial"/>
        </w:rPr>
        <w:t xml:space="preserve"> in FY202</w:t>
      </w:r>
      <w:r w:rsidR="008D0968" w:rsidRPr="0064627E">
        <w:rPr>
          <w:rFonts w:asciiTheme="minorHAnsi" w:hAnsiTheme="minorHAnsi" w:cs="Arial"/>
        </w:rPr>
        <w:t xml:space="preserve">3 </w:t>
      </w:r>
      <w:r w:rsidRPr="0064627E">
        <w:rPr>
          <w:rFonts w:asciiTheme="minorHAnsi" w:hAnsiTheme="minorHAnsi" w:cs="Arial"/>
        </w:rPr>
        <w:t>to 5</w:t>
      </w:r>
      <w:r w:rsidR="00BC71A1">
        <w:rPr>
          <w:rFonts w:asciiTheme="minorHAnsi" w:hAnsiTheme="minorHAnsi" w:cs="Arial"/>
        </w:rPr>
        <w:t xml:space="preserve"> percent</w:t>
      </w:r>
      <w:r w:rsidRPr="0064627E">
        <w:rPr>
          <w:rFonts w:asciiTheme="minorHAnsi" w:hAnsiTheme="minorHAnsi" w:cs="Arial"/>
        </w:rPr>
        <w:t xml:space="preserve"> in FY202</w:t>
      </w:r>
      <w:r w:rsidR="008D0968" w:rsidRPr="0064627E">
        <w:rPr>
          <w:rFonts w:asciiTheme="minorHAnsi" w:hAnsiTheme="minorHAnsi" w:cs="Arial"/>
        </w:rPr>
        <w:t>5</w:t>
      </w:r>
      <w:r w:rsidRPr="0064627E">
        <w:rPr>
          <w:rFonts w:asciiTheme="minorHAnsi" w:hAnsiTheme="minorHAnsi" w:cs="Arial"/>
        </w:rPr>
        <w:t>.</w:t>
      </w:r>
      <w:r w:rsidR="004C127A" w:rsidRPr="0064627E">
        <w:rPr>
          <w:rFonts w:asciiTheme="minorHAnsi" w:hAnsiTheme="minorHAnsi" w:cs="Arial"/>
        </w:rPr>
        <w:t xml:space="preserve">  </w:t>
      </w:r>
      <w:r w:rsidR="69306A01" w:rsidRPr="0064627E">
        <w:rPr>
          <w:rFonts w:asciiTheme="minorHAnsi" w:hAnsiTheme="minorHAnsi" w:cs="Arial"/>
        </w:rPr>
        <w:t xml:space="preserve">Twenty-five percent </w:t>
      </w:r>
      <w:r w:rsidR="004C127A" w:rsidRPr="0064627E">
        <w:rPr>
          <w:rFonts w:asciiTheme="minorHAnsi" w:hAnsiTheme="minorHAnsi" w:cs="Arial"/>
        </w:rPr>
        <w:t>of patients were aged 18-44 in FY2025. The majority of MMC’s patients were older adults, with the age cohorts 45-64 and 65+ each representing 35</w:t>
      </w:r>
      <w:r w:rsidR="00DE7A00">
        <w:rPr>
          <w:rFonts w:asciiTheme="minorHAnsi" w:hAnsiTheme="minorHAnsi" w:cs="Arial"/>
        </w:rPr>
        <w:t xml:space="preserve"> percent</w:t>
      </w:r>
      <w:r w:rsidR="004C127A" w:rsidRPr="0064627E">
        <w:rPr>
          <w:rFonts w:asciiTheme="minorHAnsi" w:hAnsiTheme="minorHAnsi" w:cs="Arial"/>
        </w:rPr>
        <w:t xml:space="preserve"> of the Patient Panel in FY2025. </w:t>
      </w:r>
    </w:p>
    <w:p w14:paraId="4BE02E4D" w14:textId="1E21F55C" w:rsidR="003F5A56" w:rsidRPr="0064627E" w:rsidRDefault="003F5A56" w:rsidP="003F5A56">
      <w:pPr>
        <w:pStyle w:val="ListParagraph"/>
        <w:numPr>
          <w:ilvl w:val="0"/>
          <w:numId w:val="9"/>
        </w:numPr>
        <w:spacing w:after="120"/>
        <w:jc w:val="both"/>
        <w:rPr>
          <w:rFonts w:asciiTheme="minorHAnsi" w:hAnsiTheme="minorHAnsi" w:cs="Arial"/>
        </w:rPr>
      </w:pPr>
      <w:r w:rsidRPr="0064627E">
        <w:rPr>
          <w:rFonts w:asciiTheme="minorHAnsi" w:hAnsiTheme="minorHAnsi" w:cs="Arial"/>
        </w:rPr>
        <w:t>Race and Ethnicity: The largest group of patients identified as White, comprising 55</w:t>
      </w:r>
      <w:r w:rsidR="00DE7A00">
        <w:rPr>
          <w:rFonts w:asciiTheme="minorHAnsi" w:hAnsiTheme="minorHAnsi" w:cs="Arial"/>
        </w:rPr>
        <w:t xml:space="preserve"> percent</w:t>
      </w:r>
      <w:r w:rsidRPr="0064627E">
        <w:rPr>
          <w:rFonts w:asciiTheme="minorHAnsi" w:hAnsiTheme="minorHAnsi" w:cs="Arial"/>
        </w:rPr>
        <w:t xml:space="preserve"> of MMC’s Patient Panel in FY2025. Black or African American patients made up 12</w:t>
      </w:r>
      <w:r w:rsidR="00DE7A00">
        <w:rPr>
          <w:rFonts w:asciiTheme="minorHAnsi" w:hAnsiTheme="minorHAnsi" w:cs="Arial"/>
        </w:rPr>
        <w:t xml:space="preserve"> percent</w:t>
      </w:r>
      <w:r w:rsidRPr="0064627E">
        <w:rPr>
          <w:rFonts w:asciiTheme="minorHAnsi" w:hAnsiTheme="minorHAnsi" w:cs="Arial"/>
        </w:rPr>
        <w:t xml:space="preserve"> of the Patient Panel and 16</w:t>
      </w:r>
      <w:r w:rsidR="00DE7A00">
        <w:rPr>
          <w:rFonts w:asciiTheme="minorHAnsi" w:hAnsiTheme="minorHAnsi" w:cs="Arial"/>
        </w:rPr>
        <w:t xml:space="preserve"> percent</w:t>
      </w:r>
      <w:r w:rsidRPr="0064627E">
        <w:rPr>
          <w:rFonts w:asciiTheme="minorHAnsi" w:hAnsiTheme="minorHAnsi" w:cs="Arial"/>
        </w:rPr>
        <w:t xml:space="preserve"> of the Patient Panel identified as a racial or ethnic category not separately listed in the table. </w:t>
      </w:r>
    </w:p>
    <w:p w14:paraId="7174F1EB" w14:textId="115383A7" w:rsidR="00A512BB" w:rsidRPr="0064627E" w:rsidRDefault="00A512BB" w:rsidP="00250B51">
      <w:pPr>
        <w:pStyle w:val="Heading3"/>
        <w:rPr>
          <w:sz w:val="24"/>
          <w:szCs w:val="24"/>
        </w:rPr>
      </w:pPr>
      <w:r w:rsidRPr="0064627E">
        <w:rPr>
          <w:sz w:val="24"/>
          <w:szCs w:val="24"/>
        </w:rPr>
        <w:t>Geographic Origin (Table 3)</w:t>
      </w:r>
    </w:p>
    <w:p w14:paraId="1005119E" w14:textId="62EE2EAA" w:rsidR="00A512BB" w:rsidRPr="0064627E" w:rsidRDefault="00A512BB" w:rsidP="007B6F28">
      <w:pPr>
        <w:spacing w:after="120"/>
        <w:jc w:val="both"/>
        <w:rPr>
          <w:rFonts w:asciiTheme="minorHAnsi" w:hAnsiTheme="minorHAnsi"/>
          <w:u w:val="single"/>
        </w:rPr>
      </w:pPr>
      <w:r w:rsidRPr="0064627E">
        <w:rPr>
          <w:rFonts w:asciiTheme="minorHAnsi" w:eastAsia="PMingLiU" w:hAnsiTheme="minorHAnsi"/>
          <w:kern w:val="0"/>
          <w14:ligatures w14:val="none"/>
        </w:rPr>
        <w:t xml:space="preserve">As demonstrated in Table 3, there is significant geographic overlap between the </w:t>
      </w:r>
      <w:r w:rsidR="00962DE5" w:rsidRPr="0064627E">
        <w:rPr>
          <w:rFonts w:asciiTheme="minorHAnsi" w:eastAsia="PMingLiU" w:hAnsiTheme="minorHAnsi"/>
          <w:kern w:val="0"/>
          <w14:ligatures w14:val="none"/>
        </w:rPr>
        <w:t>P</w:t>
      </w:r>
      <w:r w:rsidRPr="0064627E">
        <w:rPr>
          <w:rFonts w:asciiTheme="minorHAnsi" w:eastAsia="PMingLiU" w:hAnsiTheme="minorHAnsi"/>
          <w:kern w:val="0"/>
          <w14:ligatures w14:val="none"/>
        </w:rPr>
        <w:t xml:space="preserve">atient </w:t>
      </w:r>
      <w:r w:rsidR="00962DE5" w:rsidRPr="0064627E">
        <w:rPr>
          <w:rFonts w:asciiTheme="minorHAnsi" w:eastAsia="PMingLiU" w:hAnsiTheme="minorHAnsi"/>
          <w:kern w:val="0"/>
          <w14:ligatures w14:val="none"/>
        </w:rPr>
        <w:t>P</w:t>
      </w:r>
      <w:r w:rsidRPr="0064627E">
        <w:rPr>
          <w:rFonts w:asciiTheme="minorHAnsi" w:eastAsia="PMingLiU" w:hAnsiTheme="minorHAnsi"/>
          <w:kern w:val="0"/>
          <w14:ligatures w14:val="none"/>
        </w:rPr>
        <w:t xml:space="preserve">anels of MMC and </w:t>
      </w:r>
      <w:r w:rsidR="00962DE5" w:rsidRPr="0064627E">
        <w:rPr>
          <w:rFonts w:asciiTheme="minorHAnsi" w:eastAsia="PMingLiU" w:hAnsiTheme="minorHAnsi"/>
          <w:kern w:val="0"/>
          <w14:ligatures w14:val="none"/>
        </w:rPr>
        <w:t>BH</w:t>
      </w:r>
      <w:r w:rsidRPr="0064627E">
        <w:rPr>
          <w:rFonts w:asciiTheme="minorHAnsi" w:eastAsia="PMingLiU" w:hAnsiTheme="minorHAnsi"/>
          <w:kern w:val="0"/>
          <w14:ligatures w14:val="none"/>
        </w:rPr>
        <w:t xml:space="preserve">, with most patients from both systems </w:t>
      </w:r>
      <w:r w:rsidR="00962DE5" w:rsidRPr="0064627E">
        <w:rPr>
          <w:rFonts w:asciiTheme="minorHAnsi" w:eastAsia="PMingLiU" w:hAnsiTheme="minorHAnsi"/>
          <w:kern w:val="0"/>
          <w14:ligatures w14:val="none"/>
        </w:rPr>
        <w:t>residing in</w:t>
      </w:r>
      <w:r w:rsidRPr="0064627E">
        <w:rPr>
          <w:rFonts w:asciiTheme="minorHAnsi" w:eastAsia="PMingLiU" w:hAnsiTheme="minorHAnsi"/>
          <w:kern w:val="0"/>
          <w14:ligatures w14:val="none"/>
        </w:rPr>
        <w:t xml:space="preserve"> Springfield. The zip codes provided </w:t>
      </w:r>
      <w:r w:rsidR="00962DE5" w:rsidRPr="0064627E">
        <w:rPr>
          <w:rFonts w:asciiTheme="minorHAnsi" w:eastAsia="PMingLiU" w:hAnsiTheme="minorHAnsi"/>
          <w:kern w:val="0"/>
          <w14:ligatures w14:val="none"/>
        </w:rPr>
        <w:t xml:space="preserve">in Table 3 </w:t>
      </w:r>
      <w:r w:rsidRPr="0064627E">
        <w:rPr>
          <w:rFonts w:asciiTheme="minorHAnsi" w:eastAsia="PMingLiU" w:hAnsiTheme="minorHAnsi"/>
          <w:kern w:val="0"/>
          <w14:ligatures w14:val="none"/>
        </w:rPr>
        <w:t xml:space="preserve">reflect </w:t>
      </w:r>
      <w:r w:rsidR="00962DE5" w:rsidRPr="0064627E">
        <w:rPr>
          <w:rFonts w:asciiTheme="minorHAnsi" w:eastAsia="PMingLiU" w:hAnsiTheme="minorHAnsi"/>
          <w:kern w:val="0"/>
          <w14:ligatures w14:val="none"/>
        </w:rPr>
        <w:t xml:space="preserve">the geographic origin of </w:t>
      </w:r>
      <w:r w:rsidR="008D0968" w:rsidRPr="0064627E">
        <w:rPr>
          <w:rFonts w:asciiTheme="minorHAnsi" w:eastAsia="PMingLiU" w:hAnsiTheme="minorHAnsi"/>
          <w:kern w:val="0"/>
          <w14:ligatures w14:val="none"/>
        </w:rPr>
        <w:t xml:space="preserve">at least </w:t>
      </w:r>
      <w:r w:rsidRPr="0064627E">
        <w:rPr>
          <w:rFonts w:asciiTheme="minorHAnsi" w:eastAsia="PMingLiU" w:hAnsiTheme="minorHAnsi"/>
          <w:kern w:val="0"/>
          <w14:ligatures w14:val="none"/>
        </w:rPr>
        <w:t>75</w:t>
      </w:r>
      <w:r w:rsidR="00DE7A00">
        <w:rPr>
          <w:rFonts w:asciiTheme="minorHAnsi" w:eastAsia="PMingLiU" w:hAnsiTheme="minorHAnsi"/>
          <w:kern w:val="0"/>
          <w14:ligatures w14:val="none"/>
        </w:rPr>
        <w:t xml:space="preserve"> percent</w:t>
      </w:r>
      <w:r w:rsidRPr="0064627E">
        <w:rPr>
          <w:rFonts w:asciiTheme="minorHAnsi" w:eastAsia="PMingLiU" w:hAnsiTheme="minorHAnsi"/>
          <w:kern w:val="0"/>
          <w14:ligatures w14:val="none"/>
        </w:rPr>
        <w:t xml:space="preserve"> of MMC’s </w:t>
      </w:r>
      <w:r w:rsidR="00962DE5" w:rsidRPr="0064627E">
        <w:rPr>
          <w:rFonts w:asciiTheme="minorHAnsi" w:eastAsia="PMingLiU" w:hAnsiTheme="minorHAnsi"/>
          <w:kern w:val="0"/>
          <w14:ligatures w14:val="none"/>
        </w:rPr>
        <w:t>P</w:t>
      </w:r>
      <w:r w:rsidRPr="0064627E">
        <w:rPr>
          <w:rFonts w:asciiTheme="minorHAnsi" w:eastAsia="PMingLiU" w:hAnsiTheme="minorHAnsi"/>
          <w:kern w:val="0"/>
          <w14:ligatures w14:val="none"/>
        </w:rPr>
        <w:t xml:space="preserve">atient </w:t>
      </w:r>
      <w:r w:rsidR="00962DE5" w:rsidRPr="0064627E">
        <w:rPr>
          <w:rFonts w:asciiTheme="minorHAnsi" w:eastAsia="PMingLiU" w:hAnsiTheme="minorHAnsi"/>
          <w:kern w:val="0"/>
          <w14:ligatures w14:val="none"/>
        </w:rPr>
        <w:t>P</w:t>
      </w:r>
      <w:r w:rsidRPr="0064627E">
        <w:rPr>
          <w:rFonts w:asciiTheme="minorHAnsi" w:eastAsia="PMingLiU" w:hAnsiTheme="minorHAnsi"/>
          <w:kern w:val="0"/>
          <w14:ligatures w14:val="none"/>
        </w:rPr>
        <w:t xml:space="preserve">anel. </w:t>
      </w:r>
    </w:p>
    <w:p w14:paraId="04812454" w14:textId="77777777" w:rsidR="001319DC" w:rsidRPr="0064627E" w:rsidRDefault="001319DC" w:rsidP="001319DC">
      <w:pPr>
        <w:jc w:val="both"/>
        <w:rPr>
          <w:rFonts w:cs="Arial"/>
        </w:rPr>
      </w:pPr>
    </w:p>
    <w:p w14:paraId="695B682E" w14:textId="77777777" w:rsidR="001319DC" w:rsidRPr="0064627E" w:rsidRDefault="001319DC" w:rsidP="001319DC">
      <w:pPr>
        <w:ind w:hanging="270"/>
        <w:jc w:val="both"/>
        <w:rPr>
          <w:rFonts w:cs="Arial"/>
          <w:b/>
          <w:bCs/>
        </w:rPr>
        <w:sectPr w:rsidR="001319DC" w:rsidRPr="0064627E" w:rsidSect="001319DC">
          <w:pgSz w:w="12240" w:h="15840"/>
          <w:pgMar w:top="1440" w:right="1440" w:bottom="1440" w:left="1440" w:header="720" w:footer="720" w:gutter="0"/>
          <w:cols w:space="720"/>
          <w:docGrid w:linePitch="360"/>
        </w:sectPr>
      </w:pPr>
    </w:p>
    <w:p w14:paraId="72B8995B" w14:textId="77777777" w:rsidR="001319DC" w:rsidRPr="0064627E" w:rsidRDefault="001319DC" w:rsidP="001319DC">
      <w:pPr>
        <w:ind w:hanging="270"/>
        <w:jc w:val="both"/>
        <w:rPr>
          <w:rFonts w:cs="Arial"/>
          <w:b/>
          <w:bCs/>
        </w:rPr>
      </w:pP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Baystate Health Patient Demographics"/>
      </w:tblPr>
      <w:tblGrid>
        <w:gridCol w:w="5035"/>
        <w:gridCol w:w="1440"/>
        <w:gridCol w:w="1350"/>
        <w:gridCol w:w="1260"/>
        <w:gridCol w:w="1530"/>
        <w:gridCol w:w="1260"/>
        <w:gridCol w:w="1260"/>
        <w:gridCol w:w="1170"/>
        <w:gridCol w:w="1170"/>
      </w:tblGrid>
      <w:tr w:rsidR="00A15DB3" w:rsidRPr="0064627E" w14:paraId="4A0C8F61" w14:textId="76EB509D" w:rsidTr="00C46B91">
        <w:trPr>
          <w:cantSplit/>
          <w:trHeight w:val="300"/>
          <w:tblHeader/>
          <w:jc w:val="center"/>
        </w:trPr>
        <w:tc>
          <w:tcPr>
            <w:tcW w:w="5035" w:type="dxa"/>
            <w:shd w:val="clear" w:color="auto" w:fill="156082" w:themeFill="accent1"/>
            <w:noWrap/>
            <w:vAlign w:val="center"/>
          </w:tcPr>
          <w:p w14:paraId="2EE0206F" w14:textId="77777777" w:rsidR="00A15DB3" w:rsidRPr="0064627E" w:rsidRDefault="00A15DB3" w:rsidP="00A15DB3">
            <w:pPr>
              <w:jc w:val="both"/>
              <w:rPr>
                <w:rFonts w:ascii="Aptos Narrow" w:hAnsi="Aptos Narrow" w:cstheme="minorHAnsi"/>
                <w:b/>
                <w:bCs/>
                <w:color w:val="FFFFFF" w:themeColor="background1"/>
              </w:rPr>
            </w:pPr>
            <w:r w:rsidRPr="0064627E">
              <w:rPr>
                <w:rFonts w:ascii="Aptos Narrow" w:hAnsi="Aptos Narrow" w:cs="Arial"/>
                <w:b/>
                <w:bCs/>
                <w:color w:val="FFFFFF" w:themeColor="background1"/>
              </w:rPr>
              <w:t>Table 1: Baystate Health Patient Demographics</w:t>
            </w:r>
          </w:p>
        </w:tc>
        <w:tc>
          <w:tcPr>
            <w:tcW w:w="1440" w:type="dxa"/>
            <w:shd w:val="clear" w:color="auto" w:fill="156082" w:themeFill="accent1"/>
          </w:tcPr>
          <w:p w14:paraId="4467DA06" w14:textId="3EF87646" w:rsidR="00A15DB3" w:rsidRPr="0064627E" w:rsidRDefault="00A15DB3" w:rsidP="00A15DB3">
            <w:pPr>
              <w:jc w:val="center"/>
              <w:rPr>
                <w:rFonts w:ascii="Aptos Narrow" w:hAnsi="Aptos Narrow" w:cstheme="minorBidi"/>
                <w:b/>
                <w:color w:val="FFFFFF" w:themeColor="background1"/>
              </w:rPr>
            </w:pPr>
            <w:r w:rsidRPr="0064627E">
              <w:rPr>
                <w:rFonts w:ascii="Aptos Narrow" w:hAnsi="Aptos Narrow" w:cstheme="minorBidi"/>
                <w:b/>
                <w:color w:val="FFFFFF" w:themeColor="background1"/>
              </w:rPr>
              <w:t>FY2023</w:t>
            </w:r>
            <w:r w:rsidRPr="0064627E">
              <w:rPr>
                <w:rStyle w:val="FootnoteReference"/>
                <w:rFonts w:ascii="Aptos Narrow" w:hAnsi="Aptos Narrow" w:cstheme="minorBidi"/>
                <w:b/>
                <w:color w:val="FFFFFF" w:themeColor="background1"/>
              </w:rPr>
              <w:footnoteReference w:id="2"/>
            </w:r>
          </w:p>
          <w:p w14:paraId="5F23F277"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Count</w:t>
            </w:r>
          </w:p>
        </w:tc>
        <w:tc>
          <w:tcPr>
            <w:tcW w:w="1350" w:type="dxa"/>
            <w:shd w:val="clear" w:color="auto" w:fill="156082" w:themeFill="accent1"/>
          </w:tcPr>
          <w:p w14:paraId="0119BAB7"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FY2023</w:t>
            </w:r>
          </w:p>
          <w:p w14:paraId="531CBF25"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 xml:space="preserve">Percent </w:t>
            </w:r>
          </w:p>
        </w:tc>
        <w:tc>
          <w:tcPr>
            <w:tcW w:w="1260" w:type="dxa"/>
            <w:shd w:val="clear" w:color="auto" w:fill="156082" w:themeFill="accent1"/>
            <w:noWrap/>
          </w:tcPr>
          <w:p w14:paraId="10DDBEEB"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FY2024</w:t>
            </w:r>
          </w:p>
          <w:p w14:paraId="25F1FF76"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Count</w:t>
            </w:r>
          </w:p>
        </w:tc>
        <w:tc>
          <w:tcPr>
            <w:tcW w:w="1530" w:type="dxa"/>
            <w:shd w:val="clear" w:color="auto" w:fill="156082" w:themeFill="accent1"/>
          </w:tcPr>
          <w:p w14:paraId="4FE20D49"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FY2024</w:t>
            </w:r>
          </w:p>
          <w:p w14:paraId="2E2484EF"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 xml:space="preserve">Percent </w:t>
            </w:r>
          </w:p>
        </w:tc>
        <w:tc>
          <w:tcPr>
            <w:tcW w:w="1260" w:type="dxa"/>
            <w:shd w:val="clear" w:color="auto" w:fill="156082" w:themeFill="accent1"/>
          </w:tcPr>
          <w:p w14:paraId="63EA8DD5" w14:textId="670B00B3"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FY2025</w:t>
            </w:r>
          </w:p>
          <w:p w14:paraId="41B88E2B" w14:textId="38500124"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Count</w:t>
            </w:r>
          </w:p>
        </w:tc>
        <w:tc>
          <w:tcPr>
            <w:tcW w:w="1260" w:type="dxa"/>
            <w:shd w:val="clear" w:color="auto" w:fill="156082" w:themeFill="accent1"/>
          </w:tcPr>
          <w:p w14:paraId="7048A26F" w14:textId="65DBEEA0"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FY2025</w:t>
            </w:r>
          </w:p>
          <w:p w14:paraId="1D4A5DBD" w14:textId="2D8C6CCB"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 xml:space="preserve">Percent </w:t>
            </w:r>
          </w:p>
        </w:tc>
        <w:tc>
          <w:tcPr>
            <w:tcW w:w="1170" w:type="dxa"/>
            <w:shd w:val="clear" w:color="auto" w:fill="156082" w:themeFill="accent1"/>
          </w:tcPr>
          <w:p w14:paraId="4A7E748A" w14:textId="463407B3" w:rsidR="00A15DB3" w:rsidRPr="0064627E" w:rsidRDefault="00A15DB3" w:rsidP="00A15DB3">
            <w:pPr>
              <w:jc w:val="center"/>
              <w:rPr>
                <w:rFonts w:ascii="Aptos Narrow" w:hAnsi="Aptos Narrow" w:cstheme="minorBidi"/>
                <w:b/>
                <w:color w:val="FFFFFF" w:themeColor="background1"/>
              </w:rPr>
            </w:pPr>
            <w:r w:rsidRPr="0064627E">
              <w:rPr>
                <w:rFonts w:ascii="Aptos Narrow" w:hAnsi="Aptos Narrow" w:cstheme="minorBidi"/>
                <w:b/>
                <w:color w:val="FFFFFF" w:themeColor="background1"/>
              </w:rPr>
              <w:t>FY2026</w:t>
            </w:r>
            <w:r w:rsidRPr="0064627E">
              <w:rPr>
                <w:rStyle w:val="FootnoteReference"/>
                <w:rFonts w:ascii="Aptos Narrow" w:hAnsi="Aptos Narrow" w:cstheme="minorBidi"/>
                <w:b/>
                <w:color w:val="FFFFFF" w:themeColor="background1"/>
              </w:rPr>
              <w:footnoteReference w:id="3"/>
            </w:r>
            <w:r w:rsidRPr="0064627E">
              <w:rPr>
                <w:rFonts w:ascii="Aptos Narrow" w:hAnsi="Aptos Narrow" w:cstheme="minorBidi"/>
                <w:b/>
                <w:color w:val="FFFFFF" w:themeColor="background1"/>
              </w:rPr>
              <w:t xml:space="preserve"> </w:t>
            </w:r>
          </w:p>
          <w:p w14:paraId="6F0DAE12" w14:textId="015DC486" w:rsidR="00A15DB3" w:rsidRPr="0064627E" w:rsidRDefault="00A15DB3" w:rsidP="00A15DB3">
            <w:pPr>
              <w:jc w:val="center"/>
              <w:rPr>
                <w:rFonts w:ascii="Aptos Narrow" w:hAnsi="Aptos Narrow" w:cstheme="minorHAnsi"/>
                <w:i/>
                <w:iCs/>
                <w:color w:val="FFFFFF" w:themeColor="background1"/>
              </w:rPr>
            </w:pPr>
            <w:r w:rsidRPr="0064627E">
              <w:rPr>
                <w:rFonts w:ascii="Aptos Narrow" w:hAnsi="Aptos Narrow" w:cstheme="minorHAnsi"/>
                <w:i/>
                <w:iCs/>
                <w:color w:val="FFFFFF" w:themeColor="background1"/>
              </w:rPr>
              <w:t>Count</w:t>
            </w:r>
          </w:p>
        </w:tc>
        <w:tc>
          <w:tcPr>
            <w:tcW w:w="1170" w:type="dxa"/>
            <w:shd w:val="clear" w:color="auto" w:fill="156082" w:themeFill="accent1"/>
          </w:tcPr>
          <w:p w14:paraId="253CD6EA" w14:textId="339EB299"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 xml:space="preserve">FY2026 </w:t>
            </w:r>
          </w:p>
          <w:p w14:paraId="3C807B84" w14:textId="64EEAE39"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Arial"/>
                <w:i/>
                <w:iCs/>
                <w:color w:val="FFFFFF" w:themeColor="background1"/>
              </w:rPr>
              <w:t>Percent</w:t>
            </w:r>
          </w:p>
        </w:tc>
      </w:tr>
      <w:tr w:rsidR="000107D2" w:rsidRPr="0064627E" w14:paraId="577C924F" w14:textId="280F40C2" w:rsidTr="00C46B91">
        <w:trPr>
          <w:cantSplit/>
          <w:trHeight w:val="300"/>
          <w:jc w:val="center"/>
        </w:trPr>
        <w:tc>
          <w:tcPr>
            <w:tcW w:w="5035" w:type="dxa"/>
            <w:shd w:val="clear" w:color="auto" w:fill="0E2841" w:themeFill="text2"/>
            <w:noWrap/>
            <w:vAlign w:val="center"/>
            <w:hideMark/>
          </w:tcPr>
          <w:p w14:paraId="5EE54BD0" w14:textId="77777777" w:rsidR="000107D2" w:rsidRPr="0064627E" w:rsidRDefault="000107D2" w:rsidP="000107D2">
            <w:pPr>
              <w:jc w:val="right"/>
              <w:rPr>
                <w:rFonts w:ascii="Aptos Narrow" w:hAnsi="Aptos Narrow" w:cs="Arial"/>
                <w:b/>
                <w:bCs/>
              </w:rPr>
            </w:pPr>
            <w:r w:rsidRPr="0064627E">
              <w:rPr>
                <w:rFonts w:ascii="Aptos Narrow" w:hAnsi="Aptos Narrow" w:cs="Arial"/>
                <w:b/>
                <w:bCs/>
              </w:rPr>
              <w:t>Total Unique Patients</w:t>
            </w:r>
          </w:p>
        </w:tc>
        <w:tc>
          <w:tcPr>
            <w:tcW w:w="1440" w:type="dxa"/>
            <w:shd w:val="clear" w:color="auto" w:fill="0E2841" w:themeFill="text2"/>
            <w:vAlign w:val="center"/>
          </w:tcPr>
          <w:p w14:paraId="7A8C9E35" w14:textId="77777777" w:rsidR="000107D2" w:rsidRPr="0064627E" w:rsidRDefault="000107D2" w:rsidP="000107D2">
            <w:pPr>
              <w:jc w:val="center"/>
              <w:rPr>
                <w:rFonts w:ascii="Aptos Narrow" w:hAnsi="Aptos Narrow" w:cs="Arial"/>
                <w:b/>
                <w:bCs/>
              </w:rPr>
            </w:pPr>
            <w:r w:rsidRPr="0064627E">
              <w:rPr>
                <w:rFonts w:ascii="Aptos Narrow" w:hAnsi="Aptos Narrow" w:cs="Arial"/>
                <w:b/>
                <w:bCs/>
              </w:rPr>
              <w:t>340,223</w:t>
            </w:r>
          </w:p>
        </w:tc>
        <w:tc>
          <w:tcPr>
            <w:tcW w:w="1350" w:type="dxa"/>
            <w:shd w:val="clear" w:color="auto" w:fill="0E2841" w:themeFill="text2"/>
            <w:vAlign w:val="center"/>
          </w:tcPr>
          <w:p w14:paraId="7F9E5F78" w14:textId="77777777" w:rsidR="000107D2" w:rsidRPr="0064627E" w:rsidRDefault="000107D2" w:rsidP="000107D2">
            <w:pPr>
              <w:jc w:val="center"/>
              <w:rPr>
                <w:rFonts w:ascii="Aptos Narrow" w:hAnsi="Aptos Narrow" w:cs="Arial"/>
                <w:b/>
                <w:bCs/>
              </w:rPr>
            </w:pPr>
            <w:r w:rsidRPr="0064627E">
              <w:rPr>
                <w:rFonts w:ascii="Aptos Narrow" w:hAnsi="Aptos Narrow" w:cs="Arial"/>
                <w:b/>
                <w:bCs/>
              </w:rPr>
              <w:t>100%</w:t>
            </w:r>
          </w:p>
        </w:tc>
        <w:tc>
          <w:tcPr>
            <w:tcW w:w="1260" w:type="dxa"/>
            <w:shd w:val="clear" w:color="auto" w:fill="0E2841" w:themeFill="text2"/>
            <w:noWrap/>
            <w:vAlign w:val="center"/>
          </w:tcPr>
          <w:p w14:paraId="79C1877C" w14:textId="77777777" w:rsidR="000107D2" w:rsidRPr="0064627E" w:rsidRDefault="000107D2" w:rsidP="000107D2">
            <w:pPr>
              <w:jc w:val="center"/>
              <w:rPr>
                <w:rFonts w:ascii="Aptos Narrow" w:hAnsi="Aptos Narrow" w:cs="Arial"/>
                <w:b/>
                <w:bCs/>
              </w:rPr>
            </w:pPr>
            <w:r w:rsidRPr="0064627E">
              <w:rPr>
                <w:rFonts w:ascii="Aptos Narrow" w:hAnsi="Aptos Narrow" w:cs="Arial"/>
                <w:b/>
                <w:bCs/>
              </w:rPr>
              <w:t>345,225</w:t>
            </w:r>
          </w:p>
        </w:tc>
        <w:tc>
          <w:tcPr>
            <w:tcW w:w="1530" w:type="dxa"/>
            <w:shd w:val="clear" w:color="auto" w:fill="0E2841" w:themeFill="text2"/>
            <w:vAlign w:val="center"/>
          </w:tcPr>
          <w:p w14:paraId="10779ADC" w14:textId="77777777" w:rsidR="000107D2" w:rsidRPr="0064627E" w:rsidRDefault="000107D2" w:rsidP="000107D2">
            <w:pPr>
              <w:jc w:val="center"/>
              <w:rPr>
                <w:rFonts w:ascii="Aptos Narrow" w:hAnsi="Aptos Narrow" w:cs="Arial"/>
                <w:b/>
                <w:bCs/>
                <w:color w:val="FFFFFF" w:themeColor="background1"/>
              </w:rPr>
            </w:pPr>
            <w:r w:rsidRPr="0064627E">
              <w:rPr>
                <w:rFonts w:ascii="Aptos Narrow" w:hAnsi="Aptos Narrow" w:cs="Arial"/>
                <w:b/>
                <w:bCs/>
                <w:color w:val="FFFFFF" w:themeColor="background1"/>
              </w:rPr>
              <w:t>100%</w:t>
            </w:r>
          </w:p>
        </w:tc>
        <w:tc>
          <w:tcPr>
            <w:tcW w:w="1260" w:type="dxa"/>
            <w:shd w:val="clear" w:color="auto" w:fill="0E2841" w:themeFill="text2"/>
            <w:vAlign w:val="bottom"/>
          </w:tcPr>
          <w:p w14:paraId="1C61CDA2" w14:textId="3032E968" w:rsidR="000107D2" w:rsidRPr="0064627E" w:rsidRDefault="000107D2" w:rsidP="000107D2">
            <w:pPr>
              <w:jc w:val="center"/>
              <w:rPr>
                <w:rFonts w:ascii="Aptos Narrow" w:hAnsi="Aptos Narrow" w:cs="Arial"/>
                <w:b/>
                <w:bCs/>
                <w:color w:val="FFFFFF" w:themeColor="background1"/>
              </w:rPr>
            </w:pPr>
            <w:r w:rsidRPr="0064627E">
              <w:rPr>
                <w:rFonts w:ascii="Aptos Narrow" w:hAnsi="Aptos Narrow"/>
                <w:b/>
                <w:bCs/>
                <w:color w:val="FFFFFF" w:themeColor="background1"/>
              </w:rPr>
              <w:t xml:space="preserve">   350,217 </w:t>
            </w:r>
          </w:p>
        </w:tc>
        <w:tc>
          <w:tcPr>
            <w:tcW w:w="1260" w:type="dxa"/>
            <w:shd w:val="clear" w:color="auto" w:fill="0E2841" w:themeFill="text2"/>
            <w:vAlign w:val="bottom"/>
          </w:tcPr>
          <w:p w14:paraId="5B61A6EF" w14:textId="2C310CC1" w:rsidR="000107D2" w:rsidRPr="0064627E" w:rsidRDefault="000107D2" w:rsidP="000107D2">
            <w:pPr>
              <w:jc w:val="center"/>
              <w:rPr>
                <w:rFonts w:ascii="Aptos Narrow" w:hAnsi="Aptos Narrow" w:cs="Arial"/>
                <w:b/>
                <w:bCs/>
                <w:color w:val="FFFFFF" w:themeColor="background1"/>
              </w:rPr>
            </w:pPr>
            <w:r w:rsidRPr="0064627E">
              <w:rPr>
                <w:rFonts w:ascii="Aptos Narrow" w:hAnsi="Aptos Narrow"/>
                <w:b/>
                <w:bCs/>
                <w:color w:val="FFFFFF" w:themeColor="background1"/>
              </w:rPr>
              <w:t>100%</w:t>
            </w:r>
          </w:p>
        </w:tc>
        <w:tc>
          <w:tcPr>
            <w:tcW w:w="1170" w:type="dxa"/>
            <w:shd w:val="clear" w:color="auto" w:fill="0E2841" w:themeFill="text2"/>
            <w:vAlign w:val="bottom"/>
          </w:tcPr>
          <w:p w14:paraId="5CD3A85D" w14:textId="0381D70A" w:rsidR="000107D2" w:rsidRPr="0064627E" w:rsidRDefault="000107D2" w:rsidP="000107D2">
            <w:pPr>
              <w:jc w:val="center"/>
              <w:rPr>
                <w:rFonts w:ascii="Aptos Narrow" w:hAnsi="Aptos Narrow" w:cs="Arial"/>
                <w:b/>
                <w:bCs/>
                <w:color w:val="FFFFFF" w:themeColor="background1"/>
              </w:rPr>
            </w:pPr>
            <w:r w:rsidRPr="0064627E">
              <w:rPr>
                <w:rFonts w:ascii="Aptos Narrow" w:hAnsi="Aptos Narrow"/>
                <w:b/>
                <w:bCs/>
                <w:color w:val="FFFFFF" w:themeColor="background1"/>
              </w:rPr>
              <w:t xml:space="preserve">   231,873 </w:t>
            </w:r>
          </w:p>
        </w:tc>
        <w:tc>
          <w:tcPr>
            <w:tcW w:w="1170" w:type="dxa"/>
            <w:shd w:val="clear" w:color="auto" w:fill="0E2841" w:themeFill="text2"/>
            <w:vAlign w:val="bottom"/>
          </w:tcPr>
          <w:p w14:paraId="6C342917" w14:textId="27233E86" w:rsidR="000107D2" w:rsidRPr="0064627E" w:rsidRDefault="000107D2" w:rsidP="000107D2">
            <w:pPr>
              <w:jc w:val="center"/>
              <w:rPr>
                <w:rFonts w:ascii="Aptos Narrow" w:hAnsi="Aptos Narrow" w:cs="Arial"/>
                <w:b/>
                <w:bCs/>
                <w:color w:val="FFFFFF" w:themeColor="background1"/>
              </w:rPr>
            </w:pPr>
            <w:r w:rsidRPr="0064627E">
              <w:rPr>
                <w:rFonts w:ascii="Aptos Narrow" w:hAnsi="Aptos Narrow"/>
                <w:b/>
                <w:bCs/>
                <w:color w:val="FFFFFF" w:themeColor="background1"/>
              </w:rPr>
              <w:t>100%</w:t>
            </w:r>
          </w:p>
        </w:tc>
      </w:tr>
      <w:tr w:rsidR="00B36F2B" w:rsidRPr="0064627E" w14:paraId="7D0E40C3" w14:textId="281956A9" w:rsidTr="00C46B91">
        <w:trPr>
          <w:cantSplit/>
          <w:trHeight w:val="300"/>
          <w:jc w:val="center"/>
        </w:trPr>
        <w:tc>
          <w:tcPr>
            <w:tcW w:w="5035" w:type="dxa"/>
            <w:noWrap/>
            <w:vAlign w:val="center"/>
            <w:hideMark/>
          </w:tcPr>
          <w:p w14:paraId="6105B6DD" w14:textId="77777777" w:rsidR="00B36F2B" w:rsidRPr="0064627E" w:rsidRDefault="00B36F2B" w:rsidP="000107D2">
            <w:pPr>
              <w:jc w:val="both"/>
              <w:rPr>
                <w:rFonts w:ascii="Aptos Narrow" w:hAnsi="Aptos Narrow" w:cs="Arial"/>
              </w:rPr>
            </w:pPr>
            <w:r w:rsidRPr="0064627E">
              <w:rPr>
                <w:rFonts w:ascii="Aptos Narrow" w:hAnsi="Aptos Narrow" w:cs="Arial"/>
              </w:rPr>
              <w:t>Age: 0 to 18</w:t>
            </w:r>
          </w:p>
        </w:tc>
        <w:tc>
          <w:tcPr>
            <w:tcW w:w="1440" w:type="dxa"/>
            <w:vAlign w:val="center"/>
            <w:hideMark/>
          </w:tcPr>
          <w:p w14:paraId="4B28565C" w14:textId="77777777" w:rsidR="00B36F2B" w:rsidRPr="0064627E" w:rsidRDefault="00B36F2B" w:rsidP="000107D2">
            <w:pPr>
              <w:jc w:val="center"/>
              <w:rPr>
                <w:rFonts w:ascii="Aptos Narrow" w:hAnsi="Aptos Narrow" w:cs="Arial"/>
              </w:rPr>
            </w:pPr>
            <w:r w:rsidRPr="0064627E">
              <w:rPr>
                <w:rFonts w:ascii="Aptos Narrow" w:hAnsi="Aptos Narrow"/>
                <w:color w:val="000000"/>
              </w:rPr>
              <w:t>61,867</w:t>
            </w:r>
          </w:p>
        </w:tc>
        <w:tc>
          <w:tcPr>
            <w:tcW w:w="1350" w:type="dxa"/>
            <w:vAlign w:val="center"/>
            <w:hideMark/>
          </w:tcPr>
          <w:p w14:paraId="6585E648" w14:textId="77777777" w:rsidR="00B36F2B" w:rsidRPr="0064627E" w:rsidRDefault="00B36F2B" w:rsidP="000107D2">
            <w:pPr>
              <w:jc w:val="center"/>
              <w:rPr>
                <w:rFonts w:ascii="Aptos Narrow" w:hAnsi="Aptos Narrow" w:cs="Arial"/>
              </w:rPr>
            </w:pPr>
            <w:r w:rsidRPr="0064627E">
              <w:rPr>
                <w:rFonts w:ascii="Aptos Narrow" w:hAnsi="Aptos Narrow"/>
                <w:color w:val="000000"/>
              </w:rPr>
              <w:t>18%</w:t>
            </w:r>
          </w:p>
        </w:tc>
        <w:tc>
          <w:tcPr>
            <w:tcW w:w="1260" w:type="dxa"/>
            <w:noWrap/>
            <w:vAlign w:val="center"/>
          </w:tcPr>
          <w:p w14:paraId="5CE03BCF" w14:textId="77777777" w:rsidR="00B36F2B" w:rsidRPr="0064627E" w:rsidRDefault="00B36F2B" w:rsidP="000107D2">
            <w:pPr>
              <w:jc w:val="center"/>
              <w:rPr>
                <w:rFonts w:ascii="Aptos Narrow" w:hAnsi="Aptos Narrow" w:cs="Arial"/>
              </w:rPr>
            </w:pPr>
            <w:r w:rsidRPr="0064627E">
              <w:rPr>
                <w:rFonts w:ascii="Aptos Narrow" w:hAnsi="Aptos Narrow"/>
                <w:color w:val="000000"/>
              </w:rPr>
              <w:t>61,500</w:t>
            </w:r>
          </w:p>
        </w:tc>
        <w:tc>
          <w:tcPr>
            <w:tcW w:w="1530" w:type="dxa"/>
            <w:vAlign w:val="center"/>
          </w:tcPr>
          <w:p w14:paraId="2163645E" w14:textId="77777777" w:rsidR="00B36F2B" w:rsidRPr="0064627E" w:rsidRDefault="00B36F2B" w:rsidP="000107D2">
            <w:pPr>
              <w:jc w:val="center"/>
              <w:rPr>
                <w:rFonts w:ascii="Aptos Narrow" w:hAnsi="Aptos Narrow" w:cs="Arial"/>
              </w:rPr>
            </w:pPr>
            <w:r w:rsidRPr="0064627E">
              <w:rPr>
                <w:rFonts w:ascii="Aptos Narrow" w:hAnsi="Aptos Narrow"/>
                <w:color w:val="000000"/>
              </w:rPr>
              <w:t>18%</w:t>
            </w:r>
          </w:p>
        </w:tc>
        <w:tc>
          <w:tcPr>
            <w:tcW w:w="1260" w:type="dxa"/>
            <w:vAlign w:val="center"/>
          </w:tcPr>
          <w:p w14:paraId="693C5BD8" w14:textId="55C2A911" w:rsidR="00B36F2B" w:rsidRPr="0064627E" w:rsidRDefault="00B36F2B" w:rsidP="000107D2">
            <w:pPr>
              <w:jc w:val="center"/>
              <w:rPr>
                <w:rFonts w:ascii="Aptos Narrow" w:hAnsi="Aptos Narrow"/>
                <w:color w:val="000000"/>
              </w:rPr>
            </w:pPr>
            <w:r w:rsidRPr="0064627E">
              <w:rPr>
                <w:rFonts w:ascii="Aptos Narrow" w:hAnsi="Aptos Narrow"/>
                <w:color w:val="000000"/>
              </w:rPr>
              <w:t>61,835</w:t>
            </w:r>
          </w:p>
        </w:tc>
        <w:tc>
          <w:tcPr>
            <w:tcW w:w="1260" w:type="dxa"/>
            <w:vAlign w:val="center"/>
          </w:tcPr>
          <w:p w14:paraId="68548BE4" w14:textId="0293767D" w:rsidR="00B36F2B" w:rsidRPr="0064627E" w:rsidRDefault="00B36F2B" w:rsidP="000107D2">
            <w:pPr>
              <w:jc w:val="center"/>
              <w:rPr>
                <w:rFonts w:ascii="Aptos Narrow" w:hAnsi="Aptos Narrow"/>
                <w:color w:val="000000"/>
              </w:rPr>
            </w:pPr>
            <w:r w:rsidRPr="0064627E">
              <w:rPr>
                <w:rFonts w:ascii="Aptos Narrow" w:hAnsi="Aptos Narrow"/>
                <w:color w:val="000000"/>
              </w:rPr>
              <w:t>18%</w:t>
            </w:r>
          </w:p>
        </w:tc>
        <w:tc>
          <w:tcPr>
            <w:tcW w:w="1170" w:type="dxa"/>
            <w:vAlign w:val="center"/>
          </w:tcPr>
          <w:p w14:paraId="6E341308" w14:textId="30D20E9F" w:rsidR="00B36F2B" w:rsidRPr="0064627E" w:rsidRDefault="00B36F2B" w:rsidP="000107D2">
            <w:pPr>
              <w:jc w:val="center"/>
              <w:rPr>
                <w:rFonts w:ascii="Aptos Narrow" w:hAnsi="Aptos Narrow"/>
                <w:color w:val="000000"/>
              </w:rPr>
            </w:pPr>
            <w:r w:rsidRPr="0064627E">
              <w:rPr>
                <w:rFonts w:ascii="Aptos Narrow" w:hAnsi="Aptos Narrow"/>
                <w:color w:val="000000"/>
              </w:rPr>
              <w:t>36,784</w:t>
            </w:r>
          </w:p>
        </w:tc>
        <w:tc>
          <w:tcPr>
            <w:tcW w:w="1170" w:type="dxa"/>
            <w:vAlign w:val="center"/>
          </w:tcPr>
          <w:p w14:paraId="6F1E5C3F" w14:textId="4AD84853" w:rsidR="00B36F2B" w:rsidRPr="0064627E" w:rsidRDefault="00B36F2B" w:rsidP="000107D2">
            <w:pPr>
              <w:jc w:val="center"/>
              <w:rPr>
                <w:rFonts w:ascii="Aptos Narrow" w:hAnsi="Aptos Narrow"/>
                <w:color w:val="000000"/>
              </w:rPr>
            </w:pPr>
            <w:r w:rsidRPr="0064627E">
              <w:rPr>
                <w:rFonts w:ascii="Aptos Narrow" w:hAnsi="Aptos Narrow"/>
                <w:color w:val="000000"/>
              </w:rPr>
              <w:t>16%</w:t>
            </w:r>
          </w:p>
        </w:tc>
      </w:tr>
      <w:tr w:rsidR="00B36F2B" w:rsidRPr="0064627E" w14:paraId="46D02563" w14:textId="7AC5C855" w:rsidTr="00C46B91">
        <w:trPr>
          <w:cantSplit/>
          <w:trHeight w:val="300"/>
          <w:jc w:val="center"/>
        </w:trPr>
        <w:tc>
          <w:tcPr>
            <w:tcW w:w="5035" w:type="dxa"/>
            <w:noWrap/>
            <w:vAlign w:val="center"/>
            <w:hideMark/>
          </w:tcPr>
          <w:p w14:paraId="26D77825" w14:textId="77777777" w:rsidR="00B36F2B" w:rsidRPr="0064627E" w:rsidRDefault="00B36F2B" w:rsidP="000107D2">
            <w:pPr>
              <w:jc w:val="both"/>
              <w:rPr>
                <w:rFonts w:ascii="Aptos Narrow" w:hAnsi="Aptos Narrow" w:cs="Arial"/>
              </w:rPr>
            </w:pPr>
            <w:r w:rsidRPr="0064627E">
              <w:rPr>
                <w:rFonts w:ascii="Aptos Narrow" w:hAnsi="Aptos Narrow" w:cs="Arial"/>
              </w:rPr>
              <w:t>Age: 19 to 45</w:t>
            </w:r>
          </w:p>
        </w:tc>
        <w:tc>
          <w:tcPr>
            <w:tcW w:w="1440" w:type="dxa"/>
            <w:vAlign w:val="center"/>
            <w:hideMark/>
          </w:tcPr>
          <w:p w14:paraId="7DB6D845" w14:textId="77777777" w:rsidR="00B36F2B" w:rsidRPr="0064627E" w:rsidRDefault="00B36F2B" w:rsidP="000107D2">
            <w:pPr>
              <w:jc w:val="center"/>
              <w:rPr>
                <w:rFonts w:ascii="Aptos Narrow" w:hAnsi="Aptos Narrow" w:cs="Arial"/>
              </w:rPr>
            </w:pPr>
            <w:r w:rsidRPr="0064627E">
              <w:rPr>
                <w:rFonts w:ascii="Aptos Narrow" w:hAnsi="Aptos Narrow"/>
                <w:color w:val="000000"/>
              </w:rPr>
              <w:t>96,341</w:t>
            </w:r>
          </w:p>
        </w:tc>
        <w:tc>
          <w:tcPr>
            <w:tcW w:w="1350" w:type="dxa"/>
            <w:vAlign w:val="center"/>
            <w:hideMark/>
          </w:tcPr>
          <w:p w14:paraId="6A93C573" w14:textId="77777777" w:rsidR="00B36F2B" w:rsidRPr="0064627E" w:rsidRDefault="00B36F2B" w:rsidP="000107D2">
            <w:pPr>
              <w:jc w:val="center"/>
              <w:rPr>
                <w:rFonts w:ascii="Aptos Narrow" w:hAnsi="Aptos Narrow" w:cs="Arial"/>
              </w:rPr>
            </w:pPr>
            <w:r w:rsidRPr="0064627E">
              <w:rPr>
                <w:rFonts w:ascii="Aptos Narrow" w:hAnsi="Aptos Narrow"/>
                <w:color w:val="000000"/>
              </w:rPr>
              <w:t>28%</w:t>
            </w:r>
          </w:p>
        </w:tc>
        <w:tc>
          <w:tcPr>
            <w:tcW w:w="1260" w:type="dxa"/>
            <w:noWrap/>
            <w:vAlign w:val="center"/>
          </w:tcPr>
          <w:p w14:paraId="420ACCAE" w14:textId="77777777" w:rsidR="00B36F2B" w:rsidRPr="0064627E" w:rsidRDefault="00B36F2B" w:rsidP="000107D2">
            <w:pPr>
              <w:jc w:val="center"/>
              <w:rPr>
                <w:rFonts w:ascii="Aptos Narrow" w:hAnsi="Aptos Narrow" w:cs="Arial"/>
              </w:rPr>
            </w:pPr>
            <w:r w:rsidRPr="0064627E">
              <w:rPr>
                <w:rFonts w:ascii="Aptos Narrow" w:hAnsi="Aptos Narrow"/>
                <w:color w:val="000000"/>
              </w:rPr>
              <w:t>96,535</w:t>
            </w:r>
          </w:p>
        </w:tc>
        <w:tc>
          <w:tcPr>
            <w:tcW w:w="1530" w:type="dxa"/>
            <w:vAlign w:val="center"/>
          </w:tcPr>
          <w:p w14:paraId="335B0B60" w14:textId="77777777" w:rsidR="00B36F2B" w:rsidRPr="0064627E" w:rsidRDefault="00B36F2B" w:rsidP="000107D2">
            <w:pPr>
              <w:jc w:val="center"/>
              <w:rPr>
                <w:rFonts w:ascii="Aptos Narrow" w:hAnsi="Aptos Narrow" w:cs="Arial"/>
              </w:rPr>
            </w:pPr>
            <w:r w:rsidRPr="0064627E">
              <w:rPr>
                <w:rFonts w:ascii="Aptos Narrow" w:hAnsi="Aptos Narrow"/>
                <w:color w:val="000000"/>
              </w:rPr>
              <w:t>28%</w:t>
            </w:r>
          </w:p>
        </w:tc>
        <w:tc>
          <w:tcPr>
            <w:tcW w:w="1260" w:type="dxa"/>
            <w:vAlign w:val="center"/>
          </w:tcPr>
          <w:p w14:paraId="47625C9C" w14:textId="5B9ED30C" w:rsidR="00B36F2B" w:rsidRPr="0064627E" w:rsidRDefault="00B36F2B" w:rsidP="000107D2">
            <w:pPr>
              <w:jc w:val="center"/>
              <w:rPr>
                <w:rFonts w:ascii="Aptos Narrow" w:hAnsi="Aptos Narrow"/>
                <w:color w:val="000000"/>
              </w:rPr>
            </w:pPr>
            <w:r w:rsidRPr="0064627E">
              <w:rPr>
                <w:rFonts w:ascii="Aptos Narrow" w:hAnsi="Aptos Narrow"/>
                <w:color w:val="000000"/>
              </w:rPr>
              <w:t>97,092</w:t>
            </w:r>
          </w:p>
        </w:tc>
        <w:tc>
          <w:tcPr>
            <w:tcW w:w="1260" w:type="dxa"/>
            <w:vAlign w:val="center"/>
          </w:tcPr>
          <w:p w14:paraId="0256EBD4" w14:textId="0EB0D3AE" w:rsidR="00B36F2B" w:rsidRPr="0064627E" w:rsidRDefault="00B36F2B" w:rsidP="000107D2">
            <w:pPr>
              <w:jc w:val="center"/>
              <w:rPr>
                <w:rFonts w:ascii="Aptos Narrow" w:hAnsi="Aptos Narrow"/>
                <w:color w:val="000000"/>
              </w:rPr>
            </w:pPr>
            <w:r w:rsidRPr="0064627E">
              <w:rPr>
                <w:rFonts w:ascii="Aptos Narrow" w:hAnsi="Aptos Narrow"/>
                <w:color w:val="000000"/>
              </w:rPr>
              <w:t>28%</w:t>
            </w:r>
          </w:p>
        </w:tc>
        <w:tc>
          <w:tcPr>
            <w:tcW w:w="1170" w:type="dxa"/>
            <w:vAlign w:val="center"/>
          </w:tcPr>
          <w:p w14:paraId="2E87CF02" w14:textId="3FBED24A" w:rsidR="00B36F2B" w:rsidRPr="0064627E" w:rsidRDefault="00B36F2B" w:rsidP="000107D2">
            <w:pPr>
              <w:jc w:val="center"/>
              <w:rPr>
                <w:rFonts w:ascii="Aptos Narrow" w:hAnsi="Aptos Narrow"/>
                <w:color w:val="000000"/>
              </w:rPr>
            </w:pPr>
            <w:r w:rsidRPr="0064627E">
              <w:rPr>
                <w:rFonts w:ascii="Aptos Narrow" w:hAnsi="Aptos Narrow"/>
                <w:color w:val="000000"/>
              </w:rPr>
              <w:t>60,742</w:t>
            </w:r>
          </w:p>
        </w:tc>
        <w:tc>
          <w:tcPr>
            <w:tcW w:w="1170" w:type="dxa"/>
            <w:vAlign w:val="center"/>
          </w:tcPr>
          <w:p w14:paraId="10A35101" w14:textId="5F27F850" w:rsidR="00B36F2B" w:rsidRPr="0064627E" w:rsidRDefault="00B36F2B" w:rsidP="000107D2">
            <w:pPr>
              <w:jc w:val="center"/>
              <w:rPr>
                <w:rFonts w:ascii="Aptos Narrow" w:hAnsi="Aptos Narrow"/>
                <w:color w:val="000000"/>
              </w:rPr>
            </w:pPr>
            <w:r w:rsidRPr="0064627E">
              <w:rPr>
                <w:rFonts w:ascii="Aptos Narrow" w:hAnsi="Aptos Narrow"/>
                <w:color w:val="000000"/>
              </w:rPr>
              <w:t>26%</w:t>
            </w:r>
          </w:p>
        </w:tc>
      </w:tr>
      <w:tr w:rsidR="00B36F2B" w:rsidRPr="0064627E" w14:paraId="22ACBD48" w14:textId="64674B08" w:rsidTr="00C46B91">
        <w:trPr>
          <w:cantSplit/>
          <w:trHeight w:val="300"/>
          <w:jc w:val="center"/>
        </w:trPr>
        <w:tc>
          <w:tcPr>
            <w:tcW w:w="5035" w:type="dxa"/>
            <w:noWrap/>
            <w:vAlign w:val="center"/>
            <w:hideMark/>
          </w:tcPr>
          <w:p w14:paraId="3A3713B1" w14:textId="77777777" w:rsidR="00B36F2B" w:rsidRPr="0064627E" w:rsidRDefault="00B36F2B" w:rsidP="000107D2">
            <w:pPr>
              <w:jc w:val="both"/>
              <w:rPr>
                <w:rFonts w:ascii="Aptos Narrow" w:hAnsi="Aptos Narrow" w:cs="Arial"/>
              </w:rPr>
            </w:pPr>
            <w:r w:rsidRPr="0064627E">
              <w:rPr>
                <w:rFonts w:ascii="Aptos Narrow" w:hAnsi="Aptos Narrow" w:cs="Arial"/>
              </w:rPr>
              <w:t>Age: 46 to 64</w:t>
            </w:r>
          </w:p>
        </w:tc>
        <w:tc>
          <w:tcPr>
            <w:tcW w:w="1440" w:type="dxa"/>
            <w:vAlign w:val="center"/>
            <w:hideMark/>
          </w:tcPr>
          <w:p w14:paraId="7B80FC49" w14:textId="77777777" w:rsidR="00B36F2B" w:rsidRPr="0064627E" w:rsidRDefault="00B36F2B" w:rsidP="000107D2">
            <w:pPr>
              <w:jc w:val="center"/>
              <w:rPr>
                <w:rFonts w:ascii="Aptos Narrow" w:hAnsi="Aptos Narrow" w:cs="Arial"/>
              </w:rPr>
            </w:pPr>
            <w:r w:rsidRPr="0064627E">
              <w:rPr>
                <w:rFonts w:ascii="Aptos Narrow" w:hAnsi="Aptos Narrow"/>
                <w:color w:val="000000"/>
              </w:rPr>
              <w:t>91,175</w:t>
            </w:r>
          </w:p>
        </w:tc>
        <w:tc>
          <w:tcPr>
            <w:tcW w:w="1350" w:type="dxa"/>
            <w:vAlign w:val="center"/>
            <w:hideMark/>
          </w:tcPr>
          <w:p w14:paraId="1E5B7F0C" w14:textId="77777777" w:rsidR="00B36F2B" w:rsidRPr="0064627E" w:rsidRDefault="00B36F2B" w:rsidP="000107D2">
            <w:pPr>
              <w:jc w:val="center"/>
              <w:rPr>
                <w:rFonts w:ascii="Aptos Narrow" w:hAnsi="Aptos Narrow" w:cs="Arial"/>
              </w:rPr>
            </w:pPr>
            <w:r w:rsidRPr="0064627E">
              <w:rPr>
                <w:rFonts w:ascii="Aptos Narrow" w:hAnsi="Aptos Narrow"/>
                <w:color w:val="000000"/>
              </w:rPr>
              <w:t>27%</w:t>
            </w:r>
          </w:p>
        </w:tc>
        <w:tc>
          <w:tcPr>
            <w:tcW w:w="1260" w:type="dxa"/>
            <w:noWrap/>
            <w:vAlign w:val="center"/>
          </w:tcPr>
          <w:p w14:paraId="3725B305" w14:textId="77777777" w:rsidR="00B36F2B" w:rsidRPr="0064627E" w:rsidRDefault="00B36F2B" w:rsidP="000107D2">
            <w:pPr>
              <w:jc w:val="center"/>
              <w:rPr>
                <w:rFonts w:ascii="Aptos Narrow" w:hAnsi="Aptos Narrow" w:cs="Arial"/>
              </w:rPr>
            </w:pPr>
            <w:r w:rsidRPr="0064627E">
              <w:rPr>
                <w:rFonts w:ascii="Aptos Narrow" w:hAnsi="Aptos Narrow"/>
                <w:color w:val="000000"/>
              </w:rPr>
              <w:t>90,233</w:t>
            </w:r>
          </w:p>
        </w:tc>
        <w:tc>
          <w:tcPr>
            <w:tcW w:w="1530" w:type="dxa"/>
            <w:vAlign w:val="center"/>
          </w:tcPr>
          <w:p w14:paraId="3C51A17B" w14:textId="77777777" w:rsidR="00B36F2B" w:rsidRPr="0064627E" w:rsidRDefault="00B36F2B" w:rsidP="000107D2">
            <w:pPr>
              <w:jc w:val="center"/>
              <w:rPr>
                <w:rFonts w:ascii="Aptos Narrow" w:hAnsi="Aptos Narrow" w:cs="Arial"/>
              </w:rPr>
            </w:pPr>
            <w:r w:rsidRPr="0064627E">
              <w:rPr>
                <w:rFonts w:ascii="Aptos Narrow" w:hAnsi="Aptos Narrow"/>
                <w:color w:val="000000"/>
              </w:rPr>
              <w:t>26%</w:t>
            </w:r>
          </w:p>
        </w:tc>
        <w:tc>
          <w:tcPr>
            <w:tcW w:w="1260" w:type="dxa"/>
            <w:vAlign w:val="center"/>
          </w:tcPr>
          <w:p w14:paraId="26847BD5" w14:textId="3CD2B4B0" w:rsidR="00B36F2B" w:rsidRPr="0064627E" w:rsidRDefault="00B36F2B" w:rsidP="000107D2">
            <w:pPr>
              <w:jc w:val="center"/>
              <w:rPr>
                <w:rFonts w:ascii="Aptos Narrow" w:hAnsi="Aptos Narrow"/>
                <w:color w:val="000000"/>
              </w:rPr>
            </w:pPr>
            <w:r w:rsidRPr="0064627E">
              <w:rPr>
                <w:rFonts w:ascii="Aptos Narrow" w:hAnsi="Aptos Narrow"/>
                <w:color w:val="000000"/>
              </w:rPr>
              <w:t>90,217</w:t>
            </w:r>
          </w:p>
        </w:tc>
        <w:tc>
          <w:tcPr>
            <w:tcW w:w="1260" w:type="dxa"/>
            <w:vAlign w:val="center"/>
          </w:tcPr>
          <w:p w14:paraId="6A67935C" w14:textId="3E1DA981" w:rsidR="00B36F2B" w:rsidRPr="0064627E" w:rsidRDefault="00B36F2B" w:rsidP="000107D2">
            <w:pPr>
              <w:jc w:val="center"/>
              <w:rPr>
                <w:rFonts w:ascii="Aptos Narrow" w:hAnsi="Aptos Narrow"/>
                <w:color w:val="000000"/>
              </w:rPr>
            </w:pPr>
            <w:r w:rsidRPr="0064627E">
              <w:rPr>
                <w:rFonts w:ascii="Aptos Narrow" w:hAnsi="Aptos Narrow"/>
                <w:color w:val="000000"/>
              </w:rPr>
              <w:t>26%</w:t>
            </w:r>
          </w:p>
        </w:tc>
        <w:tc>
          <w:tcPr>
            <w:tcW w:w="1170" w:type="dxa"/>
            <w:vAlign w:val="center"/>
          </w:tcPr>
          <w:p w14:paraId="201040B4" w14:textId="19DC5976" w:rsidR="00B36F2B" w:rsidRPr="0064627E" w:rsidRDefault="00B36F2B" w:rsidP="000107D2">
            <w:pPr>
              <w:jc w:val="center"/>
              <w:rPr>
                <w:rFonts w:ascii="Aptos Narrow" w:hAnsi="Aptos Narrow"/>
                <w:color w:val="000000"/>
              </w:rPr>
            </w:pPr>
            <w:r w:rsidRPr="0064627E">
              <w:rPr>
                <w:rFonts w:ascii="Aptos Narrow" w:hAnsi="Aptos Narrow"/>
                <w:color w:val="000000"/>
              </w:rPr>
              <w:t>60,662</w:t>
            </w:r>
          </w:p>
        </w:tc>
        <w:tc>
          <w:tcPr>
            <w:tcW w:w="1170" w:type="dxa"/>
            <w:vAlign w:val="center"/>
          </w:tcPr>
          <w:p w14:paraId="69B67088" w14:textId="6489B90B" w:rsidR="00B36F2B" w:rsidRPr="0064627E" w:rsidRDefault="00B36F2B" w:rsidP="000107D2">
            <w:pPr>
              <w:jc w:val="center"/>
              <w:rPr>
                <w:rFonts w:ascii="Aptos Narrow" w:hAnsi="Aptos Narrow"/>
                <w:color w:val="000000"/>
              </w:rPr>
            </w:pPr>
            <w:r w:rsidRPr="0064627E">
              <w:rPr>
                <w:rFonts w:ascii="Aptos Narrow" w:hAnsi="Aptos Narrow"/>
                <w:color w:val="000000"/>
              </w:rPr>
              <w:t>26%</w:t>
            </w:r>
          </w:p>
        </w:tc>
      </w:tr>
      <w:tr w:rsidR="00B36F2B" w:rsidRPr="0064627E" w14:paraId="71075015" w14:textId="17081090" w:rsidTr="00C46B91">
        <w:trPr>
          <w:cantSplit/>
          <w:trHeight w:val="300"/>
          <w:jc w:val="center"/>
        </w:trPr>
        <w:tc>
          <w:tcPr>
            <w:tcW w:w="5035" w:type="dxa"/>
            <w:noWrap/>
            <w:vAlign w:val="center"/>
            <w:hideMark/>
          </w:tcPr>
          <w:p w14:paraId="57E64594" w14:textId="77777777" w:rsidR="00B36F2B" w:rsidRPr="0064627E" w:rsidRDefault="00B36F2B" w:rsidP="000107D2">
            <w:pPr>
              <w:jc w:val="both"/>
              <w:rPr>
                <w:rFonts w:ascii="Aptos Narrow" w:hAnsi="Aptos Narrow" w:cs="Arial"/>
              </w:rPr>
            </w:pPr>
            <w:r w:rsidRPr="0064627E">
              <w:rPr>
                <w:rFonts w:ascii="Aptos Narrow" w:hAnsi="Aptos Narrow" w:cs="Arial"/>
              </w:rPr>
              <w:t>Age: 65+</w:t>
            </w:r>
          </w:p>
        </w:tc>
        <w:tc>
          <w:tcPr>
            <w:tcW w:w="1440" w:type="dxa"/>
            <w:vAlign w:val="center"/>
            <w:hideMark/>
          </w:tcPr>
          <w:p w14:paraId="1D7DF082" w14:textId="77777777" w:rsidR="00B36F2B" w:rsidRPr="0064627E" w:rsidRDefault="00B36F2B" w:rsidP="000107D2">
            <w:pPr>
              <w:jc w:val="center"/>
              <w:rPr>
                <w:rFonts w:ascii="Aptos Narrow" w:hAnsi="Aptos Narrow" w:cs="Arial"/>
              </w:rPr>
            </w:pPr>
            <w:r w:rsidRPr="0064627E">
              <w:rPr>
                <w:rFonts w:ascii="Aptos Narrow" w:hAnsi="Aptos Narrow"/>
                <w:color w:val="000000"/>
              </w:rPr>
              <w:t>90,840</w:t>
            </w:r>
          </w:p>
        </w:tc>
        <w:tc>
          <w:tcPr>
            <w:tcW w:w="1350" w:type="dxa"/>
            <w:vAlign w:val="center"/>
            <w:hideMark/>
          </w:tcPr>
          <w:p w14:paraId="03807A5B" w14:textId="77777777" w:rsidR="00B36F2B" w:rsidRPr="0064627E" w:rsidRDefault="00B36F2B" w:rsidP="000107D2">
            <w:pPr>
              <w:jc w:val="center"/>
              <w:rPr>
                <w:rFonts w:ascii="Aptos Narrow" w:hAnsi="Aptos Narrow" w:cs="Arial"/>
              </w:rPr>
            </w:pPr>
            <w:r w:rsidRPr="0064627E">
              <w:rPr>
                <w:rFonts w:ascii="Aptos Narrow" w:hAnsi="Aptos Narrow"/>
                <w:color w:val="000000"/>
              </w:rPr>
              <w:t>27%</w:t>
            </w:r>
          </w:p>
        </w:tc>
        <w:tc>
          <w:tcPr>
            <w:tcW w:w="1260" w:type="dxa"/>
            <w:noWrap/>
            <w:vAlign w:val="center"/>
          </w:tcPr>
          <w:p w14:paraId="72E2A157" w14:textId="77777777" w:rsidR="00B36F2B" w:rsidRPr="0064627E" w:rsidRDefault="00B36F2B" w:rsidP="000107D2">
            <w:pPr>
              <w:jc w:val="center"/>
              <w:rPr>
                <w:rFonts w:ascii="Aptos Narrow" w:hAnsi="Aptos Narrow" w:cs="Arial"/>
              </w:rPr>
            </w:pPr>
            <w:r w:rsidRPr="0064627E">
              <w:rPr>
                <w:rFonts w:ascii="Aptos Narrow" w:hAnsi="Aptos Narrow"/>
                <w:color w:val="000000"/>
              </w:rPr>
              <w:t>96,957</w:t>
            </w:r>
          </w:p>
        </w:tc>
        <w:tc>
          <w:tcPr>
            <w:tcW w:w="1530" w:type="dxa"/>
            <w:vAlign w:val="center"/>
          </w:tcPr>
          <w:p w14:paraId="7B546DDA" w14:textId="77777777" w:rsidR="00B36F2B" w:rsidRPr="0064627E" w:rsidRDefault="00B36F2B" w:rsidP="000107D2">
            <w:pPr>
              <w:jc w:val="center"/>
              <w:rPr>
                <w:rFonts w:ascii="Aptos Narrow" w:hAnsi="Aptos Narrow" w:cs="Arial"/>
              </w:rPr>
            </w:pPr>
            <w:r w:rsidRPr="0064627E">
              <w:rPr>
                <w:rFonts w:ascii="Aptos Narrow" w:hAnsi="Aptos Narrow"/>
                <w:color w:val="000000"/>
              </w:rPr>
              <w:t>28%</w:t>
            </w:r>
          </w:p>
        </w:tc>
        <w:tc>
          <w:tcPr>
            <w:tcW w:w="1260" w:type="dxa"/>
            <w:vAlign w:val="center"/>
          </w:tcPr>
          <w:p w14:paraId="6E67FCAC" w14:textId="6705AF08" w:rsidR="00B36F2B" w:rsidRPr="0064627E" w:rsidRDefault="00B36F2B" w:rsidP="000107D2">
            <w:pPr>
              <w:jc w:val="center"/>
              <w:rPr>
                <w:rFonts w:ascii="Aptos Narrow" w:hAnsi="Aptos Narrow"/>
                <w:color w:val="000000"/>
              </w:rPr>
            </w:pPr>
            <w:r w:rsidRPr="0064627E">
              <w:rPr>
                <w:rFonts w:ascii="Aptos Narrow" w:hAnsi="Aptos Narrow"/>
                <w:color w:val="000000"/>
              </w:rPr>
              <w:t>101,073</w:t>
            </w:r>
          </w:p>
        </w:tc>
        <w:tc>
          <w:tcPr>
            <w:tcW w:w="1260" w:type="dxa"/>
            <w:vAlign w:val="center"/>
          </w:tcPr>
          <w:p w14:paraId="1BA971A8" w14:textId="7BCA13F1" w:rsidR="00B36F2B" w:rsidRPr="0064627E" w:rsidRDefault="00B36F2B" w:rsidP="000107D2">
            <w:pPr>
              <w:jc w:val="center"/>
              <w:rPr>
                <w:rFonts w:ascii="Aptos Narrow" w:hAnsi="Aptos Narrow"/>
                <w:color w:val="000000"/>
              </w:rPr>
            </w:pPr>
            <w:r w:rsidRPr="0064627E">
              <w:rPr>
                <w:rFonts w:ascii="Aptos Narrow" w:hAnsi="Aptos Narrow"/>
                <w:color w:val="000000"/>
              </w:rPr>
              <w:t>29%</w:t>
            </w:r>
          </w:p>
        </w:tc>
        <w:tc>
          <w:tcPr>
            <w:tcW w:w="1170" w:type="dxa"/>
            <w:vAlign w:val="center"/>
          </w:tcPr>
          <w:p w14:paraId="4AB9D472" w14:textId="5E96AC67" w:rsidR="00B36F2B" w:rsidRPr="0064627E" w:rsidRDefault="00B36F2B" w:rsidP="000107D2">
            <w:pPr>
              <w:jc w:val="center"/>
              <w:rPr>
                <w:rFonts w:ascii="Aptos Narrow" w:hAnsi="Aptos Narrow"/>
                <w:color w:val="000000"/>
              </w:rPr>
            </w:pPr>
            <w:r w:rsidRPr="0064627E">
              <w:rPr>
                <w:rFonts w:ascii="Aptos Narrow" w:hAnsi="Aptos Narrow"/>
                <w:color w:val="000000"/>
              </w:rPr>
              <w:t>73,685</w:t>
            </w:r>
          </w:p>
        </w:tc>
        <w:tc>
          <w:tcPr>
            <w:tcW w:w="1170" w:type="dxa"/>
            <w:vAlign w:val="center"/>
          </w:tcPr>
          <w:p w14:paraId="2B702128" w14:textId="3E46C1C8" w:rsidR="00B36F2B" w:rsidRPr="0064627E" w:rsidRDefault="00B36F2B" w:rsidP="000107D2">
            <w:pPr>
              <w:jc w:val="center"/>
              <w:rPr>
                <w:rFonts w:ascii="Aptos Narrow" w:hAnsi="Aptos Narrow"/>
                <w:color w:val="000000"/>
              </w:rPr>
            </w:pPr>
            <w:r w:rsidRPr="0064627E">
              <w:rPr>
                <w:rFonts w:ascii="Aptos Narrow" w:hAnsi="Aptos Narrow"/>
                <w:color w:val="000000"/>
              </w:rPr>
              <w:t>32%</w:t>
            </w:r>
          </w:p>
        </w:tc>
      </w:tr>
      <w:tr w:rsidR="000107D2" w:rsidRPr="0064627E" w14:paraId="65894E1C" w14:textId="07B4C1E5" w:rsidTr="00C46B91">
        <w:trPr>
          <w:cantSplit/>
          <w:trHeight w:val="300"/>
          <w:jc w:val="center"/>
        </w:trPr>
        <w:tc>
          <w:tcPr>
            <w:tcW w:w="5035" w:type="dxa"/>
            <w:noWrap/>
            <w:vAlign w:val="center"/>
            <w:hideMark/>
          </w:tcPr>
          <w:p w14:paraId="40983AA0" w14:textId="77777777" w:rsidR="000107D2" w:rsidRPr="0064627E" w:rsidRDefault="000107D2" w:rsidP="000107D2">
            <w:pPr>
              <w:jc w:val="both"/>
              <w:rPr>
                <w:rFonts w:ascii="Aptos Narrow" w:hAnsi="Aptos Narrow" w:cs="Arial"/>
              </w:rPr>
            </w:pPr>
            <w:r w:rsidRPr="0064627E">
              <w:rPr>
                <w:rFonts w:ascii="Aptos Narrow" w:hAnsi="Aptos Narrow" w:cs="Arial"/>
              </w:rPr>
              <w:t>Gender: Female</w:t>
            </w:r>
          </w:p>
        </w:tc>
        <w:tc>
          <w:tcPr>
            <w:tcW w:w="1440" w:type="dxa"/>
            <w:vAlign w:val="center"/>
            <w:hideMark/>
          </w:tcPr>
          <w:p w14:paraId="1F1E27A1" w14:textId="77777777" w:rsidR="000107D2" w:rsidRPr="0064627E" w:rsidRDefault="000107D2" w:rsidP="000107D2">
            <w:pPr>
              <w:jc w:val="center"/>
              <w:rPr>
                <w:rFonts w:ascii="Aptos Narrow" w:hAnsi="Aptos Narrow" w:cs="Arial"/>
              </w:rPr>
            </w:pPr>
            <w:r w:rsidRPr="0064627E">
              <w:rPr>
                <w:rFonts w:ascii="Aptos Narrow" w:hAnsi="Aptos Narrow"/>
                <w:color w:val="000000"/>
              </w:rPr>
              <w:t>197,829</w:t>
            </w:r>
          </w:p>
        </w:tc>
        <w:tc>
          <w:tcPr>
            <w:tcW w:w="1350" w:type="dxa"/>
            <w:vAlign w:val="center"/>
            <w:hideMark/>
          </w:tcPr>
          <w:p w14:paraId="62E31C69" w14:textId="77777777" w:rsidR="000107D2" w:rsidRPr="0064627E" w:rsidRDefault="000107D2" w:rsidP="000107D2">
            <w:pPr>
              <w:jc w:val="center"/>
              <w:rPr>
                <w:rFonts w:ascii="Aptos Narrow" w:hAnsi="Aptos Narrow" w:cs="Arial"/>
              </w:rPr>
            </w:pPr>
            <w:r w:rsidRPr="0064627E">
              <w:rPr>
                <w:rFonts w:ascii="Aptos Narrow" w:hAnsi="Aptos Narrow"/>
                <w:color w:val="000000"/>
              </w:rPr>
              <w:t>58%</w:t>
            </w:r>
          </w:p>
        </w:tc>
        <w:tc>
          <w:tcPr>
            <w:tcW w:w="1260" w:type="dxa"/>
            <w:vAlign w:val="center"/>
          </w:tcPr>
          <w:p w14:paraId="3DC5C894" w14:textId="77777777" w:rsidR="000107D2" w:rsidRPr="0064627E" w:rsidRDefault="000107D2" w:rsidP="000107D2">
            <w:pPr>
              <w:jc w:val="center"/>
              <w:rPr>
                <w:rFonts w:ascii="Aptos Narrow" w:hAnsi="Aptos Narrow" w:cs="Arial"/>
              </w:rPr>
            </w:pPr>
            <w:r w:rsidRPr="0064627E">
              <w:rPr>
                <w:rFonts w:ascii="Aptos Narrow" w:hAnsi="Aptos Narrow"/>
                <w:color w:val="000000"/>
              </w:rPr>
              <w:t>201,043</w:t>
            </w:r>
          </w:p>
        </w:tc>
        <w:tc>
          <w:tcPr>
            <w:tcW w:w="1530" w:type="dxa"/>
            <w:vAlign w:val="center"/>
          </w:tcPr>
          <w:p w14:paraId="67ACA6D6" w14:textId="77777777" w:rsidR="000107D2" w:rsidRPr="0064627E" w:rsidRDefault="000107D2" w:rsidP="000107D2">
            <w:pPr>
              <w:jc w:val="center"/>
              <w:rPr>
                <w:rFonts w:ascii="Aptos Narrow" w:hAnsi="Aptos Narrow" w:cs="Arial"/>
              </w:rPr>
            </w:pPr>
            <w:r w:rsidRPr="0064627E">
              <w:rPr>
                <w:rFonts w:ascii="Aptos Narrow" w:hAnsi="Aptos Narrow"/>
                <w:color w:val="000000"/>
              </w:rPr>
              <w:t>58%</w:t>
            </w:r>
          </w:p>
        </w:tc>
        <w:tc>
          <w:tcPr>
            <w:tcW w:w="1260" w:type="dxa"/>
            <w:vAlign w:val="center"/>
          </w:tcPr>
          <w:p w14:paraId="310A4A6E" w14:textId="1A2765B0" w:rsidR="000107D2" w:rsidRPr="0064627E" w:rsidRDefault="000107D2" w:rsidP="000107D2">
            <w:pPr>
              <w:jc w:val="center"/>
              <w:rPr>
                <w:rFonts w:ascii="Aptos Narrow" w:hAnsi="Aptos Narrow"/>
                <w:color w:val="000000"/>
              </w:rPr>
            </w:pPr>
            <w:r w:rsidRPr="0064627E">
              <w:rPr>
                <w:rFonts w:ascii="Aptos Narrow" w:hAnsi="Aptos Narrow"/>
                <w:color w:val="000000"/>
              </w:rPr>
              <w:t>204,329</w:t>
            </w:r>
          </w:p>
        </w:tc>
        <w:tc>
          <w:tcPr>
            <w:tcW w:w="1260" w:type="dxa"/>
            <w:vAlign w:val="center"/>
          </w:tcPr>
          <w:p w14:paraId="376B3C75" w14:textId="7B49FE8C" w:rsidR="000107D2" w:rsidRPr="0064627E" w:rsidRDefault="000107D2" w:rsidP="000107D2">
            <w:pPr>
              <w:jc w:val="center"/>
              <w:rPr>
                <w:rFonts w:ascii="Aptos Narrow" w:hAnsi="Aptos Narrow"/>
                <w:color w:val="000000"/>
              </w:rPr>
            </w:pPr>
            <w:r w:rsidRPr="0064627E">
              <w:rPr>
                <w:rFonts w:ascii="Aptos Narrow" w:hAnsi="Aptos Narrow"/>
                <w:color w:val="000000"/>
              </w:rPr>
              <w:t>58%</w:t>
            </w:r>
          </w:p>
        </w:tc>
        <w:tc>
          <w:tcPr>
            <w:tcW w:w="1170" w:type="dxa"/>
            <w:vAlign w:val="center"/>
          </w:tcPr>
          <w:p w14:paraId="70DBAAC6" w14:textId="7C066BF3" w:rsidR="000107D2" w:rsidRPr="0064627E" w:rsidRDefault="000107D2" w:rsidP="000107D2">
            <w:pPr>
              <w:jc w:val="center"/>
              <w:rPr>
                <w:rFonts w:ascii="Aptos Narrow" w:hAnsi="Aptos Narrow"/>
                <w:color w:val="000000"/>
              </w:rPr>
            </w:pPr>
            <w:r w:rsidRPr="0064627E">
              <w:rPr>
                <w:rFonts w:ascii="Aptos Narrow" w:hAnsi="Aptos Narrow"/>
                <w:color w:val="000000"/>
              </w:rPr>
              <w:t>138,580</w:t>
            </w:r>
          </w:p>
        </w:tc>
        <w:tc>
          <w:tcPr>
            <w:tcW w:w="1170" w:type="dxa"/>
            <w:vAlign w:val="center"/>
          </w:tcPr>
          <w:p w14:paraId="3C7F10CF" w14:textId="0FB5094F" w:rsidR="000107D2" w:rsidRPr="0064627E" w:rsidRDefault="000107D2" w:rsidP="000107D2">
            <w:pPr>
              <w:jc w:val="center"/>
              <w:rPr>
                <w:rFonts w:ascii="Aptos Narrow" w:hAnsi="Aptos Narrow"/>
                <w:color w:val="000000"/>
              </w:rPr>
            </w:pPr>
            <w:r w:rsidRPr="0064627E">
              <w:rPr>
                <w:rFonts w:ascii="Aptos Narrow" w:hAnsi="Aptos Narrow"/>
                <w:color w:val="000000"/>
              </w:rPr>
              <w:t>60%</w:t>
            </w:r>
          </w:p>
        </w:tc>
      </w:tr>
      <w:tr w:rsidR="000107D2" w:rsidRPr="0064627E" w14:paraId="69F812E4" w14:textId="71B4ABE3" w:rsidTr="00C46B91">
        <w:trPr>
          <w:cantSplit/>
          <w:trHeight w:val="300"/>
          <w:jc w:val="center"/>
        </w:trPr>
        <w:tc>
          <w:tcPr>
            <w:tcW w:w="5035" w:type="dxa"/>
            <w:noWrap/>
            <w:vAlign w:val="center"/>
            <w:hideMark/>
          </w:tcPr>
          <w:p w14:paraId="5F86775D" w14:textId="77777777" w:rsidR="000107D2" w:rsidRPr="0064627E" w:rsidRDefault="000107D2" w:rsidP="000107D2">
            <w:pPr>
              <w:jc w:val="both"/>
              <w:rPr>
                <w:rFonts w:ascii="Aptos Narrow" w:hAnsi="Aptos Narrow" w:cs="Arial"/>
              </w:rPr>
            </w:pPr>
            <w:r w:rsidRPr="0064627E">
              <w:rPr>
                <w:rFonts w:ascii="Aptos Narrow" w:hAnsi="Aptos Narrow" w:cs="Arial"/>
              </w:rPr>
              <w:t>Gender: Male</w:t>
            </w:r>
          </w:p>
        </w:tc>
        <w:tc>
          <w:tcPr>
            <w:tcW w:w="1440" w:type="dxa"/>
            <w:vAlign w:val="center"/>
            <w:hideMark/>
          </w:tcPr>
          <w:p w14:paraId="48CDC772" w14:textId="77777777" w:rsidR="000107D2" w:rsidRPr="0064627E" w:rsidRDefault="000107D2" w:rsidP="000107D2">
            <w:pPr>
              <w:jc w:val="center"/>
              <w:rPr>
                <w:rFonts w:ascii="Aptos Narrow" w:hAnsi="Aptos Narrow" w:cs="Arial"/>
              </w:rPr>
            </w:pPr>
            <w:r w:rsidRPr="0064627E">
              <w:rPr>
                <w:rFonts w:ascii="Aptos Narrow" w:hAnsi="Aptos Narrow"/>
                <w:color w:val="000000"/>
              </w:rPr>
              <w:t>142,378</w:t>
            </w:r>
          </w:p>
        </w:tc>
        <w:tc>
          <w:tcPr>
            <w:tcW w:w="1350" w:type="dxa"/>
            <w:vAlign w:val="center"/>
            <w:hideMark/>
          </w:tcPr>
          <w:p w14:paraId="19694C51" w14:textId="77777777" w:rsidR="000107D2" w:rsidRPr="0064627E" w:rsidRDefault="000107D2" w:rsidP="000107D2">
            <w:pPr>
              <w:jc w:val="center"/>
              <w:rPr>
                <w:rFonts w:ascii="Aptos Narrow" w:hAnsi="Aptos Narrow" w:cs="Arial"/>
              </w:rPr>
            </w:pPr>
            <w:r w:rsidRPr="0064627E">
              <w:rPr>
                <w:rFonts w:ascii="Aptos Narrow" w:hAnsi="Aptos Narrow"/>
                <w:color w:val="000000"/>
              </w:rPr>
              <w:t>42%</w:t>
            </w:r>
          </w:p>
        </w:tc>
        <w:tc>
          <w:tcPr>
            <w:tcW w:w="1260" w:type="dxa"/>
            <w:vAlign w:val="center"/>
          </w:tcPr>
          <w:p w14:paraId="77A17080" w14:textId="77777777" w:rsidR="000107D2" w:rsidRPr="0064627E" w:rsidRDefault="000107D2" w:rsidP="000107D2">
            <w:pPr>
              <w:jc w:val="center"/>
              <w:rPr>
                <w:rFonts w:ascii="Aptos Narrow" w:hAnsi="Aptos Narrow" w:cs="Arial"/>
              </w:rPr>
            </w:pPr>
            <w:r w:rsidRPr="0064627E">
              <w:rPr>
                <w:rFonts w:ascii="Aptos Narrow" w:hAnsi="Aptos Narrow"/>
                <w:color w:val="000000"/>
              </w:rPr>
              <w:t>144,182</w:t>
            </w:r>
          </w:p>
        </w:tc>
        <w:tc>
          <w:tcPr>
            <w:tcW w:w="1530" w:type="dxa"/>
            <w:vAlign w:val="center"/>
          </w:tcPr>
          <w:p w14:paraId="0765DDBB" w14:textId="77777777" w:rsidR="000107D2" w:rsidRPr="0064627E" w:rsidRDefault="000107D2" w:rsidP="000107D2">
            <w:pPr>
              <w:jc w:val="center"/>
              <w:rPr>
                <w:rFonts w:ascii="Aptos Narrow" w:hAnsi="Aptos Narrow" w:cs="Arial"/>
              </w:rPr>
            </w:pPr>
            <w:r w:rsidRPr="0064627E">
              <w:rPr>
                <w:rFonts w:ascii="Aptos Narrow" w:hAnsi="Aptos Narrow"/>
                <w:color w:val="000000"/>
              </w:rPr>
              <w:t>42%</w:t>
            </w:r>
          </w:p>
        </w:tc>
        <w:tc>
          <w:tcPr>
            <w:tcW w:w="1260" w:type="dxa"/>
            <w:vAlign w:val="center"/>
          </w:tcPr>
          <w:p w14:paraId="1BCC0BD1" w14:textId="3E0A6EE8" w:rsidR="000107D2" w:rsidRPr="0064627E" w:rsidRDefault="000107D2" w:rsidP="000107D2">
            <w:pPr>
              <w:jc w:val="center"/>
              <w:rPr>
                <w:rFonts w:ascii="Aptos Narrow" w:hAnsi="Aptos Narrow"/>
                <w:color w:val="000000"/>
              </w:rPr>
            </w:pPr>
            <w:r w:rsidRPr="0064627E">
              <w:rPr>
                <w:rFonts w:ascii="Aptos Narrow" w:hAnsi="Aptos Narrow"/>
                <w:color w:val="000000"/>
              </w:rPr>
              <w:t>145,888</w:t>
            </w:r>
          </w:p>
        </w:tc>
        <w:tc>
          <w:tcPr>
            <w:tcW w:w="1260" w:type="dxa"/>
            <w:vAlign w:val="center"/>
          </w:tcPr>
          <w:p w14:paraId="6B054DF0" w14:textId="6EEC2FB7" w:rsidR="000107D2" w:rsidRPr="0064627E" w:rsidRDefault="000107D2" w:rsidP="000107D2">
            <w:pPr>
              <w:jc w:val="center"/>
              <w:rPr>
                <w:rFonts w:ascii="Aptos Narrow" w:hAnsi="Aptos Narrow"/>
                <w:color w:val="000000"/>
              </w:rPr>
            </w:pPr>
            <w:r w:rsidRPr="0064627E">
              <w:rPr>
                <w:rFonts w:ascii="Aptos Narrow" w:hAnsi="Aptos Narrow"/>
                <w:color w:val="000000"/>
              </w:rPr>
              <w:t>42%</w:t>
            </w:r>
          </w:p>
        </w:tc>
        <w:tc>
          <w:tcPr>
            <w:tcW w:w="1170" w:type="dxa"/>
            <w:vAlign w:val="center"/>
          </w:tcPr>
          <w:p w14:paraId="6ACAA610" w14:textId="4159CD93" w:rsidR="000107D2" w:rsidRPr="0064627E" w:rsidRDefault="000107D2" w:rsidP="000107D2">
            <w:pPr>
              <w:jc w:val="center"/>
              <w:rPr>
                <w:rFonts w:ascii="Aptos Narrow" w:hAnsi="Aptos Narrow"/>
                <w:color w:val="000000"/>
              </w:rPr>
            </w:pPr>
            <w:r w:rsidRPr="0064627E">
              <w:rPr>
                <w:rFonts w:ascii="Aptos Narrow" w:hAnsi="Aptos Narrow"/>
                <w:color w:val="000000"/>
              </w:rPr>
              <w:t>93,293</w:t>
            </w:r>
          </w:p>
        </w:tc>
        <w:tc>
          <w:tcPr>
            <w:tcW w:w="1170" w:type="dxa"/>
            <w:vAlign w:val="center"/>
          </w:tcPr>
          <w:p w14:paraId="3B3329BD" w14:textId="4AE3E749" w:rsidR="000107D2" w:rsidRPr="0064627E" w:rsidRDefault="000107D2" w:rsidP="000107D2">
            <w:pPr>
              <w:jc w:val="center"/>
              <w:rPr>
                <w:rFonts w:ascii="Aptos Narrow" w:hAnsi="Aptos Narrow"/>
                <w:color w:val="000000"/>
              </w:rPr>
            </w:pPr>
            <w:r w:rsidRPr="0064627E">
              <w:rPr>
                <w:rFonts w:ascii="Aptos Narrow" w:hAnsi="Aptos Narrow"/>
                <w:color w:val="000000"/>
              </w:rPr>
              <w:t>40%</w:t>
            </w:r>
          </w:p>
        </w:tc>
      </w:tr>
      <w:tr w:rsidR="00A15DB3" w:rsidRPr="0064627E" w14:paraId="091008C8" w14:textId="34D4FE52" w:rsidTr="00C46B91">
        <w:trPr>
          <w:cantSplit/>
          <w:trHeight w:val="300"/>
          <w:jc w:val="center"/>
        </w:trPr>
        <w:tc>
          <w:tcPr>
            <w:tcW w:w="5035" w:type="dxa"/>
            <w:noWrap/>
            <w:vAlign w:val="center"/>
            <w:hideMark/>
          </w:tcPr>
          <w:p w14:paraId="6CF9AB5D" w14:textId="77777777" w:rsidR="00A15DB3" w:rsidRPr="0064627E" w:rsidRDefault="00A15DB3" w:rsidP="000107D2">
            <w:pPr>
              <w:jc w:val="both"/>
              <w:rPr>
                <w:rFonts w:ascii="Aptos Narrow" w:hAnsi="Aptos Narrow" w:cs="Arial"/>
              </w:rPr>
            </w:pPr>
            <w:r w:rsidRPr="0064627E">
              <w:rPr>
                <w:rFonts w:ascii="Aptos Narrow" w:hAnsi="Aptos Narrow" w:cs="Arial"/>
              </w:rPr>
              <w:t>Gender: Unknown</w:t>
            </w:r>
          </w:p>
        </w:tc>
        <w:tc>
          <w:tcPr>
            <w:tcW w:w="1440" w:type="dxa"/>
            <w:vAlign w:val="center"/>
            <w:hideMark/>
          </w:tcPr>
          <w:p w14:paraId="78A27A78" w14:textId="77777777" w:rsidR="00A15DB3" w:rsidRPr="0064627E" w:rsidRDefault="00A15DB3" w:rsidP="000107D2">
            <w:pPr>
              <w:jc w:val="center"/>
              <w:rPr>
                <w:rFonts w:ascii="Aptos Narrow" w:hAnsi="Aptos Narrow" w:cs="Arial"/>
              </w:rPr>
            </w:pPr>
            <w:r w:rsidRPr="0064627E">
              <w:rPr>
                <w:rFonts w:ascii="Aptos Narrow" w:hAnsi="Aptos Narrow"/>
                <w:color w:val="000000"/>
              </w:rPr>
              <w:t>16</w:t>
            </w:r>
          </w:p>
        </w:tc>
        <w:tc>
          <w:tcPr>
            <w:tcW w:w="1350" w:type="dxa"/>
            <w:vAlign w:val="center"/>
            <w:hideMark/>
          </w:tcPr>
          <w:p w14:paraId="0C413586" w14:textId="77777777" w:rsidR="00A15DB3" w:rsidRPr="0064627E" w:rsidRDefault="00A15DB3"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3CAF06C2" w14:textId="77777777" w:rsidR="00A15DB3" w:rsidRPr="0064627E" w:rsidRDefault="00A15DB3" w:rsidP="000107D2">
            <w:pPr>
              <w:jc w:val="center"/>
              <w:rPr>
                <w:rFonts w:ascii="Aptos Narrow" w:hAnsi="Aptos Narrow" w:cs="Arial"/>
              </w:rPr>
            </w:pPr>
            <w:r w:rsidRPr="0064627E">
              <w:rPr>
                <w:rFonts w:ascii="Aptos Narrow" w:hAnsi="Aptos Narrow"/>
                <w:color w:val="000000"/>
              </w:rPr>
              <w:t>&lt;11</w:t>
            </w:r>
          </w:p>
        </w:tc>
        <w:tc>
          <w:tcPr>
            <w:tcW w:w="1530" w:type="dxa"/>
            <w:vAlign w:val="center"/>
          </w:tcPr>
          <w:p w14:paraId="21A31958" w14:textId="77777777" w:rsidR="00A15DB3" w:rsidRPr="0064627E" w:rsidRDefault="00A15DB3"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2FCCADD9" w14:textId="75EF7544" w:rsidR="00A15DB3" w:rsidRPr="0064627E" w:rsidRDefault="00B36F2B" w:rsidP="000107D2">
            <w:pPr>
              <w:jc w:val="center"/>
              <w:rPr>
                <w:rFonts w:ascii="Aptos Narrow" w:hAnsi="Aptos Narrow"/>
                <w:color w:val="000000"/>
              </w:rPr>
            </w:pPr>
            <w:r w:rsidRPr="0064627E">
              <w:rPr>
                <w:rFonts w:ascii="Aptos Narrow" w:hAnsi="Aptos Narrow"/>
                <w:color w:val="000000"/>
              </w:rPr>
              <w:t>0</w:t>
            </w:r>
          </w:p>
        </w:tc>
        <w:tc>
          <w:tcPr>
            <w:tcW w:w="1260" w:type="dxa"/>
            <w:vAlign w:val="center"/>
          </w:tcPr>
          <w:p w14:paraId="242D6287" w14:textId="0E79818D" w:rsidR="00A15DB3" w:rsidRPr="0064627E" w:rsidRDefault="00B36F2B" w:rsidP="000107D2">
            <w:pPr>
              <w:jc w:val="center"/>
              <w:rPr>
                <w:rFonts w:ascii="Aptos Narrow" w:hAnsi="Aptos Narrow"/>
                <w:color w:val="000000"/>
              </w:rPr>
            </w:pPr>
            <w:r w:rsidRPr="0064627E">
              <w:rPr>
                <w:rFonts w:ascii="Aptos Narrow" w:hAnsi="Aptos Narrow"/>
                <w:color w:val="000000"/>
              </w:rPr>
              <w:t>0%</w:t>
            </w:r>
          </w:p>
        </w:tc>
        <w:tc>
          <w:tcPr>
            <w:tcW w:w="1170" w:type="dxa"/>
            <w:vAlign w:val="center"/>
          </w:tcPr>
          <w:p w14:paraId="0773FACA" w14:textId="242CC9D1" w:rsidR="00A15DB3" w:rsidRPr="0064627E" w:rsidRDefault="000107D2" w:rsidP="000107D2">
            <w:pPr>
              <w:jc w:val="center"/>
              <w:rPr>
                <w:rFonts w:ascii="Aptos Narrow" w:hAnsi="Aptos Narrow"/>
                <w:color w:val="000000"/>
              </w:rPr>
            </w:pPr>
            <w:r w:rsidRPr="0064627E">
              <w:rPr>
                <w:rFonts w:ascii="Aptos Narrow" w:hAnsi="Aptos Narrow"/>
                <w:color w:val="000000"/>
              </w:rPr>
              <w:t>0</w:t>
            </w:r>
          </w:p>
        </w:tc>
        <w:tc>
          <w:tcPr>
            <w:tcW w:w="1170" w:type="dxa"/>
            <w:vAlign w:val="center"/>
          </w:tcPr>
          <w:p w14:paraId="6A2D4E47" w14:textId="738ECA42" w:rsidR="00A15DB3" w:rsidRPr="0064627E" w:rsidRDefault="000107D2" w:rsidP="000107D2">
            <w:pPr>
              <w:jc w:val="center"/>
              <w:rPr>
                <w:rFonts w:ascii="Aptos Narrow" w:hAnsi="Aptos Narrow"/>
                <w:color w:val="000000"/>
              </w:rPr>
            </w:pPr>
            <w:r w:rsidRPr="0064627E">
              <w:rPr>
                <w:rFonts w:ascii="Aptos Narrow" w:hAnsi="Aptos Narrow"/>
                <w:color w:val="000000"/>
              </w:rPr>
              <w:t>0%</w:t>
            </w:r>
          </w:p>
        </w:tc>
      </w:tr>
      <w:tr w:rsidR="00B36F2B" w:rsidRPr="0064627E" w14:paraId="0776C3EC" w14:textId="6720E65D" w:rsidTr="00C46B91">
        <w:trPr>
          <w:cantSplit/>
          <w:trHeight w:val="300"/>
          <w:jc w:val="center"/>
        </w:trPr>
        <w:tc>
          <w:tcPr>
            <w:tcW w:w="5035" w:type="dxa"/>
            <w:noWrap/>
            <w:vAlign w:val="center"/>
            <w:hideMark/>
          </w:tcPr>
          <w:p w14:paraId="472DA2E5" w14:textId="77777777" w:rsidR="00B36F2B" w:rsidRPr="0064627E" w:rsidRDefault="00B36F2B" w:rsidP="000107D2">
            <w:pPr>
              <w:jc w:val="both"/>
              <w:rPr>
                <w:rFonts w:ascii="Aptos Narrow" w:hAnsi="Aptos Narrow" w:cs="Arial"/>
              </w:rPr>
            </w:pPr>
            <w:r w:rsidRPr="0064627E">
              <w:rPr>
                <w:rFonts w:ascii="Aptos Narrow" w:hAnsi="Aptos Narrow" w:cs="Arial"/>
              </w:rPr>
              <w:t>Race/Ethnicity: American Indian or Alaska Native</w:t>
            </w:r>
          </w:p>
        </w:tc>
        <w:tc>
          <w:tcPr>
            <w:tcW w:w="1440" w:type="dxa"/>
            <w:vAlign w:val="center"/>
            <w:hideMark/>
          </w:tcPr>
          <w:p w14:paraId="0F8B6836" w14:textId="77777777" w:rsidR="00B36F2B" w:rsidRPr="0064627E" w:rsidRDefault="00B36F2B" w:rsidP="000107D2">
            <w:pPr>
              <w:jc w:val="center"/>
              <w:rPr>
                <w:rFonts w:ascii="Aptos Narrow" w:hAnsi="Aptos Narrow" w:cs="Arial"/>
              </w:rPr>
            </w:pPr>
            <w:r w:rsidRPr="0064627E">
              <w:rPr>
                <w:rFonts w:ascii="Aptos Narrow" w:hAnsi="Aptos Narrow"/>
                <w:color w:val="000000"/>
              </w:rPr>
              <w:t>316</w:t>
            </w:r>
          </w:p>
        </w:tc>
        <w:tc>
          <w:tcPr>
            <w:tcW w:w="1350" w:type="dxa"/>
            <w:vAlign w:val="center"/>
            <w:hideMark/>
          </w:tcPr>
          <w:p w14:paraId="7229A825"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43248D0D" w14:textId="77777777" w:rsidR="00B36F2B" w:rsidRPr="0064627E" w:rsidRDefault="00B36F2B" w:rsidP="000107D2">
            <w:pPr>
              <w:jc w:val="center"/>
              <w:rPr>
                <w:rFonts w:ascii="Aptos Narrow" w:hAnsi="Aptos Narrow" w:cs="Arial"/>
              </w:rPr>
            </w:pPr>
            <w:r w:rsidRPr="0064627E">
              <w:rPr>
                <w:rFonts w:ascii="Aptos Narrow" w:hAnsi="Aptos Narrow"/>
                <w:color w:val="000000"/>
              </w:rPr>
              <w:t>321</w:t>
            </w:r>
          </w:p>
        </w:tc>
        <w:tc>
          <w:tcPr>
            <w:tcW w:w="1530" w:type="dxa"/>
            <w:vAlign w:val="center"/>
          </w:tcPr>
          <w:p w14:paraId="6C43FE11"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6CE014B5" w14:textId="05CB56DF" w:rsidR="00B36F2B" w:rsidRPr="0064627E" w:rsidRDefault="00B36F2B" w:rsidP="000107D2">
            <w:pPr>
              <w:jc w:val="center"/>
              <w:rPr>
                <w:rFonts w:ascii="Aptos Narrow" w:hAnsi="Aptos Narrow"/>
                <w:color w:val="000000"/>
              </w:rPr>
            </w:pPr>
            <w:r w:rsidRPr="0064627E">
              <w:rPr>
                <w:rFonts w:ascii="Aptos Narrow" w:hAnsi="Aptos Narrow"/>
                <w:color w:val="000000"/>
              </w:rPr>
              <w:t>316</w:t>
            </w:r>
          </w:p>
        </w:tc>
        <w:tc>
          <w:tcPr>
            <w:tcW w:w="1260" w:type="dxa"/>
            <w:vAlign w:val="center"/>
          </w:tcPr>
          <w:p w14:paraId="64B41674" w14:textId="2A71F363"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c>
          <w:tcPr>
            <w:tcW w:w="1170" w:type="dxa"/>
            <w:vAlign w:val="center"/>
          </w:tcPr>
          <w:p w14:paraId="59BCB148" w14:textId="354A53F1" w:rsidR="00B36F2B" w:rsidRPr="0064627E" w:rsidRDefault="00B36F2B" w:rsidP="000107D2">
            <w:pPr>
              <w:jc w:val="center"/>
              <w:rPr>
                <w:rFonts w:ascii="Aptos Narrow" w:hAnsi="Aptos Narrow"/>
                <w:color w:val="000000"/>
              </w:rPr>
            </w:pPr>
            <w:r w:rsidRPr="0064627E">
              <w:rPr>
                <w:rFonts w:ascii="Aptos Narrow" w:hAnsi="Aptos Narrow"/>
                <w:color w:val="000000"/>
              </w:rPr>
              <w:t>184</w:t>
            </w:r>
          </w:p>
        </w:tc>
        <w:tc>
          <w:tcPr>
            <w:tcW w:w="1170" w:type="dxa"/>
            <w:vAlign w:val="center"/>
          </w:tcPr>
          <w:p w14:paraId="74325F30" w14:textId="257DFA33"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r>
      <w:tr w:rsidR="00B36F2B" w:rsidRPr="0064627E" w14:paraId="0CE28C1C" w14:textId="4B7AB9BC" w:rsidTr="00C46B91">
        <w:trPr>
          <w:cantSplit/>
          <w:trHeight w:val="300"/>
          <w:jc w:val="center"/>
        </w:trPr>
        <w:tc>
          <w:tcPr>
            <w:tcW w:w="5035" w:type="dxa"/>
            <w:noWrap/>
            <w:vAlign w:val="center"/>
            <w:hideMark/>
          </w:tcPr>
          <w:p w14:paraId="7246DE04" w14:textId="77777777" w:rsidR="00B36F2B" w:rsidRPr="0064627E" w:rsidRDefault="00B36F2B" w:rsidP="000107D2">
            <w:pPr>
              <w:jc w:val="both"/>
              <w:rPr>
                <w:rFonts w:ascii="Aptos Narrow" w:hAnsi="Aptos Narrow" w:cs="Arial"/>
              </w:rPr>
            </w:pPr>
            <w:r w:rsidRPr="0064627E">
              <w:rPr>
                <w:rFonts w:ascii="Aptos Narrow" w:hAnsi="Aptos Narrow" w:cs="Arial"/>
              </w:rPr>
              <w:t>Race/Ethnicity: Asian</w:t>
            </w:r>
          </w:p>
        </w:tc>
        <w:tc>
          <w:tcPr>
            <w:tcW w:w="1440" w:type="dxa"/>
            <w:vAlign w:val="center"/>
            <w:hideMark/>
          </w:tcPr>
          <w:p w14:paraId="22F718D2" w14:textId="77777777" w:rsidR="00B36F2B" w:rsidRPr="0064627E" w:rsidRDefault="00B36F2B" w:rsidP="000107D2">
            <w:pPr>
              <w:jc w:val="center"/>
              <w:rPr>
                <w:rFonts w:ascii="Aptos Narrow" w:hAnsi="Aptos Narrow" w:cs="Arial"/>
              </w:rPr>
            </w:pPr>
            <w:r w:rsidRPr="0064627E">
              <w:rPr>
                <w:rFonts w:ascii="Aptos Narrow" w:hAnsi="Aptos Narrow"/>
                <w:color w:val="000000"/>
              </w:rPr>
              <w:t>4,479</w:t>
            </w:r>
          </w:p>
        </w:tc>
        <w:tc>
          <w:tcPr>
            <w:tcW w:w="1350" w:type="dxa"/>
            <w:vAlign w:val="center"/>
            <w:hideMark/>
          </w:tcPr>
          <w:p w14:paraId="7C800661" w14:textId="77777777" w:rsidR="00B36F2B" w:rsidRPr="0064627E" w:rsidRDefault="00B36F2B" w:rsidP="000107D2">
            <w:pPr>
              <w:jc w:val="center"/>
              <w:rPr>
                <w:rFonts w:ascii="Aptos Narrow" w:hAnsi="Aptos Narrow" w:cs="Arial"/>
              </w:rPr>
            </w:pPr>
            <w:r w:rsidRPr="0064627E">
              <w:rPr>
                <w:rFonts w:ascii="Aptos Narrow" w:hAnsi="Aptos Narrow"/>
                <w:color w:val="000000"/>
              </w:rPr>
              <w:t>1%</w:t>
            </w:r>
          </w:p>
        </w:tc>
        <w:tc>
          <w:tcPr>
            <w:tcW w:w="1260" w:type="dxa"/>
            <w:vAlign w:val="center"/>
          </w:tcPr>
          <w:p w14:paraId="5681AC20" w14:textId="77777777" w:rsidR="00B36F2B" w:rsidRPr="0064627E" w:rsidRDefault="00B36F2B" w:rsidP="000107D2">
            <w:pPr>
              <w:jc w:val="center"/>
              <w:rPr>
                <w:rFonts w:ascii="Aptos Narrow" w:hAnsi="Aptos Narrow" w:cs="Arial"/>
              </w:rPr>
            </w:pPr>
            <w:r w:rsidRPr="0064627E">
              <w:rPr>
                <w:rFonts w:ascii="Aptos Narrow" w:hAnsi="Aptos Narrow"/>
                <w:color w:val="000000"/>
              </w:rPr>
              <w:t>4,733</w:t>
            </w:r>
          </w:p>
        </w:tc>
        <w:tc>
          <w:tcPr>
            <w:tcW w:w="1530" w:type="dxa"/>
            <w:vAlign w:val="center"/>
          </w:tcPr>
          <w:p w14:paraId="47B52F40" w14:textId="77777777" w:rsidR="00B36F2B" w:rsidRPr="0064627E" w:rsidRDefault="00B36F2B" w:rsidP="000107D2">
            <w:pPr>
              <w:jc w:val="center"/>
              <w:rPr>
                <w:rFonts w:ascii="Aptos Narrow" w:hAnsi="Aptos Narrow" w:cs="Arial"/>
              </w:rPr>
            </w:pPr>
            <w:r w:rsidRPr="0064627E">
              <w:rPr>
                <w:rFonts w:ascii="Aptos Narrow" w:hAnsi="Aptos Narrow"/>
                <w:color w:val="000000"/>
              </w:rPr>
              <w:t>1%</w:t>
            </w:r>
          </w:p>
        </w:tc>
        <w:tc>
          <w:tcPr>
            <w:tcW w:w="1260" w:type="dxa"/>
            <w:vAlign w:val="center"/>
          </w:tcPr>
          <w:p w14:paraId="3FEAEF9A" w14:textId="2992AC69" w:rsidR="00B36F2B" w:rsidRPr="0064627E" w:rsidRDefault="00B36F2B" w:rsidP="000107D2">
            <w:pPr>
              <w:jc w:val="center"/>
              <w:rPr>
                <w:rFonts w:ascii="Aptos Narrow" w:hAnsi="Aptos Narrow"/>
                <w:color w:val="000000"/>
              </w:rPr>
            </w:pPr>
            <w:r w:rsidRPr="0064627E">
              <w:rPr>
                <w:rFonts w:ascii="Aptos Narrow" w:hAnsi="Aptos Narrow"/>
                <w:color w:val="000000"/>
              </w:rPr>
              <w:t>4,664</w:t>
            </w:r>
          </w:p>
        </w:tc>
        <w:tc>
          <w:tcPr>
            <w:tcW w:w="1260" w:type="dxa"/>
            <w:vAlign w:val="center"/>
          </w:tcPr>
          <w:p w14:paraId="6672ABBA" w14:textId="4EA62A71" w:rsidR="00B36F2B" w:rsidRPr="0064627E" w:rsidRDefault="00B36F2B" w:rsidP="000107D2">
            <w:pPr>
              <w:jc w:val="center"/>
              <w:rPr>
                <w:rFonts w:ascii="Aptos Narrow" w:hAnsi="Aptos Narrow"/>
                <w:color w:val="000000"/>
              </w:rPr>
            </w:pPr>
            <w:r w:rsidRPr="0064627E">
              <w:rPr>
                <w:rFonts w:ascii="Aptos Narrow" w:hAnsi="Aptos Narrow"/>
                <w:color w:val="000000"/>
              </w:rPr>
              <w:t>1%</w:t>
            </w:r>
          </w:p>
        </w:tc>
        <w:tc>
          <w:tcPr>
            <w:tcW w:w="1170" w:type="dxa"/>
            <w:vAlign w:val="center"/>
          </w:tcPr>
          <w:p w14:paraId="4BEB48FA" w14:textId="653D07F9" w:rsidR="00B36F2B" w:rsidRPr="0064627E" w:rsidRDefault="00B36F2B" w:rsidP="000107D2">
            <w:pPr>
              <w:jc w:val="center"/>
              <w:rPr>
                <w:rFonts w:ascii="Aptos Narrow" w:hAnsi="Aptos Narrow"/>
                <w:color w:val="000000"/>
              </w:rPr>
            </w:pPr>
            <w:r w:rsidRPr="0064627E">
              <w:rPr>
                <w:rFonts w:ascii="Aptos Narrow" w:hAnsi="Aptos Narrow"/>
                <w:color w:val="000000"/>
              </w:rPr>
              <w:t>3,008</w:t>
            </w:r>
          </w:p>
        </w:tc>
        <w:tc>
          <w:tcPr>
            <w:tcW w:w="1170" w:type="dxa"/>
            <w:vAlign w:val="center"/>
          </w:tcPr>
          <w:p w14:paraId="3E344088" w14:textId="73125F73" w:rsidR="00B36F2B" w:rsidRPr="0064627E" w:rsidRDefault="00B36F2B" w:rsidP="000107D2">
            <w:pPr>
              <w:jc w:val="center"/>
              <w:rPr>
                <w:rFonts w:ascii="Aptos Narrow" w:hAnsi="Aptos Narrow"/>
                <w:color w:val="000000"/>
              </w:rPr>
            </w:pPr>
            <w:r w:rsidRPr="0064627E">
              <w:rPr>
                <w:rFonts w:ascii="Aptos Narrow" w:hAnsi="Aptos Narrow"/>
                <w:color w:val="000000"/>
              </w:rPr>
              <w:t>1%</w:t>
            </w:r>
          </w:p>
        </w:tc>
      </w:tr>
      <w:tr w:rsidR="00B36F2B" w:rsidRPr="0064627E" w14:paraId="0BC64B43" w14:textId="759C7613" w:rsidTr="00C46B91">
        <w:trPr>
          <w:cantSplit/>
          <w:trHeight w:val="300"/>
          <w:jc w:val="center"/>
        </w:trPr>
        <w:tc>
          <w:tcPr>
            <w:tcW w:w="5035" w:type="dxa"/>
            <w:noWrap/>
            <w:vAlign w:val="center"/>
            <w:hideMark/>
          </w:tcPr>
          <w:p w14:paraId="6A25CA30" w14:textId="77777777" w:rsidR="00B36F2B" w:rsidRPr="0064627E" w:rsidRDefault="00B36F2B" w:rsidP="000107D2">
            <w:pPr>
              <w:jc w:val="both"/>
              <w:rPr>
                <w:rFonts w:ascii="Aptos Narrow" w:hAnsi="Aptos Narrow" w:cs="Arial"/>
              </w:rPr>
            </w:pPr>
            <w:r w:rsidRPr="0064627E">
              <w:rPr>
                <w:rFonts w:ascii="Aptos Narrow" w:hAnsi="Aptos Narrow" w:cs="Arial"/>
              </w:rPr>
              <w:t>Race/Ethnicity: Black or African American</w:t>
            </w:r>
          </w:p>
        </w:tc>
        <w:tc>
          <w:tcPr>
            <w:tcW w:w="1440" w:type="dxa"/>
            <w:vAlign w:val="center"/>
            <w:hideMark/>
          </w:tcPr>
          <w:p w14:paraId="44016AF5" w14:textId="77777777" w:rsidR="00B36F2B" w:rsidRPr="0064627E" w:rsidRDefault="00B36F2B" w:rsidP="000107D2">
            <w:pPr>
              <w:jc w:val="center"/>
              <w:rPr>
                <w:rFonts w:ascii="Aptos Narrow" w:hAnsi="Aptos Narrow" w:cs="Arial"/>
              </w:rPr>
            </w:pPr>
            <w:r w:rsidRPr="0064627E">
              <w:rPr>
                <w:rFonts w:ascii="Aptos Narrow" w:hAnsi="Aptos Narrow"/>
                <w:color w:val="000000"/>
              </w:rPr>
              <w:t>23,709</w:t>
            </w:r>
          </w:p>
        </w:tc>
        <w:tc>
          <w:tcPr>
            <w:tcW w:w="1350" w:type="dxa"/>
            <w:vAlign w:val="center"/>
            <w:hideMark/>
          </w:tcPr>
          <w:p w14:paraId="0571194A" w14:textId="77777777" w:rsidR="00B36F2B" w:rsidRPr="0064627E" w:rsidRDefault="00B36F2B" w:rsidP="000107D2">
            <w:pPr>
              <w:jc w:val="center"/>
              <w:rPr>
                <w:rFonts w:ascii="Aptos Narrow" w:hAnsi="Aptos Narrow" w:cs="Arial"/>
              </w:rPr>
            </w:pPr>
            <w:r w:rsidRPr="0064627E">
              <w:rPr>
                <w:rFonts w:ascii="Aptos Narrow" w:hAnsi="Aptos Narrow"/>
                <w:color w:val="000000"/>
              </w:rPr>
              <w:t>7%</w:t>
            </w:r>
          </w:p>
        </w:tc>
        <w:tc>
          <w:tcPr>
            <w:tcW w:w="1260" w:type="dxa"/>
            <w:vAlign w:val="center"/>
          </w:tcPr>
          <w:p w14:paraId="5EE3EF04" w14:textId="77777777" w:rsidR="00B36F2B" w:rsidRPr="0064627E" w:rsidRDefault="00B36F2B" w:rsidP="000107D2">
            <w:pPr>
              <w:jc w:val="center"/>
              <w:rPr>
                <w:rFonts w:ascii="Aptos Narrow" w:hAnsi="Aptos Narrow" w:cs="Arial"/>
              </w:rPr>
            </w:pPr>
            <w:r w:rsidRPr="0064627E">
              <w:rPr>
                <w:rFonts w:ascii="Aptos Narrow" w:hAnsi="Aptos Narrow"/>
                <w:color w:val="000000"/>
              </w:rPr>
              <w:t>25,166</w:t>
            </w:r>
          </w:p>
        </w:tc>
        <w:tc>
          <w:tcPr>
            <w:tcW w:w="1530" w:type="dxa"/>
            <w:vAlign w:val="center"/>
          </w:tcPr>
          <w:p w14:paraId="69556310" w14:textId="77777777" w:rsidR="00B36F2B" w:rsidRPr="0064627E" w:rsidRDefault="00B36F2B" w:rsidP="000107D2">
            <w:pPr>
              <w:jc w:val="center"/>
              <w:rPr>
                <w:rFonts w:ascii="Aptos Narrow" w:hAnsi="Aptos Narrow" w:cs="Arial"/>
              </w:rPr>
            </w:pPr>
            <w:r w:rsidRPr="0064627E">
              <w:rPr>
                <w:rFonts w:ascii="Aptos Narrow" w:hAnsi="Aptos Narrow"/>
                <w:color w:val="000000"/>
              </w:rPr>
              <w:t>7%</w:t>
            </w:r>
          </w:p>
        </w:tc>
        <w:tc>
          <w:tcPr>
            <w:tcW w:w="1260" w:type="dxa"/>
            <w:vAlign w:val="center"/>
          </w:tcPr>
          <w:p w14:paraId="3ED5F620" w14:textId="70BE65E9" w:rsidR="00B36F2B" w:rsidRPr="0064627E" w:rsidRDefault="00B36F2B" w:rsidP="000107D2">
            <w:pPr>
              <w:jc w:val="center"/>
              <w:rPr>
                <w:rFonts w:ascii="Aptos Narrow" w:hAnsi="Aptos Narrow"/>
                <w:color w:val="000000"/>
              </w:rPr>
            </w:pPr>
            <w:r w:rsidRPr="0064627E">
              <w:rPr>
                <w:rFonts w:ascii="Aptos Narrow" w:hAnsi="Aptos Narrow"/>
                <w:color w:val="000000"/>
              </w:rPr>
              <w:t>24,451</w:t>
            </w:r>
          </w:p>
        </w:tc>
        <w:tc>
          <w:tcPr>
            <w:tcW w:w="1260" w:type="dxa"/>
            <w:vAlign w:val="center"/>
          </w:tcPr>
          <w:p w14:paraId="33C16D81" w14:textId="25491192" w:rsidR="00B36F2B" w:rsidRPr="0064627E" w:rsidRDefault="00B36F2B" w:rsidP="000107D2">
            <w:pPr>
              <w:jc w:val="center"/>
              <w:rPr>
                <w:rFonts w:ascii="Aptos Narrow" w:hAnsi="Aptos Narrow"/>
                <w:color w:val="000000"/>
              </w:rPr>
            </w:pPr>
            <w:r w:rsidRPr="0064627E">
              <w:rPr>
                <w:rFonts w:ascii="Aptos Narrow" w:hAnsi="Aptos Narrow"/>
                <w:color w:val="000000"/>
              </w:rPr>
              <w:t>7%</w:t>
            </w:r>
          </w:p>
        </w:tc>
        <w:tc>
          <w:tcPr>
            <w:tcW w:w="1170" w:type="dxa"/>
            <w:vAlign w:val="center"/>
          </w:tcPr>
          <w:p w14:paraId="7A4DD2CA" w14:textId="32A2F648" w:rsidR="00B36F2B" w:rsidRPr="0064627E" w:rsidRDefault="00B36F2B" w:rsidP="000107D2">
            <w:pPr>
              <w:jc w:val="center"/>
              <w:rPr>
                <w:rFonts w:ascii="Aptos Narrow" w:hAnsi="Aptos Narrow"/>
                <w:color w:val="000000"/>
              </w:rPr>
            </w:pPr>
            <w:r w:rsidRPr="0064627E">
              <w:rPr>
                <w:rFonts w:ascii="Aptos Narrow" w:hAnsi="Aptos Narrow"/>
                <w:color w:val="000000"/>
              </w:rPr>
              <w:t>16,219</w:t>
            </w:r>
          </w:p>
        </w:tc>
        <w:tc>
          <w:tcPr>
            <w:tcW w:w="1170" w:type="dxa"/>
            <w:vAlign w:val="center"/>
          </w:tcPr>
          <w:p w14:paraId="0E6A9A7C" w14:textId="38A2A16B" w:rsidR="00B36F2B" w:rsidRPr="0064627E" w:rsidRDefault="00B36F2B" w:rsidP="000107D2">
            <w:pPr>
              <w:jc w:val="center"/>
              <w:rPr>
                <w:rFonts w:ascii="Aptos Narrow" w:hAnsi="Aptos Narrow"/>
                <w:color w:val="000000"/>
              </w:rPr>
            </w:pPr>
            <w:r w:rsidRPr="0064627E">
              <w:rPr>
                <w:rFonts w:ascii="Aptos Narrow" w:hAnsi="Aptos Narrow"/>
                <w:color w:val="000000"/>
              </w:rPr>
              <w:t>7%</w:t>
            </w:r>
          </w:p>
        </w:tc>
      </w:tr>
      <w:tr w:rsidR="00B36F2B" w:rsidRPr="0064627E" w14:paraId="66F04FBE" w14:textId="2AB549F6" w:rsidTr="00C46B91">
        <w:trPr>
          <w:cantSplit/>
          <w:trHeight w:val="300"/>
          <w:jc w:val="center"/>
        </w:trPr>
        <w:tc>
          <w:tcPr>
            <w:tcW w:w="5035" w:type="dxa"/>
            <w:noWrap/>
            <w:vAlign w:val="center"/>
            <w:hideMark/>
          </w:tcPr>
          <w:p w14:paraId="5141F2C6" w14:textId="77777777" w:rsidR="00B36F2B" w:rsidRPr="0064627E" w:rsidRDefault="00B36F2B" w:rsidP="000107D2">
            <w:pPr>
              <w:jc w:val="both"/>
              <w:rPr>
                <w:rFonts w:ascii="Aptos Narrow" w:hAnsi="Aptos Narrow" w:cs="Arial"/>
              </w:rPr>
            </w:pPr>
            <w:r w:rsidRPr="0064627E">
              <w:rPr>
                <w:rFonts w:ascii="Aptos Narrow" w:hAnsi="Aptos Narrow" w:cs="Arial"/>
              </w:rPr>
              <w:t>Race/Ethnicity: Hispanic</w:t>
            </w:r>
          </w:p>
        </w:tc>
        <w:tc>
          <w:tcPr>
            <w:tcW w:w="1440" w:type="dxa"/>
            <w:vAlign w:val="center"/>
            <w:hideMark/>
          </w:tcPr>
          <w:p w14:paraId="6C4B7882" w14:textId="77777777" w:rsidR="00B36F2B" w:rsidRPr="0064627E" w:rsidRDefault="00B36F2B" w:rsidP="000107D2">
            <w:pPr>
              <w:jc w:val="center"/>
              <w:rPr>
                <w:rFonts w:ascii="Aptos Narrow" w:hAnsi="Aptos Narrow" w:cs="Arial"/>
              </w:rPr>
            </w:pPr>
            <w:r w:rsidRPr="0064627E">
              <w:rPr>
                <w:rFonts w:ascii="Aptos Narrow" w:hAnsi="Aptos Narrow"/>
                <w:color w:val="000000"/>
              </w:rPr>
              <w:t>70,391</w:t>
            </w:r>
          </w:p>
        </w:tc>
        <w:tc>
          <w:tcPr>
            <w:tcW w:w="1350" w:type="dxa"/>
            <w:vAlign w:val="center"/>
            <w:hideMark/>
          </w:tcPr>
          <w:p w14:paraId="265B10E2" w14:textId="77777777" w:rsidR="00B36F2B" w:rsidRPr="0064627E" w:rsidRDefault="00B36F2B" w:rsidP="000107D2">
            <w:pPr>
              <w:jc w:val="center"/>
              <w:rPr>
                <w:rFonts w:ascii="Aptos Narrow" w:hAnsi="Aptos Narrow" w:cs="Arial"/>
              </w:rPr>
            </w:pPr>
            <w:r w:rsidRPr="0064627E">
              <w:rPr>
                <w:rFonts w:ascii="Aptos Narrow" w:hAnsi="Aptos Narrow"/>
                <w:color w:val="000000"/>
              </w:rPr>
              <w:t>21%</w:t>
            </w:r>
          </w:p>
        </w:tc>
        <w:tc>
          <w:tcPr>
            <w:tcW w:w="1260" w:type="dxa"/>
            <w:vAlign w:val="center"/>
          </w:tcPr>
          <w:p w14:paraId="0EA3791C" w14:textId="77777777" w:rsidR="00B36F2B" w:rsidRPr="0064627E" w:rsidRDefault="00B36F2B" w:rsidP="000107D2">
            <w:pPr>
              <w:jc w:val="center"/>
              <w:rPr>
                <w:rFonts w:ascii="Aptos Narrow" w:hAnsi="Aptos Narrow" w:cs="Arial"/>
              </w:rPr>
            </w:pPr>
            <w:r w:rsidRPr="0064627E">
              <w:rPr>
                <w:rFonts w:ascii="Aptos Narrow" w:hAnsi="Aptos Narrow"/>
                <w:color w:val="000000"/>
              </w:rPr>
              <w:t>60,666</w:t>
            </w:r>
          </w:p>
        </w:tc>
        <w:tc>
          <w:tcPr>
            <w:tcW w:w="1530" w:type="dxa"/>
            <w:vAlign w:val="center"/>
          </w:tcPr>
          <w:p w14:paraId="3069D3D5" w14:textId="77777777" w:rsidR="00B36F2B" w:rsidRPr="0064627E" w:rsidRDefault="00B36F2B" w:rsidP="000107D2">
            <w:pPr>
              <w:jc w:val="center"/>
              <w:rPr>
                <w:rFonts w:ascii="Aptos Narrow" w:hAnsi="Aptos Narrow" w:cs="Arial"/>
              </w:rPr>
            </w:pPr>
            <w:r w:rsidRPr="0064627E">
              <w:rPr>
                <w:rFonts w:ascii="Aptos Narrow" w:hAnsi="Aptos Narrow"/>
                <w:color w:val="000000"/>
              </w:rPr>
              <w:t>18%</w:t>
            </w:r>
          </w:p>
        </w:tc>
        <w:tc>
          <w:tcPr>
            <w:tcW w:w="1260" w:type="dxa"/>
            <w:vAlign w:val="center"/>
          </w:tcPr>
          <w:p w14:paraId="62C1DF02" w14:textId="074EBD61" w:rsidR="00B36F2B" w:rsidRPr="0064627E" w:rsidRDefault="00B36F2B" w:rsidP="000107D2">
            <w:pPr>
              <w:jc w:val="center"/>
              <w:rPr>
                <w:rFonts w:ascii="Aptos Narrow" w:hAnsi="Aptos Narrow"/>
                <w:color w:val="000000"/>
              </w:rPr>
            </w:pPr>
            <w:r w:rsidRPr="0064627E">
              <w:rPr>
                <w:rFonts w:ascii="Aptos Narrow" w:hAnsi="Aptos Narrow"/>
                <w:color w:val="000000"/>
              </w:rPr>
              <w:t>71,690</w:t>
            </w:r>
          </w:p>
        </w:tc>
        <w:tc>
          <w:tcPr>
            <w:tcW w:w="1260" w:type="dxa"/>
            <w:vAlign w:val="center"/>
          </w:tcPr>
          <w:p w14:paraId="7ED363C4" w14:textId="00FDE656" w:rsidR="00B36F2B" w:rsidRPr="0064627E" w:rsidRDefault="00B36F2B" w:rsidP="000107D2">
            <w:pPr>
              <w:jc w:val="center"/>
              <w:rPr>
                <w:rFonts w:ascii="Aptos Narrow" w:hAnsi="Aptos Narrow"/>
                <w:color w:val="000000"/>
              </w:rPr>
            </w:pPr>
            <w:r w:rsidRPr="0064627E">
              <w:rPr>
                <w:rFonts w:ascii="Aptos Narrow" w:hAnsi="Aptos Narrow"/>
                <w:color w:val="000000"/>
              </w:rPr>
              <w:t>20%</w:t>
            </w:r>
          </w:p>
        </w:tc>
        <w:tc>
          <w:tcPr>
            <w:tcW w:w="1170" w:type="dxa"/>
            <w:vAlign w:val="center"/>
          </w:tcPr>
          <w:p w14:paraId="0F70FCEA" w14:textId="1080E5D4" w:rsidR="00B36F2B" w:rsidRPr="0064627E" w:rsidRDefault="00B36F2B" w:rsidP="000107D2">
            <w:pPr>
              <w:jc w:val="center"/>
              <w:rPr>
                <w:rFonts w:ascii="Aptos Narrow" w:hAnsi="Aptos Narrow"/>
                <w:color w:val="000000"/>
              </w:rPr>
            </w:pPr>
            <w:r w:rsidRPr="0064627E">
              <w:rPr>
                <w:rFonts w:ascii="Aptos Narrow" w:hAnsi="Aptos Narrow"/>
                <w:color w:val="000000"/>
              </w:rPr>
              <w:t>48,487</w:t>
            </w:r>
          </w:p>
        </w:tc>
        <w:tc>
          <w:tcPr>
            <w:tcW w:w="1170" w:type="dxa"/>
            <w:vAlign w:val="center"/>
          </w:tcPr>
          <w:p w14:paraId="07E31DB7" w14:textId="6674B2A4" w:rsidR="00B36F2B" w:rsidRPr="0064627E" w:rsidRDefault="00B36F2B" w:rsidP="000107D2">
            <w:pPr>
              <w:jc w:val="center"/>
              <w:rPr>
                <w:rFonts w:ascii="Aptos Narrow" w:hAnsi="Aptos Narrow"/>
                <w:color w:val="000000"/>
              </w:rPr>
            </w:pPr>
            <w:r w:rsidRPr="0064627E">
              <w:rPr>
                <w:rFonts w:ascii="Aptos Narrow" w:hAnsi="Aptos Narrow"/>
                <w:color w:val="000000"/>
              </w:rPr>
              <w:t>21%</w:t>
            </w:r>
          </w:p>
        </w:tc>
      </w:tr>
      <w:tr w:rsidR="00B36F2B" w:rsidRPr="0064627E" w14:paraId="20ADCC40" w14:textId="2EF7A390" w:rsidTr="00C46B91">
        <w:trPr>
          <w:cantSplit/>
          <w:trHeight w:val="300"/>
          <w:jc w:val="center"/>
        </w:trPr>
        <w:tc>
          <w:tcPr>
            <w:tcW w:w="5035" w:type="dxa"/>
            <w:noWrap/>
            <w:vAlign w:val="center"/>
            <w:hideMark/>
          </w:tcPr>
          <w:p w14:paraId="2C302329" w14:textId="77777777" w:rsidR="00B36F2B" w:rsidRPr="0064627E" w:rsidRDefault="00B36F2B" w:rsidP="000107D2">
            <w:pPr>
              <w:jc w:val="both"/>
              <w:rPr>
                <w:rFonts w:ascii="Aptos Narrow" w:hAnsi="Aptos Narrow" w:cs="Arial"/>
              </w:rPr>
            </w:pPr>
            <w:r w:rsidRPr="0064627E">
              <w:rPr>
                <w:rFonts w:ascii="Aptos Narrow" w:hAnsi="Aptos Narrow" w:cs="Arial"/>
              </w:rPr>
              <w:t>Race/Ethnicity: Native Hawaiian or Other Pacific Islander</w:t>
            </w:r>
          </w:p>
        </w:tc>
        <w:tc>
          <w:tcPr>
            <w:tcW w:w="1440" w:type="dxa"/>
            <w:vAlign w:val="center"/>
            <w:hideMark/>
          </w:tcPr>
          <w:p w14:paraId="72678032" w14:textId="77777777" w:rsidR="00B36F2B" w:rsidRPr="0064627E" w:rsidRDefault="00B36F2B" w:rsidP="000107D2">
            <w:pPr>
              <w:jc w:val="center"/>
              <w:rPr>
                <w:rFonts w:ascii="Aptos Narrow" w:hAnsi="Aptos Narrow" w:cs="Arial"/>
              </w:rPr>
            </w:pPr>
            <w:r w:rsidRPr="0064627E">
              <w:rPr>
                <w:rFonts w:ascii="Aptos Narrow" w:hAnsi="Aptos Narrow"/>
                <w:color w:val="000000"/>
              </w:rPr>
              <w:t>292</w:t>
            </w:r>
          </w:p>
        </w:tc>
        <w:tc>
          <w:tcPr>
            <w:tcW w:w="1350" w:type="dxa"/>
            <w:vAlign w:val="center"/>
            <w:hideMark/>
          </w:tcPr>
          <w:p w14:paraId="07ADF468"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3785DF2C" w14:textId="77777777" w:rsidR="00B36F2B" w:rsidRPr="0064627E" w:rsidRDefault="00B36F2B" w:rsidP="000107D2">
            <w:pPr>
              <w:jc w:val="center"/>
              <w:rPr>
                <w:rFonts w:ascii="Aptos Narrow" w:hAnsi="Aptos Narrow" w:cs="Arial"/>
              </w:rPr>
            </w:pPr>
            <w:r w:rsidRPr="0064627E">
              <w:rPr>
                <w:rFonts w:ascii="Aptos Narrow" w:hAnsi="Aptos Narrow"/>
                <w:color w:val="000000"/>
              </w:rPr>
              <w:t>466</w:t>
            </w:r>
          </w:p>
        </w:tc>
        <w:tc>
          <w:tcPr>
            <w:tcW w:w="1530" w:type="dxa"/>
            <w:vAlign w:val="center"/>
          </w:tcPr>
          <w:p w14:paraId="25CF66F7"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72371103" w14:textId="5FF1936B" w:rsidR="00B36F2B" w:rsidRPr="0064627E" w:rsidRDefault="00B36F2B" w:rsidP="000107D2">
            <w:pPr>
              <w:jc w:val="center"/>
              <w:rPr>
                <w:rFonts w:ascii="Aptos Narrow" w:hAnsi="Aptos Narrow"/>
                <w:color w:val="000000"/>
              </w:rPr>
            </w:pPr>
            <w:r w:rsidRPr="0064627E">
              <w:rPr>
                <w:rFonts w:ascii="Aptos Narrow" w:hAnsi="Aptos Narrow"/>
                <w:color w:val="000000"/>
              </w:rPr>
              <w:t>315</w:t>
            </w:r>
          </w:p>
        </w:tc>
        <w:tc>
          <w:tcPr>
            <w:tcW w:w="1260" w:type="dxa"/>
            <w:vAlign w:val="center"/>
          </w:tcPr>
          <w:p w14:paraId="46D28CB3" w14:textId="10BA9CBB"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c>
          <w:tcPr>
            <w:tcW w:w="1170" w:type="dxa"/>
            <w:vAlign w:val="center"/>
          </w:tcPr>
          <w:p w14:paraId="21AF4713" w14:textId="0FC33CC6" w:rsidR="00B36F2B" w:rsidRPr="0064627E" w:rsidRDefault="00B36F2B" w:rsidP="000107D2">
            <w:pPr>
              <w:jc w:val="center"/>
              <w:rPr>
                <w:rFonts w:ascii="Aptos Narrow" w:hAnsi="Aptos Narrow"/>
                <w:color w:val="000000"/>
              </w:rPr>
            </w:pPr>
            <w:r w:rsidRPr="0064627E">
              <w:rPr>
                <w:rFonts w:ascii="Aptos Narrow" w:hAnsi="Aptos Narrow"/>
                <w:color w:val="000000"/>
              </w:rPr>
              <w:t>187</w:t>
            </w:r>
          </w:p>
        </w:tc>
        <w:tc>
          <w:tcPr>
            <w:tcW w:w="1170" w:type="dxa"/>
            <w:vAlign w:val="center"/>
          </w:tcPr>
          <w:p w14:paraId="6D4A99FC" w14:textId="6E3206ED"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r>
      <w:tr w:rsidR="00B36F2B" w:rsidRPr="0064627E" w14:paraId="16CFE2B2" w14:textId="62024E1C" w:rsidTr="00C46B91">
        <w:trPr>
          <w:cantSplit/>
          <w:trHeight w:val="300"/>
          <w:jc w:val="center"/>
        </w:trPr>
        <w:tc>
          <w:tcPr>
            <w:tcW w:w="5035" w:type="dxa"/>
            <w:noWrap/>
            <w:vAlign w:val="center"/>
            <w:hideMark/>
          </w:tcPr>
          <w:p w14:paraId="468187C5" w14:textId="77777777" w:rsidR="00B36F2B" w:rsidRPr="0064627E" w:rsidRDefault="00B36F2B" w:rsidP="000107D2">
            <w:pPr>
              <w:jc w:val="both"/>
              <w:rPr>
                <w:rFonts w:ascii="Aptos Narrow" w:hAnsi="Aptos Narrow" w:cs="Arial"/>
              </w:rPr>
            </w:pPr>
            <w:r w:rsidRPr="0064627E">
              <w:rPr>
                <w:rFonts w:ascii="Aptos Narrow" w:hAnsi="Aptos Narrow" w:cs="Arial"/>
              </w:rPr>
              <w:t>Race/Ethnicity: Other</w:t>
            </w:r>
          </w:p>
        </w:tc>
        <w:tc>
          <w:tcPr>
            <w:tcW w:w="1440" w:type="dxa"/>
            <w:vAlign w:val="center"/>
            <w:hideMark/>
          </w:tcPr>
          <w:p w14:paraId="60B9B6CD" w14:textId="77777777" w:rsidR="00B36F2B" w:rsidRPr="0064627E" w:rsidRDefault="00B36F2B" w:rsidP="000107D2">
            <w:pPr>
              <w:jc w:val="center"/>
              <w:rPr>
                <w:rFonts w:ascii="Aptos Narrow" w:hAnsi="Aptos Narrow" w:cs="Arial"/>
              </w:rPr>
            </w:pPr>
            <w:r w:rsidRPr="0064627E">
              <w:rPr>
                <w:rFonts w:ascii="Aptos Narrow" w:hAnsi="Aptos Narrow"/>
                <w:color w:val="000000"/>
              </w:rPr>
              <w:t>261</w:t>
            </w:r>
          </w:p>
        </w:tc>
        <w:tc>
          <w:tcPr>
            <w:tcW w:w="1350" w:type="dxa"/>
            <w:vAlign w:val="center"/>
            <w:hideMark/>
          </w:tcPr>
          <w:p w14:paraId="4FA6C418"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4BBD9C98" w14:textId="77777777" w:rsidR="00B36F2B" w:rsidRPr="0064627E" w:rsidRDefault="00B36F2B" w:rsidP="000107D2">
            <w:pPr>
              <w:jc w:val="center"/>
              <w:rPr>
                <w:rFonts w:ascii="Aptos Narrow" w:hAnsi="Aptos Narrow" w:cs="Arial"/>
              </w:rPr>
            </w:pPr>
            <w:r w:rsidRPr="0064627E">
              <w:rPr>
                <w:rFonts w:ascii="Aptos Narrow" w:hAnsi="Aptos Narrow"/>
                <w:color w:val="000000"/>
              </w:rPr>
              <w:t>364</w:t>
            </w:r>
          </w:p>
        </w:tc>
        <w:tc>
          <w:tcPr>
            <w:tcW w:w="1530" w:type="dxa"/>
            <w:vAlign w:val="center"/>
          </w:tcPr>
          <w:p w14:paraId="442D3ED2"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7299A632" w14:textId="1C79395B" w:rsidR="00B36F2B" w:rsidRPr="0064627E" w:rsidRDefault="00B36F2B" w:rsidP="000107D2">
            <w:pPr>
              <w:jc w:val="center"/>
              <w:rPr>
                <w:rFonts w:ascii="Aptos Narrow" w:hAnsi="Aptos Narrow"/>
                <w:color w:val="000000"/>
              </w:rPr>
            </w:pPr>
            <w:r w:rsidRPr="0064627E">
              <w:rPr>
                <w:rFonts w:ascii="Aptos Narrow" w:hAnsi="Aptos Narrow"/>
                <w:color w:val="000000"/>
              </w:rPr>
              <w:t>352</w:t>
            </w:r>
          </w:p>
        </w:tc>
        <w:tc>
          <w:tcPr>
            <w:tcW w:w="1260" w:type="dxa"/>
            <w:vAlign w:val="center"/>
          </w:tcPr>
          <w:p w14:paraId="5A2DBC74" w14:textId="52293691"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c>
          <w:tcPr>
            <w:tcW w:w="1170" w:type="dxa"/>
            <w:vAlign w:val="center"/>
          </w:tcPr>
          <w:p w14:paraId="1187766E" w14:textId="0B310675" w:rsidR="00B36F2B" w:rsidRPr="0064627E" w:rsidRDefault="00B36F2B" w:rsidP="000107D2">
            <w:pPr>
              <w:jc w:val="center"/>
              <w:rPr>
                <w:rFonts w:ascii="Aptos Narrow" w:hAnsi="Aptos Narrow"/>
                <w:color w:val="000000"/>
              </w:rPr>
            </w:pPr>
            <w:r w:rsidRPr="0064627E">
              <w:rPr>
                <w:rFonts w:ascii="Aptos Narrow" w:hAnsi="Aptos Narrow"/>
                <w:color w:val="000000"/>
              </w:rPr>
              <w:t>73</w:t>
            </w:r>
          </w:p>
        </w:tc>
        <w:tc>
          <w:tcPr>
            <w:tcW w:w="1170" w:type="dxa"/>
            <w:vAlign w:val="center"/>
          </w:tcPr>
          <w:p w14:paraId="0D7B61DD" w14:textId="1C27AFC1"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r>
      <w:tr w:rsidR="00B36F2B" w:rsidRPr="0064627E" w14:paraId="32C11AAC" w14:textId="51661F05" w:rsidTr="00C46B91">
        <w:trPr>
          <w:cantSplit/>
          <w:trHeight w:val="300"/>
          <w:jc w:val="center"/>
        </w:trPr>
        <w:tc>
          <w:tcPr>
            <w:tcW w:w="5035" w:type="dxa"/>
            <w:noWrap/>
            <w:vAlign w:val="center"/>
            <w:hideMark/>
          </w:tcPr>
          <w:p w14:paraId="4038896D" w14:textId="77777777" w:rsidR="00B36F2B" w:rsidRPr="0064627E" w:rsidRDefault="00B36F2B" w:rsidP="000107D2">
            <w:pPr>
              <w:jc w:val="both"/>
              <w:rPr>
                <w:rFonts w:ascii="Aptos Narrow" w:hAnsi="Aptos Narrow" w:cs="Arial"/>
              </w:rPr>
            </w:pPr>
            <w:r w:rsidRPr="0064627E">
              <w:rPr>
                <w:rFonts w:ascii="Aptos Narrow" w:hAnsi="Aptos Narrow" w:cs="Arial"/>
              </w:rPr>
              <w:t>Race/Ethnicity: Refuse to Answer</w:t>
            </w:r>
          </w:p>
        </w:tc>
        <w:tc>
          <w:tcPr>
            <w:tcW w:w="1440" w:type="dxa"/>
            <w:vAlign w:val="center"/>
            <w:hideMark/>
          </w:tcPr>
          <w:p w14:paraId="332FA7AB" w14:textId="77777777" w:rsidR="00B36F2B" w:rsidRPr="0064627E" w:rsidRDefault="00B36F2B" w:rsidP="000107D2">
            <w:pPr>
              <w:jc w:val="center"/>
              <w:rPr>
                <w:rFonts w:ascii="Aptos Narrow" w:hAnsi="Aptos Narrow" w:cs="Arial"/>
              </w:rPr>
            </w:pPr>
            <w:r w:rsidRPr="0064627E">
              <w:rPr>
                <w:rFonts w:ascii="Aptos Narrow" w:hAnsi="Aptos Narrow"/>
                <w:color w:val="000000"/>
              </w:rPr>
              <w:t>1,099</w:t>
            </w:r>
          </w:p>
        </w:tc>
        <w:tc>
          <w:tcPr>
            <w:tcW w:w="1350" w:type="dxa"/>
            <w:vAlign w:val="center"/>
            <w:hideMark/>
          </w:tcPr>
          <w:p w14:paraId="4640215D"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254CC940" w14:textId="77777777" w:rsidR="00B36F2B" w:rsidRPr="0064627E" w:rsidRDefault="00B36F2B" w:rsidP="000107D2">
            <w:pPr>
              <w:jc w:val="center"/>
              <w:rPr>
                <w:rFonts w:ascii="Aptos Narrow" w:hAnsi="Aptos Narrow" w:cs="Arial"/>
              </w:rPr>
            </w:pPr>
            <w:r w:rsidRPr="0064627E">
              <w:rPr>
                <w:rFonts w:ascii="Aptos Narrow" w:hAnsi="Aptos Narrow"/>
                <w:color w:val="000000"/>
              </w:rPr>
              <w:t>1,528</w:t>
            </w:r>
          </w:p>
        </w:tc>
        <w:tc>
          <w:tcPr>
            <w:tcW w:w="1530" w:type="dxa"/>
            <w:vAlign w:val="center"/>
          </w:tcPr>
          <w:p w14:paraId="0DD15546" w14:textId="77777777" w:rsidR="00B36F2B" w:rsidRPr="0064627E" w:rsidRDefault="00B36F2B" w:rsidP="000107D2">
            <w:pPr>
              <w:jc w:val="center"/>
              <w:rPr>
                <w:rFonts w:ascii="Aptos Narrow" w:hAnsi="Aptos Narrow" w:cs="Arial"/>
              </w:rPr>
            </w:pPr>
            <w:r w:rsidRPr="0064627E">
              <w:rPr>
                <w:rFonts w:ascii="Aptos Narrow" w:hAnsi="Aptos Narrow"/>
                <w:color w:val="000000"/>
              </w:rPr>
              <w:t>0%</w:t>
            </w:r>
          </w:p>
        </w:tc>
        <w:tc>
          <w:tcPr>
            <w:tcW w:w="1260" w:type="dxa"/>
            <w:vAlign w:val="center"/>
          </w:tcPr>
          <w:p w14:paraId="3FABACE5" w14:textId="40E9B3B7" w:rsidR="00B36F2B" w:rsidRPr="0064627E" w:rsidRDefault="00B36F2B" w:rsidP="000107D2">
            <w:pPr>
              <w:jc w:val="center"/>
              <w:rPr>
                <w:rFonts w:ascii="Aptos Narrow" w:hAnsi="Aptos Narrow"/>
                <w:color w:val="000000"/>
              </w:rPr>
            </w:pPr>
            <w:r w:rsidRPr="0064627E">
              <w:rPr>
                <w:rFonts w:ascii="Aptos Narrow" w:hAnsi="Aptos Narrow"/>
                <w:color w:val="000000"/>
              </w:rPr>
              <w:t>1,375</w:t>
            </w:r>
          </w:p>
        </w:tc>
        <w:tc>
          <w:tcPr>
            <w:tcW w:w="1260" w:type="dxa"/>
            <w:vAlign w:val="center"/>
          </w:tcPr>
          <w:p w14:paraId="47BE58B1" w14:textId="53DE8CBC"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c>
          <w:tcPr>
            <w:tcW w:w="1170" w:type="dxa"/>
            <w:vAlign w:val="center"/>
          </w:tcPr>
          <w:p w14:paraId="1B9277B0" w14:textId="66CA54A1" w:rsidR="00B36F2B" w:rsidRPr="0064627E" w:rsidRDefault="00B36F2B" w:rsidP="000107D2">
            <w:pPr>
              <w:jc w:val="center"/>
              <w:rPr>
                <w:rFonts w:ascii="Aptos Narrow" w:hAnsi="Aptos Narrow"/>
                <w:color w:val="000000"/>
              </w:rPr>
            </w:pPr>
            <w:r w:rsidRPr="0064627E">
              <w:rPr>
                <w:rFonts w:ascii="Aptos Narrow" w:hAnsi="Aptos Narrow"/>
                <w:color w:val="000000"/>
              </w:rPr>
              <w:t>827</w:t>
            </w:r>
          </w:p>
        </w:tc>
        <w:tc>
          <w:tcPr>
            <w:tcW w:w="1170" w:type="dxa"/>
            <w:vAlign w:val="center"/>
          </w:tcPr>
          <w:p w14:paraId="55C0E472" w14:textId="22CC9346" w:rsidR="00B36F2B" w:rsidRPr="0064627E" w:rsidRDefault="00B36F2B" w:rsidP="000107D2">
            <w:pPr>
              <w:jc w:val="center"/>
              <w:rPr>
                <w:rFonts w:ascii="Aptos Narrow" w:hAnsi="Aptos Narrow"/>
                <w:color w:val="000000"/>
              </w:rPr>
            </w:pPr>
            <w:r w:rsidRPr="0064627E">
              <w:rPr>
                <w:rFonts w:ascii="Aptos Narrow" w:hAnsi="Aptos Narrow"/>
                <w:color w:val="000000"/>
              </w:rPr>
              <w:t>0%</w:t>
            </w:r>
          </w:p>
        </w:tc>
      </w:tr>
      <w:tr w:rsidR="00B36F2B" w:rsidRPr="0064627E" w14:paraId="34AFCDC1" w14:textId="6408DD40" w:rsidTr="00C46B91">
        <w:trPr>
          <w:cantSplit/>
          <w:trHeight w:val="300"/>
          <w:jc w:val="center"/>
        </w:trPr>
        <w:tc>
          <w:tcPr>
            <w:tcW w:w="5035" w:type="dxa"/>
            <w:noWrap/>
            <w:vAlign w:val="center"/>
            <w:hideMark/>
          </w:tcPr>
          <w:p w14:paraId="352913D3" w14:textId="77777777" w:rsidR="00B36F2B" w:rsidRPr="0064627E" w:rsidRDefault="00B36F2B" w:rsidP="000107D2">
            <w:pPr>
              <w:jc w:val="both"/>
              <w:rPr>
                <w:rFonts w:ascii="Aptos Narrow" w:hAnsi="Aptos Narrow" w:cs="Arial"/>
              </w:rPr>
            </w:pPr>
            <w:r w:rsidRPr="0064627E">
              <w:rPr>
                <w:rFonts w:ascii="Aptos Narrow" w:hAnsi="Aptos Narrow" w:cs="Arial"/>
              </w:rPr>
              <w:t>Race/Ethnicity: Unknown</w:t>
            </w:r>
          </w:p>
        </w:tc>
        <w:tc>
          <w:tcPr>
            <w:tcW w:w="1440" w:type="dxa"/>
            <w:vAlign w:val="center"/>
            <w:hideMark/>
          </w:tcPr>
          <w:p w14:paraId="36AAB347" w14:textId="77777777" w:rsidR="00B36F2B" w:rsidRPr="0064627E" w:rsidRDefault="00B36F2B" w:rsidP="000107D2">
            <w:pPr>
              <w:jc w:val="center"/>
              <w:rPr>
                <w:rFonts w:ascii="Aptos Narrow" w:hAnsi="Aptos Narrow" w:cs="Arial"/>
              </w:rPr>
            </w:pPr>
            <w:r w:rsidRPr="0064627E">
              <w:rPr>
                <w:rFonts w:ascii="Aptos Narrow" w:hAnsi="Aptos Narrow"/>
                <w:color w:val="000000"/>
              </w:rPr>
              <w:t>12,708</w:t>
            </w:r>
          </w:p>
        </w:tc>
        <w:tc>
          <w:tcPr>
            <w:tcW w:w="1350" w:type="dxa"/>
            <w:vAlign w:val="center"/>
            <w:hideMark/>
          </w:tcPr>
          <w:p w14:paraId="4DAC7CD7" w14:textId="77777777" w:rsidR="00B36F2B" w:rsidRPr="0064627E" w:rsidRDefault="00B36F2B" w:rsidP="000107D2">
            <w:pPr>
              <w:jc w:val="center"/>
              <w:rPr>
                <w:rFonts w:ascii="Aptos Narrow" w:hAnsi="Aptos Narrow" w:cs="Arial"/>
              </w:rPr>
            </w:pPr>
            <w:r w:rsidRPr="0064627E">
              <w:rPr>
                <w:rFonts w:ascii="Aptos Narrow" w:hAnsi="Aptos Narrow"/>
                <w:color w:val="000000"/>
              </w:rPr>
              <w:t>4%</w:t>
            </w:r>
          </w:p>
        </w:tc>
        <w:tc>
          <w:tcPr>
            <w:tcW w:w="1260" w:type="dxa"/>
            <w:vAlign w:val="center"/>
          </w:tcPr>
          <w:p w14:paraId="6D3E19F9" w14:textId="77777777" w:rsidR="00B36F2B" w:rsidRPr="0064627E" w:rsidRDefault="00B36F2B" w:rsidP="000107D2">
            <w:pPr>
              <w:jc w:val="center"/>
              <w:rPr>
                <w:rFonts w:ascii="Aptos Narrow" w:hAnsi="Aptos Narrow" w:cs="Arial"/>
              </w:rPr>
            </w:pPr>
            <w:r w:rsidRPr="0064627E">
              <w:rPr>
                <w:rFonts w:ascii="Aptos Narrow" w:hAnsi="Aptos Narrow"/>
                <w:color w:val="000000"/>
              </w:rPr>
              <w:t>13,074</w:t>
            </w:r>
          </w:p>
        </w:tc>
        <w:tc>
          <w:tcPr>
            <w:tcW w:w="1530" w:type="dxa"/>
            <w:vAlign w:val="center"/>
          </w:tcPr>
          <w:p w14:paraId="02774572" w14:textId="77777777" w:rsidR="00B36F2B" w:rsidRPr="0064627E" w:rsidRDefault="00B36F2B" w:rsidP="000107D2">
            <w:pPr>
              <w:jc w:val="center"/>
              <w:rPr>
                <w:rFonts w:ascii="Aptos Narrow" w:hAnsi="Aptos Narrow" w:cs="Arial"/>
              </w:rPr>
            </w:pPr>
            <w:r w:rsidRPr="0064627E">
              <w:rPr>
                <w:rFonts w:ascii="Aptos Narrow" w:hAnsi="Aptos Narrow"/>
                <w:color w:val="000000"/>
              </w:rPr>
              <w:t>4%</w:t>
            </w:r>
          </w:p>
        </w:tc>
        <w:tc>
          <w:tcPr>
            <w:tcW w:w="1260" w:type="dxa"/>
            <w:vAlign w:val="center"/>
          </w:tcPr>
          <w:p w14:paraId="09FCDF3B" w14:textId="7DCC3699" w:rsidR="00B36F2B" w:rsidRPr="0064627E" w:rsidRDefault="00B36F2B" w:rsidP="000107D2">
            <w:pPr>
              <w:jc w:val="center"/>
              <w:rPr>
                <w:rFonts w:ascii="Aptos Narrow" w:hAnsi="Aptos Narrow"/>
                <w:color w:val="000000"/>
              </w:rPr>
            </w:pPr>
            <w:r w:rsidRPr="0064627E">
              <w:rPr>
                <w:rFonts w:ascii="Aptos Narrow" w:hAnsi="Aptos Narrow"/>
                <w:color w:val="000000"/>
              </w:rPr>
              <w:t>13,467</w:t>
            </w:r>
          </w:p>
        </w:tc>
        <w:tc>
          <w:tcPr>
            <w:tcW w:w="1260" w:type="dxa"/>
            <w:vAlign w:val="center"/>
          </w:tcPr>
          <w:p w14:paraId="542ACD54" w14:textId="2ACFCC12" w:rsidR="00B36F2B" w:rsidRPr="0064627E" w:rsidRDefault="00B36F2B" w:rsidP="000107D2">
            <w:pPr>
              <w:jc w:val="center"/>
              <w:rPr>
                <w:rFonts w:ascii="Aptos Narrow" w:hAnsi="Aptos Narrow"/>
                <w:color w:val="000000"/>
              </w:rPr>
            </w:pPr>
            <w:r w:rsidRPr="0064627E">
              <w:rPr>
                <w:rFonts w:ascii="Aptos Narrow" w:hAnsi="Aptos Narrow"/>
                <w:color w:val="000000"/>
              </w:rPr>
              <w:t>4%</w:t>
            </w:r>
          </w:p>
        </w:tc>
        <w:tc>
          <w:tcPr>
            <w:tcW w:w="1170" w:type="dxa"/>
            <w:vAlign w:val="center"/>
          </w:tcPr>
          <w:p w14:paraId="55FB0A2E" w14:textId="39278449" w:rsidR="00B36F2B" w:rsidRPr="0064627E" w:rsidRDefault="00B36F2B" w:rsidP="000107D2">
            <w:pPr>
              <w:jc w:val="center"/>
              <w:rPr>
                <w:rFonts w:ascii="Aptos Narrow" w:hAnsi="Aptos Narrow"/>
                <w:color w:val="000000"/>
              </w:rPr>
            </w:pPr>
            <w:r w:rsidRPr="0064627E">
              <w:rPr>
                <w:rFonts w:ascii="Aptos Narrow" w:hAnsi="Aptos Narrow"/>
                <w:color w:val="000000"/>
              </w:rPr>
              <w:t>7,939</w:t>
            </w:r>
          </w:p>
        </w:tc>
        <w:tc>
          <w:tcPr>
            <w:tcW w:w="1170" w:type="dxa"/>
            <w:vAlign w:val="center"/>
          </w:tcPr>
          <w:p w14:paraId="431CD969" w14:textId="7007213B" w:rsidR="00B36F2B" w:rsidRPr="0064627E" w:rsidRDefault="00B36F2B" w:rsidP="000107D2">
            <w:pPr>
              <w:jc w:val="center"/>
              <w:rPr>
                <w:rFonts w:ascii="Aptos Narrow" w:hAnsi="Aptos Narrow"/>
                <w:color w:val="000000"/>
              </w:rPr>
            </w:pPr>
            <w:r w:rsidRPr="0064627E">
              <w:rPr>
                <w:rFonts w:ascii="Aptos Narrow" w:hAnsi="Aptos Narrow"/>
                <w:color w:val="000000"/>
              </w:rPr>
              <w:t>3%</w:t>
            </w:r>
          </w:p>
        </w:tc>
      </w:tr>
      <w:tr w:rsidR="00B36F2B" w:rsidRPr="0064627E" w14:paraId="6A1E9AE0" w14:textId="44CD5FF8" w:rsidTr="00C46B91">
        <w:trPr>
          <w:cantSplit/>
          <w:trHeight w:val="300"/>
          <w:jc w:val="center"/>
        </w:trPr>
        <w:tc>
          <w:tcPr>
            <w:tcW w:w="5035" w:type="dxa"/>
            <w:noWrap/>
            <w:vAlign w:val="center"/>
            <w:hideMark/>
          </w:tcPr>
          <w:p w14:paraId="57752674" w14:textId="77777777" w:rsidR="00B36F2B" w:rsidRPr="0064627E" w:rsidRDefault="00B36F2B" w:rsidP="000107D2">
            <w:pPr>
              <w:jc w:val="both"/>
              <w:rPr>
                <w:rFonts w:ascii="Aptos Narrow" w:hAnsi="Aptos Narrow" w:cs="Arial"/>
              </w:rPr>
            </w:pPr>
            <w:r w:rsidRPr="0064627E">
              <w:rPr>
                <w:rFonts w:ascii="Aptos Narrow" w:hAnsi="Aptos Narrow" w:cs="Arial"/>
              </w:rPr>
              <w:t xml:space="preserve">Race/Ethnicity: White </w:t>
            </w:r>
          </w:p>
        </w:tc>
        <w:tc>
          <w:tcPr>
            <w:tcW w:w="1440" w:type="dxa"/>
            <w:vAlign w:val="center"/>
            <w:hideMark/>
          </w:tcPr>
          <w:p w14:paraId="7FB8A07E" w14:textId="77777777" w:rsidR="00B36F2B" w:rsidRPr="0064627E" w:rsidRDefault="00B36F2B" w:rsidP="000107D2">
            <w:pPr>
              <w:jc w:val="center"/>
              <w:rPr>
                <w:rFonts w:ascii="Aptos Narrow" w:hAnsi="Aptos Narrow" w:cs="Arial"/>
              </w:rPr>
            </w:pPr>
            <w:r w:rsidRPr="0064627E">
              <w:rPr>
                <w:rFonts w:ascii="Aptos Narrow" w:hAnsi="Aptos Narrow"/>
                <w:color w:val="000000"/>
              </w:rPr>
              <w:t>226,968</w:t>
            </w:r>
          </w:p>
        </w:tc>
        <w:tc>
          <w:tcPr>
            <w:tcW w:w="1350" w:type="dxa"/>
            <w:vAlign w:val="center"/>
            <w:hideMark/>
          </w:tcPr>
          <w:p w14:paraId="68F1F47D" w14:textId="77777777" w:rsidR="00B36F2B" w:rsidRPr="0064627E" w:rsidRDefault="00B36F2B" w:rsidP="000107D2">
            <w:pPr>
              <w:jc w:val="center"/>
              <w:rPr>
                <w:rFonts w:ascii="Aptos Narrow" w:hAnsi="Aptos Narrow" w:cs="Arial"/>
              </w:rPr>
            </w:pPr>
            <w:r w:rsidRPr="0064627E">
              <w:rPr>
                <w:rFonts w:ascii="Aptos Narrow" w:hAnsi="Aptos Narrow"/>
                <w:color w:val="000000"/>
              </w:rPr>
              <w:t>67%</w:t>
            </w:r>
          </w:p>
        </w:tc>
        <w:tc>
          <w:tcPr>
            <w:tcW w:w="1260" w:type="dxa"/>
            <w:vAlign w:val="center"/>
          </w:tcPr>
          <w:p w14:paraId="253D3CD9" w14:textId="77777777" w:rsidR="00B36F2B" w:rsidRPr="0064627E" w:rsidRDefault="00B36F2B" w:rsidP="000107D2">
            <w:pPr>
              <w:jc w:val="center"/>
              <w:rPr>
                <w:rFonts w:ascii="Aptos Narrow" w:hAnsi="Aptos Narrow" w:cs="Arial"/>
              </w:rPr>
            </w:pPr>
            <w:r w:rsidRPr="0064627E">
              <w:rPr>
                <w:rFonts w:ascii="Aptos Narrow" w:hAnsi="Aptos Narrow"/>
                <w:color w:val="000000"/>
              </w:rPr>
              <w:t>238,907</w:t>
            </w:r>
          </w:p>
        </w:tc>
        <w:tc>
          <w:tcPr>
            <w:tcW w:w="1530" w:type="dxa"/>
            <w:vAlign w:val="center"/>
          </w:tcPr>
          <w:p w14:paraId="395417B7" w14:textId="77777777" w:rsidR="00B36F2B" w:rsidRPr="0064627E" w:rsidRDefault="00B36F2B" w:rsidP="000107D2">
            <w:pPr>
              <w:jc w:val="center"/>
              <w:rPr>
                <w:rFonts w:ascii="Aptos Narrow" w:hAnsi="Aptos Narrow" w:cs="Arial"/>
              </w:rPr>
            </w:pPr>
            <w:r w:rsidRPr="0064627E">
              <w:rPr>
                <w:rFonts w:ascii="Aptos Narrow" w:hAnsi="Aptos Narrow"/>
                <w:color w:val="000000"/>
              </w:rPr>
              <w:t>69%</w:t>
            </w:r>
          </w:p>
        </w:tc>
        <w:tc>
          <w:tcPr>
            <w:tcW w:w="1260" w:type="dxa"/>
            <w:vAlign w:val="center"/>
          </w:tcPr>
          <w:p w14:paraId="0D98D63A" w14:textId="219A18C0" w:rsidR="00B36F2B" w:rsidRPr="0064627E" w:rsidRDefault="00B36F2B" w:rsidP="000107D2">
            <w:pPr>
              <w:jc w:val="center"/>
              <w:rPr>
                <w:rFonts w:ascii="Aptos Narrow" w:hAnsi="Aptos Narrow"/>
                <w:color w:val="000000"/>
              </w:rPr>
            </w:pPr>
            <w:r w:rsidRPr="0064627E">
              <w:rPr>
                <w:rFonts w:ascii="Aptos Narrow" w:hAnsi="Aptos Narrow"/>
                <w:color w:val="000000"/>
              </w:rPr>
              <w:t>233,587</w:t>
            </w:r>
          </w:p>
        </w:tc>
        <w:tc>
          <w:tcPr>
            <w:tcW w:w="1260" w:type="dxa"/>
            <w:vAlign w:val="center"/>
          </w:tcPr>
          <w:p w14:paraId="5AD26667" w14:textId="75C2EBA5" w:rsidR="00B36F2B" w:rsidRPr="0064627E" w:rsidRDefault="00B36F2B" w:rsidP="000107D2">
            <w:pPr>
              <w:jc w:val="center"/>
              <w:rPr>
                <w:rFonts w:ascii="Aptos Narrow" w:hAnsi="Aptos Narrow"/>
                <w:color w:val="000000"/>
              </w:rPr>
            </w:pPr>
            <w:r w:rsidRPr="0064627E">
              <w:rPr>
                <w:rFonts w:ascii="Aptos Narrow" w:hAnsi="Aptos Narrow"/>
                <w:color w:val="000000"/>
              </w:rPr>
              <w:t>67%</w:t>
            </w:r>
          </w:p>
        </w:tc>
        <w:tc>
          <w:tcPr>
            <w:tcW w:w="1170" w:type="dxa"/>
            <w:vAlign w:val="center"/>
          </w:tcPr>
          <w:p w14:paraId="2DED93AC" w14:textId="044994AF" w:rsidR="00B36F2B" w:rsidRPr="0064627E" w:rsidRDefault="00B36F2B" w:rsidP="000107D2">
            <w:pPr>
              <w:jc w:val="center"/>
              <w:rPr>
                <w:rFonts w:ascii="Aptos Narrow" w:hAnsi="Aptos Narrow"/>
                <w:color w:val="000000"/>
              </w:rPr>
            </w:pPr>
            <w:r w:rsidRPr="0064627E">
              <w:rPr>
                <w:rFonts w:ascii="Aptos Narrow" w:hAnsi="Aptos Narrow"/>
                <w:color w:val="000000"/>
              </w:rPr>
              <w:t>154,949</w:t>
            </w:r>
          </w:p>
        </w:tc>
        <w:tc>
          <w:tcPr>
            <w:tcW w:w="1170" w:type="dxa"/>
            <w:vAlign w:val="center"/>
          </w:tcPr>
          <w:p w14:paraId="15E78A3C" w14:textId="04370E1B" w:rsidR="00B36F2B" w:rsidRPr="0064627E" w:rsidRDefault="00B36F2B" w:rsidP="000107D2">
            <w:pPr>
              <w:jc w:val="center"/>
              <w:rPr>
                <w:rFonts w:ascii="Aptos Narrow" w:hAnsi="Aptos Narrow"/>
                <w:color w:val="000000"/>
              </w:rPr>
            </w:pPr>
            <w:r w:rsidRPr="0064627E">
              <w:rPr>
                <w:rFonts w:ascii="Aptos Narrow" w:hAnsi="Aptos Narrow"/>
                <w:color w:val="000000"/>
              </w:rPr>
              <w:t>67%</w:t>
            </w:r>
          </w:p>
        </w:tc>
      </w:tr>
    </w:tbl>
    <w:p w14:paraId="33286396" w14:textId="77777777" w:rsidR="001319DC" w:rsidRPr="0064627E" w:rsidRDefault="001319DC" w:rsidP="001319DC">
      <w:pPr>
        <w:pStyle w:val="HBb"/>
        <w:ind w:firstLine="0"/>
        <w:rPr>
          <w:rFonts w:eastAsia="PMingLiU"/>
        </w:rPr>
        <w:sectPr w:rsidR="001319DC" w:rsidRPr="0064627E" w:rsidSect="001319DC">
          <w:pgSz w:w="15840" w:h="12240" w:orient="landscape"/>
          <w:pgMar w:top="1440" w:right="1440" w:bottom="1440" w:left="1440" w:header="720" w:footer="720" w:gutter="0"/>
          <w:cols w:space="720"/>
          <w:docGrid w:linePitch="360"/>
        </w:sectPr>
      </w:pP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Table 2: MMC Patient Demographics"/>
      </w:tblPr>
      <w:tblGrid>
        <w:gridCol w:w="4283"/>
        <w:gridCol w:w="1433"/>
        <w:gridCol w:w="1345"/>
        <w:gridCol w:w="1434"/>
        <w:gridCol w:w="1345"/>
        <w:gridCol w:w="1315"/>
        <w:gridCol w:w="1375"/>
        <w:gridCol w:w="1235"/>
        <w:gridCol w:w="1170"/>
      </w:tblGrid>
      <w:tr w:rsidR="00A15DB3" w:rsidRPr="0064627E" w14:paraId="6EDC543C" w14:textId="0963E2AC" w:rsidTr="0099216F">
        <w:trPr>
          <w:cantSplit/>
          <w:trHeight w:val="300"/>
          <w:tblHeader/>
          <w:jc w:val="center"/>
        </w:trPr>
        <w:tc>
          <w:tcPr>
            <w:tcW w:w="4283" w:type="dxa"/>
            <w:shd w:val="clear" w:color="auto" w:fill="156082" w:themeFill="accent1"/>
            <w:vAlign w:val="center"/>
            <w:hideMark/>
          </w:tcPr>
          <w:p w14:paraId="2F812DA9" w14:textId="6356ADA7" w:rsidR="00A15DB3" w:rsidRPr="0064627E" w:rsidRDefault="00A15DB3" w:rsidP="00A15DB3">
            <w:pPr>
              <w:suppressAutoHyphens w:val="0"/>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lastRenderedPageBreak/>
              <w:t xml:space="preserve"> Table 2: </w:t>
            </w:r>
            <w:r w:rsidRPr="0064627E">
              <w:rPr>
                <w:rFonts w:ascii="Aptos Narrow" w:hAnsi="Aptos Narrow" w:cs="Arial"/>
                <w:b/>
                <w:bCs/>
                <w:color w:val="FFFFFF" w:themeColor="background1"/>
              </w:rPr>
              <w:t>MMC Patient Demographics</w:t>
            </w:r>
          </w:p>
        </w:tc>
        <w:tc>
          <w:tcPr>
            <w:tcW w:w="1433" w:type="dxa"/>
            <w:shd w:val="clear" w:color="auto" w:fill="156082" w:themeFill="accent1"/>
            <w:vAlign w:val="center"/>
            <w:hideMark/>
          </w:tcPr>
          <w:p w14:paraId="15F79FC0"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FY2023</w:t>
            </w:r>
          </w:p>
          <w:p w14:paraId="57B83661"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i/>
                <w:iCs/>
                <w:color w:val="FFFFFF" w:themeColor="background1"/>
                <w:kern w:val="0"/>
                <w14:ligatures w14:val="none"/>
              </w:rPr>
              <w:t>Count</w:t>
            </w:r>
          </w:p>
        </w:tc>
        <w:tc>
          <w:tcPr>
            <w:tcW w:w="1345" w:type="dxa"/>
            <w:shd w:val="clear" w:color="auto" w:fill="156082" w:themeFill="accent1"/>
            <w:vAlign w:val="center"/>
            <w:hideMark/>
          </w:tcPr>
          <w:p w14:paraId="510B18D4"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FY2023</w:t>
            </w:r>
          </w:p>
          <w:p w14:paraId="31C464F1"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i/>
                <w:iCs/>
                <w:color w:val="FFFFFF" w:themeColor="background1"/>
                <w:kern w:val="0"/>
                <w14:ligatures w14:val="none"/>
              </w:rPr>
              <w:t>Percent</w:t>
            </w:r>
          </w:p>
        </w:tc>
        <w:tc>
          <w:tcPr>
            <w:tcW w:w="1434" w:type="dxa"/>
            <w:shd w:val="clear" w:color="auto" w:fill="156082" w:themeFill="accent1"/>
            <w:vAlign w:val="center"/>
            <w:hideMark/>
          </w:tcPr>
          <w:p w14:paraId="566148EB"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FY2024</w:t>
            </w:r>
          </w:p>
          <w:p w14:paraId="6D373144"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i/>
                <w:iCs/>
                <w:color w:val="FFFFFF" w:themeColor="background1"/>
                <w:kern w:val="0"/>
                <w14:ligatures w14:val="none"/>
              </w:rPr>
              <w:t>Count</w:t>
            </w:r>
          </w:p>
        </w:tc>
        <w:tc>
          <w:tcPr>
            <w:tcW w:w="1345" w:type="dxa"/>
            <w:shd w:val="clear" w:color="auto" w:fill="156082" w:themeFill="accent1"/>
            <w:vAlign w:val="center"/>
            <w:hideMark/>
          </w:tcPr>
          <w:p w14:paraId="7969EBFF"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 xml:space="preserve">FY2024 </w:t>
            </w:r>
          </w:p>
          <w:p w14:paraId="6F8F7DDC" w14:textId="77777777"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i/>
                <w:iCs/>
                <w:color w:val="FFFFFF" w:themeColor="background1"/>
                <w:kern w:val="0"/>
                <w14:ligatures w14:val="none"/>
              </w:rPr>
              <w:t>Percent</w:t>
            </w:r>
          </w:p>
        </w:tc>
        <w:tc>
          <w:tcPr>
            <w:tcW w:w="1315" w:type="dxa"/>
            <w:shd w:val="clear" w:color="auto" w:fill="156082" w:themeFill="accent1"/>
          </w:tcPr>
          <w:p w14:paraId="6D07CBE2"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FY2025</w:t>
            </w:r>
          </w:p>
          <w:p w14:paraId="57FB9109" w14:textId="5F258D7E"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Arial"/>
                <w:i/>
                <w:iCs/>
                <w:color w:val="FFFFFF" w:themeColor="background1"/>
              </w:rPr>
              <w:t>Count</w:t>
            </w:r>
          </w:p>
        </w:tc>
        <w:tc>
          <w:tcPr>
            <w:tcW w:w="1375" w:type="dxa"/>
            <w:shd w:val="clear" w:color="auto" w:fill="156082" w:themeFill="accent1"/>
          </w:tcPr>
          <w:p w14:paraId="3EB2064C"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FY2025</w:t>
            </w:r>
          </w:p>
          <w:p w14:paraId="68F7FB15" w14:textId="4EA85E2F"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Arial"/>
                <w:i/>
                <w:iCs/>
                <w:color w:val="FFFFFF" w:themeColor="background1"/>
              </w:rPr>
              <w:t xml:space="preserve">Percent </w:t>
            </w:r>
          </w:p>
        </w:tc>
        <w:tc>
          <w:tcPr>
            <w:tcW w:w="1235" w:type="dxa"/>
            <w:shd w:val="clear" w:color="auto" w:fill="156082" w:themeFill="accent1"/>
          </w:tcPr>
          <w:p w14:paraId="2C322357" w14:textId="77777777" w:rsidR="00A15DB3" w:rsidRPr="0064627E" w:rsidRDefault="00A15DB3" w:rsidP="00A15DB3">
            <w:pPr>
              <w:jc w:val="center"/>
              <w:rPr>
                <w:rFonts w:ascii="Aptos Narrow" w:hAnsi="Aptos Narrow" w:cstheme="minorBidi"/>
                <w:b/>
                <w:color w:val="FFFFFF" w:themeColor="background1"/>
              </w:rPr>
            </w:pPr>
            <w:r w:rsidRPr="0064627E">
              <w:rPr>
                <w:rFonts w:ascii="Aptos Narrow" w:hAnsi="Aptos Narrow" w:cstheme="minorBidi"/>
                <w:b/>
                <w:color w:val="FFFFFF" w:themeColor="background1"/>
              </w:rPr>
              <w:t>FY2026</w:t>
            </w:r>
            <w:r w:rsidRPr="0064627E">
              <w:rPr>
                <w:rStyle w:val="FootnoteReference"/>
                <w:rFonts w:ascii="Aptos Narrow" w:hAnsi="Aptos Narrow" w:cstheme="minorBidi"/>
                <w:b/>
                <w:color w:val="FFFFFF" w:themeColor="background1"/>
              </w:rPr>
              <w:footnoteReference w:id="4"/>
            </w:r>
            <w:r w:rsidRPr="0064627E">
              <w:rPr>
                <w:rFonts w:ascii="Aptos Narrow" w:hAnsi="Aptos Narrow" w:cstheme="minorBidi"/>
                <w:b/>
                <w:color w:val="FFFFFF" w:themeColor="background1"/>
              </w:rPr>
              <w:t xml:space="preserve"> </w:t>
            </w:r>
          </w:p>
          <w:p w14:paraId="0C68354A" w14:textId="1A829A86"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theme="minorHAnsi"/>
                <w:i/>
                <w:iCs/>
                <w:color w:val="FFFFFF" w:themeColor="background1"/>
              </w:rPr>
              <w:t>Count</w:t>
            </w:r>
          </w:p>
        </w:tc>
        <w:tc>
          <w:tcPr>
            <w:tcW w:w="1170" w:type="dxa"/>
            <w:shd w:val="clear" w:color="auto" w:fill="156082" w:themeFill="accent1"/>
          </w:tcPr>
          <w:p w14:paraId="75BA6445" w14:textId="77777777" w:rsidR="00A15DB3" w:rsidRPr="0064627E" w:rsidRDefault="00A15DB3" w:rsidP="00A15DB3">
            <w:pPr>
              <w:jc w:val="center"/>
              <w:rPr>
                <w:rFonts w:ascii="Aptos Narrow" w:hAnsi="Aptos Narrow" w:cstheme="minorHAnsi"/>
                <w:b/>
                <w:bCs/>
                <w:color w:val="FFFFFF" w:themeColor="background1"/>
              </w:rPr>
            </w:pPr>
            <w:r w:rsidRPr="0064627E">
              <w:rPr>
                <w:rFonts w:ascii="Aptos Narrow" w:hAnsi="Aptos Narrow" w:cstheme="minorHAnsi"/>
                <w:b/>
                <w:bCs/>
                <w:color w:val="FFFFFF" w:themeColor="background1"/>
              </w:rPr>
              <w:t xml:space="preserve">FY2026 </w:t>
            </w:r>
          </w:p>
          <w:p w14:paraId="14D11780" w14:textId="0AA5A008" w:rsidR="00A15DB3" w:rsidRPr="0064627E" w:rsidRDefault="00A15DB3" w:rsidP="00A15DB3">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Arial"/>
                <w:i/>
                <w:iCs/>
                <w:color w:val="FFFFFF" w:themeColor="background1"/>
              </w:rPr>
              <w:t>Percent</w:t>
            </w:r>
          </w:p>
        </w:tc>
      </w:tr>
      <w:tr w:rsidR="00106EE7" w:rsidRPr="0064627E" w14:paraId="16039B7F" w14:textId="347F4525" w:rsidTr="0099216F">
        <w:trPr>
          <w:cantSplit/>
          <w:trHeight w:val="300"/>
          <w:jc w:val="center"/>
        </w:trPr>
        <w:tc>
          <w:tcPr>
            <w:tcW w:w="4283" w:type="dxa"/>
            <w:shd w:val="clear" w:color="auto" w:fill="0E2841" w:themeFill="text2"/>
            <w:vAlign w:val="center"/>
            <w:hideMark/>
          </w:tcPr>
          <w:p w14:paraId="1598709E" w14:textId="77777777" w:rsidR="00106EE7" w:rsidRPr="0064627E" w:rsidRDefault="00106EE7" w:rsidP="00106EE7">
            <w:pPr>
              <w:suppressAutoHyphens w:val="0"/>
              <w:jc w:val="right"/>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Total Unique Patients</w:t>
            </w:r>
          </w:p>
        </w:tc>
        <w:tc>
          <w:tcPr>
            <w:tcW w:w="1433" w:type="dxa"/>
            <w:shd w:val="clear" w:color="auto" w:fill="0E2841" w:themeFill="text2"/>
            <w:vAlign w:val="center"/>
            <w:hideMark/>
          </w:tcPr>
          <w:p w14:paraId="7ED58072" w14:textId="77777777"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74,476</w:t>
            </w:r>
          </w:p>
        </w:tc>
        <w:tc>
          <w:tcPr>
            <w:tcW w:w="1345" w:type="dxa"/>
            <w:shd w:val="clear" w:color="auto" w:fill="0E2841" w:themeFill="text2"/>
            <w:vAlign w:val="center"/>
            <w:hideMark/>
          </w:tcPr>
          <w:p w14:paraId="5FAD935E" w14:textId="77777777"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100%</w:t>
            </w:r>
          </w:p>
        </w:tc>
        <w:tc>
          <w:tcPr>
            <w:tcW w:w="1434" w:type="dxa"/>
            <w:shd w:val="clear" w:color="auto" w:fill="0E2841" w:themeFill="text2"/>
            <w:vAlign w:val="center"/>
            <w:hideMark/>
          </w:tcPr>
          <w:p w14:paraId="20FB6407" w14:textId="77777777"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71,047</w:t>
            </w:r>
          </w:p>
        </w:tc>
        <w:tc>
          <w:tcPr>
            <w:tcW w:w="1345" w:type="dxa"/>
            <w:shd w:val="clear" w:color="auto" w:fill="0E2841" w:themeFill="text2"/>
            <w:vAlign w:val="center"/>
            <w:hideMark/>
          </w:tcPr>
          <w:p w14:paraId="67392314" w14:textId="77777777"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cs="Calibri Light"/>
                <w:b/>
                <w:bCs/>
                <w:color w:val="FFFFFF" w:themeColor="background1"/>
                <w:kern w:val="0"/>
                <w14:ligatures w14:val="none"/>
              </w:rPr>
              <w:t>100%</w:t>
            </w:r>
          </w:p>
        </w:tc>
        <w:tc>
          <w:tcPr>
            <w:tcW w:w="1315" w:type="dxa"/>
            <w:shd w:val="clear" w:color="auto" w:fill="0E2841" w:themeFill="text2"/>
            <w:vAlign w:val="center"/>
          </w:tcPr>
          <w:p w14:paraId="118C6666" w14:textId="4324125E"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b/>
                <w:bCs/>
                <w:color w:val="FFFFFF"/>
              </w:rPr>
              <w:t>76,852</w:t>
            </w:r>
          </w:p>
        </w:tc>
        <w:tc>
          <w:tcPr>
            <w:tcW w:w="1375" w:type="dxa"/>
            <w:shd w:val="clear" w:color="auto" w:fill="0E2841" w:themeFill="text2"/>
            <w:vAlign w:val="center"/>
          </w:tcPr>
          <w:p w14:paraId="5241153F" w14:textId="59E17F9B"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b/>
                <w:bCs/>
                <w:color w:val="FFFFFF"/>
              </w:rPr>
              <w:t>100%</w:t>
            </w:r>
          </w:p>
        </w:tc>
        <w:tc>
          <w:tcPr>
            <w:tcW w:w="1235" w:type="dxa"/>
            <w:shd w:val="clear" w:color="auto" w:fill="0E2841" w:themeFill="text2"/>
            <w:vAlign w:val="center"/>
          </w:tcPr>
          <w:p w14:paraId="25D8E296" w14:textId="3AE946E2"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b/>
                <w:bCs/>
                <w:color w:val="FFFFFF"/>
              </w:rPr>
              <w:t>52,402</w:t>
            </w:r>
          </w:p>
        </w:tc>
        <w:tc>
          <w:tcPr>
            <w:tcW w:w="1170" w:type="dxa"/>
            <w:shd w:val="clear" w:color="auto" w:fill="0E2841" w:themeFill="text2"/>
            <w:vAlign w:val="center"/>
          </w:tcPr>
          <w:p w14:paraId="0C796006" w14:textId="22512352" w:rsidR="00106EE7" w:rsidRPr="0064627E" w:rsidRDefault="00106EE7" w:rsidP="00106EE7">
            <w:pPr>
              <w:suppressAutoHyphens w:val="0"/>
              <w:jc w:val="center"/>
              <w:rPr>
                <w:rFonts w:ascii="Aptos Narrow" w:hAnsi="Aptos Narrow" w:cs="Calibri Light"/>
                <w:b/>
                <w:bCs/>
                <w:color w:val="FFFFFF" w:themeColor="background1"/>
                <w:kern w:val="0"/>
                <w14:ligatures w14:val="none"/>
              </w:rPr>
            </w:pPr>
            <w:r w:rsidRPr="0064627E">
              <w:rPr>
                <w:rFonts w:ascii="Aptos Narrow" w:hAnsi="Aptos Narrow"/>
                <w:b/>
                <w:bCs/>
                <w:color w:val="FFFFFF"/>
              </w:rPr>
              <w:t>100%</w:t>
            </w:r>
          </w:p>
        </w:tc>
      </w:tr>
      <w:tr w:rsidR="00106EE7" w:rsidRPr="0064627E" w14:paraId="1D6A9EAD" w14:textId="27657D41" w:rsidTr="0099216F">
        <w:trPr>
          <w:cantSplit/>
          <w:trHeight w:val="300"/>
          <w:jc w:val="center"/>
        </w:trPr>
        <w:tc>
          <w:tcPr>
            <w:tcW w:w="4283" w:type="dxa"/>
            <w:vAlign w:val="center"/>
            <w:hideMark/>
          </w:tcPr>
          <w:p w14:paraId="237119D3"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Age: 0 to 17</w:t>
            </w:r>
          </w:p>
        </w:tc>
        <w:tc>
          <w:tcPr>
            <w:tcW w:w="1433" w:type="dxa"/>
            <w:vAlign w:val="center"/>
            <w:hideMark/>
          </w:tcPr>
          <w:p w14:paraId="1097B1D5"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4,488</w:t>
            </w:r>
          </w:p>
        </w:tc>
        <w:tc>
          <w:tcPr>
            <w:tcW w:w="1345" w:type="dxa"/>
            <w:vAlign w:val="center"/>
            <w:hideMark/>
          </w:tcPr>
          <w:p w14:paraId="268DEBC8"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w:t>
            </w:r>
          </w:p>
        </w:tc>
        <w:tc>
          <w:tcPr>
            <w:tcW w:w="1434" w:type="dxa"/>
            <w:vAlign w:val="center"/>
            <w:hideMark/>
          </w:tcPr>
          <w:p w14:paraId="2D9B225C"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3,757</w:t>
            </w:r>
          </w:p>
        </w:tc>
        <w:tc>
          <w:tcPr>
            <w:tcW w:w="1345" w:type="dxa"/>
            <w:vAlign w:val="center"/>
            <w:hideMark/>
          </w:tcPr>
          <w:p w14:paraId="338200EF"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w:t>
            </w:r>
          </w:p>
        </w:tc>
        <w:tc>
          <w:tcPr>
            <w:tcW w:w="1315" w:type="dxa"/>
            <w:vAlign w:val="bottom"/>
          </w:tcPr>
          <w:p w14:paraId="7B82ED7E" w14:textId="18B6909C"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3,888</w:t>
            </w:r>
          </w:p>
        </w:tc>
        <w:tc>
          <w:tcPr>
            <w:tcW w:w="1375" w:type="dxa"/>
            <w:vAlign w:val="bottom"/>
          </w:tcPr>
          <w:p w14:paraId="68DDF488" w14:textId="54C2BC66"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w:t>
            </w:r>
          </w:p>
        </w:tc>
        <w:tc>
          <w:tcPr>
            <w:tcW w:w="1235" w:type="dxa"/>
            <w:vAlign w:val="bottom"/>
          </w:tcPr>
          <w:p w14:paraId="25FAE5B1" w14:textId="7633A4C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2,150</w:t>
            </w:r>
          </w:p>
        </w:tc>
        <w:tc>
          <w:tcPr>
            <w:tcW w:w="1170" w:type="dxa"/>
            <w:vAlign w:val="bottom"/>
          </w:tcPr>
          <w:p w14:paraId="254A7A70" w14:textId="3B3889EB"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w:t>
            </w:r>
          </w:p>
        </w:tc>
      </w:tr>
      <w:tr w:rsidR="00106EE7" w:rsidRPr="0064627E" w14:paraId="1F29E9B0" w14:textId="3547EAF0" w:rsidTr="0099216F">
        <w:trPr>
          <w:cantSplit/>
          <w:trHeight w:val="300"/>
          <w:jc w:val="center"/>
        </w:trPr>
        <w:tc>
          <w:tcPr>
            <w:tcW w:w="4283" w:type="dxa"/>
            <w:vAlign w:val="center"/>
            <w:hideMark/>
          </w:tcPr>
          <w:p w14:paraId="1E562220"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Age: 18-44</w:t>
            </w:r>
          </w:p>
        </w:tc>
        <w:tc>
          <w:tcPr>
            <w:tcW w:w="1433" w:type="dxa"/>
            <w:vAlign w:val="center"/>
            <w:hideMark/>
          </w:tcPr>
          <w:p w14:paraId="04CD6E74"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19,712</w:t>
            </w:r>
          </w:p>
        </w:tc>
        <w:tc>
          <w:tcPr>
            <w:tcW w:w="1345" w:type="dxa"/>
            <w:vAlign w:val="center"/>
            <w:hideMark/>
          </w:tcPr>
          <w:p w14:paraId="5812FB5B"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26%</w:t>
            </w:r>
          </w:p>
        </w:tc>
        <w:tc>
          <w:tcPr>
            <w:tcW w:w="1434" w:type="dxa"/>
            <w:vAlign w:val="center"/>
            <w:hideMark/>
          </w:tcPr>
          <w:p w14:paraId="6B41BA22"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18,378</w:t>
            </w:r>
          </w:p>
        </w:tc>
        <w:tc>
          <w:tcPr>
            <w:tcW w:w="1345" w:type="dxa"/>
            <w:vAlign w:val="center"/>
            <w:hideMark/>
          </w:tcPr>
          <w:p w14:paraId="538E8FA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26%</w:t>
            </w:r>
          </w:p>
        </w:tc>
        <w:tc>
          <w:tcPr>
            <w:tcW w:w="1315" w:type="dxa"/>
            <w:vAlign w:val="bottom"/>
          </w:tcPr>
          <w:p w14:paraId="230CC145" w14:textId="1EC7AFE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19,480</w:t>
            </w:r>
          </w:p>
        </w:tc>
        <w:tc>
          <w:tcPr>
            <w:tcW w:w="1375" w:type="dxa"/>
            <w:vAlign w:val="bottom"/>
          </w:tcPr>
          <w:p w14:paraId="3B5F43DE" w14:textId="119107A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25%</w:t>
            </w:r>
          </w:p>
        </w:tc>
        <w:tc>
          <w:tcPr>
            <w:tcW w:w="1235" w:type="dxa"/>
            <w:vAlign w:val="bottom"/>
          </w:tcPr>
          <w:p w14:paraId="50BB6048" w14:textId="2E13716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13,872</w:t>
            </w:r>
          </w:p>
        </w:tc>
        <w:tc>
          <w:tcPr>
            <w:tcW w:w="1170" w:type="dxa"/>
            <w:vAlign w:val="bottom"/>
          </w:tcPr>
          <w:p w14:paraId="3F6992AE" w14:textId="5173C10C"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18%</w:t>
            </w:r>
          </w:p>
        </w:tc>
      </w:tr>
      <w:tr w:rsidR="00106EE7" w:rsidRPr="0064627E" w14:paraId="1FF70146" w14:textId="502D05F6" w:rsidTr="0099216F">
        <w:trPr>
          <w:cantSplit/>
          <w:trHeight w:val="300"/>
          <w:jc w:val="center"/>
        </w:trPr>
        <w:tc>
          <w:tcPr>
            <w:tcW w:w="4283" w:type="dxa"/>
            <w:vAlign w:val="center"/>
            <w:hideMark/>
          </w:tcPr>
          <w:p w14:paraId="25F6CD9F"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Age: 45-49</w:t>
            </w:r>
          </w:p>
        </w:tc>
        <w:tc>
          <w:tcPr>
            <w:tcW w:w="1433" w:type="dxa"/>
            <w:vAlign w:val="center"/>
            <w:hideMark/>
          </w:tcPr>
          <w:p w14:paraId="70CC4F0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4,978</w:t>
            </w:r>
          </w:p>
        </w:tc>
        <w:tc>
          <w:tcPr>
            <w:tcW w:w="1345" w:type="dxa"/>
            <w:vAlign w:val="center"/>
            <w:hideMark/>
          </w:tcPr>
          <w:p w14:paraId="690198A9"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7%</w:t>
            </w:r>
          </w:p>
        </w:tc>
        <w:tc>
          <w:tcPr>
            <w:tcW w:w="1434" w:type="dxa"/>
            <w:vAlign w:val="center"/>
            <w:hideMark/>
          </w:tcPr>
          <w:p w14:paraId="7D4A7DCE"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4,896</w:t>
            </w:r>
          </w:p>
        </w:tc>
        <w:tc>
          <w:tcPr>
            <w:tcW w:w="1345" w:type="dxa"/>
            <w:vAlign w:val="center"/>
            <w:hideMark/>
          </w:tcPr>
          <w:p w14:paraId="2DC9560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7%</w:t>
            </w:r>
          </w:p>
        </w:tc>
        <w:tc>
          <w:tcPr>
            <w:tcW w:w="1315" w:type="dxa"/>
            <w:vAlign w:val="bottom"/>
          </w:tcPr>
          <w:p w14:paraId="6A4A85A8" w14:textId="7A129F9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5,803</w:t>
            </w:r>
          </w:p>
        </w:tc>
        <w:tc>
          <w:tcPr>
            <w:tcW w:w="1375" w:type="dxa"/>
            <w:vAlign w:val="bottom"/>
          </w:tcPr>
          <w:p w14:paraId="47F66F53" w14:textId="084720B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w:t>
            </w:r>
          </w:p>
        </w:tc>
        <w:tc>
          <w:tcPr>
            <w:tcW w:w="1235" w:type="dxa"/>
            <w:vAlign w:val="bottom"/>
          </w:tcPr>
          <w:p w14:paraId="54198F34" w14:textId="1F57F60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4,030</w:t>
            </w:r>
          </w:p>
        </w:tc>
        <w:tc>
          <w:tcPr>
            <w:tcW w:w="1170" w:type="dxa"/>
            <w:vAlign w:val="bottom"/>
          </w:tcPr>
          <w:p w14:paraId="7397A5BD" w14:textId="500AA959"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w:t>
            </w:r>
          </w:p>
        </w:tc>
      </w:tr>
      <w:tr w:rsidR="00106EE7" w:rsidRPr="0064627E" w14:paraId="4BD4B661" w14:textId="1BBE3A6D" w:rsidTr="0099216F">
        <w:trPr>
          <w:cantSplit/>
          <w:trHeight w:val="300"/>
          <w:jc w:val="center"/>
        </w:trPr>
        <w:tc>
          <w:tcPr>
            <w:tcW w:w="4283" w:type="dxa"/>
            <w:vAlign w:val="center"/>
            <w:hideMark/>
          </w:tcPr>
          <w:p w14:paraId="61F89805"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Age: 50-64</w:t>
            </w:r>
          </w:p>
        </w:tc>
        <w:tc>
          <w:tcPr>
            <w:tcW w:w="1433" w:type="dxa"/>
            <w:vAlign w:val="center"/>
            <w:hideMark/>
          </w:tcPr>
          <w:p w14:paraId="025B8C82"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20,170</w:t>
            </w:r>
          </w:p>
        </w:tc>
        <w:tc>
          <w:tcPr>
            <w:tcW w:w="1345" w:type="dxa"/>
            <w:vAlign w:val="center"/>
            <w:hideMark/>
          </w:tcPr>
          <w:p w14:paraId="0D2A13EC"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27%</w:t>
            </w:r>
          </w:p>
        </w:tc>
        <w:tc>
          <w:tcPr>
            <w:tcW w:w="1434" w:type="dxa"/>
            <w:vAlign w:val="center"/>
            <w:hideMark/>
          </w:tcPr>
          <w:p w14:paraId="224AFD29"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19,107</w:t>
            </w:r>
          </w:p>
        </w:tc>
        <w:tc>
          <w:tcPr>
            <w:tcW w:w="1345" w:type="dxa"/>
            <w:vAlign w:val="center"/>
            <w:hideMark/>
          </w:tcPr>
          <w:p w14:paraId="31DECFC0"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27%</w:t>
            </w:r>
          </w:p>
        </w:tc>
        <w:tc>
          <w:tcPr>
            <w:tcW w:w="1315" w:type="dxa"/>
            <w:vAlign w:val="bottom"/>
          </w:tcPr>
          <w:p w14:paraId="6BD41753" w14:textId="105FD5CF"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21,096</w:t>
            </w:r>
          </w:p>
        </w:tc>
        <w:tc>
          <w:tcPr>
            <w:tcW w:w="1375" w:type="dxa"/>
            <w:vAlign w:val="bottom"/>
          </w:tcPr>
          <w:p w14:paraId="428FC00A" w14:textId="252B0709"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27%</w:t>
            </w:r>
          </w:p>
        </w:tc>
        <w:tc>
          <w:tcPr>
            <w:tcW w:w="1235" w:type="dxa"/>
            <w:vAlign w:val="bottom"/>
          </w:tcPr>
          <w:p w14:paraId="1FC72743" w14:textId="013ECC5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14,255</w:t>
            </w:r>
          </w:p>
        </w:tc>
        <w:tc>
          <w:tcPr>
            <w:tcW w:w="1170" w:type="dxa"/>
            <w:vAlign w:val="bottom"/>
          </w:tcPr>
          <w:p w14:paraId="3639F0D5" w14:textId="36A24B2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18%</w:t>
            </w:r>
          </w:p>
        </w:tc>
      </w:tr>
      <w:tr w:rsidR="00106EE7" w:rsidRPr="0064627E" w14:paraId="0C2DB053" w14:textId="67D8FDC2" w:rsidTr="0099216F">
        <w:trPr>
          <w:cantSplit/>
          <w:trHeight w:val="300"/>
          <w:jc w:val="center"/>
        </w:trPr>
        <w:tc>
          <w:tcPr>
            <w:tcW w:w="4283" w:type="dxa"/>
            <w:vAlign w:val="center"/>
            <w:hideMark/>
          </w:tcPr>
          <w:p w14:paraId="3A657D38"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Age: 65-75</w:t>
            </w:r>
          </w:p>
        </w:tc>
        <w:tc>
          <w:tcPr>
            <w:tcW w:w="1433" w:type="dxa"/>
            <w:vAlign w:val="center"/>
            <w:hideMark/>
          </w:tcPr>
          <w:p w14:paraId="797F099A"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14,503</w:t>
            </w:r>
          </w:p>
        </w:tc>
        <w:tc>
          <w:tcPr>
            <w:tcW w:w="1345" w:type="dxa"/>
            <w:vAlign w:val="center"/>
            <w:hideMark/>
          </w:tcPr>
          <w:p w14:paraId="19A0406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19%</w:t>
            </w:r>
          </w:p>
        </w:tc>
        <w:tc>
          <w:tcPr>
            <w:tcW w:w="1434" w:type="dxa"/>
            <w:vAlign w:val="center"/>
            <w:hideMark/>
          </w:tcPr>
          <w:p w14:paraId="33D4433B"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14,163</w:t>
            </w:r>
          </w:p>
        </w:tc>
        <w:tc>
          <w:tcPr>
            <w:tcW w:w="1345" w:type="dxa"/>
            <w:vAlign w:val="center"/>
            <w:hideMark/>
          </w:tcPr>
          <w:p w14:paraId="7123F9A9"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20%</w:t>
            </w:r>
          </w:p>
        </w:tc>
        <w:tc>
          <w:tcPr>
            <w:tcW w:w="1315" w:type="dxa"/>
            <w:vAlign w:val="bottom"/>
          </w:tcPr>
          <w:p w14:paraId="0A8BE847" w14:textId="4D28D16B"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15,262</w:t>
            </w:r>
          </w:p>
        </w:tc>
        <w:tc>
          <w:tcPr>
            <w:tcW w:w="1375" w:type="dxa"/>
            <w:vAlign w:val="bottom"/>
          </w:tcPr>
          <w:p w14:paraId="345A9561" w14:textId="4C6CB01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20%</w:t>
            </w:r>
          </w:p>
        </w:tc>
        <w:tc>
          <w:tcPr>
            <w:tcW w:w="1235" w:type="dxa"/>
            <w:vAlign w:val="bottom"/>
          </w:tcPr>
          <w:p w14:paraId="12217CD0" w14:textId="6537C30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10,604</w:t>
            </w:r>
          </w:p>
        </w:tc>
        <w:tc>
          <w:tcPr>
            <w:tcW w:w="1170" w:type="dxa"/>
            <w:vAlign w:val="bottom"/>
          </w:tcPr>
          <w:p w14:paraId="29BDF17C" w14:textId="15F6E7DD"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14%</w:t>
            </w:r>
          </w:p>
        </w:tc>
      </w:tr>
      <w:tr w:rsidR="00106EE7" w:rsidRPr="0064627E" w14:paraId="71C4DB12" w14:textId="76E5E52E" w:rsidTr="0099216F">
        <w:trPr>
          <w:cantSplit/>
          <w:trHeight w:val="300"/>
          <w:jc w:val="center"/>
        </w:trPr>
        <w:tc>
          <w:tcPr>
            <w:tcW w:w="4283" w:type="dxa"/>
            <w:vAlign w:val="center"/>
            <w:hideMark/>
          </w:tcPr>
          <w:p w14:paraId="4FD2113B"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Age: 76+</w:t>
            </w:r>
          </w:p>
        </w:tc>
        <w:tc>
          <w:tcPr>
            <w:tcW w:w="1433" w:type="dxa"/>
            <w:vAlign w:val="center"/>
            <w:hideMark/>
          </w:tcPr>
          <w:p w14:paraId="54C65F41"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11,425</w:t>
            </w:r>
          </w:p>
        </w:tc>
        <w:tc>
          <w:tcPr>
            <w:tcW w:w="1345" w:type="dxa"/>
            <w:vAlign w:val="center"/>
            <w:hideMark/>
          </w:tcPr>
          <w:p w14:paraId="59413055"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15%</w:t>
            </w:r>
          </w:p>
        </w:tc>
        <w:tc>
          <w:tcPr>
            <w:tcW w:w="1434" w:type="dxa"/>
            <w:vAlign w:val="center"/>
            <w:hideMark/>
          </w:tcPr>
          <w:p w14:paraId="34E8000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11,461</w:t>
            </w:r>
          </w:p>
        </w:tc>
        <w:tc>
          <w:tcPr>
            <w:tcW w:w="1345" w:type="dxa"/>
            <w:vAlign w:val="center"/>
            <w:hideMark/>
          </w:tcPr>
          <w:p w14:paraId="4356BE0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16%</w:t>
            </w:r>
          </w:p>
        </w:tc>
        <w:tc>
          <w:tcPr>
            <w:tcW w:w="1315" w:type="dxa"/>
            <w:vAlign w:val="bottom"/>
          </w:tcPr>
          <w:p w14:paraId="6C960C52" w14:textId="232A465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11,652</w:t>
            </w:r>
          </w:p>
        </w:tc>
        <w:tc>
          <w:tcPr>
            <w:tcW w:w="1375" w:type="dxa"/>
            <w:vAlign w:val="bottom"/>
          </w:tcPr>
          <w:p w14:paraId="5363944F" w14:textId="2C3AB3FA"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15%</w:t>
            </w:r>
          </w:p>
        </w:tc>
        <w:tc>
          <w:tcPr>
            <w:tcW w:w="1235" w:type="dxa"/>
            <w:vAlign w:val="bottom"/>
          </w:tcPr>
          <w:p w14:paraId="2E3D718B" w14:textId="3B0F96E2"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7,865</w:t>
            </w:r>
          </w:p>
        </w:tc>
        <w:tc>
          <w:tcPr>
            <w:tcW w:w="1170" w:type="dxa"/>
            <w:vAlign w:val="bottom"/>
          </w:tcPr>
          <w:p w14:paraId="0639A8FB" w14:textId="0C85D9E1"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10%</w:t>
            </w:r>
          </w:p>
        </w:tc>
      </w:tr>
      <w:tr w:rsidR="00106EE7" w:rsidRPr="0064627E" w14:paraId="2DA982EA" w14:textId="6D146399" w:rsidTr="0099216F">
        <w:trPr>
          <w:cantSplit/>
          <w:trHeight w:val="300"/>
          <w:jc w:val="center"/>
        </w:trPr>
        <w:tc>
          <w:tcPr>
            <w:tcW w:w="4283" w:type="dxa"/>
            <w:vAlign w:val="center"/>
            <w:hideMark/>
          </w:tcPr>
          <w:p w14:paraId="28153B26"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 xml:space="preserve">Gender: Male </w:t>
            </w:r>
          </w:p>
        </w:tc>
        <w:tc>
          <w:tcPr>
            <w:tcW w:w="1433" w:type="dxa"/>
            <w:vAlign w:val="center"/>
            <w:hideMark/>
          </w:tcPr>
          <w:p w14:paraId="1D98CC5C"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30,793</w:t>
            </w:r>
          </w:p>
        </w:tc>
        <w:tc>
          <w:tcPr>
            <w:tcW w:w="1345" w:type="dxa"/>
            <w:vAlign w:val="center"/>
            <w:hideMark/>
          </w:tcPr>
          <w:p w14:paraId="09E4B48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41%</w:t>
            </w:r>
          </w:p>
        </w:tc>
        <w:tc>
          <w:tcPr>
            <w:tcW w:w="1434" w:type="dxa"/>
            <w:vAlign w:val="center"/>
            <w:hideMark/>
          </w:tcPr>
          <w:p w14:paraId="25EF3182"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29,307</w:t>
            </w:r>
          </w:p>
        </w:tc>
        <w:tc>
          <w:tcPr>
            <w:tcW w:w="1345" w:type="dxa"/>
            <w:vAlign w:val="center"/>
            <w:hideMark/>
          </w:tcPr>
          <w:p w14:paraId="644B091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41%</w:t>
            </w:r>
          </w:p>
        </w:tc>
        <w:tc>
          <w:tcPr>
            <w:tcW w:w="1315" w:type="dxa"/>
            <w:vAlign w:val="bottom"/>
          </w:tcPr>
          <w:p w14:paraId="423DCA2F" w14:textId="35F4E8B9"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30,547</w:t>
            </w:r>
          </w:p>
        </w:tc>
        <w:tc>
          <w:tcPr>
            <w:tcW w:w="1375" w:type="dxa"/>
            <w:vAlign w:val="bottom"/>
          </w:tcPr>
          <w:p w14:paraId="5782529A" w14:textId="6C28EF4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40%</w:t>
            </w:r>
          </w:p>
        </w:tc>
        <w:tc>
          <w:tcPr>
            <w:tcW w:w="1235" w:type="dxa"/>
            <w:vAlign w:val="bottom"/>
          </w:tcPr>
          <w:p w14:paraId="3DA7BC81" w14:textId="41CBBD11"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20,961</w:t>
            </w:r>
          </w:p>
        </w:tc>
        <w:tc>
          <w:tcPr>
            <w:tcW w:w="1170" w:type="dxa"/>
            <w:vAlign w:val="bottom"/>
          </w:tcPr>
          <w:p w14:paraId="66F7838B" w14:textId="51A76548"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40%</w:t>
            </w:r>
          </w:p>
        </w:tc>
      </w:tr>
      <w:tr w:rsidR="00106EE7" w:rsidRPr="0064627E" w14:paraId="6DE664DD" w14:textId="407E4DCD" w:rsidTr="0099216F">
        <w:trPr>
          <w:cantSplit/>
          <w:trHeight w:val="300"/>
          <w:jc w:val="center"/>
        </w:trPr>
        <w:tc>
          <w:tcPr>
            <w:tcW w:w="4283" w:type="dxa"/>
            <w:vAlign w:val="center"/>
            <w:hideMark/>
          </w:tcPr>
          <w:p w14:paraId="5B101BA1" w14:textId="501DB3FE"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Gender: Female</w:t>
            </w:r>
            <w:r w:rsidRPr="0064627E">
              <w:rPr>
                <w:rStyle w:val="FootnoteReference"/>
                <w:rFonts w:ascii="Aptos Narrow" w:hAnsi="Aptos Narrow" w:cs="Calibri Light"/>
                <w:color w:val="000000"/>
                <w:kern w:val="0"/>
                <w14:ligatures w14:val="none"/>
              </w:rPr>
              <w:footnoteReference w:id="5"/>
            </w:r>
          </w:p>
        </w:tc>
        <w:tc>
          <w:tcPr>
            <w:tcW w:w="1433" w:type="dxa"/>
            <w:vAlign w:val="center"/>
            <w:hideMark/>
          </w:tcPr>
          <w:p w14:paraId="2F77F2E6" w14:textId="3AB98DD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43,683</w:t>
            </w:r>
          </w:p>
        </w:tc>
        <w:tc>
          <w:tcPr>
            <w:tcW w:w="1345" w:type="dxa"/>
            <w:vAlign w:val="center"/>
            <w:hideMark/>
          </w:tcPr>
          <w:p w14:paraId="27AE388C"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59%</w:t>
            </w:r>
          </w:p>
        </w:tc>
        <w:tc>
          <w:tcPr>
            <w:tcW w:w="1434" w:type="dxa"/>
            <w:vAlign w:val="center"/>
            <w:hideMark/>
          </w:tcPr>
          <w:p w14:paraId="61BC2847" w14:textId="2DC825B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41,740</w:t>
            </w:r>
          </w:p>
        </w:tc>
        <w:tc>
          <w:tcPr>
            <w:tcW w:w="1345" w:type="dxa"/>
            <w:vAlign w:val="center"/>
            <w:hideMark/>
          </w:tcPr>
          <w:p w14:paraId="0A620855"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59%</w:t>
            </w:r>
          </w:p>
        </w:tc>
        <w:tc>
          <w:tcPr>
            <w:tcW w:w="1315" w:type="dxa"/>
            <w:vAlign w:val="bottom"/>
          </w:tcPr>
          <w:p w14:paraId="487B974D" w14:textId="511009B1"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46,305</w:t>
            </w:r>
          </w:p>
        </w:tc>
        <w:tc>
          <w:tcPr>
            <w:tcW w:w="1375" w:type="dxa"/>
            <w:vAlign w:val="bottom"/>
          </w:tcPr>
          <w:p w14:paraId="4868390B" w14:textId="040B7484"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60%</w:t>
            </w:r>
          </w:p>
        </w:tc>
        <w:tc>
          <w:tcPr>
            <w:tcW w:w="1235" w:type="dxa"/>
            <w:vAlign w:val="bottom"/>
          </w:tcPr>
          <w:p w14:paraId="61612D31" w14:textId="03F326B8"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31,441</w:t>
            </w:r>
          </w:p>
        </w:tc>
        <w:tc>
          <w:tcPr>
            <w:tcW w:w="1170" w:type="dxa"/>
            <w:vAlign w:val="bottom"/>
          </w:tcPr>
          <w:p w14:paraId="680F949A" w14:textId="7715C1E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60%</w:t>
            </w:r>
          </w:p>
        </w:tc>
      </w:tr>
      <w:tr w:rsidR="00106EE7" w:rsidRPr="0064627E" w14:paraId="6FBA4DD6" w14:textId="38C4D60D" w:rsidTr="0099216F">
        <w:trPr>
          <w:cantSplit/>
          <w:trHeight w:val="300"/>
          <w:jc w:val="center"/>
        </w:trPr>
        <w:tc>
          <w:tcPr>
            <w:tcW w:w="4283" w:type="dxa"/>
            <w:vAlign w:val="center"/>
            <w:hideMark/>
          </w:tcPr>
          <w:p w14:paraId="1EA89181"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Race: White</w:t>
            </w:r>
          </w:p>
        </w:tc>
        <w:tc>
          <w:tcPr>
            <w:tcW w:w="1433" w:type="dxa"/>
            <w:vAlign w:val="center"/>
            <w:hideMark/>
          </w:tcPr>
          <w:p w14:paraId="3A002998"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39,750</w:t>
            </w:r>
          </w:p>
        </w:tc>
        <w:tc>
          <w:tcPr>
            <w:tcW w:w="1345" w:type="dxa"/>
            <w:vAlign w:val="center"/>
            <w:hideMark/>
          </w:tcPr>
          <w:p w14:paraId="3348848F"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53%</w:t>
            </w:r>
          </w:p>
        </w:tc>
        <w:tc>
          <w:tcPr>
            <w:tcW w:w="1434" w:type="dxa"/>
            <w:vAlign w:val="center"/>
            <w:hideMark/>
          </w:tcPr>
          <w:p w14:paraId="001241B6"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37,770</w:t>
            </w:r>
          </w:p>
        </w:tc>
        <w:tc>
          <w:tcPr>
            <w:tcW w:w="1345" w:type="dxa"/>
            <w:vAlign w:val="center"/>
            <w:hideMark/>
          </w:tcPr>
          <w:p w14:paraId="576F9BD6"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53%</w:t>
            </w:r>
          </w:p>
        </w:tc>
        <w:tc>
          <w:tcPr>
            <w:tcW w:w="1315" w:type="dxa"/>
            <w:vAlign w:val="bottom"/>
          </w:tcPr>
          <w:p w14:paraId="72547F18" w14:textId="6AD8D6AA"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41,948</w:t>
            </w:r>
          </w:p>
        </w:tc>
        <w:tc>
          <w:tcPr>
            <w:tcW w:w="1375" w:type="dxa"/>
            <w:vAlign w:val="bottom"/>
          </w:tcPr>
          <w:p w14:paraId="2E9CBBC6" w14:textId="02E8FFF1"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55%</w:t>
            </w:r>
          </w:p>
        </w:tc>
        <w:tc>
          <w:tcPr>
            <w:tcW w:w="1235" w:type="dxa"/>
            <w:vAlign w:val="bottom"/>
          </w:tcPr>
          <w:p w14:paraId="4DDC5EBD" w14:textId="508DFF10"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29,488</w:t>
            </w:r>
          </w:p>
        </w:tc>
        <w:tc>
          <w:tcPr>
            <w:tcW w:w="1170" w:type="dxa"/>
            <w:vAlign w:val="bottom"/>
          </w:tcPr>
          <w:p w14:paraId="1A2B6143" w14:textId="4B058B11"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56%</w:t>
            </w:r>
          </w:p>
        </w:tc>
      </w:tr>
      <w:tr w:rsidR="00106EE7" w:rsidRPr="0064627E" w14:paraId="0D2D068A" w14:textId="0D3F10B3" w:rsidTr="0099216F">
        <w:trPr>
          <w:cantSplit/>
          <w:trHeight w:val="300"/>
          <w:jc w:val="center"/>
        </w:trPr>
        <w:tc>
          <w:tcPr>
            <w:tcW w:w="4283" w:type="dxa"/>
            <w:vAlign w:val="center"/>
            <w:hideMark/>
          </w:tcPr>
          <w:p w14:paraId="59490433"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Race: Black or African American</w:t>
            </w:r>
          </w:p>
        </w:tc>
        <w:tc>
          <w:tcPr>
            <w:tcW w:w="1433" w:type="dxa"/>
            <w:vAlign w:val="center"/>
            <w:hideMark/>
          </w:tcPr>
          <w:p w14:paraId="480FB9F8"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8,076</w:t>
            </w:r>
          </w:p>
        </w:tc>
        <w:tc>
          <w:tcPr>
            <w:tcW w:w="1345" w:type="dxa"/>
            <w:vAlign w:val="center"/>
            <w:hideMark/>
          </w:tcPr>
          <w:p w14:paraId="1E5E355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w:t>
            </w:r>
          </w:p>
        </w:tc>
        <w:tc>
          <w:tcPr>
            <w:tcW w:w="1434" w:type="dxa"/>
            <w:vAlign w:val="center"/>
            <w:hideMark/>
          </w:tcPr>
          <w:p w14:paraId="1F3100B5"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7,732</w:t>
            </w:r>
          </w:p>
        </w:tc>
        <w:tc>
          <w:tcPr>
            <w:tcW w:w="1345" w:type="dxa"/>
            <w:vAlign w:val="center"/>
            <w:hideMark/>
          </w:tcPr>
          <w:p w14:paraId="35F4D8C6"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w:t>
            </w:r>
          </w:p>
        </w:tc>
        <w:tc>
          <w:tcPr>
            <w:tcW w:w="1315" w:type="dxa"/>
            <w:vAlign w:val="bottom"/>
          </w:tcPr>
          <w:p w14:paraId="47704FD6" w14:textId="0C142C7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9,043</w:t>
            </w:r>
          </w:p>
        </w:tc>
        <w:tc>
          <w:tcPr>
            <w:tcW w:w="1375" w:type="dxa"/>
            <w:vAlign w:val="bottom"/>
          </w:tcPr>
          <w:p w14:paraId="3AB3900C" w14:textId="6ED38454"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12%</w:t>
            </w:r>
          </w:p>
        </w:tc>
        <w:tc>
          <w:tcPr>
            <w:tcW w:w="1235" w:type="dxa"/>
            <w:vAlign w:val="bottom"/>
          </w:tcPr>
          <w:p w14:paraId="15A9E4E5" w14:textId="1DB9CC25"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6,184</w:t>
            </w:r>
          </w:p>
        </w:tc>
        <w:tc>
          <w:tcPr>
            <w:tcW w:w="1170" w:type="dxa"/>
            <w:vAlign w:val="bottom"/>
          </w:tcPr>
          <w:p w14:paraId="31BED213" w14:textId="63C67A0F"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12%</w:t>
            </w:r>
          </w:p>
        </w:tc>
      </w:tr>
      <w:tr w:rsidR="00106EE7" w:rsidRPr="0064627E" w14:paraId="6B077308" w14:textId="008DF52E" w:rsidTr="0099216F">
        <w:trPr>
          <w:cantSplit/>
          <w:trHeight w:val="300"/>
          <w:jc w:val="center"/>
        </w:trPr>
        <w:tc>
          <w:tcPr>
            <w:tcW w:w="4283" w:type="dxa"/>
            <w:vAlign w:val="center"/>
            <w:hideMark/>
          </w:tcPr>
          <w:p w14:paraId="1360911C"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Race: American Indian or Alaska Native</w:t>
            </w:r>
          </w:p>
        </w:tc>
        <w:tc>
          <w:tcPr>
            <w:tcW w:w="1433" w:type="dxa"/>
            <w:vAlign w:val="center"/>
            <w:hideMark/>
          </w:tcPr>
          <w:p w14:paraId="16CC2DC8" w14:textId="6396367D"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&lt;11</w:t>
            </w:r>
          </w:p>
        </w:tc>
        <w:tc>
          <w:tcPr>
            <w:tcW w:w="1345" w:type="dxa"/>
            <w:vAlign w:val="center"/>
            <w:hideMark/>
          </w:tcPr>
          <w:p w14:paraId="3205044F"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434" w:type="dxa"/>
            <w:vAlign w:val="center"/>
            <w:hideMark/>
          </w:tcPr>
          <w:p w14:paraId="05831C73"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w:t>
            </w:r>
          </w:p>
        </w:tc>
        <w:tc>
          <w:tcPr>
            <w:tcW w:w="1345" w:type="dxa"/>
            <w:vAlign w:val="center"/>
            <w:hideMark/>
          </w:tcPr>
          <w:p w14:paraId="11E721C6"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315" w:type="dxa"/>
            <w:vAlign w:val="bottom"/>
          </w:tcPr>
          <w:p w14:paraId="610383C1" w14:textId="23A9EE80"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&lt;11</w:t>
            </w:r>
          </w:p>
        </w:tc>
        <w:tc>
          <w:tcPr>
            <w:tcW w:w="1375" w:type="dxa"/>
            <w:vAlign w:val="bottom"/>
          </w:tcPr>
          <w:p w14:paraId="5EE27D19" w14:textId="17816A6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235" w:type="dxa"/>
            <w:vAlign w:val="bottom"/>
          </w:tcPr>
          <w:p w14:paraId="31E6024C" w14:textId="0BC8B2E2"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170" w:type="dxa"/>
            <w:vAlign w:val="bottom"/>
          </w:tcPr>
          <w:p w14:paraId="5FF2EBC2" w14:textId="215853F5"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r>
      <w:tr w:rsidR="00106EE7" w:rsidRPr="0064627E" w14:paraId="696598A5" w14:textId="054B5CA1" w:rsidTr="0099216F">
        <w:trPr>
          <w:cantSplit/>
          <w:trHeight w:val="300"/>
          <w:jc w:val="center"/>
        </w:trPr>
        <w:tc>
          <w:tcPr>
            <w:tcW w:w="4283" w:type="dxa"/>
            <w:vAlign w:val="center"/>
            <w:hideMark/>
          </w:tcPr>
          <w:p w14:paraId="17D4EC66"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Race: Asian</w:t>
            </w:r>
          </w:p>
        </w:tc>
        <w:tc>
          <w:tcPr>
            <w:tcW w:w="1433" w:type="dxa"/>
            <w:vAlign w:val="center"/>
            <w:hideMark/>
          </w:tcPr>
          <w:p w14:paraId="4A42A90A" w14:textId="0EB67B78"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1,176</w:t>
            </w:r>
          </w:p>
        </w:tc>
        <w:tc>
          <w:tcPr>
            <w:tcW w:w="1345" w:type="dxa"/>
            <w:vAlign w:val="center"/>
            <w:hideMark/>
          </w:tcPr>
          <w:p w14:paraId="7A5BCF0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w:t>
            </w:r>
          </w:p>
        </w:tc>
        <w:tc>
          <w:tcPr>
            <w:tcW w:w="1434" w:type="dxa"/>
            <w:vAlign w:val="center"/>
            <w:hideMark/>
          </w:tcPr>
          <w:p w14:paraId="2F223D0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1,068</w:t>
            </w:r>
          </w:p>
        </w:tc>
        <w:tc>
          <w:tcPr>
            <w:tcW w:w="1345" w:type="dxa"/>
            <w:vAlign w:val="center"/>
            <w:hideMark/>
          </w:tcPr>
          <w:p w14:paraId="4F8CD8CA"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w:t>
            </w:r>
          </w:p>
        </w:tc>
        <w:tc>
          <w:tcPr>
            <w:tcW w:w="1315" w:type="dxa"/>
            <w:vAlign w:val="bottom"/>
          </w:tcPr>
          <w:p w14:paraId="372D3639" w14:textId="477A80CB"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881</w:t>
            </w:r>
          </w:p>
        </w:tc>
        <w:tc>
          <w:tcPr>
            <w:tcW w:w="1375" w:type="dxa"/>
            <w:vAlign w:val="bottom"/>
          </w:tcPr>
          <w:p w14:paraId="5C860937" w14:textId="23A83F4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w:t>
            </w:r>
          </w:p>
        </w:tc>
        <w:tc>
          <w:tcPr>
            <w:tcW w:w="1235" w:type="dxa"/>
            <w:vAlign w:val="bottom"/>
          </w:tcPr>
          <w:p w14:paraId="1D1C5B06" w14:textId="3EF68895"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443</w:t>
            </w:r>
          </w:p>
        </w:tc>
        <w:tc>
          <w:tcPr>
            <w:tcW w:w="1170" w:type="dxa"/>
            <w:vAlign w:val="bottom"/>
          </w:tcPr>
          <w:p w14:paraId="63DCB910" w14:textId="0AB4511C"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w:t>
            </w:r>
          </w:p>
        </w:tc>
      </w:tr>
      <w:tr w:rsidR="00106EE7" w:rsidRPr="0064627E" w14:paraId="373D056E" w14:textId="25B48A62" w:rsidTr="0099216F">
        <w:trPr>
          <w:cantSplit/>
          <w:trHeight w:val="300"/>
          <w:jc w:val="center"/>
        </w:trPr>
        <w:tc>
          <w:tcPr>
            <w:tcW w:w="4283" w:type="dxa"/>
            <w:vAlign w:val="center"/>
            <w:hideMark/>
          </w:tcPr>
          <w:p w14:paraId="799DD4EB"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 xml:space="preserve">Race: Native Hawaiian or Other Pacific Islander </w:t>
            </w:r>
          </w:p>
        </w:tc>
        <w:tc>
          <w:tcPr>
            <w:tcW w:w="1433" w:type="dxa"/>
            <w:vAlign w:val="center"/>
            <w:hideMark/>
          </w:tcPr>
          <w:p w14:paraId="65ACAF3E"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25</w:t>
            </w:r>
          </w:p>
        </w:tc>
        <w:tc>
          <w:tcPr>
            <w:tcW w:w="1345" w:type="dxa"/>
            <w:vAlign w:val="center"/>
            <w:hideMark/>
          </w:tcPr>
          <w:p w14:paraId="2CCBC7FF"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434" w:type="dxa"/>
            <w:vAlign w:val="center"/>
            <w:hideMark/>
          </w:tcPr>
          <w:p w14:paraId="20C45FC0"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26</w:t>
            </w:r>
          </w:p>
        </w:tc>
        <w:tc>
          <w:tcPr>
            <w:tcW w:w="1345" w:type="dxa"/>
            <w:vAlign w:val="center"/>
            <w:hideMark/>
          </w:tcPr>
          <w:p w14:paraId="289A019F"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315" w:type="dxa"/>
            <w:vAlign w:val="bottom"/>
          </w:tcPr>
          <w:p w14:paraId="1A2D96D7" w14:textId="18E2654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55</w:t>
            </w:r>
          </w:p>
        </w:tc>
        <w:tc>
          <w:tcPr>
            <w:tcW w:w="1375" w:type="dxa"/>
            <w:vAlign w:val="bottom"/>
          </w:tcPr>
          <w:p w14:paraId="62006349" w14:textId="668274AD"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235" w:type="dxa"/>
            <w:vAlign w:val="bottom"/>
          </w:tcPr>
          <w:p w14:paraId="43EDD5AA" w14:textId="1B7F3C10"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139</w:t>
            </w:r>
          </w:p>
        </w:tc>
        <w:tc>
          <w:tcPr>
            <w:tcW w:w="1170" w:type="dxa"/>
            <w:vAlign w:val="bottom"/>
          </w:tcPr>
          <w:p w14:paraId="162AB50D" w14:textId="149AB21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r>
      <w:tr w:rsidR="00106EE7" w:rsidRPr="0064627E" w14:paraId="77814697" w14:textId="7F706279" w:rsidTr="0099216F">
        <w:trPr>
          <w:cantSplit/>
          <w:trHeight w:val="300"/>
          <w:jc w:val="center"/>
        </w:trPr>
        <w:tc>
          <w:tcPr>
            <w:tcW w:w="4283" w:type="dxa"/>
            <w:vAlign w:val="center"/>
            <w:hideMark/>
          </w:tcPr>
          <w:p w14:paraId="3B06308B" w14:textId="35C80FAD" w:rsidR="00106EE7" w:rsidRPr="0064627E" w:rsidRDefault="00106EE7" w:rsidP="00106EE7">
            <w:pPr>
              <w:suppressAutoHyphens w:val="0"/>
              <w:rPr>
                <w:rFonts w:ascii="Aptos Narrow" w:hAnsi="Aptos Narrow"/>
                <w:color w:val="467886"/>
                <w:kern w:val="0"/>
                <w:u w:val="single"/>
                <w14:ligatures w14:val="none"/>
              </w:rPr>
            </w:pPr>
            <w:r w:rsidRPr="0064627E">
              <w:rPr>
                <w:rFonts w:ascii="Aptos Narrow" w:hAnsi="Aptos Narrow" w:cs="Calibri Light"/>
                <w:color w:val="000000"/>
                <w:kern w:val="0"/>
                <w14:ligatures w14:val="none"/>
              </w:rPr>
              <w:t>Race: Other</w:t>
            </w:r>
            <w:r w:rsidRPr="0064627E">
              <w:rPr>
                <w:rStyle w:val="FootnoteReference"/>
                <w:rFonts w:ascii="Aptos Narrow" w:hAnsi="Aptos Narrow" w:cs="Calibri Light"/>
                <w:color w:val="000000"/>
                <w:kern w:val="0"/>
                <w14:ligatures w14:val="none"/>
              </w:rPr>
              <w:footnoteReference w:id="6"/>
            </w:r>
            <w:r w:rsidRPr="0064627E">
              <w:rPr>
                <w:rFonts w:ascii="Aptos Narrow" w:hAnsi="Aptos Narrow" w:cs="Calibri Light"/>
                <w:color w:val="000000"/>
                <w:kern w:val="0"/>
                <w14:ligatures w14:val="none"/>
              </w:rPr>
              <w:t xml:space="preserve"> </w:t>
            </w:r>
          </w:p>
        </w:tc>
        <w:tc>
          <w:tcPr>
            <w:tcW w:w="1433" w:type="dxa"/>
            <w:vAlign w:val="center"/>
            <w:hideMark/>
          </w:tcPr>
          <w:p w14:paraId="0F53E00B"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20,100</w:t>
            </w:r>
          </w:p>
        </w:tc>
        <w:tc>
          <w:tcPr>
            <w:tcW w:w="1345" w:type="dxa"/>
            <w:vAlign w:val="center"/>
            <w:hideMark/>
          </w:tcPr>
          <w:p w14:paraId="1FC6B4E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27%</w:t>
            </w:r>
          </w:p>
        </w:tc>
        <w:tc>
          <w:tcPr>
            <w:tcW w:w="1434" w:type="dxa"/>
            <w:vAlign w:val="center"/>
            <w:hideMark/>
          </w:tcPr>
          <w:p w14:paraId="2516D085"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18,925</w:t>
            </w:r>
          </w:p>
        </w:tc>
        <w:tc>
          <w:tcPr>
            <w:tcW w:w="1345" w:type="dxa"/>
            <w:vAlign w:val="center"/>
            <w:hideMark/>
          </w:tcPr>
          <w:p w14:paraId="774A468B"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27%</w:t>
            </w:r>
          </w:p>
        </w:tc>
        <w:tc>
          <w:tcPr>
            <w:tcW w:w="1315" w:type="dxa"/>
            <w:vAlign w:val="bottom"/>
          </w:tcPr>
          <w:p w14:paraId="157EC95A" w14:textId="7B75ABC5"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12,375</w:t>
            </w:r>
          </w:p>
        </w:tc>
        <w:tc>
          <w:tcPr>
            <w:tcW w:w="1375" w:type="dxa"/>
            <w:vAlign w:val="bottom"/>
          </w:tcPr>
          <w:p w14:paraId="3BFF2BE1" w14:textId="2F9A758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16%</w:t>
            </w:r>
          </w:p>
        </w:tc>
        <w:tc>
          <w:tcPr>
            <w:tcW w:w="1235" w:type="dxa"/>
            <w:vAlign w:val="bottom"/>
          </w:tcPr>
          <w:p w14:paraId="47433AB1" w14:textId="2CC36DE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5,408</w:t>
            </w:r>
          </w:p>
        </w:tc>
        <w:tc>
          <w:tcPr>
            <w:tcW w:w="1170" w:type="dxa"/>
            <w:vAlign w:val="bottom"/>
          </w:tcPr>
          <w:p w14:paraId="792F7DFA" w14:textId="3A3E2AB6"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10%</w:t>
            </w:r>
          </w:p>
        </w:tc>
      </w:tr>
      <w:tr w:rsidR="00106EE7" w:rsidRPr="0064627E" w14:paraId="3CDDB982" w14:textId="2E00CC51" w:rsidTr="0099216F">
        <w:trPr>
          <w:cantSplit/>
          <w:trHeight w:val="300"/>
          <w:jc w:val="center"/>
        </w:trPr>
        <w:tc>
          <w:tcPr>
            <w:tcW w:w="4283" w:type="dxa"/>
            <w:vAlign w:val="center"/>
            <w:hideMark/>
          </w:tcPr>
          <w:p w14:paraId="357E180D" w14:textId="5C6672E1"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 xml:space="preserve">Race: Unknown/Left blank  </w:t>
            </w:r>
          </w:p>
        </w:tc>
        <w:tc>
          <w:tcPr>
            <w:tcW w:w="1433" w:type="dxa"/>
            <w:vAlign w:val="center"/>
            <w:hideMark/>
          </w:tcPr>
          <w:p w14:paraId="74D0411D"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5,316</w:t>
            </w:r>
          </w:p>
        </w:tc>
        <w:tc>
          <w:tcPr>
            <w:tcW w:w="1345" w:type="dxa"/>
            <w:vAlign w:val="center"/>
            <w:hideMark/>
          </w:tcPr>
          <w:p w14:paraId="745EE76C"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7%</w:t>
            </w:r>
          </w:p>
        </w:tc>
        <w:tc>
          <w:tcPr>
            <w:tcW w:w="1434" w:type="dxa"/>
            <w:vAlign w:val="center"/>
            <w:hideMark/>
          </w:tcPr>
          <w:p w14:paraId="77E11E08"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5,481</w:t>
            </w:r>
          </w:p>
        </w:tc>
        <w:tc>
          <w:tcPr>
            <w:tcW w:w="1345" w:type="dxa"/>
            <w:vAlign w:val="center"/>
            <w:hideMark/>
          </w:tcPr>
          <w:p w14:paraId="124A063B"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w:t>
            </w:r>
          </w:p>
        </w:tc>
        <w:tc>
          <w:tcPr>
            <w:tcW w:w="1315" w:type="dxa"/>
            <w:vAlign w:val="bottom"/>
          </w:tcPr>
          <w:p w14:paraId="6FAB19DD" w14:textId="4313612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6,416</w:t>
            </w:r>
          </w:p>
        </w:tc>
        <w:tc>
          <w:tcPr>
            <w:tcW w:w="1375" w:type="dxa"/>
            <w:vAlign w:val="bottom"/>
          </w:tcPr>
          <w:p w14:paraId="120C1658" w14:textId="6235B0ED"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w:t>
            </w:r>
          </w:p>
        </w:tc>
        <w:tc>
          <w:tcPr>
            <w:tcW w:w="1235" w:type="dxa"/>
            <w:vAlign w:val="bottom"/>
          </w:tcPr>
          <w:p w14:paraId="74C1E689" w14:textId="113A18D4"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4,280</w:t>
            </w:r>
          </w:p>
        </w:tc>
        <w:tc>
          <w:tcPr>
            <w:tcW w:w="1170" w:type="dxa"/>
            <w:vAlign w:val="bottom"/>
          </w:tcPr>
          <w:p w14:paraId="4DB61B4B" w14:textId="3A962B9E"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w:t>
            </w:r>
          </w:p>
        </w:tc>
      </w:tr>
      <w:tr w:rsidR="00106EE7" w:rsidRPr="0064627E" w14:paraId="0C68D558" w14:textId="5E41DA18" w:rsidTr="0099216F">
        <w:trPr>
          <w:cantSplit/>
          <w:trHeight w:val="300"/>
          <w:jc w:val="center"/>
        </w:trPr>
        <w:tc>
          <w:tcPr>
            <w:tcW w:w="4283" w:type="dxa"/>
            <w:vAlign w:val="center"/>
            <w:hideMark/>
          </w:tcPr>
          <w:p w14:paraId="21229349" w14:textId="77777777" w:rsidR="00106EE7" w:rsidRPr="0064627E" w:rsidRDefault="00106EE7" w:rsidP="00106EE7">
            <w:pPr>
              <w:suppressAutoHyphens w:val="0"/>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 xml:space="preserve">Race: Patient Declined </w:t>
            </w:r>
          </w:p>
        </w:tc>
        <w:tc>
          <w:tcPr>
            <w:tcW w:w="1433" w:type="dxa"/>
            <w:vAlign w:val="center"/>
            <w:hideMark/>
          </w:tcPr>
          <w:p w14:paraId="2564BEE0"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33</w:t>
            </w:r>
          </w:p>
        </w:tc>
        <w:tc>
          <w:tcPr>
            <w:tcW w:w="1345" w:type="dxa"/>
            <w:vAlign w:val="center"/>
            <w:hideMark/>
          </w:tcPr>
          <w:p w14:paraId="24FB57F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434" w:type="dxa"/>
            <w:vAlign w:val="center"/>
            <w:hideMark/>
          </w:tcPr>
          <w:p w14:paraId="596A683C"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34</w:t>
            </w:r>
          </w:p>
        </w:tc>
        <w:tc>
          <w:tcPr>
            <w:tcW w:w="1345" w:type="dxa"/>
            <w:vAlign w:val="center"/>
            <w:hideMark/>
          </w:tcPr>
          <w:p w14:paraId="622DA6E7" w14:textId="77777777"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0%</w:t>
            </w:r>
          </w:p>
        </w:tc>
        <w:tc>
          <w:tcPr>
            <w:tcW w:w="1315" w:type="dxa"/>
            <w:vAlign w:val="bottom"/>
          </w:tcPr>
          <w:p w14:paraId="1F58C05C" w14:textId="69BEFD2A"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6,134</w:t>
            </w:r>
          </w:p>
        </w:tc>
        <w:tc>
          <w:tcPr>
            <w:tcW w:w="1375" w:type="dxa"/>
            <w:vAlign w:val="bottom"/>
          </w:tcPr>
          <w:p w14:paraId="2AD843A5" w14:textId="533D242A"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8%</w:t>
            </w:r>
          </w:p>
        </w:tc>
        <w:tc>
          <w:tcPr>
            <w:tcW w:w="1235" w:type="dxa"/>
            <w:vAlign w:val="bottom"/>
          </w:tcPr>
          <w:p w14:paraId="45A7C996" w14:textId="146019D3"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6,460</w:t>
            </w:r>
          </w:p>
        </w:tc>
        <w:tc>
          <w:tcPr>
            <w:tcW w:w="1170" w:type="dxa"/>
            <w:vAlign w:val="bottom"/>
          </w:tcPr>
          <w:p w14:paraId="50ED659E" w14:textId="2232501A" w:rsidR="00106EE7" w:rsidRPr="0064627E" w:rsidRDefault="00106EE7" w:rsidP="00106EE7">
            <w:pPr>
              <w:suppressAutoHyphens w:val="0"/>
              <w:jc w:val="center"/>
              <w:rPr>
                <w:rFonts w:ascii="Aptos Narrow" w:hAnsi="Aptos Narrow" w:cs="Calibri Light"/>
                <w:color w:val="000000"/>
                <w:kern w:val="0"/>
                <w14:ligatures w14:val="none"/>
              </w:rPr>
            </w:pPr>
            <w:r w:rsidRPr="0064627E">
              <w:rPr>
                <w:rFonts w:ascii="Aptos Narrow" w:hAnsi="Aptos Narrow" w:cs="Calibri Light"/>
                <w:color w:val="000000"/>
                <w:kern w:val="0"/>
                <w14:ligatures w14:val="none"/>
              </w:rPr>
              <w:t>12%</w:t>
            </w:r>
          </w:p>
        </w:tc>
      </w:tr>
    </w:tbl>
    <w:p w14:paraId="7D79747F" w14:textId="77777777" w:rsidR="00946B83" w:rsidRDefault="00946B83" w:rsidP="00615591">
      <w:pPr>
        <w:suppressAutoHyphens w:val="0"/>
        <w:rPr>
          <w:rFonts w:asciiTheme="minorHAnsi" w:eastAsia="PMingLiU" w:hAnsiTheme="minorHAnsi"/>
          <w:b/>
          <w:bCs/>
          <w:kern w:val="0"/>
          <w14:ligatures w14:val="none"/>
        </w:rPr>
        <w:sectPr w:rsidR="00946B83" w:rsidSect="007730C3">
          <w:pgSz w:w="15840" w:h="12240" w:orient="landscape"/>
          <w:pgMar w:top="720" w:right="720" w:bottom="720" w:left="720" w:header="720" w:footer="720" w:gutter="0"/>
          <w:cols w:space="720"/>
          <w:docGrid w:linePitch="360"/>
        </w:sectPr>
      </w:pPr>
    </w:p>
    <w:tbl>
      <w:tblPr>
        <w:tblStyle w:val="TableGrid"/>
        <w:tblW w:w="0" w:type="auto"/>
        <w:tblInd w:w="175" w:type="dxa"/>
        <w:tblLook w:val="04A0" w:firstRow="1" w:lastRow="0" w:firstColumn="1" w:lastColumn="0" w:noHBand="0" w:noVBand="1"/>
        <w:tblCaption w:val="Table 3: Baystate Health and MMC Patient Panel Zip Codes "/>
      </w:tblPr>
      <w:tblGrid>
        <w:gridCol w:w="6030"/>
        <w:gridCol w:w="2070"/>
        <w:gridCol w:w="1440"/>
        <w:gridCol w:w="1530"/>
        <w:gridCol w:w="1620"/>
        <w:gridCol w:w="1525"/>
      </w:tblGrid>
      <w:tr w:rsidR="00155CA2" w:rsidRPr="0064627E" w14:paraId="70900EC1" w14:textId="77777777" w:rsidTr="00866B41">
        <w:trPr>
          <w:cantSplit/>
          <w:trHeight w:val="288"/>
          <w:tblHeader/>
        </w:trPr>
        <w:tc>
          <w:tcPr>
            <w:tcW w:w="6030" w:type="dxa"/>
            <w:shd w:val="clear" w:color="auto" w:fill="0E2841" w:themeFill="text2"/>
          </w:tcPr>
          <w:p w14:paraId="58EF5887" w14:textId="77777777" w:rsidR="00155CA2" w:rsidRPr="0064627E" w:rsidRDefault="00155CA2" w:rsidP="00155CA2">
            <w:pPr>
              <w:suppressAutoHyphens w:val="0"/>
              <w:rPr>
                <w:rFonts w:asciiTheme="minorHAnsi" w:eastAsia="PMingLiU" w:hAnsiTheme="minorHAnsi"/>
                <w:b/>
                <w:bCs/>
                <w:kern w:val="0"/>
                <w14:ligatures w14:val="none"/>
              </w:rPr>
            </w:pPr>
            <w:r w:rsidRPr="0064627E">
              <w:rPr>
                <w:rFonts w:ascii="Aptos" w:hAnsi="Aptos"/>
                <w:b/>
                <w:bCs/>
                <w:color w:val="FFFFFF" w:themeColor="background1"/>
                <w:kern w:val="0"/>
                <w14:ligatures w14:val="none"/>
              </w:rPr>
              <w:lastRenderedPageBreak/>
              <w:t xml:space="preserve">Table 3: </w:t>
            </w:r>
            <w:r w:rsidRPr="0064627E">
              <w:rPr>
                <w:rFonts w:asciiTheme="minorHAnsi" w:eastAsia="PMingLiU" w:hAnsiTheme="minorHAnsi"/>
                <w:b/>
                <w:bCs/>
                <w:kern w:val="0"/>
                <w14:ligatures w14:val="none"/>
              </w:rPr>
              <w:t xml:space="preserve">Baystate Health and MMC Patient Panel Zip Codes </w:t>
            </w:r>
          </w:p>
          <w:p w14:paraId="3466A218" w14:textId="7124235C" w:rsidR="00155CA2" w:rsidRPr="0064627E" w:rsidRDefault="00155CA2" w:rsidP="00155CA2">
            <w:pPr>
              <w:suppressAutoHyphens w:val="0"/>
              <w:rPr>
                <w:rFonts w:asciiTheme="minorHAnsi" w:eastAsia="PMingLiU" w:hAnsiTheme="minorHAnsi"/>
                <w:kern w:val="0"/>
                <w14:ligatures w14:val="none"/>
              </w:rPr>
            </w:pPr>
            <w:r w:rsidRPr="0064627E">
              <w:rPr>
                <w:rFonts w:asciiTheme="minorHAnsi" w:eastAsia="PMingLiU" w:hAnsiTheme="minorHAnsi"/>
                <w:b/>
                <w:bCs/>
                <w:kern w:val="0"/>
                <w14:ligatures w14:val="none"/>
              </w:rPr>
              <w:t>FY2025</w:t>
            </w:r>
          </w:p>
        </w:tc>
        <w:tc>
          <w:tcPr>
            <w:tcW w:w="2070" w:type="dxa"/>
            <w:shd w:val="clear" w:color="auto" w:fill="0E2841" w:themeFill="text2"/>
          </w:tcPr>
          <w:p w14:paraId="6065303C" w14:textId="126D64FB" w:rsidR="00155CA2" w:rsidRPr="0064627E" w:rsidRDefault="00155CA2" w:rsidP="00155CA2">
            <w:pPr>
              <w:suppressAutoHyphens w:val="0"/>
              <w:spacing w:after="240"/>
              <w:jc w:val="both"/>
              <w:rPr>
                <w:rFonts w:asciiTheme="minorHAnsi" w:eastAsia="PMingLiU" w:hAnsiTheme="minorHAnsi"/>
                <w:kern w:val="0"/>
                <w14:ligatures w14:val="none"/>
              </w:rPr>
            </w:pPr>
            <w:r w:rsidRPr="0064627E">
              <w:rPr>
                <w:rFonts w:ascii="Aptos" w:hAnsi="Aptos"/>
                <w:b/>
                <w:bCs/>
                <w:color w:val="FFFFFF" w:themeColor="background1"/>
                <w:kern w:val="0"/>
                <w14:ligatures w14:val="none"/>
              </w:rPr>
              <w:t>Town</w:t>
            </w:r>
          </w:p>
        </w:tc>
        <w:tc>
          <w:tcPr>
            <w:tcW w:w="1440" w:type="dxa"/>
            <w:shd w:val="clear" w:color="auto" w:fill="0E2841" w:themeFill="text2"/>
          </w:tcPr>
          <w:p w14:paraId="24F84C82" w14:textId="09C79BAC" w:rsidR="00155CA2" w:rsidRPr="0064627E" w:rsidRDefault="00155CA2" w:rsidP="000C675D">
            <w:pPr>
              <w:suppressAutoHyphens w:val="0"/>
              <w:spacing w:after="240"/>
              <w:jc w:val="center"/>
              <w:rPr>
                <w:rFonts w:asciiTheme="minorHAnsi" w:eastAsia="PMingLiU" w:hAnsiTheme="minorHAnsi"/>
                <w:kern w:val="0"/>
                <w14:ligatures w14:val="none"/>
              </w:rPr>
            </w:pPr>
            <w:r w:rsidRPr="0064627E">
              <w:rPr>
                <w:rFonts w:ascii="Aptos" w:hAnsi="Aptos"/>
                <w:b/>
                <w:bCs/>
                <w:color w:val="FFFFFF" w:themeColor="background1"/>
                <w:kern w:val="0"/>
                <w14:ligatures w14:val="none"/>
              </w:rPr>
              <w:t>MMC Count</w:t>
            </w:r>
          </w:p>
        </w:tc>
        <w:tc>
          <w:tcPr>
            <w:tcW w:w="1530" w:type="dxa"/>
            <w:shd w:val="clear" w:color="auto" w:fill="0E2841" w:themeFill="text2"/>
          </w:tcPr>
          <w:p w14:paraId="649BE17B" w14:textId="229DD44B" w:rsidR="00155CA2" w:rsidRPr="0064627E" w:rsidRDefault="00155CA2" w:rsidP="000C675D">
            <w:pPr>
              <w:suppressAutoHyphens w:val="0"/>
              <w:spacing w:after="240"/>
              <w:jc w:val="center"/>
              <w:rPr>
                <w:rFonts w:asciiTheme="minorHAnsi" w:eastAsia="PMingLiU" w:hAnsiTheme="minorHAnsi"/>
                <w:kern w:val="0"/>
                <w14:ligatures w14:val="none"/>
              </w:rPr>
            </w:pPr>
            <w:r w:rsidRPr="0064627E">
              <w:rPr>
                <w:rFonts w:ascii="Aptos" w:hAnsi="Aptos"/>
                <w:b/>
                <w:bCs/>
                <w:color w:val="FFFFFF" w:themeColor="background1"/>
                <w:kern w:val="0"/>
                <w14:ligatures w14:val="none"/>
              </w:rPr>
              <w:t xml:space="preserve">MMC </w:t>
            </w:r>
            <w:r w:rsidR="002750E2">
              <w:rPr>
                <w:rFonts w:ascii="Aptos" w:hAnsi="Aptos"/>
                <w:b/>
                <w:bCs/>
                <w:color w:val="FFFFFF" w:themeColor="background1"/>
                <w:kern w:val="0"/>
                <w14:ligatures w14:val="none"/>
              </w:rPr>
              <w:t>Percent</w:t>
            </w:r>
            <w:r w:rsidRPr="0064627E">
              <w:rPr>
                <w:rFonts w:ascii="Aptos" w:hAnsi="Aptos"/>
                <w:b/>
                <w:bCs/>
                <w:color w:val="FFFFFF" w:themeColor="background1"/>
                <w:kern w:val="0"/>
                <w14:ligatures w14:val="none"/>
              </w:rPr>
              <w:t xml:space="preserve"> of Total</w:t>
            </w:r>
          </w:p>
        </w:tc>
        <w:tc>
          <w:tcPr>
            <w:tcW w:w="1620" w:type="dxa"/>
            <w:tcBorders>
              <w:right w:val="single" w:sz="4" w:space="0" w:color="auto"/>
            </w:tcBorders>
            <w:shd w:val="clear" w:color="auto" w:fill="0E2841" w:themeFill="text2"/>
          </w:tcPr>
          <w:p w14:paraId="4B2605BF" w14:textId="5E3AF7AF" w:rsidR="00155CA2" w:rsidRPr="0064627E" w:rsidRDefault="00155CA2" w:rsidP="000C675D">
            <w:pPr>
              <w:suppressAutoHyphens w:val="0"/>
              <w:spacing w:after="240"/>
              <w:jc w:val="center"/>
              <w:rPr>
                <w:rFonts w:asciiTheme="minorHAnsi" w:eastAsia="PMingLiU" w:hAnsiTheme="minorHAnsi"/>
                <w:kern w:val="0"/>
                <w14:ligatures w14:val="none"/>
              </w:rPr>
            </w:pPr>
            <w:r w:rsidRPr="0064627E">
              <w:rPr>
                <w:rFonts w:ascii="Aptos" w:hAnsi="Aptos"/>
                <w:b/>
                <w:bCs/>
                <w:color w:val="FFFFFF" w:themeColor="background1"/>
                <w:kern w:val="0"/>
                <w14:ligatures w14:val="none"/>
              </w:rPr>
              <w:t>Baystate Count</w:t>
            </w:r>
          </w:p>
        </w:tc>
        <w:tc>
          <w:tcPr>
            <w:tcW w:w="1525" w:type="dxa"/>
            <w:tcBorders>
              <w:top w:val="single" w:sz="4" w:space="0" w:color="auto"/>
              <w:left w:val="single" w:sz="4" w:space="0" w:color="auto"/>
              <w:bottom w:val="single" w:sz="4" w:space="0" w:color="auto"/>
              <w:right w:val="single" w:sz="4" w:space="0" w:color="auto"/>
            </w:tcBorders>
            <w:shd w:val="clear" w:color="auto" w:fill="0E2841" w:themeFill="text2"/>
          </w:tcPr>
          <w:p w14:paraId="0CB756F8" w14:textId="0B2B33E5" w:rsidR="00155CA2" w:rsidRPr="0064627E" w:rsidRDefault="00155CA2" w:rsidP="000C675D">
            <w:pPr>
              <w:suppressAutoHyphens w:val="0"/>
              <w:spacing w:after="240"/>
              <w:jc w:val="center"/>
              <w:rPr>
                <w:rFonts w:asciiTheme="minorHAnsi" w:eastAsia="PMingLiU" w:hAnsiTheme="minorHAnsi"/>
                <w:kern w:val="0"/>
                <w14:ligatures w14:val="none"/>
              </w:rPr>
            </w:pPr>
            <w:r w:rsidRPr="0064627E">
              <w:rPr>
                <w:rFonts w:ascii="Aptos" w:hAnsi="Aptos"/>
                <w:b/>
                <w:bCs/>
                <w:color w:val="FFFFFF" w:themeColor="background1"/>
                <w:kern w:val="0"/>
                <w14:ligatures w14:val="none"/>
              </w:rPr>
              <w:t xml:space="preserve">Baystate </w:t>
            </w:r>
            <w:r w:rsidR="002750E2">
              <w:rPr>
                <w:rFonts w:ascii="Aptos" w:hAnsi="Aptos"/>
                <w:b/>
                <w:bCs/>
                <w:color w:val="FFFFFF" w:themeColor="background1"/>
                <w:kern w:val="0"/>
                <w14:ligatures w14:val="none"/>
              </w:rPr>
              <w:t>Percent</w:t>
            </w:r>
            <w:r w:rsidRPr="0064627E">
              <w:rPr>
                <w:rFonts w:ascii="Aptos" w:hAnsi="Aptos"/>
                <w:b/>
                <w:bCs/>
                <w:color w:val="FFFFFF" w:themeColor="background1"/>
                <w:kern w:val="0"/>
                <w14:ligatures w14:val="none"/>
              </w:rPr>
              <w:t xml:space="preserve"> of Total</w:t>
            </w:r>
          </w:p>
        </w:tc>
      </w:tr>
      <w:tr w:rsidR="00866B41" w:rsidRPr="0064627E" w14:paraId="6BC631C0" w14:textId="77777777" w:rsidTr="00866B41">
        <w:trPr>
          <w:cantSplit/>
          <w:trHeight w:val="288"/>
        </w:trPr>
        <w:tc>
          <w:tcPr>
            <w:tcW w:w="6030" w:type="dxa"/>
            <w:shd w:val="clear" w:color="auto" w:fill="FFFFFF" w:themeFill="background1"/>
          </w:tcPr>
          <w:p w14:paraId="402C97D3" w14:textId="05F9A2F5" w:rsidR="00866B41" w:rsidRPr="0064627E" w:rsidRDefault="00866B41" w:rsidP="00866B41">
            <w:pPr>
              <w:suppressAutoHyphens w:val="0"/>
              <w:rPr>
                <w:rFonts w:ascii="Aptos" w:hAnsi="Aptos"/>
                <w:b/>
                <w:bCs/>
                <w:color w:val="FFFFFF" w:themeColor="background1"/>
                <w:kern w:val="0"/>
                <w14:ligatures w14:val="none"/>
              </w:rPr>
            </w:pPr>
            <w:r w:rsidRPr="0064627E">
              <w:rPr>
                <w:rFonts w:ascii="Aptos" w:hAnsi="Aptos"/>
                <w:color w:val="000000"/>
                <w:kern w:val="0"/>
                <w14:ligatures w14:val="none"/>
              </w:rPr>
              <w:t>1104, 01105, 01109, 01108, 01107, 01118, 01119, 01129</w:t>
            </w:r>
          </w:p>
        </w:tc>
        <w:tc>
          <w:tcPr>
            <w:tcW w:w="2070" w:type="dxa"/>
            <w:shd w:val="clear" w:color="auto" w:fill="FFFFFF" w:themeFill="background1"/>
          </w:tcPr>
          <w:p w14:paraId="09C94901" w14:textId="54ED40A8" w:rsidR="00866B41" w:rsidRPr="0064627E" w:rsidRDefault="00866B41" w:rsidP="00866B41">
            <w:pPr>
              <w:suppressAutoHyphens w:val="0"/>
              <w:spacing w:after="240"/>
              <w:jc w:val="both"/>
              <w:rPr>
                <w:rFonts w:ascii="Aptos" w:hAnsi="Aptos"/>
                <w:b/>
                <w:bCs/>
                <w:color w:val="FFFFFF" w:themeColor="background1"/>
                <w:kern w:val="0"/>
                <w14:ligatures w14:val="none"/>
              </w:rPr>
            </w:pPr>
            <w:r w:rsidRPr="0064627E">
              <w:rPr>
                <w:rFonts w:ascii="Aptos" w:hAnsi="Aptos"/>
                <w:color w:val="000000"/>
                <w:kern w:val="0"/>
                <w14:ligatures w14:val="none"/>
              </w:rPr>
              <w:t>Springfield</w:t>
            </w:r>
          </w:p>
        </w:tc>
        <w:tc>
          <w:tcPr>
            <w:tcW w:w="1440" w:type="dxa"/>
            <w:shd w:val="clear" w:color="auto" w:fill="FFFFFF" w:themeFill="background1"/>
          </w:tcPr>
          <w:p w14:paraId="0A026C8E" w14:textId="2CD65AF4"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33,202</w:t>
            </w:r>
          </w:p>
        </w:tc>
        <w:tc>
          <w:tcPr>
            <w:tcW w:w="1530" w:type="dxa"/>
            <w:shd w:val="clear" w:color="auto" w:fill="FFFFFF" w:themeFill="background1"/>
          </w:tcPr>
          <w:p w14:paraId="1A0B381D" w14:textId="366C0806"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43%</w:t>
            </w:r>
          </w:p>
        </w:tc>
        <w:tc>
          <w:tcPr>
            <w:tcW w:w="1620" w:type="dxa"/>
            <w:tcBorders>
              <w:right w:val="single" w:sz="4" w:space="0" w:color="auto"/>
            </w:tcBorders>
            <w:shd w:val="clear" w:color="auto" w:fill="FFFFFF" w:themeFill="background1"/>
          </w:tcPr>
          <w:p w14:paraId="3B7470AD" w14:textId="697CAFA9"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77,525</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D1362E7" w14:textId="6F6BCC4B"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22%</w:t>
            </w:r>
          </w:p>
        </w:tc>
      </w:tr>
      <w:tr w:rsidR="00866B41" w:rsidRPr="0064627E" w14:paraId="4647ED63" w14:textId="77777777" w:rsidTr="00866B41">
        <w:trPr>
          <w:cantSplit/>
          <w:trHeight w:val="288"/>
        </w:trPr>
        <w:tc>
          <w:tcPr>
            <w:tcW w:w="6030" w:type="dxa"/>
            <w:shd w:val="clear" w:color="auto" w:fill="FFFFFF" w:themeFill="background1"/>
          </w:tcPr>
          <w:p w14:paraId="355FB1B4" w14:textId="15895AA6" w:rsidR="00866B41" w:rsidRPr="0064627E" w:rsidRDefault="00866B41" w:rsidP="00866B41">
            <w:pPr>
              <w:suppressAutoHyphens w:val="0"/>
              <w:rPr>
                <w:rFonts w:ascii="Aptos" w:hAnsi="Aptos"/>
                <w:b/>
                <w:bCs/>
                <w:color w:val="FFFFFF" w:themeColor="background1"/>
                <w:kern w:val="0"/>
                <w14:ligatures w14:val="none"/>
              </w:rPr>
            </w:pPr>
            <w:r w:rsidRPr="0064627E">
              <w:rPr>
                <w:rFonts w:ascii="Aptos" w:hAnsi="Aptos"/>
                <w:color w:val="000000"/>
                <w:kern w:val="0"/>
                <w14:ligatures w14:val="none"/>
              </w:rPr>
              <w:t>01020, 01013</w:t>
            </w:r>
          </w:p>
        </w:tc>
        <w:tc>
          <w:tcPr>
            <w:tcW w:w="2070" w:type="dxa"/>
            <w:shd w:val="clear" w:color="auto" w:fill="FFFFFF" w:themeFill="background1"/>
          </w:tcPr>
          <w:p w14:paraId="3331051B" w14:textId="51676074" w:rsidR="00866B41" w:rsidRPr="0064627E" w:rsidRDefault="00866B41" w:rsidP="00866B41">
            <w:pPr>
              <w:suppressAutoHyphens w:val="0"/>
              <w:spacing w:after="240"/>
              <w:jc w:val="both"/>
              <w:rPr>
                <w:rFonts w:ascii="Aptos" w:hAnsi="Aptos"/>
                <w:b/>
                <w:bCs/>
                <w:color w:val="FFFFFF" w:themeColor="background1"/>
                <w:kern w:val="0"/>
                <w14:ligatures w14:val="none"/>
              </w:rPr>
            </w:pPr>
            <w:r w:rsidRPr="0064627E">
              <w:rPr>
                <w:rFonts w:ascii="Aptos" w:hAnsi="Aptos"/>
                <w:color w:val="000000"/>
                <w:kern w:val="0"/>
                <w14:ligatures w14:val="none"/>
              </w:rPr>
              <w:t>Chicopee</w:t>
            </w:r>
          </w:p>
        </w:tc>
        <w:tc>
          <w:tcPr>
            <w:tcW w:w="1440" w:type="dxa"/>
            <w:shd w:val="clear" w:color="auto" w:fill="FFFFFF" w:themeFill="background1"/>
          </w:tcPr>
          <w:p w14:paraId="7A9DB7EB" w14:textId="05EC2D4B"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8,086</w:t>
            </w:r>
          </w:p>
        </w:tc>
        <w:tc>
          <w:tcPr>
            <w:tcW w:w="1530" w:type="dxa"/>
            <w:shd w:val="clear" w:color="auto" w:fill="FFFFFF" w:themeFill="background1"/>
          </w:tcPr>
          <w:p w14:paraId="0FA5ADC8" w14:textId="50923FFB"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11%</w:t>
            </w:r>
          </w:p>
        </w:tc>
        <w:tc>
          <w:tcPr>
            <w:tcW w:w="1620" w:type="dxa"/>
            <w:tcBorders>
              <w:right w:val="single" w:sz="4" w:space="0" w:color="auto"/>
            </w:tcBorders>
            <w:shd w:val="clear" w:color="auto" w:fill="FFFFFF" w:themeFill="background1"/>
          </w:tcPr>
          <w:p w14:paraId="62088B6D" w14:textId="15AD60B2"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22,141</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D9B028" w14:textId="37633E58"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6%</w:t>
            </w:r>
          </w:p>
        </w:tc>
      </w:tr>
      <w:tr w:rsidR="00866B41" w:rsidRPr="0064627E" w14:paraId="39F8562D" w14:textId="77777777" w:rsidTr="00866B41">
        <w:trPr>
          <w:cantSplit/>
          <w:trHeight w:val="288"/>
        </w:trPr>
        <w:tc>
          <w:tcPr>
            <w:tcW w:w="6030" w:type="dxa"/>
            <w:shd w:val="clear" w:color="auto" w:fill="FFFFFF" w:themeFill="background1"/>
          </w:tcPr>
          <w:p w14:paraId="7E7D5E5D" w14:textId="755B79DA" w:rsidR="00866B41" w:rsidRPr="0064627E" w:rsidRDefault="00866B41" w:rsidP="00866B41">
            <w:pPr>
              <w:suppressAutoHyphens w:val="0"/>
              <w:rPr>
                <w:rFonts w:ascii="Aptos" w:hAnsi="Aptos"/>
                <w:b/>
                <w:bCs/>
                <w:color w:val="FFFFFF" w:themeColor="background1"/>
                <w:kern w:val="0"/>
                <w14:ligatures w14:val="none"/>
              </w:rPr>
            </w:pPr>
            <w:r w:rsidRPr="0064627E">
              <w:rPr>
                <w:rFonts w:ascii="Aptos" w:hAnsi="Aptos"/>
                <w:color w:val="000000"/>
                <w:kern w:val="0"/>
                <w14:ligatures w14:val="none"/>
              </w:rPr>
              <w:t>01089</w:t>
            </w:r>
          </w:p>
        </w:tc>
        <w:tc>
          <w:tcPr>
            <w:tcW w:w="2070" w:type="dxa"/>
            <w:shd w:val="clear" w:color="auto" w:fill="FFFFFF" w:themeFill="background1"/>
          </w:tcPr>
          <w:p w14:paraId="2A9A0D4C" w14:textId="515E8FC3" w:rsidR="00866B41" w:rsidRPr="0064627E" w:rsidRDefault="00866B41" w:rsidP="00866B41">
            <w:pPr>
              <w:suppressAutoHyphens w:val="0"/>
              <w:spacing w:after="240"/>
              <w:jc w:val="both"/>
              <w:rPr>
                <w:rFonts w:ascii="Aptos" w:hAnsi="Aptos"/>
                <w:b/>
                <w:bCs/>
                <w:color w:val="FFFFFF" w:themeColor="background1"/>
                <w:kern w:val="0"/>
                <w14:ligatures w14:val="none"/>
              </w:rPr>
            </w:pPr>
            <w:r w:rsidRPr="0064627E">
              <w:rPr>
                <w:rFonts w:ascii="Aptos" w:hAnsi="Aptos"/>
                <w:color w:val="000000"/>
                <w:kern w:val="0"/>
                <w14:ligatures w14:val="none"/>
              </w:rPr>
              <w:t>West Springfield</w:t>
            </w:r>
          </w:p>
        </w:tc>
        <w:tc>
          <w:tcPr>
            <w:tcW w:w="1440" w:type="dxa"/>
            <w:shd w:val="clear" w:color="auto" w:fill="FFFFFF" w:themeFill="background1"/>
          </w:tcPr>
          <w:p w14:paraId="72FCEBA8" w14:textId="33BE1783"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4,499</w:t>
            </w:r>
          </w:p>
        </w:tc>
        <w:tc>
          <w:tcPr>
            <w:tcW w:w="1530" w:type="dxa"/>
            <w:shd w:val="clear" w:color="auto" w:fill="FFFFFF" w:themeFill="background1"/>
          </w:tcPr>
          <w:p w14:paraId="6BE97E12" w14:textId="1E98D71B"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6%</w:t>
            </w:r>
          </w:p>
        </w:tc>
        <w:tc>
          <w:tcPr>
            <w:tcW w:w="1620" w:type="dxa"/>
            <w:tcBorders>
              <w:right w:val="single" w:sz="4" w:space="0" w:color="auto"/>
            </w:tcBorders>
            <w:shd w:val="clear" w:color="auto" w:fill="FFFFFF" w:themeFill="background1"/>
          </w:tcPr>
          <w:p w14:paraId="7796640F" w14:textId="6880EA77"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15,138</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98676" w14:textId="34AFD842" w:rsidR="00866B41" w:rsidRPr="0064627E" w:rsidRDefault="00866B41" w:rsidP="00866B41">
            <w:pPr>
              <w:suppressAutoHyphens w:val="0"/>
              <w:spacing w:after="240"/>
              <w:jc w:val="center"/>
              <w:rPr>
                <w:rFonts w:ascii="Aptos" w:hAnsi="Aptos"/>
                <w:b/>
                <w:bCs/>
                <w:color w:val="FFFFFF" w:themeColor="background1"/>
                <w:kern w:val="0"/>
                <w14:ligatures w14:val="none"/>
              </w:rPr>
            </w:pPr>
            <w:r w:rsidRPr="0064627E">
              <w:rPr>
                <w:rFonts w:ascii="Aptos" w:hAnsi="Aptos"/>
                <w:color w:val="000000"/>
              </w:rPr>
              <w:t>4%</w:t>
            </w:r>
          </w:p>
        </w:tc>
      </w:tr>
      <w:tr w:rsidR="00866B41" w:rsidRPr="0064627E" w14:paraId="46C1E979" w14:textId="77777777" w:rsidTr="00866B41">
        <w:trPr>
          <w:cantSplit/>
          <w:trHeight w:val="288"/>
        </w:trPr>
        <w:tc>
          <w:tcPr>
            <w:tcW w:w="6030" w:type="dxa"/>
            <w:shd w:val="clear" w:color="auto" w:fill="FFFFFF" w:themeFill="background1"/>
          </w:tcPr>
          <w:p w14:paraId="4230A399" w14:textId="5BFD8EDA" w:rsidR="00866B41" w:rsidRPr="0064627E" w:rsidRDefault="00866B41" w:rsidP="00866B41">
            <w:pPr>
              <w:suppressAutoHyphens w:val="0"/>
              <w:rPr>
                <w:rFonts w:ascii="Aptos" w:hAnsi="Aptos"/>
                <w:color w:val="000000"/>
                <w:kern w:val="0"/>
                <w14:ligatures w14:val="none"/>
              </w:rPr>
            </w:pPr>
            <w:r w:rsidRPr="0064627E">
              <w:rPr>
                <w:rFonts w:ascii="Aptos" w:hAnsi="Aptos"/>
                <w:color w:val="000000"/>
                <w:kern w:val="0"/>
                <w14:ligatures w14:val="none"/>
              </w:rPr>
              <w:t>01085</w:t>
            </w:r>
          </w:p>
        </w:tc>
        <w:tc>
          <w:tcPr>
            <w:tcW w:w="2070" w:type="dxa"/>
            <w:shd w:val="clear" w:color="auto" w:fill="FFFFFF" w:themeFill="background1"/>
          </w:tcPr>
          <w:p w14:paraId="5F00FA26" w14:textId="295E2886" w:rsidR="00866B41" w:rsidRPr="0064627E" w:rsidRDefault="00866B41" w:rsidP="00866B41">
            <w:pPr>
              <w:suppressAutoHyphens w:val="0"/>
              <w:spacing w:after="240"/>
              <w:jc w:val="both"/>
              <w:rPr>
                <w:rFonts w:ascii="Aptos" w:hAnsi="Aptos"/>
                <w:color w:val="000000"/>
                <w:kern w:val="0"/>
                <w14:ligatures w14:val="none"/>
              </w:rPr>
            </w:pPr>
            <w:r w:rsidRPr="0064627E">
              <w:rPr>
                <w:rFonts w:ascii="Aptos" w:hAnsi="Aptos"/>
                <w:color w:val="000000"/>
                <w:kern w:val="0"/>
                <w14:ligatures w14:val="none"/>
              </w:rPr>
              <w:t>Westfield</w:t>
            </w:r>
          </w:p>
        </w:tc>
        <w:tc>
          <w:tcPr>
            <w:tcW w:w="1440" w:type="dxa"/>
            <w:shd w:val="clear" w:color="auto" w:fill="FFFFFF" w:themeFill="background1"/>
          </w:tcPr>
          <w:p w14:paraId="43896E47" w14:textId="1C4562AA"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2,954</w:t>
            </w:r>
          </w:p>
        </w:tc>
        <w:tc>
          <w:tcPr>
            <w:tcW w:w="1530" w:type="dxa"/>
            <w:shd w:val="clear" w:color="auto" w:fill="FFFFFF" w:themeFill="background1"/>
          </w:tcPr>
          <w:p w14:paraId="0A5877E8" w14:textId="2CE6E043"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4%</w:t>
            </w:r>
          </w:p>
        </w:tc>
        <w:tc>
          <w:tcPr>
            <w:tcW w:w="1620" w:type="dxa"/>
            <w:tcBorders>
              <w:right w:val="single" w:sz="4" w:space="0" w:color="auto"/>
            </w:tcBorders>
            <w:shd w:val="clear" w:color="auto" w:fill="FFFFFF" w:themeFill="background1"/>
          </w:tcPr>
          <w:p w14:paraId="7EFCB826" w14:textId="30362F46"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25,602</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184D6" w14:textId="29C06E77"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7%</w:t>
            </w:r>
          </w:p>
        </w:tc>
      </w:tr>
      <w:tr w:rsidR="00866B41" w:rsidRPr="0064627E" w14:paraId="787382DF" w14:textId="77777777" w:rsidTr="00866B41">
        <w:trPr>
          <w:cantSplit/>
          <w:trHeight w:val="288"/>
        </w:trPr>
        <w:tc>
          <w:tcPr>
            <w:tcW w:w="6030" w:type="dxa"/>
            <w:shd w:val="clear" w:color="auto" w:fill="FFFFFF" w:themeFill="background1"/>
          </w:tcPr>
          <w:p w14:paraId="576BA97A" w14:textId="565AA37F" w:rsidR="00866B41" w:rsidRPr="0064627E" w:rsidRDefault="00866B41" w:rsidP="00866B41">
            <w:pPr>
              <w:suppressAutoHyphens w:val="0"/>
              <w:rPr>
                <w:rFonts w:ascii="Aptos" w:hAnsi="Aptos"/>
                <w:color w:val="000000"/>
                <w:kern w:val="0"/>
                <w14:ligatures w14:val="none"/>
              </w:rPr>
            </w:pPr>
            <w:r w:rsidRPr="0064627E">
              <w:rPr>
                <w:rFonts w:ascii="Aptos" w:hAnsi="Aptos"/>
                <w:color w:val="000000"/>
                <w:kern w:val="0"/>
                <w14:ligatures w14:val="none"/>
              </w:rPr>
              <w:t>01001</w:t>
            </w:r>
          </w:p>
        </w:tc>
        <w:tc>
          <w:tcPr>
            <w:tcW w:w="2070" w:type="dxa"/>
            <w:shd w:val="clear" w:color="auto" w:fill="FFFFFF" w:themeFill="background1"/>
          </w:tcPr>
          <w:p w14:paraId="58519672" w14:textId="6E3F17ED" w:rsidR="00866B41" w:rsidRPr="0064627E" w:rsidRDefault="00866B41" w:rsidP="00866B41">
            <w:pPr>
              <w:suppressAutoHyphens w:val="0"/>
              <w:spacing w:after="240"/>
              <w:jc w:val="both"/>
              <w:rPr>
                <w:rFonts w:ascii="Aptos" w:hAnsi="Aptos"/>
                <w:color w:val="000000"/>
                <w:kern w:val="0"/>
                <w14:ligatures w14:val="none"/>
              </w:rPr>
            </w:pPr>
            <w:r w:rsidRPr="0064627E">
              <w:rPr>
                <w:rFonts w:ascii="Aptos" w:hAnsi="Aptos"/>
                <w:color w:val="000000"/>
                <w:kern w:val="0"/>
                <w14:ligatures w14:val="none"/>
              </w:rPr>
              <w:t>Agawam</w:t>
            </w:r>
          </w:p>
        </w:tc>
        <w:tc>
          <w:tcPr>
            <w:tcW w:w="1440" w:type="dxa"/>
            <w:shd w:val="clear" w:color="auto" w:fill="FFFFFF" w:themeFill="background1"/>
          </w:tcPr>
          <w:p w14:paraId="4D05672F" w14:textId="0585C24E"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2,929</w:t>
            </w:r>
          </w:p>
        </w:tc>
        <w:tc>
          <w:tcPr>
            <w:tcW w:w="1530" w:type="dxa"/>
            <w:shd w:val="clear" w:color="auto" w:fill="FFFFFF" w:themeFill="background1"/>
          </w:tcPr>
          <w:p w14:paraId="635452C2" w14:textId="777BF0B1"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4%</w:t>
            </w:r>
          </w:p>
        </w:tc>
        <w:tc>
          <w:tcPr>
            <w:tcW w:w="1620" w:type="dxa"/>
            <w:tcBorders>
              <w:right w:val="single" w:sz="4" w:space="0" w:color="auto"/>
            </w:tcBorders>
            <w:shd w:val="clear" w:color="auto" w:fill="FFFFFF" w:themeFill="background1"/>
          </w:tcPr>
          <w:p w14:paraId="34F7D0C4" w14:textId="68CDA5A4"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8,557</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210C573" w14:textId="345881C9"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w:t>
            </w:r>
          </w:p>
        </w:tc>
      </w:tr>
      <w:tr w:rsidR="00866B41" w:rsidRPr="0064627E" w14:paraId="42A72972" w14:textId="77777777" w:rsidTr="00866B41">
        <w:trPr>
          <w:cantSplit/>
          <w:trHeight w:val="288"/>
        </w:trPr>
        <w:tc>
          <w:tcPr>
            <w:tcW w:w="6030" w:type="dxa"/>
            <w:shd w:val="clear" w:color="auto" w:fill="FFFFFF" w:themeFill="background1"/>
          </w:tcPr>
          <w:p w14:paraId="698CD733" w14:textId="4277C380" w:rsidR="00866B41" w:rsidRPr="0064627E" w:rsidRDefault="00866B41" w:rsidP="00866B41">
            <w:pPr>
              <w:suppressAutoHyphens w:val="0"/>
              <w:rPr>
                <w:rFonts w:ascii="Aptos" w:hAnsi="Aptos"/>
                <w:color w:val="000000"/>
                <w:kern w:val="0"/>
                <w14:ligatures w14:val="none"/>
              </w:rPr>
            </w:pPr>
            <w:r w:rsidRPr="0064627E">
              <w:rPr>
                <w:rFonts w:ascii="Aptos" w:hAnsi="Aptos"/>
                <w:color w:val="000000"/>
                <w:kern w:val="0"/>
                <w14:ligatures w14:val="none"/>
              </w:rPr>
              <w:t>01056</w:t>
            </w:r>
          </w:p>
        </w:tc>
        <w:tc>
          <w:tcPr>
            <w:tcW w:w="2070" w:type="dxa"/>
            <w:shd w:val="clear" w:color="auto" w:fill="FFFFFF" w:themeFill="background1"/>
          </w:tcPr>
          <w:p w14:paraId="5B28B6A9" w14:textId="0793EA48" w:rsidR="00866B41" w:rsidRPr="0064627E" w:rsidRDefault="00866B41" w:rsidP="00866B41">
            <w:pPr>
              <w:suppressAutoHyphens w:val="0"/>
              <w:spacing w:after="240"/>
              <w:jc w:val="both"/>
              <w:rPr>
                <w:rFonts w:ascii="Aptos" w:hAnsi="Aptos"/>
                <w:color w:val="000000"/>
                <w:kern w:val="0"/>
                <w14:ligatures w14:val="none"/>
              </w:rPr>
            </w:pPr>
            <w:r w:rsidRPr="0064627E">
              <w:rPr>
                <w:rFonts w:ascii="Aptos" w:hAnsi="Aptos"/>
                <w:color w:val="000000"/>
                <w:kern w:val="0"/>
                <w14:ligatures w14:val="none"/>
              </w:rPr>
              <w:t>Ludlow</w:t>
            </w:r>
          </w:p>
        </w:tc>
        <w:tc>
          <w:tcPr>
            <w:tcW w:w="1440" w:type="dxa"/>
            <w:shd w:val="clear" w:color="auto" w:fill="FFFFFF" w:themeFill="background1"/>
          </w:tcPr>
          <w:p w14:paraId="43F46A41" w14:textId="508F8B65"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2,777</w:t>
            </w:r>
          </w:p>
        </w:tc>
        <w:tc>
          <w:tcPr>
            <w:tcW w:w="1530" w:type="dxa"/>
            <w:shd w:val="clear" w:color="auto" w:fill="FFFFFF" w:themeFill="background1"/>
          </w:tcPr>
          <w:p w14:paraId="129D18EE" w14:textId="2DE38738"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4%</w:t>
            </w:r>
          </w:p>
        </w:tc>
        <w:tc>
          <w:tcPr>
            <w:tcW w:w="1620" w:type="dxa"/>
            <w:tcBorders>
              <w:right w:val="single" w:sz="4" w:space="0" w:color="auto"/>
            </w:tcBorders>
            <w:shd w:val="clear" w:color="auto" w:fill="FFFFFF" w:themeFill="background1"/>
          </w:tcPr>
          <w:p w14:paraId="2FD229B8" w14:textId="0CC74DE8"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12,783</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C9747B8" w14:textId="55047999"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4%</w:t>
            </w:r>
          </w:p>
        </w:tc>
      </w:tr>
      <w:tr w:rsidR="00866B41" w:rsidRPr="0064627E" w14:paraId="01945174" w14:textId="77777777" w:rsidTr="00866B41">
        <w:trPr>
          <w:cantSplit/>
          <w:trHeight w:val="288"/>
        </w:trPr>
        <w:tc>
          <w:tcPr>
            <w:tcW w:w="6030" w:type="dxa"/>
            <w:shd w:val="clear" w:color="auto" w:fill="FFFFFF" w:themeFill="background1"/>
          </w:tcPr>
          <w:p w14:paraId="02FAD244" w14:textId="27B9C4E4" w:rsidR="00866B41" w:rsidRPr="0064627E" w:rsidRDefault="00866B41" w:rsidP="00866B41">
            <w:pPr>
              <w:suppressAutoHyphens w:val="0"/>
              <w:rPr>
                <w:rFonts w:ascii="Aptos" w:hAnsi="Aptos"/>
                <w:color w:val="000000"/>
                <w:kern w:val="0"/>
                <w14:ligatures w14:val="none"/>
              </w:rPr>
            </w:pPr>
            <w:r w:rsidRPr="0064627E">
              <w:rPr>
                <w:rFonts w:ascii="Aptos" w:hAnsi="Aptos"/>
                <w:color w:val="000000"/>
                <w:kern w:val="0"/>
                <w14:ligatures w14:val="none"/>
              </w:rPr>
              <w:t>01040</w:t>
            </w:r>
          </w:p>
        </w:tc>
        <w:tc>
          <w:tcPr>
            <w:tcW w:w="2070" w:type="dxa"/>
            <w:shd w:val="clear" w:color="auto" w:fill="FFFFFF" w:themeFill="background1"/>
          </w:tcPr>
          <w:p w14:paraId="6B613419" w14:textId="1CC31E4B" w:rsidR="00866B41" w:rsidRPr="0064627E" w:rsidRDefault="00866B41" w:rsidP="00866B41">
            <w:pPr>
              <w:suppressAutoHyphens w:val="0"/>
              <w:spacing w:after="240"/>
              <w:jc w:val="both"/>
              <w:rPr>
                <w:rFonts w:ascii="Aptos" w:hAnsi="Aptos"/>
                <w:color w:val="000000"/>
                <w:kern w:val="0"/>
                <w14:ligatures w14:val="none"/>
              </w:rPr>
            </w:pPr>
            <w:r w:rsidRPr="0064627E">
              <w:rPr>
                <w:rFonts w:ascii="Aptos" w:hAnsi="Aptos"/>
                <w:color w:val="000000"/>
                <w:kern w:val="0"/>
                <w14:ligatures w14:val="none"/>
              </w:rPr>
              <w:t>Holyoke</w:t>
            </w:r>
          </w:p>
        </w:tc>
        <w:tc>
          <w:tcPr>
            <w:tcW w:w="1440" w:type="dxa"/>
            <w:shd w:val="clear" w:color="auto" w:fill="FFFFFF" w:themeFill="background1"/>
          </w:tcPr>
          <w:p w14:paraId="0B18822C" w14:textId="046DF752"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2,285</w:t>
            </w:r>
          </w:p>
        </w:tc>
        <w:tc>
          <w:tcPr>
            <w:tcW w:w="1530" w:type="dxa"/>
            <w:shd w:val="clear" w:color="auto" w:fill="FFFFFF" w:themeFill="background1"/>
          </w:tcPr>
          <w:p w14:paraId="4646895B" w14:textId="09B5B0A0"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3%</w:t>
            </w:r>
          </w:p>
        </w:tc>
        <w:tc>
          <w:tcPr>
            <w:tcW w:w="1620" w:type="dxa"/>
            <w:tcBorders>
              <w:right w:val="single" w:sz="4" w:space="0" w:color="auto"/>
            </w:tcBorders>
            <w:shd w:val="clear" w:color="auto" w:fill="FFFFFF" w:themeFill="background1"/>
          </w:tcPr>
          <w:p w14:paraId="1B104AD1" w14:textId="1A45A792"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10,846</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B12F6D6" w14:textId="7D3A3D6A"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3%</w:t>
            </w:r>
          </w:p>
        </w:tc>
      </w:tr>
      <w:tr w:rsidR="00866B41" w:rsidRPr="0064627E" w14:paraId="24E09020" w14:textId="77777777" w:rsidTr="00866B41">
        <w:trPr>
          <w:cantSplit/>
          <w:trHeight w:val="288"/>
        </w:trPr>
        <w:tc>
          <w:tcPr>
            <w:tcW w:w="6030" w:type="dxa"/>
            <w:shd w:val="clear" w:color="auto" w:fill="FFFFFF" w:themeFill="background1"/>
          </w:tcPr>
          <w:p w14:paraId="282FB1A2" w14:textId="3E53003F" w:rsidR="00866B41" w:rsidRPr="0064627E" w:rsidRDefault="00866B41" w:rsidP="00866B41">
            <w:pPr>
              <w:suppressAutoHyphens w:val="0"/>
              <w:rPr>
                <w:rFonts w:ascii="Aptos" w:hAnsi="Aptos"/>
                <w:color w:val="000000"/>
                <w:kern w:val="0"/>
                <w14:ligatures w14:val="none"/>
              </w:rPr>
            </w:pPr>
            <w:r w:rsidRPr="0064627E">
              <w:rPr>
                <w:rFonts w:ascii="Aptos" w:hAnsi="Aptos"/>
                <w:color w:val="000000"/>
                <w:kern w:val="0"/>
                <w14:ligatures w14:val="none"/>
              </w:rPr>
              <w:t>01028</w:t>
            </w:r>
          </w:p>
        </w:tc>
        <w:tc>
          <w:tcPr>
            <w:tcW w:w="2070" w:type="dxa"/>
            <w:shd w:val="clear" w:color="auto" w:fill="FFFFFF" w:themeFill="background1"/>
          </w:tcPr>
          <w:p w14:paraId="48BE5710" w14:textId="113D4ABB" w:rsidR="00866B41" w:rsidRPr="0064627E" w:rsidRDefault="00866B41" w:rsidP="00866B41">
            <w:pPr>
              <w:suppressAutoHyphens w:val="0"/>
              <w:spacing w:after="240"/>
              <w:jc w:val="both"/>
              <w:rPr>
                <w:rFonts w:ascii="Aptos" w:hAnsi="Aptos"/>
                <w:color w:val="000000"/>
                <w:kern w:val="0"/>
                <w14:ligatures w14:val="none"/>
              </w:rPr>
            </w:pPr>
            <w:r w:rsidRPr="0064627E">
              <w:rPr>
                <w:rFonts w:ascii="Aptos" w:hAnsi="Aptos"/>
                <w:color w:val="000000"/>
                <w:kern w:val="0"/>
                <w14:ligatures w14:val="none"/>
              </w:rPr>
              <w:t>East Longmeadow</w:t>
            </w:r>
          </w:p>
        </w:tc>
        <w:tc>
          <w:tcPr>
            <w:tcW w:w="1440" w:type="dxa"/>
            <w:shd w:val="clear" w:color="auto" w:fill="FFFFFF" w:themeFill="background1"/>
          </w:tcPr>
          <w:p w14:paraId="491ED807" w14:textId="7768933D"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2,205</w:t>
            </w:r>
          </w:p>
        </w:tc>
        <w:tc>
          <w:tcPr>
            <w:tcW w:w="1530" w:type="dxa"/>
            <w:shd w:val="clear" w:color="auto" w:fill="FFFFFF" w:themeFill="background1"/>
          </w:tcPr>
          <w:p w14:paraId="3F526EDE" w14:textId="01E58AEB"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3%</w:t>
            </w:r>
          </w:p>
        </w:tc>
        <w:tc>
          <w:tcPr>
            <w:tcW w:w="1620" w:type="dxa"/>
            <w:tcBorders>
              <w:right w:val="single" w:sz="4" w:space="0" w:color="auto"/>
            </w:tcBorders>
            <w:shd w:val="clear" w:color="auto" w:fill="FFFFFF" w:themeFill="background1"/>
          </w:tcPr>
          <w:p w14:paraId="58740AD2" w14:textId="5E0F014E"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7,489</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D001C3" w14:textId="00B2066D"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w:t>
            </w:r>
          </w:p>
        </w:tc>
      </w:tr>
      <w:tr w:rsidR="00866B41" w:rsidRPr="0064627E" w14:paraId="3C6962F6" w14:textId="77777777" w:rsidTr="00866B41">
        <w:trPr>
          <w:cantSplit/>
          <w:trHeight w:val="288"/>
        </w:trPr>
        <w:tc>
          <w:tcPr>
            <w:tcW w:w="6030" w:type="dxa"/>
            <w:shd w:val="clear" w:color="auto" w:fill="FFFFFF" w:themeFill="background1"/>
          </w:tcPr>
          <w:p w14:paraId="502FBC10" w14:textId="42F6A4B7" w:rsidR="00866B41" w:rsidRPr="0064627E" w:rsidRDefault="00866B41" w:rsidP="00866B41">
            <w:pPr>
              <w:suppressAutoHyphens w:val="0"/>
              <w:rPr>
                <w:rFonts w:ascii="Aptos" w:hAnsi="Aptos"/>
                <w:color w:val="000000"/>
                <w:kern w:val="0"/>
                <w14:ligatures w14:val="none"/>
              </w:rPr>
            </w:pPr>
            <w:r w:rsidRPr="0064627E">
              <w:rPr>
                <w:rFonts w:ascii="Aptos" w:hAnsi="Aptos"/>
                <w:color w:val="000000"/>
                <w:kern w:val="0"/>
                <w14:ligatures w14:val="none"/>
              </w:rPr>
              <w:t>01106</w:t>
            </w:r>
          </w:p>
        </w:tc>
        <w:tc>
          <w:tcPr>
            <w:tcW w:w="2070" w:type="dxa"/>
            <w:shd w:val="clear" w:color="auto" w:fill="FFFFFF" w:themeFill="background1"/>
          </w:tcPr>
          <w:p w14:paraId="524E81C3" w14:textId="0B19DA2C" w:rsidR="00866B41" w:rsidRPr="0064627E" w:rsidRDefault="00866B41" w:rsidP="00866B41">
            <w:pPr>
              <w:suppressAutoHyphens w:val="0"/>
              <w:spacing w:after="240"/>
              <w:jc w:val="both"/>
              <w:rPr>
                <w:rFonts w:ascii="Aptos" w:hAnsi="Aptos"/>
                <w:color w:val="000000"/>
                <w:kern w:val="0"/>
                <w14:ligatures w14:val="none"/>
              </w:rPr>
            </w:pPr>
            <w:r w:rsidRPr="0064627E">
              <w:rPr>
                <w:rFonts w:ascii="Aptos" w:hAnsi="Aptos"/>
                <w:color w:val="000000"/>
                <w:kern w:val="0"/>
                <w14:ligatures w14:val="none"/>
              </w:rPr>
              <w:t>Longmeadow</w:t>
            </w:r>
          </w:p>
        </w:tc>
        <w:tc>
          <w:tcPr>
            <w:tcW w:w="1440" w:type="dxa"/>
            <w:shd w:val="clear" w:color="auto" w:fill="FFFFFF" w:themeFill="background1"/>
          </w:tcPr>
          <w:p w14:paraId="28D4E86A" w14:textId="79D38DB7"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1,728</w:t>
            </w:r>
          </w:p>
        </w:tc>
        <w:tc>
          <w:tcPr>
            <w:tcW w:w="1530" w:type="dxa"/>
            <w:shd w:val="clear" w:color="auto" w:fill="FFFFFF" w:themeFill="background1"/>
          </w:tcPr>
          <w:p w14:paraId="0AE4E46E" w14:textId="43F0AD7A"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w:t>
            </w:r>
          </w:p>
        </w:tc>
        <w:tc>
          <w:tcPr>
            <w:tcW w:w="1620" w:type="dxa"/>
            <w:tcBorders>
              <w:right w:val="single" w:sz="4" w:space="0" w:color="auto"/>
            </w:tcBorders>
            <w:shd w:val="clear" w:color="auto" w:fill="FFFFFF" w:themeFill="background1"/>
          </w:tcPr>
          <w:p w14:paraId="0A1C131A" w14:textId="033BEEE0"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6,287</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57654" w14:textId="2D47BAC7" w:rsidR="00866B41" w:rsidRPr="0064627E" w:rsidRDefault="00866B41" w:rsidP="00866B41">
            <w:pPr>
              <w:suppressAutoHyphens w:val="0"/>
              <w:spacing w:after="240"/>
              <w:jc w:val="center"/>
              <w:rPr>
                <w:rFonts w:ascii="Aptos" w:hAnsi="Aptos"/>
                <w:color w:val="000000"/>
              </w:rPr>
            </w:pPr>
            <w:r w:rsidRPr="0064627E">
              <w:rPr>
                <w:rFonts w:ascii="Aptos" w:hAnsi="Aptos"/>
                <w:color w:val="000000"/>
              </w:rPr>
              <w:t>2%</w:t>
            </w:r>
          </w:p>
        </w:tc>
      </w:tr>
      <w:tr w:rsidR="00866B41" w:rsidRPr="0064627E" w14:paraId="6E765DDA" w14:textId="77777777" w:rsidTr="00866B41">
        <w:trPr>
          <w:cantSplit/>
          <w:trHeight w:val="288"/>
        </w:trPr>
        <w:tc>
          <w:tcPr>
            <w:tcW w:w="6030" w:type="dxa"/>
            <w:shd w:val="clear" w:color="auto" w:fill="156082"/>
          </w:tcPr>
          <w:p w14:paraId="42B690B6" w14:textId="072C60FA" w:rsidR="00866B41" w:rsidRPr="00866B41" w:rsidRDefault="00866B41" w:rsidP="00866B41">
            <w:pPr>
              <w:suppressAutoHyphens w:val="0"/>
              <w:rPr>
                <w:rFonts w:ascii="Aptos" w:hAnsi="Aptos"/>
                <w:b/>
                <w:bCs/>
                <w:color w:val="FFFFFF" w:themeColor="background1"/>
                <w:kern w:val="0"/>
                <w14:ligatures w14:val="none"/>
              </w:rPr>
            </w:pPr>
            <w:r>
              <w:rPr>
                <w:rFonts w:ascii="Aptos" w:hAnsi="Aptos"/>
                <w:b/>
                <w:bCs/>
                <w:color w:val="FFFFFF" w:themeColor="background1"/>
                <w:kern w:val="0"/>
                <w14:ligatures w14:val="none"/>
              </w:rPr>
              <w:t>n/a</w:t>
            </w:r>
          </w:p>
        </w:tc>
        <w:tc>
          <w:tcPr>
            <w:tcW w:w="2070" w:type="dxa"/>
            <w:shd w:val="clear" w:color="auto" w:fill="156082"/>
          </w:tcPr>
          <w:p w14:paraId="70DA78CC" w14:textId="1DA8BFCF" w:rsidR="00866B41" w:rsidRPr="00866B41" w:rsidRDefault="00866B41" w:rsidP="00866B41">
            <w:pPr>
              <w:suppressAutoHyphens w:val="0"/>
              <w:spacing w:after="240"/>
              <w:jc w:val="both"/>
              <w:rPr>
                <w:rFonts w:ascii="Aptos" w:hAnsi="Aptos"/>
                <w:b/>
                <w:bCs/>
                <w:color w:val="FFFFFF" w:themeColor="background1"/>
                <w:kern w:val="0"/>
                <w14:ligatures w14:val="none"/>
              </w:rPr>
            </w:pPr>
            <w:r w:rsidRPr="0064627E">
              <w:rPr>
                <w:rFonts w:ascii="Aptos" w:hAnsi="Aptos"/>
                <w:b/>
                <w:bCs/>
                <w:color w:val="FFFFFF" w:themeColor="background1"/>
                <w:kern w:val="0"/>
                <w14:ligatures w14:val="none"/>
              </w:rPr>
              <w:t>Total</w:t>
            </w:r>
          </w:p>
        </w:tc>
        <w:tc>
          <w:tcPr>
            <w:tcW w:w="1440" w:type="dxa"/>
            <w:shd w:val="clear" w:color="auto" w:fill="156082"/>
            <w:vAlign w:val="center"/>
          </w:tcPr>
          <w:p w14:paraId="08590C6B" w14:textId="6DD31BAC" w:rsidR="00866B41" w:rsidRPr="00866B41" w:rsidRDefault="00866B41" w:rsidP="00866B41">
            <w:pPr>
              <w:suppressAutoHyphens w:val="0"/>
              <w:spacing w:after="240"/>
              <w:jc w:val="center"/>
              <w:rPr>
                <w:rFonts w:ascii="Aptos" w:hAnsi="Aptos"/>
                <w:b/>
                <w:bCs/>
                <w:color w:val="FFFFFF" w:themeColor="background1"/>
                <w:kern w:val="0"/>
                <w14:ligatures w14:val="none"/>
              </w:rPr>
            </w:pPr>
            <w:r w:rsidRPr="00866B41">
              <w:rPr>
                <w:rFonts w:ascii="Aptos" w:hAnsi="Aptos"/>
                <w:b/>
                <w:bCs/>
                <w:color w:val="FFFFFF" w:themeColor="background1"/>
                <w:kern w:val="0"/>
                <w14:ligatures w14:val="none"/>
              </w:rPr>
              <w:t>60,665</w:t>
            </w:r>
          </w:p>
        </w:tc>
        <w:tc>
          <w:tcPr>
            <w:tcW w:w="1530" w:type="dxa"/>
            <w:shd w:val="clear" w:color="auto" w:fill="156082"/>
            <w:vAlign w:val="center"/>
          </w:tcPr>
          <w:p w14:paraId="5B3E2456" w14:textId="56D98D85" w:rsidR="00866B41" w:rsidRPr="00866B41" w:rsidRDefault="00866B41" w:rsidP="00866B41">
            <w:pPr>
              <w:suppressAutoHyphens w:val="0"/>
              <w:spacing w:after="240"/>
              <w:jc w:val="center"/>
              <w:rPr>
                <w:rFonts w:ascii="Aptos" w:hAnsi="Aptos"/>
                <w:b/>
                <w:bCs/>
                <w:color w:val="FFFFFF" w:themeColor="background1"/>
                <w:kern w:val="0"/>
                <w14:ligatures w14:val="none"/>
              </w:rPr>
            </w:pPr>
            <w:r w:rsidRPr="00866B41">
              <w:rPr>
                <w:rFonts w:ascii="Aptos" w:hAnsi="Aptos"/>
                <w:b/>
                <w:bCs/>
                <w:color w:val="FFFFFF" w:themeColor="background1"/>
                <w:kern w:val="0"/>
                <w14:ligatures w14:val="none"/>
              </w:rPr>
              <w:t>79%</w:t>
            </w:r>
          </w:p>
        </w:tc>
        <w:tc>
          <w:tcPr>
            <w:tcW w:w="1620" w:type="dxa"/>
            <w:tcBorders>
              <w:right w:val="single" w:sz="4" w:space="0" w:color="auto"/>
            </w:tcBorders>
            <w:shd w:val="clear" w:color="auto" w:fill="156082"/>
            <w:vAlign w:val="center"/>
          </w:tcPr>
          <w:p w14:paraId="7A04CB4F" w14:textId="731700DA" w:rsidR="00866B41" w:rsidRPr="00866B41" w:rsidRDefault="00866B41" w:rsidP="00866B41">
            <w:pPr>
              <w:suppressAutoHyphens w:val="0"/>
              <w:spacing w:after="240"/>
              <w:jc w:val="center"/>
              <w:rPr>
                <w:rFonts w:ascii="Aptos" w:hAnsi="Aptos"/>
                <w:b/>
                <w:bCs/>
                <w:color w:val="FFFFFF" w:themeColor="background1"/>
                <w:kern w:val="0"/>
                <w14:ligatures w14:val="none"/>
              </w:rPr>
            </w:pPr>
            <w:r w:rsidRPr="00866B41">
              <w:rPr>
                <w:rFonts w:ascii="Aptos" w:hAnsi="Aptos"/>
                <w:b/>
                <w:bCs/>
                <w:color w:val="FFFFFF" w:themeColor="background1"/>
                <w:kern w:val="0"/>
                <w14:ligatures w14:val="none"/>
              </w:rPr>
              <w:t>186,368</w:t>
            </w:r>
          </w:p>
        </w:tc>
        <w:tc>
          <w:tcPr>
            <w:tcW w:w="1525" w:type="dxa"/>
            <w:tcBorders>
              <w:top w:val="single" w:sz="4" w:space="0" w:color="auto"/>
              <w:left w:val="single" w:sz="4" w:space="0" w:color="auto"/>
              <w:bottom w:val="single" w:sz="4" w:space="0" w:color="auto"/>
              <w:right w:val="single" w:sz="4" w:space="0" w:color="auto"/>
            </w:tcBorders>
            <w:shd w:val="clear" w:color="auto" w:fill="156082"/>
            <w:vAlign w:val="center"/>
          </w:tcPr>
          <w:p w14:paraId="24F88E43" w14:textId="5488ADB8" w:rsidR="00866B41" w:rsidRPr="00866B41" w:rsidRDefault="00866B41" w:rsidP="00866B41">
            <w:pPr>
              <w:suppressAutoHyphens w:val="0"/>
              <w:spacing w:after="240"/>
              <w:jc w:val="center"/>
              <w:rPr>
                <w:rFonts w:ascii="Aptos" w:hAnsi="Aptos"/>
                <w:b/>
                <w:bCs/>
                <w:color w:val="FFFFFF" w:themeColor="background1"/>
                <w:kern w:val="0"/>
                <w14:ligatures w14:val="none"/>
              </w:rPr>
            </w:pPr>
            <w:r w:rsidRPr="00866B41">
              <w:rPr>
                <w:rFonts w:ascii="Aptos" w:hAnsi="Aptos"/>
                <w:b/>
                <w:bCs/>
                <w:color w:val="FFFFFF" w:themeColor="background1"/>
                <w:kern w:val="0"/>
                <w14:ligatures w14:val="none"/>
              </w:rPr>
              <w:t>53%</w:t>
            </w:r>
          </w:p>
        </w:tc>
      </w:tr>
    </w:tbl>
    <w:p w14:paraId="17F1F7B5" w14:textId="0094B112" w:rsidR="00155CA2" w:rsidRPr="0064627E" w:rsidRDefault="00155CA2" w:rsidP="00BE554D">
      <w:pPr>
        <w:suppressAutoHyphens w:val="0"/>
        <w:spacing w:after="240"/>
        <w:jc w:val="both"/>
        <w:rPr>
          <w:rFonts w:asciiTheme="minorHAnsi" w:eastAsia="PMingLiU" w:hAnsiTheme="minorHAnsi"/>
          <w:kern w:val="0"/>
          <w14:ligatures w14:val="none"/>
        </w:rPr>
        <w:sectPr w:rsidR="00155CA2" w:rsidRPr="0064627E" w:rsidSect="007730C3">
          <w:pgSz w:w="15840" w:h="12240" w:orient="landscape"/>
          <w:pgMar w:top="720" w:right="720" w:bottom="720" w:left="720" w:header="720" w:footer="720" w:gutter="0"/>
          <w:cols w:space="720"/>
          <w:docGrid w:linePitch="360"/>
        </w:sectPr>
      </w:pPr>
    </w:p>
    <w:p w14:paraId="339FD291" w14:textId="4EBEB6FF" w:rsidR="001319DC" w:rsidRPr="0064627E" w:rsidRDefault="001319DC" w:rsidP="00250B51">
      <w:pPr>
        <w:pStyle w:val="Heading3"/>
        <w:rPr>
          <w:sz w:val="24"/>
          <w:szCs w:val="24"/>
        </w:rPr>
      </w:pPr>
      <w:r w:rsidRPr="0064627E">
        <w:rPr>
          <w:sz w:val="24"/>
          <w:szCs w:val="24"/>
        </w:rPr>
        <w:lastRenderedPageBreak/>
        <w:t xml:space="preserve">Payer Mix </w:t>
      </w:r>
    </w:p>
    <w:p w14:paraId="155DCCD6" w14:textId="50098CF1" w:rsidR="001319DC" w:rsidRPr="0064627E" w:rsidRDefault="00962DE5" w:rsidP="00C1493C">
      <w:pPr>
        <w:pStyle w:val="HBb"/>
        <w:ind w:firstLine="0"/>
        <w:jc w:val="both"/>
        <w:rPr>
          <w:rFonts w:asciiTheme="minorHAnsi" w:hAnsiTheme="minorHAnsi"/>
        </w:rPr>
      </w:pPr>
      <w:r w:rsidRPr="0064627E">
        <w:rPr>
          <w:rFonts w:asciiTheme="minorHAnsi" w:hAnsiTheme="minorHAnsi"/>
        </w:rPr>
        <w:t>BH</w:t>
      </w:r>
      <w:r w:rsidR="001319DC" w:rsidRPr="0064627E">
        <w:rPr>
          <w:rFonts w:asciiTheme="minorHAnsi" w:hAnsiTheme="minorHAnsi"/>
        </w:rPr>
        <w:t xml:space="preserve"> and </w:t>
      </w:r>
      <w:r w:rsidR="00457998" w:rsidRPr="0064627E">
        <w:rPr>
          <w:rFonts w:asciiTheme="minorHAnsi" w:hAnsiTheme="minorHAnsi"/>
        </w:rPr>
        <w:t>MMC</w:t>
      </w:r>
      <w:r w:rsidR="001319DC" w:rsidRPr="0064627E">
        <w:rPr>
          <w:rFonts w:asciiTheme="minorHAnsi" w:hAnsiTheme="minorHAnsi"/>
        </w:rPr>
        <w:t xml:space="preserve"> have high public payer utilization, with at least 70</w:t>
      </w:r>
      <w:r w:rsidR="004D0A8B">
        <w:rPr>
          <w:rFonts w:asciiTheme="minorHAnsi" w:hAnsiTheme="minorHAnsi"/>
        </w:rPr>
        <w:t xml:space="preserve"> percent</w:t>
      </w:r>
      <w:r w:rsidR="001319DC" w:rsidRPr="0064627E">
        <w:rPr>
          <w:rFonts w:asciiTheme="minorHAnsi" w:hAnsiTheme="minorHAnsi"/>
        </w:rPr>
        <w:t xml:space="preserve"> of all patients </w:t>
      </w:r>
      <w:r w:rsidRPr="0064627E">
        <w:rPr>
          <w:rFonts w:asciiTheme="minorHAnsi" w:hAnsiTheme="minorHAnsi"/>
        </w:rPr>
        <w:t>insured</w:t>
      </w:r>
      <w:r w:rsidR="001319DC" w:rsidRPr="0064627E">
        <w:rPr>
          <w:rFonts w:asciiTheme="minorHAnsi" w:hAnsiTheme="minorHAnsi"/>
        </w:rPr>
        <w:t xml:space="preserve"> by a public payer. Commercial insurance </w:t>
      </w:r>
      <w:r w:rsidR="008D0968" w:rsidRPr="0064627E">
        <w:rPr>
          <w:rFonts w:asciiTheme="minorHAnsi" w:hAnsiTheme="minorHAnsi"/>
        </w:rPr>
        <w:t>accounted for approximately</w:t>
      </w:r>
      <w:r w:rsidR="001319DC" w:rsidRPr="0064627E">
        <w:rPr>
          <w:rFonts w:asciiTheme="minorHAnsi" w:hAnsiTheme="minorHAnsi"/>
        </w:rPr>
        <w:t xml:space="preserve"> 25</w:t>
      </w:r>
      <w:r w:rsidR="004D0A8B">
        <w:rPr>
          <w:rFonts w:asciiTheme="minorHAnsi" w:hAnsiTheme="minorHAnsi"/>
        </w:rPr>
        <w:t xml:space="preserve"> percent</w:t>
      </w:r>
      <w:r w:rsidR="001319DC" w:rsidRPr="0064627E">
        <w:rPr>
          <w:rFonts w:asciiTheme="minorHAnsi" w:hAnsiTheme="minorHAnsi"/>
        </w:rPr>
        <w:t xml:space="preserve"> of the payer mix for both </w:t>
      </w:r>
      <w:r w:rsidRPr="0064627E">
        <w:rPr>
          <w:rFonts w:asciiTheme="minorHAnsi" w:hAnsiTheme="minorHAnsi"/>
        </w:rPr>
        <w:t>BH</w:t>
      </w:r>
      <w:r w:rsidR="001319DC" w:rsidRPr="0064627E">
        <w:rPr>
          <w:rFonts w:asciiTheme="minorHAnsi" w:hAnsiTheme="minorHAnsi"/>
        </w:rPr>
        <w:t xml:space="preserve"> and </w:t>
      </w:r>
      <w:r w:rsidR="00457998" w:rsidRPr="0064627E">
        <w:rPr>
          <w:rFonts w:asciiTheme="minorHAnsi" w:hAnsiTheme="minorHAnsi"/>
        </w:rPr>
        <w:t>MMC</w:t>
      </w:r>
      <w:r w:rsidR="001319DC" w:rsidRPr="0064627E">
        <w:rPr>
          <w:rFonts w:asciiTheme="minorHAnsi" w:hAnsiTheme="minorHAnsi"/>
        </w:rPr>
        <w:t>.</w:t>
      </w:r>
    </w:p>
    <w:tbl>
      <w:tblPr>
        <w:tblW w:w="9531" w:type="dxa"/>
        <w:tblLayout w:type="fixed"/>
        <w:tblLook w:val="04A0" w:firstRow="1" w:lastRow="0" w:firstColumn="1" w:lastColumn="0" w:noHBand="0" w:noVBand="1"/>
        <w:tblCaption w:val="Table 4: Baystate Health Payer Mix"/>
      </w:tblPr>
      <w:tblGrid>
        <w:gridCol w:w="4240"/>
        <w:gridCol w:w="1763"/>
        <w:gridCol w:w="1764"/>
        <w:gridCol w:w="1764"/>
      </w:tblGrid>
      <w:tr w:rsidR="00A15DB3" w:rsidRPr="0064627E" w14:paraId="181E374A" w14:textId="2C5FA2A9" w:rsidTr="00BD6844">
        <w:trPr>
          <w:cantSplit/>
          <w:trHeight w:val="300"/>
          <w:tblHeader/>
        </w:trPr>
        <w:tc>
          <w:tcPr>
            <w:tcW w:w="4240" w:type="dxa"/>
            <w:tcBorders>
              <w:top w:val="single" w:sz="8" w:space="0" w:color="auto"/>
              <w:left w:val="single" w:sz="8" w:space="0" w:color="auto"/>
              <w:bottom w:val="single" w:sz="8" w:space="0" w:color="auto"/>
              <w:right w:val="single" w:sz="8" w:space="0" w:color="auto"/>
            </w:tcBorders>
            <w:shd w:val="clear" w:color="auto" w:fill="156082" w:themeFill="accent1"/>
            <w:noWrap/>
            <w:vAlign w:val="center"/>
            <w:hideMark/>
          </w:tcPr>
          <w:p w14:paraId="4A87DE25" w14:textId="3D195BC8" w:rsidR="00A15DB3" w:rsidRPr="0064627E" w:rsidRDefault="00A15DB3">
            <w:pPr>
              <w:suppressAutoHyphens w:val="0"/>
              <w:jc w:val="both"/>
              <w:rPr>
                <w:rFonts w:asciiTheme="minorHAnsi" w:hAnsiTheme="minorHAnsi"/>
                <w:b/>
                <w:bCs/>
                <w:color w:val="FFFFFF"/>
                <w:kern w:val="0"/>
                <w14:ligatures w14:val="none"/>
              </w:rPr>
            </w:pPr>
            <w:r w:rsidRPr="0064627E">
              <w:rPr>
                <w:rFonts w:asciiTheme="minorHAnsi" w:eastAsia="PMingLiU" w:hAnsiTheme="minorHAnsi"/>
                <w:b/>
                <w:bCs/>
                <w:color w:val="FFFFFF" w:themeColor="background1"/>
                <w:kern w:val="0"/>
                <w14:ligatures w14:val="none"/>
              </w:rPr>
              <w:t>Table 4: Baystate Health Payer Mix</w:t>
            </w:r>
          </w:p>
        </w:tc>
        <w:tc>
          <w:tcPr>
            <w:tcW w:w="1763" w:type="dxa"/>
            <w:tcBorders>
              <w:top w:val="single" w:sz="8" w:space="0" w:color="auto"/>
              <w:left w:val="nil"/>
              <w:bottom w:val="single" w:sz="8" w:space="0" w:color="auto"/>
              <w:right w:val="single" w:sz="8" w:space="0" w:color="auto"/>
            </w:tcBorders>
            <w:shd w:val="clear" w:color="auto" w:fill="156082" w:themeFill="accent1"/>
            <w:vAlign w:val="center"/>
            <w:hideMark/>
          </w:tcPr>
          <w:p w14:paraId="234BC454" w14:textId="77777777" w:rsidR="00A15DB3" w:rsidRPr="0064627E" w:rsidRDefault="00A15DB3">
            <w:pPr>
              <w:suppressAutoHyphens w:val="0"/>
              <w:jc w:val="center"/>
              <w:rPr>
                <w:rFonts w:asciiTheme="minorHAnsi" w:hAnsiTheme="minorHAnsi"/>
                <w:b/>
                <w:bCs/>
                <w:color w:val="FFFFFF"/>
                <w:kern w:val="0"/>
                <w14:ligatures w14:val="none"/>
              </w:rPr>
            </w:pPr>
            <w:r w:rsidRPr="0064627E">
              <w:rPr>
                <w:rFonts w:asciiTheme="minorHAnsi" w:hAnsiTheme="minorHAnsi" w:cs="Arial"/>
                <w:b/>
                <w:bCs/>
                <w:color w:val="FFFFFF" w:themeColor="background1"/>
                <w:kern w:val="0"/>
                <w14:ligatures w14:val="none"/>
              </w:rPr>
              <w:t>FY2023</w:t>
            </w:r>
          </w:p>
        </w:tc>
        <w:tc>
          <w:tcPr>
            <w:tcW w:w="1764" w:type="dxa"/>
            <w:tcBorders>
              <w:top w:val="single" w:sz="8" w:space="0" w:color="auto"/>
              <w:left w:val="nil"/>
              <w:bottom w:val="single" w:sz="8" w:space="0" w:color="auto"/>
              <w:right w:val="single" w:sz="8" w:space="0" w:color="auto"/>
            </w:tcBorders>
            <w:shd w:val="clear" w:color="auto" w:fill="156082" w:themeFill="accent1"/>
            <w:noWrap/>
            <w:vAlign w:val="center"/>
            <w:hideMark/>
          </w:tcPr>
          <w:p w14:paraId="2CB78962" w14:textId="77777777" w:rsidR="00A15DB3" w:rsidRPr="0064627E" w:rsidRDefault="00A15DB3">
            <w:pPr>
              <w:suppressAutoHyphens w:val="0"/>
              <w:jc w:val="center"/>
              <w:rPr>
                <w:rFonts w:asciiTheme="minorHAnsi" w:hAnsiTheme="minorHAnsi"/>
                <w:b/>
                <w:bCs/>
                <w:color w:val="FFFFFF"/>
                <w:kern w:val="0"/>
                <w14:ligatures w14:val="none"/>
              </w:rPr>
            </w:pPr>
            <w:r w:rsidRPr="0064627E">
              <w:rPr>
                <w:rFonts w:asciiTheme="minorHAnsi" w:hAnsiTheme="minorHAnsi" w:cs="Arial"/>
                <w:b/>
                <w:bCs/>
                <w:color w:val="FFFFFF" w:themeColor="background1"/>
                <w:kern w:val="0"/>
                <w14:ligatures w14:val="none"/>
              </w:rPr>
              <w:t>FY2024</w:t>
            </w:r>
          </w:p>
        </w:tc>
        <w:tc>
          <w:tcPr>
            <w:tcW w:w="1764" w:type="dxa"/>
            <w:tcBorders>
              <w:top w:val="single" w:sz="8" w:space="0" w:color="auto"/>
              <w:left w:val="nil"/>
              <w:bottom w:val="single" w:sz="8" w:space="0" w:color="auto"/>
              <w:right w:val="single" w:sz="8" w:space="0" w:color="auto"/>
            </w:tcBorders>
            <w:shd w:val="clear" w:color="auto" w:fill="156082" w:themeFill="accent1"/>
          </w:tcPr>
          <w:p w14:paraId="6BEFE703" w14:textId="4B13A5A9" w:rsidR="00A15DB3" w:rsidRPr="0064627E" w:rsidRDefault="00A15DB3">
            <w:pPr>
              <w:suppressAutoHyphens w:val="0"/>
              <w:jc w:val="center"/>
              <w:rPr>
                <w:rFonts w:asciiTheme="minorHAnsi" w:hAnsiTheme="minorHAnsi" w:cs="Arial"/>
                <w:b/>
                <w:bCs/>
                <w:color w:val="FFFFFF" w:themeColor="background1"/>
                <w:kern w:val="0"/>
                <w14:ligatures w14:val="none"/>
              </w:rPr>
            </w:pPr>
            <w:r w:rsidRPr="0064627E">
              <w:rPr>
                <w:rFonts w:asciiTheme="minorHAnsi" w:hAnsiTheme="minorHAnsi" w:cs="Arial"/>
                <w:b/>
                <w:bCs/>
                <w:color w:val="FFFFFF" w:themeColor="background1"/>
                <w:kern w:val="0"/>
                <w14:ligatures w14:val="none"/>
              </w:rPr>
              <w:t>FY2025</w:t>
            </w:r>
          </w:p>
        </w:tc>
      </w:tr>
      <w:tr w:rsidR="004C0E0E" w:rsidRPr="0064627E" w14:paraId="1164CDAE" w14:textId="6D7E5214"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5A3BDEAF" w14:textId="77777777" w:rsidR="004C0E0E" w:rsidRPr="0064627E" w:rsidRDefault="004C0E0E" w:rsidP="004C0E0E">
            <w:pPr>
              <w:suppressAutoHyphens w:val="0"/>
              <w:rPr>
                <w:rFonts w:asciiTheme="minorHAnsi" w:hAnsiTheme="minorHAnsi"/>
                <w:color w:val="000000"/>
                <w:kern w:val="0"/>
                <w14:ligatures w14:val="none"/>
              </w:rPr>
            </w:pPr>
            <w:r w:rsidRPr="0064627E">
              <w:rPr>
                <w:rFonts w:asciiTheme="minorHAnsi" w:hAnsiTheme="minorHAnsi" w:cs="Arial"/>
                <w:color w:val="000000"/>
                <w:kern w:val="0"/>
                <w14:ligatures w14:val="none"/>
              </w:rPr>
              <w:t>Payer: MassHealth</w:t>
            </w:r>
          </w:p>
        </w:tc>
        <w:tc>
          <w:tcPr>
            <w:tcW w:w="1763" w:type="dxa"/>
            <w:tcBorders>
              <w:top w:val="nil"/>
              <w:left w:val="nil"/>
              <w:bottom w:val="single" w:sz="8" w:space="0" w:color="auto"/>
              <w:right w:val="single" w:sz="8" w:space="0" w:color="auto"/>
            </w:tcBorders>
            <w:vAlign w:val="center"/>
            <w:hideMark/>
          </w:tcPr>
          <w:p w14:paraId="74133D26"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8%</w:t>
            </w:r>
          </w:p>
        </w:tc>
        <w:tc>
          <w:tcPr>
            <w:tcW w:w="1764" w:type="dxa"/>
            <w:tcBorders>
              <w:top w:val="nil"/>
              <w:left w:val="nil"/>
              <w:bottom w:val="single" w:sz="8" w:space="0" w:color="auto"/>
              <w:right w:val="single" w:sz="8" w:space="0" w:color="auto"/>
            </w:tcBorders>
            <w:vAlign w:val="center"/>
            <w:hideMark/>
          </w:tcPr>
          <w:p w14:paraId="211DDAEF"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7%</w:t>
            </w:r>
          </w:p>
        </w:tc>
        <w:tc>
          <w:tcPr>
            <w:tcW w:w="1764" w:type="dxa"/>
            <w:tcBorders>
              <w:top w:val="nil"/>
              <w:left w:val="nil"/>
              <w:bottom w:val="single" w:sz="8" w:space="0" w:color="auto"/>
              <w:right w:val="single" w:sz="8" w:space="0" w:color="auto"/>
            </w:tcBorders>
            <w:vAlign w:val="bottom"/>
          </w:tcPr>
          <w:p w14:paraId="221FAA00" w14:textId="012055A8"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s="Calibri"/>
                <w:color w:val="000000"/>
              </w:rPr>
              <w:t>7%</w:t>
            </w:r>
          </w:p>
        </w:tc>
      </w:tr>
      <w:tr w:rsidR="004C0E0E" w:rsidRPr="0064627E" w14:paraId="1F70D11A" w14:textId="33C988A9"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6333514B" w14:textId="77777777" w:rsidR="004C0E0E" w:rsidRPr="0064627E" w:rsidRDefault="004C0E0E" w:rsidP="004C0E0E">
            <w:pPr>
              <w:suppressAutoHyphens w:val="0"/>
              <w:rPr>
                <w:rFonts w:asciiTheme="minorHAnsi" w:hAnsiTheme="minorHAnsi"/>
                <w:color w:val="000000"/>
                <w:kern w:val="0"/>
                <w14:ligatures w14:val="none"/>
              </w:rPr>
            </w:pPr>
            <w:r w:rsidRPr="0064627E">
              <w:rPr>
                <w:rFonts w:asciiTheme="minorHAnsi" w:hAnsiTheme="minorHAnsi" w:cs="Arial"/>
                <w:color w:val="000000"/>
                <w:kern w:val="0"/>
                <w14:ligatures w14:val="none"/>
              </w:rPr>
              <w:t>Payer: Managed Medicaid</w:t>
            </w:r>
          </w:p>
        </w:tc>
        <w:tc>
          <w:tcPr>
            <w:tcW w:w="1763" w:type="dxa"/>
            <w:tcBorders>
              <w:top w:val="nil"/>
              <w:left w:val="nil"/>
              <w:bottom w:val="single" w:sz="8" w:space="0" w:color="auto"/>
              <w:right w:val="single" w:sz="8" w:space="0" w:color="auto"/>
            </w:tcBorders>
            <w:vAlign w:val="center"/>
            <w:hideMark/>
          </w:tcPr>
          <w:p w14:paraId="3E09B25E"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15%</w:t>
            </w:r>
          </w:p>
        </w:tc>
        <w:tc>
          <w:tcPr>
            <w:tcW w:w="1764" w:type="dxa"/>
            <w:tcBorders>
              <w:top w:val="nil"/>
              <w:left w:val="nil"/>
              <w:bottom w:val="single" w:sz="8" w:space="0" w:color="auto"/>
              <w:right w:val="single" w:sz="8" w:space="0" w:color="auto"/>
            </w:tcBorders>
            <w:vAlign w:val="center"/>
            <w:hideMark/>
          </w:tcPr>
          <w:p w14:paraId="150C99B1"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16%</w:t>
            </w:r>
          </w:p>
        </w:tc>
        <w:tc>
          <w:tcPr>
            <w:tcW w:w="1764" w:type="dxa"/>
            <w:tcBorders>
              <w:top w:val="nil"/>
              <w:left w:val="nil"/>
              <w:bottom w:val="single" w:sz="8" w:space="0" w:color="auto"/>
              <w:right w:val="single" w:sz="8" w:space="0" w:color="auto"/>
            </w:tcBorders>
            <w:vAlign w:val="bottom"/>
          </w:tcPr>
          <w:p w14:paraId="558C79E2" w14:textId="5082B4FE"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s="Calibri"/>
                <w:color w:val="000000"/>
              </w:rPr>
              <w:t>15%</w:t>
            </w:r>
          </w:p>
        </w:tc>
      </w:tr>
      <w:tr w:rsidR="004C0E0E" w:rsidRPr="0064627E" w14:paraId="2749A156" w14:textId="092CBFAD"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461295F5" w14:textId="77777777" w:rsidR="004C0E0E" w:rsidRPr="0064627E" w:rsidRDefault="004C0E0E" w:rsidP="004C0E0E">
            <w:pPr>
              <w:suppressAutoHyphens w:val="0"/>
              <w:rPr>
                <w:rFonts w:asciiTheme="minorHAnsi" w:hAnsiTheme="minorHAnsi"/>
                <w:color w:val="000000"/>
                <w:kern w:val="0"/>
                <w14:ligatures w14:val="none"/>
              </w:rPr>
            </w:pPr>
            <w:r w:rsidRPr="0064627E">
              <w:rPr>
                <w:rFonts w:asciiTheme="minorHAnsi" w:hAnsiTheme="minorHAnsi" w:cs="Arial"/>
                <w:color w:val="000000"/>
                <w:kern w:val="0"/>
                <w14:ligatures w14:val="none"/>
              </w:rPr>
              <w:t>Payer: Managed Medicare</w:t>
            </w:r>
          </w:p>
        </w:tc>
        <w:tc>
          <w:tcPr>
            <w:tcW w:w="1763" w:type="dxa"/>
            <w:tcBorders>
              <w:top w:val="nil"/>
              <w:left w:val="nil"/>
              <w:bottom w:val="single" w:sz="8" w:space="0" w:color="auto"/>
              <w:right w:val="single" w:sz="8" w:space="0" w:color="auto"/>
            </w:tcBorders>
            <w:vAlign w:val="center"/>
            <w:hideMark/>
          </w:tcPr>
          <w:p w14:paraId="3D2F73C6"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18%</w:t>
            </w:r>
          </w:p>
        </w:tc>
        <w:tc>
          <w:tcPr>
            <w:tcW w:w="1764" w:type="dxa"/>
            <w:tcBorders>
              <w:top w:val="nil"/>
              <w:left w:val="nil"/>
              <w:bottom w:val="single" w:sz="8" w:space="0" w:color="auto"/>
              <w:right w:val="single" w:sz="8" w:space="0" w:color="auto"/>
            </w:tcBorders>
            <w:vAlign w:val="center"/>
            <w:hideMark/>
          </w:tcPr>
          <w:p w14:paraId="6079449A"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20%</w:t>
            </w:r>
          </w:p>
        </w:tc>
        <w:tc>
          <w:tcPr>
            <w:tcW w:w="1764" w:type="dxa"/>
            <w:tcBorders>
              <w:top w:val="nil"/>
              <w:left w:val="nil"/>
              <w:bottom w:val="single" w:sz="8" w:space="0" w:color="auto"/>
              <w:right w:val="single" w:sz="8" w:space="0" w:color="auto"/>
            </w:tcBorders>
            <w:vAlign w:val="bottom"/>
          </w:tcPr>
          <w:p w14:paraId="14C20AE5" w14:textId="41665F7F"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s="Calibri"/>
                <w:color w:val="000000"/>
              </w:rPr>
              <w:t>20%</w:t>
            </w:r>
          </w:p>
        </w:tc>
      </w:tr>
      <w:tr w:rsidR="004C0E0E" w:rsidRPr="0064627E" w14:paraId="1C8EC6A7" w14:textId="7328ABC2"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4EBF2E77" w14:textId="77777777" w:rsidR="004C0E0E" w:rsidRPr="0064627E" w:rsidRDefault="004C0E0E" w:rsidP="004C0E0E">
            <w:pPr>
              <w:suppressAutoHyphens w:val="0"/>
              <w:rPr>
                <w:rFonts w:asciiTheme="minorHAnsi" w:hAnsiTheme="minorHAnsi"/>
                <w:color w:val="000000"/>
                <w:kern w:val="0"/>
                <w14:ligatures w14:val="none"/>
              </w:rPr>
            </w:pPr>
            <w:r w:rsidRPr="0064627E">
              <w:rPr>
                <w:rFonts w:asciiTheme="minorHAnsi" w:hAnsiTheme="minorHAnsi" w:cs="Arial"/>
                <w:color w:val="000000"/>
                <w:kern w:val="0"/>
                <w14:ligatures w14:val="none"/>
              </w:rPr>
              <w:t>Payer: Medicare FFS</w:t>
            </w:r>
          </w:p>
        </w:tc>
        <w:tc>
          <w:tcPr>
            <w:tcW w:w="1763" w:type="dxa"/>
            <w:tcBorders>
              <w:top w:val="nil"/>
              <w:left w:val="nil"/>
              <w:bottom w:val="single" w:sz="8" w:space="0" w:color="auto"/>
              <w:right w:val="single" w:sz="8" w:space="0" w:color="auto"/>
            </w:tcBorders>
            <w:vAlign w:val="center"/>
            <w:hideMark/>
          </w:tcPr>
          <w:p w14:paraId="51E38B4F"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28%</w:t>
            </w:r>
          </w:p>
        </w:tc>
        <w:tc>
          <w:tcPr>
            <w:tcW w:w="1764" w:type="dxa"/>
            <w:tcBorders>
              <w:top w:val="nil"/>
              <w:left w:val="nil"/>
              <w:bottom w:val="single" w:sz="8" w:space="0" w:color="auto"/>
              <w:right w:val="single" w:sz="8" w:space="0" w:color="auto"/>
            </w:tcBorders>
            <w:vAlign w:val="center"/>
            <w:hideMark/>
          </w:tcPr>
          <w:p w14:paraId="21643695"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28%</w:t>
            </w:r>
          </w:p>
        </w:tc>
        <w:tc>
          <w:tcPr>
            <w:tcW w:w="1764" w:type="dxa"/>
            <w:tcBorders>
              <w:top w:val="nil"/>
              <w:left w:val="nil"/>
              <w:bottom w:val="single" w:sz="8" w:space="0" w:color="auto"/>
              <w:right w:val="single" w:sz="8" w:space="0" w:color="auto"/>
            </w:tcBorders>
            <w:vAlign w:val="bottom"/>
          </w:tcPr>
          <w:p w14:paraId="7A5236FF" w14:textId="0F6A6DAC"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s="Calibri"/>
                <w:color w:val="000000"/>
              </w:rPr>
              <w:t>29%</w:t>
            </w:r>
          </w:p>
        </w:tc>
      </w:tr>
      <w:tr w:rsidR="004C0E0E" w:rsidRPr="0064627E" w14:paraId="318C5B3E" w14:textId="3F14C8DA"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2C67A3F3" w14:textId="77777777" w:rsidR="004C0E0E" w:rsidRPr="0064627E" w:rsidRDefault="004C0E0E" w:rsidP="004C0E0E">
            <w:pPr>
              <w:suppressAutoHyphens w:val="0"/>
              <w:jc w:val="right"/>
              <w:rPr>
                <w:rFonts w:asciiTheme="minorHAnsi" w:hAnsiTheme="minorHAnsi"/>
                <w:b/>
                <w:bCs/>
                <w:color w:val="000000"/>
                <w:kern w:val="0"/>
                <w14:ligatures w14:val="none"/>
              </w:rPr>
            </w:pPr>
            <w:r w:rsidRPr="0064627E">
              <w:rPr>
                <w:rFonts w:asciiTheme="minorHAnsi" w:hAnsiTheme="minorHAnsi"/>
                <w:b/>
                <w:bCs/>
                <w:color w:val="000000"/>
                <w:kern w:val="0"/>
                <w14:ligatures w14:val="none"/>
              </w:rPr>
              <w:t xml:space="preserve">Total Public Payer </w:t>
            </w:r>
          </w:p>
        </w:tc>
        <w:tc>
          <w:tcPr>
            <w:tcW w:w="1763" w:type="dxa"/>
            <w:tcBorders>
              <w:top w:val="nil"/>
              <w:left w:val="nil"/>
              <w:bottom w:val="single" w:sz="8" w:space="0" w:color="auto"/>
              <w:right w:val="single" w:sz="8" w:space="0" w:color="auto"/>
            </w:tcBorders>
            <w:vAlign w:val="center"/>
            <w:hideMark/>
          </w:tcPr>
          <w:p w14:paraId="478EB90C" w14:textId="77777777" w:rsidR="004C0E0E" w:rsidRPr="0064627E" w:rsidRDefault="004C0E0E" w:rsidP="004C0E0E">
            <w:pPr>
              <w:suppressAutoHyphens w:val="0"/>
              <w:jc w:val="center"/>
              <w:rPr>
                <w:rFonts w:asciiTheme="minorHAnsi" w:hAnsiTheme="minorHAnsi"/>
                <w:b/>
                <w:bCs/>
                <w:color w:val="000000"/>
                <w:kern w:val="0"/>
                <w14:ligatures w14:val="none"/>
              </w:rPr>
            </w:pPr>
            <w:r w:rsidRPr="0064627E">
              <w:rPr>
                <w:rFonts w:asciiTheme="minorHAnsi" w:hAnsiTheme="minorHAnsi"/>
                <w:b/>
                <w:bCs/>
                <w:color w:val="000000"/>
                <w:kern w:val="0"/>
                <w14:ligatures w14:val="none"/>
              </w:rPr>
              <w:t>70%</w:t>
            </w:r>
          </w:p>
        </w:tc>
        <w:tc>
          <w:tcPr>
            <w:tcW w:w="1764" w:type="dxa"/>
            <w:tcBorders>
              <w:top w:val="nil"/>
              <w:left w:val="nil"/>
              <w:bottom w:val="single" w:sz="8" w:space="0" w:color="auto"/>
              <w:right w:val="single" w:sz="8" w:space="0" w:color="auto"/>
            </w:tcBorders>
            <w:vAlign w:val="center"/>
            <w:hideMark/>
          </w:tcPr>
          <w:p w14:paraId="495DE0F8" w14:textId="77777777" w:rsidR="004C0E0E" w:rsidRPr="0064627E" w:rsidRDefault="004C0E0E" w:rsidP="004C0E0E">
            <w:pPr>
              <w:suppressAutoHyphens w:val="0"/>
              <w:jc w:val="center"/>
              <w:rPr>
                <w:rFonts w:asciiTheme="minorHAnsi" w:hAnsiTheme="minorHAnsi"/>
                <w:b/>
                <w:bCs/>
                <w:color w:val="000000"/>
                <w:kern w:val="0"/>
                <w14:ligatures w14:val="none"/>
              </w:rPr>
            </w:pPr>
            <w:r w:rsidRPr="0064627E">
              <w:rPr>
                <w:rFonts w:asciiTheme="minorHAnsi" w:hAnsiTheme="minorHAnsi"/>
                <w:b/>
                <w:bCs/>
                <w:color w:val="000000"/>
                <w:kern w:val="0"/>
                <w14:ligatures w14:val="none"/>
              </w:rPr>
              <w:t>70%</w:t>
            </w:r>
          </w:p>
        </w:tc>
        <w:tc>
          <w:tcPr>
            <w:tcW w:w="1764" w:type="dxa"/>
            <w:tcBorders>
              <w:top w:val="nil"/>
              <w:left w:val="nil"/>
              <w:bottom w:val="single" w:sz="8" w:space="0" w:color="auto"/>
              <w:right w:val="single" w:sz="8" w:space="0" w:color="auto"/>
            </w:tcBorders>
            <w:vAlign w:val="bottom"/>
          </w:tcPr>
          <w:p w14:paraId="1B6A228C" w14:textId="00FE0D7F" w:rsidR="004C0E0E" w:rsidRPr="0064627E" w:rsidRDefault="004C0E0E" w:rsidP="004C0E0E">
            <w:pPr>
              <w:suppressAutoHyphens w:val="0"/>
              <w:jc w:val="center"/>
              <w:rPr>
                <w:rFonts w:asciiTheme="minorHAnsi" w:hAnsiTheme="minorHAnsi"/>
                <w:b/>
                <w:bCs/>
                <w:color w:val="000000"/>
                <w:kern w:val="0"/>
                <w14:ligatures w14:val="none"/>
              </w:rPr>
            </w:pPr>
            <w:r w:rsidRPr="0064627E">
              <w:rPr>
                <w:rFonts w:asciiTheme="minorHAnsi" w:hAnsiTheme="minorHAnsi" w:cs="Calibri"/>
                <w:b/>
                <w:bCs/>
                <w:color w:val="000000"/>
              </w:rPr>
              <w:t>71%</w:t>
            </w:r>
          </w:p>
        </w:tc>
      </w:tr>
      <w:tr w:rsidR="004C0E0E" w:rsidRPr="0064627E" w14:paraId="111A1603" w14:textId="51BC160C"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7095287F" w14:textId="77777777" w:rsidR="004C0E0E" w:rsidRPr="0064627E" w:rsidRDefault="004C0E0E" w:rsidP="004C0E0E">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 xml:space="preserve">Payer: Commercial </w:t>
            </w:r>
          </w:p>
        </w:tc>
        <w:tc>
          <w:tcPr>
            <w:tcW w:w="1763" w:type="dxa"/>
            <w:tcBorders>
              <w:top w:val="nil"/>
              <w:left w:val="nil"/>
              <w:bottom w:val="single" w:sz="8" w:space="0" w:color="auto"/>
              <w:right w:val="single" w:sz="8" w:space="0" w:color="auto"/>
            </w:tcBorders>
            <w:vAlign w:val="center"/>
            <w:hideMark/>
          </w:tcPr>
          <w:p w14:paraId="0F668FD3"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25%</w:t>
            </w:r>
          </w:p>
        </w:tc>
        <w:tc>
          <w:tcPr>
            <w:tcW w:w="1764" w:type="dxa"/>
            <w:tcBorders>
              <w:top w:val="nil"/>
              <w:left w:val="nil"/>
              <w:bottom w:val="single" w:sz="8" w:space="0" w:color="auto"/>
              <w:right w:val="single" w:sz="8" w:space="0" w:color="auto"/>
            </w:tcBorders>
            <w:vAlign w:val="center"/>
            <w:hideMark/>
          </w:tcPr>
          <w:p w14:paraId="6CA856E2" w14:textId="77777777"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25%</w:t>
            </w:r>
          </w:p>
        </w:tc>
        <w:tc>
          <w:tcPr>
            <w:tcW w:w="1764" w:type="dxa"/>
            <w:tcBorders>
              <w:top w:val="nil"/>
              <w:left w:val="nil"/>
              <w:bottom w:val="single" w:sz="8" w:space="0" w:color="auto"/>
              <w:right w:val="single" w:sz="8" w:space="0" w:color="auto"/>
            </w:tcBorders>
            <w:vAlign w:val="bottom"/>
          </w:tcPr>
          <w:p w14:paraId="37A6A540" w14:textId="2D58627B" w:rsidR="004C0E0E" w:rsidRPr="0064627E" w:rsidRDefault="004C0E0E" w:rsidP="004C0E0E">
            <w:pPr>
              <w:suppressAutoHyphens w:val="0"/>
              <w:jc w:val="center"/>
              <w:rPr>
                <w:rFonts w:asciiTheme="minorHAnsi" w:hAnsiTheme="minorHAnsi"/>
                <w:color w:val="000000"/>
                <w:kern w:val="0"/>
                <w14:ligatures w14:val="none"/>
              </w:rPr>
            </w:pPr>
            <w:r w:rsidRPr="0064627E">
              <w:rPr>
                <w:rFonts w:asciiTheme="minorHAnsi" w:hAnsiTheme="minorHAnsi" w:cs="Calibri"/>
                <w:color w:val="000000"/>
              </w:rPr>
              <w:t>23%</w:t>
            </w:r>
          </w:p>
        </w:tc>
      </w:tr>
      <w:tr w:rsidR="004C0E0E" w:rsidRPr="0064627E" w14:paraId="2F6B3451" w14:textId="0F1E4864"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30CB38F3" w14:textId="77777777" w:rsidR="004C0E0E" w:rsidRPr="0064627E" w:rsidRDefault="004C0E0E" w:rsidP="004C0E0E">
            <w:pPr>
              <w:suppressAutoHyphens w:val="0"/>
              <w:rPr>
                <w:rFonts w:asciiTheme="minorHAnsi" w:hAnsiTheme="minorHAnsi"/>
                <w:color w:val="000000"/>
                <w:kern w:val="0"/>
                <w14:ligatures w14:val="none"/>
              </w:rPr>
            </w:pPr>
            <w:r w:rsidRPr="0064627E">
              <w:rPr>
                <w:rFonts w:asciiTheme="minorHAnsi" w:hAnsiTheme="minorHAnsi" w:cs="Arial"/>
                <w:color w:val="000000"/>
                <w:kern w:val="0"/>
                <w14:ligatures w14:val="none"/>
              </w:rPr>
              <w:t>Payer: All Other</w:t>
            </w:r>
          </w:p>
        </w:tc>
        <w:tc>
          <w:tcPr>
            <w:tcW w:w="1763" w:type="dxa"/>
            <w:tcBorders>
              <w:top w:val="nil"/>
              <w:left w:val="nil"/>
              <w:bottom w:val="single" w:sz="8" w:space="0" w:color="auto"/>
              <w:right w:val="single" w:sz="8" w:space="0" w:color="auto"/>
            </w:tcBorders>
            <w:vAlign w:val="center"/>
            <w:hideMark/>
          </w:tcPr>
          <w:p w14:paraId="6752D1FB" w14:textId="77777777" w:rsidR="004C0E0E" w:rsidRPr="0064627E" w:rsidRDefault="004C0E0E" w:rsidP="004C0E0E">
            <w:pPr>
              <w:suppressAutoHyphens w:val="0"/>
              <w:jc w:val="center"/>
              <w:rPr>
                <w:rFonts w:asciiTheme="minorHAnsi" w:hAnsiTheme="minorHAnsi" w:cs="Calibri"/>
                <w:color w:val="000000"/>
                <w:kern w:val="0"/>
                <w14:ligatures w14:val="none"/>
              </w:rPr>
            </w:pPr>
            <w:r w:rsidRPr="0064627E">
              <w:rPr>
                <w:rFonts w:asciiTheme="minorHAnsi" w:hAnsiTheme="minorHAnsi" w:cs="Calibri"/>
                <w:color w:val="000000"/>
                <w:kern w:val="0"/>
                <w14:ligatures w14:val="none"/>
              </w:rPr>
              <w:t>5%</w:t>
            </w:r>
          </w:p>
        </w:tc>
        <w:tc>
          <w:tcPr>
            <w:tcW w:w="1764" w:type="dxa"/>
            <w:tcBorders>
              <w:top w:val="nil"/>
              <w:left w:val="nil"/>
              <w:bottom w:val="single" w:sz="8" w:space="0" w:color="auto"/>
              <w:right w:val="single" w:sz="8" w:space="0" w:color="auto"/>
            </w:tcBorders>
            <w:vAlign w:val="center"/>
            <w:hideMark/>
          </w:tcPr>
          <w:p w14:paraId="6F4E71A8" w14:textId="77777777" w:rsidR="004C0E0E" w:rsidRPr="0064627E" w:rsidRDefault="004C0E0E" w:rsidP="004C0E0E">
            <w:pPr>
              <w:suppressAutoHyphens w:val="0"/>
              <w:jc w:val="center"/>
              <w:rPr>
                <w:rFonts w:asciiTheme="minorHAnsi" w:hAnsiTheme="minorHAnsi" w:cs="Calibri"/>
                <w:color w:val="000000"/>
                <w:kern w:val="0"/>
                <w14:ligatures w14:val="none"/>
              </w:rPr>
            </w:pPr>
            <w:r w:rsidRPr="0064627E">
              <w:rPr>
                <w:rFonts w:asciiTheme="minorHAnsi" w:hAnsiTheme="minorHAnsi" w:cs="Calibri"/>
                <w:color w:val="000000"/>
                <w:kern w:val="0"/>
                <w14:ligatures w14:val="none"/>
              </w:rPr>
              <w:t>6%</w:t>
            </w:r>
          </w:p>
        </w:tc>
        <w:tc>
          <w:tcPr>
            <w:tcW w:w="1764" w:type="dxa"/>
            <w:tcBorders>
              <w:top w:val="nil"/>
              <w:left w:val="nil"/>
              <w:bottom w:val="single" w:sz="8" w:space="0" w:color="auto"/>
              <w:right w:val="single" w:sz="8" w:space="0" w:color="auto"/>
            </w:tcBorders>
            <w:vAlign w:val="bottom"/>
          </w:tcPr>
          <w:p w14:paraId="17CBEA64" w14:textId="32C6DC02" w:rsidR="004C0E0E" w:rsidRPr="0064627E" w:rsidRDefault="004C0E0E" w:rsidP="004C0E0E">
            <w:pPr>
              <w:suppressAutoHyphens w:val="0"/>
              <w:jc w:val="center"/>
              <w:rPr>
                <w:rFonts w:asciiTheme="minorHAnsi" w:hAnsiTheme="minorHAnsi" w:cs="Calibri"/>
                <w:color w:val="000000"/>
                <w:kern w:val="0"/>
                <w14:ligatures w14:val="none"/>
              </w:rPr>
            </w:pPr>
            <w:r w:rsidRPr="0064627E">
              <w:rPr>
                <w:rFonts w:asciiTheme="minorHAnsi" w:hAnsiTheme="minorHAnsi" w:cs="Calibri"/>
                <w:color w:val="000000"/>
              </w:rPr>
              <w:t>6%</w:t>
            </w:r>
          </w:p>
        </w:tc>
      </w:tr>
      <w:tr w:rsidR="004C0E0E" w:rsidRPr="0064627E" w14:paraId="7B9E48F0" w14:textId="04EBAB70" w:rsidTr="00BD6844">
        <w:trPr>
          <w:cantSplit/>
          <w:trHeight w:val="290"/>
        </w:trPr>
        <w:tc>
          <w:tcPr>
            <w:tcW w:w="4240" w:type="dxa"/>
            <w:tcBorders>
              <w:top w:val="nil"/>
              <w:left w:val="nil"/>
              <w:bottom w:val="nil"/>
              <w:right w:val="nil"/>
            </w:tcBorders>
            <w:shd w:val="clear" w:color="auto" w:fill="0E2841" w:themeFill="text2"/>
            <w:noWrap/>
            <w:vAlign w:val="center"/>
            <w:hideMark/>
          </w:tcPr>
          <w:p w14:paraId="3EC2CBB0" w14:textId="77777777" w:rsidR="004C0E0E" w:rsidRPr="0064627E" w:rsidRDefault="004C0E0E" w:rsidP="004C0E0E">
            <w:pPr>
              <w:suppressAutoHyphens w:val="0"/>
              <w:jc w:val="both"/>
              <w:rPr>
                <w:rFonts w:asciiTheme="minorHAnsi" w:hAnsiTheme="minorHAnsi"/>
                <w:b/>
                <w:bCs/>
                <w:color w:val="FFFFFF"/>
                <w:kern w:val="0"/>
                <w14:ligatures w14:val="none"/>
              </w:rPr>
            </w:pPr>
            <w:r w:rsidRPr="0064627E">
              <w:rPr>
                <w:rFonts w:asciiTheme="minorHAnsi" w:hAnsiTheme="minorHAnsi"/>
                <w:b/>
                <w:bCs/>
                <w:color w:val="FFFFFF"/>
                <w:kern w:val="0"/>
                <w14:ligatures w14:val="none"/>
              </w:rPr>
              <w:t xml:space="preserve">Total </w:t>
            </w:r>
          </w:p>
        </w:tc>
        <w:tc>
          <w:tcPr>
            <w:tcW w:w="1763" w:type="dxa"/>
            <w:tcBorders>
              <w:top w:val="nil"/>
              <w:left w:val="nil"/>
              <w:bottom w:val="nil"/>
              <w:right w:val="nil"/>
            </w:tcBorders>
            <w:shd w:val="clear" w:color="auto" w:fill="0E2841" w:themeFill="text2"/>
            <w:vAlign w:val="center"/>
            <w:hideMark/>
          </w:tcPr>
          <w:p w14:paraId="53AB7EC1" w14:textId="77777777" w:rsidR="004C0E0E" w:rsidRPr="0064627E" w:rsidRDefault="004C0E0E" w:rsidP="004C0E0E">
            <w:pPr>
              <w:suppressAutoHyphens w:val="0"/>
              <w:jc w:val="center"/>
              <w:rPr>
                <w:rFonts w:asciiTheme="minorHAnsi" w:hAnsiTheme="minorHAnsi"/>
                <w:b/>
                <w:bCs/>
                <w:color w:val="FFFFFF"/>
                <w:kern w:val="0"/>
                <w14:ligatures w14:val="none"/>
              </w:rPr>
            </w:pPr>
            <w:r w:rsidRPr="0064627E">
              <w:rPr>
                <w:rFonts w:asciiTheme="minorHAnsi" w:hAnsiTheme="minorHAnsi"/>
                <w:b/>
                <w:bCs/>
                <w:color w:val="FFFFFF"/>
                <w:kern w:val="0"/>
                <w14:ligatures w14:val="none"/>
              </w:rPr>
              <w:t>100%</w:t>
            </w:r>
          </w:p>
        </w:tc>
        <w:tc>
          <w:tcPr>
            <w:tcW w:w="1764" w:type="dxa"/>
            <w:tcBorders>
              <w:top w:val="nil"/>
              <w:left w:val="nil"/>
              <w:bottom w:val="nil"/>
              <w:right w:val="nil"/>
            </w:tcBorders>
            <w:shd w:val="clear" w:color="auto" w:fill="0E2841" w:themeFill="text2"/>
            <w:noWrap/>
            <w:vAlign w:val="center"/>
            <w:hideMark/>
          </w:tcPr>
          <w:p w14:paraId="752A8787" w14:textId="77777777" w:rsidR="004C0E0E" w:rsidRPr="0064627E" w:rsidRDefault="004C0E0E" w:rsidP="004C0E0E">
            <w:pPr>
              <w:suppressAutoHyphens w:val="0"/>
              <w:jc w:val="center"/>
              <w:rPr>
                <w:rFonts w:asciiTheme="minorHAnsi" w:hAnsiTheme="minorHAnsi"/>
                <w:b/>
                <w:bCs/>
                <w:color w:val="FFFFFF"/>
                <w:kern w:val="0"/>
                <w14:ligatures w14:val="none"/>
              </w:rPr>
            </w:pPr>
            <w:r w:rsidRPr="0064627E">
              <w:rPr>
                <w:rFonts w:asciiTheme="minorHAnsi" w:hAnsiTheme="minorHAnsi"/>
                <w:b/>
                <w:bCs/>
                <w:color w:val="FFFFFF"/>
                <w:kern w:val="0"/>
                <w14:ligatures w14:val="none"/>
              </w:rPr>
              <w:t>100%</w:t>
            </w:r>
          </w:p>
        </w:tc>
        <w:tc>
          <w:tcPr>
            <w:tcW w:w="1764" w:type="dxa"/>
            <w:tcBorders>
              <w:top w:val="nil"/>
              <w:left w:val="nil"/>
              <w:bottom w:val="nil"/>
              <w:right w:val="nil"/>
            </w:tcBorders>
            <w:shd w:val="clear" w:color="auto" w:fill="0E2841" w:themeFill="text2"/>
            <w:vAlign w:val="bottom"/>
          </w:tcPr>
          <w:p w14:paraId="601CA880" w14:textId="11F2F71C" w:rsidR="004C0E0E" w:rsidRPr="0064627E" w:rsidRDefault="004C0E0E" w:rsidP="004C0E0E">
            <w:pPr>
              <w:suppressAutoHyphens w:val="0"/>
              <w:jc w:val="center"/>
              <w:rPr>
                <w:rFonts w:asciiTheme="minorHAnsi" w:hAnsiTheme="minorHAnsi"/>
                <w:b/>
                <w:bCs/>
                <w:color w:val="FFFFFF"/>
                <w:kern w:val="0"/>
                <w14:ligatures w14:val="none"/>
              </w:rPr>
            </w:pPr>
            <w:r w:rsidRPr="0064627E">
              <w:rPr>
                <w:rFonts w:asciiTheme="minorHAnsi" w:hAnsiTheme="minorHAnsi" w:cs="Calibri"/>
                <w:b/>
                <w:bCs/>
                <w:color w:val="FFFFFF" w:themeColor="background1"/>
              </w:rPr>
              <w:t>100%</w:t>
            </w:r>
          </w:p>
        </w:tc>
      </w:tr>
    </w:tbl>
    <w:p w14:paraId="7CE08D74" w14:textId="77777777" w:rsidR="004D0A8B" w:rsidRDefault="004D0A8B"/>
    <w:tbl>
      <w:tblPr>
        <w:tblW w:w="9531" w:type="dxa"/>
        <w:tblInd w:w="-10" w:type="dxa"/>
        <w:tblLayout w:type="fixed"/>
        <w:tblLook w:val="04A0" w:firstRow="1" w:lastRow="0" w:firstColumn="1" w:lastColumn="0" w:noHBand="0" w:noVBand="1"/>
        <w:tblCaption w:val="Table 5: MMC Payer Mix"/>
      </w:tblPr>
      <w:tblGrid>
        <w:gridCol w:w="4240"/>
        <w:gridCol w:w="1763"/>
        <w:gridCol w:w="1764"/>
        <w:gridCol w:w="1764"/>
      </w:tblGrid>
      <w:tr w:rsidR="00A15DB3" w:rsidRPr="0064627E" w14:paraId="64F78DA9" w14:textId="36A2D784" w:rsidTr="00BD6844">
        <w:trPr>
          <w:cantSplit/>
          <w:trHeight w:val="300"/>
          <w:tblHeader/>
        </w:trPr>
        <w:tc>
          <w:tcPr>
            <w:tcW w:w="4240" w:type="dxa"/>
            <w:tcBorders>
              <w:top w:val="single" w:sz="8" w:space="0" w:color="auto"/>
              <w:left w:val="single" w:sz="8" w:space="0" w:color="auto"/>
              <w:bottom w:val="single" w:sz="8" w:space="0" w:color="auto"/>
              <w:right w:val="single" w:sz="8" w:space="0" w:color="auto"/>
            </w:tcBorders>
            <w:shd w:val="clear" w:color="auto" w:fill="156082" w:themeFill="accent1"/>
            <w:vAlign w:val="center"/>
            <w:hideMark/>
          </w:tcPr>
          <w:p w14:paraId="667930AA" w14:textId="6AF196CE" w:rsidR="00A15DB3" w:rsidRPr="0064627E" w:rsidRDefault="00A15DB3">
            <w:pPr>
              <w:suppressAutoHyphens w:val="0"/>
              <w:rPr>
                <w:rFonts w:asciiTheme="minorHAnsi" w:hAnsiTheme="minorHAnsi"/>
                <w:b/>
                <w:bCs/>
                <w:color w:val="FFFFFF"/>
                <w:kern w:val="0"/>
                <w14:ligatures w14:val="none"/>
              </w:rPr>
            </w:pPr>
            <w:r w:rsidRPr="0064627E">
              <w:rPr>
                <w:rFonts w:asciiTheme="minorHAnsi" w:eastAsia="PMingLiU" w:hAnsiTheme="minorHAnsi"/>
                <w:b/>
                <w:bCs/>
                <w:color w:val="FFFFFF" w:themeColor="background1"/>
                <w:kern w:val="0"/>
                <w14:ligatures w14:val="none"/>
              </w:rPr>
              <w:t>Table 5: MMC Payer Mix</w:t>
            </w:r>
          </w:p>
        </w:tc>
        <w:tc>
          <w:tcPr>
            <w:tcW w:w="1763" w:type="dxa"/>
            <w:tcBorders>
              <w:top w:val="single" w:sz="8" w:space="0" w:color="auto"/>
              <w:left w:val="nil"/>
              <w:bottom w:val="single" w:sz="8" w:space="0" w:color="auto"/>
              <w:right w:val="single" w:sz="8" w:space="0" w:color="auto"/>
            </w:tcBorders>
            <w:shd w:val="clear" w:color="auto" w:fill="156082" w:themeFill="accent1"/>
            <w:vAlign w:val="center"/>
            <w:hideMark/>
          </w:tcPr>
          <w:p w14:paraId="6AD81E20" w14:textId="77777777" w:rsidR="00A15DB3" w:rsidRPr="0064627E" w:rsidRDefault="00A15DB3">
            <w:pPr>
              <w:suppressAutoHyphens w:val="0"/>
              <w:jc w:val="center"/>
              <w:rPr>
                <w:rFonts w:asciiTheme="minorHAnsi" w:hAnsiTheme="minorHAnsi"/>
                <w:b/>
                <w:bCs/>
                <w:color w:val="FFFFFF"/>
                <w:kern w:val="0"/>
                <w14:ligatures w14:val="none"/>
              </w:rPr>
            </w:pPr>
            <w:r w:rsidRPr="0064627E">
              <w:rPr>
                <w:rFonts w:asciiTheme="minorHAnsi" w:hAnsiTheme="minorHAnsi" w:cs="Calibri Light"/>
                <w:b/>
                <w:bCs/>
                <w:color w:val="FFFFFF" w:themeColor="background1"/>
                <w:kern w:val="0"/>
                <w14:ligatures w14:val="none"/>
              </w:rPr>
              <w:t>FY2023</w:t>
            </w:r>
          </w:p>
        </w:tc>
        <w:tc>
          <w:tcPr>
            <w:tcW w:w="1764" w:type="dxa"/>
            <w:tcBorders>
              <w:top w:val="single" w:sz="8" w:space="0" w:color="auto"/>
              <w:left w:val="nil"/>
              <w:bottom w:val="single" w:sz="8" w:space="0" w:color="auto"/>
              <w:right w:val="single" w:sz="8" w:space="0" w:color="auto"/>
            </w:tcBorders>
            <w:shd w:val="clear" w:color="auto" w:fill="156082" w:themeFill="accent1"/>
            <w:vAlign w:val="center"/>
            <w:hideMark/>
          </w:tcPr>
          <w:p w14:paraId="0008998E" w14:textId="77777777" w:rsidR="00A15DB3" w:rsidRPr="0064627E" w:rsidRDefault="00A15DB3">
            <w:pPr>
              <w:suppressAutoHyphens w:val="0"/>
              <w:jc w:val="center"/>
              <w:rPr>
                <w:rFonts w:asciiTheme="minorHAnsi" w:hAnsiTheme="minorHAnsi"/>
                <w:b/>
                <w:bCs/>
                <w:color w:val="FFFFFF"/>
                <w:kern w:val="0"/>
                <w14:ligatures w14:val="none"/>
              </w:rPr>
            </w:pPr>
            <w:r w:rsidRPr="0064627E">
              <w:rPr>
                <w:rFonts w:asciiTheme="minorHAnsi" w:hAnsiTheme="minorHAnsi" w:cs="Calibri Light"/>
                <w:b/>
                <w:bCs/>
                <w:color w:val="FFFFFF" w:themeColor="background1"/>
                <w:kern w:val="0"/>
                <w14:ligatures w14:val="none"/>
              </w:rPr>
              <w:t>FY2024</w:t>
            </w:r>
          </w:p>
        </w:tc>
        <w:tc>
          <w:tcPr>
            <w:tcW w:w="1764" w:type="dxa"/>
            <w:tcBorders>
              <w:top w:val="single" w:sz="8" w:space="0" w:color="auto"/>
              <w:left w:val="nil"/>
              <w:bottom w:val="single" w:sz="8" w:space="0" w:color="auto"/>
              <w:right w:val="single" w:sz="8" w:space="0" w:color="auto"/>
            </w:tcBorders>
            <w:shd w:val="clear" w:color="auto" w:fill="156082" w:themeFill="accent1"/>
          </w:tcPr>
          <w:p w14:paraId="2032A1AC" w14:textId="4AE119CD" w:rsidR="00A15DB3" w:rsidRPr="0064627E" w:rsidRDefault="00A15DB3">
            <w:pPr>
              <w:suppressAutoHyphens w:val="0"/>
              <w:jc w:val="center"/>
              <w:rPr>
                <w:rFonts w:asciiTheme="minorHAnsi" w:hAnsiTheme="minorHAnsi" w:cs="Calibri Light"/>
                <w:b/>
                <w:bCs/>
                <w:color w:val="FFFFFF" w:themeColor="background1"/>
                <w:kern w:val="0"/>
                <w14:ligatures w14:val="none"/>
              </w:rPr>
            </w:pPr>
            <w:r w:rsidRPr="0064627E">
              <w:rPr>
                <w:rFonts w:asciiTheme="minorHAnsi" w:hAnsiTheme="minorHAnsi" w:cs="Calibri Light"/>
                <w:b/>
                <w:bCs/>
                <w:color w:val="FFFFFF" w:themeColor="background1"/>
                <w:kern w:val="0"/>
                <w14:ligatures w14:val="none"/>
              </w:rPr>
              <w:t>FY2025</w:t>
            </w:r>
          </w:p>
        </w:tc>
      </w:tr>
      <w:tr w:rsidR="000107D2" w:rsidRPr="0064627E" w14:paraId="6AB0BBB6" w14:textId="5170F83C" w:rsidTr="00BD6844">
        <w:trPr>
          <w:cantSplit/>
          <w:trHeight w:val="300"/>
        </w:trPr>
        <w:tc>
          <w:tcPr>
            <w:tcW w:w="4240" w:type="dxa"/>
            <w:tcBorders>
              <w:top w:val="nil"/>
              <w:left w:val="single" w:sz="8" w:space="0" w:color="auto"/>
              <w:bottom w:val="single" w:sz="8" w:space="0" w:color="auto"/>
              <w:right w:val="single" w:sz="8" w:space="0" w:color="auto"/>
            </w:tcBorders>
            <w:vAlign w:val="center"/>
            <w:hideMark/>
          </w:tcPr>
          <w:p w14:paraId="08028BA1" w14:textId="77777777" w:rsidR="000107D2" w:rsidRPr="0064627E" w:rsidRDefault="000107D2" w:rsidP="000107D2">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 xml:space="preserve">Payer: MassHealth </w:t>
            </w:r>
          </w:p>
        </w:tc>
        <w:tc>
          <w:tcPr>
            <w:tcW w:w="1763" w:type="dxa"/>
            <w:tcBorders>
              <w:top w:val="nil"/>
              <w:left w:val="nil"/>
              <w:bottom w:val="single" w:sz="8" w:space="0" w:color="auto"/>
              <w:right w:val="single" w:sz="8" w:space="0" w:color="auto"/>
            </w:tcBorders>
            <w:vAlign w:val="center"/>
            <w:hideMark/>
          </w:tcPr>
          <w:p w14:paraId="4D40ADE3"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7%</w:t>
            </w:r>
          </w:p>
        </w:tc>
        <w:tc>
          <w:tcPr>
            <w:tcW w:w="1764" w:type="dxa"/>
            <w:tcBorders>
              <w:top w:val="nil"/>
              <w:left w:val="nil"/>
              <w:bottom w:val="single" w:sz="8" w:space="0" w:color="auto"/>
              <w:right w:val="single" w:sz="8" w:space="0" w:color="auto"/>
            </w:tcBorders>
            <w:vAlign w:val="center"/>
            <w:hideMark/>
          </w:tcPr>
          <w:p w14:paraId="455BB80E"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9%</w:t>
            </w:r>
          </w:p>
        </w:tc>
        <w:tc>
          <w:tcPr>
            <w:tcW w:w="1764" w:type="dxa"/>
            <w:tcBorders>
              <w:top w:val="nil"/>
              <w:left w:val="nil"/>
              <w:bottom w:val="single" w:sz="8" w:space="0" w:color="auto"/>
              <w:right w:val="single" w:sz="8" w:space="0" w:color="auto"/>
            </w:tcBorders>
            <w:vAlign w:val="bottom"/>
          </w:tcPr>
          <w:p w14:paraId="75EFEAD6" w14:textId="4E8C143A"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10%</w:t>
            </w:r>
          </w:p>
        </w:tc>
      </w:tr>
      <w:tr w:rsidR="000107D2" w:rsidRPr="0064627E" w14:paraId="290CD069" w14:textId="10111A2B" w:rsidTr="00BD6844">
        <w:trPr>
          <w:cantSplit/>
          <w:trHeight w:val="300"/>
        </w:trPr>
        <w:tc>
          <w:tcPr>
            <w:tcW w:w="4240" w:type="dxa"/>
            <w:tcBorders>
              <w:top w:val="nil"/>
              <w:left w:val="single" w:sz="8" w:space="0" w:color="auto"/>
              <w:bottom w:val="single" w:sz="8" w:space="0" w:color="auto"/>
              <w:right w:val="single" w:sz="8" w:space="0" w:color="auto"/>
            </w:tcBorders>
            <w:vAlign w:val="center"/>
            <w:hideMark/>
          </w:tcPr>
          <w:p w14:paraId="191E3206" w14:textId="77777777" w:rsidR="000107D2" w:rsidRPr="0064627E" w:rsidRDefault="000107D2" w:rsidP="000107D2">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Payer: Managed Medicaid</w:t>
            </w:r>
          </w:p>
        </w:tc>
        <w:tc>
          <w:tcPr>
            <w:tcW w:w="1763" w:type="dxa"/>
            <w:tcBorders>
              <w:top w:val="nil"/>
              <w:left w:val="nil"/>
              <w:bottom w:val="single" w:sz="8" w:space="0" w:color="auto"/>
              <w:right w:val="single" w:sz="8" w:space="0" w:color="auto"/>
            </w:tcBorders>
            <w:vAlign w:val="center"/>
            <w:hideMark/>
          </w:tcPr>
          <w:p w14:paraId="49FDC111"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23%</w:t>
            </w:r>
          </w:p>
        </w:tc>
        <w:tc>
          <w:tcPr>
            <w:tcW w:w="1764" w:type="dxa"/>
            <w:tcBorders>
              <w:top w:val="nil"/>
              <w:left w:val="nil"/>
              <w:bottom w:val="single" w:sz="8" w:space="0" w:color="auto"/>
              <w:right w:val="single" w:sz="8" w:space="0" w:color="auto"/>
            </w:tcBorders>
            <w:vAlign w:val="center"/>
            <w:hideMark/>
          </w:tcPr>
          <w:p w14:paraId="26E48D48"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19%</w:t>
            </w:r>
          </w:p>
        </w:tc>
        <w:tc>
          <w:tcPr>
            <w:tcW w:w="1764" w:type="dxa"/>
            <w:tcBorders>
              <w:top w:val="nil"/>
              <w:left w:val="nil"/>
              <w:bottom w:val="single" w:sz="8" w:space="0" w:color="auto"/>
              <w:right w:val="single" w:sz="8" w:space="0" w:color="auto"/>
            </w:tcBorders>
            <w:vAlign w:val="bottom"/>
          </w:tcPr>
          <w:p w14:paraId="7B259200" w14:textId="6EF0E503"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20%</w:t>
            </w:r>
          </w:p>
        </w:tc>
      </w:tr>
      <w:tr w:rsidR="000107D2" w:rsidRPr="0064627E" w14:paraId="300C52B0" w14:textId="6B5EF48C" w:rsidTr="00BD6844">
        <w:trPr>
          <w:cantSplit/>
          <w:trHeight w:val="300"/>
        </w:trPr>
        <w:tc>
          <w:tcPr>
            <w:tcW w:w="4240" w:type="dxa"/>
            <w:tcBorders>
              <w:top w:val="nil"/>
              <w:left w:val="single" w:sz="8" w:space="0" w:color="auto"/>
              <w:bottom w:val="single" w:sz="8" w:space="0" w:color="auto"/>
              <w:right w:val="single" w:sz="8" w:space="0" w:color="auto"/>
            </w:tcBorders>
            <w:vAlign w:val="center"/>
            <w:hideMark/>
          </w:tcPr>
          <w:p w14:paraId="6BA40A08" w14:textId="77777777" w:rsidR="000107D2" w:rsidRPr="0064627E" w:rsidRDefault="000107D2" w:rsidP="000107D2">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Payer: Managed Medicare</w:t>
            </w:r>
          </w:p>
        </w:tc>
        <w:tc>
          <w:tcPr>
            <w:tcW w:w="1763" w:type="dxa"/>
            <w:tcBorders>
              <w:top w:val="nil"/>
              <w:left w:val="nil"/>
              <w:bottom w:val="single" w:sz="8" w:space="0" w:color="auto"/>
              <w:right w:val="single" w:sz="8" w:space="0" w:color="auto"/>
            </w:tcBorders>
            <w:vAlign w:val="center"/>
            <w:hideMark/>
          </w:tcPr>
          <w:p w14:paraId="202D2298"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22%</w:t>
            </w:r>
          </w:p>
        </w:tc>
        <w:tc>
          <w:tcPr>
            <w:tcW w:w="1764" w:type="dxa"/>
            <w:tcBorders>
              <w:top w:val="nil"/>
              <w:left w:val="nil"/>
              <w:bottom w:val="single" w:sz="8" w:space="0" w:color="auto"/>
              <w:right w:val="single" w:sz="8" w:space="0" w:color="auto"/>
            </w:tcBorders>
            <w:vAlign w:val="center"/>
            <w:hideMark/>
          </w:tcPr>
          <w:p w14:paraId="7E94DDC2"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24%</w:t>
            </w:r>
          </w:p>
        </w:tc>
        <w:tc>
          <w:tcPr>
            <w:tcW w:w="1764" w:type="dxa"/>
            <w:tcBorders>
              <w:top w:val="nil"/>
              <w:left w:val="nil"/>
              <w:bottom w:val="single" w:sz="8" w:space="0" w:color="auto"/>
              <w:right w:val="single" w:sz="8" w:space="0" w:color="auto"/>
            </w:tcBorders>
            <w:vAlign w:val="bottom"/>
          </w:tcPr>
          <w:p w14:paraId="34D88417" w14:textId="2A8E8C2B"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23%</w:t>
            </w:r>
          </w:p>
        </w:tc>
      </w:tr>
      <w:tr w:rsidR="000107D2" w:rsidRPr="0064627E" w14:paraId="011617B1" w14:textId="7150291D" w:rsidTr="00BD6844">
        <w:trPr>
          <w:cantSplit/>
          <w:trHeight w:val="300"/>
        </w:trPr>
        <w:tc>
          <w:tcPr>
            <w:tcW w:w="4240" w:type="dxa"/>
            <w:tcBorders>
              <w:top w:val="nil"/>
              <w:left w:val="single" w:sz="8" w:space="0" w:color="auto"/>
              <w:bottom w:val="single" w:sz="8" w:space="0" w:color="auto"/>
              <w:right w:val="single" w:sz="8" w:space="0" w:color="auto"/>
            </w:tcBorders>
            <w:vAlign w:val="center"/>
            <w:hideMark/>
          </w:tcPr>
          <w:p w14:paraId="63CD037A" w14:textId="77777777" w:rsidR="000107D2" w:rsidRPr="0064627E" w:rsidRDefault="000107D2" w:rsidP="000107D2">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Payer: Medicare FFS</w:t>
            </w:r>
          </w:p>
        </w:tc>
        <w:tc>
          <w:tcPr>
            <w:tcW w:w="1763" w:type="dxa"/>
            <w:tcBorders>
              <w:top w:val="nil"/>
              <w:left w:val="nil"/>
              <w:bottom w:val="single" w:sz="8" w:space="0" w:color="auto"/>
              <w:right w:val="single" w:sz="8" w:space="0" w:color="auto"/>
            </w:tcBorders>
            <w:vAlign w:val="center"/>
            <w:hideMark/>
          </w:tcPr>
          <w:p w14:paraId="08F5C790"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23%</w:t>
            </w:r>
          </w:p>
        </w:tc>
        <w:tc>
          <w:tcPr>
            <w:tcW w:w="1764" w:type="dxa"/>
            <w:tcBorders>
              <w:top w:val="nil"/>
              <w:left w:val="nil"/>
              <w:bottom w:val="single" w:sz="8" w:space="0" w:color="auto"/>
              <w:right w:val="single" w:sz="8" w:space="0" w:color="auto"/>
            </w:tcBorders>
            <w:vAlign w:val="center"/>
            <w:hideMark/>
          </w:tcPr>
          <w:p w14:paraId="57F585AD"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21%</w:t>
            </w:r>
          </w:p>
        </w:tc>
        <w:tc>
          <w:tcPr>
            <w:tcW w:w="1764" w:type="dxa"/>
            <w:tcBorders>
              <w:top w:val="nil"/>
              <w:left w:val="nil"/>
              <w:bottom w:val="single" w:sz="8" w:space="0" w:color="auto"/>
              <w:right w:val="single" w:sz="8" w:space="0" w:color="auto"/>
            </w:tcBorders>
            <w:vAlign w:val="bottom"/>
          </w:tcPr>
          <w:p w14:paraId="2B4637AB" w14:textId="39A40CA3"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19%</w:t>
            </w:r>
          </w:p>
        </w:tc>
      </w:tr>
      <w:tr w:rsidR="000107D2" w:rsidRPr="0064627E" w14:paraId="49EA6C37" w14:textId="3FD277F5" w:rsidTr="00BD6844">
        <w:trPr>
          <w:cantSplit/>
          <w:trHeight w:val="300"/>
        </w:trPr>
        <w:tc>
          <w:tcPr>
            <w:tcW w:w="4240" w:type="dxa"/>
            <w:tcBorders>
              <w:top w:val="nil"/>
              <w:left w:val="single" w:sz="8" w:space="0" w:color="auto"/>
              <w:bottom w:val="single" w:sz="8" w:space="0" w:color="auto"/>
              <w:right w:val="single" w:sz="8" w:space="0" w:color="auto"/>
            </w:tcBorders>
            <w:noWrap/>
            <w:vAlign w:val="center"/>
            <w:hideMark/>
          </w:tcPr>
          <w:p w14:paraId="47978C9C" w14:textId="77777777" w:rsidR="000107D2" w:rsidRPr="0064627E" w:rsidRDefault="000107D2" w:rsidP="000107D2">
            <w:pPr>
              <w:suppressAutoHyphens w:val="0"/>
              <w:jc w:val="right"/>
              <w:rPr>
                <w:rFonts w:asciiTheme="minorHAnsi" w:hAnsiTheme="minorHAnsi"/>
                <w:b/>
                <w:bCs/>
                <w:color w:val="000000"/>
                <w:kern w:val="0"/>
                <w14:ligatures w14:val="none"/>
              </w:rPr>
            </w:pPr>
            <w:r w:rsidRPr="0064627E">
              <w:rPr>
                <w:rFonts w:asciiTheme="minorHAnsi" w:hAnsiTheme="minorHAnsi"/>
                <w:b/>
                <w:bCs/>
                <w:color w:val="000000"/>
                <w:kern w:val="0"/>
                <w14:ligatures w14:val="none"/>
              </w:rPr>
              <w:t xml:space="preserve">Total Public Payer </w:t>
            </w:r>
          </w:p>
        </w:tc>
        <w:tc>
          <w:tcPr>
            <w:tcW w:w="1763" w:type="dxa"/>
            <w:tcBorders>
              <w:top w:val="nil"/>
              <w:left w:val="nil"/>
              <w:bottom w:val="single" w:sz="8" w:space="0" w:color="auto"/>
              <w:right w:val="single" w:sz="8" w:space="0" w:color="auto"/>
            </w:tcBorders>
            <w:vAlign w:val="center"/>
            <w:hideMark/>
          </w:tcPr>
          <w:p w14:paraId="642D3D80" w14:textId="77777777" w:rsidR="000107D2" w:rsidRPr="0064627E" w:rsidRDefault="000107D2" w:rsidP="000107D2">
            <w:pPr>
              <w:suppressAutoHyphens w:val="0"/>
              <w:jc w:val="center"/>
              <w:rPr>
                <w:rFonts w:asciiTheme="minorHAnsi" w:hAnsiTheme="minorHAnsi"/>
                <w:b/>
                <w:bCs/>
                <w:color w:val="000000"/>
                <w:kern w:val="0"/>
                <w14:ligatures w14:val="none"/>
              </w:rPr>
            </w:pPr>
            <w:r w:rsidRPr="0064627E">
              <w:rPr>
                <w:rFonts w:asciiTheme="minorHAnsi" w:hAnsiTheme="minorHAnsi"/>
                <w:b/>
                <w:bCs/>
                <w:color w:val="000000"/>
                <w:kern w:val="0"/>
                <w14:ligatures w14:val="none"/>
              </w:rPr>
              <w:t>75%</w:t>
            </w:r>
          </w:p>
        </w:tc>
        <w:tc>
          <w:tcPr>
            <w:tcW w:w="1764" w:type="dxa"/>
            <w:tcBorders>
              <w:top w:val="nil"/>
              <w:left w:val="nil"/>
              <w:bottom w:val="single" w:sz="8" w:space="0" w:color="auto"/>
              <w:right w:val="single" w:sz="8" w:space="0" w:color="auto"/>
            </w:tcBorders>
            <w:vAlign w:val="center"/>
            <w:hideMark/>
          </w:tcPr>
          <w:p w14:paraId="369D4199" w14:textId="77777777" w:rsidR="000107D2" w:rsidRPr="0064627E" w:rsidRDefault="000107D2" w:rsidP="000107D2">
            <w:pPr>
              <w:suppressAutoHyphens w:val="0"/>
              <w:jc w:val="center"/>
              <w:rPr>
                <w:rFonts w:asciiTheme="minorHAnsi" w:hAnsiTheme="minorHAnsi"/>
                <w:b/>
                <w:bCs/>
                <w:color w:val="000000"/>
                <w:kern w:val="0"/>
                <w14:ligatures w14:val="none"/>
              </w:rPr>
            </w:pPr>
            <w:r w:rsidRPr="0064627E">
              <w:rPr>
                <w:rFonts w:asciiTheme="minorHAnsi" w:hAnsiTheme="minorHAnsi"/>
                <w:b/>
                <w:bCs/>
                <w:color w:val="000000"/>
                <w:kern w:val="0"/>
                <w14:ligatures w14:val="none"/>
              </w:rPr>
              <w:t>73%</w:t>
            </w:r>
          </w:p>
        </w:tc>
        <w:tc>
          <w:tcPr>
            <w:tcW w:w="1764" w:type="dxa"/>
            <w:tcBorders>
              <w:top w:val="nil"/>
              <w:left w:val="nil"/>
              <w:bottom w:val="single" w:sz="8" w:space="0" w:color="auto"/>
              <w:right w:val="single" w:sz="8" w:space="0" w:color="auto"/>
            </w:tcBorders>
            <w:vAlign w:val="bottom"/>
          </w:tcPr>
          <w:p w14:paraId="0850CDDF" w14:textId="658599D6" w:rsidR="000107D2" w:rsidRPr="0064627E" w:rsidRDefault="000107D2" w:rsidP="000107D2">
            <w:pPr>
              <w:suppressAutoHyphens w:val="0"/>
              <w:jc w:val="center"/>
              <w:rPr>
                <w:rFonts w:asciiTheme="minorHAnsi" w:hAnsiTheme="minorHAnsi"/>
                <w:b/>
                <w:bCs/>
                <w:color w:val="000000"/>
                <w:kern w:val="0"/>
                <w14:ligatures w14:val="none"/>
              </w:rPr>
            </w:pPr>
            <w:r w:rsidRPr="0064627E">
              <w:rPr>
                <w:rFonts w:asciiTheme="minorHAnsi" w:hAnsiTheme="minorHAnsi"/>
                <w:b/>
                <w:bCs/>
                <w:color w:val="000000"/>
                <w:kern w:val="0"/>
                <w14:ligatures w14:val="none"/>
              </w:rPr>
              <w:t>72%</w:t>
            </w:r>
          </w:p>
        </w:tc>
      </w:tr>
      <w:tr w:rsidR="000107D2" w:rsidRPr="0064627E" w14:paraId="040D6B43" w14:textId="1EF68BA7" w:rsidTr="00BD6844">
        <w:trPr>
          <w:cantSplit/>
          <w:trHeight w:val="300"/>
        </w:trPr>
        <w:tc>
          <w:tcPr>
            <w:tcW w:w="4240" w:type="dxa"/>
            <w:tcBorders>
              <w:top w:val="nil"/>
              <w:left w:val="single" w:sz="8" w:space="0" w:color="auto"/>
              <w:bottom w:val="single" w:sz="8" w:space="0" w:color="auto"/>
              <w:right w:val="single" w:sz="8" w:space="0" w:color="auto"/>
            </w:tcBorders>
            <w:vAlign w:val="center"/>
            <w:hideMark/>
          </w:tcPr>
          <w:p w14:paraId="41464775" w14:textId="77777777" w:rsidR="000107D2" w:rsidRPr="0064627E" w:rsidRDefault="000107D2" w:rsidP="000107D2">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Payer: Commercial</w:t>
            </w:r>
          </w:p>
        </w:tc>
        <w:tc>
          <w:tcPr>
            <w:tcW w:w="1763" w:type="dxa"/>
            <w:tcBorders>
              <w:top w:val="nil"/>
              <w:left w:val="nil"/>
              <w:bottom w:val="single" w:sz="8" w:space="0" w:color="auto"/>
              <w:right w:val="single" w:sz="8" w:space="0" w:color="auto"/>
            </w:tcBorders>
            <w:vAlign w:val="center"/>
            <w:hideMark/>
          </w:tcPr>
          <w:p w14:paraId="123A26CD"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23%</w:t>
            </w:r>
          </w:p>
        </w:tc>
        <w:tc>
          <w:tcPr>
            <w:tcW w:w="1764" w:type="dxa"/>
            <w:tcBorders>
              <w:top w:val="nil"/>
              <w:left w:val="nil"/>
              <w:bottom w:val="single" w:sz="8" w:space="0" w:color="auto"/>
              <w:right w:val="single" w:sz="8" w:space="0" w:color="auto"/>
            </w:tcBorders>
            <w:vAlign w:val="center"/>
            <w:hideMark/>
          </w:tcPr>
          <w:p w14:paraId="5BEF3D3E"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24%</w:t>
            </w:r>
          </w:p>
        </w:tc>
        <w:tc>
          <w:tcPr>
            <w:tcW w:w="1764" w:type="dxa"/>
            <w:tcBorders>
              <w:top w:val="nil"/>
              <w:left w:val="nil"/>
              <w:bottom w:val="single" w:sz="8" w:space="0" w:color="auto"/>
              <w:right w:val="single" w:sz="8" w:space="0" w:color="auto"/>
            </w:tcBorders>
            <w:vAlign w:val="bottom"/>
          </w:tcPr>
          <w:p w14:paraId="73583C83" w14:textId="516B91AA"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25%</w:t>
            </w:r>
          </w:p>
        </w:tc>
      </w:tr>
      <w:tr w:rsidR="000107D2" w:rsidRPr="0064627E" w14:paraId="6C1527C5" w14:textId="1B166C4C" w:rsidTr="00BD6844">
        <w:trPr>
          <w:cantSplit/>
          <w:trHeight w:val="300"/>
        </w:trPr>
        <w:tc>
          <w:tcPr>
            <w:tcW w:w="4240" w:type="dxa"/>
            <w:tcBorders>
              <w:top w:val="nil"/>
              <w:left w:val="single" w:sz="8" w:space="0" w:color="auto"/>
              <w:bottom w:val="single" w:sz="8" w:space="0" w:color="auto"/>
              <w:right w:val="single" w:sz="8" w:space="0" w:color="auto"/>
            </w:tcBorders>
            <w:vAlign w:val="center"/>
            <w:hideMark/>
          </w:tcPr>
          <w:p w14:paraId="11D8A6DC" w14:textId="77777777" w:rsidR="000107D2" w:rsidRPr="0064627E" w:rsidRDefault="000107D2" w:rsidP="000107D2">
            <w:pPr>
              <w:suppressAutoHyphens w:val="0"/>
              <w:rPr>
                <w:rFonts w:asciiTheme="minorHAnsi" w:hAnsiTheme="minorHAnsi"/>
                <w:color w:val="000000"/>
                <w:kern w:val="0"/>
                <w14:ligatures w14:val="none"/>
              </w:rPr>
            </w:pPr>
            <w:r w:rsidRPr="0064627E">
              <w:rPr>
                <w:rFonts w:asciiTheme="minorHAnsi" w:hAnsiTheme="minorHAnsi"/>
                <w:color w:val="000000"/>
                <w:kern w:val="0"/>
                <w14:ligatures w14:val="none"/>
              </w:rPr>
              <w:t>Payer: Other</w:t>
            </w:r>
          </w:p>
        </w:tc>
        <w:tc>
          <w:tcPr>
            <w:tcW w:w="1763" w:type="dxa"/>
            <w:tcBorders>
              <w:top w:val="nil"/>
              <w:left w:val="nil"/>
              <w:bottom w:val="single" w:sz="8" w:space="0" w:color="auto"/>
              <w:right w:val="single" w:sz="8" w:space="0" w:color="auto"/>
            </w:tcBorders>
            <w:vAlign w:val="center"/>
            <w:hideMark/>
          </w:tcPr>
          <w:p w14:paraId="12786753"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2%</w:t>
            </w:r>
          </w:p>
        </w:tc>
        <w:tc>
          <w:tcPr>
            <w:tcW w:w="1764" w:type="dxa"/>
            <w:tcBorders>
              <w:top w:val="nil"/>
              <w:left w:val="nil"/>
              <w:bottom w:val="single" w:sz="8" w:space="0" w:color="auto"/>
              <w:right w:val="single" w:sz="8" w:space="0" w:color="auto"/>
            </w:tcBorders>
            <w:vAlign w:val="center"/>
            <w:hideMark/>
          </w:tcPr>
          <w:p w14:paraId="30208EDB" w14:textId="77777777"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3%</w:t>
            </w:r>
          </w:p>
        </w:tc>
        <w:tc>
          <w:tcPr>
            <w:tcW w:w="1764" w:type="dxa"/>
            <w:tcBorders>
              <w:top w:val="nil"/>
              <w:left w:val="nil"/>
              <w:bottom w:val="single" w:sz="8" w:space="0" w:color="auto"/>
              <w:right w:val="single" w:sz="8" w:space="0" w:color="auto"/>
            </w:tcBorders>
            <w:vAlign w:val="bottom"/>
          </w:tcPr>
          <w:p w14:paraId="46455914" w14:textId="26C00851" w:rsidR="000107D2" w:rsidRPr="0064627E" w:rsidRDefault="000107D2" w:rsidP="000107D2">
            <w:pPr>
              <w:suppressAutoHyphens w:val="0"/>
              <w:jc w:val="center"/>
              <w:rPr>
                <w:rFonts w:asciiTheme="minorHAnsi" w:hAnsiTheme="minorHAnsi"/>
                <w:color w:val="000000"/>
                <w:kern w:val="0"/>
                <w14:ligatures w14:val="none"/>
              </w:rPr>
            </w:pPr>
            <w:r w:rsidRPr="0064627E">
              <w:rPr>
                <w:rFonts w:asciiTheme="minorHAnsi" w:hAnsiTheme="minorHAnsi"/>
                <w:color w:val="000000"/>
                <w:kern w:val="0"/>
                <w14:ligatures w14:val="none"/>
              </w:rPr>
              <w:t>3%</w:t>
            </w:r>
          </w:p>
        </w:tc>
      </w:tr>
      <w:tr w:rsidR="000107D2" w:rsidRPr="0064627E" w14:paraId="2D397EBB" w14:textId="6D773A51" w:rsidTr="00BD6844">
        <w:trPr>
          <w:cantSplit/>
          <w:trHeight w:val="300"/>
        </w:trPr>
        <w:tc>
          <w:tcPr>
            <w:tcW w:w="4240" w:type="dxa"/>
            <w:tcBorders>
              <w:top w:val="nil"/>
              <w:left w:val="single" w:sz="8" w:space="0" w:color="auto"/>
              <w:bottom w:val="single" w:sz="8" w:space="0" w:color="auto"/>
              <w:right w:val="single" w:sz="8" w:space="0" w:color="auto"/>
            </w:tcBorders>
            <w:shd w:val="clear" w:color="auto" w:fill="0E2841" w:themeFill="text2"/>
            <w:vAlign w:val="center"/>
            <w:hideMark/>
          </w:tcPr>
          <w:p w14:paraId="02A3A3F6" w14:textId="77777777" w:rsidR="000107D2" w:rsidRPr="0064627E" w:rsidRDefault="000107D2" w:rsidP="000107D2">
            <w:pPr>
              <w:suppressAutoHyphens w:val="0"/>
              <w:rPr>
                <w:rFonts w:asciiTheme="minorHAnsi" w:hAnsiTheme="minorHAnsi"/>
                <w:b/>
                <w:bCs/>
                <w:color w:val="FFFFFF"/>
                <w:kern w:val="0"/>
                <w14:ligatures w14:val="none"/>
              </w:rPr>
            </w:pPr>
            <w:r w:rsidRPr="0064627E">
              <w:rPr>
                <w:rFonts w:asciiTheme="minorHAnsi" w:hAnsiTheme="minorHAnsi"/>
                <w:b/>
                <w:bCs/>
                <w:color w:val="FFFFFF"/>
                <w:kern w:val="0"/>
                <w14:ligatures w14:val="none"/>
              </w:rPr>
              <w:t xml:space="preserve">Total </w:t>
            </w:r>
          </w:p>
        </w:tc>
        <w:tc>
          <w:tcPr>
            <w:tcW w:w="1763" w:type="dxa"/>
            <w:tcBorders>
              <w:top w:val="nil"/>
              <w:left w:val="nil"/>
              <w:bottom w:val="single" w:sz="8" w:space="0" w:color="auto"/>
              <w:right w:val="single" w:sz="8" w:space="0" w:color="auto"/>
            </w:tcBorders>
            <w:shd w:val="clear" w:color="auto" w:fill="0E2841" w:themeFill="text2"/>
            <w:vAlign w:val="center"/>
            <w:hideMark/>
          </w:tcPr>
          <w:p w14:paraId="54CE0D3F" w14:textId="77777777" w:rsidR="000107D2" w:rsidRPr="0064627E" w:rsidRDefault="000107D2" w:rsidP="000107D2">
            <w:pPr>
              <w:suppressAutoHyphens w:val="0"/>
              <w:jc w:val="center"/>
              <w:rPr>
                <w:rFonts w:asciiTheme="minorHAnsi" w:hAnsiTheme="minorHAnsi"/>
                <w:b/>
                <w:bCs/>
                <w:color w:val="FFFFFF"/>
                <w:kern w:val="0"/>
                <w14:ligatures w14:val="none"/>
              </w:rPr>
            </w:pPr>
            <w:r w:rsidRPr="0064627E">
              <w:rPr>
                <w:rFonts w:asciiTheme="minorHAnsi" w:hAnsiTheme="minorHAnsi"/>
                <w:b/>
                <w:bCs/>
                <w:color w:val="FFFFFF"/>
                <w:kern w:val="0"/>
                <w14:ligatures w14:val="none"/>
              </w:rPr>
              <w:t>100%</w:t>
            </w:r>
          </w:p>
        </w:tc>
        <w:tc>
          <w:tcPr>
            <w:tcW w:w="1764" w:type="dxa"/>
            <w:tcBorders>
              <w:top w:val="nil"/>
              <w:left w:val="nil"/>
              <w:bottom w:val="single" w:sz="8" w:space="0" w:color="auto"/>
              <w:right w:val="single" w:sz="8" w:space="0" w:color="auto"/>
            </w:tcBorders>
            <w:shd w:val="clear" w:color="auto" w:fill="0E2841" w:themeFill="text2"/>
            <w:vAlign w:val="center"/>
            <w:hideMark/>
          </w:tcPr>
          <w:p w14:paraId="7FDF1BC6" w14:textId="77777777" w:rsidR="000107D2" w:rsidRPr="0064627E" w:rsidRDefault="000107D2" w:rsidP="000107D2">
            <w:pPr>
              <w:suppressAutoHyphens w:val="0"/>
              <w:jc w:val="center"/>
              <w:rPr>
                <w:rFonts w:asciiTheme="minorHAnsi" w:hAnsiTheme="minorHAnsi"/>
                <w:b/>
                <w:bCs/>
                <w:color w:val="FFFFFF"/>
                <w:kern w:val="0"/>
                <w14:ligatures w14:val="none"/>
              </w:rPr>
            </w:pPr>
            <w:r w:rsidRPr="0064627E">
              <w:rPr>
                <w:rFonts w:asciiTheme="minorHAnsi" w:hAnsiTheme="minorHAnsi"/>
                <w:b/>
                <w:bCs/>
                <w:color w:val="FFFFFF"/>
                <w:kern w:val="0"/>
                <w14:ligatures w14:val="none"/>
              </w:rPr>
              <w:t>100%</w:t>
            </w:r>
          </w:p>
        </w:tc>
        <w:tc>
          <w:tcPr>
            <w:tcW w:w="1764" w:type="dxa"/>
            <w:tcBorders>
              <w:top w:val="nil"/>
              <w:left w:val="nil"/>
              <w:bottom w:val="single" w:sz="8" w:space="0" w:color="auto"/>
              <w:right w:val="single" w:sz="8" w:space="0" w:color="auto"/>
            </w:tcBorders>
            <w:shd w:val="clear" w:color="auto" w:fill="0E2841" w:themeFill="text2"/>
          </w:tcPr>
          <w:p w14:paraId="12051E67" w14:textId="300BD1EF" w:rsidR="000107D2" w:rsidRPr="0064627E" w:rsidRDefault="000107D2" w:rsidP="000107D2">
            <w:pPr>
              <w:suppressAutoHyphens w:val="0"/>
              <w:jc w:val="center"/>
              <w:rPr>
                <w:rFonts w:asciiTheme="minorHAnsi" w:hAnsiTheme="minorHAnsi"/>
                <w:b/>
                <w:bCs/>
                <w:color w:val="FFFFFF"/>
                <w:kern w:val="0"/>
                <w14:ligatures w14:val="none"/>
              </w:rPr>
            </w:pPr>
            <w:r w:rsidRPr="0064627E">
              <w:rPr>
                <w:rFonts w:asciiTheme="minorHAnsi" w:hAnsiTheme="minorHAnsi"/>
                <w:b/>
                <w:bCs/>
                <w:color w:val="FFFFFF"/>
                <w:kern w:val="0"/>
                <w14:ligatures w14:val="none"/>
              </w:rPr>
              <w:t>100%</w:t>
            </w:r>
          </w:p>
        </w:tc>
      </w:tr>
    </w:tbl>
    <w:p w14:paraId="728162FA" w14:textId="77777777" w:rsidR="00EE1D16" w:rsidRPr="0064627E" w:rsidRDefault="00EE1D16" w:rsidP="000127AE">
      <w:pPr>
        <w:tabs>
          <w:tab w:val="left" w:pos="1440"/>
        </w:tabs>
        <w:suppressAutoHyphens w:val="0"/>
        <w:ind w:left="1440" w:hanging="1440"/>
        <w:jc w:val="both"/>
        <w:rPr>
          <w:rFonts w:ascii="Aptos" w:eastAsia="PMingLiU" w:hAnsi="Aptos"/>
          <w:b/>
          <w:bCs/>
          <w:kern w:val="0"/>
          <w14:ligatures w14:val="none"/>
        </w:rPr>
      </w:pPr>
    </w:p>
    <w:p w14:paraId="57D4E244" w14:textId="5D0A62E9" w:rsidR="000127AE" w:rsidRPr="0064627E" w:rsidRDefault="000127AE" w:rsidP="00250B51">
      <w:pPr>
        <w:pStyle w:val="Heading2"/>
        <w:tabs>
          <w:tab w:val="left" w:pos="1440"/>
        </w:tabs>
        <w:rPr>
          <w:rFonts w:eastAsia="PMingLiU"/>
          <w:sz w:val="24"/>
          <w:szCs w:val="24"/>
        </w:rPr>
      </w:pPr>
      <w:r w:rsidRPr="0064627E">
        <w:rPr>
          <w:rFonts w:eastAsia="PMingLiU"/>
          <w:sz w:val="24"/>
          <w:szCs w:val="24"/>
        </w:rPr>
        <w:t>F1.</w:t>
      </w:r>
      <w:proofErr w:type="gramStart"/>
      <w:r w:rsidRPr="0064627E">
        <w:rPr>
          <w:rFonts w:eastAsia="PMingLiU"/>
          <w:sz w:val="24"/>
          <w:szCs w:val="24"/>
        </w:rPr>
        <w:t>a.ii</w:t>
      </w:r>
      <w:proofErr w:type="gramEnd"/>
      <w:r w:rsidRPr="0064627E">
        <w:rPr>
          <w:rFonts w:eastAsia="PMingLiU"/>
          <w:sz w:val="24"/>
          <w:szCs w:val="24"/>
        </w:rPr>
        <w:t xml:space="preserve"> </w:t>
      </w:r>
      <w:r w:rsidRPr="0064627E">
        <w:rPr>
          <w:rFonts w:eastAsia="PMingLiU"/>
          <w:sz w:val="24"/>
          <w:szCs w:val="24"/>
        </w:rPr>
        <w:tab/>
        <w:t>Need by Patient Panel</w:t>
      </w:r>
    </w:p>
    <w:p w14:paraId="1CF93D59" w14:textId="77777777" w:rsidR="000127AE" w:rsidRPr="0064627E" w:rsidRDefault="000127AE" w:rsidP="000127AE">
      <w:pPr>
        <w:spacing w:after="120"/>
        <w:ind w:left="1440"/>
        <w:jc w:val="both"/>
        <w:rPr>
          <w:rFonts w:ascii="Aptos" w:eastAsia="PMingLiU" w:hAnsi="Aptos"/>
          <w:b/>
          <w:bCs/>
        </w:rPr>
      </w:pPr>
      <w:r w:rsidRPr="0064627E">
        <w:rPr>
          <w:rFonts w:ascii="Aptos" w:eastAsia="PMingLiU" w:hAnsi="Aptos"/>
          <w:b/>
          <w:bCs/>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63D88D95" w14:textId="36E77B83" w:rsidR="006D7D4E" w:rsidRPr="0064627E" w:rsidRDefault="00797C92" w:rsidP="00962DE5">
      <w:pPr>
        <w:spacing w:after="120"/>
        <w:jc w:val="both"/>
        <w:rPr>
          <w:rFonts w:asciiTheme="minorHAnsi" w:hAnsiTheme="minorHAnsi"/>
        </w:rPr>
      </w:pPr>
      <w:r w:rsidRPr="0064627E">
        <w:rPr>
          <w:rFonts w:ascii="Aptos" w:hAnsi="Aptos"/>
        </w:rPr>
        <w:t>MMC</w:t>
      </w:r>
      <w:r w:rsidR="00962DE5" w:rsidRPr="0064627E">
        <w:rPr>
          <w:rFonts w:ascii="Aptos" w:hAnsi="Aptos"/>
        </w:rPr>
        <w:t xml:space="preserve"> is a high-public payer community hospital located in Springfield with 251 inpatient beds providing medical/surgical, intensive care, maternity, pediatric, and rehabilitation services. </w:t>
      </w:r>
      <w:r w:rsidR="00962DE5" w:rsidRPr="0064627E">
        <w:rPr>
          <w:rFonts w:asciiTheme="minorHAnsi" w:hAnsiTheme="minorHAnsi"/>
        </w:rPr>
        <w:t>Over the past decade, MMC has struggled financially,</w:t>
      </w:r>
      <w:r w:rsidR="003C5B56" w:rsidRPr="0064627E">
        <w:rPr>
          <w:rFonts w:asciiTheme="minorHAnsi" w:hAnsiTheme="minorHAnsi"/>
        </w:rPr>
        <w:t xml:space="preserve"> and MMC ha</w:t>
      </w:r>
      <w:r w:rsidR="004F37F1" w:rsidRPr="0064627E">
        <w:rPr>
          <w:rFonts w:asciiTheme="minorHAnsi" w:hAnsiTheme="minorHAnsi"/>
        </w:rPr>
        <w:t>s implemented various performance improvement initiatives aimed at sustainability</w:t>
      </w:r>
      <w:r w:rsidR="00495A2C" w:rsidRPr="0064627E">
        <w:rPr>
          <w:rFonts w:asciiTheme="minorHAnsi" w:hAnsiTheme="minorHAnsi"/>
        </w:rPr>
        <w:t>, some of which have impacted</w:t>
      </w:r>
      <w:r w:rsidR="00962DE5" w:rsidRPr="0064627E">
        <w:rPr>
          <w:rFonts w:asciiTheme="minorHAnsi" w:hAnsiTheme="minorHAnsi"/>
        </w:rPr>
        <w:t xml:space="preserve"> its ability to provide </w:t>
      </w:r>
      <w:r w:rsidR="53684ED6" w:rsidRPr="0064627E">
        <w:rPr>
          <w:rFonts w:asciiTheme="minorHAnsi" w:hAnsiTheme="minorHAnsi"/>
        </w:rPr>
        <w:t>certain</w:t>
      </w:r>
      <w:r w:rsidR="00962DE5" w:rsidRPr="0064627E">
        <w:rPr>
          <w:rFonts w:asciiTheme="minorHAnsi" w:hAnsiTheme="minorHAnsi"/>
        </w:rPr>
        <w:t xml:space="preserve"> services </w:t>
      </w:r>
      <w:r w:rsidR="00EF2215" w:rsidRPr="0064627E">
        <w:rPr>
          <w:rFonts w:asciiTheme="minorHAnsi" w:hAnsiTheme="minorHAnsi"/>
        </w:rPr>
        <w:t>to</w:t>
      </w:r>
      <w:r w:rsidR="00962DE5" w:rsidRPr="0064627E">
        <w:rPr>
          <w:rFonts w:asciiTheme="minorHAnsi" w:hAnsiTheme="minorHAnsi"/>
        </w:rPr>
        <w:t xml:space="preserve"> its Patient Panel. Also located in Springfield just one mile from MMC, </w:t>
      </w:r>
      <w:r w:rsidR="00FA0704" w:rsidRPr="0064627E">
        <w:rPr>
          <w:rFonts w:asciiTheme="minorHAnsi" w:hAnsiTheme="minorHAnsi"/>
        </w:rPr>
        <w:t>BMC</w:t>
      </w:r>
      <w:r w:rsidR="00962DE5" w:rsidRPr="0064627E">
        <w:rPr>
          <w:rFonts w:asciiTheme="minorHAnsi" w:hAnsiTheme="minorHAnsi"/>
        </w:rPr>
        <w:t xml:space="preserve"> is the academic medical center of BH, with 768 inpatient beds </w:t>
      </w:r>
      <w:r w:rsidR="00962DE5" w:rsidRPr="0064627E">
        <w:rPr>
          <w:rFonts w:asciiTheme="minorHAnsi" w:hAnsiTheme="minorHAnsi"/>
        </w:rPr>
        <w:lastRenderedPageBreak/>
        <w:t xml:space="preserve">providing </w:t>
      </w:r>
      <w:r w:rsidR="00962DE5" w:rsidRPr="0064627E">
        <w:rPr>
          <w:rFonts w:ascii="Aptos" w:hAnsi="Aptos"/>
        </w:rPr>
        <w:t xml:space="preserve">medical/surgical, intensive care, maternity, and pediatric services along with the only Level </w:t>
      </w:r>
      <w:r w:rsidR="00AA21FA" w:rsidRPr="0064627E">
        <w:rPr>
          <w:rFonts w:ascii="Aptos" w:hAnsi="Aptos"/>
        </w:rPr>
        <w:t>I</w:t>
      </w:r>
      <w:r w:rsidR="00962DE5" w:rsidRPr="0064627E">
        <w:rPr>
          <w:rFonts w:ascii="Aptos" w:hAnsi="Aptos"/>
        </w:rPr>
        <w:t xml:space="preserve"> Trauma Center for adults in the region</w:t>
      </w:r>
      <w:r w:rsidR="00237981" w:rsidRPr="0064627E">
        <w:rPr>
          <w:rFonts w:ascii="Aptos" w:hAnsi="Aptos"/>
        </w:rPr>
        <w:t xml:space="preserve">, </w:t>
      </w:r>
      <w:r w:rsidR="00962DE5" w:rsidRPr="0064627E">
        <w:rPr>
          <w:rFonts w:ascii="Aptos" w:hAnsi="Aptos"/>
        </w:rPr>
        <w:t xml:space="preserve">a </w:t>
      </w:r>
      <w:r w:rsidR="0025640B" w:rsidRPr="0064627E">
        <w:rPr>
          <w:rFonts w:ascii="Aptos" w:hAnsi="Aptos"/>
        </w:rPr>
        <w:t>L</w:t>
      </w:r>
      <w:r w:rsidR="00962DE5" w:rsidRPr="0064627E">
        <w:rPr>
          <w:rFonts w:ascii="Aptos" w:hAnsi="Aptos"/>
        </w:rPr>
        <w:t xml:space="preserve">evel </w:t>
      </w:r>
      <w:r w:rsidR="00AA21FA" w:rsidRPr="0064627E">
        <w:rPr>
          <w:rFonts w:ascii="Aptos" w:hAnsi="Aptos"/>
        </w:rPr>
        <w:t>II</w:t>
      </w:r>
      <w:r w:rsidR="00962DE5" w:rsidRPr="0064627E">
        <w:rPr>
          <w:rFonts w:ascii="Aptos" w:hAnsi="Aptos"/>
        </w:rPr>
        <w:t xml:space="preserve"> </w:t>
      </w:r>
      <w:r w:rsidR="0025640B" w:rsidRPr="0064627E">
        <w:rPr>
          <w:rFonts w:ascii="Aptos" w:hAnsi="Aptos"/>
        </w:rPr>
        <w:t>P</w:t>
      </w:r>
      <w:r w:rsidR="00962DE5" w:rsidRPr="0064627E">
        <w:rPr>
          <w:rFonts w:ascii="Aptos" w:hAnsi="Aptos"/>
        </w:rPr>
        <w:t xml:space="preserve">ediatric </w:t>
      </w:r>
      <w:r w:rsidR="0025640B" w:rsidRPr="0064627E">
        <w:rPr>
          <w:rFonts w:ascii="Aptos" w:hAnsi="Aptos"/>
        </w:rPr>
        <w:t>T</w:t>
      </w:r>
      <w:r w:rsidR="00962DE5" w:rsidRPr="0064627E">
        <w:rPr>
          <w:rFonts w:ascii="Aptos" w:hAnsi="Aptos"/>
        </w:rPr>
        <w:t xml:space="preserve">rauma </w:t>
      </w:r>
      <w:r w:rsidR="0025640B" w:rsidRPr="0064627E">
        <w:rPr>
          <w:rFonts w:ascii="Aptos" w:hAnsi="Aptos"/>
        </w:rPr>
        <w:t>Center</w:t>
      </w:r>
      <w:r w:rsidR="00237981" w:rsidRPr="0064627E">
        <w:rPr>
          <w:rFonts w:ascii="Aptos" w:hAnsi="Aptos"/>
        </w:rPr>
        <w:t xml:space="preserve"> and the region's only Level III Neonatal Intensive Care Unit (NICU)</w:t>
      </w:r>
      <w:r w:rsidR="00962DE5" w:rsidRPr="0064627E">
        <w:rPr>
          <w:rFonts w:ascii="Aptos" w:hAnsi="Aptos"/>
        </w:rPr>
        <w:t>. It is the regional teaching site of UMass Chan Medical School</w:t>
      </w:r>
      <w:r w:rsidR="00962DE5" w:rsidRPr="0064627E">
        <w:rPr>
          <w:rFonts w:asciiTheme="minorHAnsi" w:hAnsiTheme="minorHAnsi"/>
        </w:rPr>
        <w:t xml:space="preserve">.   Between the two hospitals there is a notable difference in utilization of services. The Proposed Transfer of MMC presents BH with the opportunity to </w:t>
      </w:r>
      <w:r w:rsidR="009B103B" w:rsidRPr="0064627E">
        <w:rPr>
          <w:rFonts w:asciiTheme="minorHAnsi" w:hAnsiTheme="minorHAnsi"/>
        </w:rPr>
        <w:t xml:space="preserve">strategically </w:t>
      </w:r>
      <w:r w:rsidR="006D7D4E" w:rsidRPr="0064627E">
        <w:rPr>
          <w:rFonts w:asciiTheme="minorHAnsi" w:hAnsiTheme="minorHAnsi"/>
        </w:rPr>
        <w:t xml:space="preserve">develop a regional delivery system </w:t>
      </w:r>
      <w:r w:rsidR="00962DE5" w:rsidRPr="0064627E">
        <w:rPr>
          <w:rFonts w:asciiTheme="minorHAnsi" w:hAnsiTheme="minorHAnsi"/>
        </w:rPr>
        <w:t>to improve access to care and quality for the greater Springfield community.</w:t>
      </w:r>
    </w:p>
    <w:p w14:paraId="152CC6D3" w14:textId="32938248" w:rsidR="000127AE" w:rsidRPr="0064627E" w:rsidRDefault="000127AE" w:rsidP="00250B51">
      <w:pPr>
        <w:pStyle w:val="Heading3"/>
        <w:rPr>
          <w:b/>
          <w:bCs/>
          <w:i/>
          <w:iCs/>
          <w:color w:val="156082" w:themeColor="accent1"/>
          <w:sz w:val="24"/>
          <w:szCs w:val="24"/>
        </w:rPr>
      </w:pPr>
      <w:r w:rsidRPr="0064627E">
        <w:rPr>
          <w:b/>
          <w:bCs/>
          <w:i/>
          <w:iCs/>
          <w:color w:val="4C94D8" w:themeColor="text2" w:themeTint="80"/>
          <w:sz w:val="24"/>
          <w:szCs w:val="24"/>
        </w:rPr>
        <w:tab/>
      </w:r>
      <w:r w:rsidRPr="0064627E">
        <w:rPr>
          <w:b/>
          <w:bCs/>
          <w:i/>
          <w:iCs/>
          <w:sz w:val="24"/>
          <w:szCs w:val="24"/>
        </w:rPr>
        <w:tab/>
        <w:t xml:space="preserve">Financial Position of </w:t>
      </w:r>
      <w:r w:rsidR="00457998" w:rsidRPr="0064627E">
        <w:rPr>
          <w:b/>
          <w:bCs/>
          <w:i/>
          <w:iCs/>
          <w:sz w:val="24"/>
          <w:szCs w:val="24"/>
        </w:rPr>
        <w:t>MMC</w:t>
      </w:r>
      <w:r w:rsidRPr="0064627E">
        <w:rPr>
          <w:b/>
          <w:bCs/>
          <w:i/>
          <w:iCs/>
          <w:sz w:val="24"/>
          <w:szCs w:val="24"/>
        </w:rPr>
        <w:t xml:space="preserve"> </w:t>
      </w:r>
    </w:p>
    <w:p w14:paraId="22F3E3EF" w14:textId="240EE17B" w:rsidR="009B103B" w:rsidRPr="0064627E" w:rsidRDefault="009B103B" w:rsidP="009B103B">
      <w:pPr>
        <w:spacing w:after="120"/>
        <w:jc w:val="both"/>
        <w:rPr>
          <w:rFonts w:asciiTheme="minorHAnsi" w:hAnsiTheme="minorHAnsi"/>
        </w:rPr>
      </w:pPr>
      <w:r w:rsidRPr="0064627E">
        <w:rPr>
          <w:rFonts w:ascii="Aptos" w:hAnsi="Aptos"/>
          <w:bCs/>
        </w:rPr>
        <w:t>MMC has experienced significant and continued annual operating losses in recent years. These losses occurred despite many operational and strategic efforts to reduce expenses, increase revenue, and improve MMC’s overall financial performance. These efforts have included investments in technology, multiple labor reductions, improving efficiency and utilization, and either reducing or growing certain service lines. Despite these initiatives, MMC</w:t>
      </w:r>
      <w:r w:rsidR="00DB381E" w:rsidRPr="0064627E">
        <w:rPr>
          <w:rFonts w:ascii="Aptos" w:hAnsi="Aptos"/>
          <w:bCs/>
        </w:rPr>
        <w:t xml:space="preserve"> continues to operate at a significant loss</w:t>
      </w:r>
      <w:r w:rsidRPr="0064627E">
        <w:rPr>
          <w:rFonts w:ascii="Aptos" w:hAnsi="Aptos"/>
          <w:bCs/>
        </w:rPr>
        <w:t xml:space="preserve">. At times, maintaining services has required the use of temporary labor and recruitment has been a persistent challenge. MMC </w:t>
      </w:r>
      <w:r w:rsidR="00752DA7" w:rsidRPr="0064627E">
        <w:rPr>
          <w:rFonts w:ascii="Aptos" w:hAnsi="Aptos"/>
          <w:bCs/>
        </w:rPr>
        <w:t>has at times</w:t>
      </w:r>
      <w:r w:rsidRPr="0064627E">
        <w:rPr>
          <w:rFonts w:ascii="Aptos" w:hAnsi="Aptos"/>
          <w:bCs/>
        </w:rPr>
        <w:t xml:space="preserve"> </w:t>
      </w:r>
      <w:r w:rsidR="00752DA7" w:rsidRPr="0064627E">
        <w:rPr>
          <w:rFonts w:ascii="Aptos" w:hAnsi="Aptos"/>
          <w:bCs/>
        </w:rPr>
        <w:t>relied</w:t>
      </w:r>
      <w:r w:rsidRPr="0064627E">
        <w:rPr>
          <w:rFonts w:ascii="Aptos" w:hAnsi="Aptos"/>
          <w:bCs/>
        </w:rPr>
        <w:t xml:space="preserve"> on locum physicians to maintain the hospital’s radiology, emergency and radiation oncology service lines and traveling nurses to staff the intensive care unit, medical/surgical beds, the maternity unit and the emergency department. Most recently, the emergency department required a multi-million-dollar investment to engage short-term and temporary physicians to provide ongoing coverage, </w:t>
      </w:r>
      <w:r w:rsidR="0088518E" w:rsidRPr="0064627E">
        <w:rPr>
          <w:rFonts w:ascii="Aptos" w:hAnsi="Aptos"/>
          <w:bCs/>
        </w:rPr>
        <w:t xml:space="preserve">and </w:t>
      </w:r>
      <w:r w:rsidR="00A05DC3" w:rsidRPr="0064627E">
        <w:rPr>
          <w:rFonts w:ascii="Aptos" w:hAnsi="Aptos"/>
          <w:bCs/>
        </w:rPr>
        <w:t xml:space="preserve">due to </w:t>
      </w:r>
      <w:r w:rsidR="00B24467" w:rsidRPr="0064627E">
        <w:rPr>
          <w:rFonts w:ascii="Aptos" w:hAnsi="Aptos"/>
          <w:bCs/>
        </w:rPr>
        <w:t xml:space="preserve">a loss of physicians, </w:t>
      </w:r>
      <w:r w:rsidR="00763DE3" w:rsidRPr="0064627E">
        <w:rPr>
          <w:rFonts w:ascii="Aptos" w:hAnsi="Aptos"/>
          <w:bCs/>
        </w:rPr>
        <w:t xml:space="preserve">MMC </w:t>
      </w:r>
      <w:r w:rsidR="00B24467" w:rsidRPr="0064627E">
        <w:rPr>
          <w:rFonts w:ascii="Aptos" w:hAnsi="Aptos"/>
          <w:bCs/>
        </w:rPr>
        <w:t xml:space="preserve">had to </w:t>
      </w:r>
      <w:r w:rsidR="0088518E" w:rsidRPr="0064627E">
        <w:rPr>
          <w:rFonts w:ascii="Aptos" w:hAnsi="Aptos"/>
          <w:bCs/>
        </w:rPr>
        <w:t xml:space="preserve">suspend maternity and newborn services </w:t>
      </w:r>
      <w:r w:rsidRPr="0064627E">
        <w:rPr>
          <w:rFonts w:ascii="Aptos" w:hAnsi="Aptos"/>
          <w:bCs/>
        </w:rPr>
        <w:t xml:space="preserve">in December 2025. </w:t>
      </w:r>
      <w:r w:rsidRPr="0064627E">
        <w:rPr>
          <w:rFonts w:asciiTheme="minorHAnsi" w:hAnsiTheme="minorHAnsi"/>
        </w:rPr>
        <w:t xml:space="preserve">Outpatient service closures include Allergy </w:t>
      </w:r>
      <w:r w:rsidR="004C1F68">
        <w:rPr>
          <w:rFonts w:asciiTheme="minorHAnsi" w:hAnsiTheme="minorHAnsi"/>
        </w:rPr>
        <w:t>and</w:t>
      </w:r>
      <w:r w:rsidRPr="0064627E">
        <w:rPr>
          <w:rFonts w:asciiTheme="minorHAnsi" w:hAnsiTheme="minorHAnsi"/>
        </w:rPr>
        <w:t xml:space="preserve"> Immunology, Behavioral Health, Dermatology, Breast Feeding Medicine, Genetic Counseling, Rheumatology, and Physiatry. As a result, patients are more frequently choosing BMC for their care, further reducing the utilization of services at MMC and straining its financial position. In turn, BMC is operating well above capacity with increasing </w:t>
      </w:r>
      <w:proofErr w:type="gramStart"/>
      <w:r w:rsidRPr="0064627E">
        <w:rPr>
          <w:rFonts w:asciiTheme="minorHAnsi" w:hAnsiTheme="minorHAnsi"/>
        </w:rPr>
        <w:t>wait</w:t>
      </w:r>
      <w:proofErr w:type="gramEnd"/>
      <w:r w:rsidRPr="0064627E">
        <w:rPr>
          <w:rFonts w:asciiTheme="minorHAnsi" w:hAnsiTheme="minorHAnsi"/>
        </w:rPr>
        <w:t xml:space="preserve"> times. </w:t>
      </w:r>
    </w:p>
    <w:p w14:paraId="65833753" w14:textId="23998E83" w:rsidR="009B103B" w:rsidRPr="0064627E" w:rsidRDefault="009B103B" w:rsidP="10483D5C">
      <w:pPr>
        <w:spacing w:after="120"/>
        <w:jc w:val="both"/>
        <w:rPr>
          <w:rFonts w:asciiTheme="minorHAnsi" w:hAnsiTheme="minorHAnsi"/>
        </w:rPr>
      </w:pPr>
      <w:r w:rsidRPr="0064627E">
        <w:rPr>
          <w:rFonts w:asciiTheme="minorHAnsi" w:hAnsiTheme="minorHAnsi"/>
        </w:rPr>
        <w:t>As noted above, MMC is a high-public payer hospital with commercial payers representing just 2</w:t>
      </w:r>
      <w:r w:rsidR="00E6592A" w:rsidRPr="0064627E">
        <w:rPr>
          <w:rFonts w:asciiTheme="minorHAnsi" w:hAnsiTheme="minorHAnsi"/>
        </w:rPr>
        <w:t>5</w:t>
      </w:r>
      <w:r w:rsidR="009D760E">
        <w:rPr>
          <w:rFonts w:asciiTheme="minorHAnsi" w:hAnsiTheme="minorHAnsi"/>
        </w:rPr>
        <w:t xml:space="preserve"> percent</w:t>
      </w:r>
      <w:r w:rsidRPr="0064627E">
        <w:rPr>
          <w:rFonts w:asciiTheme="minorHAnsi" w:hAnsiTheme="minorHAnsi"/>
        </w:rPr>
        <w:t xml:space="preserve"> of all reimbursement. As a result, the </w:t>
      </w:r>
      <w:r w:rsidR="00752DA7" w:rsidRPr="0064627E">
        <w:rPr>
          <w:rFonts w:asciiTheme="minorHAnsi" w:hAnsiTheme="minorHAnsi"/>
        </w:rPr>
        <w:t>hospital</w:t>
      </w:r>
      <w:r w:rsidRPr="0064627E">
        <w:rPr>
          <w:rFonts w:asciiTheme="minorHAnsi" w:hAnsiTheme="minorHAnsi"/>
        </w:rPr>
        <w:t xml:space="preserve"> </w:t>
      </w:r>
      <w:r w:rsidR="00752DA7" w:rsidRPr="0064627E">
        <w:rPr>
          <w:rFonts w:asciiTheme="minorHAnsi" w:hAnsiTheme="minorHAnsi"/>
        </w:rPr>
        <w:t xml:space="preserve">historically </w:t>
      </w:r>
      <w:r w:rsidRPr="0064627E">
        <w:rPr>
          <w:rFonts w:asciiTheme="minorHAnsi" w:hAnsiTheme="minorHAnsi"/>
        </w:rPr>
        <w:t>receive</w:t>
      </w:r>
      <w:r w:rsidR="00752DA7" w:rsidRPr="0064627E">
        <w:rPr>
          <w:rFonts w:asciiTheme="minorHAnsi" w:hAnsiTheme="minorHAnsi"/>
        </w:rPr>
        <w:t>d</w:t>
      </w:r>
      <w:r w:rsidRPr="0064627E">
        <w:rPr>
          <w:rFonts w:asciiTheme="minorHAnsi" w:hAnsiTheme="minorHAnsi"/>
        </w:rPr>
        <w:t xml:space="preserve"> funding from the Executive Office of Health and Human Services (EOHHS) to </w:t>
      </w:r>
      <w:r w:rsidR="00856C17" w:rsidRPr="0064627E">
        <w:rPr>
          <w:rFonts w:asciiTheme="minorHAnsi" w:hAnsiTheme="minorHAnsi"/>
        </w:rPr>
        <w:t xml:space="preserve">help </w:t>
      </w:r>
      <w:r w:rsidRPr="0064627E">
        <w:rPr>
          <w:rFonts w:asciiTheme="minorHAnsi" w:hAnsiTheme="minorHAnsi"/>
        </w:rPr>
        <w:t xml:space="preserve">offset the low reimbursement rates of public payers. However, recognizing MMC’s strained financial position in April 2023, EOHHS directed MMC to hire an independent third-party to complete a detailed financial and operational review </w:t>
      </w:r>
      <w:proofErr w:type="gramStart"/>
      <w:r w:rsidRPr="0064627E">
        <w:rPr>
          <w:rFonts w:asciiTheme="minorHAnsi" w:hAnsiTheme="minorHAnsi"/>
        </w:rPr>
        <w:t>in order to</w:t>
      </w:r>
      <w:proofErr w:type="gramEnd"/>
      <w:r w:rsidRPr="0064627E">
        <w:rPr>
          <w:rFonts w:asciiTheme="minorHAnsi" w:hAnsiTheme="minorHAnsi"/>
        </w:rPr>
        <w:t xml:space="preserve"> </w:t>
      </w:r>
      <w:r w:rsidR="0DB98BC7" w:rsidRPr="0064627E">
        <w:rPr>
          <w:rFonts w:asciiTheme="minorHAnsi" w:hAnsiTheme="minorHAnsi"/>
        </w:rPr>
        <w:t xml:space="preserve">chart </w:t>
      </w:r>
      <w:r w:rsidR="08721682" w:rsidRPr="0064627E">
        <w:rPr>
          <w:rFonts w:asciiTheme="minorHAnsi" w:hAnsiTheme="minorHAnsi"/>
        </w:rPr>
        <w:t xml:space="preserve">a </w:t>
      </w:r>
      <w:r w:rsidR="0DB98BC7" w:rsidRPr="0064627E">
        <w:rPr>
          <w:rFonts w:asciiTheme="minorHAnsi" w:hAnsiTheme="minorHAnsi"/>
        </w:rPr>
        <w:t>path to</w:t>
      </w:r>
      <w:r w:rsidR="621A8520" w:rsidRPr="0064627E">
        <w:rPr>
          <w:rFonts w:asciiTheme="minorHAnsi" w:hAnsiTheme="minorHAnsi"/>
        </w:rPr>
        <w:t xml:space="preserve"> </w:t>
      </w:r>
      <w:r w:rsidR="0DB98BC7" w:rsidRPr="0064627E">
        <w:rPr>
          <w:rFonts w:asciiTheme="minorHAnsi" w:hAnsiTheme="minorHAnsi"/>
        </w:rPr>
        <w:t>financial s</w:t>
      </w:r>
      <w:r w:rsidR="507B1869" w:rsidRPr="0064627E">
        <w:rPr>
          <w:rFonts w:asciiTheme="minorHAnsi" w:hAnsiTheme="minorHAnsi"/>
        </w:rPr>
        <w:t>tability</w:t>
      </w:r>
      <w:r w:rsidRPr="0064627E">
        <w:rPr>
          <w:rFonts w:asciiTheme="minorHAnsi" w:hAnsiTheme="minorHAnsi"/>
        </w:rPr>
        <w:t xml:space="preserve">. The third party </w:t>
      </w:r>
      <w:r w:rsidR="0BB98F00" w:rsidRPr="0064627E">
        <w:rPr>
          <w:rFonts w:asciiTheme="minorHAnsi" w:hAnsiTheme="minorHAnsi"/>
        </w:rPr>
        <w:t>engaged</w:t>
      </w:r>
      <w:r w:rsidRPr="0064627E">
        <w:rPr>
          <w:rFonts w:asciiTheme="minorHAnsi" w:hAnsiTheme="minorHAnsi"/>
        </w:rPr>
        <w:t xml:space="preserve"> for the review recommended numerous changes</w:t>
      </w:r>
      <w:r w:rsidR="007E048E" w:rsidRPr="0064627E">
        <w:rPr>
          <w:rFonts w:asciiTheme="minorHAnsi" w:hAnsiTheme="minorHAnsi"/>
        </w:rPr>
        <w:t xml:space="preserve">, many of which were already considered or implemented by </w:t>
      </w:r>
      <w:r w:rsidR="2967EEE4" w:rsidRPr="0064627E">
        <w:rPr>
          <w:rFonts w:asciiTheme="minorHAnsi" w:hAnsiTheme="minorHAnsi"/>
        </w:rPr>
        <w:t>MMC, but</w:t>
      </w:r>
      <w:r w:rsidRPr="0064627E">
        <w:rPr>
          <w:rFonts w:asciiTheme="minorHAnsi" w:hAnsiTheme="minorHAnsi"/>
        </w:rPr>
        <w:t xml:space="preserve"> </w:t>
      </w:r>
      <w:r w:rsidR="000A28C7" w:rsidRPr="0064627E">
        <w:rPr>
          <w:rFonts w:asciiTheme="minorHAnsi" w:hAnsiTheme="minorHAnsi"/>
        </w:rPr>
        <w:t xml:space="preserve">despite their suggested changes still </w:t>
      </w:r>
      <w:r w:rsidRPr="0064627E">
        <w:rPr>
          <w:rFonts w:asciiTheme="minorHAnsi" w:hAnsiTheme="minorHAnsi"/>
        </w:rPr>
        <w:t xml:space="preserve">concluded that “it will continue to be a challenge for MMC to </w:t>
      </w:r>
      <w:r w:rsidR="00AA21FA" w:rsidRPr="0064627E">
        <w:rPr>
          <w:rFonts w:asciiTheme="minorHAnsi" w:hAnsiTheme="minorHAnsi"/>
        </w:rPr>
        <w:t xml:space="preserve">break even </w:t>
      </w:r>
      <w:r w:rsidRPr="0064627E">
        <w:rPr>
          <w:rFonts w:asciiTheme="minorHAnsi" w:hAnsiTheme="minorHAnsi"/>
        </w:rPr>
        <w:t>in the out-years without continued support.</w:t>
      </w:r>
      <w:r w:rsidR="00AA21FA" w:rsidRPr="0064627E">
        <w:rPr>
          <w:rFonts w:asciiTheme="minorHAnsi" w:hAnsiTheme="minorHAnsi"/>
        </w:rPr>
        <w:t>"</w:t>
      </w:r>
      <w:r w:rsidRPr="0064627E">
        <w:rPr>
          <w:rFonts w:asciiTheme="minorHAnsi" w:hAnsiTheme="minorHAnsi"/>
        </w:rPr>
        <w:t xml:space="preserve">  These findings led </w:t>
      </w:r>
      <w:r w:rsidR="2724F620" w:rsidRPr="0064627E">
        <w:rPr>
          <w:rFonts w:asciiTheme="minorHAnsi" w:hAnsiTheme="minorHAnsi"/>
        </w:rPr>
        <w:t xml:space="preserve">EOHHS to recommend that </w:t>
      </w:r>
      <w:r w:rsidRPr="0064627E">
        <w:rPr>
          <w:rFonts w:asciiTheme="minorHAnsi" w:hAnsiTheme="minorHAnsi"/>
        </w:rPr>
        <w:t>Trinity consider a potential sale of MMC</w:t>
      </w:r>
      <w:r w:rsidR="1F9BC49A" w:rsidRPr="0064627E">
        <w:rPr>
          <w:rFonts w:asciiTheme="minorHAnsi" w:hAnsiTheme="minorHAnsi"/>
        </w:rPr>
        <w:t xml:space="preserve"> to help secure stability</w:t>
      </w:r>
      <w:r w:rsidR="10E485EF" w:rsidRPr="0064627E">
        <w:rPr>
          <w:rFonts w:asciiTheme="minorHAnsi" w:hAnsiTheme="minorHAnsi"/>
        </w:rPr>
        <w:t xml:space="preserve"> </w:t>
      </w:r>
      <w:r w:rsidR="00752DA7" w:rsidRPr="0064627E">
        <w:rPr>
          <w:rFonts w:asciiTheme="minorHAnsi" w:hAnsiTheme="minorHAnsi"/>
        </w:rPr>
        <w:t xml:space="preserve">in the region </w:t>
      </w:r>
      <w:r w:rsidR="455B3122" w:rsidRPr="0064627E">
        <w:rPr>
          <w:rFonts w:asciiTheme="minorHAnsi" w:hAnsiTheme="minorHAnsi"/>
        </w:rPr>
        <w:t xml:space="preserve">and </w:t>
      </w:r>
      <w:r w:rsidR="10E485EF" w:rsidRPr="0064627E">
        <w:rPr>
          <w:rFonts w:asciiTheme="minorHAnsi" w:hAnsiTheme="minorHAnsi"/>
        </w:rPr>
        <w:t xml:space="preserve">to receive EOHHS </w:t>
      </w:r>
      <w:r w:rsidR="4D0B1EFC" w:rsidRPr="0064627E">
        <w:rPr>
          <w:rFonts w:asciiTheme="minorHAnsi" w:hAnsiTheme="minorHAnsi"/>
        </w:rPr>
        <w:t xml:space="preserve">funding under the </w:t>
      </w:r>
      <w:r w:rsidR="6E2621DA" w:rsidRPr="0064627E">
        <w:rPr>
          <w:rFonts w:asciiTheme="minorHAnsi" w:hAnsiTheme="minorHAnsi"/>
        </w:rPr>
        <w:t>f</w:t>
      </w:r>
      <w:r w:rsidR="2FCEC704" w:rsidRPr="0064627E">
        <w:rPr>
          <w:rFonts w:asciiTheme="minorHAnsi" w:hAnsiTheme="minorHAnsi"/>
        </w:rPr>
        <w:t xml:space="preserve">inancial </w:t>
      </w:r>
      <w:r w:rsidR="0CBD3986" w:rsidRPr="0064627E">
        <w:rPr>
          <w:rFonts w:asciiTheme="minorHAnsi" w:hAnsiTheme="minorHAnsi"/>
        </w:rPr>
        <w:t>s</w:t>
      </w:r>
      <w:r w:rsidR="2FCEC704" w:rsidRPr="0064627E">
        <w:rPr>
          <w:rFonts w:asciiTheme="minorHAnsi" w:hAnsiTheme="minorHAnsi"/>
        </w:rPr>
        <w:t>tability program</w:t>
      </w:r>
      <w:r w:rsidRPr="0064627E">
        <w:rPr>
          <w:rFonts w:asciiTheme="minorHAnsi" w:hAnsiTheme="minorHAnsi"/>
        </w:rPr>
        <w:t xml:space="preserve">. Following a solicitation process, </w:t>
      </w:r>
      <w:r w:rsidR="1521F296" w:rsidRPr="0064627E">
        <w:rPr>
          <w:rFonts w:asciiTheme="minorHAnsi" w:hAnsiTheme="minorHAnsi"/>
        </w:rPr>
        <w:t>in which Applicant was ultimately the only interest</w:t>
      </w:r>
      <w:r w:rsidR="000A28C7" w:rsidRPr="0064627E">
        <w:rPr>
          <w:rFonts w:asciiTheme="minorHAnsi" w:hAnsiTheme="minorHAnsi"/>
        </w:rPr>
        <w:t>ed</w:t>
      </w:r>
      <w:r w:rsidR="1521F296" w:rsidRPr="0064627E">
        <w:rPr>
          <w:rFonts w:asciiTheme="minorHAnsi" w:hAnsiTheme="minorHAnsi"/>
        </w:rPr>
        <w:t xml:space="preserve"> party, </w:t>
      </w:r>
      <w:r w:rsidRPr="0064627E">
        <w:rPr>
          <w:rFonts w:asciiTheme="minorHAnsi" w:hAnsiTheme="minorHAnsi"/>
        </w:rPr>
        <w:t>the Applicant was selected to acquire MMC and its subsidiaries.</w:t>
      </w:r>
    </w:p>
    <w:p w14:paraId="648B5FDE" w14:textId="544F2398" w:rsidR="000127AE" w:rsidRPr="0064627E" w:rsidRDefault="00250B51" w:rsidP="00250B51">
      <w:pPr>
        <w:pStyle w:val="Heading3"/>
        <w:tabs>
          <w:tab w:val="left" w:pos="720"/>
        </w:tabs>
        <w:rPr>
          <w:b/>
          <w:bCs/>
          <w:i/>
          <w:iCs/>
          <w:sz w:val="24"/>
          <w:szCs w:val="24"/>
        </w:rPr>
      </w:pPr>
      <w:r w:rsidRPr="0064627E">
        <w:rPr>
          <w:b/>
          <w:bCs/>
          <w:i/>
          <w:iCs/>
          <w:sz w:val="24"/>
          <w:szCs w:val="24"/>
        </w:rPr>
        <w:lastRenderedPageBreak/>
        <w:tab/>
      </w:r>
      <w:r w:rsidR="000127AE" w:rsidRPr="0064627E">
        <w:rPr>
          <w:b/>
          <w:bCs/>
          <w:i/>
          <w:iCs/>
          <w:sz w:val="24"/>
          <w:szCs w:val="24"/>
        </w:rPr>
        <w:t xml:space="preserve">A Vital Community Resource </w:t>
      </w:r>
    </w:p>
    <w:p w14:paraId="6B842A12" w14:textId="64ECD6FF" w:rsidR="00BC40ED" w:rsidRPr="0064627E" w:rsidRDefault="00BC40ED" w:rsidP="00BC40ED">
      <w:pPr>
        <w:spacing w:after="120"/>
        <w:jc w:val="both"/>
        <w:rPr>
          <w:rFonts w:asciiTheme="minorHAnsi" w:hAnsiTheme="minorHAnsi"/>
        </w:rPr>
      </w:pPr>
      <w:r w:rsidRPr="0064627E">
        <w:rPr>
          <w:rFonts w:asciiTheme="minorHAnsi" w:hAnsiTheme="minorHAnsi"/>
        </w:rPr>
        <w:t>For over 150 years, MMC has been a vital community resource for the Springfield area, serving a patient population reflective of the community; however, utilization has declined in recent years.  In FY2025, MMC had</w:t>
      </w:r>
      <w:r w:rsidR="006F73C4" w:rsidRPr="0064627E">
        <w:rPr>
          <w:rFonts w:asciiTheme="minorHAnsi" w:hAnsiTheme="minorHAnsi"/>
        </w:rPr>
        <w:t xml:space="preserve"> </w:t>
      </w:r>
      <w:r w:rsidR="006F73C4" w:rsidRPr="0064627E">
        <w:rPr>
          <w:rFonts w:ascii="Aptos" w:hAnsi="Aptos"/>
        </w:rPr>
        <w:t>25,935</w:t>
      </w:r>
      <w:r w:rsidRPr="0064627E">
        <w:rPr>
          <w:rFonts w:asciiTheme="minorHAnsi" w:hAnsiTheme="minorHAnsi"/>
        </w:rPr>
        <w:t xml:space="preserve"> inpatient medical/surgical days, a </w:t>
      </w:r>
      <w:r w:rsidR="006F73C4" w:rsidRPr="0064627E">
        <w:rPr>
          <w:rFonts w:asciiTheme="minorHAnsi" w:hAnsiTheme="minorHAnsi"/>
        </w:rPr>
        <w:t>10</w:t>
      </w:r>
      <w:r w:rsidR="009D760E">
        <w:rPr>
          <w:rFonts w:asciiTheme="minorHAnsi" w:hAnsiTheme="minorHAnsi"/>
        </w:rPr>
        <w:t xml:space="preserve"> percent</w:t>
      </w:r>
      <w:r w:rsidR="006F73C4" w:rsidRPr="0064627E">
        <w:rPr>
          <w:rFonts w:asciiTheme="minorHAnsi" w:hAnsiTheme="minorHAnsi"/>
        </w:rPr>
        <w:t xml:space="preserve"> </w:t>
      </w:r>
      <w:r w:rsidRPr="0064627E">
        <w:rPr>
          <w:rFonts w:asciiTheme="minorHAnsi" w:hAnsiTheme="minorHAnsi"/>
        </w:rPr>
        <w:t xml:space="preserve">decrease from </w:t>
      </w:r>
      <w:r w:rsidR="006F73C4" w:rsidRPr="0064627E">
        <w:rPr>
          <w:rFonts w:asciiTheme="minorHAnsi" w:hAnsiTheme="minorHAnsi"/>
        </w:rPr>
        <w:t>28,998</w:t>
      </w:r>
      <w:r w:rsidRPr="0064627E">
        <w:rPr>
          <w:rFonts w:asciiTheme="minorHAnsi" w:hAnsiTheme="minorHAnsi"/>
        </w:rPr>
        <w:t xml:space="preserve"> inpatient days in FY2022. Similarly, ED visits decreased by more than 10,000 from FY2022 to FY2025. Delays and barriers to care are forcing patients</w:t>
      </w:r>
      <w:r w:rsidR="14F6E23C" w:rsidRPr="0064627E">
        <w:rPr>
          <w:rFonts w:asciiTheme="minorHAnsi" w:hAnsiTheme="minorHAnsi"/>
        </w:rPr>
        <w:t xml:space="preserve"> </w:t>
      </w:r>
      <w:r w:rsidRPr="0064627E">
        <w:rPr>
          <w:rFonts w:asciiTheme="minorHAnsi" w:hAnsiTheme="minorHAnsi"/>
        </w:rPr>
        <w:t>to seek care elsewhere, including at BMC</w:t>
      </w:r>
      <w:r w:rsidR="00EE1D16" w:rsidRPr="0064627E">
        <w:rPr>
          <w:rFonts w:asciiTheme="minorHAnsi" w:hAnsiTheme="minorHAnsi"/>
        </w:rPr>
        <w:t>, where inpatient days for medical/surgical patients ha</w:t>
      </w:r>
      <w:r w:rsidR="006D7D4E" w:rsidRPr="0064627E">
        <w:rPr>
          <w:rFonts w:asciiTheme="minorHAnsi" w:hAnsiTheme="minorHAnsi"/>
        </w:rPr>
        <w:t xml:space="preserve">ve </w:t>
      </w:r>
      <w:r w:rsidR="00EE1D16" w:rsidRPr="0064627E">
        <w:rPr>
          <w:rFonts w:asciiTheme="minorHAnsi" w:hAnsiTheme="minorHAnsi"/>
        </w:rPr>
        <w:t>increased from</w:t>
      </w:r>
      <w:r w:rsidR="006F73C4" w:rsidRPr="0064627E">
        <w:rPr>
          <w:rFonts w:asciiTheme="minorHAnsi" w:hAnsiTheme="minorHAnsi"/>
        </w:rPr>
        <w:t xml:space="preserve"> 200,524</w:t>
      </w:r>
      <w:r w:rsidR="00D744AF" w:rsidRPr="0064627E">
        <w:rPr>
          <w:rFonts w:asciiTheme="minorHAnsi" w:hAnsiTheme="minorHAnsi"/>
        </w:rPr>
        <w:t xml:space="preserve"> </w:t>
      </w:r>
      <w:r w:rsidR="00EE1D16" w:rsidRPr="0064627E">
        <w:rPr>
          <w:rFonts w:asciiTheme="minorHAnsi" w:hAnsiTheme="minorHAnsi"/>
        </w:rPr>
        <w:t>in FY202</w:t>
      </w:r>
      <w:r w:rsidR="006F73C4" w:rsidRPr="0064627E">
        <w:rPr>
          <w:rFonts w:asciiTheme="minorHAnsi" w:hAnsiTheme="minorHAnsi"/>
        </w:rPr>
        <w:t>2</w:t>
      </w:r>
      <w:r w:rsidR="00EE1D16" w:rsidRPr="0064627E">
        <w:rPr>
          <w:rFonts w:asciiTheme="minorHAnsi" w:hAnsiTheme="minorHAnsi"/>
        </w:rPr>
        <w:t xml:space="preserve"> to </w:t>
      </w:r>
      <w:r w:rsidR="006F73C4" w:rsidRPr="0064627E">
        <w:rPr>
          <w:rFonts w:asciiTheme="minorHAnsi" w:hAnsiTheme="minorHAnsi"/>
        </w:rPr>
        <w:t>213,068</w:t>
      </w:r>
      <w:r w:rsidR="00D744AF" w:rsidRPr="0064627E">
        <w:rPr>
          <w:rFonts w:asciiTheme="minorHAnsi" w:hAnsiTheme="minorHAnsi"/>
        </w:rPr>
        <w:t xml:space="preserve"> annualized days for </w:t>
      </w:r>
      <w:r w:rsidR="00EE1D16" w:rsidRPr="0064627E">
        <w:rPr>
          <w:rFonts w:asciiTheme="minorHAnsi" w:hAnsiTheme="minorHAnsi"/>
        </w:rPr>
        <w:t>FY202</w:t>
      </w:r>
      <w:r w:rsidR="00D744AF" w:rsidRPr="0064627E">
        <w:rPr>
          <w:rFonts w:asciiTheme="minorHAnsi" w:hAnsiTheme="minorHAnsi"/>
        </w:rPr>
        <w:t>6</w:t>
      </w:r>
      <w:r w:rsidR="00EE1D16" w:rsidRPr="0064627E">
        <w:rPr>
          <w:rFonts w:asciiTheme="minorHAnsi" w:hAnsiTheme="minorHAnsi"/>
        </w:rPr>
        <w:t>.</w:t>
      </w:r>
    </w:p>
    <w:tbl>
      <w:tblPr>
        <w:tblStyle w:val="TableGrid"/>
        <w:tblW w:w="5000" w:type="pct"/>
        <w:tblLook w:val="04A0" w:firstRow="1" w:lastRow="0" w:firstColumn="1" w:lastColumn="0" w:noHBand="0" w:noVBand="1"/>
        <w:tblCaption w:val="Table 6: MMC Utilization"/>
      </w:tblPr>
      <w:tblGrid>
        <w:gridCol w:w="3410"/>
        <w:gridCol w:w="1192"/>
        <w:gridCol w:w="1192"/>
        <w:gridCol w:w="1191"/>
        <w:gridCol w:w="1191"/>
        <w:gridCol w:w="1174"/>
      </w:tblGrid>
      <w:tr w:rsidR="00752DA7" w:rsidRPr="0064627E" w14:paraId="20ABBE1D" w14:textId="628B6E85" w:rsidTr="00B27B7C">
        <w:trPr>
          <w:cantSplit/>
          <w:tblHeader/>
        </w:trPr>
        <w:tc>
          <w:tcPr>
            <w:tcW w:w="2085" w:type="pct"/>
            <w:shd w:val="clear" w:color="auto" w:fill="0E2841" w:themeFill="text2"/>
            <w:vAlign w:val="center"/>
          </w:tcPr>
          <w:p w14:paraId="50AF149A" w14:textId="3A73DB28" w:rsidR="00752DA7" w:rsidRPr="0064627E" w:rsidRDefault="00752DA7" w:rsidP="00BC40ED">
            <w:pPr>
              <w:spacing w:before="40" w:after="40"/>
              <w:rPr>
                <w:rFonts w:ascii="Aptos" w:hAnsi="Aptos"/>
                <w:b/>
                <w:bCs/>
                <w:color w:val="FFFFFF" w:themeColor="background1"/>
              </w:rPr>
            </w:pPr>
            <w:r w:rsidRPr="0064627E">
              <w:rPr>
                <w:rFonts w:ascii="Aptos" w:hAnsi="Aptos"/>
                <w:b/>
                <w:bCs/>
                <w:color w:val="FFFFFF" w:themeColor="background1"/>
              </w:rPr>
              <w:t>Table 6: MMC Utilization</w:t>
            </w:r>
          </w:p>
        </w:tc>
        <w:tc>
          <w:tcPr>
            <w:tcW w:w="729" w:type="pct"/>
            <w:shd w:val="clear" w:color="auto" w:fill="0E2841" w:themeFill="text2"/>
            <w:vAlign w:val="center"/>
          </w:tcPr>
          <w:p w14:paraId="67B62ABD" w14:textId="0E986579" w:rsidR="00752DA7" w:rsidRPr="0064627E" w:rsidRDefault="00752DA7" w:rsidP="00BC40ED">
            <w:pPr>
              <w:spacing w:before="40" w:after="40"/>
              <w:jc w:val="center"/>
              <w:rPr>
                <w:rFonts w:ascii="Aptos" w:hAnsi="Aptos"/>
                <w:b/>
                <w:bCs/>
                <w:color w:val="FFFFFF" w:themeColor="background1"/>
              </w:rPr>
            </w:pPr>
            <w:r w:rsidRPr="0064627E">
              <w:rPr>
                <w:rFonts w:ascii="Aptos" w:hAnsi="Aptos"/>
                <w:b/>
                <w:bCs/>
                <w:color w:val="FFFFFF" w:themeColor="background1"/>
              </w:rPr>
              <w:t>FY2022</w:t>
            </w:r>
          </w:p>
        </w:tc>
        <w:tc>
          <w:tcPr>
            <w:tcW w:w="729" w:type="pct"/>
            <w:shd w:val="clear" w:color="auto" w:fill="0E2841" w:themeFill="text2"/>
            <w:vAlign w:val="center"/>
          </w:tcPr>
          <w:p w14:paraId="529289D9" w14:textId="5D43B531" w:rsidR="00752DA7" w:rsidRPr="0064627E" w:rsidRDefault="00752DA7" w:rsidP="00BC40ED">
            <w:pPr>
              <w:spacing w:before="40" w:after="40"/>
              <w:jc w:val="center"/>
              <w:rPr>
                <w:rFonts w:ascii="Aptos" w:hAnsi="Aptos"/>
                <w:b/>
                <w:bCs/>
                <w:color w:val="FFFFFF" w:themeColor="background1"/>
              </w:rPr>
            </w:pPr>
            <w:r w:rsidRPr="0064627E">
              <w:rPr>
                <w:rFonts w:ascii="Aptos" w:hAnsi="Aptos"/>
                <w:b/>
                <w:bCs/>
                <w:color w:val="FFFFFF" w:themeColor="background1"/>
              </w:rPr>
              <w:t>FY2023</w:t>
            </w:r>
          </w:p>
        </w:tc>
        <w:tc>
          <w:tcPr>
            <w:tcW w:w="729" w:type="pct"/>
            <w:shd w:val="clear" w:color="auto" w:fill="0E2841" w:themeFill="text2"/>
            <w:vAlign w:val="center"/>
          </w:tcPr>
          <w:p w14:paraId="5ABF26F7" w14:textId="349397D8" w:rsidR="00752DA7" w:rsidRPr="0064627E" w:rsidRDefault="00752DA7" w:rsidP="00BC40ED">
            <w:pPr>
              <w:spacing w:before="40" w:after="40"/>
              <w:jc w:val="center"/>
              <w:rPr>
                <w:rFonts w:ascii="Aptos" w:hAnsi="Aptos"/>
                <w:b/>
                <w:bCs/>
                <w:color w:val="FFFFFF" w:themeColor="background1"/>
              </w:rPr>
            </w:pPr>
            <w:r w:rsidRPr="0064627E">
              <w:rPr>
                <w:rFonts w:ascii="Aptos" w:hAnsi="Aptos"/>
                <w:b/>
                <w:bCs/>
                <w:color w:val="FFFFFF" w:themeColor="background1"/>
              </w:rPr>
              <w:t>FY2024</w:t>
            </w:r>
          </w:p>
        </w:tc>
        <w:tc>
          <w:tcPr>
            <w:tcW w:w="729" w:type="pct"/>
            <w:shd w:val="clear" w:color="auto" w:fill="0E2841" w:themeFill="text2"/>
            <w:vAlign w:val="center"/>
          </w:tcPr>
          <w:p w14:paraId="7246C977" w14:textId="1594CD82" w:rsidR="00752DA7" w:rsidRPr="0064627E" w:rsidRDefault="00752DA7" w:rsidP="00BC40ED">
            <w:pPr>
              <w:spacing w:before="40" w:after="40"/>
              <w:jc w:val="center"/>
              <w:rPr>
                <w:rFonts w:ascii="Aptos" w:hAnsi="Aptos"/>
                <w:b/>
                <w:bCs/>
                <w:color w:val="FFFFFF" w:themeColor="background1"/>
              </w:rPr>
            </w:pPr>
            <w:r w:rsidRPr="0064627E">
              <w:rPr>
                <w:rFonts w:ascii="Aptos" w:hAnsi="Aptos"/>
                <w:b/>
                <w:bCs/>
                <w:color w:val="FFFFFF" w:themeColor="background1"/>
              </w:rPr>
              <w:t>FY2025</w:t>
            </w:r>
          </w:p>
        </w:tc>
        <w:tc>
          <w:tcPr>
            <w:tcW w:w="1190" w:type="dxa"/>
            <w:shd w:val="clear" w:color="auto" w:fill="0E2841" w:themeFill="text2"/>
          </w:tcPr>
          <w:p w14:paraId="13129AA6" w14:textId="7EE1C86B" w:rsidR="005B1879" w:rsidRPr="0064627E" w:rsidRDefault="005B1879" w:rsidP="00BC40ED">
            <w:pPr>
              <w:spacing w:before="40" w:after="40"/>
              <w:jc w:val="center"/>
              <w:rPr>
                <w:rFonts w:ascii="Aptos" w:hAnsi="Aptos"/>
                <w:b/>
                <w:bCs/>
                <w:color w:val="FFFFFF" w:themeColor="background1"/>
              </w:rPr>
            </w:pPr>
            <w:r w:rsidRPr="0064627E">
              <w:rPr>
                <w:rFonts w:ascii="Aptos" w:hAnsi="Aptos"/>
                <w:b/>
                <w:bCs/>
                <w:color w:val="FFFFFF" w:themeColor="background1"/>
              </w:rPr>
              <w:t>FY26YTD</w:t>
            </w:r>
          </w:p>
        </w:tc>
      </w:tr>
      <w:tr w:rsidR="00752DA7" w:rsidRPr="0064627E" w14:paraId="2AB2BEA0" w14:textId="2243AA63" w:rsidTr="00B27B7C">
        <w:trPr>
          <w:cantSplit/>
        </w:trPr>
        <w:tc>
          <w:tcPr>
            <w:tcW w:w="2085" w:type="pct"/>
            <w:vAlign w:val="center"/>
          </w:tcPr>
          <w:p w14:paraId="2A8A7CEC" w14:textId="136EE07E" w:rsidR="00752DA7" w:rsidRPr="0064627E" w:rsidRDefault="00752DA7" w:rsidP="00BC40ED">
            <w:pPr>
              <w:spacing w:before="40" w:after="40"/>
              <w:rPr>
                <w:rFonts w:ascii="Aptos" w:hAnsi="Aptos"/>
                <w:b/>
                <w:bCs/>
              </w:rPr>
            </w:pPr>
            <w:r w:rsidRPr="0064627E">
              <w:rPr>
                <w:rFonts w:ascii="Aptos" w:hAnsi="Aptos"/>
                <w:b/>
                <w:bCs/>
              </w:rPr>
              <w:t>Med-Surg Days</w:t>
            </w:r>
          </w:p>
        </w:tc>
        <w:tc>
          <w:tcPr>
            <w:tcW w:w="729" w:type="pct"/>
            <w:vAlign w:val="center"/>
          </w:tcPr>
          <w:p w14:paraId="1DE73830" w14:textId="2E26CEAE" w:rsidR="00752DA7" w:rsidRPr="0064627E" w:rsidRDefault="00752DA7" w:rsidP="00BC40ED">
            <w:pPr>
              <w:spacing w:before="40" w:after="40"/>
              <w:jc w:val="center"/>
              <w:rPr>
                <w:rFonts w:ascii="Aptos" w:hAnsi="Aptos"/>
              </w:rPr>
            </w:pPr>
            <w:r w:rsidRPr="0064627E">
              <w:rPr>
                <w:rFonts w:ascii="Aptos" w:hAnsi="Aptos"/>
              </w:rPr>
              <w:t>28,998</w:t>
            </w:r>
          </w:p>
        </w:tc>
        <w:tc>
          <w:tcPr>
            <w:tcW w:w="729" w:type="pct"/>
            <w:vAlign w:val="center"/>
          </w:tcPr>
          <w:p w14:paraId="4A6343BB" w14:textId="6E441740" w:rsidR="00752DA7" w:rsidRPr="0064627E" w:rsidRDefault="00752DA7" w:rsidP="00BC40ED">
            <w:pPr>
              <w:spacing w:before="40" w:after="40"/>
              <w:jc w:val="center"/>
              <w:rPr>
                <w:rFonts w:ascii="Aptos" w:hAnsi="Aptos"/>
              </w:rPr>
            </w:pPr>
            <w:r w:rsidRPr="0064627E">
              <w:rPr>
                <w:rFonts w:ascii="Aptos" w:hAnsi="Aptos"/>
              </w:rPr>
              <w:t>26,644</w:t>
            </w:r>
          </w:p>
        </w:tc>
        <w:tc>
          <w:tcPr>
            <w:tcW w:w="729" w:type="pct"/>
            <w:vAlign w:val="center"/>
          </w:tcPr>
          <w:p w14:paraId="5D2A42E9" w14:textId="79CB0986" w:rsidR="00752DA7" w:rsidRPr="0064627E" w:rsidRDefault="00752DA7" w:rsidP="00BC40ED">
            <w:pPr>
              <w:spacing w:before="40" w:after="40"/>
              <w:jc w:val="center"/>
              <w:rPr>
                <w:rFonts w:ascii="Aptos" w:hAnsi="Aptos"/>
              </w:rPr>
            </w:pPr>
            <w:r w:rsidRPr="0064627E">
              <w:rPr>
                <w:rFonts w:ascii="Aptos" w:hAnsi="Aptos"/>
              </w:rPr>
              <w:t>24,304</w:t>
            </w:r>
          </w:p>
        </w:tc>
        <w:tc>
          <w:tcPr>
            <w:tcW w:w="729" w:type="pct"/>
            <w:vAlign w:val="center"/>
          </w:tcPr>
          <w:p w14:paraId="3955C6A7" w14:textId="17B6F46C" w:rsidR="00752DA7" w:rsidRPr="0064627E" w:rsidRDefault="00752DA7" w:rsidP="00BC40ED">
            <w:pPr>
              <w:spacing w:before="40" w:after="40"/>
              <w:jc w:val="center"/>
              <w:rPr>
                <w:rFonts w:ascii="Aptos" w:hAnsi="Aptos"/>
              </w:rPr>
            </w:pPr>
            <w:r w:rsidRPr="0064627E">
              <w:rPr>
                <w:rFonts w:ascii="Aptos" w:hAnsi="Aptos"/>
              </w:rPr>
              <w:t>25,935</w:t>
            </w:r>
          </w:p>
        </w:tc>
        <w:tc>
          <w:tcPr>
            <w:tcW w:w="1190" w:type="dxa"/>
          </w:tcPr>
          <w:p w14:paraId="2AEC8D6B" w14:textId="05DD805A" w:rsidR="00D744AF" w:rsidRPr="0064627E" w:rsidRDefault="00D744AF" w:rsidP="00BC40ED">
            <w:pPr>
              <w:spacing w:before="40" w:after="40"/>
              <w:jc w:val="center"/>
              <w:rPr>
                <w:rFonts w:ascii="Aptos" w:hAnsi="Aptos"/>
              </w:rPr>
            </w:pPr>
            <w:r w:rsidRPr="0064627E">
              <w:rPr>
                <w:rFonts w:ascii="Aptos" w:hAnsi="Aptos"/>
              </w:rPr>
              <w:t>19,730</w:t>
            </w:r>
          </w:p>
        </w:tc>
      </w:tr>
      <w:tr w:rsidR="00752DA7" w:rsidRPr="0064627E" w14:paraId="68A57279" w14:textId="7CC24374" w:rsidTr="00B27B7C">
        <w:trPr>
          <w:cantSplit/>
        </w:trPr>
        <w:tc>
          <w:tcPr>
            <w:tcW w:w="2085" w:type="pct"/>
            <w:vAlign w:val="center"/>
          </w:tcPr>
          <w:p w14:paraId="299E0300" w14:textId="3C2EA0C2" w:rsidR="00752DA7" w:rsidRPr="0064627E" w:rsidRDefault="00752DA7" w:rsidP="00BC40ED">
            <w:pPr>
              <w:spacing w:before="40" w:after="40"/>
              <w:rPr>
                <w:rFonts w:ascii="Aptos" w:hAnsi="Aptos"/>
                <w:b/>
                <w:bCs/>
              </w:rPr>
            </w:pPr>
            <w:r w:rsidRPr="0064627E">
              <w:rPr>
                <w:rFonts w:ascii="Aptos" w:hAnsi="Aptos"/>
                <w:b/>
                <w:bCs/>
              </w:rPr>
              <w:t>Med-Surg Observation Days</w:t>
            </w:r>
          </w:p>
        </w:tc>
        <w:tc>
          <w:tcPr>
            <w:tcW w:w="729" w:type="pct"/>
            <w:vAlign w:val="center"/>
          </w:tcPr>
          <w:p w14:paraId="2DE5E141" w14:textId="07084FF4" w:rsidR="00752DA7" w:rsidRPr="0064627E" w:rsidRDefault="00752DA7" w:rsidP="00BC40ED">
            <w:pPr>
              <w:spacing w:before="40" w:after="40"/>
              <w:jc w:val="center"/>
              <w:rPr>
                <w:rFonts w:ascii="Aptos" w:hAnsi="Aptos"/>
              </w:rPr>
            </w:pPr>
            <w:r w:rsidRPr="0064627E">
              <w:rPr>
                <w:rFonts w:ascii="Aptos Narrow" w:hAnsi="Aptos Narrow"/>
                <w:color w:val="000000"/>
              </w:rPr>
              <w:t>3,751</w:t>
            </w:r>
          </w:p>
        </w:tc>
        <w:tc>
          <w:tcPr>
            <w:tcW w:w="729" w:type="pct"/>
            <w:vAlign w:val="center"/>
          </w:tcPr>
          <w:p w14:paraId="66FF54AD" w14:textId="270E3881" w:rsidR="00752DA7" w:rsidRPr="0064627E" w:rsidRDefault="00752DA7" w:rsidP="00BC40ED">
            <w:pPr>
              <w:spacing w:before="40" w:after="40"/>
              <w:jc w:val="center"/>
              <w:rPr>
                <w:rFonts w:ascii="Aptos" w:hAnsi="Aptos"/>
              </w:rPr>
            </w:pPr>
            <w:r w:rsidRPr="0064627E">
              <w:rPr>
                <w:rFonts w:ascii="Aptos Narrow" w:hAnsi="Aptos Narrow"/>
                <w:color w:val="000000"/>
              </w:rPr>
              <w:t>4,475</w:t>
            </w:r>
          </w:p>
        </w:tc>
        <w:tc>
          <w:tcPr>
            <w:tcW w:w="729" w:type="pct"/>
            <w:vAlign w:val="center"/>
          </w:tcPr>
          <w:p w14:paraId="6C60576C" w14:textId="573B7147" w:rsidR="00752DA7" w:rsidRPr="0064627E" w:rsidRDefault="00752DA7" w:rsidP="00BC40ED">
            <w:pPr>
              <w:spacing w:before="40" w:after="40"/>
              <w:jc w:val="center"/>
              <w:rPr>
                <w:rFonts w:ascii="Aptos" w:hAnsi="Aptos"/>
              </w:rPr>
            </w:pPr>
            <w:r w:rsidRPr="0064627E">
              <w:rPr>
                <w:rFonts w:ascii="Aptos Narrow" w:hAnsi="Aptos Narrow"/>
                <w:color w:val="000000"/>
              </w:rPr>
              <w:t>3,836</w:t>
            </w:r>
          </w:p>
        </w:tc>
        <w:tc>
          <w:tcPr>
            <w:tcW w:w="729" w:type="pct"/>
            <w:vAlign w:val="center"/>
          </w:tcPr>
          <w:p w14:paraId="4706BDA0" w14:textId="5D24ECF8" w:rsidR="00752DA7" w:rsidRPr="0064627E" w:rsidRDefault="00752DA7" w:rsidP="00BC40ED">
            <w:pPr>
              <w:spacing w:before="40" w:after="40"/>
              <w:jc w:val="center"/>
              <w:rPr>
                <w:rFonts w:ascii="Aptos" w:hAnsi="Aptos"/>
              </w:rPr>
            </w:pPr>
            <w:r w:rsidRPr="0064627E">
              <w:rPr>
                <w:rFonts w:ascii="Aptos Narrow" w:hAnsi="Aptos Narrow"/>
                <w:color w:val="000000"/>
              </w:rPr>
              <w:t>4,462</w:t>
            </w:r>
          </w:p>
        </w:tc>
        <w:tc>
          <w:tcPr>
            <w:tcW w:w="1190" w:type="dxa"/>
          </w:tcPr>
          <w:p w14:paraId="482E507D" w14:textId="16F03160" w:rsidR="004B0C86" w:rsidRPr="0064627E" w:rsidRDefault="004B0C86" w:rsidP="00BC40ED">
            <w:pPr>
              <w:spacing w:before="40" w:after="40"/>
              <w:jc w:val="center"/>
              <w:rPr>
                <w:rFonts w:ascii="Aptos Narrow" w:hAnsi="Aptos Narrow"/>
                <w:color w:val="000000"/>
              </w:rPr>
            </w:pPr>
            <w:r w:rsidRPr="0064627E">
              <w:rPr>
                <w:rFonts w:ascii="Aptos Narrow" w:hAnsi="Aptos Narrow"/>
                <w:color w:val="000000"/>
              </w:rPr>
              <w:t>4,080</w:t>
            </w:r>
          </w:p>
        </w:tc>
      </w:tr>
      <w:tr w:rsidR="00752DA7" w:rsidRPr="0064627E" w14:paraId="46BE578B" w14:textId="458FC6DA" w:rsidTr="00B27B7C">
        <w:trPr>
          <w:cantSplit/>
        </w:trPr>
        <w:tc>
          <w:tcPr>
            <w:tcW w:w="2085" w:type="pct"/>
            <w:vAlign w:val="center"/>
          </w:tcPr>
          <w:p w14:paraId="0E6596C7" w14:textId="65D2EC50" w:rsidR="00752DA7" w:rsidRPr="0064627E" w:rsidRDefault="00752DA7" w:rsidP="00BC40ED">
            <w:pPr>
              <w:spacing w:before="40" w:after="40"/>
              <w:rPr>
                <w:rFonts w:ascii="Aptos" w:hAnsi="Aptos"/>
                <w:b/>
                <w:bCs/>
              </w:rPr>
            </w:pPr>
            <w:r w:rsidRPr="0064627E">
              <w:rPr>
                <w:rFonts w:ascii="Aptos" w:hAnsi="Aptos"/>
                <w:b/>
                <w:bCs/>
              </w:rPr>
              <w:t>Maternity Discharges</w:t>
            </w:r>
          </w:p>
        </w:tc>
        <w:tc>
          <w:tcPr>
            <w:tcW w:w="729" w:type="pct"/>
            <w:vAlign w:val="center"/>
          </w:tcPr>
          <w:p w14:paraId="6A56020B" w14:textId="712319C0" w:rsidR="00752DA7" w:rsidRPr="0064627E" w:rsidRDefault="00752DA7" w:rsidP="00BC40ED">
            <w:pPr>
              <w:spacing w:before="40" w:after="40"/>
              <w:jc w:val="center"/>
              <w:rPr>
                <w:rFonts w:ascii="Aptos Narrow" w:hAnsi="Aptos Narrow"/>
                <w:color w:val="000000"/>
              </w:rPr>
            </w:pPr>
            <w:r w:rsidRPr="0064627E">
              <w:rPr>
                <w:rFonts w:ascii="Aptos Narrow" w:hAnsi="Aptos Narrow"/>
                <w:color w:val="000000"/>
              </w:rPr>
              <w:t>1,876</w:t>
            </w:r>
          </w:p>
        </w:tc>
        <w:tc>
          <w:tcPr>
            <w:tcW w:w="729" w:type="pct"/>
            <w:vAlign w:val="center"/>
          </w:tcPr>
          <w:p w14:paraId="00995138" w14:textId="1C926A38" w:rsidR="00752DA7" w:rsidRPr="0064627E" w:rsidRDefault="00752DA7" w:rsidP="00BC40ED">
            <w:pPr>
              <w:spacing w:before="40" w:after="40"/>
              <w:jc w:val="center"/>
              <w:rPr>
                <w:rFonts w:ascii="Aptos Narrow" w:hAnsi="Aptos Narrow"/>
                <w:color w:val="000000"/>
              </w:rPr>
            </w:pPr>
            <w:r w:rsidRPr="0064627E">
              <w:rPr>
                <w:rFonts w:ascii="Aptos Narrow" w:hAnsi="Aptos Narrow"/>
                <w:color w:val="000000"/>
              </w:rPr>
              <w:t>1,571</w:t>
            </w:r>
          </w:p>
        </w:tc>
        <w:tc>
          <w:tcPr>
            <w:tcW w:w="729" w:type="pct"/>
            <w:vAlign w:val="center"/>
          </w:tcPr>
          <w:p w14:paraId="14CD7011" w14:textId="65CCDC45" w:rsidR="00752DA7" w:rsidRPr="0064627E" w:rsidRDefault="00752DA7" w:rsidP="00BC40ED">
            <w:pPr>
              <w:spacing w:before="40" w:after="40"/>
              <w:jc w:val="center"/>
              <w:rPr>
                <w:rFonts w:ascii="Aptos Narrow" w:hAnsi="Aptos Narrow"/>
                <w:color w:val="000000"/>
              </w:rPr>
            </w:pPr>
            <w:r w:rsidRPr="0064627E">
              <w:rPr>
                <w:rFonts w:ascii="Aptos Narrow" w:hAnsi="Aptos Narrow"/>
                <w:color w:val="000000"/>
              </w:rPr>
              <w:t>1,582</w:t>
            </w:r>
          </w:p>
        </w:tc>
        <w:tc>
          <w:tcPr>
            <w:tcW w:w="729" w:type="pct"/>
            <w:vAlign w:val="center"/>
          </w:tcPr>
          <w:p w14:paraId="285101C9" w14:textId="5EDF6A90" w:rsidR="00752DA7" w:rsidRPr="0064627E" w:rsidRDefault="00752DA7" w:rsidP="00BC40ED">
            <w:pPr>
              <w:spacing w:before="40" w:after="40"/>
              <w:jc w:val="center"/>
              <w:rPr>
                <w:rFonts w:ascii="Aptos Narrow" w:hAnsi="Aptos Narrow"/>
                <w:color w:val="000000"/>
              </w:rPr>
            </w:pPr>
            <w:r w:rsidRPr="0064627E">
              <w:rPr>
                <w:rFonts w:ascii="Aptos Narrow" w:hAnsi="Aptos Narrow"/>
                <w:color w:val="000000"/>
              </w:rPr>
              <w:t>1,651</w:t>
            </w:r>
          </w:p>
        </w:tc>
        <w:tc>
          <w:tcPr>
            <w:tcW w:w="1190" w:type="dxa"/>
          </w:tcPr>
          <w:p w14:paraId="335C76F3" w14:textId="3C0811A5" w:rsidR="004C0E0E" w:rsidRPr="0064627E" w:rsidRDefault="004C0E0E" w:rsidP="00BC40ED">
            <w:pPr>
              <w:spacing w:before="40" w:after="40"/>
              <w:jc w:val="center"/>
              <w:rPr>
                <w:rFonts w:ascii="Aptos Narrow" w:hAnsi="Aptos Narrow"/>
                <w:color w:val="000000"/>
              </w:rPr>
            </w:pPr>
            <w:r w:rsidRPr="0064627E">
              <w:rPr>
                <w:rFonts w:ascii="Aptos Narrow" w:hAnsi="Aptos Narrow"/>
                <w:color w:val="000000"/>
              </w:rPr>
              <w:t>517</w:t>
            </w:r>
          </w:p>
        </w:tc>
      </w:tr>
      <w:tr w:rsidR="00752DA7" w:rsidRPr="0064627E" w14:paraId="75F6C517" w14:textId="04FF8425" w:rsidTr="00B27B7C">
        <w:trPr>
          <w:cantSplit/>
          <w:trHeight w:val="50"/>
        </w:trPr>
        <w:tc>
          <w:tcPr>
            <w:tcW w:w="2085" w:type="pct"/>
            <w:vAlign w:val="center"/>
          </w:tcPr>
          <w:p w14:paraId="34E0C4BC" w14:textId="3E23A4D0" w:rsidR="00752DA7" w:rsidRPr="0064627E" w:rsidRDefault="00752DA7" w:rsidP="00BC40ED">
            <w:pPr>
              <w:spacing w:before="40" w:after="40"/>
              <w:rPr>
                <w:rFonts w:ascii="Aptos" w:hAnsi="Aptos"/>
                <w:b/>
                <w:bCs/>
              </w:rPr>
            </w:pPr>
            <w:r w:rsidRPr="0064627E">
              <w:rPr>
                <w:rFonts w:ascii="Aptos" w:hAnsi="Aptos"/>
                <w:b/>
                <w:bCs/>
              </w:rPr>
              <w:t>ED Visits</w:t>
            </w:r>
          </w:p>
        </w:tc>
        <w:tc>
          <w:tcPr>
            <w:tcW w:w="729" w:type="pct"/>
            <w:vAlign w:val="center"/>
          </w:tcPr>
          <w:p w14:paraId="2DE829A7" w14:textId="79637087" w:rsidR="00752DA7" w:rsidRPr="0064627E" w:rsidRDefault="00752DA7" w:rsidP="00BC40ED">
            <w:pPr>
              <w:spacing w:before="40" w:after="40"/>
              <w:jc w:val="center"/>
              <w:rPr>
                <w:rFonts w:ascii="Aptos" w:hAnsi="Aptos"/>
              </w:rPr>
            </w:pPr>
            <w:r w:rsidRPr="0064627E">
              <w:rPr>
                <w:rFonts w:ascii="Aptos" w:hAnsi="Aptos"/>
                <w:color w:val="000000"/>
              </w:rPr>
              <w:t>65,142</w:t>
            </w:r>
          </w:p>
        </w:tc>
        <w:tc>
          <w:tcPr>
            <w:tcW w:w="729" w:type="pct"/>
            <w:vAlign w:val="center"/>
          </w:tcPr>
          <w:p w14:paraId="3E92BED7" w14:textId="2A100B47" w:rsidR="00752DA7" w:rsidRPr="0064627E" w:rsidRDefault="00752DA7" w:rsidP="00BC40ED">
            <w:pPr>
              <w:spacing w:before="40" w:after="40"/>
              <w:jc w:val="center"/>
              <w:rPr>
                <w:rFonts w:ascii="Aptos" w:hAnsi="Aptos"/>
              </w:rPr>
            </w:pPr>
            <w:r w:rsidRPr="0064627E">
              <w:rPr>
                <w:rFonts w:ascii="Aptos" w:hAnsi="Aptos"/>
                <w:color w:val="000000"/>
              </w:rPr>
              <w:t>58,255</w:t>
            </w:r>
          </w:p>
        </w:tc>
        <w:tc>
          <w:tcPr>
            <w:tcW w:w="729" w:type="pct"/>
            <w:vAlign w:val="center"/>
          </w:tcPr>
          <w:p w14:paraId="1EB00969" w14:textId="0194744E" w:rsidR="00752DA7" w:rsidRPr="0064627E" w:rsidRDefault="00752DA7" w:rsidP="00BC40ED">
            <w:pPr>
              <w:spacing w:before="40" w:after="40"/>
              <w:jc w:val="center"/>
              <w:rPr>
                <w:rFonts w:ascii="Aptos" w:hAnsi="Aptos"/>
              </w:rPr>
            </w:pPr>
            <w:r w:rsidRPr="0064627E">
              <w:rPr>
                <w:rFonts w:ascii="Aptos" w:hAnsi="Aptos"/>
                <w:color w:val="000000"/>
              </w:rPr>
              <w:t>53,332</w:t>
            </w:r>
          </w:p>
        </w:tc>
        <w:tc>
          <w:tcPr>
            <w:tcW w:w="729" w:type="pct"/>
            <w:vAlign w:val="center"/>
          </w:tcPr>
          <w:p w14:paraId="6265C9AC" w14:textId="5168CB9F" w:rsidR="00752DA7" w:rsidRPr="0064627E" w:rsidRDefault="00752DA7" w:rsidP="00BC40ED">
            <w:pPr>
              <w:spacing w:before="40" w:after="40"/>
              <w:jc w:val="center"/>
              <w:rPr>
                <w:rFonts w:ascii="Aptos" w:hAnsi="Aptos"/>
              </w:rPr>
            </w:pPr>
            <w:r w:rsidRPr="0064627E">
              <w:rPr>
                <w:rFonts w:ascii="Aptos" w:hAnsi="Aptos"/>
                <w:color w:val="000000"/>
              </w:rPr>
              <w:t>51,645</w:t>
            </w:r>
          </w:p>
        </w:tc>
        <w:tc>
          <w:tcPr>
            <w:tcW w:w="1190" w:type="dxa"/>
          </w:tcPr>
          <w:p w14:paraId="69FFAA83" w14:textId="3C586F00" w:rsidR="004C0E0E" w:rsidRPr="0064627E" w:rsidRDefault="004C0E0E" w:rsidP="00BC40ED">
            <w:pPr>
              <w:spacing w:before="40" w:after="40"/>
              <w:jc w:val="center"/>
              <w:rPr>
                <w:rFonts w:ascii="Aptos" w:hAnsi="Aptos"/>
                <w:color w:val="000000"/>
              </w:rPr>
            </w:pPr>
            <w:r w:rsidRPr="0064627E">
              <w:rPr>
                <w:rFonts w:ascii="Aptos" w:hAnsi="Aptos"/>
                <w:color w:val="000000"/>
              </w:rPr>
              <w:t>44,307</w:t>
            </w:r>
          </w:p>
        </w:tc>
      </w:tr>
    </w:tbl>
    <w:p w14:paraId="37454FB4" w14:textId="629684A9" w:rsidR="00BC40ED" w:rsidRPr="0064627E" w:rsidRDefault="00BC40ED" w:rsidP="00BC40ED">
      <w:pPr>
        <w:spacing w:before="240" w:after="120"/>
        <w:jc w:val="both"/>
        <w:rPr>
          <w:rFonts w:asciiTheme="minorHAnsi" w:hAnsiTheme="minorHAnsi"/>
        </w:rPr>
      </w:pPr>
      <w:r w:rsidRPr="0064627E">
        <w:rPr>
          <w:rFonts w:asciiTheme="minorHAnsi" w:hAnsiTheme="minorHAnsi"/>
        </w:rPr>
        <w:t>As previously described, MMC’s financial outlook is such that it will need</w:t>
      </w:r>
      <w:r w:rsidR="00DB440F" w:rsidRPr="0064627E">
        <w:rPr>
          <w:rFonts w:asciiTheme="minorHAnsi" w:hAnsiTheme="minorHAnsi"/>
        </w:rPr>
        <w:t xml:space="preserve"> to </w:t>
      </w:r>
      <w:r w:rsidRPr="0064627E">
        <w:rPr>
          <w:rFonts w:asciiTheme="minorHAnsi" w:hAnsiTheme="minorHAnsi"/>
        </w:rPr>
        <w:t>consider further service reductions, if not a full hospital closure, in</w:t>
      </w:r>
      <w:r w:rsidR="00DB440F" w:rsidRPr="0064627E">
        <w:rPr>
          <w:rFonts w:asciiTheme="minorHAnsi" w:hAnsiTheme="minorHAnsi"/>
        </w:rPr>
        <w:t xml:space="preserve"> the </w:t>
      </w:r>
      <w:r w:rsidRPr="0064627E">
        <w:rPr>
          <w:rFonts w:asciiTheme="minorHAnsi" w:hAnsiTheme="minorHAnsi"/>
        </w:rPr>
        <w:t>immediate future</w:t>
      </w:r>
      <w:r w:rsidR="00DB440F" w:rsidRPr="0064627E">
        <w:rPr>
          <w:rFonts w:asciiTheme="minorHAnsi" w:hAnsiTheme="minorHAnsi"/>
        </w:rPr>
        <w:t xml:space="preserve"> </w:t>
      </w:r>
      <w:r w:rsidRPr="0064627E">
        <w:rPr>
          <w:rFonts w:asciiTheme="minorHAnsi" w:hAnsiTheme="minorHAnsi"/>
        </w:rPr>
        <w:t>if the Proposed Transfer does not occur. Any additional reductions</w:t>
      </w:r>
      <w:r w:rsidR="006D7D4E" w:rsidRPr="0064627E">
        <w:rPr>
          <w:rFonts w:asciiTheme="minorHAnsi" w:hAnsiTheme="minorHAnsi"/>
        </w:rPr>
        <w:t xml:space="preserve"> in services</w:t>
      </w:r>
      <w:r w:rsidRPr="0064627E">
        <w:rPr>
          <w:rFonts w:asciiTheme="minorHAnsi" w:hAnsiTheme="minorHAnsi"/>
        </w:rPr>
        <w:t xml:space="preserve"> at the hospital would</w:t>
      </w:r>
      <w:r w:rsidR="129ADB62" w:rsidRPr="0064627E">
        <w:rPr>
          <w:rFonts w:asciiTheme="minorHAnsi" w:hAnsiTheme="minorHAnsi"/>
        </w:rPr>
        <w:t xml:space="preserve"> </w:t>
      </w:r>
      <w:r w:rsidRPr="0064627E">
        <w:rPr>
          <w:rFonts w:asciiTheme="minorHAnsi" w:hAnsiTheme="minorHAnsi"/>
        </w:rPr>
        <w:t>be detrimental to its Patient Panel as well as the greater Springfield community. Service</w:t>
      </w:r>
      <w:r w:rsidR="006D7D4E" w:rsidRPr="0064627E">
        <w:rPr>
          <w:rFonts w:asciiTheme="minorHAnsi" w:hAnsiTheme="minorHAnsi"/>
        </w:rPr>
        <w:t xml:space="preserve"> closures </w:t>
      </w:r>
      <w:r w:rsidRPr="0064627E">
        <w:rPr>
          <w:rFonts w:asciiTheme="minorHAnsi" w:hAnsiTheme="minorHAnsi"/>
        </w:rPr>
        <w:t xml:space="preserve">at MMC will strain surrounding hospitals’ resources, creating a ripple effect of increased wait times, delayed care, and worse outcomes.  As the closest hospital, BMC will continue to be most acutely and immediately impacted. </w:t>
      </w:r>
    </w:p>
    <w:p w14:paraId="790F7F09" w14:textId="1916DC9A" w:rsidR="00BC40ED" w:rsidRPr="0064627E" w:rsidRDefault="00BC40ED" w:rsidP="001A3E1A">
      <w:pPr>
        <w:spacing w:after="120"/>
        <w:jc w:val="both"/>
        <w:rPr>
          <w:rFonts w:asciiTheme="minorHAnsi" w:hAnsiTheme="minorHAnsi"/>
        </w:rPr>
      </w:pPr>
      <w:r w:rsidRPr="0064627E">
        <w:rPr>
          <w:rFonts w:asciiTheme="minorHAnsi" w:hAnsiTheme="minorHAnsi"/>
        </w:rPr>
        <w:t xml:space="preserve">BMC and the region’s community hospitals do not have the capacity </w:t>
      </w:r>
      <w:r w:rsidR="00107EF4" w:rsidRPr="0064627E">
        <w:rPr>
          <w:rFonts w:asciiTheme="minorHAnsi" w:hAnsiTheme="minorHAnsi"/>
        </w:rPr>
        <w:t xml:space="preserve">needed </w:t>
      </w:r>
      <w:r w:rsidR="00E83317" w:rsidRPr="0064627E">
        <w:rPr>
          <w:rFonts w:asciiTheme="minorHAnsi" w:hAnsiTheme="minorHAnsi"/>
        </w:rPr>
        <w:t>to absorb</w:t>
      </w:r>
      <w:r w:rsidRPr="0064627E">
        <w:rPr>
          <w:rFonts w:asciiTheme="minorHAnsi" w:hAnsiTheme="minorHAnsi"/>
        </w:rPr>
        <w:t xml:space="preserve"> MMC’s patients if </w:t>
      </w:r>
      <w:r w:rsidR="006D7D4E" w:rsidRPr="0064627E">
        <w:rPr>
          <w:rFonts w:asciiTheme="minorHAnsi" w:hAnsiTheme="minorHAnsi"/>
        </w:rPr>
        <w:t xml:space="preserve">more </w:t>
      </w:r>
      <w:r w:rsidRPr="0064627E">
        <w:rPr>
          <w:rFonts w:asciiTheme="minorHAnsi" w:hAnsiTheme="minorHAnsi"/>
        </w:rPr>
        <w:t xml:space="preserve">services or the entire hospital closes. BMC’s existing high utilization rates will make it difficult to care for additional patients who historically receive care at MMC. BMC’s adult inpatient medical/surgical bed occupancy was </w:t>
      </w:r>
      <w:r w:rsidR="00D744AF" w:rsidRPr="0064627E">
        <w:rPr>
          <w:rFonts w:asciiTheme="minorHAnsi" w:hAnsiTheme="minorHAnsi"/>
        </w:rPr>
        <w:t>1</w:t>
      </w:r>
      <w:r w:rsidR="006F73C4" w:rsidRPr="0064627E">
        <w:rPr>
          <w:rFonts w:asciiTheme="minorHAnsi" w:hAnsiTheme="minorHAnsi"/>
        </w:rPr>
        <w:t>14</w:t>
      </w:r>
      <w:r w:rsidR="009D760E">
        <w:rPr>
          <w:rFonts w:asciiTheme="minorHAnsi" w:hAnsiTheme="minorHAnsi"/>
        </w:rPr>
        <w:t xml:space="preserve"> percent</w:t>
      </w:r>
      <w:r w:rsidR="00D744AF" w:rsidRPr="0064627E">
        <w:rPr>
          <w:rFonts w:asciiTheme="minorHAnsi" w:hAnsiTheme="minorHAnsi"/>
        </w:rPr>
        <w:t xml:space="preserve"> </w:t>
      </w:r>
      <w:r w:rsidRPr="0064627E">
        <w:rPr>
          <w:rFonts w:asciiTheme="minorHAnsi" w:hAnsiTheme="minorHAnsi"/>
        </w:rPr>
        <w:t xml:space="preserve">in FY2025 </w:t>
      </w:r>
      <w:r w:rsidR="00107EF4" w:rsidRPr="0064627E">
        <w:rPr>
          <w:rFonts w:asciiTheme="minorHAnsi" w:hAnsiTheme="minorHAnsi"/>
        </w:rPr>
        <w:t>and</w:t>
      </w:r>
      <w:r w:rsidR="00D744AF" w:rsidRPr="0064627E">
        <w:rPr>
          <w:rFonts w:asciiTheme="minorHAnsi" w:hAnsiTheme="minorHAnsi"/>
        </w:rPr>
        <w:t xml:space="preserve"> </w:t>
      </w:r>
      <w:r w:rsidR="006F73C4" w:rsidRPr="0064627E">
        <w:rPr>
          <w:rFonts w:asciiTheme="minorHAnsi" w:hAnsiTheme="minorHAnsi"/>
        </w:rPr>
        <w:t>116</w:t>
      </w:r>
      <w:r w:rsidR="009D760E">
        <w:rPr>
          <w:rFonts w:asciiTheme="minorHAnsi" w:hAnsiTheme="minorHAnsi"/>
        </w:rPr>
        <w:t xml:space="preserve"> percent</w:t>
      </w:r>
      <w:r w:rsidR="00D744AF" w:rsidRPr="0064627E">
        <w:rPr>
          <w:rFonts w:asciiTheme="minorHAnsi" w:hAnsiTheme="minorHAnsi"/>
        </w:rPr>
        <w:t xml:space="preserve"> </w:t>
      </w:r>
      <w:r w:rsidR="00107EF4" w:rsidRPr="0064627E">
        <w:rPr>
          <w:rFonts w:asciiTheme="minorHAnsi" w:hAnsiTheme="minorHAnsi"/>
        </w:rPr>
        <w:t xml:space="preserve">YTD in FY2026. As a result, </w:t>
      </w:r>
      <w:r w:rsidR="00CD0370" w:rsidRPr="0064627E">
        <w:rPr>
          <w:rFonts w:asciiTheme="minorHAnsi" w:hAnsiTheme="minorHAnsi"/>
        </w:rPr>
        <w:t xml:space="preserve">it has contributed to </w:t>
      </w:r>
      <w:r w:rsidR="00107EF4" w:rsidRPr="0064627E">
        <w:rPr>
          <w:rFonts w:asciiTheme="minorHAnsi" w:hAnsiTheme="minorHAnsi"/>
        </w:rPr>
        <w:t xml:space="preserve">average daily ED boarding hours </w:t>
      </w:r>
      <w:r w:rsidR="00CD0370" w:rsidRPr="0064627E">
        <w:rPr>
          <w:rFonts w:asciiTheme="minorHAnsi" w:hAnsiTheme="minorHAnsi"/>
        </w:rPr>
        <w:t>increasing</w:t>
      </w:r>
      <w:r w:rsidR="00107EF4" w:rsidRPr="0064627E">
        <w:rPr>
          <w:rFonts w:asciiTheme="minorHAnsi" w:hAnsiTheme="minorHAnsi"/>
        </w:rPr>
        <w:t xml:space="preserve"> from 739 in FY2025 to 798 YTD FY2026. </w:t>
      </w:r>
      <w:r w:rsidRPr="0064627E">
        <w:rPr>
          <w:rFonts w:asciiTheme="minorHAnsi" w:hAnsiTheme="minorHAnsi"/>
        </w:rPr>
        <w:t xml:space="preserve">Any additional volume resulting from MMC’s closure will significantly impact </w:t>
      </w:r>
      <w:r w:rsidR="00107EF4" w:rsidRPr="0064627E">
        <w:rPr>
          <w:rFonts w:asciiTheme="minorHAnsi" w:hAnsiTheme="minorHAnsi"/>
        </w:rPr>
        <w:t xml:space="preserve">BMC, </w:t>
      </w:r>
      <w:r w:rsidRPr="0064627E">
        <w:rPr>
          <w:rFonts w:asciiTheme="minorHAnsi" w:hAnsiTheme="minorHAnsi"/>
        </w:rPr>
        <w:t xml:space="preserve">contributing to longer wait times </w:t>
      </w:r>
      <w:r w:rsidR="00107EF4" w:rsidRPr="0064627E">
        <w:rPr>
          <w:rFonts w:asciiTheme="minorHAnsi" w:hAnsiTheme="minorHAnsi"/>
        </w:rPr>
        <w:t xml:space="preserve">in the ED </w:t>
      </w:r>
      <w:r w:rsidRPr="0064627E">
        <w:rPr>
          <w:rFonts w:asciiTheme="minorHAnsi" w:hAnsiTheme="minorHAnsi"/>
        </w:rPr>
        <w:t>and higher ED boarding hours</w:t>
      </w:r>
      <w:r w:rsidR="00107EF4" w:rsidRPr="0064627E">
        <w:rPr>
          <w:rFonts w:asciiTheme="minorHAnsi" w:hAnsiTheme="minorHAnsi"/>
        </w:rPr>
        <w:t xml:space="preserve"> due to increased demand for inpatient services</w:t>
      </w:r>
      <w:r w:rsidRPr="0064627E">
        <w:rPr>
          <w:rFonts w:asciiTheme="minorHAnsi" w:hAnsiTheme="minorHAnsi"/>
        </w:rPr>
        <w:t xml:space="preserve">.  Moreover, as the only academic medical center in Western Massachusetts, BMC must have capacity to care for the highest acuity patients in the region. </w:t>
      </w:r>
      <w:r w:rsidR="00B46B03" w:rsidRPr="0064627E">
        <w:rPr>
          <w:rFonts w:asciiTheme="minorHAnsi" w:hAnsiTheme="minorHAnsi"/>
        </w:rPr>
        <w:t xml:space="preserve">In </w:t>
      </w:r>
      <w:r w:rsidR="00117584" w:rsidRPr="0064627E">
        <w:rPr>
          <w:rFonts w:asciiTheme="minorHAnsi" w:hAnsiTheme="minorHAnsi"/>
        </w:rPr>
        <w:t>FY</w:t>
      </w:r>
      <w:r w:rsidR="006F73C4" w:rsidRPr="0064627E">
        <w:rPr>
          <w:rFonts w:asciiTheme="minorHAnsi" w:hAnsiTheme="minorHAnsi"/>
        </w:rPr>
        <w:t>20</w:t>
      </w:r>
      <w:r w:rsidR="00117584" w:rsidRPr="0064627E">
        <w:rPr>
          <w:rFonts w:asciiTheme="minorHAnsi" w:hAnsiTheme="minorHAnsi"/>
        </w:rPr>
        <w:t>24</w:t>
      </w:r>
      <w:r w:rsidR="00B46B03" w:rsidRPr="0064627E">
        <w:rPr>
          <w:rFonts w:asciiTheme="minorHAnsi" w:hAnsiTheme="minorHAnsi"/>
        </w:rPr>
        <w:t xml:space="preserve">, </w:t>
      </w:r>
      <w:r w:rsidR="00EE1D16" w:rsidRPr="0064627E">
        <w:rPr>
          <w:rFonts w:asciiTheme="minorHAnsi" w:hAnsiTheme="minorHAnsi"/>
        </w:rPr>
        <w:t>BMC could not accept 825 transfer requests due to capacity issues preventing a timely admission. That number is on track to surpass 1,110 incomplete transfer requests due to capacity in FY</w:t>
      </w:r>
      <w:r w:rsidR="006F73C4" w:rsidRPr="0064627E">
        <w:rPr>
          <w:rFonts w:asciiTheme="minorHAnsi" w:hAnsiTheme="minorHAnsi"/>
        </w:rPr>
        <w:t>20</w:t>
      </w:r>
      <w:r w:rsidR="00EE1D16" w:rsidRPr="0064627E">
        <w:rPr>
          <w:rFonts w:asciiTheme="minorHAnsi" w:hAnsiTheme="minorHAnsi"/>
        </w:rPr>
        <w:t xml:space="preserve">26. These requests represent care that is leaving the community because capacity is not available in Springfield. </w:t>
      </w:r>
      <w:r w:rsidR="006D7D4E" w:rsidRPr="0064627E">
        <w:rPr>
          <w:rFonts w:asciiTheme="minorHAnsi" w:hAnsiTheme="minorHAnsi"/>
        </w:rPr>
        <w:t>Further reductions in services at MMC will continue to negatively impact BMC’s ability to care for patients</w:t>
      </w:r>
      <w:r w:rsidRPr="0064627E">
        <w:rPr>
          <w:rFonts w:asciiTheme="minorHAnsi" w:hAnsiTheme="minorHAnsi"/>
        </w:rPr>
        <w:t xml:space="preserve"> requiring tertiary care, impacting the entire region. The Proposed Transfer </w:t>
      </w:r>
      <w:r w:rsidR="00422259" w:rsidRPr="0064627E">
        <w:rPr>
          <w:rFonts w:asciiTheme="minorHAnsi" w:hAnsiTheme="minorHAnsi"/>
        </w:rPr>
        <w:t xml:space="preserve">will allow </w:t>
      </w:r>
      <w:r w:rsidRPr="0064627E">
        <w:rPr>
          <w:rFonts w:asciiTheme="minorHAnsi" w:hAnsiTheme="minorHAnsi"/>
        </w:rPr>
        <w:t>MMC to continue to operate as an important community hospital resource, maintaining access to care in the most appropriate setting</w:t>
      </w:r>
      <w:r w:rsidR="00243A7F" w:rsidRPr="0064627E">
        <w:rPr>
          <w:rFonts w:asciiTheme="minorHAnsi" w:hAnsiTheme="minorHAnsi"/>
        </w:rPr>
        <w:t xml:space="preserve"> and </w:t>
      </w:r>
      <w:r w:rsidR="000E10F4" w:rsidRPr="0064627E">
        <w:rPr>
          <w:rFonts w:asciiTheme="minorHAnsi" w:hAnsiTheme="minorHAnsi"/>
        </w:rPr>
        <w:t xml:space="preserve">keeping </w:t>
      </w:r>
      <w:r w:rsidR="00EF3BC7" w:rsidRPr="0064627E">
        <w:rPr>
          <w:rFonts w:asciiTheme="minorHAnsi" w:hAnsiTheme="minorHAnsi"/>
        </w:rPr>
        <w:t>care</w:t>
      </w:r>
      <w:r w:rsidR="000E10F4" w:rsidRPr="0064627E">
        <w:rPr>
          <w:rFonts w:asciiTheme="minorHAnsi" w:hAnsiTheme="minorHAnsi"/>
        </w:rPr>
        <w:t xml:space="preserve"> local</w:t>
      </w:r>
      <w:r w:rsidRPr="0064627E">
        <w:rPr>
          <w:rFonts w:asciiTheme="minorHAnsi" w:hAnsiTheme="minorHAnsi"/>
        </w:rPr>
        <w:t>.</w:t>
      </w:r>
    </w:p>
    <w:p w14:paraId="369B63AC" w14:textId="71A1B7B5" w:rsidR="000127AE" w:rsidRPr="0064627E" w:rsidRDefault="00DC3C83" w:rsidP="00DC3C83">
      <w:pPr>
        <w:pStyle w:val="Heading3"/>
        <w:tabs>
          <w:tab w:val="left" w:pos="720"/>
        </w:tabs>
        <w:rPr>
          <w:b/>
          <w:bCs/>
          <w:i/>
          <w:iCs/>
          <w:sz w:val="24"/>
          <w:szCs w:val="24"/>
        </w:rPr>
      </w:pPr>
      <w:r w:rsidRPr="0064627E">
        <w:rPr>
          <w:b/>
          <w:bCs/>
          <w:i/>
          <w:iCs/>
          <w:sz w:val="24"/>
          <w:szCs w:val="24"/>
        </w:rPr>
        <w:lastRenderedPageBreak/>
        <w:tab/>
      </w:r>
      <w:r w:rsidR="000127AE" w:rsidRPr="0064627E">
        <w:rPr>
          <w:b/>
          <w:bCs/>
          <w:i/>
          <w:iCs/>
          <w:sz w:val="24"/>
          <w:szCs w:val="24"/>
        </w:rPr>
        <w:t xml:space="preserve">Improving Utilization of </w:t>
      </w:r>
      <w:r w:rsidR="00457998" w:rsidRPr="0064627E">
        <w:rPr>
          <w:b/>
          <w:bCs/>
          <w:i/>
          <w:iCs/>
          <w:sz w:val="24"/>
          <w:szCs w:val="24"/>
        </w:rPr>
        <w:t>MMC</w:t>
      </w:r>
      <w:r w:rsidR="000127AE" w:rsidRPr="0064627E">
        <w:rPr>
          <w:b/>
          <w:bCs/>
          <w:i/>
          <w:iCs/>
          <w:sz w:val="24"/>
          <w:szCs w:val="24"/>
        </w:rPr>
        <w:t xml:space="preserve"> Services Will Benefit the Region</w:t>
      </w:r>
    </w:p>
    <w:p w14:paraId="515C0E9C" w14:textId="18E8F5B2" w:rsidR="00107EF4" w:rsidRPr="0064627E" w:rsidRDefault="00107EF4" w:rsidP="001A3E1A">
      <w:pPr>
        <w:spacing w:after="120"/>
        <w:jc w:val="both"/>
        <w:rPr>
          <w:rFonts w:asciiTheme="minorHAnsi" w:hAnsiTheme="minorHAnsi"/>
        </w:rPr>
      </w:pPr>
      <w:r w:rsidRPr="0064627E">
        <w:rPr>
          <w:rFonts w:asciiTheme="minorHAnsi" w:hAnsiTheme="minorHAnsi"/>
        </w:rPr>
        <w:t>The Proposed Transfer will allow BH to optimize the delivery of coordinated care in the region improving access so that patients can continue to receive care close to home. Care coordination is foundational to better patient outcomes, more efficient care delivery, and health care cost containment. This will be achieved by increasing staffing levels at MMC</w:t>
      </w:r>
      <w:r w:rsidR="296CCD89" w:rsidRPr="0064627E">
        <w:rPr>
          <w:rFonts w:asciiTheme="minorHAnsi" w:hAnsiTheme="minorHAnsi"/>
        </w:rPr>
        <w:t xml:space="preserve"> to </w:t>
      </w:r>
      <w:r w:rsidRPr="0064627E">
        <w:rPr>
          <w:rFonts w:asciiTheme="minorHAnsi" w:hAnsiTheme="minorHAnsi"/>
        </w:rPr>
        <w:t>improve</w:t>
      </w:r>
      <w:r w:rsidR="296CCD89" w:rsidRPr="0064627E">
        <w:rPr>
          <w:rFonts w:asciiTheme="minorHAnsi" w:hAnsiTheme="minorHAnsi"/>
        </w:rPr>
        <w:t xml:space="preserve"> capacity</w:t>
      </w:r>
      <w:r w:rsidRPr="0064627E">
        <w:rPr>
          <w:rFonts w:asciiTheme="minorHAnsi" w:hAnsiTheme="minorHAnsi"/>
        </w:rPr>
        <w:t>,</w:t>
      </w:r>
      <w:r w:rsidR="005870F2" w:rsidRPr="0064627E">
        <w:rPr>
          <w:rFonts w:asciiTheme="minorHAnsi" w:hAnsiTheme="minorHAnsi"/>
        </w:rPr>
        <w:t xml:space="preserve"> </w:t>
      </w:r>
      <w:r w:rsidRPr="0064627E">
        <w:rPr>
          <w:rFonts w:asciiTheme="minorHAnsi" w:hAnsiTheme="minorHAnsi"/>
        </w:rPr>
        <w:t xml:space="preserve">allowing for the right care to be provided in the right location.  </w:t>
      </w:r>
      <w:r w:rsidR="00687D0E" w:rsidRPr="0064627E">
        <w:rPr>
          <w:rFonts w:asciiTheme="minorHAnsi" w:hAnsiTheme="minorHAnsi"/>
        </w:rPr>
        <w:t xml:space="preserve">With improved staffing at MMC, BH will be able to expand inpatient </w:t>
      </w:r>
      <w:r w:rsidR="00100E69" w:rsidRPr="0064627E">
        <w:rPr>
          <w:rFonts w:asciiTheme="minorHAnsi" w:hAnsiTheme="minorHAnsi"/>
        </w:rPr>
        <w:t>admission</w:t>
      </w:r>
      <w:r w:rsidR="00C429B3" w:rsidRPr="0064627E">
        <w:rPr>
          <w:rFonts w:asciiTheme="minorHAnsi" w:hAnsiTheme="minorHAnsi"/>
        </w:rPr>
        <w:t>s</w:t>
      </w:r>
      <w:r w:rsidR="00687D0E" w:rsidRPr="0064627E">
        <w:rPr>
          <w:rFonts w:asciiTheme="minorHAnsi" w:hAnsiTheme="minorHAnsi"/>
        </w:rPr>
        <w:t xml:space="preserve"> at MMC so that more consistent,</w:t>
      </w:r>
      <w:r w:rsidR="003F1191" w:rsidRPr="0064627E">
        <w:rPr>
          <w:rFonts w:asciiTheme="minorHAnsi" w:hAnsiTheme="minorHAnsi"/>
        </w:rPr>
        <w:t xml:space="preserve"> </w:t>
      </w:r>
      <w:r w:rsidR="00687D0E" w:rsidRPr="0064627E">
        <w:rPr>
          <w:rFonts w:asciiTheme="minorHAnsi" w:hAnsiTheme="minorHAnsi"/>
        </w:rPr>
        <w:t>high-quality care is provided at both MMC and BMC</w:t>
      </w:r>
      <w:r w:rsidR="001A3E1A" w:rsidRPr="0064627E">
        <w:rPr>
          <w:rFonts w:asciiTheme="minorHAnsi" w:hAnsiTheme="minorHAnsi"/>
        </w:rPr>
        <w:t xml:space="preserve">. Moreover, BH can create efficiencies by staffing appropriately at both locations in a coordinated manner that will ensure the deployment of resources appropriately, driving cost savings. </w:t>
      </w:r>
    </w:p>
    <w:p w14:paraId="23ABAD15" w14:textId="502AC74B" w:rsidR="001A3E1A" w:rsidRPr="0064627E" w:rsidRDefault="001A3E1A" w:rsidP="001A3E1A">
      <w:pPr>
        <w:spacing w:after="120"/>
        <w:jc w:val="both"/>
        <w:rPr>
          <w:rFonts w:asciiTheme="minorHAnsi" w:eastAsia="Calibri" w:hAnsiTheme="minorHAnsi"/>
        </w:rPr>
      </w:pPr>
      <w:r w:rsidRPr="0064627E">
        <w:rPr>
          <w:rFonts w:asciiTheme="minorHAnsi" w:hAnsiTheme="minorHAnsi"/>
        </w:rPr>
        <w:t>Following</w:t>
      </w:r>
      <w:r w:rsidR="00DB440F" w:rsidRPr="0064627E">
        <w:rPr>
          <w:rFonts w:asciiTheme="minorHAnsi" w:hAnsiTheme="minorHAnsi"/>
        </w:rPr>
        <w:t xml:space="preserve"> </w:t>
      </w:r>
      <w:r w:rsidRPr="0064627E">
        <w:rPr>
          <w:rFonts w:asciiTheme="minorHAnsi" w:hAnsiTheme="minorHAnsi"/>
        </w:rPr>
        <w:t xml:space="preserve">the Proposed Transfer, substantially </w:t>
      </w:r>
      <w:proofErr w:type="gramStart"/>
      <w:r w:rsidRPr="0064627E">
        <w:rPr>
          <w:rFonts w:asciiTheme="minorHAnsi" w:hAnsiTheme="minorHAnsi"/>
        </w:rPr>
        <w:t>all of</w:t>
      </w:r>
      <w:proofErr w:type="gramEnd"/>
      <w:r w:rsidRPr="0064627E">
        <w:rPr>
          <w:rFonts w:asciiTheme="minorHAnsi" w:hAnsiTheme="minorHAnsi"/>
        </w:rPr>
        <w:t xml:space="preserve"> MMC’s staff, including its physicians and advanced practice providers, will</w:t>
      </w:r>
      <w:r w:rsidR="00DB440F" w:rsidRPr="0064627E">
        <w:rPr>
          <w:rFonts w:asciiTheme="minorHAnsi" w:hAnsiTheme="minorHAnsi"/>
        </w:rPr>
        <w:t xml:space="preserve"> </w:t>
      </w:r>
      <w:r w:rsidRPr="0064627E">
        <w:rPr>
          <w:rFonts w:asciiTheme="minorHAnsi" w:hAnsiTheme="minorHAnsi"/>
        </w:rPr>
        <w:t>join BH. Moreover, Baystate Health will leverage existing and well-established recruitment initiatives to fill open positions across MMC</w:t>
      </w:r>
      <w:r w:rsidRPr="0064627E">
        <w:rPr>
          <w:rFonts w:asciiTheme="minorHAnsi" w:eastAsia="Calibri" w:hAnsiTheme="minorHAnsi"/>
        </w:rPr>
        <w:t xml:space="preserve">. As further discussed in Section F2.a, BH implemented a comprehensive plan aimed at optimizing the workforce and reducing labor-related expenses such as the use of contract/temporary help labor across the system. BH has significantly decreased its reliance on temporary help through retention and recruitment initiatives. Following the Proposed Transfer, BH will extend these initiatives to improve workforce stability and decrease operating expenses at MMC. </w:t>
      </w:r>
    </w:p>
    <w:p w14:paraId="1E869C3B" w14:textId="55A28E37" w:rsidR="001A3E1A" w:rsidRPr="0064627E" w:rsidRDefault="001A3E1A" w:rsidP="001A3E1A">
      <w:pPr>
        <w:spacing w:after="120"/>
        <w:jc w:val="both"/>
        <w:rPr>
          <w:rFonts w:asciiTheme="minorHAnsi" w:hAnsiTheme="minorHAnsi"/>
        </w:rPr>
      </w:pPr>
      <w:r w:rsidRPr="0064627E">
        <w:rPr>
          <w:rFonts w:asciiTheme="minorHAnsi" w:hAnsiTheme="minorHAnsi"/>
        </w:rPr>
        <w:t xml:space="preserve">BH’s efforts following </w:t>
      </w:r>
      <w:r w:rsidR="00422259" w:rsidRPr="0064627E">
        <w:rPr>
          <w:rFonts w:asciiTheme="minorHAnsi" w:hAnsiTheme="minorHAnsi"/>
        </w:rPr>
        <w:t>the</w:t>
      </w:r>
      <w:r w:rsidR="16A019A9" w:rsidRPr="0064627E">
        <w:rPr>
          <w:rFonts w:asciiTheme="minorHAnsi" w:hAnsiTheme="minorHAnsi"/>
        </w:rPr>
        <w:t xml:space="preserve"> </w:t>
      </w:r>
      <w:r w:rsidRPr="0064627E">
        <w:rPr>
          <w:rFonts w:asciiTheme="minorHAnsi" w:hAnsiTheme="minorHAnsi"/>
        </w:rPr>
        <w:t>abrupt closure of MMC maternity service in December 2025</w:t>
      </w:r>
      <w:r w:rsidR="006D7D4E" w:rsidRPr="0064627E">
        <w:rPr>
          <w:rFonts w:asciiTheme="minorHAnsi" w:hAnsiTheme="minorHAnsi"/>
        </w:rPr>
        <w:t xml:space="preserve"> demonstrate that</w:t>
      </w:r>
      <w:r w:rsidRPr="0064627E">
        <w:rPr>
          <w:rFonts w:asciiTheme="minorHAnsi" w:hAnsiTheme="minorHAnsi"/>
        </w:rPr>
        <w:t xml:space="preserve"> BH has the resources to address MMC’s staffing challenges. BMC has been providing labor and delivery services to hundreds of MMC’s patients after </w:t>
      </w:r>
      <w:proofErr w:type="gramStart"/>
      <w:r w:rsidRPr="0064627E">
        <w:rPr>
          <w:rFonts w:asciiTheme="minorHAnsi" w:hAnsiTheme="minorHAnsi"/>
        </w:rPr>
        <w:t xml:space="preserve">all </w:t>
      </w:r>
      <w:r w:rsidR="00763DE3" w:rsidRPr="0064627E">
        <w:rPr>
          <w:rFonts w:asciiTheme="minorHAnsi" w:hAnsiTheme="minorHAnsi"/>
        </w:rPr>
        <w:t>of</w:t>
      </w:r>
      <w:proofErr w:type="gramEnd"/>
      <w:r w:rsidR="00763DE3" w:rsidRPr="0064627E">
        <w:rPr>
          <w:rFonts w:asciiTheme="minorHAnsi" w:hAnsiTheme="minorHAnsi"/>
        </w:rPr>
        <w:t xml:space="preserve"> </w:t>
      </w:r>
      <w:r w:rsidRPr="0064627E">
        <w:rPr>
          <w:rFonts w:asciiTheme="minorHAnsi" w:hAnsiTheme="minorHAnsi"/>
        </w:rPr>
        <w:t>MMC</w:t>
      </w:r>
      <w:r w:rsidR="00763DE3" w:rsidRPr="0064627E">
        <w:rPr>
          <w:rFonts w:asciiTheme="minorHAnsi" w:hAnsiTheme="minorHAnsi"/>
        </w:rPr>
        <w:t>’s</w:t>
      </w:r>
      <w:r w:rsidRPr="0064627E">
        <w:rPr>
          <w:rFonts w:asciiTheme="minorHAnsi" w:hAnsiTheme="minorHAnsi"/>
        </w:rPr>
        <w:t xml:space="preserve"> clinicians except one left the area. MMC currently provides limited services through its one clinician with all patients transitioned to </w:t>
      </w:r>
      <w:r w:rsidR="006D7D4E" w:rsidRPr="0064627E">
        <w:rPr>
          <w:rFonts w:asciiTheme="minorHAnsi" w:hAnsiTheme="minorHAnsi"/>
        </w:rPr>
        <w:t>BMC</w:t>
      </w:r>
      <w:r w:rsidRPr="0064627E">
        <w:rPr>
          <w:rFonts w:asciiTheme="minorHAnsi" w:hAnsiTheme="minorHAnsi"/>
        </w:rPr>
        <w:t xml:space="preserve"> for delivery. Post</w:t>
      </w:r>
      <w:r w:rsidR="00444155" w:rsidRPr="0064627E">
        <w:rPr>
          <w:rFonts w:asciiTheme="minorHAnsi" w:hAnsiTheme="minorHAnsi"/>
        </w:rPr>
        <w:t>-</w:t>
      </w:r>
      <w:r w:rsidRPr="0064627E">
        <w:rPr>
          <w:rFonts w:asciiTheme="minorHAnsi" w:hAnsiTheme="minorHAnsi"/>
        </w:rPr>
        <w:t xml:space="preserve">closing, BH will continue to provide needed access to obstetrical services including outpatient care and deliveries to patients in the area. </w:t>
      </w:r>
    </w:p>
    <w:p w14:paraId="3C480151" w14:textId="175971DF" w:rsidR="00444155" w:rsidRPr="0064627E" w:rsidRDefault="001A3E1A" w:rsidP="001A3E1A">
      <w:pPr>
        <w:spacing w:after="120"/>
        <w:jc w:val="both"/>
        <w:rPr>
          <w:rFonts w:asciiTheme="minorHAnsi" w:hAnsiTheme="minorHAnsi"/>
        </w:rPr>
      </w:pPr>
      <w:r w:rsidRPr="0064627E">
        <w:rPr>
          <w:rFonts w:asciiTheme="minorHAnsi" w:hAnsiTheme="minorHAnsi"/>
        </w:rPr>
        <w:t>Currently,</w:t>
      </w:r>
      <w:r w:rsidR="007312FA" w:rsidRPr="0064627E">
        <w:rPr>
          <w:rFonts w:asciiTheme="minorHAnsi" w:hAnsiTheme="minorHAnsi"/>
        </w:rPr>
        <w:t xml:space="preserve"> </w:t>
      </w:r>
      <w:r w:rsidRPr="0064627E">
        <w:rPr>
          <w:rFonts w:asciiTheme="minorHAnsi" w:hAnsiTheme="minorHAnsi"/>
        </w:rPr>
        <w:t xml:space="preserve">only </w:t>
      </w:r>
      <w:r w:rsidR="006D7D4E" w:rsidRPr="0064627E">
        <w:rPr>
          <w:rFonts w:asciiTheme="minorHAnsi" w:hAnsiTheme="minorHAnsi"/>
        </w:rPr>
        <w:t>96</w:t>
      </w:r>
      <w:r w:rsidRPr="0064627E">
        <w:rPr>
          <w:rFonts w:asciiTheme="minorHAnsi" w:hAnsiTheme="minorHAnsi"/>
        </w:rPr>
        <w:t xml:space="preserve"> of MMC’s 156 licensed medical/surgical beds are staffed, resulting in an occupancy rate of </w:t>
      </w:r>
      <w:r w:rsidR="003F341A" w:rsidRPr="0064627E">
        <w:rPr>
          <w:rFonts w:asciiTheme="minorHAnsi" w:hAnsiTheme="minorHAnsi"/>
        </w:rPr>
        <w:t>53</w:t>
      </w:r>
      <w:r w:rsidR="009D760E">
        <w:rPr>
          <w:rFonts w:asciiTheme="minorHAnsi" w:hAnsiTheme="minorHAnsi"/>
        </w:rPr>
        <w:t xml:space="preserve"> percent</w:t>
      </w:r>
      <w:r w:rsidRPr="0064627E">
        <w:rPr>
          <w:rFonts w:asciiTheme="minorHAnsi" w:hAnsiTheme="minorHAnsi"/>
        </w:rPr>
        <w:t xml:space="preserve"> in FY2025 and</w:t>
      </w:r>
      <w:r w:rsidR="003F341A" w:rsidRPr="0064627E">
        <w:rPr>
          <w:rFonts w:asciiTheme="minorHAnsi" w:hAnsiTheme="minorHAnsi"/>
        </w:rPr>
        <w:t xml:space="preserve"> 56</w:t>
      </w:r>
      <w:r w:rsidR="009D760E">
        <w:rPr>
          <w:rFonts w:asciiTheme="minorHAnsi" w:hAnsiTheme="minorHAnsi"/>
        </w:rPr>
        <w:t xml:space="preserve"> percent</w:t>
      </w:r>
      <w:r w:rsidRPr="0064627E">
        <w:rPr>
          <w:rFonts w:asciiTheme="minorHAnsi" w:hAnsiTheme="minorHAnsi"/>
        </w:rPr>
        <w:t xml:space="preserve"> as of YTD FY2026</w:t>
      </w:r>
      <w:r w:rsidRPr="0064627E">
        <w:rPr>
          <w:rStyle w:val="FootnoteReference"/>
          <w:rFonts w:asciiTheme="minorHAnsi" w:hAnsiTheme="minorHAnsi"/>
        </w:rPr>
        <w:footnoteReference w:id="7"/>
      </w:r>
      <w:r w:rsidRPr="0064627E">
        <w:rPr>
          <w:rFonts w:asciiTheme="minorHAnsi" w:hAnsiTheme="minorHAnsi"/>
        </w:rPr>
        <w:t>. Conversely, BMC’s inpatient med/surg bed occupancy as of FY2026</w:t>
      </w:r>
      <w:r w:rsidR="00444155" w:rsidRPr="0064627E">
        <w:rPr>
          <w:rFonts w:asciiTheme="minorHAnsi" w:hAnsiTheme="minorHAnsi"/>
        </w:rPr>
        <w:t xml:space="preserve"> YTD</w:t>
      </w:r>
      <w:r w:rsidRPr="0064627E">
        <w:rPr>
          <w:rFonts w:asciiTheme="minorHAnsi" w:hAnsiTheme="minorHAnsi"/>
        </w:rPr>
        <w:t xml:space="preserve"> is </w:t>
      </w:r>
      <w:r w:rsidR="006F73C4" w:rsidRPr="0064627E">
        <w:rPr>
          <w:rFonts w:asciiTheme="minorHAnsi" w:hAnsiTheme="minorHAnsi"/>
        </w:rPr>
        <w:t>116</w:t>
      </w:r>
      <w:r w:rsidR="009D760E">
        <w:rPr>
          <w:rFonts w:asciiTheme="minorHAnsi" w:hAnsiTheme="minorHAnsi"/>
        </w:rPr>
        <w:t xml:space="preserve"> percent</w:t>
      </w:r>
      <w:r w:rsidRPr="0064627E">
        <w:rPr>
          <w:rFonts w:asciiTheme="minorHAnsi" w:hAnsiTheme="minorHAnsi"/>
        </w:rPr>
        <w:t>.  Table 7 below details the occupancy rates at MMC and BMC from FY2023-FY2026</w:t>
      </w:r>
      <w:r w:rsidR="00444155" w:rsidRPr="0064627E">
        <w:rPr>
          <w:rFonts w:asciiTheme="minorHAnsi" w:hAnsiTheme="minorHAnsi"/>
        </w:rPr>
        <w:t xml:space="preserve"> </w:t>
      </w:r>
      <w:r w:rsidRPr="0064627E">
        <w:rPr>
          <w:rFonts w:asciiTheme="minorHAnsi" w:hAnsiTheme="minorHAnsi"/>
        </w:rPr>
        <w:t xml:space="preserve">YTD. </w:t>
      </w:r>
    </w:p>
    <w:p w14:paraId="13213154" w14:textId="77777777" w:rsidR="00E83317" w:rsidRPr="0064627E" w:rsidRDefault="00E83317" w:rsidP="001A3E1A">
      <w:pPr>
        <w:spacing w:after="120"/>
        <w:jc w:val="both"/>
        <w:rPr>
          <w:rFonts w:asciiTheme="minorHAnsi" w:hAnsiTheme="minorHAnsi"/>
        </w:rPr>
      </w:pPr>
    </w:p>
    <w:tbl>
      <w:tblPr>
        <w:tblStyle w:val="TableGrid"/>
        <w:tblW w:w="0" w:type="auto"/>
        <w:tblLook w:val="04A0" w:firstRow="1" w:lastRow="0" w:firstColumn="1" w:lastColumn="0" w:noHBand="0" w:noVBand="1"/>
        <w:tblCaption w:val="Table 7: Med/Surg Occupancy"/>
      </w:tblPr>
      <w:tblGrid>
        <w:gridCol w:w="3145"/>
        <w:gridCol w:w="1551"/>
        <w:gridCol w:w="1551"/>
        <w:gridCol w:w="1551"/>
        <w:gridCol w:w="1551"/>
      </w:tblGrid>
      <w:tr w:rsidR="001A3E1A" w:rsidRPr="0064627E" w14:paraId="61B1A7D0" w14:textId="77777777" w:rsidTr="00B27B7C">
        <w:trPr>
          <w:cantSplit/>
          <w:tblHeader/>
        </w:trPr>
        <w:tc>
          <w:tcPr>
            <w:tcW w:w="3145" w:type="dxa"/>
            <w:shd w:val="clear" w:color="auto" w:fill="0E2841" w:themeFill="text2"/>
          </w:tcPr>
          <w:p w14:paraId="650D0FC4" w14:textId="77777777" w:rsidR="001A3E1A" w:rsidRPr="0064627E" w:rsidRDefault="001A3E1A" w:rsidP="00100E69">
            <w:pPr>
              <w:spacing w:before="40" w:after="40"/>
              <w:rPr>
                <w:rFonts w:asciiTheme="minorHAnsi" w:hAnsiTheme="minorHAnsi"/>
                <w:b/>
                <w:bCs/>
                <w:color w:val="FFFFFF" w:themeColor="background1"/>
              </w:rPr>
            </w:pPr>
            <w:r w:rsidRPr="0064627E">
              <w:rPr>
                <w:rFonts w:asciiTheme="minorHAnsi" w:hAnsiTheme="minorHAnsi"/>
                <w:b/>
                <w:bCs/>
                <w:color w:val="FFFFFF" w:themeColor="background1"/>
              </w:rPr>
              <w:t>Table 7: Med/Surg Occupancy</w:t>
            </w:r>
          </w:p>
        </w:tc>
        <w:tc>
          <w:tcPr>
            <w:tcW w:w="1551" w:type="dxa"/>
            <w:shd w:val="clear" w:color="auto" w:fill="0E2841" w:themeFill="text2"/>
          </w:tcPr>
          <w:p w14:paraId="4122C4D8" w14:textId="77777777" w:rsidR="001A3E1A" w:rsidRPr="0064627E" w:rsidRDefault="001A3E1A" w:rsidP="00100E69">
            <w:pPr>
              <w:spacing w:before="40" w:after="40"/>
              <w:jc w:val="center"/>
              <w:rPr>
                <w:rFonts w:asciiTheme="minorHAnsi" w:hAnsiTheme="minorHAnsi"/>
                <w:b/>
                <w:bCs/>
                <w:color w:val="FFFFFF" w:themeColor="background1"/>
              </w:rPr>
            </w:pPr>
            <w:r w:rsidRPr="0064627E">
              <w:rPr>
                <w:rFonts w:asciiTheme="minorHAnsi" w:hAnsiTheme="minorHAnsi"/>
                <w:b/>
                <w:bCs/>
                <w:color w:val="FFFFFF" w:themeColor="background1"/>
              </w:rPr>
              <w:t>FY23</w:t>
            </w:r>
          </w:p>
        </w:tc>
        <w:tc>
          <w:tcPr>
            <w:tcW w:w="1551" w:type="dxa"/>
            <w:shd w:val="clear" w:color="auto" w:fill="0E2841" w:themeFill="text2"/>
          </w:tcPr>
          <w:p w14:paraId="6DE668DC" w14:textId="77777777" w:rsidR="001A3E1A" w:rsidRPr="0064627E" w:rsidRDefault="001A3E1A" w:rsidP="00100E69">
            <w:pPr>
              <w:spacing w:before="40" w:after="40"/>
              <w:jc w:val="center"/>
              <w:rPr>
                <w:rFonts w:asciiTheme="minorHAnsi" w:hAnsiTheme="minorHAnsi"/>
                <w:b/>
                <w:bCs/>
                <w:color w:val="FFFFFF" w:themeColor="background1"/>
              </w:rPr>
            </w:pPr>
            <w:r w:rsidRPr="0064627E">
              <w:rPr>
                <w:rFonts w:asciiTheme="minorHAnsi" w:hAnsiTheme="minorHAnsi"/>
                <w:b/>
                <w:bCs/>
                <w:color w:val="FFFFFF" w:themeColor="background1"/>
              </w:rPr>
              <w:t>FY24</w:t>
            </w:r>
          </w:p>
        </w:tc>
        <w:tc>
          <w:tcPr>
            <w:tcW w:w="1551" w:type="dxa"/>
            <w:shd w:val="clear" w:color="auto" w:fill="0E2841" w:themeFill="text2"/>
          </w:tcPr>
          <w:p w14:paraId="3B51AA52" w14:textId="77777777" w:rsidR="001A3E1A" w:rsidRPr="0064627E" w:rsidRDefault="001A3E1A" w:rsidP="00100E69">
            <w:pPr>
              <w:spacing w:before="40" w:after="40"/>
              <w:jc w:val="center"/>
              <w:rPr>
                <w:rFonts w:asciiTheme="minorHAnsi" w:hAnsiTheme="minorHAnsi"/>
                <w:b/>
                <w:bCs/>
                <w:color w:val="FFFFFF" w:themeColor="background1"/>
              </w:rPr>
            </w:pPr>
            <w:r w:rsidRPr="0064627E">
              <w:rPr>
                <w:rFonts w:asciiTheme="minorHAnsi" w:hAnsiTheme="minorHAnsi"/>
                <w:b/>
                <w:bCs/>
                <w:color w:val="FFFFFF" w:themeColor="background1"/>
              </w:rPr>
              <w:t>FY25</w:t>
            </w:r>
          </w:p>
        </w:tc>
        <w:tc>
          <w:tcPr>
            <w:tcW w:w="1551" w:type="dxa"/>
            <w:shd w:val="clear" w:color="auto" w:fill="0E2841" w:themeFill="text2"/>
          </w:tcPr>
          <w:p w14:paraId="46FFE2EE" w14:textId="5E664A0A" w:rsidR="001A3E1A" w:rsidRPr="0064627E" w:rsidRDefault="001A3E1A" w:rsidP="00100E69">
            <w:pPr>
              <w:spacing w:before="40" w:after="40"/>
              <w:jc w:val="center"/>
              <w:rPr>
                <w:rFonts w:asciiTheme="minorHAnsi" w:hAnsiTheme="minorHAnsi"/>
                <w:b/>
                <w:bCs/>
                <w:color w:val="FFFFFF" w:themeColor="background1"/>
              </w:rPr>
            </w:pPr>
            <w:r w:rsidRPr="0064627E">
              <w:rPr>
                <w:rFonts w:asciiTheme="minorHAnsi" w:hAnsiTheme="minorHAnsi"/>
                <w:b/>
                <w:bCs/>
                <w:color w:val="FFFFFF" w:themeColor="background1"/>
              </w:rPr>
              <w:t>FY26YTD</w:t>
            </w:r>
          </w:p>
        </w:tc>
      </w:tr>
      <w:tr w:rsidR="001A3E1A" w:rsidRPr="0064627E" w14:paraId="1E5CCB46" w14:textId="77777777" w:rsidTr="00B27B7C">
        <w:trPr>
          <w:cantSplit/>
        </w:trPr>
        <w:tc>
          <w:tcPr>
            <w:tcW w:w="3145" w:type="dxa"/>
          </w:tcPr>
          <w:p w14:paraId="777FD138" w14:textId="77777777" w:rsidR="001A3E1A" w:rsidRPr="0064627E" w:rsidRDefault="001A3E1A" w:rsidP="00100E69">
            <w:pPr>
              <w:spacing w:before="40" w:after="40"/>
              <w:rPr>
                <w:rFonts w:asciiTheme="minorHAnsi" w:hAnsiTheme="minorHAnsi"/>
                <w:b/>
                <w:bCs/>
              </w:rPr>
            </w:pPr>
            <w:r w:rsidRPr="0064627E">
              <w:rPr>
                <w:rFonts w:asciiTheme="minorHAnsi" w:hAnsiTheme="minorHAnsi"/>
                <w:b/>
                <w:bCs/>
              </w:rPr>
              <w:t>Mercy Medical Center</w:t>
            </w:r>
          </w:p>
        </w:tc>
        <w:tc>
          <w:tcPr>
            <w:tcW w:w="1551" w:type="dxa"/>
          </w:tcPr>
          <w:p w14:paraId="7D8A3871" w14:textId="07930ACE" w:rsidR="001A3E1A" w:rsidRPr="0064627E" w:rsidRDefault="003F341A" w:rsidP="00100E69">
            <w:pPr>
              <w:spacing w:before="40" w:after="40"/>
              <w:jc w:val="center"/>
              <w:rPr>
                <w:rFonts w:asciiTheme="minorHAnsi" w:hAnsiTheme="minorHAnsi"/>
              </w:rPr>
            </w:pPr>
            <w:r w:rsidRPr="0064627E">
              <w:rPr>
                <w:rFonts w:asciiTheme="minorHAnsi" w:hAnsiTheme="minorHAnsi"/>
              </w:rPr>
              <w:t>55</w:t>
            </w:r>
            <w:r w:rsidR="001A3E1A" w:rsidRPr="0064627E">
              <w:rPr>
                <w:rFonts w:asciiTheme="minorHAnsi" w:hAnsiTheme="minorHAnsi"/>
              </w:rPr>
              <w:t>%</w:t>
            </w:r>
          </w:p>
        </w:tc>
        <w:tc>
          <w:tcPr>
            <w:tcW w:w="1551" w:type="dxa"/>
          </w:tcPr>
          <w:p w14:paraId="3AA444DB" w14:textId="68BB4F3E" w:rsidR="001A3E1A" w:rsidRPr="0064627E" w:rsidRDefault="001A3E1A" w:rsidP="00100E69">
            <w:pPr>
              <w:spacing w:before="40" w:after="40"/>
              <w:jc w:val="center"/>
              <w:rPr>
                <w:rFonts w:asciiTheme="minorHAnsi" w:hAnsiTheme="minorHAnsi"/>
              </w:rPr>
            </w:pPr>
            <w:r w:rsidRPr="0064627E">
              <w:rPr>
                <w:rFonts w:asciiTheme="minorHAnsi" w:hAnsiTheme="minorHAnsi"/>
              </w:rPr>
              <w:t>4</w:t>
            </w:r>
            <w:r w:rsidR="003F341A" w:rsidRPr="0064627E">
              <w:rPr>
                <w:rFonts w:asciiTheme="minorHAnsi" w:hAnsiTheme="minorHAnsi"/>
              </w:rPr>
              <w:t>9</w:t>
            </w:r>
            <w:r w:rsidRPr="0064627E">
              <w:rPr>
                <w:rFonts w:asciiTheme="minorHAnsi" w:hAnsiTheme="minorHAnsi"/>
              </w:rPr>
              <w:t>%</w:t>
            </w:r>
          </w:p>
        </w:tc>
        <w:tc>
          <w:tcPr>
            <w:tcW w:w="1551" w:type="dxa"/>
          </w:tcPr>
          <w:p w14:paraId="4AF25E80" w14:textId="4633EB0C" w:rsidR="001A3E1A" w:rsidRPr="0064627E" w:rsidRDefault="003F341A" w:rsidP="00100E69">
            <w:pPr>
              <w:spacing w:before="40" w:after="40"/>
              <w:jc w:val="center"/>
              <w:rPr>
                <w:rFonts w:asciiTheme="minorHAnsi" w:hAnsiTheme="minorHAnsi"/>
              </w:rPr>
            </w:pPr>
            <w:r w:rsidRPr="0064627E">
              <w:rPr>
                <w:rFonts w:asciiTheme="minorHAnsi" w:hAnsiTheme="minorHAnsi"/>
              </w:rPr>
              <w:t>53</w:t>
            </w:r>
            <w:r w:rsidR="001A3E1A" w:rsidRPr="0064627E">
              <w:rPr>
                <w:rFonts w:asciiTheme="minorHAnsi" w:hAnsiTheme="minorHAnsi"/>
              </w:rPr>
              <w:t>%</w:t>
            </w:r>
          </w:p>
        </w:tc>
        <w:tc>
          <w:tcPr>
            <w:tcW w:w="1551" w:type="dxa"/>
          </w:tcPr>
          <w:p w14:paraId="4F201F47" w14:textId="3A86B518" w:rsidR="001A3E1A" w:rsidRPr="0064627E" w:rsidRDefault="003F341A" w:rsidP="00100E69">
            <w:pPr>
              <w:spacing w:before="40" w:after="40"/>
              <w:jc w:val="center"/>
              <w:rPr>
                <w:rFonts w:asciiTheme="minorHAnsi" w:hAnsiTheme="minorHAnsi"/>
              </w:rPr>
            </w:pPr>
            <w:r w:rsidRPr="0064627E">
              <w:rPr>
                <w:rFonts w:asciiTheme="minorHAnsi" w:hAnsiTheme="minorHAnsi"/>
              </w:rPr>
              <w:t>56</w:t>
            </w:r>
            <w:r w:rsidR="001A3E1A" w:rsidRPr="0064627E">
              <w:rPr>
                <w:rFonts w:asciiTheme="minorHAnsi" w:hAnsiTheme="minorHAnsi"/>
              </w:rPr>
              <w:t>%</w:t>
            </w:r>
            <w:r w:rsidR="001A3E1A" w:rsidRPr="0064627E">
              <w:rPr>
                <w:rStyle w:val="FootnoteReference"/>
                <w:rFonts w:asciiTheme="minorHAnsi" w:hAnsiTheme="minorHAnsi"/>
              </w:rPr>
              <w:footnoteReference w:id="8"/>
            </w:r>
          </w:p>
        </w:tc>
      </w:tr>
      <w:tr w:rsidR="001A3E1A" w:rsidRPr="0064627E" w14:paraId="71120DFF" w14:textId="77777777" w:rsidTr="00B27B7C">
        <w:trPr>
          <w:cantSplit/>
          <w:trHeight w:val="50"/>
        </w:trPr>
        <w:tc>
          <w:tcPr>
            <w:tcW w:w="3145" w:type="dxa"/>
          </w:tcPr>
          <w:p w14:paraId="68EF0628" w14:textId="77777777" w:rsidR="001A3E1A" w:rsidRPr="0064627E" w:rsidRDefault="001A3E1A" w:rsidP="00100E69">
            <w:pPr>
              <w:spacing w:before="40" w:after="40"/>
              <w:rPr>
                <w:rFonts w:asciiTheme="minorHAnsi" w:hAnsiTheme="minorHAnsi"/>
                <w:b/>
                <w:bCs/>
              </w:rPr>
            </w:pPr>
            <w:r w:rsidRPr="0064627E">
              <w:rPr>
                <w:rFonts w:asciiTheme="minorHAnsi" w:hAnsiTheme="minorHAnsi"/>
                <w:b/>
                <w:bCs/>
              </w:rPr>
              <w:t xml:space="preserve">Baystate Medical Center </w:t>
            </w:r>
          </w:p>
        </w:tc>
        <w:tc>
          <w:tcPr>
            <w:tcW w:w="1551" w:type="dxa"/>
          </w:tcPr>
          <w:p w14:paraId="34CC228B" w14:textId="62D951B6" w:rsidR="001A3E1A" w:rsidRPr="0064627E" w:rsidRDefault="00B46FA3" w:rsidP="00100E69">
            <w:pPr>
              <w:spacing w:before="40" w:after="40"/>
              <w:jc w:val="center"/>
              <w:rPr>
                <w:rFonts w:asciiTheme="minorHAnsi" w:hAnsiTheme="minorHAnsi"/>
              </w:rPr>
            </w:pPr>
            <w:r w:rsidRPr="0064627E">
              <w:rPr>
                <w:rFonts w:asciiTheme="minorHAnsi" w:hAnsiTheme="minorHAnsi"/>
              </w:rPr>
              <w:t>110.7</w:t>
            </w:r>
            <w:r w:rsidR="001A3E1A" w:rsidRPr="0064627E">
              <w:rPr>
                <w:rFonts w:asciiTheme="minorHAnsi" w:hAnsiTheme="minorHAnsi"/>
              </w:rPr>
              <w:t>%</w:t>
            </w:r>
          </w:p>
        </w:tc>
        <w:tc>
          <w:tcPr>
            <w:tcW w:w="1551" w:type="dxa"/>
          </w:tcPr>
          <w:p w14:paraId="16560B8F" w14:textId="4652CB1B" w:rsidR="001A3E1A" w:rsidRPr="0064627E" w:rsidRDefault="00B46FA3" w:rsidP="00100E69">
            <w:pPr>
              <w:spacing w:before="40" w:after="40"/>
              <w:jc w:val="center"/>
              <w:rPr>
                <w:rFonts w:asciiTheme="minorHAnsi" w:hAnsiTheme="minorHAnsi"/>
              </w:rPr>
            </w:pPr>
            <w:r w:rsidRPr="0064627E">
              <w:rPr>
                <w:rFonts w:asciiTheme="minorHAnsi" w:hAnsiTheme="minorHAnsi"/>
              </w:rPr>
              <w:t>111.5%</w:t>
            </w:r>
          </w:p>
        </w:tc>
        <w:tc>
          <w:tcPr>
            <w:tcW w:w="1551" w:type="dxa"/>
          </w:tcPr>
          <w:p w14:paraId="7E063759" w14:textId="4801B418" w:rsidR="001A3E1A" w:rsidRPr="0064627E" w:rsidRDefault="00B46FA3" w:rsidP="00100E69">
            <w:pPr>
              <w:spacing w:before="40" w:after="40"/>
              <w:jc w:val="center"/>
              <w:rPr>
                <w:rFonts w:asciiTheme="minorHAnsi" w:hAnsiTheme="minorHAnsi"/>
              </w:rPr>
            </w:pPr>
            <w:r w:rsidRPr="0064627E">
              <w:rPr>
                <w:rFonts w:asciiTheme="minorHAnsi" w:hAnsiTheme="minorHAnsi"/>
              </w:rPr>
              <w:t>114%</w:t>
            </w:r>
          </w:p>
        </w:tc>
        <w:tc>
          <w:tcPr>
            <w:tcW w:w="1551" w:type="dxa"/>
          </w:tcPr>
          <w:p w14:paraId="4F865FB2" w14:textId="531A7526" w:rsidR="001A3E1A" w:rsidRPr="0064627E" w:rsidRDefault="006F73C4" w:rsidP="00100E69">
            <w:pPr>
              <w:spacing w:before="40" w:after="40"/>
              <w:jc w:val="center"/>
              <w:rPr>
                <w:rFonts w:asciiTheme="minorHAnsi" w:hAnsiTheme="minorHAnsi"/>
              </w:rPr>
            </w:pPr>
            <w:r w:rsidRPr="0064627E">
              <w:rPr>
                <w:rFonts w:asciiTheme="minorHAnsi" w:hAnsiTheme="minorHAnsi"/>
              </w:rPr>
              <w:t>116%</w:t>
            </w:r>
            <w:r w:rsidR="001A3E1A" w:rsidRPr="0064627E">
              <w:rPr>
                <w:rStyle w:val="FootnoteReference"/>
                <w:rFonts w:asciiTheme="minorHAnsi" w:hAnsiTheme="minorHAnsi"/>
              </w:rPr>
              <w:footnoteReference w:id="9"/>
            </w:r>
          </w:p>
        </w:tc>
      </w:tr>
    </w:tbl>
    <w:p w14:paraId="20360E62" w14:textId="19642A35" w:rsidR="006D7D4E" w:rsidRPr="0064627E" w:rsidRDefault="006D7D4E" w:rsidP="00444155">
      <w:pPr>
        <w:spacing w:before="240" w:after="120"/>
        <w:jc w:val="both"/>
        <w:rPr>
          <w:rFonts w:asciiTheme="minorHAnsi" w:hAnsiTheme="minorHAnsi"/>
        </w:rPr>
      </w:pPr>
      <w:r w:rsidRPr="0064627E">
        <w:rPr>
          <w:rFonts w:asciiTheme="minorHAnsi" w:hAnsiTheme="minorHAnsi"/>
        </w:rPr>
        <w:lastRenderedPageBreak/>
        <w:t>Through increased staffing at</w:t>
      </w:r>
      <w:r w:rsidR="527133FB" w:rsidRPr="0064627E">
        <w:rPr>
          <w:rFonts w:asciiTheme="minorHAnsi" w:hAnsiTheme="minorHAnsi"/>
        </w:rPr>
        <w:t xml:space="preserve"> </w:t>
      </w:r>
      <w:r w:rsidRPr="0064627E">
        <w:rPr>
          <w:rFonts w:asciiTheme="minorHAnsi" w:hAnsiTheme="minorHAnsi"/>
        </w:rPr>
        <w:t>MMC, BH will be able to balance inpatient utilization across MMC and BMC. In turn, lower acuity inpatients will remain</w:t>
      </w:r>
      <w:r w:rsidR="00BD1993" w:rsidRPr="0064627E">
        <w:rPr>
          <w:rFonts w:asciiTheme="minorHAnsi" w:hAnsiTheme="minorHAnsi"/>
        </w:rPr>
        <w:t xml:space="preserve"> </w:t>
      </w:r>
      <w:r w:rsidRPr="0064627E">
        <w:rPr>
          <w:rFonts w:asciiTheme="minorHAnsi" w:hAnsiTheme="minorHAnsi"/>
        </w:rPr>
        <w:t xml:space="preserve">in the community hospital setting and patients requiring tertiary care can remain at BMC. </w:t>
      </w:r>
      <w:r w:rsidR="001A3E1A" w:rsidRPr="0064627E">
        <w:rPr>
          <w:rFonts w:asciiTheme="minorHAnsi" w:hAnsiTheme="minorHAnsi"/>
        </w:rPr>
        <w:t xml:space="preserve">By keeping </w:t>
      </w:r>
      <w:r w:rsidR="006F73C4" w:rsidRPr="0064627E">
        <w:rPr>
          <w:rFonts w:asciiTheme="minorHAnsi" w:hAnsiTheme="minorHAnsi"/>
        </w:rPr>
        <w:t>appropriate</w:t>
      </w:r>
      <w:r w:rsidR="001A3E1A" w:rsidRPr="0064627E">
        <w:rPr>
          <w:rFonts w:asciiTheme="minorHAnsi" w:hAnsiTheme="minorHAnsi"/>
        </w:rPr>
        <w:t xml:space="preserve"> acuity volume </w:t>
      </w:r>
      <w:r w:rsidR="006F73C4" w:rsidRPr="0064627E">
        <w:rPr>
          <w:rFonts w:asciiTheme="minorHAnsi" w:hAnsiTheme="minorHAnsi"/>
        </w:rPr>
        <w:t>at</w:t>
      </w:r>
      <w:r w:rsidR="001A3E1A" w:rsidRPr="0064627E">
        <w:rPr>
          <w:rFonts w:asciiTheme="minorHAnsi" w:hAnsiTheme="minorHAnsi"/>
        </w:rPr>
        <w:t xml:space="preserve"> MMC, BMC’s high occupancy rate will decrease</w:t>
      </w:r>
      <w:r w:rsidR="006F73C4" w:rsidRPr="0064627E">
        <w:rPr>
          <w:rFonts w:asciiTheme="minorHAnsi" w:hAnsiTheme="minorHAnsi"/>
        </w:rPr>
        <w:t>,</w:t>
      </w:r>
      <w:r w:rsidR="001A3E1A" w:rsidRPr="0064627E">
        <w:rPr>
          <w:rFonts w:asciiTheme="minorHAnsi" w:hAnsiTheme="minorHAnsi"/>
        </w:rPr>
        <w:t xml:space="preserve"> improving access to BMC for higher-acuity patients requiring tertiary care.</w:t>
      </w:r>
      <w:r w:rsidR="001A3E1A" w:rsidRPr="0064627E">
        <w:t xml:space="preserve"> </w:t>
      </w:r>
      <w:r w:rsidR="001A3E1A" w:rsidRPr="0064627E">
        <w:rPr>
          <w:rFonts w:asciiTheme="minorHAnsi" w:hAnsiTheme="minorHAnsi"/>
        </w:rPr>
        <w:t xml:space="preserve">Further, improved utilization at both hospitals through coordinated efforts will reduce outmigration to Boston and Hartford. </w:t>
      </w:r>
    </w:p>
    <w:p w14:paraId="4A2FBF07" w14:textId="273465E7" w:rsidR="001A3E1A" w:rsidRPr="0064627E" w:rsidRDefault="001A3E1A" w:rsidP="00444155">
      <w:pPr>
        <w:spacing w:after="120"/>
        <w:jc w:val="both"/>
        <w:rPr>
          <w:rFonts w:ascii="Aptos" w:hAnsi="Aptos"/>
          <w:color w:val="000000" w:themeColor="text1"/>
        </w:rPr>
      </w:pPr>
      <w:r w:rsidRPr="0064627E">
        <w:rPr>
          <w:rFonts w:asciiTheme="minorHAnsi" w:hAnsiTheme="minorHAnsi"/>
          <w:color w:val="000000" w:themeColor="text1"/>
        </w:rPr>
        <w:t xml:space="preserve">Moreover, the demand for </w:t>
      </w:r>
      <w:r w:rsidRPr="0064627E">
        <w:rPr>
          <w:rFonts w:ascii="Aptos" w:hAnsi="Aptos"/>
          <w:color w:val="000000" w:themeColor="text1"/>
        </w:rPr>
        <w:t xml:space="preserve">BMC’s medical/surgical service significantly limits ED throughput. The ED is the entry point to care for </w:t>
      </w:r>
      <w:proofErr w:type="gramStart"/>
      <w:r w:rsidRPr="0064627E">
        <w:rPr>
          <w:rFonts w:ascii="Aptos" w:hAnsi="Aptos"/>
          <w:color w:val="000000" w:themeColor="text1"/>
        </w:rPr>
        <w:t>the majority of</w:t>
      </w:r>
      <w:proofErr w:type="gramEnd"/>
      <w:r w:rsidRPr="0064627E">
        <w:rPr>
          <w:rFonts w:ascii="Aptos" w:hAnsi="Aptos"/>
          <w:color w:val="000000" w:themeColor="text1"/>
        </w:rPr>
        <w:t xml:space="preserve"> patients who have a hospital stay, and long waits in the ED mean that some patients decide to leave without receiving care. As a result, BMC’s left without being seen (LWBS) rate is five times the national rate and twice the state rate. The Proposed Transfer will allow for the timely movement of patients from the ED to an inpatient bed, thus reducing ED boarding hours and the LWBS rate at BMC. </w:t>
      </w:r>
    </w:p>
    <w:p w14:paraId="24C045F0" w14:textId="78C7292C" w:rsidR="001A3E1A" w:rsidRPr="0064627E" w:rsidRDefault="001A3E1A" w:rsidP="00444155">
      <w:pPr>
        <w:spacing w:after="120"/>
        <w:jc w:val="both"/>
        <w:rPr>
          <w:rFonts w:asciiTheme="minorHAnsi" w:hAnsiTheme="minorHAnsi"/>
        </w:rPr>
      </w:pPr>
      <w:r w:rsidRPr="0064627E">
        <w:rPr>
          <w:rFonts w:asciiTheme="minorHAnsi" w:hAnsiTheme="minorHAnsi"/>
        </w:rPr>
        <w:t xml:space="preserve">To that end, BH </w:t>
      </w:r>
      <w:r w:rsidR="00422259" w:rsidRPr="0064627E">
        <w:rPr>
          <w:rFonts w:asciiTheme="minorHAnsi" w:hAnsiTheme="minorHAnsi"/>
        </w:rPr>
        <w:t xml:space="preserve">estimates </w:t>
      </w:r>
      <w:r w:rsidRPr="0064627E">
        <w:rPr>
          <w:rFonts w:asciiTheme="minorHAnsi" w:hAnsiTheme="minorHAnsi"/>
        </w:rPr>
        <w:t xml:space="preserve">that up to 1,825 patients annually can be shifted from BMC to MMC based on patient and clinical appropriateness.  Following the Proposed Transfer, BMC will begin developing plans for shifting </w:t>
      </w:r>
      <w:r w:rsidR="006D7D4E" w:rsidRPr="0064627E">
        <w:rPr>
          <w:rFonts w:asciiTheme="minorHAnsi" w:hAnsiTheme="minorHAnsi"/>
        </w:rPr>
        <w:t xml:space="preserve">appropriate </w:t>
      </w:r>
      <w:r w:rsidRPr="0064627E">
        <w:rPr>
          <w:rFonts w:asciiTheme="minorHAnsi" w:hAnsiTheme="minorHAnsi"/>
        </w:rPr>
        <w:t xml:space="preserve">patients from BMC to MMC so that, beginning in the second year of MMC’s transition into Baystate Health, approximately 450 patients will be admitted to MMC instead of BMC. By the fifth year, this number will increase to 1,825, or approximately five (5) patients per day. This will allow BMC to utilize available beds for more acute and complex patients, while also reducing ED boarding for all patients. </w:t>
      </w:r>
    </w:p>
    <w:p w14:paraId="7F47CC38" w14:textId="6BD60AC2" w:rsidR="001A3E1A" w:rsidRPr="0064627E" w:rsidRDefault="001A3E1A" w:rsidP="00444155">
      <w:pPr>
        <w:spacing w:after="120"/>
        <w:jc w:val="both"/>
        <w:rPr>
          <w:rFonts w:asciiTheme="minorHAnsi" w:hAnsiTheme="minorHAnsi"/>
        </w:rPr>
      </w:pPr>
      <w:r w:rsidRPr="0064627E">
        <w:rPr>
          <w:rFonts w:asciiTheme="minorHAnsi" w:hAnsiTheme="minorHAnsi"/>
        </w:rPr>
        <w:t>In addition, only 14 of MMC’s 60 licensed inpatient rehabilitation beds are staffed.</w:t>
      </w:r>
      <w:r w:rsidR="00582461" w:rsidRPr="0064627E">
        <w:rPr>
          <w:rFonts w:asciiTheme="minorHAnsi" w:hAnsiTheme="minorHAnsi"/>
        </w:rPr>
        <w:t xml:space="preserve"> </w:t>
      </w:r>
      <w:r w:rsidRPr="0064627E">
        <w:rPr>
          <w:rFonts w:asciiTheme="minorHAnsi" w:hAnsiTheme="minorHAnsi"/>
        </w:rPr>
        <w:t xml:space="preserve">As a result, patients requiring post-acute services </w:t>
      </w:r>
      <w:r w:rsidR="00CD0370" w:rsidRPr="0064627E">
        <w:rPr>
          <w:rFonts w:asciiTheme="minorHAnsi" w:hAnsiTheme="minorHAnsi"/>
        </w:rPr>
        <w:t>cannot</w:t>
      </w:r>
      <w:r w:rsidRPr="0064627E">
        <w:rPr>
          <w:rFonts w:asciiTheme="minorHAnsi" w:hAnsiTheme="minorHAnsi"/>
        </w:rPr>
        <w:t xml:space="preserve"> be timely discharged to inpatient rehabilitation.  Following the Proposed Transfer, </w:t>
      </w:r>
      <w:r w:rsidR="00612417" w:rsidRPr="0064627E">
        <w:rPr>
          <w:rFonts w:asciiTheme="minorHAnsi" w:hAnsiTheme="minorHAnsi"/>
        </w:rPr>
        <w:t xml:space="preserve">BH </w:t>
      </w:r>
      <w:r w:rsidRPr="0064627E">
        <w:rPr>
          <w:rFonts w:asciiTheme="minorHAnsi" w:hAnsiTheme="minorHAnsi"/>
        </w:rPr>
        <w:t>will increase staffing of MMC’s inpatient rehabilitation beds providing a critical access point to</w:t>
      </w:r>
      <w:r w:rsidR="00264F59" w:rsidRPr="0064627E">
        <w:rPr>
          <w:rFonts w:asciiTheme="minorHAnsi" w:hAnsiTheme="minorHAnsi"/>
        </w:rPr>
        <w:t xml:space="preserve"> </w:t>
      </w:r>
      <w:r w:rsidR="00CD0370" w:rsidRPr="0064627E">
        <w:rPr>
          <w:rFonts w:asciiTheme="minorHAnsi" w:hAnsiTheme="minorHAnsi"/>
        </w:rPr>
        <w:t>post-acute</w:t>
      </w:r>
      <w:r w:rsidR="00264F59" w:rsidRPr="0064627E">
        <w:rPr>
          <w:rFonts w:asciiTheme="minorHAnsi" w:hAnsiTheme="minorHAnsi"/>
        </w:rPr>
        <w:t xml:space="preserve"> care</w:t>
      </w:r>
      <w:r w:rsidR="008C24CD" w:rsidRPr="0064627E">
        <w:rPr>
          <w:rFonts w:asciiTheme="minorHAnsi" w:hAnsiTheme="minorHAnsi"/>
        </w:rPr>
        <w:t xml:space="preserve"> </w:t>
      </w:r>
      <w:proofErr w:type="gramStart"/>
      <w:r w:rsidR="008C24CD" w:rsidRPr="0064627E">
        <w:rPr>
          <w:rFonts w:asciiTheme="minorHAnsi" w:hAnsiTheme="minorHAnsi"/>
        </w:rPr>
        <w:t xml:space="preserve">in </w:t>
      </w:r>
      <w:r w:rsidR="00264F59" w:rsidRPr="0064627E">
        <w:rPr>
          <w:rFonts w:asciiTheme="minorHAnsi" w:hAnsiTheme="minorHAnsi"/>
        </w:rPr>
        <w:t>order to</w:t>
      </w:r>
      <w:proofErr w:type="gramEnd"/>
      <w:r w:rsidRPr="0064627E">
        <w:rPr>
          <w:rFonts w:asciiTheme="minorHAnsi" w:hAnsiTheme="minorHAnsi"/>
        </w:rPr>
        <w:t xml:space="preserve"> alleviate inpatient medical/surgical capacity constraints that negatively impact</w:t>
      </w:r>
      <w:r w:rsidR="4540B650" w:rsidRPr="0064627E">
        <w:rPr>
          <w:rFonts w:asciiTheme="minorHAnsi" w:hAnsiTheme="minorHAnsi"/>
        </w:rPr>
        <w:t xml:space="preserve"> </w:t>
      </w:r>
      <w:r w:rsidRPr="0064627E">
        <w:rPr>
          <w:rFonts w:asciiTheme="minorHAnsi" w:hAnsiTheme="minorHAnsi"/>
        </w:rPr>
        <w:t xml:space="preserve">hospital throughput.  </w:t>
      </w:r>
    </w:p>
    <w:p w14:paraId="00727DDA" w14:textId="4436DFB0" w:rsidR="001A3E1A" w:rsidRPr="0064627E" w:rsidRDefault="001A3E1A" w:rsidP="001A3E1A">
      <w:pPr>
        <w:spacing w:after="120"/>
        <w:jc w:val="both"/>
        <w:rPr>
          <w:rFonts w:asciiTheme="minorHAnsi" w:hAnsiTheme="minorHAnsi"/>
        </w:rPr>
      </w:pPr>
      <w:r w:rsidRPr="0064627E">
        <w:rPr>
          <w:rFonts w:asciiTheme="minorHAnsi" w:hAnsiTheme="minorHAnsi"/>
        </w:rPr>
        <w:t xml:space="preserve">BH also will focus on integrating outpatient services across the hospitals to improve access and achieve </w:t>
      </w:r>
      <w:proofErr w:type="gramStart"/>
      <w:r w:rsidRPr="0064627E">
        <w:rPr>
          <w:rFonts w:asciiTheme="minorHAnsi" w:hAnsiTheme="minorHAnsi"/>
        </w:rPr>
        <w:t>efficiencies</w:t>
      </w:r>
      <w:proofErr w:type="gramEnd"/>
      <w:r w:rsidRPr="0064627E">
        <w:rPr>
          <w:rFonts w:asciiTheme="minorHAnsi" w:hAnsiTheme="minorHAnsi"/>
        </w:rPr>
        <w:t xml:space="preserve">. For example, BH will work to strengthen cardiology services at MMC and grow complementary cancer services among BMC and MMC. Following the Proposed </w:t>
      </w:r>
      <w:r w:rsidR="00D15147" w:rsidRPr="0064627E">
        <w:rPr>
          <w:rFonts w:asciiTheme="minorHAnsi" w:hAnsiTheme="minorHAnsi"/>
        </w:rPr>
        <w:t>Transfer</w:t>
      </w:r>
      <w:r w:rsidRPr="0064627E">
        <w:rPr>
          <w:rFonts w:asciiTheme="minorHAnsi" w:hAnsiTheme="minorHAnsi"/>
        </w:rPr>
        <w:t>, BH will continue to engage in detailed planning for specific clinical services.</w:t>
      </w:r>
    </w:p>
    <w:p w14:paraId="5BC1E259" w14:textId="6BB6F7E6" w:rsidR="001A3E1A" w:rsidRPr="0064627E" w:rsidRDefault="001A3E1A" w:rsidP="001A3E1A">
      <w:pPr>
        <w:suppressAutoHyphens w:val="0"/>
        <w:spacing w:after="120"/>
        <w:jc w:val="both"/>
        <w:rPr>
          <w:rFonts w:ascii="Aptos" w:hAnsi="Aptos"/>
        </w:rPr>
      </w:pPr>
      <w:r w:rsidRPr="0064627E">
        <w:rPr>
          <w:rFonts w:ascii="Aptos" w:hAnsi="Aptos"/>
        </w:rPr>
        <w:t>In summary, the Proposed Transfer is needed to stabilize, maintain and improve the delivery</w:t>
      </w:r>
      <w:r w:rsidR="00E97C2C" w:rsidRPr="0064627E">
        <w:rPr>
          <w:rFonts w:ascii="Aptos" w:hAnsi="Aptos"/>
        </w:rPr>
        <w:t xml:space="preserve"> and access</w:t>
      </w:r>
      <w:r w:rsidRPr="0064627E">
        <w:rPr>
          <w:rFonts w:ascii="Aptos" w:hAnsi="Aptos"/>
        </w:rPr>
        <w:t xml:space="preserve"> of health care in the greater Springfield region. Without the Proposed Transfer, the community is at risk of additional service closures, up to and including the closure of MMC. The services provided by MMC are critical to the community and its patients cannot be accommodated at BMC and the surrounding hospitals without overburdening providers and negatively impacting patient outcomes. The Proposed Transfer will allow BH to </w:t>
      </w:r>
      <w:r w:rsidRPr="0064627E">
        <w:rPr>
          <w:rFonts w:asciiTheme="minorHAnsi" w:hAnsiTheme="minorHAnsi"/>
        </w:rPr>
        <w:t xml:space="preserve">strategically allocate and regionalize resources, in turn improving access for the respective Patient Panels. </w:t>
      </w:r>
    </w:p>
    <w:p w14:paraId="2A3261C1" w14:textId="77777777" w:rsidR="00E83317" w:rsidRPr="0064627E" w:rsidRDefault="00E83317" w:rsidP="00B33EE7">
      <w:pPr>
        <w:tabs>
          <w:tab w:val="left" w:pos="1440"/>
        </w:tabs>
        <w:suppressAutoHyphens w:val="0"/>
        <w:ind w:left="1440" w:hanging="1440"/>
        <w:jc w:val="both"/>
        <w:rPr>
          <w:rFonts w:ascii="Aptos" w:eastAsia="PMingLiU" w:hAnsi="Aptos"/>
          <w:b/>
          <w:bCs/>
          <w:kern w:val="0"/>
          <w14:ligatures w14:val="none"/>
        </w:rPr>
      </w:pPr>
    </w:p>
    <w:p w14:paraId="3BD0A111" w14:textId="697FCC5D" w:rsidR="00B33EE7" w:rsidRPr="0064627E" w:rsidRDefault="00B33EE7" w:rsidP="00D20569">
      <w:pPr>
        <w:pStyle w:val="Heading2"/>
        <w:tabs>
          <w:tab w:val="left" w:pos="1440"/>
        </w:tabs>
        <w:rPr>
          <w:rFonts w:eastAsia="PMingLiU"/>
          <w:sz w:val="24"/>
          <w:szCs w:val="24"/>
        </w:rPr>
      </w:pPr>
      <w:r w:rsidRPr="0064627E">
        <w:rPr>
          <w:rFonts w:eastAsia="PMingLiU"/>
          <w:sz w:val="24"/>
          <w:szCs w:val="24"/>
        </w:rPr>
        <w:t xml:space="preserve">F1.a.iii </w:t>
      </w:r>
      <w:r w:rsidRPr="0064627E">
        <w:rPr>
          <w:rFonts w:eastAsia="PMingLiU"/>
          <w:sz w:val="24"/>
          <w:szCs w:val="24"/>
        </w:rPr>
        <w:tab/>
        <w:t>Competition</w:t>
      </w:r>
    </w:p>
    <w:p w14:paraId="4DBFDBBF" w14:textId="77777777" w:rsidR="00B33EE7" w:rsidRPr="0064627E" w:rsidRDefault="00B33EE7" w:rsidP="00A739B1">
      <w:pPr>
        <w:spacing w:after="120"/>
        <w:ind w:left="1440"/>
        <w:jc w:val="both"/>
        <w:rPr>
          <w:rFonts w:ascii="Aptos" w:eastAsia="PMingLiU" w:hAnsi="Aptos"/>
          <w:b/>
          <w:bCs/>
        </w:rPr>
      </w:pPr>
      <w:r w:rsidRPr="0064627E">
        <w:rPr>
          <w:rFonts w:ascii="Aptos" w:eastAsia="PMingLiU" w:hAnsi="Aptos"/>
          <w:b/>
          <w:bCs/>
        </w:rPr>
        <w:t xml:space="preserve">Provide evidence that the Proposed Project will compete </w:t>
      </w:r>
      <w:proofErr w:type="gramStart"/>
      <w:r w:rsidRPr="0064627E">
        <w:rPr>
          <w:rFonts w:ascii="Aptos" w:eastAsia="PMingLiU" w:hAnsi="Aptos"/>
          <w:b/>
          <w:bCs/>
        </w:rPr>
        <w:t>on the basis of</w:t>
      </w:r>
      <w:proofErr w:type="gramEnd"/>
      <w:r w:rsidRPr="0064627E">
        <w:rPr>
          <w:rFonts w:ascii="Aptos" w:eastAsia="PMingLiU" w:hAnsi="Aptos"/>
          <w:b/>
          <w:bCs/>
        </w:rPr>
        <w:t xml:space="preserve"> price, total medical expenses, provider costs, and other recognized </w:t>
      </w:r>
      <w:r w:rsidRPr="0064627E">
        <w:rPr>
          <w:rFonts w:ascii="Aptos" w:eastAsia="PMingLiU" w:hAnsi="Aptos"/>
          <w:b/>
          <w:bCs/>
        </w:rPr>
        <w:lastRenderedPageBreak/>
        <w:t>measures of health care spending. When responding to this question, please consider Factor 4, Financial Feasibility and Reasonableness of Costs.</w:t>
      </w:r>
    </w:p>
    <w:p w14:paraId="37659F9F" w14:textId="738C64D1" w:rsidR="00B33EE7" w:rsidRPr="0064627E" w:rsidRDefault="00B33EE7" w:rsidP="00A739B1">
      <w:pPr>
        <w:spacing w:after="120"/>
        <w:jc w:val="both"/>
        <w:rPr>
          <w:rFonts w:ascii="Aptos" w:eastAsia="PMingLiU" w:hAnsi="Aptos"/>
        </w:rPr>
      </w:pPr>
      <w:r w:rsidRPr="0064627E">
        <w:rPr>
          <w:rFonts w:ascii="Aptos" w:eastAsia="PMingLiU" w:hAnsi="Aptos"/>
        </w:rPr>
        <w:t xml:space="preserve">The Proposed Transfer will compete </w:t>
      </w:r>
      <w:proofErr w:type="gramStart"/>
      <w:r w:rsidRPr="0064627E">
        <w:rPr>
          <w:rFonts w:ascii="Aptos" w:eastAsia="PMingLiU" w:hAnsi="Aptos"/>
        </w:rPr>
        <w:t>on the basis of</w:t>
      </w:r>
      <w:proofErr w:type="gramEnd"/>
      <w:r w:rsidRPr="0064627E">
        <w:rPr>
          <w:rFonts w:ascii="Aptos" w:eastAsia="PMingLiU" w:hAnsi="Aptos"/>
        </w:rPr>
        <w:t xml:space="preserve"> price, total medical expense (TME), and provider costs. </w:t>
      </w:r>
      <w:r w:rsidR="00AD7593" w:rsidRPr="0064627E">
        <w:rPr>
          <w:rFonts w:ascii="Aptos" w:eastAsia="PMingLiU" w:hAnsi="Aptos"/>
        </w:rPr>
        <w:t>The</w:t>
      </w:r>
      <w:r w:rsidRPr="0064627E">
        <w:rPr>
          <w:rFonts w:ascii="Aptos" w:eastAsia="PMingLiU" w:hAnsi="Aptos"/>
        </w:rPr>
        <w:t xml:space="preserve"> Proposed Transfer is necessary to ensure the continued</w:t>
      </w:r>
      <w:r w:rsidR="00AD7593" w:rsidRPr="0064627E">
        <w:rPr>
          <w:rFonts w:ascii="Aptos" w:eastAsia="PMingLiU" w:hAnsi="Aptos"/>
        </w:rPr>
        <w:t xml:space="preserve"> and expanded</w:t>
      </w:r>
      <w:r w:rsidRPr="0064627E">
        <w:rPr>
          <w:rFonts w:ascii="Aptos" w:eastAsia="PMingLiU" w:hAnsi="Aptos"/>
        </w:rPr>
        <w:t xml:space="preserve"> provision of services at the level necessary to support the Springfield region. The care available at </w:t>
      </w:r>
      <w:r w:rsidR="00457998" w:rsidRPr="0064627E">
        <w:rPr>
          <w:rFonts w:ascii="Aptos" w:eastAsia="PMingLiU" w:hAnsi="Aptos"/>
        </w:rPr>
        <w:t xml:space="preserve">MMC </w:t>
      </w:r>
      <w:r w:rsidRPr="0064627E">
        <w:rPr>
          <w:rFonts w:ascii="Aptos" w:eastAsia="PMingLiU" w:hAnsi="Aptos"/>
        </w:rPr>
        <w:t xml:space="preserve">is vital to the wellbeing of Springfield and the surrounding communities. Without the </w:t>
      </w:r>
      <w:r w:rsidR="00A23A58" w:rsidRPr="0064627E">
        <w:rPr>
          <w:rFonts w:ascii="Aptos" w:eastAsia="PMingLiU" w:hAnsi="Aptos"/>
        </w:rPr>
        <w:t>services</w:t>
      </w:r>
      <w:r w:rsidRPr="0064627E">
        <w:rPr>
          <w:rFonts w:ascii="Aptos" w:eastAsia="PMingLiU" w:hAnsi="Aptos"/>
        </w:rPr>
        <w:t xml:space="preserve"> currently available at MMC, patients w</w:t>
      </w:r>
      <w:r w:rsidR="00A23A58" w:rsidRPr="0064627E">
        <w:rPr>
          <w:rFonts w:ascii="Aptos" w:eastAsia="PMingLiU" w:hAnsi="Aptos"/>
        </w:rPr>
        <w:t>ill</w:t>
      </w:r>
      <w:r w:rsidRPr="0064627E">
        <w:rPr>
          <w:rFonts w:ascii="Aptos" w:eastAsia="PMingLiU" w:hAnsi="Aptos"/>
        </w:rPr>
        <w:t xml:space="preserve"> need to seek care elsewhere, </w:t>
      </w:r>
      <w:r w:rsidR="00A23A58" w:rsidRPr="0064627E">
        <w:rPr>
          <w:rFonts w:ascii="Aptos" w:eastAsia="PMingLiU" w:hAnsi="Aptos"/>
        </w:rPr>
        <w:t>including at</w:t>
      </w:r>
      <w:r w:rsidRPr="0064627E">
        <w:rPr>
          <w:rFonts w:ascii="Aptos" w:eastAsia="PMingLiU" w:hAnsi="Aptos"/>
        </w:rPr>
        <w:t xml:space="preserve"> BMC. </w:t>
      </w:r>
      <w:r w:rsidR="00AD7593" w:rsidRPr="0064627E">
        <w:rPr>
          <w:rFonts w:ascii="Aptos" w:eastAsia="PMingLiU" w:hAnsi="Aptos"/>
        </w:rPr>
        <w:t xml:space="preserve">BMC’s ED and medical/surgical and specialty units are over capacity and the </w:t>
      </w:r>
      <w:r w:rsidR="006E432A" w:rsidRPr="0064627E">
        <w:rPr>
          <w:rFonts w:ascii="Aptos" w:eastAsia="PMingLiU" w:hAnsi="Aptos"/>
        </w:rPr>
        <w:t xml:space="preserve">potential </w:t>
      </w:r>
      <w:r w:rsidR="00AD7593" w:rsidRPr="0064627E">
        <w:rPr>
          <w:rFonts w:ascii="Aptos" w:eastAsia="PMingLiU" w:hAnsi="Aptos"/>
        </w:rPr>
        <w:t>closure of MMC services will increase already high wait times, leading to worse outcomes and higher cost care.</w:t>
      </w:r>
      <w:r w:rsidRPr="0064627E">
        <w:rPr>
          <w:rFonts w:ascii="Aptos" w:eastAsia="PMingLiU" w:hAnsi="Aptos"/>
        </w:rPr>
        <w:t xml:space="preserve">  </w:t>
      </w:r>
    </w:p>
    <w:p w14:paraId="50A96702" w14:textId="3A0D1BFB" w:rsidR="00B33EE7" w:rsidRPr="0064627E" w:rsidRDefault="00B33EE7" w:rsidP="00A739B1">
      <w:pPr>
        <w:spacing w:after="120"/>
        <w:jc w:val="both"/>
        <w:rPr>
          <w:rFonts w:ascii="Aptos" w:eastAsia="PMingLiU" w:hAnsi="Aptos"/>
        </w:rPr>
      </w:pPr>
      <w:r w:rsidRPr="0064627E">
        <w:rPr>
          <w:rFonts w:ascii="Aptos" w:eastAsia="PMingLiU" w:hAnsi="Aptos"/>
        </w:rPr>
        <w:t xml:space="preserve">The Proposed Transfer </w:t>
      </w:r>
      <w:r w:rsidR="003C7DDA" w:rsidRPr="0064627E">
        <w:rPr>
          <w:rFonts w:ascii="Aptos" w:eastAsia="PMingLiU" w:hAnsi="Aptos"/>
        </w:rPr>
        <w:t>will</w:t>
      </w:r>
      <w:r w:rsidRPr="0064627E">
        <w:rPr>
          <w:rFonts w:ascii="Aptos" w:eastAsia="PMingLiU" w:hAnsi="Aptos"/>
        </w:rPr>
        <w:t xml:space="preserve"> positively impact provider costs through more appropriate hospital utilization. BMC’s adult </w:t>
      </w:r>
      <w:r w:rsidR="00A23A58" w:rsidRPr="0064627E">
        <w:rPr>
          <w:rFonts w:ascii="Aptos" w:eastAsia="PMingLiU" w:hAnsi="Aptos"/>
        </w:rPr>
        <w:t xml:space="preserve">inpatient </w:t>
      </w:r>
      <w:r w:rsidRPr="0064627E">
        <w:rPr>
          <w:rFonts w:ascii="Aptos" w:eastAsia="PMingLiU" w:hAnsi="Aptos"/>
        </w:rPr>
        <w:t>med</w:t>
      </w:r>
      <w:r w:rsidR="00A23A58" w:rsidRPr="0064627E">
        <w:rPr>
          <w:rFonts w:ascii="Aptos" w:eastAsia="PMingLiU" w:hAnsi="Aptos"/>
        </w:rPr>
        <w:t>ical</w:t>
      </w:r>
      <w:r w:rsidRPr="0064627E">
        <w:rPr>
          <w:rFonts w:ascii="Aptos" w:eastAsia="PMingLiU" w:hAnsi="Aptos"/>
        </w:rPr>
        <w:t>/surg</w:t>
      </w:r>
      <w:r w:rsidR="00A23A58" w:rsidRPr="0064627E">
        <w:rPr>
          <w:rFonts w:ascii="Aptos" w:eastAsia="PMingLiU" w:hAnsi="Aptos"/>
        </w:rPr>
        <w:t>ical</w:t>
      </w:r>
      <w:r w:rsidRPr="0064627E">
        <w:rPr>
          <w:rFonts w:ascii="Aptos" w:eastAsia="PMingLiU" w:hAnsi="Aptos"/>
        </w:rPr>
        <w:t xml:space="preserve"> service is currently operating at </w:t>
      </w:r>
      <w:r w:rsidR="006F73C4" w:rsidRPr="0064627E">
        <w:rPr>
          <w:rFonts w:ascii="Aptos" w:eastAsia="PMingLiU" w:hAnsi="Aptos"/>
        </w:rPr>
        <w:t>116</w:t>
      </w:r>
      <w:r w:rsidR="009D760E">
        <w:rPr>
          <w:rFonts w:ascii="Aptos" w:eastAsia="PMingLiU" w:hAnsi="Aptos"/>
        </w:rPr>
        <w:t xml:space="preserve"> percent</w:t>
      </w:r>
      <w:r w:rsidRPr="0064627E">
        <w:rPr>
          <w:rFonts w:ascii="Aptos" w:eastAsia="PMingLiU" w:hAnsi="Aptos"/>
        </w:rPr>
        <w:t xml:space="preserve"> capacity while MMC is operating at </w:t>
      </w:r>
      <w:r w:rsidR="006F73C4" w:rsidRPr="0064627E">
        <w:rPr>
          <w:rFonts w:ascii="Aptos" w:eastAsia="PMingLiU" w:hAnsi="Aptos"/>
        </w:rPr>
        <w:t>56</w:t>
      </w:r>
      <w:r w:rsidR="009D760E">
        <w:rPr>
          <w:rFonts w:ascii="Aptos" w:eastAsia="PMingLiU" w:hAnsi="Aptos"/>
        </w:rPr>
        <w:t xml:space="preserve"> percent</w:t>
      </w:r>
      <w:r w:rsidRPr="0064627E">
        <w:rPr>
          <w:rFonts w:ascii="Aptos" w:eastAsia="PMingLiU" w:hAnsi="Aptos"/>
        </w:rPr>
        <w:t>. The Proposed Transfer will allow Baystate Health to better manage inpatient admissions in Springfield between BMC and MMC, ensuring patients receive the right care at the right time</w:t>
      </w:r>
      <w:r w:rsidR="00A23A58" w:rsidRPr="0064627E">
        <w:rPr>
          <w:rFonts w:ascii="Aptos" w:eastAsia="PMingLiU" w:hAnsi="Aptos"/>
        </w:rPr>
        <w:t xml:space="preserve"> in the right place</w:t>
      </w:r>
      <w:r w:rsidRPr="0064627E">
        <w:rPr>
          <w:rFonts w:ascii="Aptos" w:eastAsia="PMingLiU" w:hAnsi="Aptos"/>
        </w:rPr>
        <w:t xml:space="preserve">. </w:t>
      </w:r>
      <w:r w:rsidR="00A23A58" w:rsidRPr="0064627E">
        <w:rPr>
          <w:rFonts w:ascii="Aptos" w:eastAsia="PMingLiU" w:hAnsi="Aptos"/>
        </w:rPr>
        <w:t>Improved</w:t>
      </w:r>
      <w:r w:rsidRPr="0064627E">
        <w:rPr>
          <w:rFonts w:ascii="Aptos" w:eastAsia="PMingLiU" w:hAnsi="Aptos"/>
        </w:rPr>
        <w:t xml:space="preserve"> utilization of BMC’s and MMC’s med</w:t>
      </w:r>
      <w:r w:rsidR="00A23A58" w:rsidRPr="0064627E">
        <w:rPr>
          <w:rFonts w:ascii="Aptos" w:eastAsia="PMingLiU" w:hAnsi="Aptos"/>
        </w:rPr>
        <w:t>ical</w:t>
      </w:r>
      <w:r w:rsidRPr="0064627E">
        <w:rPr>
          <w:rFonts w:ascii="Aptos" w:eastAsia="PMingLiU" w:hAnsi="Aptos"/>
        </w:rPr>
        <w:t>/surg</w:t>
      </w:r>
      <w:r w:rsidR="00A23A58" w:rsidRPr="0064627E">
        <w:rPr>
          <w:rFonts w:ascii="Aptos" w:eastAsia="PMingLiU" w:hAnsi="Aptos"/>
        </w:rPr>
        <w:t>ical beds</w:t>
      </w:r>
      <w:r w:rsidRPr="0064627E">
        <w:rPr>
          <w:rFonts w:ascii="Aptos" w:eastAsia="PMingLiU" w:hAnsi="Aptos"/>
        </w:rPr>
        <w:t xml:space="preserve"> will not only improve access to </w:t>
      </w:r>
      <w:r w:rsidR="00444155" w:rsidRPr="0064627E">
        <w:rPr>
          <w:rFonts w:ascii="Aptos" w:eastAsia="PMingLiU" w:hAnsi="Aptos"/>
        </w:rPr>
        <w:t>care but</w:t>
      </w:r>
      <w:r w:rsidRPr="0064627E">
        <w:rPr>
          <w:rFonts w:ascii="Aptos" w:eastAsia="PMingLiU" w:hAnsi="Aptos"/>
        </w:rPr>
        <w:t xml:space="preserve"> will contribute to better managed health care spending. </w:t>
      </w:r>
      <w:r w:rsidR="003C7DDA" w:rsidRPr="0064627E">
        <w:rPr>
          <w:rFonts w:ascii="Aptos" w:eastAsia="PMingLiU" w:hAnsi="Aptos"/>
        </w:rPr>
        <w:t>Following the Proposed Transfer, Baystate Health will</w:t>
      </w:r>
      <w:r w:rsidR="006E5B02" w:rsidRPr="0064627E">
        <w:rPr>
          <w:rFonts w:ascii="Aptos" w:eastAsia="PMingLiU" w:hAnsi="Aptos"/>
        </w:rPr>
        <w:t xml:space="preserve"> continue to</w:t>
      </w:r>
      <w:r w:rsidR="003C7DDA" w:rsidRPr="0064627E">
        <w:rPr>
          <w:rFonts w:ascii="Aptos" w:eastAsia="PMingLiU" w:hAnsi="Aptos"/>
        </w:rPr>
        <w:t xml:space="preserve"> explore options for consolidating services to ensure the right care is available in the right place without unnecessary duplication </w:t>
      </w:r>
      <w:r w:rsidR="00013D68" w:rsidRPr="0064627E">
        <w:rPr>
          <w:rFonts w:ascii="Aptos" w:eastAsia="PMingLiU" w:hAnsi="Aptos"/>
        </w:rPr>
        <w:t xml:space="preserve">of services </w:t>
      </w:r>
      <w:r w:rsidR="003C7DDA" w:rsidRPr="0064627E">
        <w:rPr>
          <w:rFonts w:ascii="Aptos" w:eastAsia="PMingLiU" w:hAnsi="Aptos"/>
        </w:rPr>
        <w:t xml:space="preserve">in Springfield, thereby achieving cost savings and efficient use of resources.  </w:t>
      </w:r>
    </w:p>
    <w:p w14:paraId="0706634C" w14:textId="753C969E" w:rsidR="006E5B02" w:rsidRPr="0064627E" w:rsidRDefault="00B33EE7" w:rsidP="00A739B1">
      <w:pPr>
        <w:spacing w:after="120"/>
        <w:jc w:val="both"/>
        <w:rPr>
          <w:rFonts w:ascii="Aptos" w:eastAsia="PMingLiU" w:hAnsi="Aptos"/>
        </w:rPr>
      </w:pPr>
      <w:r w:rsidRPr="0064627E">
        <w:rPr>
          <w:rFonts w:ascii="Aptos" w:eastAsia="PMingLiU" w:hAnsi="Aptos"/>
        </w:rPr>
        <w:t xml:space="preserve">Additionally, the coordination of patient care across the continuum of primary, specialty, inpatient, and post-acute care is a further driver of cost </w:t>
      </w:r>
      <w:r w:rsidR="00A23A58" w:rsidRPr="0064627E">
        <w:rPr>
          <w:rFonts w:ascii="Aptos" w:eastAsia="PMingLiU" w:hAnsi="Aptos"/>
        </w:rPr>
        <w:t>containmen</w:t>
      </w:r>
      <w:r w:rsidRPr="0064627E">
        <w:rPr>
          <w:rFonts w:ascii="Aptos" w:eastAsia="PMingLiU" w:hAnsi="Aptos"/>
        </w:rPr>
        <w:t xml:space="preserve">t. Following the Proposed Transfer and the integration of MMC into Baystate Health, MMC patients will benefit from a more coordinated approach to care management as additional providers </w:t>
      </w:r>
      <w:r w:rsidR="00A23A58" w:rsidRPr="0064627E">
        <w:rPr>
          <w:rFonts w:ascii="Aptos" w:eastAsia="PMingLiU" w:hAnsi="Aptos"/>
        </w:rPr>
        <w:t>will be</w:t>
      </w:r>
      <w:r w:rsidRPr="0064627E">
        <w:rPr>
          <w:rFonts w:ascii="Aptos" w:eastAsia="PMingLiU" w:hAnsi="Aptos"/>
        </w:rPr>
        <w:t xml:space="preserve"> part of their</w:t>
      </w:r>
      <w:r w:rsidR="00A23A58" w:rsidRPr="0064627E">
        <w:rPr>
          <w:rFonts w:ascii="Aptos" w:eastAsia="PMingLiU" w:hAnsi="Aptos"/>
        </w:rPr>
        <w:t xml:space="preserve"> integrated</w:t>
      </w:r>
      <w:r w:rsidRPr="0064627E">
        <w:rPr>
          <w:rFonts w:ascii="Aptos" w:eastAsia="PMingLiU" w:hAnsi="Aptos"/>
        </w:rPr>
        <w:t xml:space="preserve"> care network. Further, the care coordination that will be possible following the Proposed Transfer will promote cost savings through fewer unnecessary emergency department visits, readmissions, and better availability of specialist care. In sum, the Proposed Transfer will provide the community with better access to high-quality care that will contribute to positive trends in health care spending. </w:t>
      </w:r>
    </w:p>
    <w:p w14:paraId="7E1E732A" w14:textId="77777777" w:rsidR="00F47C9F" w:rsidRPr="0064627E" w:rsidRDefault="00F47C9F" w:rsidP="00D20569">
      <w:pPr>
        <w:pStyle w:val="Heading2"/>
        <w:tabs>
          <w:tab w:val="left" w:pos="1440"/>
        </w:tabs>
        <w:rPr>
          <w:rFonts w:eastAsia="PMingLiU"/>
          <w:sz w:val="24"/>
          <w:szCs w:val="24"/>
        </w:rPr>
      </w:pPr>
      <w:r w:rsidRPr="0064627E">
        <w:rPr>
          <w:rFonts w:eastAsia="PMingLiU"/>
          <w:sz w:val="24"/>
          <w:szCs w:val="24"/>
        </w:rPr>
        <w:t xml:space="preserve">F1.b.i </w:t>
      </w:r>
      <w:r w:rsidRPr="0064627E">
        <w:rPr>
          <w:rFonts w:eastAsia="PMingLiU"/>
          <w:sz w:val="24"/>
          <w:szCs w:val="24"/>
        </w:rPr>
        <w:tab/>
        <w:t>Public Health Value /Evidence-Based</w:t>
      </w:r>
    </w:p>
    <w:p w14:paraId="71350293" w14:textId="4ECEF52B" w:rsidR="00F47C9F" w:rsidRPr="0064627E" w:rsidRDefault="00F47C9F" w:rsidP="00432444">
      <w:pPr>
        <w:spacing w:after="120"/>
        <w:ind w:left="1440"/>
        <w:jc w:val="both"/>
        <w:rPr>
          <w:rFonts w:ascii="Aptos" w:eastAsia="Calibri" w:hAnsi="Aptos"/>
          <w:b/>
        </w:rPr>
      </w:pPr>
      <w:r w:rsidRPr="0064627E">
        <w:rPr>
          <w:rFonts w:ascii="Aptos" w:eastAsia="Calibri" w:hAnsi="Aptos"/>
          <w:b/>
        </w:rPr>
        <w:t>Provide information on the evidence-base for the Proposed Project. That is, how does the Proposed Project address the Need that Applicant has identified.</w:t>
      </w:r>
    </w:p>
    <w:p w14:paraId="05845231" w14:textId="1058E726" w:rsidR="00844463" w:rsidRPr="0064627E" w:rsidRDefault="00844463" w:rsidP="00844463">
      <w:pPr>
        <w:spacing w:after="120"/>
        <w:jc w:val="both"/>
        <w:rPr>
          <w:rFonts w:ascii="Aptos" w:eastAsia="PMingLiU" w:hAnsi="Aptos"/>
        </w:rPr>
      </w:pPr>
      <w:r w:rsidRPr="0064627E">
        <w:rPr>
          <w:rFonts w:ascii="Aptos" w:eastAsia="PMingLiU" w:hAnsi="Aptos"/>
        </w:rPr>
        <w:t>Independent</w:t>
      </w:r>
      <w:r w:rsidR="00DA48E3" w:rsidRPr="0064627E">
        <w:rPr>
          <w:rFonts w:ascii="Aptos" w:eastAsia="PMingLiU" w:hAnsi="Aptos"/>
        </w:rPr>
        <w:t xml:space="preserve"> </w:t>
      </w:r>
      <w:r w:rsidRPr="0064627E">
        <w:rPr>
          <w:rFonts w:ascii="Aptos" w:eastAsia="PMingLiU" w:hAnsi="Aptos"/>
        </w:rPr>
        <w:t xml:space="preserve">hospitals – those that do not share common ownership with another hospital in Massachusetts </w:t>
      </w:r>
      <w:r w:rsidR="00A443B8" w:rsidRPr="0064627E">
        <w:rPr>
          <w:rFonts w:ascii="Aptos" w:eastAsia="PMingLiU" w:hAnsi="Aptos"/>
        </w:rPr>
        <w:t>–</w:t>
      </w:r>
      <w:r w:rsidRPr="0064627E">
        <w:rPr>
          <w:rFonts w:ascii="Aptos" w:eastAsia="PMingLiU" w:hAnsi="Aptos"/>
        </w:rPr>
        <w:t xml:space="preserve"> face </w:t>
      </w:r>
      <w:proofErr w:type="gramStart"/>
      <w:r w:rsidRPr="0064627E">
        <w:rPr>
          <w:rFonts w:ascii="Aptos" w:eastAsia="PMingLiU" w:hAnsi="Aptos"/>
        </w:rPr>
        <w:t>a number of</w:t>
      </w:r>
      <w:proofErr w:type="gramEnd"/>
      <w:r w:rsidRPr="0064627E">
        <w:rPr>
          <w:rFonts w:ascii="Aptos" w:eastAsia="PMingLiU" w:hAnsi="Aptos"/>
        </w:rPr>
        <w:t xml:space="preserve"> challenges to their viability. MMC is among 18 independent</w:t>
      </w:r>
      <w:r w:rsidR="00DA48E3" w:rsidRPr="0064627E">
        <w:rPr>
          <w:rFonts w:ascii="Aptos" w:eastAsia="PMingLiU" w:hAnsi="Aptos"/>
        </w:rPr>
        <w:t xml:space="preserve"> </w:t>
      </w:r>
      <w:r w:rsidRPr="0064627E">
        <w:rPr>
          <w:rFonts w:ascii="Aptos" w:eastAsia="PMingLiU" w:hAnsi="Aptos"/>
        </w:rPr>
        <w:t>community hospitals that remain in Massachusetts.</w:t>
      </w:r>
      <w:r w:rsidRPr="0064627E">
        <w:rPr>
          <w:rStyle w:val="FootnoteReference"/>
          <w:rFonts w:ascii="Aptos" w:eastAsia="PMingLiU" w:hAnsi="Aptos"/>
        </w:rPr>
        <w:footnoteReference w:id="10"/>
      </w:r>
      <w:r w:rsidRPr="0064627E">
        <w:rPr>
          <w:rFonts w:ascii="Aptos" w:eastAsia="PMingLiU" w:hAnsi="Aptos"/>
        </w:rPr>
        <w:t xml:space="preserve"> Most recently, Milford Regional Medical Center merged into UMass Memorial Health in 2024. Additionally, </w:t>
      </w:r>
      <w:r w:rsidRPr="0064627E">
        <w:rPr>
          <w:rFonts w:ascii="Aptos" w:eastAsia="PMingLiU" w:hAnsi="Aptos"/>
        </w:rPr>
        <w:lastRenderedPageBreak/>
        <w:t>Lawrence General Hospital acquired Holy Family Hospital in 2024 creating a new health system in the Merrimack Valley. Independent</w:t>
      </w:r>
      <w:r w:rsidR="00DA48E3" w:rsidRPr="0064627E">
        <w:rPr>
          <w:rFonts w:ascii="Aptos" w:eastAsia="PMingLiU" w:hAnsi="Aptos"/>
        </w:rPr>
        <w:t xml:space="preserve"> </w:t>
      </w:r>
      <w:r w:rsidRPr="0064627E">
        <w:rPr>
          <w:rFonts w:ascii="Aptos" w:eastAsia="PMingLiU" w:hAnsi="Aptos"/>
        </w:rPr>
        <w:t>hospitals</w:t>
      </w:r>
      <w:r w:rsidR="00DA48E3" w:rsidRPr="0064627E">
        <w:rPr>
          <w:rFonts w:ascii="Aptos" w:eastAsia="PMingLiU" w:hAnsi="Aptos"/>
        </w:rPr>
        <w:t xml:space="preserve"> in Massachusetts</w:t>
      </w:r>
      <w:r w:rsidRPr="0064627E">
        <w:rPr>
          <w:rFonts w:ascii="Aptos" w:eastAsia="PMingLiU" w:hAnsi="Aptos"/>
        </w:rPr>
        <w:t xml:space="preserve">, including MMC, operate with limited resources for maximizing efficiencies and limited opportunities for growth due to challenges with recruitment, especially when faced with competition from academic medical centers. As a result of these limitations, </w:t>
      </w:r>
      <w:r w:rsidR="00DA48E3" w:rsidRPr="0064627E">
        <w:rPr>
          <w:rFonts w:ascii="Aptos" w:eastAsia="PMingLiU" w:hAnsi="Aptos"/>
        </w:rPr>
        <w:t xml:space="preserve">these </w:t>
      </w:r>
      <w:r w:rsidRPr="0064627E">
        <w:rPr>
          <w:rFonts w:ascii="Aptos" w:eastAsia="PMingLiU" w:hAnsi="Aptos"/>
        </w:rPr>
        <w:t xml:space="preserve">hospitals must navigate operational and financial decisions that often lead to service closures, full closure or sale. A 2023 analysis by </w:t>
      </w:r>
      <w:r w:rsidRPr="0064627E">
        <w:rPr>
          <w:rFonts w:ascii="Aptos" w:eastAsia="PMingLiU" w:hAnsi="Aptos"/>
          <w:i/>
          <w:iCs/>
        </w:rPr>
        <w:t>Becker’s Hospital Review</w:t>
      </w:r>
      <w:r w:rsidRPr="0064627E">
        <w:rPr>
          <w:rFonts w:ascii="Aptos" w:eastAsia="PMingLiU" w:hAnsi="Aptos"/>
        </w:rPr>
        <w:t xml:space="preserve"> found that more than 600 hospitals across the United States are at risk of closure due to ongoing financial difficulties.</w:t>
      </w:r>
      <w:r w:rsidRPr="0064627E">
        <w:rPr>
          <w:rStyle w:val="FootnoteReference"/>
          <w:rFonts w:ascii="Aptos" w:eastAsia="PMingLiU" w:hAnsi="Aptos"/>
        </w:rPr>
        <w:footnoteReference w:id="11"/>
      </w:r>
      <w:r w:rsidRPr="0064627E">
        <w:rPr>
          <w:rFonts w:ascii="Aptos" w:eastAsia="PMingLiU" w:hAnsi="Aptos"/>
        </w:rPr>
        <w:t xml:space="preserve"> Affiliation with a multi-hospital health system can help these hospitals better withstand volatile economic conditions by providing operational synergies, greater access to capital, and enhanced financial, management, and administrative resources.</w:t>
      </w:r>
      <w:r w:rsidRPr="0064627E">
        <w:rPr>
          <w:rStyle w:val="FootnoteReference"/>
          <w:rFonts w:ascii="Aptos" w:eastAsia="PMingLiU" w:hAnsi="Aptos"/>
        </w:rPr>
        <w:footnoteReference w:id="12"/>
      </w:r>
      <w:r w:rsidRPr="0064627E">
        <w:rPr>
          <w:rFonts w:ascii="Aptos" w:eastAsia="PMingLiU" w:hAnsi="Aptos"/>
        </w:rPr>
        <w:t xml:space="preserve"> This increased financial stability supports the sustainability of local healthcare services, helping ensure continued access for underserved communities. The Proposed Transfer will preserve MMC and expand access for its Patient Panel to coordinated care available </w:t>
      </w:r>
      <w:r w:rsidR="00A117B3" w:rsidRPr="0064627E">
        <w:rPr>
          <w:rFonts w:ascii="Aptos" w:eastAsia="PMingLiU" w:hAnsi="Aptos"/>
        </w:rPr>
        <w:t>by integrating MMC with a regional multi-hospital health system</w:t>
      </w:r>
      <w:r w:rsidRPr="0064627E">
        <w:rPr>
          <w:rFonts w:ascii="Aptos" w:eastAsia="PMingLiU" w:hAnsi="Aptos"/>
        </w:rPr>
        <w:t xml:space="preserve"> </w:t>
      </w:r>
    </w:p>
    <w:p w14:paraId="74FBA6AD" w14:textId="1988D0C8" w:rsidR="00F47C9F" w:rsidRPr="0064627E" w:rsidRDefault="00F47C9F" w:rsidP="00432444">
      <w:pPr>
        <w:spacing w:after="120"/>
        <w:jc w:val="both"/>
        <w:rPr>
          <w:rFonts w:ascii="Aptos" w:eastAsia="PMingLiU" w:hAnsi="Aptos"/>
        </w:rPr>
      </w:pPr>
      <w:r w:rsidRPr="0064627E">
        <w:rPr>
          <w:rFonts w:ascii="Aptos" w:eastAsia="PMingLiU" w:hAnsi="Aptos"/>
        </w:rPr>
        <w:t>The Health Policy Commission’s 2016 report on Community Hospitals</w:t>
      </w:r>
      <w:r w:rsidR="006E5B02" w:rsidRPr="0064627E">
        <w:rPr>
          <w:rFonts w:ascii="Aptos" w:eastAsia="PMingLiU" w:hAnsi="Aptos"/>
        </w:rPr>
        <w:t xml:space="preserve"> </w:t>
      </w:r>
      <w:r w:rsidR="00A23A58" w:rsidRPr="0064627E">
        <w:rPr>
          <w:rFonts w:ascii="Aptos" w:eastAsia="PMingLiU" w:hAnsi="Aptos"/>
        </w:rPr>
        <w:t xml:space="preserve">(the “Report”) </w:t>
      </w:r>
      <w:r w:rsidRPr="0064627E">
        <w:rPr>
          <w:rFonts w:ascii="Aptos" w:eastAsia="PMingLiU" w:hAnsi="Aptos"/>
        </w:rPr>
        <w:t>noted that “[t]he local nature of community hospital services is particularly important for patients for whom accessing care can be difficult.”</w:t>
      </w:r>
      <w:r w:rsidRPr="0064627E">
        <w:rPr>
          <w:rFonts w:ascii="Aptos" w:eastAsia="PMingLiU" w:hAnsi="Aptos"/>
          <w:vertAlign w:val="superscript"/>
        </w:rPr>
        <w:t xml:space="preserve"> </w:t>
      </w:r>
      <w:r w:rsidRPr="0064627E">
        <w:rPr>
          <w:rFonts w:ascii="Aptos" w:eastAsia="PMingLiU" w:hAnsi="Aptos"/>
          <w:vertAlign w:val="superscript"/>
        </w:rPr>
        <w:footnoteReference w:id="13"/>
      </w:r>
      <w:r w:rsidRPr="0064627E">
        <w:rPr>
          <w:rFonts w:ascii="Aptos" w:eastAsia="PMingLiU" w:hAnsi="Aptos"/>
        </w:rPr>
        <w:t xml:space="preserve"> Specifically, the Report noted that patients on Medicare, MassHealth, or other government programs are more likely to rely on locally based care.</w:t>
      </w:r>
      <w:r w:rsidRPr="0064627E">
        <w:rPr>
          <w:rFonts w:ascii="Aptos" w:eastAsia="PMingLiU" w:hAnsi="Aptos"/>
          <w:vertAlign w:val="superscript"/>
        </w:rPr>
        <w:footnoteReference w:id="14"/>
      </w:r>
      <w:r w:rsidRPr="0064627E">
        <w:rPr>
          <w:rFonts w:ascii="Aptos" w:eastAsia="PMingLiU" w:hAnsi="Aptos"/>
        </w:rPr>
        <w:t xml:space="preserve"> Additionally, </w:t>
      </w:r>
      <w:r w:rsidRPr="0064627E">
        <w:rPr>
          <w:rFonts w:ascii="Aptos" w:eastAsia="PMingLiU" w:hAnsi="Aptos"/>
          <w:spacing w:val="-1"/>
        </w:rPr>
        <w:t xml:space="preserve">the </w:t>
      </w:r>
      <w:r w:rsidR="00D15147" w:rsidRPr="0064627E">
        <w:rPr>
          <w:rFonts w:ascii="Aptos" w:eastAsia="PMingLiU" w:hAnsi="Aptos"/>
          <w:spacing w:val="-1"/>
        </w:rPr>
        <w:t xml:space="preserve">U.S. </w:t>
      </w:r>
      <w:r w:rsidRPr="0064627E">
        <w:rPr>
          <w:rFonts w:ascii="Aptos" w:eastAsia="PMingLiU" w:hAnsi="Aptos"/>
          <w:spacing w:val="-1"/>
        </w:rPr>
        <w:t>Department of Health and Human Services</w:t>
      </w:r>
      <w:r w:rsidRPr="0064627E">
        <w:rPr>
          <w:rFonts w:ascii="Aptos" w:eastAsia="Calibri" w:hAnsi="Aptos" w:cs="Calibri"/>
          <w:spacing w:val="-1"/>
          <w:vertAlign w:val="superscript"/>
        </w:rPr>
        <w:footnoteReference w:id="15"/>
      </w:r>
      <w:r w:rsidRPr="0064627E">
        <w:rPr>
          <w:rFonts w:ascii="Aptos" w:eastAsia="PMingLiU" w:hAnsi="Aptos"/>
          <w:spacing w:val="-1"/>
        </w:rPr>
        <w:t xml:space="preserve"> cited three key factors associated with “access” to care: coverage, services, and timeliness. </w:t>
      </w:r>
      <w:r w:rsidR="00D15147" w:rsidRPr="0064627E">
        <w:rPr>
          <w:rFonts w:ascii="Aptos" w:eastAsia="PMingLiU" w:hAnsi="Aptos"/>
          <w:spacing w:val="-1"/>
        </w:rPr>
        <w:t>Following the Proposed Transfer</w:t>
      </w:r>
      <w:r w:rsidRPr="0064627E">
        <w:rPr>
          <w:rFonts w:ascii="Aptos" w:eastAsia="PMingLiU" w:hAnsi="Aptos"/>
          <w:spacing w:val="-1"/>
        </w:rPr>
        <w:t xml:space="preserve">, </w:t>
      </w:r>
      <w:r w:rsidR="00457998" w:rsidRPr="0064627E">
        <w:rPr>
          <w:rFonts w:ascii="Aptos" w:eastAsia="PMingLiU" w:hAnsi="Aptos"/>
          <w:spacing w:val="-1"/>
        </w:rPr>
        <w:t>MMC</w:t>
      </w:r>
      <w:r w:rsidRPr="0064627E">
        <w:rPr>
          <w:rFonts w:ascii="Aptos" w:eastAsia="PMingLiU" w:hAnsi="Aptos"/>
          <w:spacing w:val="-1"/>
        </w:rPr>
        <w:t xml:space="preserve"> patients will have</w:t>
      </w:r>
      <w:r w:rsidR="00FA49C1" w:rsidRPr="0064627E">
        <w:rPr>
          <w:rFonts w:ascii="Aptos" w:eastAsia="PMingLiU" w:hAnsi="Aptos"/>
          <w:spacing w:val="-1"/>
        </w:rPr>
        <w:t xml:space="preserve"> more integrated care</w:t>
      </w:r>
      <w:r w:rsidR="00D8781B" w:rsidRPr="0064627E">
        <w:rPr>
          <w:rFonts w:ascii="Aptos" w:eastAsia="PMingLiU" w:hAnsi="Aptos"/>
          <w:spacing w:val="-1"/>
        </w:rPr>
        <w:t xml:space="preserve"> and therefore </w:t>
      </w:r>
      <w:r w:rsidR="00D15147" w:rsidRPr="0064627E">
        <w:rPr>
          <w:rFonts w:ascii="Aptos" w:eastAsia="PMingLiU" w:hAnsi="Aptos"/>
          <w:spacing w:val="-1"/>
        </w:rPr>
        <w:t xml:space="preserve">better </w:t>
      </w:r>
      <w:r w:rsidRPr="0064627E">
        <w:rPr>
          <w:rFonts w:ascii="Aptos" w:eastAsia="PMingLiU" w:hAnsi="Aptos"/>
          <w:spacing w:val="-1"/>
        </w:rPr>
        <w:t xml:space="preserve">access to </w:t>
      </w:r>
      <w:r w:rsidR="00D15147" w:rsidRPr="0064627E">
        <w:rPr>
          <w:rFonts w:ascii="Aptos" w:eastAsia="PMingLiU" w:hAnsi="Aptos"/>
          <w:spacing w:val="-1"/>
        </w:rPr>
        <w:t xml:space="preserve">BH </w:t>
      </w:r>
      <w:r w:rsidRPr="0064627E">
        <w:rPr>
          <w:rFonts w:ascii="Aptos" w:eastAsia="PMingLiU" w:hAnsi="Aptos"/>
          <w:spacing w:val="-1"/>
        </w:rPr>
        <w:t>providers across the care continuum. This will reduce existing delays in accessing emergency and inpatient care</w:t>
      </w:r>
      <w:r w:rsidRPr="0064627E">
        <w:rPr>
          <w:rFonts w:ascii="Aptos" w:eastAsia="PMingLiU" w:hAnsi="Aptos"/>
        </w:rPr>
        <w:t>, and provide</w:t>
      </w:r>
      <w:r w:rsidRPr="0064627E">
        <w:rPr>
          <w:rFonts w:ascii="Aptos" w:eastAsia="PMingLiU" w:hAnsi="Aptos"/>
          <w:spacing w:val="-1"/>
        </w:rPr>
        <w:t xml:space="preserve"> improved access to timely, locally based care.</w:t>
      </w:r>
      <w:r w:rsidRPr="0064627E">
        <w:rPr>
          <w:rFonts w:ascii="Aptos" w:eastAsia="Calibri" w:hAnsi="Aptos" w:cs="Calibri"/>
          <w:spacing w:val="-1"/>
          <w:vertAlign w:val="superscript"/>
        </w:rPr>
        <w:footnoteReference w:id="16"/>
      </w:r>
      <w:r w:rsidRPr="0064627E">
        <w:rPr>
          <w:rFonts w:ascii="Aptos" w:eastAsia="PMingLiU" w:hAnsi="Aptos"/>
          <w:spacing w:val="-1"/>
        </w:rPr>
        <w:t xml:space="preserve">  </w:t>
      </w:r>
    </w:p>
    <w:p w14:paraId="3C7E73BB" w14:textId="27BC19D7" w:rsidR="00F47C9F" w:rsidRPr="0064627E" w:rsidRDefault="00F47C9F" w:rsidP="00432444">
      <w:pPr>
        <w:spacing w:after="120"/>
        <w:jc w:val="both"/>
        <w:rPr>
          <w:rFonts w:ascii="Aptos" w:eastAsia="Calibri" w:hAnsi="Aptos"/>
        </w:rPr>
      </w:pPr>
      <w:r w:rsidRPr="0064627E">
        <w:rPr>
          <w:rFonts w:ascii="Aptos" w:eastAsia="Calibri" w:hAnsi="Aptos"/>
        </w:rPr>
        <w:t>Affiliation with a multi-hospital</w:t>
      </w:r>
      <w:r w:rsidR="00C016A9" w:rsidRPr="0064627E">
        <w:rPr>
          <w:rFonts w:ascii="Aptos" w:eastAsia="Calibri" w:hAnsi="Aptos"/>
        </w:rPr>
        <w:t xml:space="preserve"> </w:t>
      </w:r>
      <w:r w:rsidRPr="0064627E">
        <w:rPr>
          <w:rFonts w:ascii="Aptos" w:eastAsia="Calibri" w:hAnsi="Aptos"/>
        </w:rPr>
        <w:t>health system significantly improves access to specialty care for patients, particularly in underserved communities. By leveraging system-wide resources, these networks can bring specialized outpatient services closer to populations that previously faced barriers to care, resulting in considerable health benefits.</w:t>
      </w:r>
      <w:r w:rsidRPr="0064627E">
        <w:rPr>
          <w:rStyle w:val="FootnoteReference"/>
          <w:rFonts w:ascii="Aptos" w:eastAsia="Calibri" w:hAnsi="Aptos"/>
        </w:rPr>
        <w:footnoteReference w:id="17"/>
      </w:r>
      <w:r w:rsidRPr="0064627E">
        <w:rPr>
          <w:rFonts w:ascii="Aptos" w:eastAsia="Calibri" w:hAnsi="Aptos"/>
        </w:rPr>
        <w:t xml:space="preserve"> This allows patients to access necessary specialty services locally, which not only reduces the need for </w:t>
      </w:r>
      <w:r w:rsidRPr="0064627E">
        <w:rPr>
          <w:rFonts w:ascii="Aptos" w:eastAsia="Calibri" w:hAnsi="Aptos"/>
        </w:rPr>
        <w:lastRenderedPageBreak/>
        <w:t>inpatient admissions but also minimizes burdensome time and transportation costs.</w:t>
      </w:r>
      <w:r w:rsidRPr="0064627E">
        <w:rPr>
          <w:rStyle w:val="FootnoteReference"/>
          <w:rFonts w:ascii="Aptos" w:eastAsia="Calibri" w:hAnsi="Aptos"/>
        </w:rPr>
        <w:footnoteReference w:id="18"/>
      </w:r>
      <w:r w:rsidRPr="0064627E">
        <w:rPr>
          <w:rFonts w:ascii="Aptos" w:eastAsia="Calibri" w:hAnsi="Aptos"/>
        </w:rPr>
        <w:t xml:space="preserve"> Enhanced local access increases the likelihood that patients will receive timely and appropriate care, while expanded appointment availability within multi-hospital systems further ensures that patients can see specialists when needed.</w:t>
      </w:r>
      <w:r w:rsidRPr="0064627E">
        <w:rPr>
          <w:rStyle w:val="FootnoteReference"/>
          <w:rFonts w:ascii="Aptos" w:eastAsia="Calibri" w:hAnsi="Aptos"/>
        </w:rPr>
        <w:footnoteReference w:id="19"/>
      </w:r>
    </w:p>
    <w:p w14:paraId="2B8B2D00" w14:textId="18DD439E" w:rsidR="003C727C" w:rsidRPr="0064627E" w:rsidRDefault="0037149C" w:rsidP="00A117B3">
      <w:pPr>
        <w:spacing w:after="120"/>
        <w:jc w:val="both"/>
        <w:rPr>
          <w:rFonts w:ascii="Aptos" w:eastAsia="Calibri" w:hAnsi="Aptos"/>
        </w:rPr>
      </w:pPr>
      <w:r w:rsidRPr="0064627E">
        <w:rPr>
          <w:rFonts w:ascii="Aptos" w:eastAsia="Calibri" w:hAnsi="Aptos"/>
        </w:rPr>
        <w:t xml:space="preserve">Moreover, affiliation within a </w:t>
      </w:r>
      <w:r w:rsidR="00EE1D16" w:rsidRPr="0064627E">
        <w:rPr>
          <w:rFonts w:ascii="Aptos" w:eastAsia="Calibri" w:hAnsi="Aptos"/>
        </w:rPr>
        <w:t xml:space="preserve">clinically integrated health system </w:t>
      </w:r>
      <w:r w:rsidRPr="0064627E">
        <w:rPr>
          <w:rFonts w:ascii="Aptos" w:eastAsia="Calibri" w:hAnsi="Aptos"/>
        </w:rPr>
        <w:t xml:space="preserve">provides a </w:t>
      </w:r>
      <w:r w:rsidR="00EE1D16" w:rsidRPr="0064627E">
        <w:rPr>
          <w:rFonts w:ascii="Aptos" w:eastAsia="Calibri" w:hAnsi="Aptos"/>
        </w:rPr>
        <w:t xml:space="preserve">higher degree of care coordination than </w:t>
      </w:r>
      <w:r w:rsidRPr="0064627E">
        <w:rPr>
          <w:rFonts w:ascii="Aptos" w:eastAsia="Calibri" w:hAnsi="Aptos"/>
        </w:rPr>
        <w:t xml:space="preserve">a </w:t>
      </w:r>
      <w:r w:rsidR="00EE1D16" w:rsidRPr="0064627E">
        <w:rPr>
          <w:rFonts w:ascii="Aptos" w:eastAsia="Calibri" w:hAnsi="Aptos"/>
        </w:rPr>
        <w:noBreakHyphen/>
      </w:r>
      <w:r w:rsidR="00AA21FA" w:rsidRPr="0064627E">
        <w:rPr>
          <w:rFonts w:ascii="Aptos" w:eastAsia="Calibri" w:hAnsi="Aptos"/>
        </w:rPr>
        <w:t>standalone</w:t>
      </w:r>
      <w:r w:rsidR="00EE1D16" w:rsidRPr="0064627E">
        <w:rPr>
          <w:rFonts w:ascii="Aptos" w:eastAsia="Calibri" w:hAnsi="Aptos"/>
        </w:rPr>
        <w:t xml:space="preserve"> hospital</w:t>
      </w:r>
      <w:r w:rsidRPr="0064627E">
        <w:rPr>
          <w:rFonts w:ascii="Aptos" w:eastAsia="Calibri" w:hAnsi="Aptos"/>
        </w:rPr>
        <w:t xml:space="preserve"> is able to</w:t>
      </w:r>
      <w:r w:rsidR="00EE1D16" w:rsidRPr="0064627E">
        <w:rPr>
          <w:rFonts w:ascii="Aptos" w:eastAsia="Calibri" w:hAnsi="Aptos"/>
        </w:rPr>
        <w:t xml:space="preserve"> because </w:t>
      </w:r>
      <w:r w:rsidR="003B0DF5" w:rsidRPr="0064627E">
        <w:rPr>
          <w:rFonts w:ascii="Aptos" w:eastAsia="Calibri" w:hAnsi="Aptos"/>
        </w:rPr>
        <w:t>such health systems</w:t>
      </w:r>
      <w:r w:rsidR="00EE1D16" w:rsidRPr="0064627E">
        <w:rPr>
          <w:rFonts w:ascii="Aptos" w:eastAsia="Calibri" w:hAnsi="Aptos"/>
        </w:rPr>
        <w:t xml:space="preserve"> operate under shared governance structures, integrated health information technology platforms, </w:t>
      </w:r>
      <w:r w:rsidRPr="0064627E">
        <w:rPr>
          <w:rFonts w:ascii="Aptos" w:eastAsia="Calibri" w:hAnsi="Aptos"/>
        </w:rPr>
        <w:t xml:space="preserve">uniform quality improvement programs, and </w:t>
      </w:r>
      <w:r w:rsidR="00EE1D16" w:rsidRPr="0064627E">
        <w:rPr>
          <w:rFonts w:ascii="Aptos" w:eastAsia="Calibri" w:hAnsi="Aptos"/>
        </w:rPr>
        <w:t xml:space="preserve">standardized clinical workflows that span </w:t>
      </w:r>
      <w:r w:rsidRPr="0064627E">
        <w:rPr>
          <w:rFonts w:ascii="Aptos" w:eastAsia="Calibri" w:hAnsi="Aptos"/>
        </w:rPr>
        <w:t xml:space="preserve">care </w:t>
      </w:r>
      <w:r w:rsidR="00EE1D16" w:rsidRPr="0064627E">
        <w:rPr>
          <w:rFonts w:ascii="Aptos" w:eastAsia="Calibri" w:hAnsi="Aptos"/>
        </w:rPr>
        <w:t>settings.</w:t>
      </w:r>
      <w:r w:rsidRPr="0064627E">
        <w:rPr>
          <w:rStyle w:val="FootnoteReference"/>
          <w:rFonts w:ascii="Aptos" w:eastAsia="Calibri" w:hAnsi="Aptos"/>
        </w:rPr>
        <w:footnoteReference w:id="20"/>
      </w:r>
      <w:r w:rsidR="00EE1D16" w:rsidRPr="0064627E">
        <w:rPr>
          <w:rFonts w:ascii="Aptos" w:eastAsia="Calibri" w:hAnsi="Aptos"/>
        </w:rPr>
        <w:t xml:space="preserve"> </w:t>
      </w:r>
      <w:r w:rsidRPr="0064627E">
        <w:rPr>
          <w:rFonts w:ascii="Aptos" w:eastAsia="Calibri" w:hAnsi="Aptos"/>
        </w:rPr>
        <w:t xml:space="preserve">Research </w:t>
      </w:r>
      <w:r w:rsidR="00EE1D16" w:rsidRPr="0064627E">
        <w:rPr>
          <w:rFonts w:ascii="Aptos" w:eastAsia="Calibri" w:hAnsi="Aptos"/>
        </w:rPr>
        <w:t>demonstrate</w:t>
      </w:r>
      <w:r w:rsidR="003B0DF5" w:rsidRPr="0064627E">
        <w:rPr>
          <w:rFonts w:ascii="Aptos" w:eastAsia="Calibri" w:hAnsi="Aptos"/>
        </w:rPr>
        <w:t>s</w:t>
      </w:r>
      <w:r w:rsidR="00EE1D16" w:rsidRPr="0064627E">
        <w:rPr>
          <w:rFonts w:ascii="Aptos" w:eastAsia="Calibri" w:hAnsi="Aptos"/>
        </w:rPr>
        <w:t xml:space="preserve"> that hospitals affiliated with clinically integrated systems are significantly more likely than independent hospitals to implement formal care coordination practices—including </w:t>
      </w:r>
      <w:r w:rsidR="00AA21FA" w:rsidRPr="0064627E">
        <w:rPr>
          <w:rFonts w:ascii="Aptos" w:eastAsia="Calibri" w:hAnsi="Aptos"/>
        </w:rPr>
        <w:t>–post discharge follow-up</w:t>
      </w:r>
      <w:r w:rsidR="00EE1D16" w:rsidRPr="0064627E">
        <w:rPr>
          <w:rFonts w:ascii="Aptos" w:eastAsia="Calibri" w:hAnsi="Aptos"/>
        </w:rPr>
        <w:t>, chronic disease management, and accountable care organization participation—reflecting greater organizational capacity to coordinate care across the continuum.</w:t>
      </w:r>
      <w:r w:rsidRPr="0064627E">
        <w:rPr>
          <w:rStyle w:val="FootnoteReference"/>
          <w:rFonts w:ascii="Aptos" w:eastAsia="Calibri" w:hAnsi="Aptos"/>
        </w:rPr>
        <w:footnoteReference w:id="21"/>
      </w:r>
      <w:r w:rsidR="00EE1D16" w:rsidRPr="0064627E">
        <w:rPr>
          <w:rFonts w:ascii="Aptos" w:eastAsia="Calibri" w:hAnsi="Aptos"/>
        </w:rPr>
        <w:t xml:space="preserve"> </w:t>
      </w:r>
      <w:r w:rsidRPr="0064627E">
        <w:rPr>
          <w:rFonts w:ascii="Aptos" w:eastAsia="Calibri" w:hAnsi="Aptos"/>
        </w:rPr>
        <w:t xml:space="preserve">The clinical integration available through large health systems </w:t>
      </w:r>
      <w:r w:rsidR="00EE1D16" w:rsidRPr="0064627E">
        <w:rPr>
          <w:rFonts w:ascii="Aptos" w:eastAsia="Calibri" w:hAnsi="Aptos"/>
        </w:rPr>
        <w:t xml:space="preserve">improves care coordination by enabling timely information exchange, aligned </w:t>
      </w:r>
      <w:r w:rsidRPr="0064627E">
        <w:rPr>
          <w:rFonts w:ascii="Aptos" w:eastAsia="Calibri" w:hAnsi="Aptos"/>
        </w:rPr>
        <w:t>quality metrics</w:t>
      </w:r>
      <w:r w:rsidR="00EE1D16" w:rsidRPr="0064627E">
        <w:rPr>
          <w:rFonts w:ascii="Aptos" w:eastAsia="Calibri" w:hAnsi="Aptos"/>
        </w:rPr>
        <w:t xml:space="preserve">, and clearer accountability during transitions of care, leading to more consistent coordination processes than those observed in </w:t>
      </w:r>
      <w:r w:rsidR="00EE1D16" w:rsidRPr="0064627E">
        <w:rPr>
          <w:rFonts w:ascii="Aptos" w:eastAsia="Calibri" w:hAnsi="Aptos"/>
        </w:rPr>
        <w:noBreakHyphen/>
      </w:r>
      <w:r w:rsidR="00AA21FA" w:rsidRPr="0064627E">
        <w:rPr>
          <w:rFonts w:ascii="Aptos" w:eastAsia="Calibri" w:hAnsi="Aptos"/>
        </w:rPr>
        <w:t>standalone</w:t>
      </w:r>
      <w:r w:rsidR="00EE1D16" w:rsidRPr="0064627E">
        <w:rPr>
          <w:rFonts w:ascii="Aptos" w:eastAsia="Calibri" w:hAnsi="Aptos"/>
        </w:rPr>
        <w:t xml:space="preserve"> hospitals.</w:t>
      </w:r>
      <w:r w:rsidRPr="0064627E">
        <w:rPr>
          <w:rStyle w:val="FootnoteReference"/>
          <w:rFonts w:ascii="Aptos" w:eastAsia="Calibri" w:hAnsi="Aptos"/>
        </w:rPr>
        <w:footnoteReference w:id="22"/>
      </w:r>
      <w:r w:rsidR="00A117B3" w:rsidRPr="0064627E">
        <w:rPr>
          <w:rFonts w:ascii="Aptos" w:eastAsia="Calibri" w:hAnsi="Aptos"/>
        </w:rPr>
        <w:t xml:space="preserve"> Following the Proposed </w:t>
      </w:r>
      <w:r w:rsidR="00AA21FA" w:rsidRPr="0064627E">
        <w:rPr>
          <w:rFonts w:ascii="Aptos" w:eastAsia="Calibri" w:hAnsi="Aptos"/>
        </w:rPr>
        <w:t>Transfer</w:t>
      </w:r>
      <w:r w:rsidR="00A117B3" w:rsidRPr="0064627E">
        <w:rPr>
          <w:rFonts w:ascii="Aptos" w:eastAsia="Calibri" w:hAnsi="Aptos"/>
        </w:rPr>
        <w:t xml:space="preserve">, MMC will be integrated with a Massachusetts-based integrated health system. </w:t>
      </w:r>
      <w:r w:rsidR="003C727C" w:rsidRPr="0064627E">
        <w:rPr>
          <w:rFonts w:ascii="Aptos" w:eastAsia="Calibri" w:hAnsi="Aptos"/>
        </w:rPr>
        <w:t xml:space="preserve">The Proposed Transfer is supported by substantial evidence demonstrating that integration into a </w:t>
      </w:r>
      <w:r w:rsidR="5D812334" w:rsidRPr="0064627E">
        <w:rPr>
          <w:rFonts w:ascii="Aptos" w:eastAsia="Calibri" w:hAnsi="Aptos"/>
        </w:rPr>
        <w:t xml:space="preserve">regional, Massachusetts-based </w:t>
      </w:r>
      <w:r w:rsidR="003C727C" w:rsidRPr="0064627E">
        <w:rPr>
          <w:rFonts w:ascii="Aptos" w:eastAsia="Calibri" w:hAnsi="Aptos"/>
        </w:rPr>
        <w:t>hospital health system preserves access to essential community-based services, strengthens care coordination, and improves long-term operational stability for struggling independent</w:t>
      </w:r>
      <w:r w:rsidR="1D140E31" w:rsidRPr="0064627E">
        <w:rPr>
          <w:rFonts w:ascii="Aptos" w:eastAsia="Calibri" w:hAnsi="Aptos"/>
        </w:rPr>
        <w:t xml:space="preserve"> </w:t>
      </w:r>
      <w:r w:rsidR="003C727C" w:rsidRPr="0064627E">
        <w:rPr>
          <w:rFonts w:ascii="Aptos" w:eastAsia="Calibri" w:hAnsi="Aptos"/>
        </w:rPr>
        <w:t xml:space="preserve">hospitals. Through the Proposed Transfer, BH will work to </w:t>
      </w:r>
      <w:r w:rsidR="00F90D44" w:rsidRPr="0064627E">
        <w:rPr>
          <w:rFonts w:ascii="Aptos" w:eastAsia="Calibri" w:hAnsi="Aptos"/>
        </w:rPr>
        <w:t>stabilize</w:t>
      </w:r>
      <w:r w:rsidR="003C727C" w:rsidRPr="0064627E">
        <w:rPr>
          <w:rFonts w:ascii="Aptos" w:eastAsia="Calibri" w:hAnsi="Aptos"/>
        </w:rPr>
        <w:t xml:space="preserve"> MMC’s operations, preserving local access to hospital and specialty services for a high-public payer patient population and integrating MMC into </w:t>
      </w:r>
      <w:r w:rsidR="00F90D44" w:rsidRPr="0064627E">
        <w:rPr>
          <w:rFonts w:ascii="Aptos" w:eastAsia="Calibri" w:hAnsi="Aptos"/>
        </w:rPr>
        <w:t>BH</w:t>
      </w:r>
      <w:r w:rsidR="003C727C" w:rsidRPr="0064627E">
        <w:rPr>
          <w:rFonts w:ascii="Aptos" w:eastAsia="Calibri" w:hAnsi="Aptos"/>
        </w:rPr>
        <w:t>’s broader clinical, administrative, and care coordination infrastructure. In turn, MMC patients will benefit from improved continuity of care, enhanced access to timely and locally based services, and stronger linkages across the care continuum. For these reasons, the Proposed Transfer represents an evidence-</w:t>
      </w:r>
      <w:r w:rsidR="003C727C" w:rsidRPr="0064627E">
        <w:rPr>
          <w:rFonts w:ascii="Aptos" w:eastAsia="Calibri" w:hAnsi="Aptos"/>
        </w:rPr>
        <w:lastRenderedPageBreak/>
        <w:t xml:space="preserve">based </w:t>
      </w:r>
      <w:r w:rsidR="00F90D44" w:rsidRPr="0064627E">
        <w:rPr>
          <w:rFonts w:ascii="Aptos" w:eastAsia="Calibri" w:hAnsi="Aptos"/>
        </w:rPr>
        <w:t xml:space="preserve">solution to ensure the </w:t>
      </w:r>
      <w:r w:rsidR="003C727C" w:rsidRPr="0064627E">
        <w:rPr>
          <w:rFonts w:ascii="Aptos" w:eastAsia="Calibri" w:hAnsi="Aptos"/>
        </w:rPr>
        <w:t>delivery of coordinated, accessible, and sustainable care</w:t>
      </w:r>
      <w:r w:rsidR="00F90D44" w:rsidRPr="0064627E">
        <w:rPr>
          <w:rFonts w:ascii="Aptos" w:eastAsia="Calibri" w:hAnsi="Aptos"/>
        </w:rPr>
        <w:t xml:space="preserve"> in the community</w:t>
      </w:r>
      <w:r w:rsidR="003C727C" w:rsidRPr="0064627E">
        <w:rPr>
          <w:rFonts w:ascii="Aptos" w:eastAsia="Calibri" w:hAnsi="Aptos"/>
        </w:rPr>
        <w:t>.</w:t>
      </w:r>
    </w:p>
    <w:p w14:paraId="6525FE49" w14:textId="77777777" w:rsidR="003C727C" w:rsidRPr="0064627E" w:rsidRDefault="003C727C" w:rsidP="003C727C">
      <w:pPr>
        <w:keepNext/>
        <w:tabs>
          <w:tab w:val="left" w:pos="0"/>
        </w:tabs>
        <w:suppressAutoHyphens w:val="0"/>
        <w:jc w:val="both"/>
        <w:rPr>
          <w:rFonts w:ascii="Aptos" w:eastAsia="Calibri" w:hAnsi="Aptos"/>
        </w:rPr>
      </w:pPr>
    </w:p>
    <w:p w14:paraId="6FA37D95" w14:textId="77777777" w:rsidR="00C314C7" w:rsidRPr="0064627E" w:rsidRDefault="00C314C7" w:rsidP="00D20569">
      <w:pPr>
        <w:pStyle w:val="Heading2"/>
        <w:tabs>
          <w:tab w:val="left" w:pos="1440"/>
        </w:tabs>
        <w:rPr>
          <w:rFonts w:eastAsia="PMingLiU"/>
          <w:sz w:val="24"/>
          <w:szCs w:val="24"/>
        </w:rPr>
      </w:pPr>
      <w:r w:rsidRPr="0064627E">
        <w:rPr>
          <w:rFonts w:eastAsia="PMingLiU"/>
          <w:sz w:val="24"/>
          <w:szCs w:val="24"/>
        </w:rPr>
        <w:t>F1.</w:t>
      </w:r>
      <w:proofErr w:type="gramStart"/>
      <w:r w:rsidRPr="0064627E">
        <w:rPr>
          <w:rFonts w:eastAsia="PMingLiU"/>
          <w:sz w:val="24"/>
          <w:szCs w:val="24"/>
        </w:rPr>
        <w:t>b.ii</w:t>
      </w:r>
      <w:proofErr w:type="gramEnd"/>
      <w:r w:rsidRPr="0064627E">
        <w:rPr>
          <w:rFonts w:eastAsia="PMingLiU"/>
          <w:sz w:val="24"/>
          <w:szCs w:val="24"/>
        </w:rPr>
        <w:t xml:space="preserve"> </w:t>
      </w:r>
      <w:r w:rsidRPr="0064627E">
        <w:rPr>
          <w:rFonts w:eastAsia="PMingLiU"/>
          <w:sz w:val="24"/>
          <w:szCs w:val="24"/>
        </w:rPr>
        <w:tab/>
        <w:t>Public Health Value /Outcome-Oriented</w:t>
      </w:r>
    </w:p>
    <w:p w14:paraId="6E15A7AD" w14:textId="77777777" w:rsidR="00C314C7" w:rsidRPr="0064627E" w:rsidRDefault="00C314C7" w:rsidP="00C314C7">
      <w:pPr>
        <w:spacing w:after="120"/>
        <w:ind w:left="1440"/>
        <w:jc w:val="both"/>
        <w:rPr>
          <w:rFonts w:ascii="Aptos" w:eastAsia="PMingLiU" w:hAnsi="Aptos"/>
          <w:b/>
          <w:bCs/>
          <w:color w:val="2E5395"/>
        </w:rPr>
      </w:pPr>
      <w:r w:rsidRPr="0064627E">
        <w:rPr>
          <w:rFonts w:ascii="Aptos" w:eastAsia="PMingLiU" w:hAnsi="Aptos"/>
          <w:b/>
          <w:bCs/>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4FCE7D13" w14:textId="72C46D55" w:rsidR="00C314C7" w:rsidRPr="0064627E" w:rsidRDefault="00C314C7" w:rsidP="00C314C7">
      <w:pPr>
        <w:spacing w:after="120"/>
        <w:jc w:val="both"/>
        <w:rPr>
          <w:rFonts w:ascii="Aptos" w:eastAsia="Calibri" w:hAnsi="Aptos"/>
        </w:rPr>
      </w:pPr>
      <w:r w:rsidRPr="0064627E">
        <w:rPr>
          <w:rFonts w:ascii="Aptos" w:eastAsia="PMingLiU" w:hAnsi="Aptos"/>
        </w:rPr>
        <w:t>The transfer of MMC to Baystate Health is expected to yield positive outcomes for the community through not only the continued provision of</w:t>
      </w:r>
      <w:r w:rsidR="007E6EA0" w:rsidRPr="0064627E">
        <w:rPr>
          <w:rFonts w:ascii="Aptos" w:eastAsia="PMingLiU" w:hAnsi="Aptos"/>
        </w:rPr>
        <w:t xml:space="preserve"> adequate care in the region</w:t>
      </w:r>
      <w:r w:rsidRPr="0064627E">
        <w:rPr>
          <w:rFonts w:ascii="Aptos" w:eastAsia="PMingLiU" w:hAnsi="Aptos"/>
        </w:rPr>
        <w:t xml:space="preserve">, but by improving and better coordinating the utilization of inpatient beds at </w:t>
      </w:r>
      <w:r w:rsidR="00457998" w:rsidRPr="0064627E">
        <w:rPr>
          <w:rFonts w:ascii="Aptos" w:eastAsia="PMingLiU" w:hAnsi="Aptos"/>
        </w:rPr>
        <w:t>MMC</w:t>
      </w:r>
      <w:r w:rsidRPr="0064627E">
        <w:rPr>
          <w:rFonts w:ascii="Aptos" w:eastAsia="PMingLiU" w:hAnsi="Aptos"/>
        </w:rPr>
        <w:t xml:space="preserve"> and BMC.</w:t>
      </w:r>
      <w:r w:rsidR="007E6EA0" w:rsidRPr="0064627E">
        <w:rPr>
          <w:rFonts w:ascii="Aptos" w:eastAsia="PMingLiU" w:hAnsi="Aptos"/>
        </w:rPr>
        <w:t xml:space="preserve"> </w:t>
      </w:r>
      <w:r w:rsidRPr="0064627E">
        <w:rPr>
          <w:rFonts w:ascii="Aptos" w:eastAsia="PMingLiU" w:hAnsi="Aptos"/>
        </w:rPr>
        <w:t xml:space="preserve">By ensuring that the right care is delivered at the right time and right place, the Proposed Transfer will improve access to inpatient and emergency care and patient experience. </w:t>
      </w:r>
    </w:p>
    <w:p w14:paraId="3FA12B07" w14:textId="01C6501B" w:rsidR="00C314C7" w:rsidRPr="0064627E" w:rsidRDefault="00C314C7" w:rsidP="006B3D5A">
      <w:pPr>
        <w:pStyle w:val="Heading3"/>
        <w:numPr>
          <w:ilvl w:val="0"/>
          <w:numId w:val="18"/>
        </w:numPr>
        <w:rPr>
          <w:b/>
          <w:bCs/>
          <w:sz w:val="24"/>
          <w:szCs w:val="24"/>
        </w:rPr>
      </w:pPr>
      <w:r w:rsidRPr="0064627E">
        <w:rPr>
          <w:b/>
          <w:bCs/>
          <w:sz w:val="24"/>
          <w:szCs w:val="24"/>
        </w:rPr>
        <w:t xml:space="preserve">Quality Measure 1 – Access to Care   </w:t>
      </w:r>
    </w:p>
    <w:p w14:paraId="05ACFCC1" w14:textId="2D724772" w:rsidR="00C314C7" w:rsidRPr="0064627E" w:rsidRDefault="00C314C7" w:rsidP="00C314C7">
      <w:pPr>
        <w:suppressAutoHyphens w:val="0"/>
        <w:spacing w:after="120"/>
        <w:jc w:val="both"/>
        <w:rPr>
          <w:rFonts w:ascii="Aptos" w:hAnsi="Aptos"/>
        </w:rPr>
      </w:pPr>
      <w:r w:rsidRPr="0064627E">
        <w:rPr>
          <w:rFonts w:ascii="Aptos" w:hAnsi="Aptos"/>
        </w:rPr>
        <w:t>BMC’s medical</w:t>
      </w:r>
      <w:r w:rsidR="003C7DDA" w:rsidRPr="0064627E">
        <w:rPr>
          <w:rFonts w:ascii="Aptos" w:hAnsi="Aptos"/>
        </w:rPr>
        <w:t>/</w:t>
      </w:r>
      <w:r w:rsidRPr="0064627E">
        <w:rPr>
          <w:rFonts w:ascii="Aptos" w:hAnsi="Aptos"/>
        </w:rPr>
        <w:t xml:space="preserve">surgical service is </w:t>
      </w:r>
      <w:r w:rsidR="003C7DDA" w:rsidRPr="0064627E">
        <w:rPr>
          <w:rFonts w:ascii="Aptos" w:hAnsi="Aptos"/>
        </w:rPr>
        <w:t xml:space="preserve">operating </w:t>
      </w:r>
      <w:r w:rsidR="00CA774B" w:rsidRPr="0064627E">
        <w:rPr>
          <w:rFonts w:ascii="Aptos" w:hAnsi="Aptos"/>
        </w:rPr>
        <w:t xml:space="preserve">well </w:t>
      </w:r>
      <w:r w:rsidR="003C7DDA" w:rsidRPr="0064627E">
        <w:rPr>
          <w:rFonts w:ascii="Aptos" w:hAnsi="Aptos"/>
        </w:rPr>
        <w:t>above optimal</w:t>
      </w:r>
      <w:r w:rsidRPr="0064627E">
        <w:rPr>
          <w:rFonts w:ascii="Aptos" w:hAnsi="Aptos"/>
        </w:rPr>
        <w:t xml:space="preserve"> </w:t>
      </w:r>
      <w:r w:rsidR="003C7DDA" w:rsidRPr="0064627E">
        <w:rPr>
          <w:rFonts w:ascii="Aptos" w:hAnsi="Aptos"/>
        </w:rPr>
        <w:t>capacity,</w:t>
      </w:r>
      <w:r w:rsidRPr="0064627E">
        <w:rPr>
          <w:rFonts w:ascii="Aptos" w:hAnsi="Aptos"/>
        </w:rPr>
        <w:t xml:space="preserve"> significantly limiting ED throughput and the ability to deliver timely care. These limitations are evident through a review of ED boarding hours and the high volume of patients who </w:t>
      </w:r>
      <w:proofErr w:type="gramStart"/>
      <w:r w:rsidRPr="0064627E">
        <w:rPr>
          <w:rFonts w:ascii="Aptos" w:hAnsi="Aptos"/>
        </w:rPr>
        <w:t>leave</w:t>
      </w:r>
      <w:proofErr w:type="gramEnd"/>
      <w:r w:rsidRPr="0064627E">
        <w:rPr>
          <w:rFonts w:ascii="Aptos" w:hAnsi="Aptos"/>
        </w:rPr>
        <w:t xml:space="preserve"> without being seen (LWBS)</w:t>
      </w:r>
      <w:r w:rsidR="003C7DDA" w:rsidRPr="0064627E">
        <w:rPr>
          <w:rFonts w:ascii="Aptos" w:hAnsi="Aptos"/>
        </w:rPr>
        <w:t xml:space="preserve"> in the ED</w:t>
      </w:r>
      <w:r w:rsidRPr="0064627E">
        <w:rPr>
          <w:rFonts w:ascii="Aptos" w:hAnsi="Aptos"/>
        </w:rPr>
        <w:t xml:space="preserve">. Long waits in the ED mean that some patients decide to leave without receiving care. BMC’s LWBS rate is five times the national rate and twice the state rate. The LWBS rate represents an unmet need for obtaining timely care in the community. </w:t>
      </w:r>
    </w:p>
    <w:p w14:paraId="58691FAD" w14:textId="478E9D4F" w:rsidR="00C314C7" w:rsidRPr="0064627E" w:rsidRDefault="00C314C7" w:rsidP="00C314C7">
      <w:pPr>
        <w:suppressAutoHyphens w:val="0"/>
        <w:spacing w:after="120"/>
        <w:jc w:val="both"/>
        <w:rPr>
          <w:rFonts w:ascii="Aptos" w:hAnsi="Aptos"/>
        </w:rPr>
      </w:pPr>
      <w:r w:rsidRPr="0064627E">
        <w:rPr>
          <w:rFonts w:ascii="Aptos" w:hAnsi="Aptos"/>
        </w:rPr>
        <w:t xml:space="preserve">The Applicant anticipates the Proposed Transfer will facilitate level-loading across BMC and </w:t>
      </w:r>
      <w:r w:rsidR="00457998" w:rsidRPr="0064627E">
        <w:rPr>
          <w:rFonts w:ascii="Aptos" w:hAnsi="Aptos"/>
        </w:rPr>
        <w:t>MMC</w:t>
      </w:r>
      <w:r w:rsidRPr="0064627E">
        <w:rPr>
          <w:rFonts w:ascii="Aptos" w:hAnsi="Aptos"/>
        </w:rPr>
        <w:t xml:space="preserve"> by providing capacity to both secondary care </w:t>
      </w:r>
      <w:r w:rsidR="003C7DDA" w:rsidRPr="0064627E">
        <w:rPr>
          <w:rFonts w:ascii="Aptos" w:hAnsi="Aptos"/>
        </w:rPr>
        <w:t xml:space="preserve">at </w:t>
      </w:r>
      <w:r w:rsidR="00457998" w:rsidRPr="0064627E">
        <w:rPr>
          <w:rFonts w:ascii="Aptos" w:hAnsi="Aptos"/>
        </w:rPr>
        <w:t>MMC</w:t>
      </w:r>
      <w:r w:rsidRPr="0064627E">
        <w:rPr>
          <w:rFonts w:ascii="Aptos" w:hAnsi="Aptos"/>
        </w:rPr>
        <w:t xml:space="preserve"> and tertiary care </w:t>
      </w:r>
      <w:r w:rsidR="003C7DDA" w:rsidRPr="0064627E">
        <w:rPr>
          <w:rFonts w:ascii="Aptos" w:hAnsi="Aptos"/>
        </w:rPr>
        <w:t xml:space="preserve">at </w:t>
      </w:r>
      <w:r w:rsidRPr="0064627E">
        <w:rPr>
          <w:rFonts w:ascii="Aptos" w:hAnsi="Aptos"/>
        </w:rPr>
        <w:t xml:space="preserve">BMC in Springfield. </w:t>
      </w:r>
      <w:r w:rsidR="003C7DDA" w:rsidRPr="0064627E">
        <w:rPr>
          <w:rFonts w:ascii="Aptos" w:hAnsi="Aptos"/>
        </w:rPr>
        <w:t>With the Proposed Transfer, p</w:t>
      </w:r>
      <w:r w:rsidRPr="0064627E">
        <w:rPr>
          <w:rFonts w:ascii="Aptos" w:hAnsi="Aptos"/>
        </w:rPr>
        <w:t xml:space="preserve">atients who are currently being admitted to BMC but would be appropriate for a lower level of care </w:t>
      </w:r>
      <w:r w:rsidR="003C7DDA" w:rsidRPr="0064627E">
        <w:rPr>
          <w:rFonts w:ascii="Aptos" w:hAnsi="Aptos"/>
        </w:rPr>
        <w:t>may</w:t>
      </w:r>
      <w:r w:rsidRPr="0064627E">
        <w:rPr>
          <w:rFonts w:ascii="Aptos" w:hAnsi="Aptos"/>
        </w:rPr>
        <w:t xml:space="preserve"> be appropriate for admission at </w:t>
      </w:r>
      <w:r w:rsidR="00457998" w:rsidRPr="0064627E">
        <w:rPr>
          <w:rFonts w:ascii="Aptos" w:hAnsi="Aptos"/>
        </w:rPr>
        <w:t>MMC</w:t>
      </w:r>
      <w:r w:rsidR="003C7DDA" w:rsidRPr="0064627E">
        <w:rPr>
          <w:rFonts w:ascii="Aptos" w:hAnsi="Aptos"/>
        </w:rPr>
        <w:t xml:space="preserve">. By shifting appropriate patients to MMC, </w:t>
      </w:r>
      <w:r w:rsidRPr="0064627E">
        <w:rPr>
          <w:rFonts w:ascii="Aptos" w:hAnsi="Aptos"/>
        </w:rPr>
        <w:t xml:space="preserve">BMC </w:t>
      </w:r>
      <w:r w:rsidR="003C7DDA" w:rsidRPr="0064627E">
        <w:rPr>
          <w:rFonts w:ascii="Aptos" w:hAnsi="Aptos"/>
        </w:rPr>
        <w:t xml:space="preserve">will have more capacity </w:t>
      </w:r>
      <w:r w:rsidRPr="0064627E">
        <w:rPr>
          <w:rFonts w:ascii="Aptos" w:hAnsi="Aptos"/>
        </w:rPr>
        <w:t xml:space="preserve">for patients who require a higher level of care. In turn, these level-loading efforts will be reflected in decreased </w:t>
      </w:r>
      <w:r w:rsidR="00715229" w:rsidRPr="0064627E">
        <w:rPr>
          <w:rFonts w:ascii="Aptos" w:hAnsi="Aptos"/>
        </w:rPr>
        <w:t xml:space="preserve">BMC </w:t>
      </w:r>
      <w:r w:rsidRPr="0064627E">
        <w:rPr>
          <w:rFonts w:ascii="Aptos" w:hAnsi="Aptos"/>
        </w:rPr>
        <w:t xml:space="preserve">ED boarder hours and </w:t>
      </w:r>
      <w:proofErr w:type="gramStart"/>
      <w:r w:rsidRPr="0064627E">
        <w:rPr>
          <w:rFonts w:ascii="Aptos" w:hAnsi="Aptos"/>
        </w:rPr>
        <w:t>the LWBS</w:t>
      </w:r>
      <w:proofErr w:type="gramEnd"/>
      <w:r w:rsidRPr="0064627E">
        <w:rPr>
          <w:rFonts w:ascii="Aptos" w:hAnsi="Aptos"/>
        </w:rPr>
        <w:t xml:space="preserve"> rate because patients will experience shorter wait times to access emergency and inpatient care. </w:t>
      </w:r>
    </w:p>
    <w:p w14:paraId="53F10617" w14:textId="77777777" w:rsidR="00C314C7" w:rsidRPr="0064627E" w:rsidRDefault="00C314C7" w:rsidP="00C314C7">
      <w:pPr>
        <w:suppressAutoHyphens w:val="0"/>
        <w:spacing w:after="120"/>
        <w:jc w:val="both"/>
        <w:rPr>
          <w:rFonts w:ascii="Aptos" w:hAnsi="Aptos"/>
        </w:rPr>
      </w:pPr>
      <w:r w:rsidRPr="0064627E">
        <w:rPr>
          <w:rFonts w:ascii="Aptos" w:hAnsi="Aptos"/>
        </w:rPr>
        <w:t>To assess the Proposed Transfer’s impact on access to care, the Application will track:</w:t>
      </w:r>
    </w:p>
    <w:p w14:paraId="60837CD1" w14:textId="062432E7" w:rsidR="00C314C7" w:rsidRPr="0064627E" w:rsidRDefault="00C314C7" w:rsidP="00C314C7">
      <w:pPr>
        <w:pStyle w:val="ListParagraph"/>
        <w:numPr>
          <w:ilvl w:val="0"/>
          <w:numId w:val="6"/>
        </w:numPr>
        <w:suppressAutoHyphens w:val="0"/>
        <w:spacing w:after="120"/>
        <w:contextualSpacing w:val="0"/>
        <w:jc w:val="both"/>
        <w:rPr>
          <w:rFonts w:ascii="Aptos" w:hAnsi="Aptos"/>
        </w:rPr>
      </w:pPr>
      <w:r w:rsidRPr="0064627E">
        <w:rPr>
          <w:rFonts w:ascii="Aptos" w:hAnsi="Aptos"/>
        </w:rPr>
        <w:t xml:space="preserve">Medical-Surgical Occupancy at </w:t>
      </w:r>
      <w:r w:rsidR="000E32C5" w:rsidRPr="0064627E">
        <w:rPr>
          <w:rFonts w:ascii="Aptos" w:hAnsi="Aptos"/>
        </w:rPr>
        <w:t>MMC</w:t>
      </w:r>
      <w:r w:rsidRPr="0064627E">
        <w:rPr>
          <w:rFonts w:ascii="Aptos" w:hAnsi="Aptos"/>
        </w:rPr>
        <w:t xml:space="preserve"> and BMC </w:t>
      </w:r>
    </w:p>
    <w:p w14:paraId="2F583D50" w14:textId="77777777" w:rsidR="00C314C7" w:rsidRPr="0064627E" w:rsidRDefault="00C314C7" w:rsidP="00C314C7">
      <w:pPr>
        <w:pStyle w:val="ListParagraph"/>
        <w:numPr>
          <w:ilvl w:val="0"/>
          <w:numId w:val="6"/>
        </w:numPr>
        <w:suppressAutoHyphens w:val="0"/>
        <w:spacing w:after="120"/>
        <w:contextualSpacing w:val="0"/>
        <w:jc w:val="both"/>
        <w:rPr>
          <w:rFonts w:ascii="Aptos" w:hAnsi="Aptos"/>
        </w:rPr>
      </w:pPr>
      <w:r w:rsidRPr="0064627E">
        <w:rPr>
          <w:rFonts w:ascii="Aptos" w:hAnsi="Aptos"/>
        </w:rPr>
        <w:t xml:space="preserve">LWBS at BMC </w:t>
      </w:r>
    </w:p>
    <w:p w14:paraId="6734E24E" w14:textId="77777777" w:rsidR="00C314C7" w:rsidRPr="0064627E" w:rsidRDefault="00C314C7" w:rsidP="00C314C7">
      <w:pPr>
        <w:pStyle w:val="ListParagraph"/>
        <w:numPr>
          <w:ilvl w:val="0"/>
          <w:numId w:val="6"/>
        </w:numPr>
        <w:suppressAutoHyphens w:val="0"/>
        <w:spacing w:after="120"/>
        <w:contextualSpacing w:val="0"/>
        <w:jc w:val="both"/>
        <w:rPr>
          <w:rFonts w:ascii="Aptos" w:hAnsi="Aptos"/>
        </w:rPr>
      </w:pPr>
      <w:r w:rsidRPr="0064627E">
        <w:rPr>
          <w:rFonts w:ascii="Aptos" w:hAnsi="Aptos"/>
        </w:rPr>
        <w:t xml:space="preserve">Daily Average Medical ED Boarder Hours at BMC </w:t>
      </w:r>
    </w:p>
    <w:p w14:paraId="4733963B" w14:textId="77777777" w:rsidR="00444155" w:rsidRPr="0064627E" w:rsidRDefault="00444155" w:rsidP="00444155">
      <w:pPr>
        <w:suppressAutoHyphens w:val="0"/>
        <w:spacing w:after="120"/>
        <w:jc w:val="both"/>
        <w:rPr>
          <w:rFonts w:ascii="Aptos" w:hAnsi="Aptos"/>
        </w:rPr>
      </w:pPr>
    </w:p>
    <w:p w14:paraId="72DAA5AC" w14:textId="2FFBDEDF" w:rsidR="00C314C7" w:rsidRPr="0064627E" w:rsidRDefault="00C314C7" w:rsidP="006B3D5A">
      <w:pPr>
        <w:pStyle w:val="Heading3"/>
        <w:numPr>
          <w:ilvl w:val="0"/>
          <w:numId w:val="18"/>
        </w:numPr>
        <w:rPr>
          <w:b/>
          <w:bCs/>
          <w:sz w:val="24"/>
          <w:szCs w:val="24"/>
        </w:rPr>
      </w:pPr>
      <w:r w:rsidRPr="0064627E">
        <w:rPr>
          <w:b/>
          <w:bCs/>
          <w:sz w:val="24"/>
          <w:szCs w:val="24"/>
        </w:rPr>
        <w:lastRenderedPageBreak/>
        <w:t>Quality Measure 2 - Patient Satisfaction</w:t>
      </w:r>
    </w:p>
    <w:p w14:paraId="13C89C47" w14:textId="6D09445D" w:rsidR="00C314C7" w:rsidRPr="0064627E" w:rsidRDefault="00C314C7" w:rsidP="00432444">
      <w:pPr>
        <w:suppressAutoHyphens w:val="0"/>
        <w:spacing w:after="120"/>
        <w:jc w:val="both"/>
        <w:rPr>
          <w:rFonts w:ascii="Aptos" w:hAnsi="Aptos"/>
        </w:rPr>
      </w:pPr>
      <w:r w:rsidRPr="0064627E">
        <w:rPr>
          <w:rFonts w:ascii="Aptos" w:hAnsi="Aptos"/>
        </w:rPr>
        <w:t>Patient Experience</w:t>
      </w:r>
      <w:r w:rsidRPr="0064627E">
        <w:rPr>
          <w:rStyle w:val="FootnoteReference"/>
          <w:rFonts w:ascii="Aptos" w:hAnsi="Aptos"/>
        </w:rPr>
        <w:footnoteReference w:id="23"/>
      </w:r>
      <w:r w:rsidRPr="0064627E">
        <w:rPr>
          <w:rFonts w:ascii="Aptos" w:hAnsi="Aptos"/>
        </w:rPr>
        <w:t xml:space="preserve"> is one of Baystate Health’s strategic priorities. The Applicant sets annual objectives for ‘Likelihood to Recommend’ and Patient Access, key components of patient satisfaction. BMC’s patient experience scores for both Likelihood to Recommend and Patient Access are below </w:t>
      </w:r>
      <w:r w:rsidR="003C7DDA" w:rsidRPr="0064627E">
        <w:rPr>
          <w:rFonts w:ascii="Aptos" w:hAnsi="Aptos"/>
        </w:rPr>
        <w:t xml:space="preserve">the </w:t>
      </w:r>
      <w:r w:rsidRPr="0064627E">
        <w:rPr>
          <w:rFonts w:ascii="Aptos" w:hAnsi="Aptos"/>
        </w:rPr>
        <w:t xml:space="preserve">national average due in large part to inpatient capacity challenges. Following the Proposed Transfer, the Applicant anticipates </w:t>
      </w:r>
      <w:r w:rsidR="003C7DDA" w:rsidRPr="0064627E">
        <w:rPr>
          <w:rFonts w:ascii="Aptos" w:hAnsi="Aptos"/>
        </w:rPr>
        <w:t xml:space="preserve">ED </w:t>
      </w:r>
      <w:r w:rsidRPr="0064627E">
        <w:rPr>
          <w:rFonts w:ascii="Aptos" w:hAnsi="Aptos"/>
        </w:rPr>
        <w:t xml:space="preserve">patients will be seen timelier upon arrival to BMC, which usually translates to a more positive experience and higher patient satisfaction scores. Improving utilization at </w:t>
      </w:r>
      <w:r w:rsidR="00457998" w:rsidRPr="0064627E">
        <w:rPr>
          <w:rFonts w:ascii="Aptos" w:hAnsi="Aptos"/>
        </w:rPr>
        <w:t>MMC</w:t>
      </w:r>
      <w:r w:rsidRPr="0064627E">
        <w:rPr>
          <w:rFonts w:ascii="Aptos" w:hAnsi="Aptos"/>
        </w:rPr>
        <w:t xml:space="preserve">, and in turn decreasing occupancy at BMC, is expected to improve patient experience for patients at both BMC and MMC. To assess the Proposed Transfer’s impact on patient experience, the Applicant will track ‘Likelihood to Recommend’ and Patient Access through the Press Ganey Hospital Consumer Assessment of Healthcare Providers (HCAHPS) and the Clinician </w:t>
      </w:r>
      <w:r w:rsidR="006254B7">
        <w:rPr>
          <w:rFonts w:ascii="Aptos" w:hAnsi="Aptos"/>
        </w:rPr>
        <w:t>and</w:t>
      </w:r>
      <w:r w:rsidRPr="0064627E">
        <w:rPr>
          <w:rFonts w:ascii="Aptos" w:hAnsi="Aptos"/>
        </w:rPr>
        <w:t xml:space="preserve"> Group Consumer Assessment of Healthcare Providers (CG-CAHP) surveys for both BMC and </w:t>
      </w:r>
      <w:r w:rsidR="00457998" w:rsidRPr="0064627E">
        <w:rPr>
          <w:rFonts w:ascii="Aptos" w:hAnsi="Aptos"/>
        </w:rPr>
        <w:t>MMC</w:t>
      </w:r>
      <w:r w:rsidRPr="0064627E">
        <w:rPr>
          <w:rFonts w:ascii="Aptos" w:hAnsi="Aptos"/>
        </w:rPr>
        <w:t>.</w:t>
      </w:r>
    </w:p>
    <w:p w14:paraId="4DDFF3DA" w14:textId="2E6702C4" w:rsidR="00082AFF" w:rsidRPr="0064627E" w:rsidRDefault="00082AFF" w:rsidP="005A5E45">
      <w:pPr>
        <w:pStyle w:val="Heading2"/>
        <w:rPr>
          <w:i/>
          <w:iCs/>
          <w:sz w:val="24"/>
          <w:szCs w:val="24"/>
        </w:rPr>
      </w:pPr>
      <w:r w:rsidRPr="0064627E">
        <w:rPr>
          <w:sz w:val="24"/>
          <w:szCs w:val="24"/>
        </w:rPr>
        <w:t>F1.b.iii</w:t>
      </w:r>
      <w:r w:rsidRPr="0064627E">
        <w:rPr>
          <w:i/>
          <w:iCs/>
          <w:sz w:val="24"/>
          <w:szCs w:val="24"/>
        </w:rPr>
        <w:t xml:space="preserve"> </w:t>
      </w:r>
      <w:r w:rsidRPr="0064627E">
        <w:rPr>
          <w:i/>
          <w:iCs/>
          <w:sz w:val="24"/>
          <w:szCs w:val="24"/>
        </w:rPr>
        <w:tab/>
      </w:r>
      <w:r w:rsidR="00E53270" w:rsidRPr="0064627E">
        <w:rPr>
          <w:i/>
          <w:iCs/>
          <w:sz w:val="24"/>
          <w:szCs w:val="24"/>
        </w:rPr>
        <w:tab/>
      </w:r>
      <w:r w:rsidRPr="0064627E">
        <w:rPr>
          <w:sz w:val="24"/>
          <w:szCs w:val="24"/>
        </w:rPr>
        <w:t>Public Health Value /Health Equity-Focused</w:t>
      </w:r>
    </w:p>
    <w:p w14:paraId="239ACF09" w14:textId="77777777" w:rsidR="00082AFF" w:rsidRPr="0064627E" w:rsidRDefault="00082AFF" w:rsidP="00F50A55">
      <w:pPr>
        <w:suppressAutoHyphens w:val="0"/>
        <w:spacing w:after="120"/>
        <w:ind w:left="1440"/>
        <w:jc w:val="both"/>
        <w:rPr>
          <w:rFonts w:ascii="Aptos" w:hAnsi="Aptos"/>
          <w:b/>
          <w:bCs/>
          <w:iCs/>
        </w:rPr>
      </w:pPr>
      <w:r w:rsidRPr="0064627E">
        <w:rPr>
          <w:rFonts w:ascii="Aptos" w:hAnsi="Aptos"/>
          <w:b/>
          <w:bCs/>
          <w:iCs/>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9DBBFA4" w14:textId="5437A720" w:rsidR="00F50A55" w:rsidRPr="0064627E" w:rsidRDefault="00F50A55" w:rsidP="00F50A55">
      <w:pPr>
        <w:spacing w:after="120"/>
        <w:jc w:val="both"/>
        <w:rPr>
          <w:rFonts w:ascii="Aptos" w:hAnsi="Aptos"/>
        </w:rPr>
      </w:pPr>
      <w:r w:rsidRPr="0064627E">
        <w:rPr>
          <w:rFonts w:ascii="Aptos" w:hAnsi="Aptos"/>
        </w:rPr>
        <w:t>Baystate Health’s mission is to deliver compassionate, quality, and accessible care – advancing our communities’ health for all. A commitment to ensuring that all caregivers and all patients are welcome has been at the heart of our organization for more than 140 years. Its Mission, Vision and Values will always be a touchstone and directional guide for this essential and strengthening work. Baystate Health defines its value of respect as honoring the dignity of all people. Baystate Health understands that honoring the dignity of its inclusive workforce leads to innovative thinking and cultural humility in the care of our patients. Its vision is to integrate equity and inclusion into every part of our work—from patient care to workplace culture—so that everyone experiences a sense of belonging and the chance to reach their fullest potential.</w:t>
      </w:r>
    </w:p>
    <w:p w14:paraId="7E53FA13" w14:textId="77777777" w:rsidR="00F50A55" w:rsidRPr="0064627E" w:rsidRDefault="00F50A55" w:rsidP="00F9253C">
      <w:pPr>
        <w:pStyle w:val="Heading3"/>
        <w:numPr>
          <w:ilvl w:val="0"/>
          <w:numId w:val="19"/>
        </w:numPr>
        <w:rPr>
          <w:i/>
          <w:iCs/>
          <w:sz w:val="24"/>
          <w:szCs w:val="24"/>
        </w:rPr>
      </w:pPr>
      <w:r w:rsidRPr="0064627E">
        <w:rPr>
          <w:i/>
          <w:iCs/>
          <w:sz w:val="24"/>
          <w:szCs w:val="24"/>
        </w:rPr>
        <w:t xml:space="preserve">Reducing Health Disparities: </w:t>
      </w:r>
    </w:p>
    <w:p w14:paraId="7E480B09" w14:textId="35D0F377" w:rsidR="00F50A55" w:rsidRPr="0064627E" w:rsidRDefault="00F50A55" w:rsidP="00F50A55">
      <w:pPr>
        <w:spacing w:after="120"/>
        <w:jc w:val="both"/>
        <w:rPr>
          <w:rFonts w:ascii="Aptos" w:hAnsi="Aptos"/>
        </w:rPr>
      </w:pPr>
      <w:r w:rsidRPr="0064627E">
        <w:rPr>
          <w:rFonts w:ascii="Aptos" w:hAnsi="Aptos"/>
        </w:rPr>
        <w:t xml:space="preserve">Baystate Health is committed to ensuring that every patient receives high-quality, compassionate care - welcoming every member of our community with fairness, respect, and belonging. By identifying and addressing disparities in health outcomes, access, and experience, Baystate Health works to deliver care that is not only clinically excellent but also equitable and responsive to the unique needs of every individual we serve. Baystate Health </w:t>
      </w:r>
      <w:r w:rsidRPr="0064627E">
        <w:rPr>
          <w:rFonts w:ascii="Aptos" w:hAnsi="Aptos"/>
        </w:rPr>
        <w:lastRenderedPageBreak/>
        <w:t>is equally focused on removing barriers to care—so that healthcare is accessible, welcoming, and within reach for all members of the community.</w:t>
      </w:r>
    </w:p>
    <w:p w14:paraId="2CDC6044" w14:textId="77777777" w:rsidR="00F50A55" w:rsidRPr="0064627E" w:rsidRDefault="00F50A55" w:rsidP="00F9253C">
      <w:pPr>
        <w:pStyle w:val="Heading3"/>
        <w:numPr>
          <w:ilvl w:val="0"/>
          <w:numId w:val="19"/>
        </w:numPr>
        <w:rPr>
          <w:i/>
          <w:iCs/>
          <w:sz w:val="24"/>
          <w:szCs w:val="24"/>
        </w:rPr>
      </w:pPr>
      <w:r w:rsidRPr="0064627E">
        <w:rPr>
          <w:i/>
          <w:iCs/>
          <w:sz w:val="24"/>
          <w:szCs w:val="24"/>
        </w:rPr>
        <w:t xml:space="preserve">Achieving Equity: </w:t>
      </w:r>
    </w:p>
    <w:p w14:paraId="680C3D60" w14:textId="3875D927" w:rsidR="00F50A55" w:rsidRPr="0064627E" w:rsidRDefault="00F50A55" w:rsidP="00F50A55">
      <w:pPr>
        <w:spacing w:after="120"/>
        <w:jc w:val="both"/>
        <w:rPr>
          <w:rFonts w:ascii="Aptos" w:hAnsi="Aptos"/>
        </w:rPr>
      </w:pPr>
      <w:r w:rsidRPr="0064627E">
        <w:rPr>
          <w:rFonts w:ascii="Aptos" w:hAnsi="Aptos"/>
        </w:rPr>
        <w:t>Baystate Health is committed to ensuring equitable hiring, promotion, and retention practices that support opportunity and success for all employees. In the last year, there was a 4.2</w:t>
      </w:r>
      <w:r w:rsidR="00C006C5">
        <w:rPr>
          <w:rFonts w:ascii="Aptos" w:hAnsi="Aptos"/>
        </w:rPr>
        <w:t xml:space="preserve"> percent</w:t>
      </w:r>
      <w:r w:rsidRPr="0064627E">
        <w:rPr>
          <w:rFonts w:ascii="Aptos" w:hAnsi="Aptos"/>
        </w:rPr>
        <w:t xml:space="preserve"> decrease in Underrepresented in Medicine (</w:t>
      </w:r>
      <w:proofErr w:type="spellStart"/>
      <w:r w:rsidRPr="0064627E">
        <w:rPr>
          <w:rFonts w:ascii="Aptos" w:hAnsi="Aptos"/>
        </w:rPr>
        <w:t>URiM</w:t>
      </w:r>
      <w:proofErr w:type="spellEnd"/>
      <w:r w:rsidRPr="0064627E">
        <w:rPr>
          <w:rFonts w:ascii="Aptos" w:hAnsi="Aptos"/>
        </w:rPr>
        <w:t>) leaders, a 10.5</w:t>
      </w:r>
      <w:r w:rsidR="00C006C5">
        <w:rPr>
          <w:rFonts w:ascii="Aptos" w:hAnsi="Aptos"/>
        </w:rPr>
        <w:t xml:space="preserve"> percent</w:t>
      </w:r>
      <w:r w:rsidRPr="0064627E">
        <w:rPr>
          <w:rFonts w:ascii="Aptos" w:hAnsi="Aptos"/>
        </w:rPr>
        <w:t xml:space="preserve"> increase in </w:t>
      </w:r>
      <w:proofErr w:type="spellStart"/>
      <w:r w:rsidRPr="0064627E">
        <w:rPr>
          <w:rFonts w:ascii="Aptos" w:hAnsi="Aptos"/>
        </w:rPr>
        <w:t>URiM</w:t>
      </w:r>
      <w:proofErr w:type="spellEnd"/>
      <w:r w:rsidRPr="0064627E">
        <w:rPr>
          <w:rFonts w:ascii="Aptos" w:hAnsi="Aptos"/>
        </w:rPr>
        <w:t xml:space="preserve"> providers and a 0.9</w:t>
      </w:r>
      <w:r w:rsidR="00C006C5">
        <w:rPr>
          <w:rFonts w:ascii="Aptos" w:hAnsi="Aptos"/>
        </w:rPr>
        <w:t xml:space="preserve"> percent</w:t>
      </w:r>
      <w:r w:rsidRPr="0064627E">
        <w:rPr>
          <w:rFonts w:ascii="Aptos" w:hAnsi="Aptos"/>
        </w:rPr>
        <w:t xml:space="preserve"> decrease in </w:t>
      </w:r>
      <w:proofErr w:type="spellStart"/>
      <w:r w:rsidRPr="0064627E">
        <w:rPr>
          <w:rFonts w:ascii="Aptos" w:hAnsi="Aptos"/>
        </w:rPr>
        <w:t>URiM</w:t>
      </w:r>
      <w:proofErr w:type="spellEnd"/>
      <w:r w:rsidRPr="0064627E">
        <w:rPr>
          <w:rFonts w:ascii="Aptos" w:hAnsi="Aptos"/>
        </w:rPr>
        <w:t xml:space="preserve"> Direct Care Registered Nurses. Equity and Belonging is a core competency which has been added to Baystate Health’s Core Values of Courage, Accountability, Respect, Agility, and Teamwork.</w:t>
      </w:r>
    </w:p>
    <w:p w14:paraId="7525C480" w14:textId="142B9E62" w:rsidR="00F50A55" w:rsidRPr="0064627E" w:rsidRDefault="00F50A55" w:rsidP="00F50A55">
      <w:pPr>
        <w:spacing w:after="120"/>
        <w:jc w:val="both"/>
        <w:rPr>
          <w:rFonts w:ascii="Aptos" w:hAnsi="Aptos"/>
        </w:rPr>
      </w:pPr>
      <w:r w:rsidRPr="0064627E">
        <w:rPr>
          <w:rFonts w:ascii="Aptos" w:hAnsi="Aptos"/>
        </w:rPr>
        <w:t xml:space="preserve">Baystate Health is proud to partner with our communities to support the conditions that help people live healthier lives. Since 2024, Baystate Health has strengthened its approach to addressing social drivers of health and supporting local initiatives through an innovative focus </w:t>
      </w:r>
      <w:r w:rsidR="00D15147" w:rsidRPr="0064627E">
        <w:rPr>
          <w:rFonts w:ascii="Aptos" w:hAnsi="Aptos"/>
        </w:rPr>
        <w:t xml:space="preserve">on </w:t>
      </w:r>
      <w:r w:rsidRPr="0064627E">
        <w:rPr>
          <w:rFonts w:ascii="Aptos" w:hAnsi="Aptos"/>
        </w:rPr>
        <w:t xml:space="preserve">the well-being of families and neighborhoods across </w:t>
      </w:r>
      <w:r w:rsidR="00D02199" w:rsidRPr="0064627E">
        <w:rPr>
          <w:rFonts w:ascii="Aptos" w:hAnsi="Aptos"/>
        </w:rPr>
        <w:t>the</w:t>
      </w:r>
      <w:r w:rsidRPr="0064627E">
        <w:rPr>
          <w:rFonts w:ascii="Aptos" w:hAnsi="Aptos"/>
        </w:rPr>
        <w:t xml:space="preserve"> region. This includes factors such as being able to access healthy food, information on health and digital resources, and social support networks.</w:t>
      </w:r>
    </w:p>
    <w:p w14:paraId="01BCBEAB" w14:textId="2D5D7387" w:rsidR="00F50A55" w:rsidRPr="0064627E" w:rsidRDefault="00F50A55" w:rsidP="00F50A55">
      <w:pPr>
        <w:spacing w:after="120"/>
        <w:jc w:val="both"/>
        <w:rPr>
          <w:rFonts w:ascii="Aptos" w:hAnsi="Aptos"/>
          <w:b/>
          <w:bCs/>
        </w:rPr>
      </w:pPr>
      <w:r w:rsidRPr="0064627E">
        <w:rPr>
          <w:rFonts w:ascii="Aptos" w:hAnsi="Aptos"/>
          <w:b/>
          <w:bCs/>
        </w:rPr>
        <w:t>Alliance for Digital Equity</w:t>
      </w:r>
    </w:p>
    <w:p w14:paraId="1E43C67E" w14:textId="04D20F76" w:rsidR="00F50A55" w:rsidRPr="0064627E" w:rsidRDefault="00F50A55" w:rsidP="00F50A55">
      <w:pPr>
        <w:spacing w:after="120"/>
        <w:jc w:val="both"/>
        <w:rPr>
          <w:rFonts w:ascii="Aptos" w:hAnsi="Aptos"/>
        </w:rPr>
      </w:pPr>
      <w:r w:rsidRPr="0064627E">
        <w:rPr>
          <w:rFonts w:ascii="Aptos" w:hAnsi="Aptos"/>
        </w:rPr>
        <w:t>In response to increased community need for access to digital connectivity as a social determinant of health, the Alliance for Digital Equity</w:t>
      </w:r>
      <w:r w:rsidR="0027446F" w:rsidRPr="0064627E">
        <w:rPr>
          <w:rFonts w:ascii="Aptos" w:hAnsi="Aptos"/>
        </w:rPr>
        <w:t xml:space="preserve"> (“The Alliance”)</w:t>
      </w:r>
      <w:r w:rsidRPr="0064627E">
        <w:rPr>
          <w:rFonts w:ascii="Aptos" w:hAnsi="Aptos"/>
        </w:rPr>
        <w:t xml:space="preserve">, a grassroots effort, resulted in the forming of the largest regional coalition in the Commonwealth addressing the digital divide. In 2023, the Massachusetts Broadband Institute (MBI) </w:t>
      </w:r>
      <w:proofErr w:type="gramStart"/>
      <w:r w:rsidRPr="0064627E">
        <w:rPr>
          <w:rFonts w:ascii="Aptos" w:hAnsi="Aptos"/>
        </w:rPr>
        <w:t>awarded</w:t>
      </w:r>
      <w:proofErr w:type="gramEnd"/>
      <w:r w:rsidRPr="0064627E">
        <w:rPr>
          <w:rFonts w:ascii="Aptos" w:hAnsi="Aptos"/>
        </w:rPr>
        <w:t xml:space="preserve"> BH with a two-year, $5.1 million dollar grant. In 2024, the Alliance began implementing systemwide and localized interventions around digital equity in all four counties of western Massachusetts. This regional collaboration has engaged 59 organizations, with 17 sub-grantees directly receiving funding for implementation of deliverables related to connectivity, education, affordable internet, digital literacy and skills training, and public internet space through modernization.</w:t>
      </w:r>
    </w:p>
    <w:p w14:paraId="3A352A1B" w14:textId="0D54987C" w:rsidR="0027446F" w:rsidRPr="0064627E" w:rsidRDefault="0027446F" w:rsidP="00F50A55">
      <w:pPr>
        <w:spacing w:after="120"/>
        <w:jc w:val="both"/>
        <w:rPr>
          <w:rFonts w:ascii="Aptos" w:hAnsi="Aptos"/>
        </w:rPr>
      </w:pPr>
      <w:r w:rsidRPr="0064627E">
        <w:rPr>
          <w:rFonts w:ascii="Aptos" w:hAnsi="Aptos"/>
        </w:rPr>
        <w:t>The Alliance and its coalition partners are regional and statewide leaders in providing training and programs for workforce development, AI literacy, digital access, and digital navigation. In FY2025, the Alliance continued coordinating a regional network of organizations providing digital navigation, digital skills training, device distribution, and internet access support</w:t>
      </w:r>
      <w:r w:rsidRPr="0064627E">
        <w:rPr>
          <w:rFonts w:ascii="Arial" w:hAnsi="Arial" w:cs="Arial"/>
        </w:rPr>
        <w:t> </w:t>
      </w:r>
      <w:r w:rsidRPr="0064627E">
        <w:rPr>
          <w:rFonts w:ascii="Aptos" w:hAnsi="Aptos"/>
        </w:rPr>
        <w:t>to residents across western Massachusetts. Through convenings, training, and cross-sector collaboration, the Alliance continues strengthening the region’s digital equity ecosystem and supporting community partners working to ensure residents have the technology, connectivity, and digital skills needed to participate fully in an increasingly digital world.</w:t>
      </w:r>
    </w:p>
    <w:p w14:paraId="29229F6D" w14:textId="77777777" w:rsidR="00F50A55" w:rsidRPr="0064627E" w:rsidRDefault="00F50A55" w:rsidP="00F50A55">
      <w:pPr>
        <w:spacing w:after="120"/>
        <w:jc w:val="both"/>
        <w:rPr>
          <w:rFonts w:ascii="Aptos" w:hAnsi="Aptos"/>
          <w:b/>
          <w:bCs/>
        </w:rPr>
      </w:pPr>
      <w:proofErr w:type="spellStart"/>
      <w:r w:rsidRPr="0064627E">
        <w:rPr>
          <w:rFonts w:ascii="Aptos" w:hAnsi="Aptos"/>
          <w:b/>
          <w:bCs/>
        </w:rPr>
        <w:t>BeHealthy</w:t>
      </w:r>
      <w:proofErr w:type="spellEnd"/>
      <w:r w:rsidRPr="0064627E">
        <w:rPr>
          <w:rFonts w:ascii="Aptos" w:hAnsi="Aptos"/>
          <w:b/>
          <w:bCs/>
        </w:rPr>
        <w:t xml:space="preserve"> Accountable Care Organization (ACO)</w:t>
      </w:r>
    </w:p>
    <w:p w14:paraId="40FF6103" w14:textId="6867D164" w:rsidR="00F50A55" w:rsidRPr="0064627E" w:rsidRDefault="00F50A55" w:rsidP="00F50A55">
      <w:pPr>
        <w:spacing w:after="120"/>
        <w:jc w:val="both"/>
        <w:rPr>
          <w:rFonts w:ascii="Aptos" w:hAnsi="Aptos"/>
        </w:rPr>
      </w:pPr>
      <w:r w:rsidRPr="0064627E">
        <w:rPr>
          <w:rFonts w:ascii="Aptos" w:hAnsi="Aptos"/>
        </w:rPr>
        <w:t xml:space="preserve">The </w:t>
      </w:r>
      <w:proofErr w:type="spellStart"/>
      <w:r w:rsidRPr="0064627E">
        <w:rPr>
          <w:rFonts w:ascii="Aptos" w:hAnsi="Aptos"/>
        </w:rPr>
        <w:t>BeHealthy</w:t>
      </w:r>
      <w:proofErr w:type="spellEnd"/>
      <w:r w:rsidRPr="0064627E">
        <w:rPr>
          <w:rFonts w:ascii="Aptos" w:hAnsi="Aptos"/>
        </w:rPr>
        <w:t xml:space="preserve"> Partnership was formed as a collaboration between the Baystate Health Care Alliance and Health New England in 2017 to serve </w:t>
      </w:r>
      <w:r w:rsidR="00AE4769" w:rsidRPr="0064627E">
        <w:rPr>
          <w:rFonts w:ascii="Aptos" w:hAnsi="Aptos"/>
        </w:rPr>
        <w:t>the</w:t>
      </w:r>
      <w:r w:rsidRPr="0064627E">
        <w:rPr>
          <w:rFonts w:ascii="Aptos" w:hAnsi="Aptos"/>
        </w:rPr>
        <w:t xml:space="preserve"> area’s MassHealth/Medicaid membership, and it rolled out to members in 2018. As an Accountable Care Organization (ACO), the </w:t>
      </w:r>
      <w:proofErr w:type="spellStart"/>
      <w:r w:rsidRPr="0064627E">
        <w:rPr>
          <w:rFonts w:ascii="Aptos" w:hAnsi="Aptos"/>
        </w:rPr>
        <w:t>BeHealthy</w:t>
      </w:r>
      <w:proofErr w:type="spellEnd"/>
      <w:r w:rsidRPr="0064627E">
        <w:rPr>
          <w:rFonts w:ascii="Aptos" w:hAnsi="Aptos"/>
        </w:rPr>
        <w:t xml:space="preserve"> Partnership’s goal is to be a health care partner with primary care </w:t>
      </w:r>
      <w:r w:rsidRPr="0064627E">
        <w:rPr>
          <w:rFonts w:ascii="Aptos" w:hAnsi="Aptos"/>
        </w:rPr>
        <w:lastRenderedPageBreak/>
        <w:t>providers (PCPs) and their care teams to help connect members with the health services and support at the right time and in the right place. </w:t>
      </w:r>
    </w:p>
    <w:p w14:paraId="5C8C88B0" w14:textId="29391B71" w:rsidR="00F50A55" w:rsidRPr="0064627E" w:rsidRDefault="00F50A55" w:rsidP="00F50A55">
      <w:pPr>
        <w:spacing w:after="120"/>
        <w:jc w:val="both"/>
        <w:rPr>
          <w:rFonts w:ascii="Aptos" w:hAnsi="Aptos"/>
        </w:rPr>
      </w:pPr>
      <w:r w:rsidRPr="0064627E">
        <w:rPr>
          <w:rFonts w:ascii="Aptos" w:hAnsi="Aptos"/>
        </w:rPr>
        <w:t xml:space="preserve">Further, the </w:t>
      </w:r>
      <w:proofErr w:type="spellStart"/>
      <w:r w:rsidRPr="0064627E">
        <w:rPr>
          <w:rFonts w:ascii="Aptos" w:hAnsi="Aptos"/>
        </w:rPr>
        <w:t>BeHealthy</w:t>
      </w:r>
      <w:proofErr w:type="spellEnd"/>
      <w:r w:rsidRPr="0064627E">
        <w:rPr>
          <w:rFonts w:ascii="Aptos" w:hAnsi="Aptos"/>
        </w:rPr>
        <w:t xml:space="preserve"> Partnership collects and uses data to ensure its programs are equitable. By continually analyzing the populations of each program to the general population of </w:t>
      </w:r>
      <w:proofErr w:type="spellStart"/>
      <w:r w:rsidRPr="0064627E">
        <w:rPr>
          <w:rFonts w:ascii="Aptos" w:hAnsi="Aptos"/>
        </w:rPr>
        <w:t>BeHealthy</w:t>
      </w:r>
      <w:proofErr w:type="spellEnd"/>
      <w:r w:rsidRPr="0064627E">
        <w:rPr>
          <w:rFonts w:ascii="Aptos" w:hAnsi="Aptos"/>
        </w:rPr>
        <w:t xml:space="preserve"> Partnership, B</w:t>
      </w:r>
      <w:r w:rsidR="00AE4769" w:rsidRPr="0064627E">
        <w:rPr>
          <w:rFonts w:ascii="Aptos" w:hAnsi="Aptos"/>
        </w:rPr>
        <w:t>H</w:t>
      </w:r>
      <w:r w:rsidR="00D52D5C" w:rsidRPr="0064627E">
        <w:rPr>
          <w:rFonts w:ascii="Aptos" w:hAnsi="Aptos"/>
        </w:rPr>
        <w:t xml:space="preserve"> can ensure</w:t>
      </w:r>
      <w:r w:rsidRPr="0064627E">
        <w:rPr>
          <w:rFonts w:ascii="Aptos" w:hAnsi="Aptos"/>
        </w:rPr>
        <w:t xml:space="preserve"> it is serving its members equitably.</w:t>
      </w:r>
    </w:p>
    <w:p w14:paraId="1664BC14" w14:textId="77777777" w:rsidR="00F50A55" w:rsidRPr="0064627E" w:rsidRDefault="00F50A55" w:rsidP="00F50A55">
      <w:pPr>
        <w:spacing w:after="120"/>
        <w:jc w:val="both"/>
        <w:rPr>
          <w:rFonts w:ascii="Aptos" w:hAnsi="Aptos"/>
          <w:b/>
          <w:bCs/>
        </w:rPr>
      </w:pPr>
      <w:r w:rsidRPr="0064627E">
        <w:rPr>
          <w:rFonts w:ascii="Aptos" w:hAnsi="Aptos"/>
          <w:b/>
          <w:bCs/>
        </w:rPr>
        <w:t xml:space="preserve">Hospital Quality and Equity Incentive Program </w:t>
      </w:r>
    </w:p>
    <w:p w14:paraId="6A999205" w14:textId="0EDE8F80" w:rsidR="00F50A55" w:rsidRPr="0064627E" w:rsidRDefault="00F50A55" w:rsidP="00F50A55">
      <w:pPr>
        <w:spacing w:after="120"/>
        <w:jc w:val="both"/>
        <w:rPr>
          <w:rFonts w:ascii="Aptos" w:hAnsi="Aptos"/>
        </w:rPr>
      </w:pPr>
      <w:r w:rsidRPr="0064627E">
        <w:rPr>
          <w:rFonts w:ascii="Aptos" w:hAnsi="Aptos"/>
        </w:rPr>
        <w:t>B</w:t>
      </w:r>
      <w:r w:rsidR="00AE4769" w:rsidRPr="0064627E">
        <w:rPr>
          <w:rFonts w:ascii="Aptos" w:hAnsi="Aptos"/>
        </w:rPr>
        <w:t>H</w:t>
      </w:r>
      <w:r w:rsidRPr="0064627E">
        <w:rPr>
          <w:rFonts w:ascii="Aptos" w:hAnsi="Aptos"/>
        </w:rPr>
        <w:t xml:space="preserve"> actively participates in the Massachusetts Health Quality and Equity Incentive program. The program includes improvement initiatives around race, ethnicity, language and disability status, sexual orientation and gender identity (RELD/SOGI) and health-related social needs (HRSN) data collection, interpreter services, and strategic planning around closing gaps in identified disparities.  Its hospitals will continue to analyze their data and improve on metrics </w:t>
      </w:r>
      <w:proofErr w:type="gramStart"/>
      <w:r w:rsidRPr="0064627E">
        <w:rPr>
          <w:rFonts w:ascii="Aptos" w:hAnsi="Aptos"/>
        </w:rPr>
        <w:t>in order to</w:t>
      </w:r>
      <w:proofErr w:type="gramEnd"/>
      <w:r w:rsidRPr="0064627E">
        <w:rPr>
          <w:rFonts w:ascii="Aptos" w:hAnsi="Aptos"/>
        </w:rPr>
        <w:t xml:space="preserve"> deliver high quality care and identify and address health disparities.  This initiative will also be key to assisting Baystate Health in better understanding what is needed for the provision of culturally congruent care for all, regardless of geography, age, or ability to access needed healthcare.</w:t>
      </w:r>
    </w:p>
    <w:p w14:paraId="5E6A323F" w14:textId="12ED145B" w:rsidR="00F50A55" w:rsidRPr="0064627E" w:rsidRDefault="00F50A55" w:rsidP="00F50A55">
      <w:pPr>
        <w:spacing w:after="120"/>
        <w:jc w:val="both"/>
        <w:rPr>
          <w:rFonts w:ascii="Aptos" w:hAnsi="Aptos"/>
          <w:b/>
          <w:bCs/>
        </w:rPr>
      </w:pPr>
      <w:r w:rsidRPr="0064627E">
        <w:rPr>
          <w:rFonts w:ascii="Aptos" w:hAnsi="Aptos"/>
          <w:b/>
          <w:bCs/>
        </w:rPr>
        <w:t>Interpreter Services</w:t>
      </w:r>
    </w:p>
    <w:p w14:paraId="23BF31F1" w14:textId="3B4CD283" w:rsidR="00F50A55" w:rsidRPr="0064627E" w:rsidRDefault="00F50A55" w:rsidP="00F50A55">
      <w:pPr>
        <w:spacing w:after="120"/>
        <w:jc w:val="both"/>
        <w:rPr>
          <w:rFonts w:ascii="Aptos" w:hAnsi="Aptos"/>
        </w:rPr>
      </w:pPr>
      <w:r w:rsidRPr="0064627E">
        <w:rPr>
          <w:rFonts w:ascii="Aptos" w:hAnsi="Aptos"/>
        </w:rPr>
        <w:t>B</w:t>
      </w:r>
      <w:r w:rsidR="00AE4769" w:rsidRPr="0064627E">
        <w:rPr>
          <w:rFonts w:ascii="Aptos" w:hAnsi="Aptos"/>
        </w:rPr>
        <w:t>H</w:t>
      </w:r>
      <w:r w:rsidRPr="0064627E">
        <w:rPr>
          <w:rFonts w:ascii="Aptos" w:hAnsi="Aptos"/>
        </w:rPr>
        <w:t xml:space="preserve"> provides free language services to patients whose primary language is not English. Each location provides qualified interpreter services 24 hours a day, 7 days per week.  In addition to in-person translators at multiple locations, over 350 languages can be accessed quickly and easily as needed by in-person, video, and telephonic interpreting.  Interpreters are available to assist patients and their families with procedures, medications and any other important information or circumstance that would necessitate exchange of information. B</w:t>
      </w:r>
      <w:r w:rsidR="00AE4769" w:rsidRPr="0064627E">
        <w:rPr>
          <w:rFonts w:ascii="Aptos" w:hAnsi="Aptos"/>
        </w:rPr>
        <w:t>H</w:t>
      </w:r>
      <w:r w:rsidRPr="0064627E">
        <w:rPr>
          <w:rFonts w:ascii="Aptos" w:hAnsi="Aptos"/>
        </w:rPr>
        <w:t xml:space="preserve"> is committed to </w:t>
      </w:r>
      <w:r w:rsidR="00AE4769" w:rsidRPr="0064627E">
        <w:rPr>
          <w:rFonts w:ascii="Aptos" w:hAnsi="Aptos"/>
        </w:rPr>
        <w:t>providing its</w:t>
      </w:r>
      <w:r w:rsidRPr="0064627E">
        <w:rPr>
          <w:rFonts w:ascii="Aptos" w:hAnsi="Aptos"/>
        </w:rPr>
        <w:t xml:space="preserve"> healthcare providers </w:t>
      </w:r>
      <w:r w:rsidR="00AE4769" w:rsidRPr="0064627E">
        <w:rPr>
          <w:rFonts w:ascii="Aptos" w:hAnsi="Aptos"/>
        </w:rPr>
        <w:t>with</w:t>
      </w:r>
      <w:r w:rsidRPr="0064627E">
        <w:rPr>
          <w:rFonts w:ascii="Aptos" w:hAnsi="Aptos"/>
        </w:rPr>
        <w:t xml:space="preserve"> the resources to establish a direct relationship with their non-English or limited English-speaking patients through accurate and complete interpretation services at all times.</w:t>
      </w:r>
    </w:p>
    <w:p w14:paraId="2E518AB0" w14:textId="4A70F5FC" w:rsidR="00082AFF" w:rsidRPr="0064627E" w:rsidRDefault="00082AFF" w:rsidP="0075241A">
      <w:pPr>
        <w:pStyle w:val="Heading2"/>
        <w:ind w:left="1440" w:hanging="1440"/>
        <w:rPr>
          <w:i/>
          <w:iCs/>
          <w:sz w:val="24"/>
          <w:szCs w:val="24"/>
        </w:rPr>
      </w:pPr>
      <w:r w:rsidRPr="0064627E">
        <w:rPr>
          <w:sz w:val="24"/>
          <w:szCs w:val="24"/>
        </w:rPr>
        <w:t>F1.</w:t>
      </w:r>
      <w:proofErr w:type="gramStart"/>
      <w:r w:rsidRPr="0064627E">
        <w:rPr>
          <w:sz w:val="24"/>
          <w:szCs w:val="24"/>
        </w:rPr>
        <w:t>b.iv</w:t>
      </w:r>
      <w:proofErr w:type="gramEnd"/>
      <w:r w:rsidRPr="0064627E">
        <w:rPr>
          <w:sz w:val="24"/>
          <w:szCs w:val="24"/>
        </w:rPr>
        <w:t xml:space="preserve"> </w:t>
      </w:r>
      <w:r w:rsidRPr="0064627E">
        <w:rPr>
          <w:sz w:val="24"/>
          <w:szCs w:val="24"/>
        </w:rPr>
        <w:tab/>
        <w:t>Provide additional information to demonstrate that the Proposed Project will result in improved health outcomes and quality of life of the Applicant’s existing Patient Panel, while providing reasonable assurances of health equity.</w:t>
      </w:r>
    </w:p>
    <w:p w14:paraId="2C3D2D83" w14:textId="404CFB4A" w:rsidR="00082AFF" w:rsidRPr="0064627E" w:rsidRDefault="00E53270" w:rsidP="00A93C0B">
      <w:pPr>
        <w:suppressAutoHyphens w:val="0"/>
        <w:spacing w:after="120"/>
        <w:jc w:val="both"/>
        <w:rPr>
          <w:rFonts w:ascii="Aptos" w:hAnsi="Aptos"/>
        </w:rPr>
      </w:pPr>
      <w:r w:rsidRPr="0064627E">
        <w:rPr>
          <w:rFonts w:ascii="Aptos" w:hAnsi="Aptos"/>
        </w:rPr>
        <w:t>In addition to the</w:t>
      </w:r>
      <w:r w:rsidR="00082AFF" w:rsidRPr="0064627E">
        <w:rPr>
          <w:rFonts w:ascii="Aptos" w:hAnsi="Aptos"/>
        </w:rPr>
        <w:t xml:space="preserve"> system initiatives </w:t>
      </w:r>
      <w:r w:rsidRPr="0064627E">
        <w:rPr>
          <w:rFonts w:ascii="Aptos" w:hAnsi="Aptos"/>
        </w:rPr>
        <w:t>described in Section F</w:t>
      </w:r>
      <w:proofErr w:type="gramStart"/>
      <w:r w:rsidRPr="0064627E">
        <w:rPr>
          <w:rFonts w:ascii="Aptos" w:hAnsi="Aptos"/>
        </w:rPr>
        <w:t>1.biii</w:t>
      </w:r>
      <w:proofErr w:type="gramEnd"/>
      <w:r w:rsidRPr="0064627E">
        <w:rPr>
          <w:rFonts w:ascii="Aptos" w:hAnsi="Aptos"/>
        </w:rPr>
        <w:t xml:space="preserve">, </w:t>
      </w:r>
      <w:r w:rsidR="00082AFF" w:rsidRPr="0064627E">
        <w:rPr>
          <w:rFonts w:ascii="Aptos" w:hAnsi="Aptos"/>
        </w:rPr>
        <w:t xml:space="preserve">the Proposed </w:t>
      </w:r>
      <w:r w:rsidRPr="0064627E">
        <w:rPr>
          <w:rFonts w:ascii="Aptos" w:hAnsi="Aptos"/>
        </w:rPr>
        <w:t>Transfer</w:t>
      </w:r>
      <w:r w:rsidR="00082AFF" w:rsidRPr="0064627E">
        <w:rPr>
          <w:rFonts w:ascii="Aptos" w:hAnsi="Aptos"/>
        </w:rPr>
        <w:t xml:space="preserve"> will improve access to special</w:t>
      </w:r>
      <w:r w:rsidRPr="0064627E">
        <w:rPr>
          <w:rFonts w:ascii="Aptos" w:hAnsi="Aptos"/>
        </w:rPr>
        <w:t>ty care and</w:t>
      </w:r>
      <w:r w:rsidR="00082AFF" w:rsidRPr="0064627E">
        <w:rPr>
          <w:rFonts w:ascii="Aptos" w:hAnsi="Aptos"/>
        </w:rPr>
        <w:t xml:space="preserve"> </w:t>
      </w:r>
      <w:r w:rsidRPr="0064627E">
        <w:rPr>
          <w:rFonts w:ascii="Aptos" w:hAnsi="Aptos"/>
        </w:rPr>
        <w:t xml:space="preserve">expand </w:t>
      </w:r>
      <w:r w:rsidR="00082AFF" w:rsidRPr="0064627E">
        <w:rPr>
          <w:rFonts w:ascii="Aptos" w:hAnsi="Aptos"/>
        </w:rPr>
        <w:t>care coordination</w:t>
      </w:r>
      <w:r w:rsidRPr="0064627E">
        <w:rPr>
          <w:rFonts w:ascii="Aptos" w:hAnsi="Aptos"/>
        </w:rPr>
        <w:t xml:space="preserve"> for </w:t>
      </w:r>
      <w:r w:rsidR="00444155" w:rsidRPr="0064627E">
        <w:rPr>
          <w:rFonts w:ascii="Aptos" w:hAnsi="Aptos"/>
        </w:rPr>
        <w:t>MMC</w:t>
      </w:r>
      <w:r w:rsidRPr="0064627E">
        <w:rPr>
          <w:rFonts w:ascii="Aptos" w:hAnsi="Aptos"/>
        </w:rPr>
        <w:t xml:space="preserve"> patients</w:t>
      </w:r>
      <w:r w:rsidR="00082AFF" w:rsidRPr="0064627E">
        <w:rPr>
          <w:rFonts w:ascii="Aptos" w:hAnsi="Aptos"/>
        </w:rPr>
        <w:t xml:space="preserve">, </w:t>
      </w:r>
      <w:r w:rsidRPr="0064627E">
        <w:rPr>
          <w:rFonts w:ascii="Aptos" w:hAnsi="Aptos"/>
        </w:rPr>
        <w:t>while</w:t>
      </w:r>
      <w:r w:rsidR="00082AFF" w:rsidRPr="0064627E">
        <w:rPr>
          <w:rFonts w:ascii="Aptos" w:hAnsi="Aptos"/>
        </w:rPr>
        <w:t xml:space="preserve"> </w:t>
      </w:r>
      <w:r w:rsidR="00A93C0B" w:rsidRPr="0064627E">
        <w:rPr>
          <w:rFonts w:ascii="Aptos" w:hAnsi="Aptos"/>
        </w:rPr>
        <w:t>also improving access to inpatient services at BMC through a more strategic approach to health care delivery in the region</w:t>
      </w:r>
      <w:r w:rsidR="00082AFF" w:rsidRPr="0064627E">
        <w:rPr>
          <w:rFonts w:ascii="Aptos" w:hAnsi="Aptos"/>
        </w:rPr>
        <w:t xml:space="preserve">. </w:t>
      </w:r>
      <w:r w:rsidR="00A93C0B" w:rsidRPr="0064627E">
        <w:rPr>
          <w:rFonts w:ascii="Aptos" w:hAnsi="Aptos"/>
        </w:rPr>
        <w:t xml:space="preserve">As detailed throughout this Application, </w:t>
      </w:r>
      <w:r w:rsidR="00444155" w:rsidRPr="0064627E">
        <w:rPr>
          <w:rFonts w:ascii="Aptos" w:hAnsi="Aptos"/>
        </w:rPr>
        <w:t>MMC</w:t>
      </w:r>
      <w:r w:rsidR="00A93C0B" w:rsidRPr="0064627E">
        <w:rPr>
          <w:rFonts w:ascii="Aptos" w:hAnsi="Aptos"/>
        </w:rPr>
        <w:t xml:space="preserve"> is at risk </w:t>
      </w:r>
      <w:r w:rsidR="664016B8" w:rsidRPr="0064627E">
        <w:rPr>
          <w:rFonts w:ascii="Aptos" w:hAnsi="Aptos"/>
        </w:rPr>
        <w:t>of closing additional services, and potentially, the entire hospital,</w:t>
      </w:r>
      <w:r w:rsidR="00A93C0B" w:rsidRPr="0064627E">
        <w:rPr>
          <w:rFonts w:ascii="Aptos" w:hAnsi="Aptos"/>
        </w:rPr>
        <w:t xml:space="preserve"> which would funnel all care to BMC, exacerbating existing capacity challenges. As of this Application, BMC’s medical-surgical occupancy rate is </w:t>
      </w:r>
      <w:r w:rsidR="006F73C4" w:rsidRPr="0064627E">
        <w:rPr>
          <w:rFonts w:ascii="Aptos" w:hAnsi="Aptos"/>
        </w:rPr>
        <w:t>116</w:t>
      </w:r>
      <w:r w:rsidR="00C006C5">
        <w:rPr>
          <w:rFonts w:ascii="Aptos" w:hAnsi="Aptos"/>
        </w:rPr>
        <w:t xml:space="preserve"> percent</w:t>
      </w:r>
      <w:r w:rsidR="00A93C0B" w:rsidRPr="0064627E">
        <w:rPr>
          <w:rFonts w:ascii="Aptos" w:hAnsi="Aptos"/>
        </w:rPr>
        <w:t>. Any increase</w:t>
      </w:r>
      <w:r w:rsidR="00AD010B" w:rsidRPr="0064627E">
        <w:rPr>
          <w:rFonts w:ascii="Aptos" w:hAnsi="Aptos"/>
        </w:rPr>
        <w:t>d demand for inpatient services at BMC would exceed 100</w:t>
      </w:r>
      <w:r w:rsidR="00C006C5">
        <w:rPr>
          <w:rFonts w:ascii="Aptos" w:hAnsi="Aptos"/>
        </w:rPr>
        <w:t xml:space="preserve"> percent</w:t>
      </w:r>
      <w:r w:rsidR="00AD010B" w:rsidRPr="0064627E">
        <w:rPr>
          <w:rFonts w:ascii="Aptos" w:hAnsi="Aptos"/>
        </w:rPr>
        <w:t xml:space="preserve"> occupancy, resulting in higher levels of ED boarding, declined transfers, and care avoidance. </w:t>
      </w:r>
      <w:r w:rsidR="00A93C0B" w:rsidRPr="0064627E">
        <w:rPr>
          <w:rFonts w:ascii="Aptos" w:hAnsi="Aptos"/>
        </w:rPr>
        <w:t xml:space="preserve">The Proposed Transfer will stabilize access to services and provide timely, high-quality care to all patients, regardless of payer status or ability to pay, consistent with current financial assistance policies at both hospitals. </w:t>
      </w:r>
    </w:p>
    <w:p w14:paraId="4207D52E" w14:textId="22143B0E" w:rsidR="00082AFF" w:rsidRPr="0064627E" w:rsidRDefault="00082AFF" w:rsidP="00377899">
      <w:pPr>
        <w:pStyle w:val="Heading2"/>
        <w:ind w:left="1440" w:hanging="1440"/>
        <w:rPr>
          <w:sz w:val="24"/>
          <w:szCs w:val="24"/>
        </w:rPr>
      </w:pPr>
      <w:r w:rsidRPr="0064627E">
        <w:rPr>
          <w:sz w:val="24"/>
          <w:szCs w:val="24"/>
        </w:rPr>
        <w:lastRenderedPageBreak/>
        <w:t xml:space="preserve">F1.c </w:t>
      </w:r>
      <w:r w:rsidRPr="0064627E">
        <w:rPr>
          <w:sz w:val="24"/>
          <w:szCs w:val="24"/>
        </w:rPr>
        <w:tab/>
        <w:t xml:space="preserve">Provide evidence that the Proposed Project will operate efficiently and effectively by furthering and improving continuity and coordination of care for the Applicant’s Patient Panel, </w:t>
      </w:r>
      <w:proofErr w:type="gramStart"/>
      <w:r w:rsidRPr="0064627E">
        <w:rPr>
          <w:sz w:val="24"/>
          <w:szCs w:val="24"/>
        </w:rPr>
        <w:t>including,</w:t>
      </w:r>
      <w:proofErr w:type="gramEnd"/>
      <w:r w:rsidRPr="0064627E">
        <w:rPr>
          <w:sz w:val="24"/>
          <w:szCs w:val="24"/>
        </w:rPr>
        <w:t xml:space="preserve"> how the Proposed Project will create or ensure appropriate linkages to patients’ primary care services.</w:t>
      </w:r>
    </w:p>
    <w:p w14:paraId="418A1057" w14:textId="7C6BA0C8" w:rsidR="00082AFF" w:rsidRPr="0064627E" w:rsidRDefault="006D7D4E" w:rsidP="00082AFF">
      <w:pPr>
        <w:suppressAutoHyphens w:val="0"/>
        <w:spacing w:after="120"/>
        <w:jc w:val="both"/>
        <w:rPr>
          <w:rFonts w:ascii="Aptos" w:hAnsi="Aptos"/>
        </w:rPr>
      </w:pPr>
      <w:r w:rsidRPr="0064627E">
        <w:rPr>
          <w:rFonts w:ascii="Aptos" w:hAnsi="Aptos"/>
        </w:rPr>
        <w:t xml:space="preserve">Following the Proposed Transfer, MMC will </w:t>
      </w:r>
      <w:r w:rsidR="0007486B" w:rsidRPr="0064627E">
        <w:rPr>
          <w:rFonts w:ascii="Aptos" w:hAnsi="Aptos"/>
        </w:rPr>
        <w:t>be integrated into</w:t>
      </w:r>
      <w:r w:rsidRPr="0064627E">
        <w:rPr>
          <w:rFonts w:ascii="Aptos" w:hAnsi="Aptos"/>
        </w:rPr>
        <w:t xml:space="preserve"> BH’s electronic medical record system</w:t>
      </w:r>
      <w:r w:rsidR="00F47099" w:rsidRPr="0064627E">
        <w:rPr>
          <w:rFonts w:ascii="Aptos" w:hAnsi="Aptos"/>
        </w:rPr>
        <w:t xml:space="preserve"> </w:t>
      </w:r>
      <w:r w:rsidR="0007486B" w:rsidRPr="0064627E">
        <w:rPr>
          <w:rFonts w:ascii="Aptos" w:hAnsi="Aptos"/>
        </w:rPr>
        <w:t xml:space="preserve">and will adopt the system’s </w:t>
      </w:r>
      <w:r w:rsidR="003C727C" w:rsidRPr="0064627E">
        <w:rPr>
          <w:rFonts w:ascii="Aptos" w:hAnsi="Aptos"/>
        </w:rPr>
        <w:t xml:space="preserve">established </w:t>
      </w:r>
      <w:r w:rsidRPr="0064627E">
        <w:rPr>
          <w:rFonts w:ascii="Aptos" w:hAnsi="Aptos"/>
        </w:rPr>
        <w:t xml:space="preserve">quality and </w:t>
      </w:r>
      <w:r w:rsidR="0007486B" w:rsidRPr="0064627E">
        <w:rPr>
          <w:rFonts w:ascii="Aptos" w:hAnsi="Aptos"/>
        </w:rPr>
        <w:t xml:space="preserve">health equity programs, </w:t>
      </w:r>
      <w:r w:rsidR="00F47099" w:rsidRPr="0064627E">
        <w:rPr>
          <w:rFonts w:ascii="Aptos" w:hAnsi="Aptos"/>
        </w:rPr>
        <w:t xml:space="preserve">in turn promoting continuity and coordination of local care in the community. </w:t>
      </w:r>
      <w:r w:rsidR="003C727C" w:rsidRPr="0064627E">
        <w:rPr>
          <w:rFonts w:ascii="Aptos" w:hAnsi="Aptos"/>
        </w:rPr>
        <w:t xml:space="preserve">The clinical integration of services provided across BH following the Proposed Transfer will provide more robust linkages for MMC patients </w:t>
      </w:r>
      <w:r w:rsidR="170A12C0" w:rsidRPr="0064627E">
        <w:rPr>
          <w:rFonts w:ascii="Aptos" w:hAnsi="Aptos"/>
        </w:rPr>
        <w:t xml:space="preserve">to BH </w:t>
      </w:r>
      <w:r w:rsidR="003C727C" w:rsidRPr="0064627E">
        <w:rPr>
          <w:rFonts w:ascii="Aptos" w:hAnsi="Aptos"/>
        </w:rPr>
        <w:t xml:space="preserve">across the care continuum, including a shared medical records system, standard clinical protocols, and aligned quality objectives. To that end, the Proposed Transfer will operate efficiently and effectively through the development of a regional care delivery system that will promote care coordination. </w:t>
      </w:r>
    </w:p>
    <w:p w14:paraId="68A1B025" w14:textId="5CC240DD" w:rsidR="00082AFF" w:rsidRPr="0064627E" w:rsidRDefault="00082AFF" w:rsidP="008A440E">
      <w:pPr>
        <w:pStyle w:val="Heading2"/>
        <w:ind w:left="1440" w:hanging="1440"/>
        <w:rPr>
          <w:sz w:val="24"/>
          <w:szCs w:val="24"/>
        </w:rPr>
      </w:pPr>
      <w:r w:rsidRPr="0064627E">
        <w:rPr>
          <w:sz w:val="24"/>
          <w:szCs w:val="24"/>
        </w:rPr>
        <w:t xml:space="preserve">F1.d </w:t>
      </w:r>
      <w:r w:rsidRPr="0064627E">
        <w:rPr>
          <w:sz w:val="24"/>
          <w:szCs w:val="24"/>
        </w:rPr>
        <w:tab/>
        <w:t>Provide evidence of consultation, both prior to and after the Filing Date, with all Government Agencies with relevant licensure, certification, or other regulatory oversight of the Applicant or the Proposed Project.</w:t>
      </w:r>
    </w:p>
    <w:p w14:paraId="1DEF73C7" w14:textId="3FA36E09" w:rsidR="00082AFF" w:rsidRPr="0064627E" w:rsidRDefault="00082AFF" w:rsidP="00082AFF">
      <w:pPr>
        <w:suppressAutoHyphens w:val="0"/>
        <w:spacing w:after="120"/>
        <w:jc w:val="both"/>
        <w:rPr>
          <w:rFonts w:ascii="Aptos" w:hAnsi="Aptos"/>
        </w:rPr>
      </w:pPr>
      <w:r w:rsidRPr="0064627E">
        <w:rPr>
          <w:rFonts w:ascii="Aptos" w:hAnsi="Aptos"/>
        </w:rPr>
        <w:t xml:space="preserve">The Applicant carried out a diverse consultative process with individuals at various regulatory agencies and departments regarding the Proposed </w:t>
      </w:r>
      <w:r w:rsidR="005E32E8" w:rsidRPr="0064627E">
        <w:rPr>
          <w:rFonts w:ascii="Aptos" w:hAnsi="Aptos"/>
        </w:rPr>
        <w:t>Transfer</w:t>
      </w:r>
      <w:r w:rsidRPr="0064627E">
        <w:rPr>
          <w:rFonts w:ascii="Aptos" w:hAnsi="Aptos"/>
        </w:rPr>
        <w:t>. The following individuals and agencies are some of those consulted regarding this Application:</w:t>
      </w:r>
    </w:p>
    <w:p w14:paraId="4509A55E" w14:textId="6BFA4299" w:rsidR="6F7F0C05" w:rsidRPr="0064627E" w:rsidRDefault="1B495A79" w:rsidP="6F7F0C05">
      <w:pPr>
        <w:numPr>
          <w:ilvl w:val="0"/>
          <w:numId w:val="14"/>
        </w:numPr>
        <w:spacing w:after="120"/>
        <w:jc w:val="both"/>
        <w:rPr>
          <w:rFonts w:ascii="Aptos" w:hAnsi="Aptos"/>
        </w:rPr>
      </w:pPr>
      <w:r w:rsidRPr="0064627E">
        <w:rPr>
          <w:rFonts w:ascii="Aptos" w:hAnsi="Aptos"/>
        </w:rPr>
        <w:t>Kate Walsh, former EOHHS Secretary</w:t>
      </w:r>
    </w:p>
    <w:p w14:paraId="06396832" w14:textId="204320C5"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Chris Harding, Chief of Staff to EOHHS Secretary</w:t>
      </w:r>
    </w:p>
    <w:p w14:paraId="600F2238" w14:textId="6F74CB1A"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Robert Goldstein, MD, Commissioner, DPH</w:t>
      </w:r>
    </w:p>
    <w:p w14:paraId="214CC356" w14:textId="58B5F216"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Jessica Ziedman, MD, Deputy Commissioner, DPH</w:t>
      </w:r>
    </w:p>
    <w:p w14:paraId="501FF815" w14:textId="092A75A0"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Torey McNam</w:t>
      </w:r>
      <w:r w:rsidR="005E32E8" w:rsidRPr="0064627E">
        <w:rPr>
          <w:rFonts w:ascii="Aptos" w:hAnsi="Aptos"/>
        </w:rPr>
        <w:t>a</w:t>
      </w:r>
      <w:r w:rsidRPr="0064627E">
        <w:rPr>
          <w:rFonts w:ascii="Aptos" w:hAnsi="Aptos"/>
        </w:rPr>
        <w:t xml:space="preserve">ra, Senior Policy </w:t>
      </w:r>
      <w:r w:rsidR="00B46B03" w:rsidRPr="0064627E">
        <w:rPr>
          <w:rFonts w:ascii="Aptos" w:hAnsi="Aptos"/>
        </w:rPr>
        <w:t>Advisor</w:t>
      </w:r>
      <w:r w:rsidRPr="0064627E">
        <w:rPr>
          <w:rFonts w:ascii="Aptos" w:hAnsi="Aptos"/>
        </w:rPr>
        <w:t>, DPH</w:t>
      </w:r>
    </w:p>
    <w:p w14:paraId="635F03E7" w14:textId="0ACDC27F"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Teryl Smith, Director, DPH Health Care Quality</w:t>
      </w:r>
    </w:p>
    <w:p w14:paraId="4F25A888" w14:textId="37D74929"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Susannah Arterian, Esq., Deputy General Counsel, DPH</w:t>
      </w:r>
    </w:p>
    <w:p w14:paraId="6CBE7D6B" w14:textId="76396AEE"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Michael Levine, MassHealth</w:t>
      </w:r>
    </w:p>
    <w:p w14:paraId="57AC8DF2" w14:textId="77777777" w:rsidR="00E83317" w:rsidRPr="0064627E" w:rsidRDefault="00082AFF" w:rsidP="00E83317">
      <w:pPr>
        <w:numPr>
          <w:ilvl w:val="0"/>
          <w:numId w:val="14"/>
        </w:numPr>
        <w:suppressAutoHyphens w:val="0"/>
        <w:spacing w:after="120"/>
        <w:jc w:val="both"/>
        <w:rPr>
          <w:rFonts w:ascii="Aptos" w:hAnsi="Aptos"/>
        </w:rPr>
      </w:pPr>
      <w:r w:rsidRPr="0064627E">
        <w:rPr>
          <w:rFonts w:ascii="Aptos" w:hAnsi="Aptos"/>
        </w:rPr>
        <w:t>Katherine Mills, Health Policy Commission</w:t>
      </w:r>
    </w:p>
    <w:p w14:paraId="197F52F5" w14:textId="77777777" w:rsidR="00E83317" w:rsidRPr="0064627E" w:rsidRDefault="00082AFF" w:rsidP="00E83317">
      <w:pPr>
        <w:numPr>
          <w:ilvl w:val="0"/>
          <w:numId w:val="14"/>
        </w:numPr>
        <w:suppressAutoHyphens w:val="0"/>
        <w:spacing w:after="120"/>
        <w:jc w:val="both"/>
        <w:rPr>
          <w:rFonts w:ascii="Aptos" w:hAnsi="Aptos"/>
        </w:rPr>
      </w:pPr>
      <w:r w:rsidRPr="0064627E">
        <w:rPr>
          <w:rFonts w:ascii="Aptos" w:hAnsi="Aptos"/>
        </w:rPr>
        <w:t>Lois Johnson, Health Policy Commission</w:t>
      </w:r>
    </w:p>
    <w:p w14:paraId="3983E850" w14:textId="449E3FA5" w:rsidR="00082AFF" w:rsidRPr="0064627E" w:rsidRDefault="00C51803" w:rsidP="00E83317">
      <w:pPr>
        <w:numPr>
          <w:ilvl w:val="0"/>
          <w:numId w:val="14"/>
        </w:numPr>
        <w:suppressAutoHyphens w:val="0"/>
        <w:spacing w:after="120"/>
        <w:jc w:val="both"/>
        <w:rPr>
          <w:rFonts w:ascii="Aptos" w:hAnsi="Aptos"/>
        </w:rPr>
      </w:pPr>
      <w:r w:rsidRPr="0064627E">
        <w:rPr>
          <w:rFonts w:ascii="Aptos" w:hAnsi="Aptos"/>
        </w:rPr>
        <w:t>Anthony Mariano</w:t>
      </w:r>
      <w:r w:rsidR="00082AFF" w:rsidRPr="0064627E">
        <w:rPr>
          <w:rFonts w:ascii="Aptos" w:hAnsi="Aptos"/>
        </w:rPr>
        <w:t>, Massachusetts Attorney General’s Office</w:t>
      </w:r>
    </w:p>
    <w:p w14:paraId="14741E88" w14:textId="77777777"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 xml:space="preserve">Center for Health Information and Analysis </w:t>
      </w:r>
    </w:p>
    <w:p w14:paraId="45C3F63D" w14:textId="19C7D233" w:rsidR="00082AFF" w:rsidRPr="0064627E" w:rsidRDefault="00082AFF" w:rsidP="00082AFF">
      <w:pPr>
        <w:numPr>
          <w:ilvl w:val="0"/>
          <w:numId w:val="14"/>
        </w:numPr>
        <w:suppressAutoHyphens w:val="0"/>
        <w:spacing w:after="120"/>
        <w:jc w:val="both"/>
        <w:rPr>
          <w:rFonts w:ascii="Aptos" w:hAnsi="Aptos"/>
        </w:rPr>
      </w:pPr>
      <w:r w:rsidRPr="0064627E">
        <w:rPr>
          <w:rFonts w:ascii="Aptos" w:hAnsi="Aptos"/>
        </w:rPr>
        <w:t xml:space="preserve">The Centers for Medicare </w:t>
      </w:r>
      <w:r w:rsidR="006254B7">
        <w:rPr>
          <w:rFonts w:ascii="Aptos" w:hAnsi="Aptos"/>
        </w:rPr>
        <w:t>and</w:t>
      </w:r>
      <w:r w:rsidRPr="0064627E">
        <w:rPr>
          <w:rFonts w:ascii="Aptos" w:hAnsi="Aptos"/>
        </w:rPr>
        <w:t xml:space="preserve"> Medicaid Services </w:t>
      </w:r>
    </w:p>
    <w:p w14:paraId="086CC0CA" w14:textId="77777777" w:rsidR="00B23095" w:rsidRPr="0064627E" w:rsidRDefault="00B23095" w:rsidP="00082AFF">
      <w:pPr>
        <w:suppressAutoHyphens w:val="0"/>
        <w:spacing w:after="120"/>
        <w:jc w:val="both"/>
        <w:rPr>
          <w:rFonts w:ascii="Aptos" w:hAnsi="Aptos"/>
          <w:b/>
          <w:bCs/>
        </w:rPr>
      </w:pPr>
    </w:p>
    <w:p w14:paraId="307DBD19" w14:textId="2FA8BC9B" w:rsidR="00082AFF" w:rsidRPr="0064627E" w:rsidRDefault="00082AFF" w:rsidP="008A440E">
      <w:pPr>
        <w:pStyle w:val="Heading2"/>
        <w:rPr>
          <w:sz w:val="24"/>
          <w:szCs w:val="24"/>
        </w:rPr>
      </w:pPr>
      <w:r w:rsidRPr="0064627E">
        <w:rPr>
          <w:sz w:val="24"/>
          <w:szCs w:val="24"/>
        </w:rPr>
        <w:lastRenderedPageBreak/>
        <w:t xml:space="preserve">F1.e.i </w:t>
      </w:r>
      <w:r w:rsidRPr="0064627E">
        <w:rPr>
          <w:sz w:val="24"/>
          <w:szCs w:val="24"/>
        </w:rPr>
        <w:tab/>
      </w:r>
      <w:r w:rsidR="00B23095" w:rsidRPr="0064627E">
        <w:rPr>
          <w:sz w:val="24"/>
          <w:szCs w:val="24"/>
        </w:rPr>
        <w:tab/>
      </w:r>
      <w:r w:rsidRPr="0064627E">
        <w:rPr>
          <w:sz w:val="24"/>
          <w:szCs w:val="24"/>
        </w:rPr>
        <w:t>Process for Determining Need/Evidence of Community Engagement</w:t>
      </w:r>
    </w:p>
    <w:p w14:paraId="62CC4571" w14:textId="77777777" w:rsidR="00082AFF" w:rsidRPr="0064627E" w:rsidRDefault="00082AFF" w:rsidP="00B23095">
      <w:pPr>
        <w:suppressAutoHyphens w:val="0"/>
        <w:spacing w:after="120"/>
        <w:ind w:left="1440"/>
        <w:jc w:val="both"/>
        <w:rPr>
          <w:rFonts w:ascii="Aptos" w:hAnsi="Aptos"/>
          <w:b/>
          <w:bCs/>
          <w:iCs/>
        </w:rPr>
      </w:pPr>
      <w:r w:rsidRPr="0064627E">
        <w:rPr>
          <w:rFonts w:ascii="Aptos" w:hAnsi="Aptos"/>
          <w:b/>
          <w:bCs/>
          <w:iCs/>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5190E654" w14:textId="1F2E915B" w:rsidR="00082AFF" w:rsidRPr="0064627E" w:rsidRDefault="00082AFF" w:rsidP="00082AFF">
      <w:pPr>
        <w:suppressAutoHyphens w:val="0"/>
        <w:spacing w:after="120"/>
        <w:jc w:val="both"/>
        <w:rPr>
          <w:rFonts w:ascii="Aptos" w:hAnsi="Aptos"/>
        </w:rPr>
      </w:pPr>
      <w:r w:rsidRPr="0064627E">
        <w:rPr>
          <w:rFonts w:ascii="Aptos" w:hAnsi="Aptos"/>
        </w:rPr>
        <w:t>As more fully described in Section F1.</w:t>
      </w:r>
      <w:proofErr w:type="gramStart"/>
      <w:r w:rsidRPr="0064627E">
        <w:rPr>
          <w:rFonts w:ascii="Aptos" w:hAnsi="Aptos"/>
        </w:rPr>
        <w:t>a.ii</w:t>
      </w:r>
      <w:proofErr w:type="gramEnd"/>
      <w:r w:rsidRPr="0064627E">
        <w:rPr>
          <w:rFonts w:ascii="Aptos" w:hAnsi="Aptos"/>
        </w:rPr>
        <w:t xml:space="preserve">, the Applicant determined the need for the Proposed </w:t>
      </w:r>
      <w:r w:rsidR="00D51932" w:rsidRPr="0064627E">
        <w:rPr>
          <w:rFonts w:ascii="Aptos" w:hAnsi="Aptos"/>
        </w:rPr>
        <w:t>Transfer</w:t>
      </w:r>
      <w:r w:rsidRPr="0064627E">
        <w:rPr>
          <w:rFonts w:ascii="Aptos" w:hAnsi="Aptos"/>
        </w:rPr>
        <w:t xml:space="preserve"> in response to the challenges impacting the long-term success of M</w:t>
      </w:r>
      <w:r w:rsidR="00D51932" w:rsidRPr="0064627E">
        <w:rPr>
          <w:rFonts w:ascii="Aptos" w:hAnsi="Aptos"/>
        </w:rPr>
        <w:t>MC</w:t>
      </w:r>
      <w:r w:rsidRPr="0064627E">
        <w:rPr>
          <w:rFonts w:ascii="Aptos" w:hAnsi="Aptos"/>
        </w:rPr>
        <w:t xml:space="preserve"> as a community hospital. </w:t>
      </w:r>
      <w:r w:rsidR="00D51932" w:rsidRPr="0064627E">
        <w:rPr>
          <w:rFonts w:ascii="Aptos" w:hAnsi="Aptos"/>
        </w:rPr>
        <w:t>In addition to discussions held with Governor Heal</w:t>
      </w:r>
      <w:r w:rsidR="005E32E8" w:rsidRPr="0064627E">
        <w:rPr>
          <w:rFonts w:ascii="Aptos" w:hAnsi="Aptos"/>
        </w:rPr>
        <w:t>e</w:t>
      </w:r>
      <w:r w:rsidR="00D51932" w:rsidRPr="0064627E">
        <w:rPr>
          <w:rFonts w:ascii="Aptos" w:hAnsi="Aptos"/>
        </w:rPr>
        <w:t>y and elected officials representing Springfield, BH has engaged with all employees as well as business and community stakeholders. A dedicated website</w:t>
      </w:r>
      <w:r w:rsidR="00D51932" w:rsidRPr="0064627E">
        <w:rPr>
          <w:rStyle w:val="FootnoteReference"/>
          <w:rFonts w:ascii="Aptos" w:hAnsi="Aptos"/>
        </w:rPr>
        <w:footnoteReference w:id="24"/>
      </w:r>
      <w:r w:rsidR="00D51932" w:rsidRPr="0064627E">
        <w:rPr>
          <w:rFonts w:ascii="Aptos" w:hAnsi="Aptos"/>
        </w:rPr>
        <w:t xml:space="preserve"> has been established for both employees and the public to stay informed about the </w:t>
      </w:r>
      <w:r w:rsidR="00AA21FA" w:rsidRPr="0064627E">
        <w:rPr>
          <w:rFonts w:ascii="Aptos" w:hAnsi="Aptos"/>
        </w:rPr>
        <w:t>Proposed Transfer</w:t>
      </w:r>
      <w:r w:rsidR="00D51932" w:rsidRPr="0064627E">
        <w:rPr>
          <w:rFonts w:ascii="Aptos" w:hAnsi="Aptos"/>
        </w:rPr>
        <w:t xml:space="preserve"> and receive the latest updates. In addition, BH and </w:t>
      </w:r>
      <w:r w:rsidR="00570E26" w:rsidRPr="0064627E">
        <w:rPr>
          <w:rFonts w:ascii="Aptos" w:hAnsi="Aptos"/>
        </w:rPr>
        <w:t xml:space="preserve">MMC </w:t>
      </w:r>
      <w:r w:rsidR="00D51932" w:rsidRPr="0064627E">
        <w:rPr>
          <w:rFonts w:ascii="Aptos" w:hAnsi="Aptos"/>
        </w:rPr>
        <w:t xml:space="preserve">also held live streamed town hall events on April 28, 2026, as well as an in person public meeting on </w:t>
      </w:r>
      <w:r w:rsidR="004A5E33" w:rsidRPr="0064627E">
        <w:rPr>
          <w:rFonts w:ascii="Aptos" w:hAnsi="Aptos"/>
        </w:rPr>
        <w:t>May 12</w:t>
      </w:r>
      <w:r w:rsidR="00D51932" w:rsidRPr="0064627E">
        <w:rPr>
          <w:rFonts w:ascii="Aptos" w:hAnsi="Aptos"/>
        </w:rPr>
        <w:t>, 2026</w:t>
      </w:r>
      <w:r w:rsidR="0027446F" w:rsidRPr="0064627E">
        <w:rPr>
          <w:rFonts w:ascii="Aptos" w:hAnsi="Aptos"/>
        </w:rPr>
        <w:t>,</w:t>
      </w:r>
      <w:r w:rsidR="00D51932" w:rsidRPr="0064627E">
        <w:rPr>
          <w:rFonts w:ascii="Aptos" w:hAnsi="Aptos"/>
        </w:rPr>
        <w:t xml:space="preserve"> at </w:t>
      </w:r>
      <w:r w:rsidR="004A5E33" w:rsidRPr="0064627E">
        <w:rPr>
          <w:rFonts w:ascii="Aptos" w:hAnsi="Aptos"/>
        </w:rPr>
        <w:t>the South End Community Center, Springfield</w:t>
      </w:r>
      <w:r w:rsidR="00D51932" w:rsidRPr="0064627E">
        <w:rPr>
          <w:rFonts w:ascii="Aptos" w:hAnsi="Aptos"/>
        </w:rPr>
        <w:t xml:space="preserve">. </w:t>
      </w:r>
      <w:r w:rsidR="004A5E33" w:rsidRPr="0064627E">
        <w:rPr>
          <w:rFonts w:ascii="Aptos" w:hAnsi="Aptos"/>
        </w:rPr>
        <w:t>Approximately 35-50</w:t>
      </w:r>
      <w:r w:rsidR="00D51932" w:rsidRPr="0064627E">
        <w:rPr>
          <w:rFonts w:ascii="Aptos" w:hAnsi="Aptos"/>
        </w:rPr>
        <w:t xml:space="preserve"> individuals attended the in-person meeting. Feedback focused on </w:t>
      </w:r>
      <w:r w:rsidR="004A5E33" w:rsidRPr="0064627E">
        <w:rPr>
          <w:rFonts w:ascii="Aptos" w:hAnsi="Aptos"/>
        </w:rPr>
        <w:t xml:space="preserve">preservation of emergency services at </w:t>
      </w:r>
      <w:r w:rsidR="0055531D" w:rsidRPr="0064627E">
        <w:rPr>
          <w:rFonts w:ascii="Aptos" w:hAnsi="Aptos"/>
        </w:rPr>
        <w:t>MMC</w:t>
      </w:r>
      <w:r w:rsidR="004A5E33" w:rsidRPr="0064627E">
        <w:rPr>
          <w:rFonts w:ascii="Aptos" w:hAnsi="Aptos"/>
        </w:rPr>
        <w:t>, availability of maternity services, and concerns about Medicare/Medicaid funding</w:t>
      </w:r>
      <w:r w:rsidR="00A15DB3" w:rsidRPr="0064627E">
        <w:rPr>
          <w:rFonts w:ascii="Aptos" w:hAnsi="Aptos"/>
        </w:rPr>
        <w:t>.</w:t>
      </w:r>
      <w:r w:rsidR="00276C23" w:rsidRPr="0064627E">
        <w:rPr>
          <w:rFonts w:ascii="Aptos" w:hAnsi="Aptos"/>
        </w:rPr>
        <w:t xml:space="preserve"> MMC has s</w:t>
      </w:r>
      <w:r w:rsidR="00DC1332" w:rsidRPr="0064627E">
        <w:rPr>
          <w:rFonts w:ascii="Aptos" w:hAnsi="Aptos"/>
        </w:rPr>
        <w:t>olicited feedback from the member</w:t>
      </w:r>
      <w:r w:rsidR="00B37D3F" w:rsidRPr="0064627E">
        <w:rPr>
          <w:rFonts w:ascii="Aptos" w:hAnsi="Aptos"/>
        </w:rPr>
        <w:t>s</w:t>
      </w:r>
      <w:r w:rsidR="00DC1332" w:rsidRPr="0064627E">
        <w:rPr>
          <w:rFonts w:ascii="Aptos" w:hAnsi="Aptos"/>
        </w:rPr>
        <w:t xml:space="preserve"> of its Patient </w:t>
      </w:r>
      <w:r w:rsidR="00B37D3F" w:rsidRPr="0064627E">
        <w:rPr>
          <w:rFonts w:ascii="Aptos" w:hAnsi="Aptos"/>
        </w:rPr>
        <w:t xml:space="preserve">and Family Advisory Committee and </w:t>
      </w:r>
      <w:r w:rsidR="00F93030" w:rsidRPr="0064627E">
        <w:rPr>
          <w:rFonts w:ascii="Aptos" w:hAnsi="Aptos"/>
        </w:rPr>
        <w:t>feedback was positive</w:t>
      </w:r>
      <w:r w:rsidR="00B37D3F" w:rsidRPr="0064627E">
        <w:rPr>
          <w:rFonts w:ascii="Aptos" w:hAnsi="Aptos"/>
        </w:rPr>
        <w:t xml:space="preserve">. </w:t>
      </w:r>
    </w:p>
    <w:p w14:paraId="7302B995" w14:textId="77777777" w:rsidR="00082AFF" w:rsidRPr="0064627E" w:rsidRDefault="00082AFF" w:rsidP="00E91BDB">
      <w:pPr>
        <w:pStyle w:val="Heading2"/>
        <w:ind w:left="1440" w:hanging="1440"/>
        <w:rPr>
          <w:i/>
          <w:iCs/>
          <w:sz w:val="24"/>
          <w:szCs w:val="24"/>
        </w:rPr>
      </w:pPr>
      <w:r w:rsidRPr="0064627E">
        <w:rPr>
          <w:i/>
          <w:iCs/>
          <w:sz w:val="24"/>
          <w:szCs w:val="24"/>
        </w:rPr>
        <w:t>F1.</w:t>
      </w:r>
      <w:proofErr w:type="gramStart"/>
      <w:r w:rsidRPr="0064627E">
        <w:rPr>
          <w:i/>
          <w:iCs/>
          <w:sz w:val="24"/>
          <w:szCs w:val="24"/>
        </w:rPr>
        <w:t>e.ii</w:t>
      </w:r>
      <w:proofErr w:type="gramEnd"/>
      <w:r w:rsidRPr="0064627E">
        <w:rPr>
          <w:i/>
          <w:iCs/>
          <w:sz w:val="24"/>
          <w:szCs w:val="24"/>
        </w:rPr>
        <w:t xml:space="preserve"> </w:t>
      </w:r>
      <w:r w:rsidRPr="0064627E">
        <w:rPr>
          <w:i/>
          <w:iCs/>
          <w:sz w:val="24"/>
          <w:szCs w:val="24"/>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64627E">
        <w:rPr>
          <w:i/>
          <w:iCs/>
          <w:sz w:val="24"/>
          <w:szCs w:val="24"/>
        </w:rPr>
        <w:t>DoN</w:t>
      </w:r>
      <w:proofErr w:type="spellEnd"/>
      <w:r w:rsidRPr="0064627E">
        <w:rPr>
          <w:i/>
          <w:iCs/>
          <w:sz w:val="24"/>
          <w:szCs w:val="24"/>
        </w:rPr>
        <w:t xml:space="preserve"> Project in response to “Patient Panel” need; and Linking the Proposed Project to “Public Health Value”.</w:t>
      </w:r>
    </w:p>
    <w:p w14:paraId="4A968775" w14:textId="28C96D0B" w:rsidR="00082AFF" w:rsidRPr="0064627E" w:rsidRDefault="00082AFF" w:rsidP="00082AFF">
      <w:pPr>
        <w:suppressAutoHyphens w:val="0"/>
        <w:spacing w:after="120"/>
        <w:jc w:val="both"/>
        <w:rPr>
          <w:rFonts w:ascii="Aptos" w:hAnsi="Aptos"/>
        </w:rPr>
      </w:pPr>
      <w:r w:rsidRPr="0064627E">
        <w:rPr>
          <w:rFonts w:ascii="Aptos" w:hAnsi="Aptos"/>
        </w:rPr>
        <w:t xml:space="preserve">As described in the previous section, the Applicant executed a robust communication and outreach strategy to ensure patients, employees, community leaders, and community members of both hospitals were informed of the need for the </w:t>
      </w:r>
      <w:r w:rsidR="009B7A76" w:rsidRPr="0064627E">
        <w:rPr>
          <w:rFonts w:ascii="Aptos" w:hAnsi="Aptos"/>
        </w:rPr>
        <w:t>Proposed Project</w:t>
      </w:r>
      <w:r w:rsidRPr="0064627E">
        <w:rPr>
          <w:rFonts w:ascii="Aptos" w:hAnsi="Aptos"/>
        </w:rPr>
        <w:t>, as well as the benefits of it, and feedback was solicited.</w:t>
      </w:r>
    </w:p>
    <w:p w14:paraId="246C4941" w14:textId="0E588A28" w:rsidR="00F47099" w:rsidRPr="0064627E" w:rsidRDefault="00082AFF" w:rsidP="0007486B">
      <w:pPr>
        <w:suppressAutoHyphens w:val="0"/>
        <w:spacing w:after="120"/>
        <w:jc w:val="both"/>
        <w:rPr>
          <w:rFonts w:ascii="Aptos" w:hAnsi="Aptos"/>
        </w:rPr>
      </w:pPr>
      <w:r w:rsidRPr="0064627E">
        <w:rPr>
          <w:rFonts w:ascii="Aptos" w:hAnsi="Aptos"/>
        </w:rPr>
        <w:t xml:space="preserve">In addition, the Applicant published a legal notice for the Proposed </w:t>
      </w:r>
      <w:r w:rsidR="005E32E8" w:rsidRPr="0064627E">
        <w:rPr>
          <w:rFonts w:ascii="Aptos" w:hAnsi="Aptos"/>
        </w:rPr>
        <w:t>Transfer</w:t>
      </w:r>
      <w:r w:rsidRPr="0064627E">
        <w:rPr>
          <w:rFonts w:ascii="Aptos" w:hAnsi="Aptos"/>
        </w:rPr>
        <w:t xml:space="preserve"> in </w:t>
      </w:r>
      <w:r w:rsidR="009B7A76" w:rsidRPr="0064627E">
        <w:rPr>
          <w:rFonts w:ascii="Aptos" w:hAnsi="Aptos"/>
          <w:i/>
        </w:rPr>
        <w:t>The</w:t>
      </w:r>
      <w:r w:rsidR="009B7A76" w:rsidRPr="0064627E">
        <w:rPr>
          <w:rFonts w:ascii="Aptos" w:hAnsi="Aptos"/>
          <w:i/>
          <w:iCs/>
        </w:rPr>
        <w:t xml:space="preserve"> Republican</w:t>
      </w:r>
      <w:r w:rsidRPr="0064627E">
        <w:rPr>
          <w:rFonts w:ascii="Aptos" w:hAnsi="Aptos"/>
        </w:rPr>
        <w:t xml:space="preserve"> on </w:t>
      </w:r>
      <w:r w:rsidR="00E53270" w:rsidRPr="0064627E">
        <w:rPr>
          <w:rFonts w:ascii="Aptos" w:hAnsi="Aptos"/>
        </w:rPr>
        <w:t>May 5</w:t>
      </w:r>
      <w:r w:rsidR="009B7A76" w:rsidRPr="0064627E">
        <w:rPr>
          <w:rFonts w:ascii="Aptos" w:hAnsi="Aptos"/>
        </w:rPr>
        <w:t>,</w:t>
      </w:r>
      <w:r w:rsidR="00E53270" w:rsidRPr="0064627E">
        <w:rPr>
          <w:rFonts w:ascii="Aptos" w:hAnsi="Aptos"/>
        </w:rPr>
        <w:t xml:space="preserve"> </w:t>
      </w:r>
      <w:r w:rsidRPr="0064627E">
        <w:rPr>
          <w:rFonts w:ascii="Aptos" w:hAnsi="Aptos"/>
        </w:rPr>
        <w:t>202</w:t>
      </w:r>
      <w:r w:rsidR="009B7A76" w:rsidRPr="0064627E">
        <w:rPr>
          <w:rFonts w:ascii="Aptos" w:hAnsi="Aptos"/>
        </w:rPr>
        <w:t>6</w:t>
      </w:r>
      <w:r w:rsidRPr="0064627E">
        <w:rPr>
          <w:rFonts w:ascii="Aptos" w:hAnsi="Aptos"/>
        </w:rPr>
        <w:t xml:space="preserve">. A copy of the legal notice was posted prominently on both </w:t>
      </w:r>
      <w:r w:rsidR="00D15147" w:rsidRPr="0064627E">
        <w:rPr>
          <w:rFonts w:ascii="Aptos" w:hAnsi="Aptos"/>
        </w:rPr>
        <w:t>hospitals'</w:t>
      </w:r>
      <w:r w:rsidRPr="0064627E">
        <w:rPr>
          <w:rFonts w:ascii="Aptos" w:hAnsi="Aptos"/>
        </w:rPr>
        <w:t xml:space="preserve"> websites</w:t>
      </w:r>
      <w:r w:rsidR="00D15147" w:rsidRPr="0064627E">
        <w:rPr>
          <w:rFonts w:ascii="Aptos" w:hAnsi="Aptos"/>
        </w:rPr>
        <w:t>.</w:t>
      </w:r>
    </w:p>
    <w:p w14:paraId="7B6EB41D" w14:textId="77777777" w:rsidR="00AA21FA" w:rsidRPr="0064627E" w:rsidRDefault="00AA21FA" w:rsidP="000F4131">
      <w:pPr>
        <w:spacing w:after="240"/>
        <w:jc w:val="both"/>
        <w:rPr>
          <w:rFonts w:asciiTheme="minorHAnsi" w:eastAsia="Calibri" w:hAnsiTheme="minorHAnsi"/>
          <w:b/>
          <w:bCs/>
          <w:u w:val="single"/>
        </w:rPr>
      </w:pPr>
    </w:p>
    <w:p w14:paraId="662B07AB" w14:textId="540ECC2F" w:rsidR="00E34895" w:rsidRPr="0064627E" w:rsidRDefault="000F4131" w:rsidP="000F4131">
      <w:pPr>
        <w:spacing w:after="240"/>
        <w:jc w:val="both"/>
        <w:rPr>
          <w:rFonts w:asciiTheme="minorHAnsi" w:eastAsia="Calibri" w:hAnsiTheme="minorHAnsi"/>
          <w:b/>
          <w:bCs/>
        </w:rPr>
      </w:pPr>
      <w:r w:rsidRPr="0064627E">
        <w:rPr>
          <w:rFonts w:asciiTheme="minorHAnsi" w:eastAsia="Calibri" w:hAnsiTheme="minorHAnsi"/>
          <w:b/>
          <w:bCs/>
          <w:u w:val="single"/>
        </w:rPr>
        <w:t>Factor 2: Health Priorities</w:t>
      </w:r>
    </w:p>
    <w:p w14:paraId="73CB4179" w14:textId="72F61907" w:rsidR="000F4131" w:rsidRPr="0064627E" w:rsidRDefault="000F4131" w:rsidP="00E34895">
      <w:pPr>
        <w:spacing w:after="240"/>
        <w:ind w:left="720"/>
        <w:jc w:val="both"/>
        <w:rPr>
          <w:rFonts w:asciiTheme="minorHAnsi" w:eastAsia="PMingLiU" w:hAnsiTheme="minorHAnsi"/>
          <w:b/>
          <w:bCs/>
        </w:rPr>
      </w:pPr>
      <w:r w:rsidRPr="0064627E">
        <w:rPr>
          <w:rFonts w:asciiTheme="minorHAnsi" w:eastAsia="PMingLiU" w:hAnsiTheme="minorHAnsi"/>
          <w:b/>
          <w:bCs/>
        </w:rPr>
        <w:lastRenderedPageBreak/>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79BA2FC" w14:textId="362E6088" w:rsidR="000F4131" w:rsidRPr="0064627E" w:rsidRDefault="000F4131" w:rsidP="00A0608D">
      <w:pPr>
        <w:pStyle w:val="Heading2"/>
        <w:rPr>
          <w:rFonts w:eastAsia="Calibri"/>
          <w:sz w:val="24"/>
          <w:szCs w:val="24"/>
        </w:rPr>
      </w:pPr>
      <w:r w:rsidRPr="0064627E">
        <w:rPr>
          <w:rFonts w:eastAsia="Calibri"/>
          <w:sz w:val="24"/>
          <w:szCs w:val="24"/>
        </w:rPr>
        <w:t>F2.a.</w:t>
      </w:r>
      <w:r w:rsidRPr="0064627E">
        <w:rPr>
          <w:rFonts w:eastAsia="Calibri"/>
          <w:sz w:val="24"/>
          <w:szCs w:val="24"/>
        </w:rPr>
        <w:tab/>
        <w:t>Cost Containment</w:t>
      </w:r>
    </w:p>
    <w:p w14:paraId="08C88A46" w14:textId="77777777" w:rsidR="000F4131" w:rsidRPr="0064627E" w:rsidRDefault="000F4131" w:rsidP="000F4131">
      <w:pPr>
        <w:spacing w:after="240"/>
        <w:ind w:left="720"/>
        <w:jc w:val="both"/>
        <w:rPr>
          <w:rFonts w:asciiTheme="minorHAnsi" w:eastAsia="Calibri" w:hAnsiTheme="minorHAnsi"/>
          <w:b/>
          <w:bCs/>
        </w:rPr>
      </w:pPr>
      <w:r w:rsidRPr="0064627E">
        <w:rPr>
          <w:rFonts w:asciiTheme="minorHAnsi" w:eastAsia="Calibri" w:hAnsiTheme="minorHAnsi"/>
          <w:b/>
          <w:bCs/>
        </w:rPr>
        <w:t>Using objective data, please describe, for each new or expanded service, how the Proposed Project will meaningfully contribute to the Commonwealth’s goals for cost containment.</w:t>
      </w:r>
    </w:p>
    <w:p w14:paraId="106D420D" w14:textId="0DF158B0" w:rsidR="000F4131" w:rsidRPr="0064627E" w:rsidRDefault="000F4131" w:rsidP="000F4131">
      <w:pPr>
        <w:spacing w:after="120"/>
        <w:jc w:val="both"/>
        <w:rPr>
          <w:rFonts w:asciiTheme="minorHAnsi" w:eastAsia="Calibri" w:hAnsiTheme="minorHAnsi"/>
        </w:rPr>
      </w:pPr>
      <w:r w:rsidRPr="0064627E">
        <w:rPr>
          <w:rFonts w:asciiTheme="minorHAnsi" w:eastAsia="Calibri" w:hAnsiTheme="minorHAnsi"/>
        </w:rPr>
        <w:t xml:space="preserve">The Proposed </w:t>
      </w:r>
      <w:r w:rsidR="006E5B02" w:rsidRPr="0064627E">
        <w:rPr>
          <w:rFonts w:asciiTheme="minorHAnsi" w:eastAsia="Calibri" w:hAnsiTheme="minorHAnsi"/>
        </w:rPr>
        <w:t>Transfer</w:t>
      </w:r>
      <w:r w:rsidRPr="0064627E">
        <w:rPr>
          <w:rFonts w:asciiTheme="minorHAnsi" w:eastAsia="Calibri" w:hAnsiTheme="minorHAnsi"/>
        </w:rPr>
        <w:t xml:space="preserve"> is aligned with the Commonwealth’s goals for cost containment because </w:t>
      </w:r>
      <w:r w:rsidR="006E5B02" w:rsidRPr="0064627E">
        <w:rPr>
          <w:rFonts w:asciiTheme="minorHAnsi" w:eastAsia="Calibri" w:hAnsiTheme="minorHAnsi"/>
        </w:rPr>
        <w:t>it will</w:t>
      </w:r>
      <w:r w:rsidRPr="0064627E">
        <w:rPr>
          <w:rFonts w:asciiTheme="minorHAnsi" w:eastAsia="Calibri" w:hAnsiTheme="minorHAnsi"/>
        </w:rPr>
        <w:t xml:space="preserve"> </w:t>
      </w:r>
      <w:r w:rsidR="006E5B02" w:rsidRPr="0064627E">
        <w:rPr>
          <w:rFonts w:asciiTheme="minorHAnsi" w:eastAsia="Calibri" w:hAnsiTheme="minorHAnsi"/>
        </w:rPr>
        <w:t xml:space="preserve">ensure </w:t>
      </w:r>
      <w:r w:rsidRPr="0064627E">
        <w:rPr>
          <w:rFonts w:asciiTheme="minorHAnsi" w:eastAsia="Calibri" w:hAnsiTheme="minorHAnsi"/>
        </w:rPr>
        <w:t>adequate levels of essential hospital services</w:t>
      </w:r>
      <w:r w:rsidR="006E5B02" w:rsidRPr="0064627E">
        <w:rPr>
          <w:rFonts w:asciiTheme="minorHAnsi" w:eastAsia="Calibri" w:hAnsiTheme="minorHAnsi"/>
        </w:rPr>
        <w:t xml:space="preserve"> are available</w:t>
      </w:r>
      <w:r w:rsidRPr="0064627E">
        <w:rPr>
          <w:rFonts w:asciiTheme="minorHAnsi" w:eastAsia="Calibri" w:hAnsiTheme="minorHAnsi"/>
        </w:rPr>
        <w:t xml:space="preserve"> in the community. Without sufficient </w:t>
      </w:r>
      <w:r w:rsidR="001E3DA0" w:rsidRPr="0064627E">
        <w:rPr>
          <w:rFonts w:asciiTheme="minorHAnsi" w:eastAsia="Calibri" w:hAnsiTheme="minorHAnsi"/>
        </w:rPr>
        <w:t>access to services</w:t>
      </w:r>
      <w:r w:rsidRPr="0064627E">
        <w:rPr>
          <w:rFonts w:asciiTheme="minorHAnsi" w:eastAsia="Calibri" w:hAnsiTheme="minorHAnsi"/>
        </w:rPr>
        <w:t xml:space="preserve">, patients will be competing for more limited services, creating unsustainable </w:t>
      </w:r>
      <w:proofErr w:type="gramStart"/>
      <w:r w:rsidRPr="0064627E">
        <w:rPr>
          <w:rFonts w:asciiTheme="minorHAnsi" w:eastAsia="Calibri" w:hAnsiTheme="minorHAnsi"/>
        </w:rPr>
        <w:t>wait</w:t>
      </w:r>
      <w:proofErr w:type="gramEnd"/>
      <w:r w:rsidRPr="0064627E">
        <w:rPr>
          <w:rFonts w:asciiTheme="minorHAnsi" w:eastAsia="Calibri" w:hAnsiTheme="minorHAnsi"/>
        </w:rPr>
        <w:t xml:space="preserve"> times and delayed care. Significant </w:t>
      </w:r>
      <w:proofErr w:type="gramStart"/>
      <w:r w:rsidRPr="0064627E">
        <w:rPr>
          <w:rFonts w:asciiTheme="minorHAnsi" w:eastAsia="Calibri" w:hAnsiTheme="minorHAnsi"/>
        </w:rPr>
        <w:t>delays</w:t>
      </w:r>
      <w:proofErr w:type="gramEnd"/>
      <w:r w:rsidRPr="0064627E">
        <w:rPr>
          <w:rFonts w:asciiTheme="minorHAnsi" w:eastAsia="Calibri" w:hAnsiTheme="minorHAnsi"/>
        </w:rPr>
        <w:t xml:space="preserve"> accessing and receiving care result in more costly treatment.</w:t>
      </w:r>
      <w:r w:rsidR="00302A61" w:rsidRPr="0064627E">
        <w:rPr>
          <w:rStyle w:val="FootnoteReference"/>
          <w:rFonts w:asciiTheme="minorHAnsi" w:eastAsia="Calibri" w:hAnsiTheme="minorHAnsi"/>
        </w:rPr>
        <w:footnoteReference w:id="25"/>
      </w:r>
      <w:r w:rsidRPr="0064627E">
        <w:rPr>
          <w:rFonts w:asciiTheme="minorHAnsi" w:eastAsia="Calibri" w:hAnsiTheme="minorHAnsi"/>
        </w:rPr>
        <w:t xml:space="preserve"> Alternatively, patients may seek care outside of the community, which is more costly for patients and payers due to the low relative price of both </w:t>
      </w:r>
      <w:r w:rsidR="00457998" w:rsidRPr="0064627E">
        <w:rPr>
          <w:rFonts w:asciiTheme="minorHAnsi" w:eastAsia="Calibri" w:hAnsiTheme="minorHAnsi"/>
        </w:rPr>
        <w:t>MMC</w:t>
      </w:r>
      <w:r w:rsidRPr="0064627E">
        <w:rPr>
          <w:rFonts w:asciiTheme="minorHAnsi" w:eastAsia="Calibri" w:hAnsiTheme="minorHAnsi"/>
        </w:rPr>
        <w:t xml:space="preserve"> and BMC (</w:t>
      </w:r>
      <w:r w:rsidR="00AA21FA" w:rsidRPr="0064627E">
        <w:rPr>
          <w:rFonts w:asciiTheme="minorHAnsi" w:eastAsia="Calibri" w:hAnsiTheme="minorHAnsi"/>
        </w:rPr>
        <w:t>0</w:t>
      </w:r>
      <w:r w:rsidRPr="0064627E">
        <w:rPr>
          <w:rFonts w:asciiTheme="minorHAnsi" w:eastAsia="Calibri" w:hAnsiTheme="minorHAnsi"/>
        </w:rPr>
        <w:t xml:space="preserve">.94 and </w:t>
      </w:r>
      <w:r w:rsidR="00AA21FA" w:rsidRPr="0064627E">
        <w:rPr>
          <w:rFonts w:asciiTheme="minorHAnsi" w:eastAsia="Calibri" w:hAnsiTheme="minorHAnsi"/>
        </w:rPr>
        <w:t>0</w:t>
      </w:r>
      <w:r w:rsidRPr="0064627E">
        <w:rPr>
          <w:rFonts w:asciiTheme="minorHAnsi" w:eastAsia="Calibri" w:hAnsiTheme="minorHAnsi"/>
        </w:rPr>
        <w:t>.93, respectively) compared to their Eastern counterparts.</w:t>
      </w:r>
      <w:r w:rsidRPr="0064627E">
        <w:rPr>
          <w:rStyle w:val="FootnoteReference"/>
          <w:rFonts w:asciiTheme="minorHAnsi" w:eastAsia="Calibri" w:hAnsiTheme="minorHAnsi"/>
        </w:rPr>
        <w:footnoteReference w:id="26"/>
      </w:r>
    </w:p>
    <w:p w14:paraId="4A8B9D0D" w14:textId="710AF9F1" w:rsidR="000F4131" w:rsidRPr="0064627E" w:rsidRDefault="000F4131" w:rsidP="000F4131">
      <w:pPr>
        <w:spacing w:after="120"/>
        <w:jc w:val="both"/>
        <w:rPr>
          <w:rFonts w:asciiTheme="minorHAnsi" w:eastAsia="Calibri" w:hAnsiTheme="minorHAnsi"/>
        </w:rPr>
      </w:pPr>
      <w:r w:rsidRPr="0064627E">
        <w:rPr>
          <w:rFonts w:asciiTheme="minorHAnsi" w:eastAsia="Calibri" w:hAnsiTheme="minorHAnsi"/>
        </w:rPr>
        <w:t xml:space="preserve">While </w:t>
      </w:r>
      <w:r w:rsidR="00457998" w:rsidRPr="0064627E">
        <w:rPr>
          <w:rFonts w:asciiTheme="minorHAnsi" w:eastAsia="Calibri" w:hAnsiTheme="minorHAnsi"/>
        </w:rPr>
        <w:t>MMC</w:t>
      </w:r>
      <w:r w:rsidRPr="0064627E">
        <w:rPr>
          <w:rFonts w:asciiTheme="minorHAnsi" w:eastAsia="Calibri" w:hAnsiTheme="minorHAnsi"/>
        </w:rPr>
        <w:t xml:space="preserve"> has struggled to </w:t>
      </w:r>
      <w:r w:rsidR="006E5B02" w:rsidRPr="0064627E">
        <w:rPr>
          <w:rFonts w:asciiTheme="minorHAnsi" w:eastAsia="Calibri" w:hAnsiTheme="minorHAnsi"/>
        </w:rPr>
        <w:t>manage</w:t>
      </w:r>
      <w:r w:rsidRPr="0064627E">
        <w:rPr>
          <w:rFonts w:asciiTheme="minorHAnsi" w:eastAsia="Calibri" w:hAnsiTheme="minorHAnsi"/>
        </w:rPr>
        <w:t xml:space="preserve"> the high costs of staffing, </w:t>
      </w:r>
      <w:r w:rsidR="0055531D" w:rsidRPr="0064627E">
        <w:rPr>
          <w:rFonts w:asciiTheme="minorHAnsi" w:eastAsia="Calibri" w:hAnsiTheme="minorHAnsi"/>
        </w:rPr>
        <w:t>BH</w:t>
      </w:r>
      <w:r w:rsidRPr="0064627E">
        <w:rPr>
          <w:rFonts w:asciiTheme="minorHAnsi" w:eastAsia="Calibri" w:hAnsiTheme="minorHAnsi"/>
        </w:rPr>
        <w:t xml:space="preserve"> will shift </w:t>
      </w:r>
      <w:r w:rsidR="00457998" w:rsidRPr="0064627E">
        <w:rPr>
          <w:rFonts w:asciiTheme="minorHAnsi" w:eastAsia="Calibri" w:hAnsiTheme="minorHAnsi"/>
        </w:rPr>
        <w:t>MMC</w:t>
      </w:r>
      <w:r w:rsidRPr="0064627E">
        <w:rPr>
          <w:rFonts w:asciiTheme="minorHAnsi" w:eastAsia="Calibri" w:hAnsiTheme="minorHAnsi"/>
        </w:rPr>
        <w:t xml:space="preserve">’s contracted labor to the </w:t>
      </w:r>
      <w:proofErr w:type="gramStart"/>
      <w:r w:rsidRPr="0064627E">
        <w:rPr>
          <w:rFonts w:asciiTheme="minorHAnsi" w:eastAsia="Calibri" w:hAnsiTheme="minorHAnsi"/>
        </w:rPr>
        <w:t>employed model</w:t>
      </w:r>
      <w:proofErr w:type="gramEnd"/>
      <w:r w:rsidRPr="0064627E">
        <w:rPr>
          <w:rFonts w:asciiTheme="minorHAnsi" w:eastAsia="Calibri" w:hAnsiTheme="minorHAnsi"/>
        </w:rPr>
        <w:t xml:space="preserve"> its facilities successfully operate under. In FY2025, Baystate Health launched a comprehensive Transformation Plan which included optimizing the workforce and reducing labor-related expenses throughout the organization, including contract/temporary help labor.  Key components of this plan include:</w:t>
      </w:r>
    </w:p>
    <w:p w14:paraId="6914DBA1" w14:textId="77777777" w:rsidR="000F4131" w:rsidRPr="0064627E" w:rsidRDefault="000F4131" w:rsidP="000F4131">
      <w:pPr>
        <w:numPr>
          <w:ilvl w:val="0"/>
          <w:numId w:val="8"/>
        </w:numPr>
        <w:suppressAutoHyphens w:val="0"/>
        <w:spacing w:after="120"/>
        <w:jc w:val="both"/>
        <w:rPr>
          <w:rFonts w:asciiTheme="minorHAnsi" w:eastAsia="Calibri" w:hAnsiTheme="minorHAnsi"/>
        </w:rPr>
      </w:pPr>
      <w:r w:rsidRPr="0064627E">
        <w:rPr>
          <w:rFonts w:asciiTheme="minorHAnsi" w:eastAsia="Calibri" w:hAnsiTheme="minorHAnsi"/>
        </w:rPr>
        <w:t xml:space="preserve">Establishing a labor productivity and benchmarking system; </w:t>
      </w:r>
    </w:p>
    <w:p w14:paraId="603A9C82" w14:textId="77777777" w:rsidR="000F4131" w:rsidRPr="0064627E" w:rsidRDefault="000F4131" w:rsidP="000F4131">
      <w:pPr>
        <w:numPr>
          <w:ilvl w:val="0"/>
          <w:numId w:val="8"/>
        </w:numPr>
        <w:suppressAutoHyphens w:val="0"/>
        <w:spacing w:after="120"/>
        <w:jc w:val="both"/>
        <w:rPr>
          <w:rFonts w:asciiTheme="minorHAnsi" w:eastAsia="Calibri" w:hAnsiTheme="minorHAnsi"/>
        </w:rPr>
      </w:pPr>
      <w:r w:rsidRPr="0064627E">
        <w:rPr>
          <w:rFonts w:asciiTheme="minorHAnsi" w:eastAsia="Calibri" w:hAnsiTheme="minorHAnsi"/>
        </w:rPr>
        <w:t>Implementing a new Resource Management Committee, requiring senior leadership approval for all labor resource requests;</w:t>
      </w:r>
    </w:p>
    <w:p w14:paraId="43930C15" w14:textId="77777777" w:rsidR="000F4131" w:rsidRPr="0064627E" w:rsidRDefault="000F4131" w:rsidP="000F4131">
      <w:pPr>
        <w:numPr>
          <w:ilvl w:val="0"/>
          <w:numId w:val="8"/>
        </w:numPr>
        <w:suppressAutoHyphens w:val="0"/>
        <w:spacing w:after="120"/>
        <w:jc w:val="both"/>
        <w:rPr>
          <w:rFonts w:asciiTheme="minorHAnsi" w:eastAsia="Calibri" w:hAnsiTheme="minorHAnsi"/>
        </w:rPr>
      </w:pPr>
      <w:r w:rsidRPr="0064627E">
        <w:rPr>
          <w:rFonts w:asciiTheme="minorHAnsi" w:eastAsia="Calibri" w:hAnsiTheme="minorHAnsi"/>
        </w:rPr>
        <w:t>Minimizing dependence on contract labor, special pay practices, and premium compensation;</w:t>
      </w:r>
    </w:p>
    <w:p w14:paraId="7B4347D5" w14:textId="77777777" w:rsidR="000F4131" w:rsidRPr="0064627E" w:rsidRDefault="000F4131" w:rsidP="000F4131">
      <w:pPr>
        <w:numPr>
          <w:ilvl w:val="0"/>
          <w:numId w:val="8"/>
        </w:numPr>
        <w:suppressAutoHyphens w:val="0"/>
        <w:spacing w:after="120"/>
        <w:jc w:val="both"/>
        <w:rPr>
          <w:rFonts w:asciiTheme="minorHAnsi" w:eastAsia="Calibri" w:hAnsiTheme="minorHAnsi"/>
        </w:rPr>
      </w:pPr>
      <w:r w:rsidRPr="0064627E">
        <w:rPr>
          <w:rFonts w:asciiTheme="minorHAnsi" w:eastAsia="Calibri" w:hAnsiTheme="minorHAnsi"/>
        </w:rPr>
        <w:lastRenderedPageBreak/>
        <w:t xml:space="preserve">Enhancing Pipeline Programs. </w:t>
      </w:r>
    </w:p>
    <w:p w14:paraId="5F27BE26" w14:textId="51FC34E1" w:rsidR="000F4131" w:rsidRPr="0064627E" w:rsidRDefault="000F4131" w:rsidP="000F4131">
      <w:pPr>
        <w:spacing w:after="120"/>
        <w:jc w:val="both"/>
        <w:rPr>
          <w:rFonts w:asciiTheme="minorHAnsi" w:eastAsia="Calibri" w:hAnsiTheme="minorHAnsi"/>
        </w:rPr>
      </w:pPr>
      <w:r w:rsidRPr="0064627E">
        <w:rPr>
          <w:rFonts w:asciiTheme="minorHAnsi" w:eastAsia="Calibri" w:hAnsiTheme="minorHAnsi"/>
        </w:rPr>
        <w:t xml:space="preserve">Baystate Health has also prioritized </w:t>
      </w:r>
      <w:r w:rsidR="00F80FCE" w:rsidRPr="0064627E">
        <w:rPr>
          <w:rFonts w:asciiTheme="minorHAnsi" w:eastAsia="Calibri" w:hAnsiTheme="minorHAnsi"/>
        </w:rPr>
        <w:t>n</w:t>
      </w:r>
      <w:r w:rsidRPr="0064627E">
        <w:rPr>
          <w:rFonts w:asciiTheme="minorHAnsi" w:eastAsia="Calibri" w:hAnsiTheme="minorHAnsi"/>
        </w:rPr>
        <w:t xml:space="preserve">ursing </w:t>
      </w:r>
      <w:r w:rsidR="00F80FCE" w:rsidRPr="0064627E">
        <w:rPr>
          <w:rFonts w:asciiTheme="minorHAnsi" w:eastAsia="Calibri" w:hAnsiTheme="minorHAnsi"/>
        </w:rPr>
        <w:t>r</w:t>
      </w:r>
      <w:r w:rsidRPr="0064627E">
        <w:rPr>
          <w:rFonts w:asciiTheme="minorHAnsi" w:eastAsia="Calibri" w:hAnsiTheme="minorHAnsi"/>
        </w:rPr>
        <w:t xml:space="preserve">etention and </w:t>
      </w:r>
      <w:r w:rsidR="00F80FCE" w:rsidRPr="0064627E">
        <w:rPr>
          <w:rFonts w:asciiTheme="minorHAnsi" w:eastAsia="Calibri" w:hAnsiTheme="minorHAnsi"/>
        </w:rPr>
        <w:t>r</w:t>
      </w:r>
      <w:r w:rsidRPr="0064627E">
        <w:rPr>
          <w:rFonts w:asciiTheme="minorHAnsi" w:eastAsia="Calibri" w:hAnsiTheme="minorHAnsi"/>
        </w:rPr>
        <w:t xml:space="preserve">ecruitment as essential elements of its transformation and temporary labor strategy. In June 2025, the Transformation Plan was expanded through the introduction of </w:t>
      </w:r>
      <w:r w:rsidRPr="0064627E">
        <w:rPr>
          <w:rFonts w:asciiTheme="minorHAnsi" w:eastAsia="Calibri" w:hAnsiTheme="minorHAnsi"/>
          <w:i/>
          <w:iCs/>
        </w:rPr>
        <w:t>Clinical Staffing Summits</w:t>
      </w:r>
      <w:r w:rsidRPr="0064627E">
        <w:rPr>
          <w:rFonts w:asciiTheme="minorHAnsi" w:eastAsia="Calibri" w:hAnsiTheme="minorHAnsi"/>
        </w:rPr>
        <w:t> in partnership with Nursing leadership. These summits are designed to further optimize staffing levels in alignment with industry benchmarks and best practices. They actively involve frontline staff in the development of unit staffing plans and budgets, providing them with meaningful input into Nursing decision-making processes that affect daily operations.</w:t>
      </w:r>
    </w:p>
    <w:p w14:paraId="12B696BE" w14:textId="32538340" w:rsidR="000F4131" w:rsidRPr="0064627E" w:rsidRDefault="000F4131" w:rsidP="000F4131">
      <w:pPr>
        <w:spacing w:after="120"/>
        <w:jc w:val="both"/>
        <w:rPr>
          <w:rFonts w:asciiTheme="minorHAnsi" w:eastAsia="Calibri" w:hAnsiTheme="minorHAnsi"/>
        </w:rPr>
      </w:pPr>
      <w:r w:rsidRPr="0064627E">
        <w:rPr>
          <w:rFonts w:asciiTheme="minorHAnsi" w:eastAsia="Calibri" w:hAnsiTheme="minorHAnsi"/>
        </w:rPr>
        <w:t>These initiatives have led to a 70</w:t>
      </w:r>
      <w:r w:rsidR="003827D2">
        <w:rPr>
          <w:rFonts w:asciiTheme="minorHAnsi" w:eastAsia="Calibri" w:hAnsiTheme="minorHAnsi"/>
        </w:rPr>
        <w:t xml:space="preserve"> percent</w:t>
      </w:r>
      <w:r w:rsidRPr="0064627E">
        <w:rPr>
          <w:rFonts w:asciiTheme="minorHAnsi" w:eastAsia="Calibri" w:hAnsiTheme="minorHAnsi"/>
        </w:rPr>
        <w:t xml:space="preserve"> decrease in the use of temporary help compared to FY24, equating to a reduction of over 200 temporary FTEs. Cumulatively, these measures have resulted in over $27 million in annualized savings for FY25. Following the Proposed Transfer, Baystate Health will leverage these initiatives to improve clinician utilization across </w:t>
      </w:r>
      <w:r w:rsidR="00457998" w:rsidRPr="0064627E">
        <w:rPr>
          <w:rFonts w:asciiTheme="minorHAnsi" w:eastAsia="Calibri" w:hAnsiTheme="minorHAnsi"/>
        </w:rPr>
        <w:t>MMC</w:t>
      </w:r>
      <w:r w:rsidRPr="0064627E">
        <w:rPr>
          <w:rFonts w:asciiTheme="minorHAnsi" w:eastAsia="Calibri" w:hAnsiTheme="minorHAnsi"/>
        </w:rPr>
        <w:t xml:space="preserve">. </w:t>
      </w:r>
    </w:p>
    <w:p w14:paraId="1ECDA472" w14:textId="75B8DD12" w:rsidR="00F47099" w:rsidRPr="0064627E" w:rsidRDefault="00F80FCE" w:rsidP="00D15147">
      <w:pPr>
        <w:spacing w:after="120"/>
        <w:jc w:val="both"/>
        <w:rPr>
          <w:rFonts w:asciiTheme="minorHAnsi" w:eastAsia="Calibri" w:hAnsiTheme="minorHAnsi"/>
        </w:rPr>
      </w:pPr>
      <w:r w:rsidRPr="0064627E">
        <w:rPr>
          <w:rFonts w:asciiTheme="minorHAnsi" w:eastAsia="Calibri" w:hAnsiTheme="minorHAnsi"/>
        </w:rPr>
        <w:t xml:space="preserve">Moreover, following the Proposed Transfer, Baystate Health will be able to develop initiatives to more effectively use BMC and MMC to ensure patients have timelier access to care in the right place. This includes staffing currently closed medical/surgical beds at MMC to allow for BMC to reduce its current overutilization and prioritize patients requiring tertiary care. In addition, Baystate Health will have the opportunity to reduce unnecessary duplication of services among the two hospitals located in Springfield, creating cost savings and efficient use of resources. </w:t>
      </w:r>
    </w:p>
    <w:p w14:paraId="01C1AFD3" w14:textId="20C0DBF9" w:rsidR="000F4131" w:rsidRPr="0064627E" w:rsidRDefault="000F4131" w:rsidP="00A0608D">
      <w:pPr>
        <w:pStyle w:val="Heading2"/>
        <w:rPr>
          <w:rFonts w:eastAsia="PMingLiU"/>
          <w:sz w:val="24"/>
          <w:szCs w:val="24"/>
        </w:rPr>
      </w:pPr>
      <w:r w:rsidRPr="0064627E">
        <w:rPr>
          <w:rFonts w:eastAsia="PMingLiU"/>
          <w:sz w:val="24"/>
          <w:szCs w:val="24"/>
        </w:rPr>
        <w:t>F2.b.</w:t>
      </w:r>
      <w:r w:rsidRPr="0064627E">
        <w:rPr>
          <w:rFonts w:eastAsia="PMingLiU"/>
          <w:sz w:val="24"/>
          <w:szCs w:val="24"/>
        </w:rPr>
        <w:tab/>
        <w:t>Public Health Outcomes</w:t>
      </w:r>
    </w:p>
    <w:p w14:paraId="7E82D8FC" w14:textId="77777777" w:rsidR="000F4131" w:rsidRPr="0064627E" w:rsidRDefault="000F4131" w:rsidP="000F4131">
      <w:pPr>
        <w:spacing w:after="240"/>
        <w:ind w:left="720"/>
        <w:jc w:val="both"/>
        <w:rPr>
          <w:rFonts w:asciiTheme="minorHAnsi" w:eastAsia="PMingLiU" w:hAnsiTheme="minorHAnsi"/>
          <w:b/>
          <w:bCs/>
        </w:rPr>
      </w:pPr>
      <w:r w:rsidRPr="0064627E">
        <w:rPr>
          <w:rFonts w:asciiTheme="minorHAnsi" w:eastAsia="PMingLiU" w:hAnsiTheme="minorHAnsi"/>
          <w:b/>
          <w:bCs/>
        </w:rPr>
        <w:t>Describe, as relevant, for each new or expanded service, how the Proposed Project will improve public health outcomes.</w:t>
      </w:r>
    </w:p>
    <w:p w14:paraId="7CCB499C" w14:textId="63BA7D91" w:rsidR="000F4131" w:rsidRPr="0064627E" w:rsidRDefault="000F4131" w:rsidP="000F4131">
      <w:pPr>
        <w:pStyle w:val="HBblj"/>
        <w:rPr>
          <w:rFonts w:asciiTheme="minorHAnsi" w:hAnsiTheme="minorHAnsi"/>
        </w:rPr>
      </w:pPr>
      <w:r w:rsidRPr="0064627E">
        <w:rPr>
          <w:rFonts w:asciiTheme="minorHAnsi" w:eastAsia="PMingLiU" w:hAnsiTheme="minorHAnsi"/>
        </w:rPr>
        <w:t xml:space="preserve">The Proposed Transfer will improve public health outcomes by preserving access to community hospital services in Springfield and by expanding care coordination through the integration of </w:t>
      </w:r>
      <w:r w:rsidR="00457998" w:rsidRPr="0064627E">
        <w:rPr>
          <w:rFonts w:asciiTheme="minorHAnsi" w:eastAsia="PMingLiU" w:hAnsiTheme="minorHAnsi"/>
        </w:rPr>
        <w:t>MMC</w:t>
      </w:r>
      <w:r w:rsidRPr="0064627E">
        <w:rPr>
          <w:rFonts w:asciiTheme="minorHAnsi" w:eastAsia="PMingLiU" w:hAnsiTheme="minorHAnsi"/>
        </w:rPr>
        <w:t xml:space="preserve"> into the Baystate Health system. In addition to the preservation of care necessary to serve the community, </w:t>
      </w:r>
      <w:r w:rsidRPr="0064627E">
        <w:rPr>
          <w:rFonts w:asciiTheme="minorHAnsi" w:hAnsiTheme="minorHAnsi"/>
        </w:rPr>
        <w:t xml:space="preserve">the Proposed Transfer will improve access to inpatient care by more fully utilizing the licensed beds available at MMC. By appropriately shifting care to MMC from BMC, BMC will have </w:t>
      </w:r>
      <w:r w:rsidR="00F80FCE" w:rsidRPr="0064627E">
        <w:rPr>
          <w:rFonts w:asciiTheme="minorHAnsi" w:hAnsiTheme="minorHAnsi"/>
        </w:rPr>
        <w:t>the</w:t>
      </w:r>
      <w:r w:rsidRPr="0064627E">
        <w:rPr>
          <w:rFonts w:asciiTheme="minorHAnsi" w:hAnsiTheme="minorHAnsi"/>
        </w:rPr>
        <w:t xml:space="preserve"> availability to accept tertiary cases from across Western Massachusetts. Additionally, as patient care shifts from BMC to MMC, ED patients requiring an inpatient admission will be transferred to an inpatient bed</w:t>
      </w:r>
      <w:r w:rsidR="00444155" w:rsidRPr="0064627E">
        <w:rPr>
          <w:rFonts w:asciiTheme="minorHAnsi" w:hAnsiTheme="minorHAnsi"/>
        </w:rPr>
        <w:t xml:space="preserve"> </w:t>
      </w:r>
      <w:proofErr w:type="gramStart"/>
      <w:r w:rsidR="00444155" w:rsidRPr="0064627E">
        <w:rPr>
          <w:rFonts w:asciiTheme="minorHAnsi" w:hAnsiTheme="minorHAnsi"/>
        </w:rPr>
        <w:t>more timely</w:t>
      </w:r>
      <w:proofErr w:type="gramEnd"/>
      <w:r w:rsidRPr="0064627E">
        <w:rPr>
          <w:rFonts w:asciiTheme="minorHAnsi" w:hAnsiTheme="minorHAnsi"/>
        </w:rPr>
        <w:t xml:space="preserve">, reducing ED boarding, ED wait times, and the number of patients who leave the ED without being seen. Each of these improvements will significantly contribute to improved health outcomes. </w:t>
      </w:r>
    </w:p>
    <w:p w14:paraId="1DD3E594" w14:textId="1D739A2E" w:rsidR="000F4131" w:rsidRPr="0064627E" w:rsidRDefault="000F4131" w:rsidP="00A0608D">
      <w:pPr>
        <w:pStyle w:val="Heading2"/>
        <w:rPr>
          <w:rFonts w:eastAsia="PMingLiU"/>
          <w:sz w:val="24"/>
          <w:szCs w:val="24"/>
        </w:rPr>
      </w:pPr>
      <w:r w:rsidRPr="0064627E">
        <w:rPr>
          <w:rFonts w:eastAsia="PMingLiU"/>
          <w:sz w:val="24"/>
          <w:szCs w:val="24"/>
        </w:rPr>
        <w:t>F2.c</w:t>
      </w:r>
      <w:r w:rsidRPr="0064627E">
        <w:rPr>
          <w:rFonts w:eastAsia="PMingLiU"/>
          <w:sz w:val="24"/>
          <w:szCs w:val="24"/>
        </w:rPr>
        <w:tab/>
        <w:t>Delivery System Transformation</w:t>
      </w:r>
    </w:p>
    <w:p w14:paraId="651B14A3" w14:textId="49E48B2D" w:rsidR="000F4131" w:rsidRPr="0064627E" w:rsidRDefault="000F4131" w:rsidP="00F47099">
      <w:pPr>
        <w:spacing w:after="120"/>
        <w:ind w:left="720"/>
        <w:jc w:val="both"/>
        <w:rPr>
          <w:rFonts w:asciiTheme="minorHAnsi" w:eastAsia="PMingLiU" w:hAnsiTheme="minorHAnsi"/>
          <w:b/>
          <w:bCs/>
        </w:rPr>
      </w:pPr>
      <w:r w:rsidRPr="0064627E">
        <w:rPr>
          <w:rFonts w:asciiTheme="minorHAnsi" w:eastAsia="PMingLiU" w:hAnsiTheme="minorHAnsi"/>
          <w:b/>
          <w:bCs/>
          <w:spacing w:val="-1"/>
        </w:rPr>
        <w:t xml:space="preserve">Because the integration of social services and community-based expertise is central to </w:t>
      </w:r>
      <w:r w:rsidR="0065507D" w:rsidRPr="0064627E">
        <w:rPr>
          <w:rFonts w:asciiTheme="minorHAnsi" w:eastAsia="PMingLiU" w:hAnsiTheme="minorHAnsi"/>
          <w:b/>
          <w:bCs/>
          <w:spacing w:val="-1"/>
        </w:rPr>
        <w:t xml:space="preserve">the </w:t>
      </w:r>
      <w:r w:rsidRPr="0064627E">
        <w:rPr>
          <w:rFonts w:asciiTheme="minorHAnsi" w:eastAsia="PMingLiU" w:hAnsiTheme="minorHAnsi"/>
          <w:b/>
          <w:bCs/>
        </w:rPr>
        <w:t>goal of delivery system transformation, discuss how the needs of their patient panel have been assessed and linkages to social services organizations have been created and how the social determinants of health have been incorporated into care planning.</w:t>
      </w:r>
    </w:p>
    <w:p w14:paraId="05D72A96" w14:textId="16582911" w:rsidR="00E34895" w:rsidRPr="0064627E" w:rsidRDefault="00AF7CCE" w:rsidP="00F47099">
      <w:pPr>
        <w:spacing w:after="120"/>
        <w:jc w:val="both"/>
        <w:rPr>
          <w:rFonts w:asciiTheme="minorHAnsi" w:hAnsiTheme="minorHAnsi"/>
        </w:rPr>
      </w:pPr>
      <w:r w:rsidRPr="0064627E">
        <w:rPr>
          <w:rFonts w:asciiTheme="minorHAnsi" w:hAnsiTheme="minorHAnsi"/>
        </w:rPr>
        <w:lastRenderedPageBreak/>
        <w:t xml:space="preserve">The inclusion of MMC in the Baystate Health system is expected to yield positive outcomes for both MMC and </w:t>
      </w:r>
      <w:r w:rsidR="0007486B" w:rsidRPr="0064627E">
        <w:rPr>
          <w:rFonts w:asciiTheme="minorHAnsi" w:hAnsiTheme="minorHAnsi"/>
        </w:rPr>
        <w:t>BH</w:t>
      </w:r>
      <w:r w:rsidRPr="0064627E">
        <w:rPr>
          <w:rFonts w:asciiTheme="minorHAnsi" w:hAnsiTheme="minorHAnsi"/>
        </w:rPr>
        <w:t xml:space="preserve"> in terms of sustained access to community-based care, expanded access to specialty care, opportunities for more integrated care with enhanced care coordination and continuity of care, as well as additional opportunities for MMC patients to participate in research. Access to sustainable, integrated, community-based care, including comprehensive specialty care, is expected to lead to high-quality care, improved population health, and </w:t>
      </w:r>
      <w:r w:rsidR="00C016A9" w:rsidRPr="0064627E">
        <w:rPr>
          <w:rFonts w:asciiTheme="minorHAnsi" w:hAnsiTheme="minorHAnsi"/>
        </w:rPr>
        <w:t>a positive</w:t>
      </w:r>
      <w:r w:rsidRPr="0064627E">
        <w:rPr>
          <w:rFonts w:asciiTheme="minorHAnsi" w:hAnsiTheme="minorHAnsi"/>
        </w:rPr>
        <w:t xml:space="preserve"> patient experience. </w:t>
      </w:r>
    </w:p>
    <w:p w14:paraId="5AF3A20E" w14:textId="56A15BE5" w:rsidR="000F4131" w:rsidRPr="0064627E" w:rsidRDefault="00AF7CCE" w:rsidP="00F47099">
      <w:pPr>
        <w:spacing w:after="120"/>
        <w:jc w:val="both"/>
        <w:rPr>
          <w:rFonts w:asciiTheme="minorHAnsi" w:hAnsiTheme="minorHAnsi"/>
        </w:rPr>
      </w:pPr>
      <w:r w:rsidRPr="0064627E">
        <w:rPr>
          <w:rFonts w:asciiTheme="minorHAnsi" w:hAnsiTheme="minorHAnsi"/>
        </w:rPr>
        <w:t xml:space="preserve">With respect to the integration of social determinants of health screening </w:t>
      </w:r>
      <w:r w:rsidR="00D15147" w:rsidRPr="0064627E">
        <w:rPr>
          <w:rFonts w:asciiTheme="minorHAnsi" w:hAnsiTheme="minorHAnsi"/>
        </w:rPr>
        <w:t>(</w:t>
      </w:r>
      <w:proofErr w:type="spellStart"/>
      <w:r w:rsidR="00D15147" w:rsidRPr="0064627E">
        <w:rPr>
          <w:rFonts w:asciiTheme="minorHAnsi" w:hAnsiTheme="minorHAnsi"/>
        </w:rPr>
        <w:t>SDoH</w:t>
      </w:r>
      <w:proofErr w:type="spellEnd"/>
      <w:r w:rsidR="00D15147" w:rsidRPr="0064627E">
        <w:rPr>
          <w:rFonts w:asciiTheme="minorHAnsi" w:hAnsiTheme="minorHAnsi"/>
        </w:rPr>
        <w:t xml:space="preserve">) </w:t>
      </w:r>
      <w:r w:rsidRPr="0064627E">
        <w:rPr>
          <w:rFonts w:asciiTheme="minorHAnsi" w:hAnsiTheme="minorHAnsi"/>
        </w:rPr>
        <w:t>and linkages, t</w:t>
      </w:r>
      <w:r w:rsidR="000F4131" w:rsidRPr="0064627E">
        <w:rPr>
          <w:rFonts w:asciiTheme="minorHAnsi" w:hAnsiTheme="minorHAnsi"/>
        </w:rPr>
        <w:t xml:space="preserve">he Proposed </w:t>
      </w:r>
      <w:r w:rsidR="005E32E8" w:rsidRPr="0064627E">
        <w:rPr>
          <w:rFonts w:asciiTheme="minorHAnsi" w:hAnsiTheme="minorHAnsi"/>
        </w:rPr>
        <w:t xml:space="preserve">Transfer </w:t>
      </w:r>
      <w:r w:rsidRPr="0064627E">
        <w:rPr>
          <w:rFonts w:asciiTheme="minorHAnsi" w:hAnsiTheme="minorHAnsi"/>
        </w:rPr>
        <w:t>integrate</w:t>
      </w:r>
      <w:r w:rsidR="008B0080" w:rsidRPr="0064627E">
        <w:rPr>
          <w:rFonts w:asciiTheme="minorHAnsi" w:hAnsiTheme="minorHAnsi"/>
        </w:rPr>
        <w:t>s</w:t>
      </w:r>
      <w:r w:rsidR="000F4131" w:rsidRPr="0064627E">
        <w:rPr>
          <w:rFonts w:asciiTheme="minorHAnsi" w:hAnsiTheme="minorHAnsi"/>
        </w:rPr>
        <w:t xml:space="preserve"> </w:t>
      </w:r>
      <w:r w:rsidR="00457998" w:rsidRPr="0064627E">
        <w:rPr>
          <w:rFonts w:asciiTheme="minorHAnsi" w:hAnsiTheme="minorHAnsi"/>
        </w:rPr>
        <w:t>MMC</w:t>
      </w:r>
      <w:r w:rsidR="000F4131" w:rsidRPr="0064627E">
        <w:rPr>
          <w:rFonts w:asciiTheme="minorHAnsi" w:hAnsiTheme="minorHAnsi"/>
        </w:rPr>
        <w:t xml:space="preserve"> into </w:t>
      </w:r>
      <w:r w:rsidR="0007486B" w:rsidRPr="0064627E">
        <w:rPr>
          <w:rFonts w:asciiTheme="minorHAnsi" w:hAnsiTheme="minorHAnsi"/>
        </w:rPr>
        <w:t>BH</w:t>
      </w:r>
      <w:r w:rsidR="000F4131" w:rsidRPr="0064627E">
        <w:rPr>
          <w:rFonts w:asciiTheme="minorHAnsi" w:hAnsiTheme="minorHAnsi"/>
        </w:rPr>
        <w:t xml:space="preserve">’s robust system of screening for </w:t>
      </w:r>
      <w:proofErr w:type="spellStart"/>
      <w:r w:rsidR="00D15147" w:rsidRPr="0064627E">
        <w:rPr>
          <w:rFonts w:asciiTheme="minorHAnsi" w:hAnsiTheme="minorHAnsi"/>
        </w:rPr>
        <w:t>SDoH</w:t>
      </w:r>
      <w:proofErr w:type="spellEnd"/>
      <w:r w:rsidR="00D15147" w:rsidRPr="0064627E">
        <w:rPr>
          <w:rFonts w:asciiTheme="minorHAnsi" w:hAnsiTheme="minorHAnsi"/>
        </w:rPr>
        <w:t xml:space="preserve"> </w:t>
      </w:r>
      <w:r w:rsidR="000F4131" w:rsidRPr="0064627E">
        <w:rPr>
          <w:rFonts w:asciiTheme="minorHAnsi" w:hAnsiTheme="minorHAnsi"/>
        </w:rPr>
        <w:t xml:space="preserve">for patients and connecting them to the appropriate resources. </w:t>
      </w:r>
      <w:r w:rsidR="0007486B" w:rsidRPr="0064627E">
        <w:rPr>
          <w:rFonts w:asciiTheme="minorHAnsi" w:hAnsiTheme="minorHAnsi"/>
        </w:rPr>
        <w:t>BH</w:t>
      </w:r>
      <w:r w:rsidR="000F4131" w:rsidRPr="0064627E">
        <w:rPr>
          <w:rFonts w:asciiTheme="minorHAnsi" w:hAnsiTheme="minorHAnsi"/>
        </w:rPr>
        <w:t xml:space="preserve"> currently uses the </w:t>
      </w:r>
      <w:proofErr w:type="gramStart"/>
      <w:r w:rsidR="000F4131" w:rsidRPr="0064627E">
        <w:rPr>
          <w:rFonts w:asciiTheme="minorHAnsi" w:hAnsiTheme="minorHAnsi"/>
        </w:rPr>
        <w:t>Health</w:t>
      </w:r>
      <w:proofErr w:type="gramEnd"/>
      <w:r w:rsidR="000F4131" w:rsidRPr="0064627E">
        <w:rPr>
          <w:rFonts w:asciiTheme="minorHAnsi" w:hAnsiTheme="minorHAnsi"/>
        </w:rPr>
        <w:t>-Related Social Needs Screening tool as well as the MassHealth ACO Flexible Services program criteria. As patient</w:t>
      </w:r>
      <w:r w:rsidR="0007486B" w:rsidRPr="0064627E">
        <w:rPr>
          <w:rFonts w:asciiTheme="minorHAnsi" w:hAnsiTheme="minorHAnsi"/>
        </w:rPr>
        <w:t>s’</w:t>
      </w:r>
      <w:r w:rsidR="000F4131" w:rsidRPr="0064627E">
        <w:rPr>
          <w:rFonts w:asciiTheme="minorHAnsi" w:hAnsiTheme="minorHAnsi"/>
        </w:rPr>
        <w:t xml:space="preserve"> needs are identified, referrals and connections to social services are facilitated by Baystate Health Care Teams. The process of screening for social needs will be incorporated into patient care for </w:t>
      </w:r>
      <w:r w:rsidR="00457998" w:rsidRPr="0064627E">
        <w:rPr>
          <w:rFonts w:asciiTheme="minorHAnsi" w:hAnsiTheme="minorHAnsi"/>
        </w:rPr>
        <w:t>MMC</w:t>
      </w:r>
      <w:r w:rsidR="000F4131" w:rsidRPr="0064627E">
        <w:rPr>
          <w:rFonts w:asciiTheme="minorHAnsi" w:hAnsiTheme="minorHAnsi"/>
        </w:rPr>
        <w:t xml:space="preserve"> patients as they are integrated into </w:t>
      </w:r>
      <w:r w:rsidR="0007486B" w:rsidRPr="0064627E">
        <w:rPr>
          <w:rFonts w:asciiTheme="minorHAnsi" w:hAnsiTheme="minorHAnsi"/>
        </w:rPr>
        <w:t>BH</w:t>
      </w:r>
      <w:r w:rsidR="000F4131" w:rsidRPr="0064627E">
        <w:rPr>
          <w:rFonts w:asciiTheme="minorHAnsi" w:hAnsiTheme="minorHAnsi"/>
        </w:rPr>
        <w:t xml:space="preserve"> with the same goal of screening all patients at least annually. </w:t>
      </w:r>
    </w:p>
    <w:p w14:paraId="50990D4D" w14:textId="5D121CF4" w:rsidR="000F4131" w:rsidRPr="0064627E" w:rsidRDefault="0007486B" w:rsidP="00F47099">
      <w:pPr>
        <w:spacing w:after="120"/>
        <w:jc w:val="both"/>
        <w:rPr>
          <w:rFonts w:asciiTheme="minorHAnsi" w:hAnsiTheme="minorHAnsi"/>
        </w:rPr>
      </w:pPr>
      <w:r w:rsidRPr="0064627E">
        <w:rPr>
          <w:rFonts w:asciiTheme="minorHAnsi" w:hAnsiTheme="minorHAnsi"/>
        </w:rPr>
        <w:t xml:space="preserve">The </w:t>
      </w:r>
      <w:proofErr w:type="spellStart"/>
      <w:r w:rsidR="000F4131" w:rsidRPr="0064627E">
        <w:rPr>
          <w:rFonts w:asciiTheme="minorHAnsi" w:hAnsiTheme="minorHAnsi"/>
        </w:rPr>
        <w:t>BeHealthy</w:t>
      </w:r>
      <w:proofErr w:type="spellEnd"/>
      <w:r w:rsidR="000F4131" w:rsidRPr="0064627E">
        <w:rPr>
          <w:rFonts w:asciiTheme="minorHAnsi" w:hAnsiTheme="minorHAnsi"/>
        </w:rPr>
        <w:t xml:space="preserve"> Partnership Social Determinants of Health Committee developed </w:t>
      </w:r>
      <w:r w:rsidRPr="0064627E">
        <w:rPr>
          <w:rFonts w:asciiTheme="minorHAnsi" w:hAnsiTheme="minorHAnsi"/>
        </w:rPr>
        <w:t xml:space="preserve">the following </w:t>
      </w:r>
      <w:r w:rsidR="000F4131" w:rsidRPr="0064627E">
        <w:rPr>
          <w:rFonts w:asciiTheme="minorHAnsi" w:hAnsiTheme="minorHAnsi"/>
        </w:rPr>
        <w:t xml:space="preserve">Health Equity Goals that </w:t>
      </w:r>
      <w:r w:rsidRPr="0064627E">
        <w:rPr>
          <w:rFonts w:asciiTheme="minorHAnsi" w:hAnsiTheme="minorHAnsi"/>
        </w:rPr>
        <w:t xml:space="preserve">guide </w:t>
      </w:r>
      <w:proofErr w:type="spellStart"/>
      <w:r w:rsidRPr="0064627E">
        <w:rPr>
          <w:rFonts w:asciiTheme="minorHAnsi" w:hAnsiTheme="minorHAnsi"/>
        </w:rPr>
        <w:t>SDoH</w:t>
      </w:r>
      <w:proofErr w:type="spellEnd"/>
      <w:r w:rsidRPr="0064627E">
        <w:rPr>
          <w:rFonts w:asciiTheme="minorHAnsi" w:hAnsiTheme="minorHAnsi"/>
        </w:rPr>
        <w:t xml:space="preserve"> screening across BH today</w:t>
      </w:r>
      <w:r w:rsidR="000F4131" w:rsidRPr="0064627E">
        <w:rPr>
          <w:rFonts w:asciiTheme="minorHAnsi" w:hAnsiTheme="minorHAnsi"/>
        </w:rPr>
        <w:t>:</w:t>
      </w:r>
    </w:p>
    <w:p w14:paraId="1AA01120" w14:textId="4BF0D010" w:rsidR="000F4131" w:rsidRPr="0064627E" w:rsidRDefault="000F4131" w:rsidP="00F47099">
      <w:pPr>
        <w:pStyle w:val="Default"/>
        <w:numPr>
          <w:ilvl w:val="0"/>
          <w:numId w:val="7"/>
        </w:numPr>
        <w:adjustRightInd/>
        <w:spacing w:after="120"/>
        <w:jc w:val="both"/>
        <w:rPr>
          <w:rFonts w:asciiTheme="minorHAnsi" w:eastAsiaTheme="minorHAnsi" w:hAnsiTheme="minorHAnsi" w:cstheme="minorBidi"/>
          <w:color w:val="auto"/>
        </w:rPr>
      </w:pPr>
      <w:r w:rsidRPr="0064627E">
        <w:rPr>
          <w:rFonts w:asciiTheme="minorHAnsi" w:eastAsiaTheme="minorHAnsi" w:hAnsiTheme="minorHAnsi" w:cstheme="minorBidi"/>
          <w:color w:val="auto"/>
        </w:rPr>
        <w:t xml:space="preserve">Establish protocols and procedures for collecting, using, and monitoring demographic data </w:t>
      </w:r>
      <w:r w:rsidR="00AF7CCE" w:rsidRPr="0064627E">
        <w:rPr>
          <w:rFonts w:asciiTheme="minorHAnsi" w:eastAsiaTheme="minorHAnsi" w:hAnsiTheme="minorHAnsi" w:cstheme="minorBidi"/>
          <w:color w:val="auto"/>
        </w:rPr>
        <w:t>to</w:t>
      </w:r>
      <w:r w:rsidRPr="0064627E">
        <w:rPr>
          <w:rFonts w:asciiTheme="minorHAnsi" w:eastAsiaTheme="minorHAnsi" w:hAnsiTheme="minorHAnsi" w:cstheme="minorBidi"/>
          <w:color w:val="auto"/>
        </w:rPr>
        <w:t xml:space="preserve"> address health disparities and population health outcomes.</w:t>
      </w:r>
    </w:p>
    <w:p w14:paraId="09BDBD6A" w14:textId="77777777" w:rsidR="000F4131" w:rsidRPr="0064627E" w:rsidRDefault="000F4131" w:rsidP="00F47099">
      <w:pPr>
        <w:pStyle w:val="Default"/>
        <w:numPr>
          <w:ilvl w:val="0"/>
          <w:numId w:val="7"/>
        </w:numPr>
        <w:adjustRightInd/>
        <w:spacing w:after="120"/>
        <w:jc w:val="both"/>
        <w:rPr>
          <w:rFonts w:asciiTheme="minorHAnsi" w:eastAsiaTheme="minorHAnsi" w:hAnsiTheme="minorHAnsi" w:cstheme="minorBidi"/>
          <w:color w:val="auto"/>
        </w:rPr>
      </w:pPr>
      <w:r w:rsidRPr="0064627E">
        <w:rPr>
          <w:rFonts w:asciiTheme="minorHAnsi" w:eastAsiaTheme="minorHAnsi" w:hAnsiTheme="minorHAnsi" w:cstheme="minorBidi"/>
          <w:color w:val="auto"/>
        </w:rPr>
        <w:t>Establish required training and development for all staff to meet a baseline standard for cultural humility.</w:t>
      </w:r>
    </w:p>
    <w:p w14:paraId="4F18353E" w14:textId="77777777" w:rsidR="000F4131" w:rsidRPr="0064627E" w:rsidRDefault="000F4131" w:rsidP="00F47099">
      <w:pPr>
        <w:pStyle w:val="Default"/>
        <w:numPr>
          <w:ilvl w:val="0"/>
          <w:numId w:val="7"/>
        </w:numPr>
        <w:adjustRightInd/>
        <w:spacing w:after="120"/>
        <w:jc w:val="both"/>
        <w:rPr>
          <w:rFonts w:asciiTheme="minorHAnsi" w:eastAsiaTheme="minorHAnsi" w:hAnsiTheme="minorHAnsi" w:cstheme="minorBidi"/>
          <w:color w:val="auto"/>
        </w:rPr>
      </w:pPr>
      <w:r w:rsidRPr="0064627E">
        <w:rPr>
          <w:rFonts w:asciiTheme="minorHAnsi" w:eastAsiaTheme="minorHAnsi" w:hAnsiTheme="minorHAnsi" w:cstheme="minorBidi"/>
          <w:color w:val="auto"/>
        </w:rPr>
        <w:t>Seek balance of power in staffing, governance, and leadership by intentionally including people who have lived experience and reflect/represent the population being served to improve the likelihood that their voices will be included.</w:t>
      </w:r>
    </w:p>
    <w:p w14:paraId="6EBF6C07" w14:textId="300F1AD1" w:rsidR="000F4131" w:rsidRPr="0064627E" w:rsidRDefault="000F4131" w:rsidP="00F47099">
      <w:pPr>
        <w:pStyle w:val="Default"/>
        <w:numPr>
          <w:ilvl w:val="0"/>
          <w:numId w:val="7"/>
        </w:numPr>
        <w:adjustRightInd/>
        <w:spacing w:after="120"/>
        <w:jc w:val="both"/>
        <w:rPr>
          <w:rFonts w:asciiTheme="minorHAnsi" w:eastAsiaTheme="minorHAnsi" w:hAnsiTheme="minorHAnsi" w:cstheme="minorBidi"/>
          <w:color w:val="auto"/>
        </w:rPr>
      </w:pPr>
      <w:r w:rsidRPr="0064627E">
        <w:rPr>
          <w:rFonts w:asciiTheme="minorHAnsi" w:eastAsiaTheme="minorHAnsi" w:hAnsiTheme="minorHAnsi" w:cstheme="minorBidi"/>
          <w:color w:val="auto"/>
        </w:rPr>
        <w:t xml:space="preserve">Recognize and appreciate Baystate Health’s productive community partnerships </w:t>
      </w:r>
      <w:r w:rsidR="00AF7CCE" w:rsidRPr="0064627E">
        <w:rPr>
          <w:rFonts w:asciiTheme="minorHAnsi" w:eastAsiaTheme="minorHAnsi" w:hAnsiTheme="minorHAnsi" w:cstheme="minorBidi"/>
          <w:color w:val="auto"/>
        </w:rPr>
        <w:t>that</w:t>
      </w:r>
      <w:r w:rsidRPr="0064627E">
        <w:rPr>
          <w:rFonts w:asciiTheme="minorHAnsi" w:eastAsiaTheme="minorHAnsi" w:hAnsiTheme="minorHAnsi" w:cstheme="minorBidi"/>
          <w:color w:val="auto"/>
        </w:rPr>
        <w:t xml:space="preserve"> can work to deepen and expand as opportunities arise.</w:t>
      </w:r>
    </w:p>
    <w:p w14:paraId="40A046F3" w14:textId="77976555" w:rsidR="000F4131" w:rsidRPr="0064627E" w:rsidRDefault="0007486B" w:rsidP="00F47099">
      <w:pPr>
        <w:spacing w:after="120"/>
        <w:jc w:val="both"/>
        <w:rPr>
          <w:rFonts w:asciiTheme="minorHAnsi" w:hAnsiTheme="minorHAnsi"/>
        </w:rPr>
      </w:pPr>
      <w:r w:rsidRPr="0064627E">
        <w:rPr>
          <w:rFonts w:asciiTheme="minorHAnsi" w:hAnsiTheme="minorHAnsi"/>
        </w:rPr>
        <w:t xml:space="preserve">To that end, the Proposed Transfer will foster and expand </w:t>
      </w:r>
      <w:proofErr w:type="spellStart"/>
      <w:r w:rsidR="00D15147" w:rsidRPr="0064627E">
        <w:rPr>
          <w:rFonts w:asciiTheme="minorHAnsi" w:hAnsiTheme="minorHAnsi"/>
        </w:rPr>
        <w:t>SDoH</w:t>
      </w:r>
      <w:proofErr w:type="spellEnd"/>
      <w:r w:rsidRPr="0064627E">
        <w:rPr>
          <w:rFonts w:asciiTheme="minorHAnsi" w:hAnsiTheme="minorHAnsi"/>
        </w:rPr>
        <w:t xml:space="preserve"> screening and linkages to promote holistic care planning for MMC patients. </w:t>
      </w:r>
    </w:p>
    <w:p w14:paraId="1DE830C3" w14:textId="00905993" w:rsidR="00C314C7" w:rsidRPr="0064627E" w:rsidRDefault="00F80FCE" w:rsidP="00F47099">
      <w:pPr>
        <w:spacing w:after="120"/>
      </w:pPr>
      <w:r w:rsidRPr="0064627E">
        <w:t xml:space="preserve">  </w:t>
      </w:r>
    </w:p>
    <w:sectPr w:rsidR="00C314C7" w:rsidRPr="006462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8ADB" w14:textId="77777777" w:rsidR="00406330" w:rsidRDefault="00406330" w:rsidP="00E040C8">
      <w:r>
        <w:separator/>
      </w:r>
    </w:p>
  </w:endnote>
  <w:endnote w:type="continuationSeparator" w:id="0">
    <w:p w14:paraId="39663011" w14:textId="77777777" w:rsidR="00406330" w:rsidRDefault="00406330" w:rsidP="00E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hiller">
    <w:panose1 w:val="040204040310070206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F5D" w14:textId="59F96CE5" w:rsidR="004356C0" w:rsidRPr="00155734" w:rsidRDefault="004356C0">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1D40" w14:textId="50D36BFA" w:rsidR="004356C0" w:rsidRPr="00155734" w:rsidRDefault="004356C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3E7E" w14:textId="59E2270B" w:rsidR="004356C0" w:rsidRPr="00155734" w:rsidRDefault="004356C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3E44" w14:textId="77777777" w:rsidR="00406330" w:rsidRDefault="00406330" w:rsidP="00E040C8">
      <w:r>
        <w:separator/>
      </w:r>
    </w:p>
  </w:footnote>
  <w:footnote w:type="continuationSeparator" w:id="0">
    <w:p w14:paraId="0F618A76" w14:textId="77777777" w:rsidR="00406330" w:rsidRDefault="00406330" w:rsidP="00E040C8">
      <w:r>
        <w:continuationSeparator/>
      </w:r>
    </w:p>
  </w:footnote>
  <w:footnote w:id="1">
    <w:p w14:paraId="48893CE8" w14:textId="40ACB51B" w:rsidR="001171DF" w:rsidRPr="00E60911" w:rsidRDefault="001171DF">
      <w:pPr>
        <w:pStyle w:val="FootnoteText"/>
        <w:rPr>
          <w:sz w:val="32"/>
          <w:szCs w:val="32"/>
        </w:rPr>
      </w:pPr>
      <w:r w:rsidRPr="00E60911">
        <w:rPr>
          <w:rStyle w:val="FootnoteReference"/>
          <w:sz w:val="24"/>
          <w:szCs w:val="24"/>
        </w:rPr>
        <w:footnoteRef/>
      </w:r>
      <w:r w:rsidRPr="00E60911">
        <w:rPr>
          <w:sz w:val="24"/>
          <w:szCs w:val="24"/>
        </w:rPr>
        <w:t xml:space="preserve"> Brightside, Inc. is not included in the Proposed Transfer.</w:t>
      </w:r>
    </w:p>
  </w:footnote>
  <w:footnote w:id="2">
    <w:p w14:paraId="5CDE2934" w14:textId="4C0FE63F" w:rsidR="00A15DB3" w:rsidRPr="004F519D" w:rsidRDefault="00A15DB3" w:rsidP="00A15DB3">
      <w:pPr>
        <w:pStyle w:val="FootnoteText"/>
        <w:rPr>
          <w:sz w:val="24"/>
          <w:szCs w:val="24"/>
        </w:rPr>
      </w:pPr>
      <w:r w:rsidRPr="004F519D">
        <w:rPr>
          <w:rStyle w:val="FootnoteReference"/>
          <w:sz w:val="24"/>
          <w:szCs w:val="24"/>
        </w:rPr>
        <w:footnoteRef/>
      </w:r>
      <w:r w:rsidRPr="004F519D">
        <w:rPr>
          <w:sz w:val="24"/>
          <w:szCs w:val="24"/>
        </w:rPr>
        <w:t xml:space="preserve"> MMC’s fiscal year is July 1-June 30. </w:t>
      </w:r>
      <w:r w:rsidR="00962DE5" w:rsidRPr="004F519D">
        <w:rPr>
          <w:sz w:val="24"/>
          <w:szCs w:val="24"/>
        </w:rPr>
        <w:t>BH</w:t>
      </w:r>
      <w:r w:rsidRPr="004F519D">
        <w:rPr>
          <w:sz w:val="24"/>
          <w:szCs w:val="24"/>
        </w:rPr>
        <w:t>’s fiscal year is October 1-September 30.</w:t>
      </w:r>
    </w:p>
  </w:footnote>
  <w:footnote w:id="3">
    <w:p w14:paraId="5518316C" w14:textId="4D1799DC" w:rsidR="00A15DB3" w:rsidRDefault="00A15DB3">
      <w:pPr>
        <w:pStyle w:val="FootnoteText"/>
      </w:pPr>
      <w:r w:rsidRPr="004F519D">
        <w:rPr>
          <w:rStyle w:val="FootnoteReference"/>
          <w:sz w:val="24"/>
          <w:szCs w:val="24"/>
        </w:rPr>
        <w:footnoteRef/>
      </w:r>
      <w:r w:rsidRPr="004F519D">
        <w:rPr>
          <w:sz w:val="24"/>
          <w:szCs w:val="24"/>
        </w:rPr>
        <w:t xml:space="preserve"> Through March 31, 2026.</w:t>
      </w:r>
    </w:p>
  </w:footnote>
  <w:footnote w:id="4">
    <w:p w14:paraId="1F6EB8F5" w14:textId="77777777" w:rsidR="00A15DB3" w:rsidRPr="00946B83" w:rsidRDefault="00A15DB3" w:rsidP="00A15DB3">
      <w:pPr>
        <w:pStyle w:val="FootnoteText"/>
        <w:rPr>
          <w:sz w:val="24"/>
          <w:szCs w:val="24"/>
        </w:rPr>
      </w:pPr>
      <w:r w:rsidRPr="00946B83">
        <w:rPr>
          <w:rStyle w:val="FootnoteReference"/>
          <w:sz w:val="24"/>
          <w:szCs w:val="24"/>
        </w:rPr>
        <w:footnoteRef/>
      </w:r>
      <w:r w:rsidRPr="00946B83">
        <w:rPr>
          <w:sz w:val="24"/>
          <w:szCs w:val="24"/>
        </w:rPr>
        <w:t xml:space="preserve"> Through March 31, 2026.</w:t>
      </w:r>
    </w:p>
  </w:footnote>
  <w:footnote w:id="5">
    <w:p w14:paraId="1E8EE739" w14:textId="56800312" w:rsidR="00106EE7" w:rsidRPr="00946B83" w:rsidRDefault="00106EE7" w:rsidP="00A15DB3">
      <w:pPr>
        <w:pStyle w:val="FootnoteText"/>
        <w:rPr>
          <w:sz w:val="24"/>
          <w:szCs w:val="24"/>
        </w:rPr>
      </w:pPr>
      <w:r w:rsidRPr="00946B83">
        <w:rPr>
          <w:rStyle w:val="FootnoteReference"/>
          <w:sz w:val="24"/>
          <w:szCs w:val="24"/>
        </w:rPr>
        <w:footnoteRef/>
      </w:r>
      <w:r w:rsidRPr="00946B83">
        <w:rPr>
          <w:sz w:val="24"/>
          <w:szCs w:val="24"/>
        </w:rPr>
        <w:t xml:space="preserve"> Includes Other/Unknown. </w:t>
      </w:r>
    </w:p>
  </w:footnote>
  <w:footnote w:id="6">
    <w:p w14:paraId="570E3903" w14:textId="51C516C8" w:rsidR="00106EE7" w:rsidRDefault="00106EE7">
      <w:pPr>
        <w:pStyle w:val="FootnoteText"/>
      </w:pPr>
      <w:r w:rsidRPr="00946B83">
        <w:rPr>
          <w:rStyle w:val="FootnoteReference"/>
          <w:sz w:val="24"/>
          <w:szCs w:val="24"/>
        </w:rPr>
        <w:footnoteRef/>
      </w:r>
      <w:r w:rsidRPr="00946B83">
        <w:rPr>
          <w:sz w:val="24"/>
          <w:szCs w:val="24"/>
        </w:rPr>
        <w:t xml:space="preserve"> “Other” includes American Indian, Alaska Native and </w:t>
      </w:r>
      <w:r w:rsidR="004C127A" w:rsidRPr="00946B83">
        <w:rPr>
          <w:sz w:val="24"/>
          <w:szCs w:val="24"/>
        </w:rPr>
        <w:t>“Other” as selected by the patient.</w:t>
      </w:r>
    </w:p>
  </w:footnote>
  <w:footnote w:id="7">
    <w:p w14:paraId="345364D1" w14:textId="77777777" w:rsidR="001A3E1A" w:rsidRPr="00F8285F" w:rsidRDefault="001A3E1A" w:rsidP="001A3E1A">
      <w:pPr>
        <w:pStyle w:val="FootnoteText"/>
        <w:rPr>
          <w:sz w:val="24"/>
          <w:szCs w:val="24"/>
        </w:rPr>
      </w:pPr>
      <w:r w:rsidRPr="00F8285F">
        <w:rPr>
          <w:rStyle w:val="FootnoteReference"/>
          <w:sz w:val="24"/>
          <w:szCs w:val="24"/>
        </w:rPr>
        <w:footnoteRef/>
      </w:r>
      <w:r w:rsidRPr="00F8285F">
        <w:rPr>
          <w:sz w:val="24"/>
          <w:szCs w:val="24"/>
        </w:rPr>
        <w:t xml:space="preserve"> July 1, 2025- March 31, 2026.</w:t>
      </w:r>
    </w:p>
  </w:footnote>
  <w:footnote w:id="8">
    <w:p w14:paraId="1D6D6821" w14:textId="77777777" w:rsidR="001A3E1A" w:rsidRPr="00F8285F" w:rsidRDefault="001A3E1A" w:rsidP="001A3E1A">
      <w:pPr>
        <w:pStyle w:val="FootnoteText"/>
        <w:rPr>
          <w:sz w:val="24"/>
          <w:szCs w:val="24"/>
        </w:rPr>
      </w:pPr>
      <w:r w:rsidRPr="00F8285F">
        <w:rPr>
          <w:rStyle w:val="FootnoteReference"/>
          <w:sz w:val="24"/>
          <w:szCs w:val="24"/>
        </w:rPr>
        <w:footnoteRef/>
      </w:r>
      <w:r w:rsidRPr="00F8285F">
        <w:rPr>
          <w:sz w:val="24"/>
          <w:szCs w:val="24"/>
        </w:rPr>
        <w:t xml:space="preserve"> July 1, 2025- March 31, 2026.</w:t>
      </w:r>
    </w:p>
  </w:footnote>
  <w:footnote w:id="9">
    <w:p w14:paraId="09407EA0" w14:textId="790431E2" w:rsidR="001A3E1A" w:rsidRDefault="001A3E1A" w:rsidP="001A3E1A">
      <w:pPr>
        <w:pStyle w:val="FootnoteText"/>
      </w:pPr>
      <w:r w:rsidRPr="00F8285F">
        <w:rPr>
          <w:rStyle w:val="FootnoteReference"/>
          <w:sz w:val="24"/>
          <w:szCs w:val="24"/>
        </w:rPr>
        <w:footnoteRef/>
      </w:r>
      <w:r w:rsidRPr="00F8285F">
        <w:rPr>
          <w:sz w:val="24"/>
          <w:szCs w:val="24"/>
        </w:rPr>
        <w:t xml:space="preserve"> October 1, 2025</w:t>
      </w:r>
      <w:r w:rsidR="00B46B03" w:rsidRPr="00F8285F">
        <w:rPr>
          <w:sz w:val="24"/>
          <w:szCs w:val="24"/>
        </w:rPr>
        <w:t xml:space="preserve"> </w:t>
      </w:r>
      <w:r w:rsidRPr="00F8285F">
        <w:rPr>
          <w:sz w:val="24"/>
          <w:szCs w:val="24"/>
        </w:rPr>
        <w:t>-</w:t>
      </w:r>
      <w:r w:rsidR="00B46B03" w:rsidRPr="00F8285F">
        <w:rPr>
          <w:sz w:val="24"/>
          <w:szCs w:val="24"/>
        </w:rPr>
        <w:t xml:space="preserve"> </w:t>
      </w:r>
      <w:r w:rsidRPr="00F8285F">
        <w:rPr>
          <w:sz w:val="24"/>
          <w:szCs w:val="24"/>
        </w:rPr>
        <w:t>March 31, 2026.</w:t>
      </w:r>
      <w:r w:rsidRPr="00F8285F">
        <w:rPr>
          <w:sz w:val="32"/>
          <w:szCs w:val="32"/>
        </w:rPr>
        <w:t xml:space="preserve"> </w:t>
      </w:r>
    </w:p>
  </w:footnote>
  <w:footnote w:id="10">
    <w:p w14:paraId="4051D9FF" w14:textId="10718105" w:rsidR="00844463" w:rsidRPr="00203118" w:rsidRDefault="00844463" w:rsidP="00844463">
      <w:pPr>
        <w:pStyle w:val="FootnoteText"/>
        <w:rPr>
          <w:rFonts w:asciiTheme="majorHAnsi" w:hAnsiTheme="majorHAnsi"/>
          <w:sz w:val="24"/>
          <w:szCs w:val="24"/>
        </w:rPr>
      </w:pPr>
      <w:r w:rsidRPr="00203118">
        <w:rPr>
          <w:rStyle w:val="FootnoteReference"/>
          <w:rFonts w:asciiTheme="majorHAnsi" w:hAnsiTheme="majorHAnsi"/>
          <w:sz w:val="24"/>
          <w:szCs w:val="24"/>
        </w:rPr>
        <w:footnoteRef/>
      </w:r>
      <w:r w:rsidRPr="00203118">
        <w:rPr>
          <w:rFonts w:asciiTheme="majorHAnsi" w:hAnsiTheme="majorHAnsi"/>
          <w:sz w:val="24"/>
          <w:szCs w:val="24"/>
        </w:rPr>
        <w:t xml:space="preserve"> </w:t>
      </w:r>
      <w:hyperlink r:id="rId1" w:history="1">
        <w:r w:rsidRPr="00191FAF">
          <w:rPr>
            <w:rStyle w:val="Hyperlink"/>
            <w:rFonts w:asciiTheme="majorHAnsi" w:hAnsiTheme="majorHAnsi"/>
            <w:sz w:val="24"/>
            <w:szCs w:val="24"/>
          </w:rPr>
          <w:t>Bulletin on Independent Community Hospitals for Determination of Need Applicants</w:t>
        </w:r>
      </w:hyperlink>
      <w:r w:rsidRPr="00203118">
        <w:rPr>
          <w:rFonts w:asciiTheme="majorHAnsi" w:hAnsiTheme="majorHAnsi"/>
          <w:sz w:val="24"/>
          <w:szCs w:val="24"/>
        </w:rPr>
        <w:t xml:space="preserve"> HPC-2025-02, Issued: 05/1/2025. </w:t>
      </w:r>
    </w:p>
  </w:footnote>
  <w:footnote w:id="11">
    <w:p w14:paraId="1F24EE52" w14:textId="67851133" w:rsidR="00844463" w:rsidRPr="00203118" w:rsidRDefault="00844463" w:rsidP="00844463">
      <w:pPr>
        <w:pStyle w:val="FootnoteText"/>
        <w:rPr>
          <w:rFonts w:asciiTheme="majorHAnsi" w:hAnsiTheme="majorHAnsi"/>
          <w:sz w:val="24"/>
          <w:szCs w:val="24"/>
        </w:rPr>
      </w:pPr>
      <w:r w:rsidRPr="00203118">
        <w:rPr>
          <w:rStyle w:val="FootnoteReference"/>
          <w:rFonts w:asciiTheme="majorHAnsi" w:hAnsiTheme="majorHAnsi"/>
          <w:sz w:val="24"/>
          <w:szCs w:val="24"/>
        </w:rPr>
        <w:footnoteRef/>
      </w:r>
      <w:r w:rsidRPr="00203118">
        <w:rPr>
          <w:rFonts w:asciiTheme="majorHAnsi" w:hAnsiTheme="majorHAnsi"/>
          <w:sz w:val="24"/>
          <w:szCs w:val="24"/>
        </w:rPr>
        <w:t xml:space="preserve"> Laura Dyrda, </w:t>
      </w:r>
      <w:hyperlink r:id="rId2" w:history="1">
        <w:r w:rsidRPr="00191FAF">
          <w:rPr>
            <w:rStyle w:val="Hyperlink"/>
            <w:rFonts w:asciiTheme="majorHAnsi" w:hAnsiTheme="majorHAnsi"/>
            <w:i/>
            <w:iCs/>
            <w:sz w:val="24"/>
            <w:szCs w:val="24"/>
          </w:rPr>
          <w:t xml:space="preserve">646 Hospitals </w:t>
        </w:r>
        <w:proofErr w:type="gramStart"/>
        <w:r w:rsidRPr="00191FAF">
          <w:rPr>
            <w:rStyle w:val="Hyperlink"/>
            <w:rFonts w:asciiTheme="majorHAnsi" w:hAnsiTheme="majorHAnsi"/>
            <w:i/>
            <w:iCs/>
            <w:sz w:val="24"/>
            <w:szCs w:val="24"/>
          </w:rPr>
          <w:t>At</w:t>
        </w:r>
        <w:proofErr w:type="gramEnd"/>
        <w:r w:rsidRPr="00191FAF">
          <w:rPr>
            <w:rStyle w:val="Hyperlink"/>
            <w:rFonts w:asciiTheme="majorHAnsi" w:hAnsiTheme="majorHAnsi"/>
            <w:i/>
            <w:iCs/>
            <w:sz w:val="24"/>
            <w:szCs w:val="24"/>
          </w:rPr>
          <w:t xml:space="preserve"> Risk of Closure, Ranked by State</w:t>
        </w:r>
      </w:hyperlink>
      <w:r w:rsidRPr="00203118">
        <w:rPr>
          <w:rFonts w:asciiTheme="majorHAnsi" w:hAnsiTheme="majorHAnsi"/>
          <w:sz w:val="24"/>
          <w:szCs w:val="24"/>
        </w:rPr>
        <w:t xml:space="preserve">, </w:t>
      </w:r>
      <w:r w:rsidRPr="00203118">
        <w:rPr>
          <w:rFonts w:asciiTheme="majorHAnsi" w:hAnsiTheme="majorHAnsi"/>
          <w:smallCaps/>
          <w:sz w:val="24"/>
          <w:szCs w:val="24"/>
        </w:rPr>
        <w:t>Becker’s Hospital Review</w:t>
      </w:r>
      <w:r w:rsidRPr="00203118">
        <w:rPr>
          <w:rFonts w:asciiTheme="majorHAnsi" w:hAnsiTheme="majorHAnsi"/>
          <w:sz w:val="24"/>
          <w:szCs w:val="24"/>
        </w:rPr>
        <w:t xml:space="preserve"> (May 22, 2023). </w:t>
      </w:r>
    </w:p>
  </w:footnote>
  <w:footnote w:id="12">
    <w:p w14:paraId="66D77BBB" w14:textId="5B39778B" w:rsidR="00844463" w:rsidRPr="00203118" w:rsidRDefault="00844463" w:rsidP="00844463">
      <w:pPr>
        <w:pStyle w:val="FootnoteText"/>
        <w:rPr>
          <w:rFonts w:asciiTheme="majorHAnsi" w:hAnsiTheme="majorHAnsi"/>
          <w:sz w:val="24"/>
          <w:szCs w:val="24"/>
        </w:rPr>
      </w:pPr>
      <w:r w:rsidRPr="00203118">
        <w:rPr>
          <w:rStyle w:val="FootnoteReference"/>
          <w:rFonts w:asciiTheme="majorHAnsi" w:hAnsiTheme="majorHAnsi"/>
          <w:sz w:val="24"/>
          <w:szCs w:val="24"/>
        </w:rPr>
        <w:footnoteRef/>
      </w:r>
      <w:r w:rsidRPr="00203118">
        <w:rPr>
          <w:rFonts w:asciiTheme="majorHAnsi" w:hAnsiTheme="majorHAnsi"/>
          <w:sz w:val="24"/>
          <w:szCs w:val="24"/>
        </w:rPr>
        <w:t xml:space="preserve"> </w:t>
      </w:r>
      <w:r w:rsidRPr="00203118">
        <w:rPr>
          <w:rFonts w:asciiTheme="majorHAnsi" w:hAnsiTheme="majorHAnsi"/>
          <w:i/>
          <w:iCs/>
          <w:sz w:val="24"/>
          <w:szCs w:val="24"/>
        </w:rPr>
        <w:t>See, e.g.</w:t>
      </w:r>
      <w:r w:rsidRPr="00203118">
        <w:rPr>
          <w:rFonts w:asciiTheme="majorHAnsi" w:hAnsiTheme="majorHAnsi"/>
          <w:sz w:val="24"/>
          <w:szCs w:val="24"/>
        </w:rPr>
        <w:t xml:space="preserve">, Institute of Medicine (US) Committee on Implications of For-Profit Enterprise in Health Care; Gray BH, editor. For-Profit Enterprise in Health Care. Washington (DC): National Academies Press (US); 1986. </w:t>
      </w:r>
      <w:hyperlink r:id="rId3" w:history="1">
        <w:r w:rsidRPr="009236A6">
          <w:rPr>
            <w:rStyle w:val="Hyperlink"/>
            <w:rFonts w:asciiTheme="majorHAnsi" w:hAnsiTheme="majorHAnsi"/>
            <w:sz w:val="24"/>
            <w:szCs w:val="24"/>
          </w:rPr>
          <w:t>Investor-Owned Multihospital Systems: A Synthesis of Research Findings</w:t>
        </w:r>
      </w:hyperlink>
      <w:r w:rsidRPr="00203118">
        <w:rPr>
          <w:rFonts w:asciiTheme="majorHAnsi" w:hAnsiTheme="majorHAnsi"/>
          <w:sz w:val="24"/>
          <w:szCs w:val="24"/>
        </w:rPr>
        <w:t xml:space="preserve">.  </w:t>
      </w:r>
    </w:p>
  </w:footnote>
  <w:footnote w:id="13">
    <w:p w14:paraId="27CDCAAB" w14:textId="4F88A362" w:rsidR="00F47C9F" w:rsidRPr="00203118" w:rsidRDefault="00F47C9F" w:rsidP="00F47C9F">
      <w:pPr>
        <w:pStyle w:val="FootnoteText"/>
        <w:rPr>
          <w:rFonts w:asciiTheme="majorHAnsi" w:hAnsiTheme="majorHAnsi" w:cs="Calibri"/>
          <w:sz w:val="24"/>
          <w:szCs w:val="24"/>
          <w:u w:val="single"/>
        </w:rPr>
      </w:pPr>
      <w:r w:rsidRPr="00203118">
        <w:rPr>
          <w:rStyle w:val="FootnoteReference"/>
          <w:rFonts w:asciiTheme="majorHAnsi" w:hAnsiTheme="majorHAnsi" w:cs="Calibri"/>
          <w:sz w:val="24"/>
          <w:szCs w:val="24"/>
        </w:rPr>
        <w:footnoteRef/>
      </w:r>
      <w:r w:rsidRPr="00203118">
        <w:rPr>
          <w:rFonts w:asciiTheme="majorHAnsi" w:hAnsiTheme="majorHAnsi" w:cs="Calibri"/>
          <w:sz w:val="24"/>
          <w:szCs w:val="24"/>
        </w:rPr>
        <w:t xml:space="preserve"> Health Policy Commission, </w:t>
      </w:r>
      <w:hyperlink r:id="rId4" w:history="1">
        <w:r w:rsidRPr="004D2D1D">
          <w:rPr>
            <w:rStyle w:val="Hyperlink"/>
            <w:rFonts w:asciiTheme="majorHAnsi" w:hAnsiTheme="majorHAnsi" w:cs="Calibri"/>
            <w:sz w:val="24"/>
            <w:szCs w:val="24"/>
          </w:rPr>
          <w:t>Community Hospitals at a Crossroads</w:t>
        </w:r>
      </w:hyperlink>
      <w:r w:rsidRPr="00203118">
        <w:rPr>
          <w:rFonts w:asciiTheme="majorHAnsi" w:hAnsiTheme="majorHAnsi" w:cs="Calibri"/>
          <w:sz w:val="24"/>
          <w:szCs w:val="24"/>
        </w:rPr>
        <w:t xml:space="preserve"> (March 2016)</w:t>
      </w:r>
      <w:r w:rsidRPr="004D2D1D">
        <w:rPr>
          <w:rFonts w:asciiTheme="majorHAnsi" w:hAnsiTheme="majorHAnsi" w:cs="Calibri"/>
          <w:sz w:val="24"/>
          <w:szCs w:val="24"/>
        </w:rPr>
        <w:t>.</w:t>
      </w:r>
      <w:r w:rsidRPr="00203118">
        <w:rPr>
          <w:rFonts w:asciiTheme="majorHAnsi" w:hAnsiTheme="majorHAnsi" w:cs="Calibri"/>
          <w:sz w:val="24"/>
          <w:szCs w:val="24"/>
          <w:u w:val="single"/>
        </w:rPr>
        <w:t xml:space="preserve">  </w:t>
      </w:r>
    </w:p>
  </w:footnote>
  <w:footnote w:id="14">
    <w:p w14:paraId="1CE4CDCD" w14:textId="77777777" w:rsidR="00F47C9F" w:rsidRPr="00203118" w:rsidRDefault="00F47C9F" w:rsidP="00F47C9F">
      <w:pPr>
        <w:pStyle w:val="FootnoteText"/>
        <w:rPr>
          <w:rFonts w:asciiTheme="majorHAnsi" w:hAnsiTheme="majorHAnsi" w:cs="Calibri"/>
          <w:sz w:val="24"/>
          <w:szCs w:val="24"/>
          <w:u w:val="single"/>
        </w:rPr>
      </w:pPr>
      <w:r w:rsidRPr="00203118">
        <w:rPr>
          <w:rStyle w:val="FootnoteReference"/>
          <w:rFonts w:asciiTheme="majorHAnsi" w:hAnsiTheme="majorHAnsi" w:cs="Calibri"/>
          <w:sz w:val="24"/>
          <w:szCs w:val="24"/>
        </w:rPr>
        <w:footnoteRef/>
      </w:r>
      <w:r w:rsidRPr="00203118">
        <w:rPr>
          <w:rFonts w:asciiTheme="majorHAnsi" w:hAnsiTheme="majorHAnsi" w:cs="Calibri"/>
          <w:sz w:val="24"/>
          <w:szCs w:val="24"/>
        </w:rPr>
        <w:t xml:space="preserve"> </w:t>
      </w:r>
      <w:r w:rsidRPr="00203118">
        <w:rPr>
          <w:rFonts w:asciiTheme="majorHAnsi" w:hAnsiTheme="majorHAnsi" w:cs="Calibri"/>
          <w:i/>
          <w:iCs/>
          <w:sz w:val="24"/>
          <w:szCs w:val="24"/>
          <w:u w:val="single"/>
        </w:rPr>
        <w:t>Id.</w:t>
      </w:r>
    </w:p>
  </w:footnote>
  <w:footnote w:id="15">
    <w:p w14:paraId="10B7F67C" w14:textId="3D55A075" w:rsidR="00F47C9F" w:rsidRPr="00203118" w:rsidRDefault="00F47C9F" w:rsidP="00F47C9F">
      <w:pPr>
        <w:pStyle w:val="FootnoteText"/>
        <w:rPr>
          <w:rFonts w:asciiTheme="majorHAnsi" w:hAnsiTheme="majorHAnsi" w:cs="Calibri"/>
          <w:sz w:val="24"/>
          <w:szCs w:val="24"/>
          <w:u w:val="single"/>
        </w:rPr>
      </w:pPr>
      <w:r w:rsidRPr="00203118">
        <w:rPr>
          <w:rStyle w:val="FootnoteReference"/>
          <w:rFonts w:asciiTheme="majorHAnsi" w:hAnsiTheme="majorHAnsi" w:cs="Calibri"/>
          <w:sz w:val="24"/>
          <w:szCs w:val="24"/>
        </w:rPr>
        <w:footnoteRef/>
      </w:r>
      <w:r w:rsidRPr="00203118">
        <w:rPr>
          <w:rFonts w:asciiTheme="majorHAnsi" w:hAnsiTheme="majorHAnsi" w:cs="Calibri"/>
          <w:sz w:val="24"/>
          <w:szCs w:val="24"/>
        </w:rPr>
        <w:t xml:space="preserve"> </w:t>
      </w:r>
      <w:hyperlink r:id="rId5" w:history="1">
        <w:r w:rsidRPr="00C3581C">
          <w:rPr>
            <w:rStyle w:val="Hyperlink"/>
            <w:rFonts w:asciiTheme="majorHAnsi" w:hAnsiTheme="majorHAnsi" w:cs="Calibri"/>
            <w:sz w:val="24"/>
            <w:szCs w:val="24"/>
          </w:rPr>
          <w:t>HealthyPeople.gov, Access to Health Services</w:t>
        </w:r>
      </w:hyperlink>
      <w:r w:rsidRPr="00203118">
        <w:rPr>
          <w:rFonts w:asciiTheme="majorHAnsi" w:hAnsiTheme="majorHAnsi" w:cs="Calibri"/>
          <w:sz w:val="24"/>
          <w:szCs w:val="24"/>
        </w:rPr>
        <w:t xml:space="preserve"> (2020)</w:t>
      </w:r>
      <w:r w:rsidRPr="004D2D1D">
        <w:rPr>
          <w:rFonts w:asciiTheme="majorHAnsi" w:hAnsiTheme="majorHAnsi" w:cs="Calibri"/>
          <w:sz w:val="24"/>
          <w:szCs w:val="24"/>
        </w:rPr>
        <w:t>.</w:t>
      </w:r>
    </w:p>
  </w:footnote>
  <w:footnote w:id="16">
    <w:p w14:paraId="7C77B1AF" w14:textId="2910A192" w:rsidR="00F47C9F" w:rsidRPr="00203118" w:rsidRDefault="00F47C9F" w:rsidP="00F47C9F">
      <w:pPr>
        <w:pStyle w:val="FootnoteText"/>
        <w:rPr>
          <w:rFonts w:asciiTheme="majorHAnsi" w:hAnsiTheme="majorHAnsi" w:cs="Calibri"/>
          <w:sz w:val="24"/>
          <w:szCs w:val="24"/>
          <w:lang w:val="es-MX"/>
        </w:rPr>
      </w:pPr>
      <w:r w:rsidRPr="00203118">
        <w:rPr>
          <w:rStyle w:val="FootnoteReference"/>
          <w:rFonts w:asciiTheme="majorHAnsi" w:hAnsiTheme="majorHAnsi" w:cs="Calibri"/>
          <w:sz w:val="24"/>
          <w:szCs w:val="24"/>
        </w:rPr>
        <w:footnoteRef/>
      </w:r>
      <w:r w:rsidRPr="00203118">
        <w:rPr>
          <w:rFonts w:asciiTheme="majorHAnsi" w:hAnsiTheme="majorHAnsi" w:cs="Calibri"/>
          <w:sz w:val="24"/>
          <w:szCs w:val="24"/>
          <w:lang w:val="de-DE"/>
        </w:rPr>
        <w:t xml:space="preserve"> </w:t>
      </w:r>
      <w:r w:rsidRPr="00203118">
        <w:rPr>
          <w:rFonts w:asciiTheme="majorHAnsi" w:hAnsiTheme="majorHAnsi" w:cs="Calibri"/>
          <w:i/>
          <w:iCs/>
          <w:sz w:val="24"/>
          <w:szCs w:val="24"/>
          <w:lang w:val="de-DE"/>
        </w:rPr>
        <w:t xml:space="preserve">See </w:t>
      </w:r>
      <w:r w:rsidRPr="00203118">
        <w:rPr>
          <w:rFonts w:asciiTheme="majorHAnsi" w:hAnsiTheme="majorHAnsi" w:cs="Calibri"/>
          <w:sz w:val="24"/>
          <w:szCs w:val="24"/>
          <w:lang w:val="de-DE"/>
        </w:rPr>
        <w:t>J</w:t>
      </w:r>
      <w:r w:rsidRPr="00203118">
        <w:rPr>
          <w:rFonts w:asciiTheme="majorHAnsi" w:hAnsiTheme="majorHAnsi" w:cs="Calibri"/>
          <w:color w:val="333333"/>
          <w:sz w:val="24"/>
          <w:szCs w:val="24"/>
          <w:shd w:val="clear" w:color="auto" w:fill="FFFFFF"/>
          <w:lang w:val="de-DE"/>
        </w:rPr>
        <w:t>iang HJ</w:t>
      </w:r>
      <w:r w:rsidRPr="00203118">
        <w:rPr>
          <w:rStyle w:val="al-author-delim"/>
          <w:rFonts w:asciiTheme="majorHAnsi" w:hAnsiTheme="majorHAnsi" w:cs="Calibri"/>
          <w:color w:val="333333"/>
          <w:sz w:val="24"/>
          <w:szCs w:val="24"/>
          <w:shd w:val="clear" w:color="auto" w:fill="FFFFFF"/>
          <w:lang w:val="de-DE"/>
        </w:rPr>
        <w:t>, </w:t>
      </w:r>
      <w:r w:rsidRPr="00203118">
        <w:rPr>
          <w:rFonts w:asciiTheme="majorHAnsi" w:hAnsiTheme="majorHAnsi" w:cs="Calibri"/>
          <w:color w:val="333333"/>
          <w:sz w:val="24"/>
          <w:szCs w:val="24"/>
          <w:shd w:val="clear" w:color="auto" w:fill="FFFFFF"/>
          <w:lang w:val="de-DE"/>
        </w:rPr>
        <w:t>Fingar KR</w:t>
      </w:r>
      <w:r w:rsidRPr="00203118">
        <w:rPr>
          <w:rStyle w:val="al-author-delim"/>
          <w:rFonts w:asciiTheme="majorHAnsi" w:hAnsiTheme="majorHAnsi" w:cs="Calibri"/>
          <w:color w:val="333333"/>
          <w:sz w:val="24"/>
          <w:szCs w:val="24"/>
          <w:shd w:val="clear" w:color="auto" w:fill="FFFFFF"/>
          <w:lang w:val="de-DE"/>
        </w:rPr>
        <w:t>, </w:t>
      </w:r>
      <w:r w:rsidRPr="00203118">
        <w:rPr>
          <w:rFonts w:asciiTheme="majorHAnsi" w:hAnsiTheme="majorHAnsi" w:cs="Calibri"/>
          <w:color w:val="333333"/>
          <w:sz w:val="24"/>
          <w:szCs w:val="24"/>
          <w:shd w:val="clear" w:color="auto" w:fill="FFFFFF"/>
          <w:lang w:val="de-DE"/>
        </w:rPr>
        <w:t>Liang L</w:t>
      </w:r>
      <w:r w:rsidRPr="00203118">
        <w:rPr>
          <w:rStyle w:val="al-author-delim"/>
          <w:rFonts w:asciiTheme="majorHAnsi" w:hAnsiTheme="majorHAnsi" w:cs="Calibri"/>
          <w:color w:val="333333"/>
          <w:sz w:val="24"/>
          <w:szCs w:val="24"/>
          <w:shd w:val="clear" w:color="auto" w:fill="FFFFFF"/>
          <w:lang w:val="de-DE"/>
        </w:rPr>
        <w:t>, </w:t>
      </w:r>
      <w:r w:rsidRPr="00203118">
        <w:rPr>
          <w:rFonts w:asciiTheme="majorHAnsi" w:hAnsiTheme="majorHAnsi" w:cs="Calibri"/>
          <w:color w:val="333333"/>
          <w:sz w:val="24"/>
          <w:szCs w:val="24"/>
          <w:shd w:val="clear" w:color="auto" w:fill="FFFFFF"/>
          <w:lang w:val="de-DE"/>
        </w:rPr>
        <w:t>Henke RM</w:t>
      </w:r>
      <w:r w:rsidRPr="00203118">
        <w:rPr>
          <w:rStyle w:val="al-author-delim"/>
          <w:rFonts w:asciiTheme="majorHAnsi" w:hAnsiTheme="majorHAnsi" w:cs="Calibri"/>
          <w:color w:val="333333"/>
          <w:sz w:val="24"/>
          <w:szCs w:val="24"/>
          <w:shd w:val="clear" w:color="auto" w:fill="FFFFFF"/>
          <w:lang w:val="de-DE"/>
        </w:rPr>
        <w:t>, </w:t>
      </w:r>
      <w:r w:rsidRPr="00203118">
        <w:rPr>
          <w:rFonts w:asciiTheme="majorHAnsi" w:hAnsiTheme="majorHAnsi" w:cs="Calibri"/>
          <w:color w:val="333333"/>
          <w:sz w:val="24"/>
          <w:szCs w:val="24"/>
          <w:shd w:val="clear" w:color="auto" w:fill="FFFFFF"/>
          <w:lang w:val="de-DE"/>
        </w:rPr>
        <w:t xml:space="preserve">Gibson TP. </w:t>
      </w:r>
      <w:hyperlink r:id="rId6" w:history="1">
        <w:r w:rsidRPr="00DA0280">
          <w:rPr>
            <w:rStyle w:val="Hyperlink"/>
            <w:rFonts w:asciiTheme="majorHAnsi" w:hAnsiTheme="majorHAnsi" w:cs="Calibri"/>
            <w:sz w:val="24"/>
            <w:szCs w:val="24"/>
            <w:shd w:val="clear" w:color="auto" w:fill="FFFFFF"/>
          </w:rPr>
          <w:t>Quality of Care Before and After Mergers and Acquisitions of Rural Hospitals</w:t>
        </w:r>
      </w:hyperlink>
      <w:r w:rsidRPr="00203118">
        <w:rPr>
          <w:rFonts w:asciiTheme="majorHAnsi" w:hAnsiTheme="majorHAnsi" w:cs="Calibri"/>
          <w:sz w:val="24"/>
          <w:szCs w:val="24"/>
          <w:shd w:val="clear" w:color="auto" w:fill="FFFFFF"/>
        </w:rPr>
        <w:t>. </w:t>
      </w:r>
      <w:r w:rsidRPr="00203118">
        <w:rPr>
          <w:rStyle w:val="Emphasis"/>
          <w:rFonts w:asciiTheme="majorHAnsi" w:hAnsiTheme="majorHAnsi" w:cs="Calibri"/>
          <w:color w:val="333333"/>
          <w:sz w:val="24"/>
          <w:szCs w:val="24"/>
          <w:shd w:val="clear" w:color="auto" w:fill="FFFFFF"/>
          <w:lang w:val="es-MX"/>
        </w:rPr>
        <w:t xml:space="preserve">JAMA </w:t>
      </w:r>
      <w:proofErr w:type="spellStart"/>
      <w:r w:rsidRPr="00203118">
        <w:rPr>
          <w:rStyle w:val="Emphasis"/>
          <w:rFonts w:asciiTheme="majorHAnsi" w:hAnsiTheme="majorHAnsi" w:cs="Calibri"/>
          <w:color w:val="333333"/>
          <w:sz w:val="24"/>
          <w:szCs w:val="24"/>
          <w:shd w:val="clear" w:color="auto" w:fill="FFFFFF"/>
          <w:lang w:val="es-MX"/>
        </w:rPr>
        <w:t>Netw</w:t>
      </w:r>
      <w:proofErr w:type="spellEnd"/>
      <w:r w:rsidRPr="00203118">
        <w:rPr>
          <w:rStyle w:val="Emphasis"/>
          <w:rFonts w:asciiTheme="majorHAnsi" w:hAnsiTheme="majorHAnsi" w:cs="Calibri"/>
          <w:color w:val="333333"/>
          <w:sz w:val="24"/>
          <w:szCs w:val="24"/>
          <w:shd w:val="clear" w:color="auto" w:fill="FFFFFF"/>
          <w:lang w:val="es-MX"/>
        </w:rPr>
        <w:t xml:space="preserve"> Open.</w:t>
      </w:r>
      <w:r w:rsidRPr="00203118">
        <w:rPr>
          <w:rFonts w:asciiTheme="majorHAnsi" w:hAnsiTheme="majorHAnsi" w:cs="Calibri"/>
          <w:color w:val="333333"/>
          <w:sz w:val="24"/>
          <w:szCs w:val="24"/>
          <w:shd w:val="clear" w:color="auto" w:fill="FFFFFF"/>
          <w:lang w:val="es-MX"/>
        </w:rPr>
        <w:t> 2021;4(9</w:t>
      </w:r>
      <w:proofErr w:type="gramStart"/>
      <w:r w:rsidRPr="00203118">
        <w:rPr>
          <w:rFonts w:asciiTheme="majorHAnsi" w:hAnsiTheme="majorHAnsi" w:cs="Calibri"/>
          <w:color w:val="333333"/>
          <w:sz w:val="24"/>
          <w:szCs w:val="24"/>
          <w:shd w:val="clear" w:color="auto" w:fill="FFFFFF"/>
          <w:lang w:val="es-MX"/>
        </w:rPr>
        <w:t>):e</w:t>
      </w:r>
      <w:proofErr w:type="gramEnd"/>
      <w:r w:rsidRPr="00203118">
        <w:rPr>
          <w:rFonts w:asciiTheme="majorHAnsi" w:hAnsiTheme="majorHAnsi" w:cs="Calibri"/>
          <w:color w:val="333333"/>
          <w:sz w:val="24"/>
          <w:szCs w:val="24"/>
          <w:shd w:val="clear" w:color="auto" w:fill="FFFFFF"/>
          <w:lang w:val="es-MX"/>
        </w:rPr>
        <w:t xml:space="preserve">2124662. </w:t>
      </w:r>
    </w:p>
  </w:footnote>
  <w:footnote w:id="17">
    <w:p w14:paraId="16E88116" w14:textId="49ACC62E" w:rsidR="00F47C9F" w:rsidRPr="003B0DF5" w:rsidRDefault="00F47C9F" w:rsidP="00F47C9F">
      <w:pPr>
        <w:pStyle w:val="FootnoteText"/>
        <w:rPr>
          <w:rFonts w:asciiTheme="minorHAnsi" w:hAnsiTheme="minorHAnsi"/>
          <w:sz w:val="16"/>
          <w:szCs w:val="16"/>
        </w:rPr>
      </w:pPr>
      <w:r w:rsidRPr="00203118">
        <w:rPr>
          <w:rStyle w:val="FootnoteReference"/>
          <w:rFonts w:asciiTheme="minorHAnsi" w:hAnsiTheme="minorHAnsi"/>
          <w:sz w:val="24"/>
          <w:szCs w:val="24"/>
        </w:rPr>
        <w:footnoteRef/>
      </w:r>
      <w:r w:rsidRPr="00203118">
        <w:rPr>
          <w:rFonts w:asciiTheme="minorHAnsi" w:hAnsiTheme="minorHAnsi"/>
          <w:sz w:val="24"/>
          <w:szCs w:val="24"/>
        </w:rPr>
        <w:t xml:space="preserve"> Peter Elek et. al., </w:t>
      </w:r>
      <w:hyperlink r:id="rId7" w:history="1">
        <w:r w:rsidRPr="004416DC">
          <w:rPr>
            <w:rStyle w:val="Hyperlink"/>
            <w:rFonts w:asciiTheme="minorHAnsi" w:hAnsiTheme="minorHAnsi"/>
            <w:i/>
            <w:iCs/>
            <w:sz w:val="24"/>
            <w:szCs w:val="24"/>
          </w:rPr>
          <w:t xml:space="preserve">The Closer </w:t>
        </w:r>
        <w:proofErr w:type="gramStart"/>
        <w:r w:rsidRPr="004416DC">
          <w:rPr>
            <w:rStyle w:val="Hyperlink"/>
            <w:rFonts w:asciiTheme="minorHAnsi" w:hAnsiTheme="minorHAnsi"/>
            <w:i/>
            <w:iCs/>
            <w:sz w:val="24"/>
            <w:szCs w:val="24"/>
          </w:rPr>
          <w:t>The</w:t>
        </w:r>
        <w:proofErr w:type="gramEnd"/>
        <w:r w:rsidRPr="004416DC">
          <w:rPr>
            <w:rStyle w:val="Hyperlink"/>
            <w:rFonts w:asciiTheme="minorHAnsi" w:hAnsiTheme="minorHAnsi"/>
            <w:i/>
            <w:iCs/>
            <w:sz w:val="24"/>
            <w:szCs w:val="24"/>
          </w:rPr>
          <w:t xml:space="preserve"> Better: Does Better Access to Outpatient Care Prevent Hospitalization?</w:t>
        </w:r>
      </w:hyperlink>
      <w:r w:rsidRPr="00203118">
        <w:rPr>
          <w:rFonts w:asciiTheme="minorHAnsi" w:hAnsiTheme="minorHAnsi"/>
          <w:sz w:val="24"/>
          <w:szCs w:val="24"/>
        </w:rPr>
        <w:t xml:space="preserve">, </w:t>
      </w:r>
      <w:r w:rsidRPr="00203118">
        <w:rPr>
          <w:rFonts w:asciiTheme="minorHAnsi" w:hAnsiTheme="minorHAnsi"/>
          <w:smallCaps/>
          <w:sz w:val="24"/>
          <w:szCs w:val="24"/>
        </w:rPr>
        <w:t>European Journal of Health Economics</w:t>
      </w:r>
      <w:r w:rsidRPr="00203118">
        <w:rPr>
          <w:rFonts w:asciiTheme="minorHAnsi" w:hAnsiTheme="minorHAnsi"/>
          <w:sz w:val="24"/>
          <w:szCs w:val="24"/>
        </w:rPr>
        <w:t xml:space="preserve"> (Mar. 2019). </w:t>
      </w:r>
    </w:p>
  </w:footnote>
  <w:footnote w:id="18">
    <w:p w14:paraId="70ACDBDE" w14:textId="77777777" w:rsidR="00F47C9F" w:rsidRPr="006C3073" w:rsidRDefault="00F47C9F" w:rsidP="00F47C9F">
      <w:pPr>
        <w:pStyle w:val="FootnoteText"/>
        <w:rPr>
          <w:rFonts w:asciiTheme="minorHAnsi" w:hAnsiTheme="minorHAnsi"/>
          <w:sz w:val="24"/>
          <w:szCs w:val="24"/>
        </w:rPr>
      </w:pPr>
      <w:r w:rsidRPr="006C3073">
        <w:rPr>
          <w:rStyle w:val="FootnoteReference"/>
          <w:rFonts w:asciiTheme="minorHAnsi" w:hAnsiTheme="minorHAnsi"/>
          <w:sz w:val="24"/>
          <w:szCs w:val="24"/>
        </w:rPr>
        <w:footnoteRef/>
      </w:r>
      <w:r w:rsidRPr="006C3073">
        <w:rPr>
          <w:rFonts w:asciiTheme="minorHAnsi" w:hAnsiTheme="minorHAnsi"/>
          <w:sz w:val="24"/>
          <w:szCs w:val="24"/>
        </w:rPr>
        <w:t xml:space="preserve"> </w:t>
      </w:r>
      <w:r w:rsidRPr="006C3073">
        <w:rPr>
          <w:rFonts w:asciiTheme="minorHAnsi" w:hAnsiTheme="minorHAnsi"/>
          <w:i/>
          <w:iCs/>
          <w:sz w:val="24"/>
          <w:szCs w:val="24"/>
        </w:rPr>
        <w:t>Id.</w:t>
      </w:r>
    </w:p>
  </w:footnote>
  <w:footnote w:id="19">
    <w:p w14:paraId="327BBA4D" w14:textId="2B17EA62" w:rsidR="00F47C9F" w:rsidRPr="006C3073" w:rsidRDefault="00F47C9F" w:rsidP="00F47C9F">
      <w:pPr>
        <w:pStyle w:val="FootnoteText"/>
        <w:rPr>
          <w:rFonts w:asciiTheme="minorHAnsi" w:hAnsiTheme="minorHAnsi"/>
          <w:i/>
          <w:iCs/>
          <w:sz w:val="24"/>
          <w:szCs w:val="24"/>
        </w:rPr>
      </w:pPr>
      <w:r w:rsidRPr="006C3073">
        <w:rPr>
          <w:rStyle w:val="FootnoteReference"/>
          <w:rFonts w:asciiTheme="minorHAnsi" w:hAnsiTheme="minorHAnsi"/>
          <w:sz w:val="24"/>
          <w:szCs w:val="24"/>
        </w:rPr>
        <w:footnoteRef/>
      </w:r>
      <w:r w:rsidRPr="006C3073">
        <w:rPr>
          <w:rFonts w:asciiTheme="minorHAnsi" w:hAnsiTheme="minorHAnsi"/>
          <w:sz w:val="24"/>
          <w:szCs w:val="24"/>
        </w:rPr>
        <w:t xml:space="preserve"> Neeraja </w:t>
      </w:r>
      <w:proofErr w:type="spellStart"/>
      <w:r w:rsidRPr="006C3073">
        <w:rPr>
          <w:rFonts w:asciiTheme="minorHAnsi" w:hAnsiTheme="minorHAnsi"/>
          <w:sz w:val="24"/>
          <w:szCs w:val="24"/>
        </w:rPr>
        <w:t>Bhavaraju</w:t>
      </w:r>
      <w:proofErr w:type="spellEnd"/>
      <w:r w:rsidRPr="006C3073">
        <w:rPr>
          <w:rFonts w:asciiTheme="minorHAnsi" w:hAnsiTheme="minorHAnsi"/>
          <w:sz w:val="24"/>
          <w:szCs w:val="24"/>
        </w:rPr>
        <w:t xml:space="preserve"> et. al.,</w:t>
      </w:r>
      <w:r w:rsidRPr="006C3073">
        <w:rPr>
          <w:rFonts w:asciiTheme="minorHAnsi" w:hAnsiTheme="minorHAnsi"/>
          <w:i/>
          <w:iCs/>
          <w:sz w:val="24"/>
          <w:szCs w:val="24"/>
        </w:rPr>
        <w:t xml:space="preserve"> </w:t>
      </w:r>
      <w:hyperlink r:id="rId8" w:history="1">
        <w:r w:rsidRPr="00835E5C">
          <w:rPr>
            <w:rStyle w:val="Hyperlink"/>
            <w:rFonts w:asciiTheme="minorHAnsi" w:hAnsiTheme="minorHAnsi"/>
            <w:i/>
            <w:iCs/>
            <w:sz w:val="24"/>
            <w:szCs w:val="24"/>
          </w:rPr>
          <w:t>Breaking the Barriers to Specialty Care</w:t>
        </w:r>
      </w:hyperlink>
      <w:r w:rsidRPr="006C3073">
        <w:rPr>
          <w:rFonts w:asciiTheme="minorHAnsi" w:hAnsiTheme="minorHAnsi"/>
          <w:sz w:val="24"/>
          <w:szCs w:val="24"/>
        </w:rPr>
        <w:t xml:space="preserve">, FSG (last accessed Aug. 6, 2025). </w:t>
      </w:r>
      <w:r w:rsidRPr="006C3073">
        <w:rPr>
          <w:rFonts w:asciiTheme="minorHAnsi" w:hAnsiTheme="minorHAnsi"/>
          <w:i/>
          <w:iCs/>
          <w:sz w:val="24"/>
          <w:szCs w:val="24"/>
        </w:rPr>
        <w:t xml:space="preserve"> </w:t>
      </w:r>
    </w:p>
  </w:footnote>
  <w:footnote w:id="20">
    <w:p w14:paraId="2B7DA755" w14:textId="4DED7FFF" w:rsidR="0037149C" w:rsidRPr="006C3073" w:rsidRDefault="0037149C" w:rsidP="0037149C">
      <w:pPr>
        <w:pStyle w:val="FootnoteText"/>
        <w:rPr>
          <w:rFonts w:asciiTheme="minorHAnsi" w:hAnsiTheme="minorHAnsi"/>
          <w:sz w:val="24"/>
          <w:szCs w:val="24"/>
        </w:rPr>
      </w:pPr>
      <w:r w:rsidRPr="006C3073">
        <w:rPr>
          <w:rStyle w:val="FootnoteReference"/>
          <w:rFonts w:asciiTheme="minorHAnsi" w:hAnsiTheme="minorHAnsi"/>
          <w:sz w:val="24"/>
          <w:szCs w:val="24"/>
        </w:rPr>
        <w:footnoteRef/>
      </w:r>
      <w:r w:rsidRPr="006C3073">
        <w:rPr>
          <w:rFonts w:asciiTheme="minorHAnsi" w:hAnsiTheme="minorHAnsi"/>
          <w:sz w:val="24"/>
          <w:szCs w:val="24"/>
        </w:rPr>
        <w:t xml:space="preserve"> RAND Corporation. </w:t>
      </w:r>
      <w:hyperlink r:id="rId9" w:history="1">
        <w:r w:rsidRPr="00342727">
          <w:rPr>
            <w:rStyle w:val="Hyperlink"/>
            <w:rFonts w:asciiTheme="minorHAnsi" w:hAnsiTheme="minorHAnsi"/>
            <w:sz w:val="24"/>
            <w:szCs w:val="24"/>
          </w:rPr>
          <w:t>Integrated Care</w:t>
        </w:r>
      </w:hyperlink>
      <w:r w:rsidRPr="006C3073">
        <w:rPr>
          <w:rFonts w:asciiTheme="minorHAnsi" w:hAnsiTheme="minorHAnsi"/>
          <w:sz w:val="24"/>
          <w:szCs w:val="24"/>
        </w:rPr>
        <w:t xml:space="preserve">. Updated August 13, 2021 (Last accessed May 12, 2026). </w:t>
      </w:r>
      <w:r w:rsidRPr="006C3073">
        <w:rPr>
          <w:rFonts w:asciiTheme="minorHAnsi" w:hAnsiTheme="minorHAnsi"/>
          <w:i/>
          <w:iCs/>
          <w:sz w:val="24"/>
          <w:szCs w:val="24"/>
        </w:rPr>
        <w:t xml:space="preserve">See also </w:t>
      </w:r>
      <w:r w:rsidRPr="006C3073">
        <w:rPr>
          <w:rFonts w:asciiTheme="minorHAnsi" w:hAnsiTheme="minorHAnsi"/>
          <w:sz w:val="24"/>
          <w:szCs w:val="24"/>
        </w:rPr>
        <w:t xml:space="preserve">Satake A, McElroy V. </w:t>
      </w:r>
      <w:hyperlink r:id="rId10" w:history="1">
        <w:r w:rsidRPr="001C690D">
          <w:rPr>
            <w:rStyle w:val="Hyperlink"/>
            <w:rFonts w:asciiTheme="minorHAnsi" w:hAnsiTheme="minorHAnsi"/>
            <w:i/>
            <w:iCs/>
            <w:sz w:val="24"/>
            <w:szCs w:val="24"/>
          </w:rPr>
          <w:t>Inpatient transitions of care: challenges and safety practices</w:t>
        </w:r>
      </w:hyperlink>
      <w:r w:rsidRPr="006C3073">
        <w:rPr>
          <w:rFonts w:asciiTheme="minorHAnsi" w:hAnsiTheme="minorHAnsi"/>
          <w:sz w:val="24"/>
          <w:szCs w:val="24"/>
        </w:rPr>
        <w:t>. Agency for Healthcare Research and Quality (AHRQ) Patient Safety Network (</w:t>
      </w:r>
      <w:proofErr w:type="spellStart"/>
      <w:r w:rsidRPr="006C3073">
        <w:rPr>
          <w:rFonts w:asciiTheme="minorHAnsi" w:hAnsiTheme="minorHAnsi"/>
          <w:sz w:val="24"/>
          <w:szCs w:val="24"/>
        </w:rPr>
        <w:t>PSNet</w:t>
      </w:r>
      <w:proofErr w:type="spellEnd"/>
      <w:r w:rsidRPr="006C3073">
        <w:rPr>
          <w:rFonts w:asciiTheme="minorHAnsi" w:hAnsiTheme="minorHAnsi"/>
          <w:sz w:val="24"/>
          <w:szCs w:val="24"/>
        </w:rPr>
        <w:t>). Published March 27, 2024 (Last accessed May 12, 2026).</w:t>
      </w:r>
    </w:p>
  </w:footnote>
  <w:footnote w:id="21">
    <w:p w14:paraId="5126FF4F" w14:textId="1A355D50" w:rsidR="0037149C" w:rsidRPr="006C3073" w:rsidRDefault="0037149C">
      <w:pPr>
        <w:pStyle w:val="FootnoteText"/>
        <w:rPr>
          <w:sz w:val="24"/>
          <w:szCs w:val="24"/>
        </w:rPr>
      </w:pPr>
      <w:r w:rsidRPr="006C3073">
        <w:rPr>
          <w:rStyle w:val="FootnoteReference"/>
          <w:sz w:val="24"/>
          <w:szCs w:val="24"/>
        </w:rPr>
        <w:footnoteRef/>
      </w:r>
      <w:r w:rsidRPr="006C3073">
        <w:rPr>
          <w:sz w:val="24"/>
          <w:szCs w:val="24"/>
        </w:rPr>
        <w:t xml:space="preserve"> </w:t>
      </w:r>
      <w:r w:rsidR="003B0DF5" w:rsidRPr="006C3073">
        <w:rPr>
          <w:sz w:val="24"/>
          <w:szCs w:val="24"/>
        </w:rPr>
        <w:t xml:space="preserve">Chen J, </w:t>
      </w:r>
      <w:proofErr w:type="spellStart"/>
      <w:r w:rsidR="003B0DF5" w:rsidRPr="006C3073">
        <w:rPr>
          <w:sz w:val="24"/>
          <w:szCs w:val="24"/>
        </w:rPr>
        <w:t>DuGoff</w:t>
      </w:r>
      <w:proofErr w:type="spellEnd"/>
      <w:r w:rsidR="003B0DF5" w:rsidRPr="006C3073">
        <w:rPr>
          <w:sz w:val="24"/>
          <w:szCs w:val="24"/>
        </w:rPr>
        <w:t xml:space="preserve"> EH, Novak P, Wang MQ. </w:t>
      </w:r>
      <w:r w:rsidR="003B0DF5" w:rsidRPr="006C3073">
        <w:rPr>
          <w:i/>
          <w:iCs/>
          <w:sz w:val="24"/>
          <w:szCs w:val="24"/>
        </w:rPr>
        <w:t>Variation of hospital</w:t>
      </w:r>
      <w:r w:rsidR="003B0DF5" w:rsidRPr="006C3073">
        <w:rPr>
          <w:i/>
          <w:iCs/>
          <w:sz w:val="24"/>
          <w:szCs w:val="24"/>
        </w:rPr>
        <w:noBreakHyphen/>
        <w:t>based adoption of care coordination services by community</w:t>
      </w:r>
      <w:r w:rsidR="003B0DF5" w:rsidRPr="006C3073">
        <w:rPr>
          <w:i/>
          <w:iCs/>
          <w:sz w:val="24"/>
          <w:szCs w:val="24"/>
        </w:rPr>
        <w:noBreakHyphen/>
        <w:t>level social determinants of health</w:t>
      </w:r>
      <w:r w:rsidR="003B0DF5" w:rsidRPr="006C3073">
        <w:rPr>
          <w:sz w:val="24"/>
          <w:szCs w:val="24"/>
        </w:rPr>
        <w:t>. Health Care Manage Rev. 2020;45(4):332</w:t>
      </w:r>
      <w:r w:rsidR="003B0DF5" w:rsidRPr="006C3073">
        <w:rPr>
          <w:sz w:val="24"/>
          <w:szCs w:val="24"/>
        </w:rPr>
        <w:noBreakHyphen/>
        <w:t xml:space="preserve">341. doi:10.1097/HMR.0000000000000232. </w:t>
      </w:r>
    </w:p>
  </w:footnote>
  <w:footnote w:id="22">
    <w:p w14:paraId="072BC66C" w14:textId="20FADFF5" w:rsidR="0037149C" w:rsidRPr="003B0DF5" w:rsidRDefault="0037149C">
      <w:pPr>
        <w:pStyle w:val="FootnoteText"/>
      </w:pPr>
      <w:r w:rsidRPr="006C3073">
        <w:rPr>
          <w:rStyle w:val="FootnoteReference"/>
          <w:sz w:val="24"/>
          <w:szCs w:val="24"/>
        </w:rPr>
        <w:footnoteRef/>
      </w:r>
      <w:r w:rsidRPr="006C3073">
        <w:rPr>
          <w:sz w:val="24"/>
          <w:szCs w:val="24"/>
        </w:rPr>
        <w:t xml:space="preserve"> </w:t>
      </w:r>
      <w:r w:rsidR="003B0DF5" w:rsidRPr="006C3073">
        <w:rPr>
          <w:i/>
          <w:iCs/>
          <w:sz w:val="24"/>
          <w:szCs w:val="24"/>
        </w:rPr>
        <w:t>Supra</w:t>
      </w:r>
      <w:r w:rsidR="003B0DF5" w:rsidRPr="006C3073">
        <w:rPr>
          <w:sz w:val="24"/>
          <w:szCs w:val="24"/>
        </w:rPr>
        <w:t xml:space="preserve"> note </w:t>
      </w:r>
      <w:r w:rsidR="00CD0370" w:rsidRPr="006C3073">
        <w:rPr>
          <w:sz w:val="24"/>
          <w:szCs w:val="24"/>
        </w:rPr>
        <w:t>20</w:t>
      </w:r>
      <w:r w:rsidR="003B0DF5" w:rsidRPr="006C3073">
        <w:rPr>
          <w:sz w:val="24"/>
          <w:szCs w:val="24"/>
        </w:rPr>
        <w:t xml:space="preserve">. </w:t>
      </w:r>
      <w:r w:rsidR="003B0DF5" w:rsidRPr="006C3073">
        <w:rPr>
          <w:i/>
          <w:iCs/>
          <w:sz w:val="24"/>
          <w:szCs w:val="24"/>
        </w:rPr>
        <w:t xml:space="preserve">See also </w:t>
      </w:r>
      <w:r w:rsidR="003B0DF5" w:rsidRPr="006C3073">
        <w:rPr>
          <w:sz w:val="24"/>
          <w:szCs w:val="24"/>
        </w:rPr>
        <w:t xml:space="preserve">Friedman LS, </w:t>
      </w:r>
      <w:proofErr w:type="spellStart"/>
      <w:r w:rsidR="003B0DF5" w:rsidRPr="006C3073">
        <w:rPr>
          <w:sz w:val="24"/>
          <w:szCs w:val="24"/>
        </w:rPr>
        <w:t>Sitapati</w:t>
      </w:r>
      <w:proofErr w:type="spellEnd"/>
      <w:r w:rsidR="003B0DF5" w:rsidRPr="006C3073">
        <w:rPr>
          <w:sz w:val="24"/>
          <w:szCs w:val="24"/>
        </w:rPr>
        <w:t xml:space="preserve"> AM, Holland J, et al. </w:t>
      </w:r>
      <w:r w:rsidR="003B0DF5" w:rsidRPr="006C3073">
        <w:rPr>
          <w:i/>
          <w:iCs/>
          <w:sz w:val="24"/>
          <w:szCs w:val="24"/>
        </w:rPr>
        <w:t>A path to clinical quality integration through a clinically integrated network: the experience of an academic health system and its community affiliates</w:t>
      </w:r>
      <w:r w:rsidR="003B0DF5" w:rsidRPr="006C3073">
        <w:rPr>
          <w:sz w:val="24"/>
          <w:szCs w:val="24"/>
        </w:rPr>
        <w:t xml:space="preserve">. </w:t>
      </w:r>
      <w:proofErr w:type="spellStart"/>
      <w:r w:rsidR="003B0DF5" w:rsidRPr="006C3073">
        <w:rPr>
          <w:sz w:val="24"/>
          <w:szCs w:val="24"/>
        </w:rPr>
        <w:t>Jt</w:t>
      </w:r>
      <w:proofErr w:type="spellEnd"/>
      <w:r w:rsidR="003B0DF5" w:rsidRPr="006C3073">
        <w:rPr>
          <w:sz w:val="24"/>
          <w:szCs w:val="24"/>
        </w:rPr>
        <w:t xml:space="preserve"> Comm J Qual Patient Saf. 2021;47(1):31</w:t>
      </w:r>
      <w:r w:rsidR="003B0DF5" w:rsidRPr="006C3073">
        <w:rPr>
          <w:sz w:val="24"/>
          <w:szCs w:val="24"/>
        </w:rPr>
        <w:noBreakHyphen/>
        <w:t xml:space="preserve">37. </w:t>
      </w:r>
      <w:proofErr w:type="gramStart"/>
      <w:r w:rsidR="003B0DF5" w:rsidRPr="006C3073">
        <w:rPr>
          <w:sz w:val="24"/>
          <w:szCs w:val="24"/>
        </w:rPr>
        <w:t>doi:10.1016/j.jcjq</w:t>
      </w:r>
      <w:proofErr w:type="gramEnd"/>
      <w:r w:rsidR="003B0DF5" w:rsidRPr="006C3073">
        <w:rPr>
          <w:sz w:val="24"/>
          <w:szCs w:val="24"/>
        </w:rPr>
        <w:t xml:space="preserve">.2020.10.004. </w:t>
      </w:r>
    </w:p>
  </w:footnote>
  <w:footnote w:id="23">
    <w:p w14:paraId="122019C0" w14:textId="3350CF14" w:rsidR="00C314C7" w:rsidRPr="00AC0CB9" w:rsidRDefault="00C314C7" w:rsidP="00C314C7">
      <w:pPr>
        <w:pStyle w:val="FootnoteText"/>
        <w:rPr>
          <w:rFonts w:asciiTheme="majorHAnsi" w:hAnsiTheme="majorHAnsi"/>
          <w:sz w:val="24"/>
          <w:szCs w:val="24"/>
        </w:rPr>
      </w:pPr>
      <w:r w:rsidRPr="00AC0CB9">
        <w:rPr>
          <w:rStyle w:val="FootnoteReference"/>
          <w:rFonts w:asciiTheme="majorHAnsi" w:hAnsiTheme="majorHAnsi"/>
          <w:sz w:val="24"/>
          <w:szCs w:val="24"/>
        </w:rPr>
        <w:footnoteRef/>
      </w:r>
      <w:r w:rsidRPr="00AC0CB9">
        <w:rPr>
          <w:rFonts w:asciiTheme="majorHAnsi" w:hAnsiTheme="majorHAnsi"/>
          <w:sz w:val="24"/>
          <w:szCs w:val="24"/>
        </w:rPr>
        <w:t xml:space="preserve"> Baystate Health participates in the mandatory patient experience survey process set forth by the Centers for Medicare </w:t>
      </w:r>
      <w:r w:rsidR="006254B7">
        <w:rPr>
          <w:rFonts w:asciiTheme="majorHAnsi" w:hAnsiTheme="majorHAnsi"/>
          <w:sz w:val="24"/>
          <w:szCs w:val="24"/>
        </w:rPr>
        <w:t>and</w:t>
      </w:r>
      <w:r w:rsidRPr="00AC0CB9">
        <w:rPr>
          <w:rFonts w:asciiTheme="majorHAnsi" w:hAnsiTheme="majorHAnsi"/>
          <w:sz w:val="24"/>
          <w:szCs w:val="24"/>
        </w:rPr>
        <w:t xml:space="preserve"> Medicaid (CMS).</w:t>
      </w:r>
    </w:p>
  </w:footnote>
  <w:footnote w:id="24">
    <w:p w14:paraId="76EB24E4" w14:textId="0137FDD7" w:rsidR="00D51932" w:rsidRPr="00E91BDB" w:rsidRDefault="00D51932">
      <w:pPr>
        <w:pStyle w:val="FootnoteText"/>
        <w:rPr>
          <w:sz w:val="24"/>
          <w:szCs w:val="24"/>
        </w:rPr>
      </w:pPr>
      <w:r w:rsidRPr="00E91BDB">
        <w:rPr>
          <w:rStyle w:val="FootnoteReference"/>
          <w:sz w:val="24"/>
          <w:szCs w:val="24"/>
        </w:rPr>
        <w:footnoteRef/>
      </w:r>
      <w:r w:rsidRPr="00E91BDB">
        <w:rPr>
          <w:sz w:val="24"/>
          <w:szCs w:val="24"/>
        </w:rPr>
        <w:t xml:space="preserve"> </w:t>
      </w:r>
      <w:hyperlink r:id="rId11" w:history="1">
        <w:r w:rsidR="003827D2" w:rsidRPr="003827D2">
          <w:rPr>
            <w:rStyle w:val="Hyperlink"/>
            <w:sz w:val="24"/>
            <w:szCs w:val="24"/>
          </w:rPr>
          <w:t>Baystate and Mercy Medical Center website</w:t>
        </w:r>
      </w:hyperlink>
      <w:r w:rsidR="003827D2">
        <w:rPr>
          <w:sz w:val="24"/>
          <w:szCs w:val="24"/>
        </w:rPr>
        <w:t xml:space="preserve"> </w:t>
      </w:r>
    </w:p>
  </w:footnote>
  <w:footnote w:id="25">
    <w:p w14:paraId="7BB52952" w14:textId="2AB1094F" w:rsidR="00302A61" w:rsidRPr="003827D2" w:rsidRDefault="00302A61">
      <w:pPr>
        <w:pStyle w:val="FootnoteText"/>
        <w:rPr>
          <w:sz w:val="24"/>
          <w:szCs w:val="24"/>
        </w:rPr>
      </w:pPr>
      <w:r w:rsidRPr="003827D2">
        <w:rPr>
          <w:rStyle w:val="FootnoteReference"/>
          <w:sz w:val="24"/>
          <w:szCs w:val="24"/>
        </w:rPr>
        <w:footnoteRef/>
      </w:r>
      <w:r w:rsidRPr="003827D2">
        <w:rPr>
          <w:sz w:val="24"/>
          <w:szCs w:val="24"/>
        </w:rPr>
        <w:t xml:space="preserve"> Kendra </w:t>
      </w:r>
      <w:proofErr w:type="spellStart"/>
      <w:r w:rsidRPr="003827D2">
        <w:rPr>
          <w:sz w:val="24"/>
          <w:szCs w:val="24"/>
        </w:rPr>
        <w:t>Ratnapradipa</w:t>
      </w:r>
      <w:proofErr w:type="spellEnd"/>
      <w:r w:rsidRPr="003827D2">
        <w:rPr>
          <w:sz w:val="24"/>
          <w:szCs w:val="24"/>
        </w:rPr>
        <w:t xml:space="preserve"> et al, </w:t>
      </w:r>
      <w:hyperlink r:id="rId12" w:history="1">
        <w:r w:rsidRPr="003827D2">
          <w:rPr>
            <w:rStyle w:val="Hyperlink"/>
            <w:i/>
            <w:iCs/>
            <w:sz w:val="24"/>
            <w:szCs w:val="24"/>
          </w:rPr>
          <w:t xml:space="preserve">Factors Associated </w:t>
        </w:r>
        <w:proofErr w:type="gramStart"/>
        <w:r w:rsidRPr="003827D2">
          <w:rPr>
            <w:rStyle w:val="Hyperlink"/>
            <w:i/>
            <w:iCs/>
            <w:sz w:val="24"/>
            <w:szCs w:val="24"/>
          </w:rPr>
          <w:t>With</w:t>
        </w:r>
        <w:proofErr w:type="gramEnd"/>
        <w:r w:rsidRPr="003827D2">
          <w:rPr>
            <w:rStyle w:val="Hyperlink"/>
            <w:i/>
            <w:iCs/>
            <w:sz w:val="24"/>
            <w:szCs w:val="24"/>
          </w:rPr>
          <w:t xml:space="preserve"> Delaying Medical Care: Cross-Sectional Study of Nebraska Adults</w:t>
        </w:r>
      </w:hyperlink>
      <w:r w:rsidRPr="003827D2">
        <w:rPr>
          <w:sz w:val="24"/>
          <w:szCs w:val="24"/>
        </w:rPr>
        <w:t>, BMC Health Services Research (2023).</w:t>
      </w:r>
    </w:p>
  </w:footnote>
  <w:footnote w:id="26">
    <w:p w14:paraId="144CA056" w14:textId="77777777" w:rsidR="000F4131" w:rsidRDefault="000F4131" w:rsidP="000F4131">
      <w:pPr>
        <w:pStyle w:val="FootnoteText"/>
      </w:pPr>
      <w:r w:rsidRPr="003827D2">
        <w:rPr>
          <w:rStyle w:val="FootnoteReference"/>
          <w:sz w:val="24"/>
          <w:szCs w:val="24"/>
        </w:rPr>
        <w:footnoteRef/>
      </w:r>
      <w:r w:rsidRPr="003827D2">
        <w:rPr>
          <w:sz w:val="24"/>
          <w:szCs w:val="24"/>
        </w:rPr>
        <w:t xml:space="preserve"> CHIA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3DAC" w14:textId="77777777" w:rsidR="001F1719" w:rsidRPr="00214AFA" w:rsidRDefault="001F1719" w:rsidP="001F1719">
    <w:pPr>
      <w:pStyle w:val="Header"/>
      <w:rPr>
        <w:rFonts w:asciiTheme="minorHAnsi" w:hAnsiTheme="minorHAnsi"/>
      </w:rPr>
    </w:pPr>
    <w:r w:rsidRPr="00214AFA">
      <w:rPr>
        <w:rFonts w:asciiTheme="minorHAnsi" w:hAnsiTheme="minorHAnsi"/>
      </w:rPr>
      <w:t>Baystate Health, Inc.</w:t>
    </w:r>
    <w:r w:rsidRPr="00214AFA">
      <w:rPr>
        <w:rFonts w:asciiTheme="minorHAnsi" w:hAnsiTheme="minorHAnsi"/>
      </w:rPr>
      <w:tab/>
    </w:r>
    <w:r w:rsidRPr="00214AFA">
      <w:rPr>
        <w:rFonts w:asciiTheme="minorHAnsi" w:hAnsiTheme="minorHAnsi"/>
      </w:rPr>
      <w:tab/>
    </w:r>
    <w:r w:rsidRPr="00214AFA">
      <w:rPr>
        <w:rFonts w:asciiTheme="minorHAnsi" w:hAnsiTheme="minorHAnsi"/>
        <w:smallCaps/>
      </w:rPr>
      <w:t>BH-25061310-TO</w:t>
    </w:r>
  </w:p>
  <w:p w14:paraId="3AAD4A6C" w14:textId="77777777" w:rsidR="001319DC" w:rsidRDefault="00131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E147" w14:textId="77777777" w:rsidR="004356C0" w:rsidRDefault="00435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2136" w14:textId="77777777" w:rsidR="004356C0" w:rsidRDefault="004356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7976" w14:textId="77777777" w:rsidR="004356C0" w:rsidRDefault="00435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C9ECD3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4A4922"/>
    <w:multiLevelType w:val="hybridMultilevel"/>
    <w:tmpl w:val="4C54CA62"/>
    <w:lvl w:ilvl="0" w:tplc="9B8CD5FA">
      <w:start w:val="1"/>
      <w:numFmt w:val="upperLetter"/>
      <w:lvlText w:val="%1."/>
      <w:lvlJc w:val="left"/>
      <w:pPr>
        <w:ind w:left="720" w:hanging="36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C53B7"/>
    <w:multiLevelType w:val="hybridMultilevel"/>
    <w:tmpl w:val="9AEE13B2"/>
    <w:lvl w:ilvl="0" w:tplc="616843CE">
      <w:start w:val="1"/>
      <w:numFmt w:val="decimal"/>
      <w:lvlText w:val="%1."/>
      <w:lvlJc w:val="left"/>
      <w:pPr>
        <w:ind w:left="720" w:hanging="360"/>
      </w:pPr>
      <w:rPr>
        <w:rFonts w:ascii="Aptos" w:hAnsi="Aptos" w:hint="default"/>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2C9F"/>
    <w:multiLevelType w:val="multilevel"/>
    <w:tmpl w:val="01EC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A3A16"/>
    <w:multiLevelType w:val="hybridMultilevel"/>
    <w:tmpl w:val="5620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9242D"/>
    <w:multiLevelType w:val="hybridMultilevel"/>
    <w:tmpl w:val="02E43D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03E7A"/>
    <w:multiLevelType w:val="hybridMultilevel"/>
    <w:tmpl w:val="A2EA5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24F74"/>
    <w:multiLevelType w:val="multilevel"/>
    <w:tmpl w:val="97C27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C6D85"/>
    <w:multiLevelType w:val="hybridMultilevel"/>
    <w:tmpl w:val="AA1A57B6"/>
    <w:lvl w:ilvl="0" w:tplc="4D00568C">
      <w:start w:val="1"/>
      <w:numFmt w:val="decimal"/>
      <w:lvlText w:val="%1."/>
      <w:lvlJc w:val="left"/>
      <w:pPr>
        <w:ind w:left="1020" w:hanging="360"/>
      </w:pPr>
    </w:lvl>
    <w:lvl w:ilvl="1" w:tplc="C33EC44A">
      <w:start w:val="1"/>
      <w:numFmt w:val="decimal"/>
      <w:lvlText w:val="%2."/>
      <w:lvlJc w:val="left"/>
      <w:pPr>
        <w:ind w:left="1020" w:hanging="360"/>
      </w:pPr>
    </w:lvl>
    <w:lvl w:ilvl="2" w:tplc="CE260B3E">
      <w:start w:val="1"/>
      <w:numFmt w:val="decimal"/>
      <w:lvlText w:val="%3."/>
      <w:lvlJc w:val="left"/>
      <w:pPr>
        <w:ind w:left="1020" w:hanging="360"/>
      </w:pPr>
    </w:lvl>
    <w:lvl w:ilvl="3" w:tplc="C03EA2F0">
      <w:start w:val="1"/>
      <w:numFmt w:val="decimal"/>
      <w:lvlText w:val="%4."/>
      <w:lvlJc w:val="left"/>
      <w:pPr>
        <w:ind w:left="1020" w:hanging="360"/>
      </w:pPr>
    </w:lvl>
    <w:lvl w:ilvl="4" w:tplc="594A0906">
      <w:start w:val="1"/>
      <w:numFmt w:val="decimal"/>
      <w:lvlText w:val="%5."/>
      <w:lvlJc w:val="left"/>
      <w:pPr>
        <w:ind w:left="1020" w:hanging="360"/>
      </w:pPr>
    </w:lvl>
    <w:lvl w:ilvl="5" w:tplc="7DE6687E">
      <w:start w:val="1"/>
      <w:numFmt w:val="decimal"/>
      <w:lvlText w:val="%6."/>
      <w:lvlJc w:val="left"/>
      <w:pPr>
        <w:ind w:left="1020" w:hanging="360"/>
      </w:pPr>
    </w:lvl>
    <w:lvl w:ilvl="6" w:tplc="459A8334">
      <w:start w:val="1"/>
      <w:numFmt w:val="decimal"/>
      <w:lvlText w:val="%7."/>
      <w:lvlJc w:val="left"/>
      <w:pPr>
        <w:ind w:left="1020" w:hanging="360"/>
      </w:pPr>
    </w:lvl>
    <w:lvl w:ilvl="7" w:tplc="F02A38A4">
      <w:start w:val="1"/>
      <w:numFmt w:val="decimal"/>
      <w:lvlText w:val="%8."/>
      <w:lvlJc w:val="left"/>
      <w:pPr>
        <w:ind w:left="1020" w:hanging="360"/>
      </w:pPr>
    </w:lvl>
    <w:lvl w:ilvl="8" w:tplc="3D684D72">
      <w:start w:val="1"/>
      <w:numFmt w:val="decimal"/>
      <w:lvlText w:val="%9."/>
      <w:lvlJc w:val="left"/>
      <w:pPr>
        <w:ind w:left="1020" w:hanging="360"/>
      </w:pPr>
    </w:lvl>
  </w:abstractNum>
  <w:abstractNum w:abstractNumId="11" w15:restartNumberingAfterBreak="0">
    <w:nsid w:val="478F075D"/>
    <w:multiLevelType w:val="hybridMultilevel"/>
    <w:tmpl w:val="9D3ED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67B11"/>
    <w:multiLevelType w:val="hybridMultilevel"/>
    <w:tmpl w:val="3286933A"/>
    <w:lvl w:ilvl="0" w:tplc="A44A2B8A">
      <w:start w:val="1"/>
      <w:numFmt w:val="decimal"/>
      <w:lvlText w:val="%1."/>
      <w:lvlJc w:val="left"/>
      <w:pPr>
        <w:ind w:left="1020" w:hanging="360"/>
      </w:pPr>
    </w:lvl>
    <w:lvl w:ilvl="1" w:tplc="A3045152">
      <w:start w:val="1"/>
      <w:numFmt w:val="decimal"/>
      <w:lvlText w:val="%2."/>
      <w:lvlJc w:val="left"/>
      <w:pPr>
        <w:ind w:left="1020" w:hanging="360"/>
      </w:pPr>
    </w:lvl>
    <w:lvl w:ilvl="2" w:tplc="0FF23D7E">
      <w:start w:val="1"/>
      <w:numFmt w:val="decimal"/>
      <w:lvlText w:val="%3."/>
      <w:lvlJc w:val="left"/>
      <w:pPr>
        <w:ind w:left="1020" w:hanging="360"/>
      </w:pPr>
    </w:lvl>
    <w:lvl w:ilvl="3" w:tplc="84E02374">
      <w:start w:val="1"/>
      <w:numFmt w:val="decimal"/>
      <w:lvlText w:val="%4."/>
      <w:lvlJc w:val="left"/>
      <w:pPr>
        <w:ind w:left="1020" w:hanging="360"/>
      </w:pPr>
    </w:lvl>
    <w:lvl w:ilvl="4" w:tplc="7C2ACD14">
      <w:start w:val="1"/>
      <w:numFmt w:val="decimal"/>
      <w:lvlText w:val="%5."/>
      <w:lvlJc w:val="left"/>
      <w:pPr>
        <w:ind w:left="1020" w:hanging="360"/>
      </w:pPr>
    </w:lvl>
    <w:lvl w:ilvl="5" w:tplc="EE246E08">
      <w:start w:val="1"/>
      <w:numFmt w:val="decimal"/>
      <w:lvlText w:val="%6."/>
      <w:lvlJc w:val="left"/>
      <w:pPr>
        <w:ind w:left="1020" w:hanging="360"/>
      </w:pPr>
    </w:lvl>
    <w:lvl w:ilvl="6" w:tplc="B3568124">
      <w:start w:val="1"/>
      <w:numFmt w:val="decimal"/>
      <w:lvlText w:val="%7."/>
      <w:lvlJc w:val="left"/>
      <w:pPr>
        <w:ind w:left="1020" w:hanging="360"/>
      </w:pPr>
    </w:lvl>
    <w:lvl w:ilvl="7" w:tplc="A1C0B022">
      <w:start w:val="1"/>
      <w:numFmt w:val="decimal"/>
      <w:lvlText w:val="%8."/>
      <w:lvlJc w:val="left"/>
      <w:pPr>
        <w:ind w:left="1020" w:hanging="360"/>
      </w:pPr>
    </w:lvl>
    <w:lvl w:ilvl="8" w:tplc="B90CB136">
      <w:start w:val="1"/>
      <w:numFmt w:val="decimal"/>
      <w:lvlText w:val="%9."/>
      <w:lvlJc w:val="left"/>
      <w:pPr>
        <w:ind w:left="1020" w:hanging="360"/>
      </w:pPr>
    </w:lvl>
  </w:abstractNum>
  <w:abstractNum w:abstractNumId="13"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9A3B81"/>
    <w:multiLevelType w:val="hybridMultilevel"/>
    <w:tmpl w:val="A4389A1A"/>
    <w:lvl w:ilvl="0" w:tplc="F6EEB1FC">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15E3F"/>
    <w:multiLevelType w:val="hybridMultilevel"/>
    <w:tmpl w:val="F13ABDF0"/>
    <w:lvl w:ilvl="0" w:tplc="9F1A363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32189"/>
    <w:multiLevelType w:val="hybridMultilevel"/>
    <w:tmpl w:val="E54081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7B47524"/>
    <w:multiLevelType w:val="hybridMultilevel"/>
    <w:tmpl w:val="54968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215425">
    <w:abstractNumId w:val="5"/>
  </w:num>
  <w:num w:numId="2" w16cid:durableId="1552228290">
    <w:abstractNumId w:val="2"/>
  </w:num>
  <w:num w:numId="3" w16cid:durableId="1258909090">
    <w:abstractNumId w:val="10"/>
  </w:num>
  <w:num w:numId="4" w16cid:durableId="420299167">
    <w:abstractNumId w:val="3"/>
  </w:num>
  <w:num w:numId="5" w16cid:durableId="1227835113">
    <w:abstractNumId w:val="6"/>
  </w:num>
  <w:num w:numId="6" w16cid:durableId="1113673041">
    <w:abstractNumId w:val="8"/>
  </w:num>
  <w:num w:numId="7" w16cid:durableId="1237935825">
    <w:abstractNumId w:val="18"/>
  </w:num>
  <w:num w:numId="8" w16cid:durableId="496650797">
    <w:abstractNumId w:val="9"/>
  </w:num>
  <w:num w:numId="9" w16cid:durableId="276913787">
    <w:abstractNumId w:val="15"/>
  </w:num>
  <w:num w:numId="10" w16cid:durableId="1232501184">
    <w:abstractNumId w:val="14"/>
  </w:num>
  <w:num w:numId="11" w16cid:durableId="1939554900">
    <w:abstractNumId w:val="11"/>
  </w:num>
  <w:num w:numId="12" w16cid:durableId="1482112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010117">
    <w:abstractNumId w:val="0"/>
  </w:num>
  <w:num w:numId="14" w16cid:durableId="1151755396">
    <w:abstractNumId w:val="13"/>
  </w:num>
  <w:num w:numId="15" w16cid:durableId="363478990">
    <w:abstractNumId w:val="4"/>
  </w:num>
  <w:num w:numId="16" w16cid:durableId="331837900">
    <w:abstractNumId w:val="1"/>
  </w:num>
  <w:num w:numId="17" w16cid:durableId="151412447">
    <w:abstractNumId w:val="12"/>
  </w:num>
  <w:num w:numId="18" w16cid:durableId="1212957923">
    <w:abstractNumId w:val="17"/>
  </w:num>
  <w:num w:numId="19" w16cid:durableId="1000349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C8"/>
    <w:rsid w:val="000002F9"/>
    <w:rsid w:val="00000360"/>
    <w:rsid w:val="000041F8"/>
    <w:rsid w:val="0000490F"/>
    <w:rsid w:val="000053AF"/>
    <w:rsid w:val="000067CB"/>
    <w:rsid w:val="00007253"/>
    <w:rsid w:val="00010358"/>
    <w:rsid w:val="0001040C"/>
    <w:rsid w:val="000107D2"/>
    <w:rsid w:val="000127AE"/>
    <w:rsid w:val="00013831"/>
    <w:rsid w:val="00013D68"/>
    <w:rsid w:val="0001470C"/>
    <w:rsid w:val="000157F4"/>
    <w:rsid w:val="00015E7D"/>
    <w:rsid w:val="000177E3"/>
    <w:rsid w:val="00021819"/>
    <w:rsid w:val="00022398"/>
    <w:rsid w:val="00023192"/>
    <w:rsid w:val="000232F0"/>
    <w:rsid w:val="00023686"/>
    <w:rsid w:val="00023CC1"/>
    <w:rsid w:val="0002532A"/>
    <w:rsid w:val="00026031"/>
    <w:rsid w:val="00030269"/>
    <w:rsid w:val="000303CC"/>
    <w:rsid w:val="00031DC4"/>
    <w:rsid w:val="00037DAE"/>
    <w:rsid w:val="000404EC"/>
    <w:rsid w:val="00040EC9"/>
    <w:rsid w:val="00041905"/>
    <w:rsid w:val="00041FBD"/>
    <w:rsid w:val="000424BC"/>
    <w:rsid w:val="00044DB3"/>
    <w:rsid w:val="00045F6C"/>
    <w:rsid w:val="000473ED"/>
    <w:rsid w:val="000556B3"/>
    <w:rsid w:val="00056343"/>
    <w:rsid w:val="00057EE7"/>
    <w:rsid w:val="00057F10"/>
    <w:rsid w:val="0006204A"/>
    <w:rsid w:val="0006266F"/>
    <w:rsid w:val="00062A21"/>
    <w:rsid w:val="0006306A"/>
    <w:rsid w:val="00064789"/>
    <w:rsid w:val="00067F59"/>
    <w:rsid w:val="0007486B"/>
    <w:rsid w:val="00077C8A"/>
    <w:rsid w:val="000825AF"/>
    <w:rsid w:val="00082AFF"/>
    <w:rsid w:val="0008531F"/>
    <w:rsid w:val="000868BB"/>
    <w:rsid w:val="00091293"/>
    <w:rsid w:val="000947AE"/>
    <w:rsid w:val="000960D2"/>
    <w:rsid w:val="000964EF"/>
    <w:rsid w:val="000A28C7"/>
    <w:rsid w:val="000A2B8B"/>
    <w:rsid w:val="000A3118"/>
    <w:rsid w:val="000A6ABB"/>
    <w:rsid w:val="000A6B61"/>
    <w:rsid w:val="000B1BBE"/>
    <w:rsid w:val="000B3C1D"/>
    <w:rsid w:val="000B7B91"/>
    <w:rsid w:val="000B7DBF"/>
    <w:rsid w:val="000B7DD0"/>
    <w:rsid w:val="000C188D"/>
    <w:rsid w:val="000C26AA"/>
    <w:rsid w:val="000C5FEB"/>
    <w:rsid w:val="000C675D"/>
    <w:rsid w:val="000D1D7A"/>
    <w:rsid w:val="000D4C9D"/>
    <w:rsid w:val="000D545B"/>
    <w:rsid w:val="000D5E3E"/>
    <w:rsid w:val="000D751F"/>
    <w:rsid w:val="000D7CBE"/>
    <w:rsid w:val="000E10F4"/>
    <w:rsid w:val="000E32C5"/>
    <w:rsid w:val="000E374B"/>
    <w:rsid w:val="000E4894"/>
    <w:rsid w:val="000E5CE4"/>
    <w:rsid w:val="000E5E2C"/>
    <w:rsid w:val="000E6E14"/>
    <w:rsid w:val="000F06CD"/>
    <w:rsid w:val="000F1101"/>
    <w:rsid w:val="000F394F"/>
    <w:rsid w:val="000F4131"/>
    <w:rsid w:val="000F4F46"/>
    <w:rsid w:val="00100649"/>
    <w:rsid w:val="00100E69"/>
    <w:rsid w:val="001024B3"/>
    <w:rsid w:val="00102694"/>
    <w:rsid w:val="001057ED"/>
    <w:rsid w:val="001058FF"/>
    <w:rsid w:val="00106EE7"/>
    <w:rsid w:val="00107EF4"/>
    <w:rsid w:val="0011101A"/>
    <w:rsid w:val="00111667"/>
    <w:rsid w:val="00114C27"/>
    <w:rsid w:val="0011633C"/>
    <w:rsid w:val="001171DF"/>
    <w:rsid w:val="00117584"/>
    <w:rsid w:val="0012090E"/>
    <w:rsid w:val="00127A22"/>
    <w:rsid w:val="001319DC"/>
    <w:rsid w:val="00134479"/>
    <w:rsid w:val="00135663"/>
    <w:rsid w:val="00137914"/>
    <w:rsid w:val="0014097D"/>
    <w:rsid w:val="001462FE"/>
    <w:rsid w:val="0015137D"/>
    <w:rsid w:val="00154B47"/>
    <w:rsid w:val="00155734"/>
    <w:rsid w:val="00155CA2"/>
    <w:rsid w:val="00156D3D"/>
    <w:rsid w:val="001612E8"/>
    <w:rsid w:val="001628A0"/>
    <w:rsid w:val="00163CF3"/>
    <w:rsid w:val="00166342"/>
    <w:rsid w:val="00166F50"/>
    <w:rsid w:val="0017104F"/>
    <w:rsid w:val="001717FB"/>
    <w:rsid w:val="00174F36"/>
    <w:rsid w:val="001772A6"/>
    <w:rsid w:val="00177F2D"/>
    <w:rsid w:val="00180C49"/>
    <w:rsid w:val="00182271"/>
    <w:rsid w:val="0018383C"/>
    <w:rsid w:val="00183CC5"/>
    <w:rsid w:val="00185F46"/>
    <w:rsid w:val="00187685"/>
    <w:rsid w:val="00187F99"/>
    <w:rsid w:val="0019150B"/>
    <w:rsid w:val="00191FAF"/>
    <w:rsid w:val="001A3E1A"/>
    <w:rsid w:val="001B368D"/>
    <w:rsid w:val="001B405C"/>
    <w:rsid w:val="001B4C9C"/>
    <w:rsid w:val="001C1061"/>
    <w:rsid w:val="001C20C4"/>
    <w:rsid w:val="001C690D"/>
    <w:rsid w:val="001C6989"/>
    <w:rsid w:val="001D000A"/>
    <w:rsid w:val="001D251A"/>
    <w:rsid w:val="001D41D0"/>
    <w:rsid w:val="001D7D3F"/>
    <w:rsid w:val="001E26FD"/>
    <w:rsid w:val="001E3DA0"/>
    <w:rsid w:val="001E6CBF"/>
    <w:rsid w:val="001F1638"/>
    <w:rsid w:val="001F1719"/>
    <w:rsid w:val="001F29A3"/>
    <w:rsid w:val="00203118"/>
    <w:rsid w:val="00203724"/>
    <w:rsid w:val="0020556F"/>
    <w:rsid w:val="0020760C"/>
    <w:rsid w:val="00212840"/>
    <w:rsid w:val="00213D4F"/>
    <w:rsid w:val="002147E3"/>
    <w:rsid w:val="00214AFA"/>
    <w:rsid w:val="002211F3"/>
    <w:rsid w:val="00222B0E"/>
    <w:rsid w:val="0022359D"/>
    <w:rsid w:val="00223F90"/>
    <w:rsid w:val="002242E2"/>
    <w:rsid w:val="00227CE0"/>
    <w:rsid w:val="00230283"/>
    <w:rsid w:val="00230665"/>
    <w:rsid w:val="00230CC3"/>
    <w:rsid w:val="0023543B"/>
    <w:rsid w:val="00237981"/>
    <w:rsid w:val="00241FE7"/>
    <w:rsid w:val="0024253C"/>
    <w:rsid w:val="00243190"/>
    <w:rsid w:val="00243790"/>
    <w:rsid w:val="00243A7F"/>
    <w:rsid w:val="00245669"/>
    <w:rsid w:val="00246B23"/>
    <w:rsid w:val="00247FBA"/>
    <w:rsid w:val="00250B51"/>
    <w:rsid w:val="00251783"/>
    <w:rsid w:val="0025640B"/>
    <w:rsid w:val="00257EB5"/>
    <w:rsid w:val="00260BB4"/>
    <w:rsid w:val="00263625"/>
    <w:rsid w:val="00263B32"/>
    <w:rsid w:val="00264083"/>
    <w:rsid w:val="00264F59"/>
    <w:rsid w:val="0027045D"/>
    <w:rsid w:val="00272A9B"/>
    <w:rsid w:val="0027446F"/>
    <w:rsid w:val="002750E2"/>
    <w:rsid w:val="00276C23"/>
    <w:rsid w:val="00276C52"/>
    <w:rsid w:val="002820CC"/>
    <w:rsid w:val="00290335"/>
    <w:rsid w:val="0029159F"/>
    <w:rsid w:val="0029445F"/>
    <w:rsid w:val="00295DEE"/>
    <w:rsid w:val="002A0ACC"/>
    <w:rsid w:val="002A27CF"/>
    <w:rsid w:val="002A38D1"/>
    <w:rsid w:val="002A3AF7"/>
    <w:rsid w:val="002A428E"/>
    <w:rsid w:val="002A4DA0"/>
    <w:rsid w:val="002A774C"/>
    <w:rsid w:val="002A7CAF"/>
    <w:rsid w:val="002A7FC0"/>
    <w:rsid w:val="002B1B4A"/>
    <w:rsid w:val="002B3F0C"/>
    <w:rsid w:val="002B54E9"/>
    <w:rsid w:val="002B6579"/>
    <w:rsid w:val="002B6805"/>
    <w:rsid w:val="002C196E"/>
    <w:rsid w:val="002C1D54"/>
    <w:rsid w:val="002C4932"/>
    <w:rsid w:val="002C50BC"/>
    <w:rsid w:val="002D1F41"/>
    <w:rsid w:val="002D4521"/>
    <w:rsid w:val="002D53E5"/>
    <w:rsid w:val="002D5471"/>
    <w:rsid w:val="002D577B"/>
    <w:rsid w:val="002D6DF7"/>
    <w:rsid w:val="002D7977"/>
    <w:rsid w:val="002E5D54"/>
    <w:rsid w:val="002E66D6"/>
    <w:rsid w:val="002E71DA"/>
    <w:rsid w:val="002F018D"/>
    <w:rsid w:val="002F2139"/>
    <w:rsid w:val="002F497A"/>
    <w:rsid w:val="00301815"/>
    <w:rsid w:val="00302A61"/>
    <w:rsid w:val="00311833"/>
    <w:rsid w:val="00311B30"/>
    <w:rsid w:val="00311BFA"/>
    <w:rsid w:val="00314008"/>
    <w:rsid w:val="003144F5"/>
    <w:rsid w:val="003171A7"/>
    <w:rsid w:val="00324DFA"/>
    <w:rsid w:val="00326987"/>
    <w:rsid w:val="003328F2"/>
    <w:rsid w:val="003335C2"/>
    <w:rsid w:val="00333D61"/>
    <w:rsid w:val="003341D9"/>
    <w:rsid w:val="003359BF"/>
    <w:rsid w:val="003420C3"/>
    <w:rsid w:val="00342727"/>
    <w:rsid w:val="00344D92"/>
    <w:rsid w:val="003514C6"/>
    <w:rsid w:val="00353D03"/>
    <w:rsid w:val="00357965"/>
    <w:rsid w:val="0036077F"/>
    <w:rsid w:val="00361DAA"/>
    <w:rsid w:val="00363038"/>
    <w:rsid w:val="003666AA"/>
    <w:rsid w:val="00370B8C"/>
    <w:rsid w:val="0037149C"/>
    <w:rsid w:val="00373C84"/>
    <w:rsid w:val="00375C54"/>
    <w:rsid w:val="00377899"/>
    <w:rsid w:val="003827D2"/>
    <w:rsid w:val="003831B8"/>
    <w:rsid w:val="00386D01"/>
    <w:rsid w:val="00391E69"/>
    <w:rsid w:val="0039652E"/>
    <w:rsid w:val="00397BCD"/>
    <w:rsid w:val="003A1531"/>
    <w:rsid w:val="003A51BA"/>
    <w:rsid w:val="003A6C77"/>
    <w:rsid w:val="003B0DF5"/>
    <w:rsid w:val="003B164E"/>
    <w:rsid w:val="003B3DF8"/>
    <w:rsid w:val="003C15CF"/>
    <w:rsid w:val="003C5B56"/>
    <w:rsid w:val="003C727C"/>
    <w:rsid w:val="003C72F7"/>
    <w:rsid w:val="003C7DDA"/>
    <w:rsid w:val="003D11A4"/>
    <w:rsid w:val="003D285C"/>
    <w:rsid w:val="003D2A55"/>
    <w:rsid w:val="003D4664"/>
    <w:rsid w:val="003D484E"/>
    <w:rsid w:val="003D4C6D"/>
    <w:rsid w:val="003D56C2"/>
    <w:rsid w:val="003E17F1"/>
    <w:rsid w:val="003E2435"/>
    <w:rsid w:val="003E50B5"/>
    <w:rsid w:val="003E55C5"/>
    <w:rsid w:val="003F1191"/>
    <w:rsid w:val="003F17B2"/>
    <w:rsid w:val="003F341A"/>
    <w:rsid w:val="003F355B"/>
    <w:rsid w:val="003F5A56"/>
    <w:rsid w:val="004019D5"/>
    <w:rsid w:val="00402CCC"/>
    <w:rsid w:val="00403CEC"/>
    <w:rsid w:val="00406330"/>
    <w:rsid w:val="00410C6C"/>
    <w:rsid w:val="00413025"/>
    <w:rsid w:val="0042074D"/>
    <w:rsid w:val="00421FFA"/>
    <w:rsid w:val="00422259"/>
    <w:rsid w:val="00422A45"/>
    <w:rsid w:val="004232B1"/>
    <w:rsid w:val="00425BE2"/>
    <w:rsid w:val="00430190"/>
    <w:rsid w:val="00430A2B"/>
    <w:rsid w:val="00432444"/>
    <w:rsid w:val="004353C9"/>
    <w:rsid w:val="004356C0"/>
    <w:rsid w:val="00440992"/>
    <w:rsid w:val="004416DC"/>
    <w:rsid w:val="00444155"/>
    <w:rsid w:val="00444E77"/>
    <w:rsid w:val="004468EB"/>
    <w:rsid w:val="0045094B"/>
    <w:rsid w:val="00451A7C"/>
    <w:rsid w:val="00451E58"/>
    <w:rsid w:val="00452683"/>
    <w:rsid w:val="00452F00"/>
    <w:rsid w:val="00454E65"/>
    <w:rsid w:val="00457998"/>
    <w:rsid w:val="00460944"/>
    <w:rsid w:val="0046230E"/>
    <w:rsid w:val="004705AC"/>
    <w:rsid w:val="0047166A"/>
    <w:rsid w:val="00472CA5"/>
    <w:rsid w:val="00473ACF"/>
    <w:rsid w:val="00473DC2"/>
    <w:rsid w:val="00474870"/>
    <w:rsid w:val="0047675E"/>
    <w:rsid w:val="00476D9C"/>
    <w:rsid w:val="004840F2"/>
    <w:rsid w:val="0048560E"/>
    <w:rsid w:val="00487309"/>
    <w:rsid w:val="0048768D"/>
    <w:rsid w:val="00490CAC"/>
    <w:rsid w:val="004919E5"/>
    <w:rsid w:val="00493DD6"/>
    <w:rsid w:val="00494209"/>
    <w:rsid w:val="00494BD0"/>
    <w:rsid w:val="00495A2C"/>
    <w:rsid w:val="00497089"/>
    <w:rsid w:val="004976E0"/>
    <w:rsid w:val="004A12C6"/>
    <w:rsid w:val="004A1AE5"/>
    <w:rsid w:val="004A23F6"/>
    <w:rsid w:val="004A3BC6"/>
    <w:rsid w:val="004A4A32"/>
    <w:rsid w:val="004A5CD0"/>
    <w:rsid w:val="004A5D3E"/>
    <w:rsid w:val="004A5DCF"/>
    <w:rsid w:val="004A5E33"/>
    <w:rsid w:val="004A6726"/>
    <w:rsid w:val="004A7458"/>
    <w:rsid w:val="004B0C86"/>
    <w:rsid w:val="004B13A3"/>
    <w:rsid w:val="004B3661"/>
    <w:rsid w:val="004B40C6"/>
    <w:rsid w:val="004B40DF"/>
    <w:rsid w:val="004B4197"/>
    <w:rsid w:val="004B57BB"/>
    <w:rsid w:val="004B75A0"/>
    <w:rsid w:val="004C0E0E"/>
    <w:rsid w:val="004C127A"/>
    <w:rsid w:val="004C1F68"/>
    <w:rsid w:val="004C220F"/>
    <w:rsid w:val="004C45D2"/>
    <w:rsid w:val="004C7FF2"/>
    <w:rsid w:val="004D0A8B"/>
    <w:rsid w:val="004D26B0"/>
    <w:rsid w:val="004D2D1D"/>
    <w:rsid w:val="004D4402"/>
    <w:rsid w:val="004D57D0"/>
    <w:rsid w:val="004E0253"/>
    <w:rsid w:val="004E18FB"/>
    <w:rsid w:val="004E2391"/>
    <w:rsid w:val="004E422F"/>
    <w:rsid w:val="004E6878"/>
    <w:rsid w:val="004F0694"/>
    <w:rsid w:val="004F26E6"/>
    <w:rsid w:val="004F3305"/>
    <w:rsid w:val="004F37F1"/>
    <w:rsid w:val="004F519D"/>
    <w:rsid w:val="004F70F5"/>
    <w:rsid w:val="004F7CD3"/>
    <w:rsid w:val="005029DB"/>
    <w:rsid w:val="0050349B"/>
    <w:rsid w:val="00504F2B"/>
    <w:rsid w:val="00513B6E"/>
    <w:rsid w:val="0051582E"/>
    <w:rsid w:val="00516467"/>
    <w:rsid w:val="0052009D"/>
    <w:rsid w:val="00522B16"/>
    <w:rsid w:val="00523BF0"/>
    <w:rsid w:val="0052621F"/>
    <w:rsid w:val="00527BFE"/>
    <w:rsid w:val="0053060A"/>
    <w:rsid w:val="005335B9"/>
    <w:rsid w:val="00534890"/>
    <w:rsid w:val="00535ADC"/>
    <w:rsid w:val="005377DC"/>
    <w:rsid w:val="00540D7C"/>
    <w:rsid w:val="005446B5"/>
    <w:rsid w:val="005478DA"/>
    <w:rsid w:val="00550938"/>
    <w:rsid w:val="00553EF4"/>
    <w:rsid w:val="00554793"/>
    <w:rsid w:val="0055531D"/>
    <w:rsid w:val="0055552E"/>
    <w:rsid w:val="005617FC"/>
    <w:rsid w:val="0056407C"/>
    <w:rsid w:val="00564359"/>
    <w:rsid w:val="00570E26"/>
    <w:rsid w:val="00572689"/>
    <w:rsid w:val="0057326D"/>
    <w:rsid w:val="0057362B"/>
    <w:rsid w:val="0058176C"/>
    <w:rsid w:val="00582257"/>
    <w:rsid w:val="00582461"/>
    <w:rsid w:val="0058338F"/>
    <w:rsid w:val="00586730"/>
    <w:rsid w:val="005870F2"/>
    <w:rsid w:val="005911C2"/>
    <w:rsid w:val="00591862"/>
    <w:rsid w:val="005943C4"/>
    <w:rsid w:val="005948BF"/>
    <w:rsid w:val="005967D6"/>
    <w:rsid w:val="00596825"/>
    <w:rsid w:val="005A17EA"/>
    <w:rsid w:val="005A2124"/>
    <w:rsid w:val="005A25D9"/>
    <w:rsid w:val="005A5E45"/>
    <w:rsid w:val="005A732C"/>
    <w:rsid w:val="005A7A13"/>
    <w:rsid w:val="005B0452"/>
    <w:rsid w:val="005B1879"/>
    <w:rsid w:val="005B2501"/>
    <w:rsid w:val="005B298C"/>
    <w:rsid w:val="005B3E83"/>
    <w:rsid w:val="005B486A"/>
    <w:rsid w:val="005B5BB0"/>
    <w:rsid w:val="005B63CD"/>
    <w:rsid w:val="005B7352"/>
    <w:rsid w:val="005B761A"/>
    <w:rsid w:val="005B78C7"/>
    <w:rsid w:val="005B7FF5"/>
    <w:rsid w:val="005C2511"/>
    <w:rsid w:val="005D12DD"/>
    <w:rsid w:val="005D14FA"/>
    <w:rsid w:val="005D1FA1"/>
    <w:rsid w:val="005D2D43"/>
    <w:rsid w:val="005D3CF4"/>
    <w:rsid w:val="005D4DB0"/>
    <w:rsid w:val="005D56D8"/>
    <w:rsid w:val="005D745B"/>
    <w:rsid w:val="005E0B38"/>
    <w:rsid w:val="005E0F31"/>
    <w:rsid w:val="005E32E8"/>
    <w:rsid w:val="005E5D81"/>
    <w:rsid w:val="005E6586"/>
    <w:rsid w:val="005E6A7F"/>
    <w:rsid w:val="005E7593"/>
    <w:rsid w:val="005F1B92"/>
    <w:rsid w:val="005F52EB"/>
    <w:rsid w:val="006026A4"/>
    <w:rsid w:val="006045DA"/>
    <w:rsid w:val="00605C12"/>
    <w:rsid w:val="0060718D"/>
    <w:rsid w:val="00610F2F"/>
    <w:rsid w:val="0061199E"/>
    <w:rsid w:val="00612417"/>
    <w:rsid w:val="006133B2"/>
    <w:rsid w:val="00613E8B"/>
    <w:rsid w:val="00614319"/>
    <w:rsid w:val="006150EE"/>
    <w:rsid w:val="00615591"/>
    <w:rsid w:val="006156C7"/>
    <w:rsid w:val="00616C1C"/>
    <w:rsid w:val="00620A8B"/>
    <w:rsid w:val="00622479"/>
    <w:rsid w:val="00624467"/>
    <w:rsid w:val="00624AD8"/>
    <w:rsid w:val="006254B7"/>
    <w:rsid w:val="00632751"/>
    <w:rsid w:val="00634F75"/>
    <w:rsid w:val="006377E4"/>
    <w:rsid w:val="006404CE"/>
    <w:rsid w:val="006419B8"/>
    <w:rsid w:val="006437EE"/>
    <w:rsid w:val="0064627E"/>
    <w:rsid w:val="00646AEB"/>
    <w:rsid w:val="00647F88"/>
    <w:rsid w:val="0065507D"/>
    <w:rsid w:val="00656BC4"/>
    <w:rsid w:val="00662567"/>
    <w:rsid w:val="0066431E"/>
    <w:rsid w:val="006668D6"/>
    <w:rsid w:val="00666CA7"/>
    <w:rsid w:val="00673A24"/>
    <w:rsid w:val="006806C4"/>
    <w:rsid w:val="006815D5"/>
    <w:rsid w:val="00681FEC"/>
    <w:rsid w:val="0068276A"/>
    <w:rsid w:val="0068433B"/>
    <w:rsid w:val="00684AC9"/>
    <w:rsid w:val="0068791E"/>
    <w:rsid w:val="00687D0E"/>
    <w:rsid w:val="00690769"/>
    <w:rsid w:val="006925E4"/>
    <w:rsid w:val="00695344"/>
    <w:rsid w:val="006A0CB6"/>
    <w:rsid w:val="006A2705"/>
    <w:rsid w:val="006A2E50"/>
    <w:rsid w:val="006A5EDB"/>
    <w:rsid w:val="006B3D5A"/>
    <w:rsid w:val="006B521A"/>
    <w:rsid w:val="006C1D9C"/>
    <w:rsid w:val="006C3073"/>
    <w:rsid w:val="006C541B"/>
    <w:rsid w:val="006C651E"/>
    <w:rsid w:val="006D0D5B"/>
    <w:rsid w:val="006D7D4E"/>
    <w:rsid w:val="006E0020"/>
    <w:rsid w:val="006E2AC9"/>
    <w:rsid w:val="006E432A"/>
    <w:rsid w:val="006E5B02"/>
    <w:rsid w:val="006F2208"/>
    <w:rsid w:val="006F2532"/>
    <w:rsid w:val="006F3361"/>
    <w:rsid w:val="006F73C4"/>
    <w:rsid w:val="00700C4B"/>
    <w:rsid w:val="0071079C"/>
    <w:rsid w:val="00713F28"/>
    <w:rsid w:val="00714DEC"/>
    <w:rsid w:val="00715229"/>
    <w:rsid w:val="00717580"/>
    <w:rsid w:val="00720BC0"/>
    <w:rsid w:val="00721D73"/>
    <w:rsid w:val="00726596"/>
    <w:rsid w:val="007265B0"/>
    <w:rsid w:val="00726B4F"/>
    <w:rsid w:val="00727D66"/>
    <w:rsid w:val="007312FA"/>
    <w:rsid w:val="00732AD4"/>
    <w:rsid w:val="007353B4"/>
    <w:rsid w:val="00735CF0"/>
    <w:rsid w:val="00735F04"/>
    <w:rsid w:val="007365DA"/>
    <w:rsid w:val="007429A9"/>
    <w:rsid w:val="00745052"/>
    <w:rsid w:val="0075241A"/>
    <w:rsid w:val="007527EA"/>
    <w:rsid w:val="00752DA7"/>
    <w:rsid w:val="007531EB"/>
    <w:rsid w:val="00753C00"/>
    <w:rsid w:val="0075665D"/>
    <w:rsid w:val="00757743"/>
    <w:rsid w:val="00762B7A"/>
    <w:rsid w:val="00763DE3"/>
    <w:rsid w:val="007649DE"/>
    <w:rsid w:val="00766FA7"/>
    <w:rsid w:val="007730C3"/>
    <w:rsid w:val="00773FD7"/>
    <w:rsid w:val="0077449B"/>
    <w:rsid w:val="0077647D"/>
    <w:rsid w:val="00780A31"/>
    <w:rsid w:val="007824B3"/>
    <w:rsid w:val="007829CC"/>
    <w:rsid w:val="00782B00"/>
    <w:rsid w:val="007900E2"/>
    <w:rsid w:val="00791FE8"/>
    <w:rsid w:val="00793DCC"/>
    <w:rsid w:val="007969FD"/>
    <w:rsid w:val="00796FA4"/>
    <w:rsid w:val="00797C92"/>
    <w:rsid w:val="007A132D"/>
    <w:rsid w:val="007A174C"/>
    <w:rsid w:val="007A20F2"/>
    <w:rsid w:val="007A31A8"/>
    <w:rsid w:val="007A36AE"/>
    <w:rsid w:val="007A3A99"/>
    <w:rsid w:val="007A60AF"/>
    <w:rsid w:val="007B274C"/>
    <w:rsid w:val="007B476F"/>
    <w:rsid w:val="007B6F28"/>
    <w:rsid w:val="007B7408"/>
    <w:rsid w:val="007C19EB"/>
    <w:rsid w:val="007C1F54"/>
    <w:rsid w:val="007C339D"/>
    <w:rsid w:val="007C38DC"/>
    <w:rsid w:val="007C4015"/>
    <w:rsid w:val="007D0FDC"/>
    <w:rsid w:val="007D166F"/>
    <w:rsid w:val="007D3021"/>
    <w:rsid w:val="007D44E2"/>
    <w:rsid w:val="007D56B5"/>
    <w:rsid w:val="007E048E"/>
    <w:rsid w:val="007E37AF"/>
    <w:rsid w:val="007E40C0"/>
    <w:rsid w:val="007E63D5"/>
    <w:rsid w:val="007E6EA0"/>
    <w:rsid w:val="007E75D5"/>
    <w:rsid w:val="007E7FDB"/>
    <w:rsid w:val="00804051"/>
    <w:rsid w:val="00807AFA"/>
    <w:rsid w:val="00810F09"/>
    <w:rsid w:val="00813E1D"/>
    <w:rsid w:val="00813F0C"/>
    <w:rsid w:val="00815DCB"/>
    <w:rsid w:val="0082190B"/>
    <w:rsid w:val="00824548"/>
    <w:rsid w:val="00826197"/>
    <w:rsid w:val="00826776"/>
    <w:rsid w:val="008269C9"/>
    <w:rsid w:val="00827584"/>
    <w:rsid w:val="008278D8"/>
    <w:rsid w:val="00827CAE"/>
    <w:rsid w:val="00831BDB"/>
    <w:rsid w:val="00833264"/>
    <w:rsid w:val="00833C97"/>
    <w:rsid w:val="00833CD4"/>
    <w:rsid w:val="00834036"/>
    <w:rsid w:val="00835E5C"/>
    <w:rsid w:val="008373DC"/>
    <w:rsid w:val="0084017A"/>
    <w:rsid w:val="008412D7"/>
    <w:rsid w:val="00844463"/>
    <w:rsid w:val="00845DA1"/>
    <w:rsid w:val="008468F7"/>
    <w:rsid w:val="00847E19"/>
    <w:rsid w:val="0085018B"/>
    <w:rsid w:val="00850C57"/>
    <w:rsid w:val="008538FA"/>
    <w:rsid w:val="008540CE"/>
    <w:rsid w:val="00855B95"/>
    <w:rsid w:val="00856B42"/>
    <w:rsid w:val="00856C17"/>
    <w:rsid w:val="00860BE6"/>
    <w:rsid w:val="00861B15"/>
    <w:rsid w:val="00863EE5"/>
    <w:rsid w:val="00866A0A"/>
    <w:rsid w:val="00866B41"/>
    <w:rsid w:val="00871CC1"/>
    <w:rsid w:val="00871E71"/>
    <w:rsid w:val="00872371"/>
    <w:rsid w:val="008739B0"/>
    <w:rsid w:val="00874ACE"/>
    <w:rsid w:val="00874C08"/>
    <w:rsid w:val="0087521C"/>
    <w:rsid w:val="00875551"/>
    <w:rsid w:val="00881E58"/>
    <w:rsid w:val="0088518E"/>
    <w:rsid w:val="00890DA4"/>
    <w:rsid w:val="00892F9B"/>
    <w:rsid w:val="00894F71"/>
    <w:rsid w:val="00897C65"/>
    <w:rsid w:val="008A0E3D"/>
    <w:rsid w:val="008A11A8"/>
    <w:rsid w:val="008A17AF"/>
    <w:rsid w:val="008A2D15"/>
    <w:rsid w:val="008A2D8B"/>
    <w:rsid w:val="008A315B"/>
    <w:rsid w:val="008A440E"/>
    <w:rsid w:val="008B0022"/>
    <w:rsid w:val="008B0080"/>
    <w:rsid w:val="008B1A62"/>
    <w:rsid w:val="008B1B9F"/>
    <w:rsid w:val="008B4ADE"/>
    <w:rsid w:val="008B7D4C"/>
    <w:rsid w:val="008C24CD"/>
    <w:rsid w:val="008C6C47"/>
    <w:rsid w:val="008D0968"/>
    <w:rsid w:val="008D4492"/>
    <w:rsid w:val="008D561A"/>
    <w:rsid w:val="008E08B8"/>
    <w:rsid w:val="008E33EA"/>
    <w:rsid w:val="008E5372"/>
    <w:rsid w:val="008E57F6"/>
    <w:rsid w:val="00901F9A"/>
    <w:rsid w:val="009041F6"/>
    <w:rsid w:val="00904C16"/>
    <w:rsid w:val="00905760"/>
    <w:rsid w:val="009076C8"/>
    <w:rsid w:val="009118AD"/>
    <w:rsid w:val="00912FB6"/>
    <w:rsid w:val="00913CA0"/>
    <w:rsid w:val="009149E2"/>
    <w:rsid w:val="00914D28"/>
    <w:rsid w:val="0091605D"/>
    <w:rsid w:val="00916DA2"/>
    <w:rsid w:val="00921853"/>
    <w:rsid w:val="009236A6"/>
    <w:rsid w:val="00924A98"/>
    <w:rsid w:val="00925243"/>
    <w:rsid w:val="009300ED"/>
    <w:rsid w:val="009331AB"/>
    <w:rsid w:val="0093334E"/>
    <w:rsid w:val="0093408A"/>
    <w:rsid w:val="0093441E"/>
    <w:rsid w:val="00935C00"/>
    <w:rsid w:val="00936B8E"/>
    <w:rsid w:val="00942643"/>
    <w:rsid w:val="0094302E"/>
    <w:rsid w:val="00944468"/>
    <w:rsid w:val="00944632"/>
    <w:rsid w:val="0094605A"/>
    <w:rsid w:val="00946609"/>
    <w:rsid w:val="00946B83"/>
    <w:rsid w:val="00946D00"/>
    <w:rsid w:val="0095003A"/>
    <w:rsid w:val="0095125C"/>
    <w:rsid w:val="00952FC9"/>
    <w:rsid w:val="009558F1"/>
    <w:rsid w:val="0095708D"/>
    <w:rsid w:val="009574A0"/>
    <w:rsid w:val="0096233A"/>
    <w:rsid w:val="00962A09"/>
    <w:rsid w:val="00962DE5"/>
    <w:rsid w:val="009640C0"/>
    <w:rsid w:val="00965738"/>
    <w:rsid w:val="00966D10"/>
    <w:rsid w:val="009703C1"/>
    <w:rsid w:val="00974193"/>
    <w:rsid w:val="00980B66"/>
    <w:rsid w:val="00982276"/>
    <w:rsid w:val="0098550D"/>
    <w:rsid w:val="0098656B"/>
    <w:rsid w:val="00987BC8"/>
    <w:rsid w:val="00990B3F"/>
    <w:rsid w:val="00990D37"/>
    <w:rsid w:val="0099216F"/>
    <w:rsid w:val="009954A7"/>
    <w:rsid w:val="00996144"/>
    <w:rsid w:val="009A0197"/>
    <w:rsid w:val="009A1882"/>
    <w:rsid w:val="009A1A89"/>
    <w:rsid w:val="009A2CEE"/>
    <w:rsid w:val="009A726F"/>
    <w:rsid w:val="009B015A"/>
    <w:rsid w:val="009B103B"/>
    <w:rsid w:val="009B246D"/>
    <w:rsid w:val="009B4622"/>
    <w:rsid w:val="009B4AC6"/>
    <w:rsid w:val="009B7A76"/>
    <w:rsid w:val="009B7E3F"/>
    <w:rsid w:val="009C07F8"/>
    <w:rsid w:val="009C471A"/>
    <w:rsid w:val="009C7123"/>
    <w:rsid w:val="009D760E"/>
    <w:rsid w:val="009E24D3"/>
    <w:rsid w:val="009E2A7B"/>
    <w:rsid w:val="009E3743"/>
    <w:rsid w:val="009E3BEB"/>
    <w:rsid w:val="009E3D00"/>
    <w:rsid w:val="009E7963"/>
    <w:rsid w:val="009F539A"/>
    <w:rsid w:val="009F6095"/>
    <w:rsid w:val="009F698A"/>
    <w:rsid w:val="00A01029"/>
    <w:rsid w:val="00A0265B"/>
    <w:rsid w:val="00A02981"/>
    <w:rsid w:val="00A04E07"/>
    <w:rsid w:val="00A05DC3"/>
    <w:rsid w:val="00A0608D"/>
    <w:rsid w:val="00A0646A"/>
    <w:rsid w:val="00A103BD"/>
    <w:rsid w:val="00A10446"/>
    <w:rsid w:val="00A117B3"/>
    <w:rsid w:val="00A13B92"/>
    <w:rsid w:val="00A15DB3"/>
    <w:rsid w:val="00A22AB6"/>
    <w:rsid w:val="00A23A58"/>
    <w:rsid w:val="00A23E84"/>
    <w:rsid w:val="00A2428F"/>
    <w:rsid w:val="00A257D2"/>
    <w:rsid w:val="00A25E59"/>
    <w:rsid w:val="00A2769E"/>
    <w:rsid w:val="00A30593"/>
    <w:rsid w:val="00A3232E"/>
    <w:rsid w:val="00A3466C"/>
    <w:rsid w:val="00A36C35"/>
    <w:rsid w:val="00A40643"/>
    <w:rsid w:val="00A41214"/>
    <w:rsid w:val="00A443B8"/>
    <w:rsid w:val="00A46FBC"/>
    <w:rsid w:val="00A512BB"/>
    <w:rsid w:val="00A51D1A"/>
    <w:rsid w:val="00A54BEA"/>
    <w:rsid w:val="00A633F4"/>
    <w:rsid w:val="00A666F5"/>
    <w:rsid w:val="00A71835"/>
    <w:rsid w:val="00A739B1"/>
    <w:rsid w:val="00A739CC"/>
    <w:rsid w:val="00A76D02"/>
    <w:rsid w:val="00A81DD7"/>
    <w:rsid w:val="00A836BB"/>
    <w:rsid w:val="00A846C1"/>
    <w:rsid w:val="00A868DC"/>
    <w:rsid w:val="00A86DD6"/>
    <w:rsid w:val="00A8796B"/>
    <w:rsid w:val="00A903CB"/>
    <w:rsid w:val="00A905F4"/>
    <w:rsid w:val="00A90603"/>
    <w:rsid w:val="00A92C86"/>
    <w:rsid w:val="00A9307E"/>
    <w:rsid w:val="00A93588"/>
    <w:rsid w:val="00A93C0B"/>
    <w:rsid w:val="00A94D3C"/>
    <w:rsid w:val="00A9578B"/>
    <w:rsid w:val="00A95CEC"/>
    <w:rsid w:val="00A95F10"/>
    <w:rsid w:val="00A978AD"/>
    <w:rsid w:val="00AA0E38"/>
    <w:rsid w:val="00AA21FA"/>
    <w:rsid w:val="00AA23C0"/>
    <w:rsid w:val="00AA36D6"/>
    <w:rsid w:val="00AA509B"/>
    <w:rsid w:val="00AB2186"/>
    <w:rsid w:val="00AB4A0A"/>
    <w:rsid w:val="00AB53D7"/>
    <w:rsid w:val="00AC0CB9"/>
    <w:rsid w:val="00AC2AE5"/>
    <w:rsid w:val="00AC2D8D"/>
    <w:rsid w:val="00AC3657"/>
    <w:rsid w:val="00AC790B"/>
    <w:rsid w:val="00AC7FD7"/>
    <w:rsid w:val="00AD010B"/>
    <w:rsid w:val="00AD109D"/>
    <w:rsid w:val="00AD143E"/>
    <w:rsid w:val="00AD2E58"/>
    <w:rsid w:val="00AD3576"/>
    <w:rsid w:val="00AD7593"/>
    <w:rsid w:val="00AE3063"/>
    <w:rsid w:val="00AE4769"/>
    <w:rsid w:val="00AF6CD7"/>
    <w:rsid w:val="00AF7CCE"/>
    <w:rsid w:val="00B00018"/>
    <w:rsid w:val="00B036C6"/>
    <w:rsid w:val="00B0457B"/>
    <w:rsid w:val="00B1431F"/>
    <w:rsid w:val="00B14563"/>
    <w:rsid w:val="00B14F9C"/>
    <w:rsid w:val="00B15F53"/>
    <w:rsid w:val="00B1750A"/>
    <w:rsid w:val="00B206E9"/>
    <w:rsid w:val="00B214E5"/>
    <w:rsid w:val="00B21DE3"/>
    <w:rsid w:val="00B23095"/>
    <w:rsid w:val="00B24467"/>
    <w:rsid w:val="00B2497D"/>
    <w:rsid w:val="00B27449"/>
    <w:rsid w:val="00B27B7C"/>
    <w:rsid w:val="00B30D9D"/>
    <w:rsid w:val="00B31AEE"/>
    <w:rsid w:val="00B320B4"/>
    <w:rsid w:val="00B32963"/>
    <w:rsid w:val="00B32E09"/>
    <w:rsid w:val="00B33EE7"/>
    <w:rsid w:val="00B36F2B"/>
    <w:rsid w:val="00B37D3F"/>
    <w:rsid w:val="00B42767"/>
    <w:rsid w:val="00B432DA"/>
    <w:rsid w:val="00B46B03"/>
    <w:rsid w:val="00B46FA3"/>
    <w:rsid w:val="00B4785B"/>
    <w:rsid w:val="00B51AF1"/>
    <w:rsid w:val="00B53803"/>
    <w:rsid w:val="00B61678"/>
    <w:rsid w:val="00B66E7A"/>
    <w:rsid w:val="00B760BC"/>
    <w:rsid w:val="00B76825"/>
    <w:rsid w:val="00B76E3D"/>
    <w:rsid w:val="00B80033"/>
    <w:rsid w:val="00B8334A"/>
    <w:rsid w:val="00B91647"/>
    <w:rsid w:val="00BA04FD"/>
    <w:rsid w:val="00BA150E"/>
    <w:rsid w:val="00BA2C1A"/>
    <w:rsid w:val="00BA48A8"/>
    <w:rsid w:val="00BA519A"/>
    <w:rsid w:val="00BA6DB9"/>
    <w:rsid w:val="00BB345D"/>
    <w:rsid w:val="00BB448E"/>
    <w:rsid w:val="00BB6B78"/>
    <w:rsid w:val="00BC37C8"/>
    <w:rsid w:val="00BC3A23"/>
    <w:rsid w:val="00BC40ED"/>
    <w:rsid w:val="00BC68EC"/>
    <w:rsid w:val="00BC71A1"/>
    <w:rsid w:val="00BD1025"/>
    <w:rsid w:val="00BD1993"/>
    <w:rsid w:val="00BD20A0"/>
    <w:rsid w:val="00BD2CF9"/>
    <w:rsid w:val="00BD6844"/>
    <w:rsid w:val="00BE42C2"/>
    <w:rsid w:val="00BE4E48"/>
    <w:rsid w:val="00BE554D"/>
    <w:rsid w:val="00BF169E"/>
    <w:rsid w:val="00BF260B"/>
    <w:rsid w:val="00BF2D0A"/>
    <w:rsid w:val="00BF3A46"/>
    <w:rsid w:val="00BF6B31"/>
    <w:rsid w:val="00C006C5"/>
    <w:rsid w:val="00C016A9"/>
    <w:rsid w:val="00C03DA5"/>
    <w:rsid w:val="00C04B54"/>
    <w:rsid w:val="00C04FD9"/>
    <w:rsid w:val="00C06A04"/>
    <w:rsid w:val="00C10106"/>
    <w:rsid w:val="00C138A3"/>
    <w:rsid w:val="00C146E8"/>
    <w:rsid w:val="00C1493C"/>
    <w:rsid w:val="00C216CF"/>
    <w:rsid w:val="00C22822"/>
    <w:rsid w:val="00C26E0D"/>
    <w:rsid w:val="00C26FC1"/>
    <w:rsid w:val="00C31153"/>
    <w:rsid w:val="00C311E9"/>
    <w:rsid w:val="00C314C7"/>
    <w:rsid w:val="00C31B08"/>
    <w:rsid w:val="00C3581C"/>
    <w:rsid w:val="00C35A36"/>
    <w:rsid w:val="00C36048"/>
    <w:rsid w:val="00C4053B"/>
    <w:rsid w:val="00C429B3"/>
    <w:rsid w:val="00C4403C"/>
    <w:rsid w:val="00C44AF1"/>
    <w:rsid w:val="00C46B91"/>
    <w:rsid w:val="00C46F3E"/>
    <w:rsid w:val="00C51803"/>
    <w:rsid w:val="00C522CE"/>
    <w:rsid w:val="00C54EE5"/>
    <w:rsid w:val="00C63F5E"/>
    <w:rsid w:val="00C6733E"/>
    <w:rsid w:val="00C738A3"/>
    <w:rsid w:val="00C77107"/>
    <w:rsid w:val="00C7712B"/>
    <w:rsid w:val="00C8022A"/>
    <w:rsid w:val="00C83D4F"/>
    <w:rsid w:val="00C85534"/>
    <w:rsid w:val="00C87B8D"/>
    <w:rsid w:val="00C9247A"/>
    <w:rsid w:val="00C96DDA"/>
    <w:rsid w:val="00C97475"/>
    <w:rsid w:val="00CA2518"/>
    <w:rsid w:val="00CA3330"/>
    <w:rsid w:val="00CA5705"/>
    <w:rsid w:val="00CA774B"/>
    <w:rsid w:val="00CB0C0A"/>
    <w:rsid w:val="00CB1BFD"/>
    <w:rsid w:val="00CC034B"/>
    <w:rsid w:val="00CC1867"/>
    <w:rsid w:val="00CC5028"/>
    <w:rsid w:val="00CC50BB"/>
    <w:rsid w:val="00CC6E28"/>
    <w:rsid w:val="00CC73B2"/>
    <w:rsid w:val="00CC7710"/>
    <w:rsid w:val="00CC7FA7"/>
    <w:rsid w:val="00CD0370"/>
    <w:rsid w:val="00CD1E92"/>
    <w:rsid w:val="00CD28FC"/>
    <w:rsid w:val="00CE06B5"/>
    <w:rsid w:val="00CE0B4B"/>
    <w:rsid w:val="00CE11B6"/>
    <w:rsid w:val="00CE161E"/>
    <w:rsid w:val="00CE2614"/>
    <w:rsid w:val="00CE273B"/>
    <w:rsid w:val="00CE4BFA"/>
    <w:rsid w:val="00CF33FF"/>
    <w:rsid w:val="00CF4C14"/>
    <w:rsid w:val="00D0000F"/>
    <w:rsid w:val="00D00223"/>
    <w:rsid w:val="00D02199"/>
    <w:rsid w:val="00D06006"/>
    <w:rsid w:val="00D079C3"/>
    <w:rsid w:val="00D105D0"/>
    <w:rsid w:val="00D1410E"/>
    <w:rsid w:val="00D142C2"/>
    <w:rsid w:val="00D15147"/>
    <w:rsid w:val="00D20569"/>
    <w:rsid w:val="00D2078D"/>
    <w:rsid w:val="00D20941"/>
    <w:rsid w:val="00D21424"/>
    <w:rsid w:val="00D22C88"/>
    <w:rsid w:val="00D24B89"/>
    <w:rsid w:val="00D2787C"/>
    <w:rsid w:val="00D27E51"/>
    <w:rsid w:val="00D323D0"/>
    <w:rsid w:val="00D37082"/>
    <w:rsid w:val="00D40B7C"/>
    <w:rsid w:val="00D40D70"/>
    <w:rsid w:val="00D41D24"/>
    <w:rsid w:val="00D43DB7"/>
    <w:rsid w:val="00D45ABE"/>
    <w:rsid w:val="00D45F64"/>
    <w:rsid w:val="00D46184"/>
    <w:rsid w:val="00D466DF"/>
    <w:rsid w:val="00D5090C"/>
    <w:rsid w:val="00D51932"/>
    <w:rsid w:val="00D52D5C"/>
    <w:rsid w:val="00D5380F"/>
    <w:rsid w:val="00D541F2"/>
    <w:rsid w:val="00D568AB"/>
    <w:rsid w:val="00D56E77"/>
    <w:rsid w:val="00D57304"/>
    <w:rsid w:val="00D61B08"/>
    <w:rsid w:val="00D63737"/>
    <w:rsid w:val="00D63AA9"/>
    <w:rsid w:val="00D63DE6"/>
    <w:rsid w:val="00D644BE"/>
    <w:rsid w:val="00D663E0"/>
    <w:rsid w:val="00D66800"/>
    <w:rsid w:val="00D7446B"/>
    <w:rsid w:val="00D744AF"/>
    <w:rsid w:val="00D75740"/>
    <w:rsid w:val="00D75B82"/>
    <w:rsid w:val="00D77A63"/>
    <w:rsid w:val="00D8235A"/>
    <w:rsid w:val="00D8403E"/>
    <w:rsid w:val="00D843B7"/>
    <w:rsid w:val="00D8781B"/>
    <w:rsid w:val="00D8791D"/>
    <w:rsid w:val="00D87F75"/>
    <w:rsid w:val="00D90095"/>
    <w:rsid w:val="00D905AC"/>
    <w:rsid w:val="00D9615B"/>
    <w:rsid w:val="00DA00ED"/>
    <w:rsid w:val="00DA0280"/>
    <w:rsid w:val="00DA4548"/>
    <w:rsid w:val="00DA48E3"/>
    <w:rsid w:val="00DA49CF"/>
    <w:rsid w:val="00DA5655"/>
    <w:rsid w:val="00DA61C4"/>
    <w:rsid w:val="00DA7C49"/>
    <w:rsid w:val="00DB2473"/>
    <w:rsid w:val="00DB381E"/>
    <w:rsid w:val="00DB440F"/>
    <w:rsid w:val="00DB44E6"/>
    <w:rsid w:val="00DB492C"/>
    <w:rsid w:val="00DB4BE4"/>
    <w:rsid w:val="00DB7DD7"/>
    <w:rsid w:val="00DC1332"/>
    <w:rsid w:val="00DC210C"/>
    <w:rsid w:val="00DC2269"/>
    <w:rsid w:val="00DC3AF9"/>
    <w:rsid w:val="00DC3C83"/>
    <w:rsid w:val="00DC5FA7"/>
    <w:rsid w:val="00DD1B7A"/>
    <w:rsid w:val="00DD212C"/>
    <w:rsid w:val="00DD690D"/>
    <w:rsid w:val="00DE35A0"/>
    <w:rsid w:val="00DE4077"/>
    <w:rsid w:val="00DE56F1"/>
    <w:rsid w:val="00DE5E7B"/>
    <w:rsid w:val="00DE6139"/>
    <w:rsid w:val="00DE6E6E"/>
    <w:rsid w:val="00DE7A00"/>
    <w:rsid w:val="00DF5243"/>
    <w:rsid w:val="00DF771B"/>
    <w:rsid w:val="00E01C47"/>
    <w:rsid w:val="00E02D44"/>
    <w:rsid w:val="00E03214"/>
    <w:rsid w:val="00E040C8"/>
    <w:rsid w:val="00E0509E"/>
    <w:rsid w:val="00E05B5B"/>
    <w:rsid w:val="00E06D50"/>
    <w:rsid w:val="00E12672"/>
    <w:rsid w:val="00E135CD"/>
    <w:rsid w:val="00E1473B"/>
    <w:rsid w:val="00E17561"/>
    <w:rsid w:val="00E23EF9"/>
    <w:rsid w:val="00E26A8F"/>
    <w:rsid w:val="00E27B20"/>
    <w:rsid w:val="00E30494"/>
    <w:rsid w:val="00E31392"/>
    <w:rsid w:val="00E34895"/>
    <w:rsid w:val="00E34BF2"/>
    <w:rsid w:val="00E430B9"/>
    <w:rsid w:val="00E43F57"/>
    <w:rsid w:val="00E47059"/>
    <w:rsid w:val="00E53027"/>
    <w:rsid w:val="00E53270"/>
    <w:rsid w:val="00E532AA"/>
    <w:rsid w:val="00E5429B"/>
    <w:rsid w:val="00E542DF"/>
    <w:rsid w:val="00E5545C"/>
    <w:rsid w:val="00E574CF"/>
    <w:rsid w:val="00E60911"/>
    <w:rsid w:val="00E61102"/>
    <w:rsid w:val="00E61128"/>
    <w:rsid w:val="00E658DE"/>
    <w:rsid w:val="00E6592A"/>
    <w:rsid w:val="00E67178"/>
    <w:rsid w:val="00E67616"/>
    <w:rsid w:val="00E711E7"/>
    <w:rsid w:val="00E7402A"/>
    <w:rsid w:val="00E816FC"/>
    <w:rsid w:val="00E83317"/>
    <w:rsid w:val="00E83C58"/>
    <w:rsid w:val="00E84620"/>
    <w:rsid w:val="00E85B06"/>
    <w:rsid w:val="00E86290"/>
    <w:rsid w:val="00E87061"/>
    <w:rsid w:val="00E91BDB"/>
    <w:rsid w:val="00E93746"/>
    <w:rsid w:val="00E97C2C"/>
    <w:rsid w:val="00EA4B32"/>
    <w:rsid w:val="00EA5E35"/>
    <w:rsid w:val="00EB771B"/>
    <w:rsid w:val="00ED4E54"/>
    <w:rsid w:val="00ED66C2"/>
    <w:rsid w:val="00ED7E9B"/>
    <w:rsid w:val="00EE06B5"/>
    <w:rsid w:val="00EE0D6C"/>
    <w:rsid w:val="00EE1D16"/>
    <w:rsid w:val="00EE3668"/>
    <w:rsid w:val="00EE5061"/>
    <w:rsid w:val="00EE6702"/>
    <w:rsid w:val="00EF1D1E"/>
    <w:rsid w:val="00EF2215"/>
    <w:rsid w:val="00EF37D0"/>
    <w:rsid w:val="00EF3A97"/>
    <w:rsid w:val="00EF3BC7"/>
    <w:rsid w:val="00EF5A93"/>
    <w:rsid w:val="00EF5F9B"/>
    <w:rsid w:val="00F020E0"/>
    <w:rsid w:val="00F058DB"/>
    <w:rsid w:val="00F0627C"/>
    <w:rsid w:val="00F074A5"/>
    <w:rsid w:val="00F104C2"/>
    <w:rsid w:val="00F12F44"/>
    <w:rsid w:val="00F14960"/>
    <w:rsid w:val="00F14E93"/>
    <w:rsid w:val="00F159B5"/>
    <w:rsid w:val="00F17FA1"/>
    <w:rsid w:val="00F22B65"/>
    <w:rsid w:val="00F2385B"/>
    <w:rsid w:val="00F24120"/>
    <w:rsid w:val="00F24842"/>
    <w:rsid w:val="00F25574"/>
    <w:rsid w:val="00F276FB"/>
    <w:rsid w:val="00F32E1B"/>
    <w:rsid w:val="00F37A6C"/>
    <w:rsid w:val="00F37C67"/>
    <w:rsid w:val="00F413DD"/>
    <w:rsid w:val="00F463E4"/>
    <w:rsid w:val="00F47099"/>
    <w:rsid w:val="00F47C9F"/>
    <w:rsid w:val="00F50453"/>
    <w:rsid w:val="00F50A55"/>
    <w:rsid w:val="00F53CE8"/>
    <w:rsid w:val="00F550D5"/>
    <w:rsid w:val="00F575B2"/>
    <w:rsid w:val="00F57841"/>
    <w:rsid w:val="00F618FE"/>
    <w:rsid w:val="00F64DE8"/>
    <w:rsid w:val="00F70D4E"/>
    <w:rsid w:val="00F75973"/>
    <w:rsid w:val="00F77344"/>
    <w:rsid w:val="00F804B8"/>
    <w:rsid w:val="00F807CA"/>
    <w:rsid w:val="00F8095C"/>
    <w:rsid w:val="00F80FCE"/>
    <w:rsid w:val="00F8285F"/>
    <w:rsid w:val="00F8332A"/>
    <w:rsid w:val="00F83F84"/>
    <w:rsid w:val="00F844DC"/>
    <w:rsid w:val="00F90677"/>
    <w:rsid w:val="00F90BAE"/>
    <w:rsid w:val="00F90D44"/>
    <w:rsid w:val="00F91AA9"/>
    <w:rsid w:val="00F9253C"/>
    <w:rsid w:val="00F93030"/>
    <w:rsid w:val="00F93778"/>
    <w:rsid w:val="00F93E3C"/>
    <w:rsid w:val="00F946E4"/>
    <w:rsid w:val="00F976EF"/>
    <w:rsid w:val="00FA0704"/>
    <w:rsid w:val="00FA18C7"/>
    <w:rsid w:val="00FA1F1A"/>
    <w:rsid w:val="00FA25EB"/>
    <w:rsid w:val="00FA2AC6"/>
    <w:rsid w:val="00FA2CBF"/>
    <w:rsid w:val="00FA448F"/>
    <w:rsid w:val="00FA49C1"/>
    <w:rsid w:val="00FA58E9"/>
    <w:rsid w:val="00FB2781"/>
    <w:rsid w:val="00FB4603"/>
    <w:rsid w:val="00FC274C"/>
    <w:rsid w:val="00FC4E4A"/>
    <w:rsid w:val="00FC4ECC"/>
    <w:rsid w:val="00FC7A27"/>
    <w:rsid w:val="00FD3694"/>
    <w:rsid w:val="00FD45BF"/>
    <w:rsid w:val="00FD7571"/>
    <w:rsid w:val="00FE2D3C"/>
    <w:rsid w:val="00FE41F0"/>
    <w:rsid w:val="00FE716E"/>
    <w:rsid w:val="00FE793A"/>
    <w:rsid w:val="00FE7ADB"/>
    <w:rsid w:val="00FE7CF8"/>
    <w:rsid w:val="00FF3211"/>
    <w:rsid w:val="00FF509C"/>
    <w:rsid w:val="0171F973"/>
    <w:rsid w:val="0297D3A8"/>
    <w:rsid w:val="02D60DD0"/>
    <w:rsid w:val="02E0F9DE"/>
    <w:rsid w:val="03DD2DB0"/>
    <w:rsid w:val="03E9DD8F"/>
    <w:rsid w:val="04C9DD5D"/>
    <w:rsid w:val="04D5D64F"/>
    <w:rsid w:val="0615C31A"/>
    <w:rsid w:val="06945E89"/>
    <w:rsid w:val="0778958B"/>
    <w:rsid w:val="0797EF82"/>
    <w:rsid w:val="0848B4F6"/>
    <w:rsid w:val="08721682"/>
    <w:rsid w:val="089563C2"/>
    <w:rsid w:val="0A757AD5"/>
    <w:rsid w:val="0B603BB5"/>
    <w:rsid w:val="0BACE3F8"/>
    <w:rsid w:val="0BB98F00"/>
    <w:rsid w:val="0BDE8332"/>
    <w:rsid w:val="0CBD3986"/>
    <w:rsid w:val="0CDB64BE"/>
    <w:rsid w:val="0DB98BC7"/>
    <w:rsid w:val="0DCBDA26"/>
    <w:rsid w:val="0E19F739"/>
    <w:rsid w:val="0E1D29FB"/>
    <w:rsid w:val="0F7144E5"/>
    <w:rsid w:val="10483D5C"/>
    <w:rsid w:val="106DBF51"/>
    <w:rsid w:val="10E485EF"/>
    <w:rsid w:val="122AD458"/>
    <w:rsid w:val="129ADB62"/>
    <w:rsid w:val="13357FB9"/>
    <w:rsid w:val="1386C4FD"/>
    <w:rsid w:val="13C412AA"/>
    <w:rsid w:val="141FD72D"/>
    <w:rsid w:val="14425F0B"/>
    <w:rsid w:val="14F6E23C"/>
    <w:rsid w:val="15035D6A"/>
    <w:rsid w:val="1521F296"/>
    <w:rsid w:val="15EB770D"/>
    <w:rsid w:val="1641B656"/>
    <w:rsid w:val="16A019A9"/>
    <w:rsid w:val="170A12C0"/>
    <w:rsid w:val="17E16030"/>
    <w:rsid w:val="18264A12"/>
    <w:rsid w:val="185ABCEC"/>
    <w:rsid w:val="187DAE91"/>
    <w:rsid w:val="18C631DA"/>
    <w:rsid w:val="18F009E5"/>
    <w:rsid w:val="1A5DF0E2"/>
    <w:rsid w:val="1B495A79"/>
    <w:rsid w:val="1C87D95B"/>
    <w:rsid w:val="1D140E31"/>
    <w:rsid w:val="1D295B4C"/>
    <w:rsid w:val="1D4A1888"/>
    <w:rsid w:val="1D5055F9"/>
    <w:rsid w:val="1E7838EE"/>
    <w:rsid w:val="1F3F4943"/>
    <w:rsid w:val="1F5E215C"/>
    <w:rsid w:val="1F9BC49A"/>
    <w:rsid w:val="2234F8B0"/>
    <w:rsid w:val="22D1C9DF"/>
    <w:rsid w:val="22DB039F"/>
    <w:rsid w:val="23755900"/>
    <w:rsid w:val="248E404A"/>
    <w:rsid w:val="249D68E7"/>
    <w:rsid w:val="24D80B48"/>
    <w:rsid w:val="24E75CD7"/>
    <w:rsid w:val="25BA2B1B"/>
    <w:rsid w:val="26DF1129"/>
    <w:rsid w:val="2724F620"/>
    <w:rsid w:val="281B01F2"/>
    <w:rsid w:val="2844DDBF"/>
    <w:rsid w:val="2850F6D0"/>
    <w:rsid w:val="28A3B921"/>
    <w:rsid w:val="2967EEE4"/>
    <w:rsid w:val="296CCD89"/>
    <w:rsid w:val="299F55E1"/>
    <w:rsid w:val="29C78E4E"/>
    <w:rsid w:val="2A849B3D"/>
    <w:rsid w:val="2B44D5AA"/>
    <w:rsid w:val="2C215912"/>
    <w:rsid w:val="2CBCF92E"/>
    <w:rsid w:val="2CF58C17"/>
    <w:rsid w:val="2FCEC704"/>
    <w:rsid w:val="2FE5C8D6"/>
    <w:rsid w:val="30FC5EA4"/>
    <w:rsid w:val="315F5E8C"/>
    <w:rsid w:val="32337146"/>
    <w:rsid w:val="332EAE03"/>
    <w:rsid w:val="35195059"/>
    <w:rsid w:val="351A0C21"/>
    <w:rsid w:val="354AF25E"/>
    <w:rsid w:val="35690137"/>
    <w:rsid w:val="363D41C6"/>
    <w:rsid w:val="3661785C"/>
    <w:rsid w:val="3720C668"/>
    <w:rsid w:val="37942530"/>
    <w:rsid w:val="386C2F1C"/>
    <w:rsid w:val="3AC7DBBF"/>
    <w:rsid w:val="3BA6BB08"/>
    <w:rsid w:val="3BF483D1"/>
    <w:rsid w:val="3C3A04C4"/>
    <w:rsid w:val="3C84DB47"/>
    <w:rsid w:val="3C97C79B"/>
    <w:rsid w:val="3E137B8E"/>
    <w:rsid w:val="3F3A3E96"/>
    <w:rsid w:val="3FE14227"/>
    <w:rsid w:val="3FFD437A"/>
    <w:rsid w:val="40FDF841"/>
    <w:rsid w:val="412CD844"/>
    <w:rsid w:val="41E3E446"/>
    <w:rsid w:val="42FE46E1"/>
    <w:rsid w:val="453080FD"/>
    <w:rsid w:val="4540B650"/>
    <w:rsid w:val="455B3122"/>
    <w:rsid w:val="4571EBAA"/>
    <w:rsid w:val="45D6C97D"/>
    <w:rsid w:val="460C7819"/>
    <w:rsid w:val="4705DEF5"/>
    <w:rsid w:val="49AAFC55"/>
    <w:rsid w:val="49C64534"/>
    <w:rsid w:val="4A39F052"/>
    <w:rsid w:val="4A6E23FE"/>
    <w:rsid w:val="4AE84A8C"/>
    <w:rsid w:val="4C70740D"/>
    <w:rsid w:val="4CEC8191"/>
    <w:rsid w:val="4D03D1EF"/>
    <w:rsid w:val="4D0B1EFC"/>
    <w:rsid w:val="4D1D373A"/>
    <w:rsid w:val="4D767EF7"/>
    <w:rsid w:val="4E6C4F27"/>
    <w:rsid w:val="4EE418DC"/>
    <w:rsid w:val="4F75869B"/>
    <w:rsid w:val="507B1869"/>
    <w:rsid w:val="51044BED"/>
    <w:rsid w:val="51AC0F25"/>
    <w:rsid w:val="51EA8E64"/>
    <w:rsid w:val="51ED2F52"/>
    <w:rsid w:val="523494AB"/>
    <w:rsid w:val="527133FB"/>
    <w:rsid w:val="52955CD5"/>
    <w:rsid w:val="53684ED6"/>
    <w:rsid w:val="53A78972"/>
    <w:rsid w:val="54405E2D"/>
    <w:rsid w:val="549F5C1E"/>
    <w:rsid w:val="552759C6"/>
    <w:rsid w:val="55DF851E"/>
    <w:rsid w:val="560F0CB0"/>
    <w:rsid w:val="57E0C7F1"/>
    <w:rsid w:val="58478E6E"/>
    <w:rsid w:val="5AE21F0F"/>
    <w:rsid w:val="5CA848A2"/>
    <w:rsid w:val="5CA875EA"/>
    <w:rsid w:val="5D812334"/>
    <w:rsid w:val="5DFCA0A3"/>
    <w:rsid w:val="5F071798"/>
    <w:rsid w:val="5F16BB0B"/>
    <w:rsid w:val="5F403358"/>
    <w:rsid w:val="5FD6417D"/>
    <w:rsid w:val="609F22F9"/>
    <w:rsid w:val="60D54ADA"/>
    <w:rsid w:val="610CA278"/>
    <w:rsid w:val="613A8E4A"/>
    <w:rsid w:val="6180665D"/>
    <w:rsid w:val="621A8520"/>
    <w:rsid w:val="6343602B"/>
    <w:rsid w:val="6534AA30"/>
    <w:rsid w:val="6607D313"/>
    <w:rsid w:val="664016B8"/>
    <w:rsid w:val="66CB9E95"/>
    <w:rsid w:val="69306A01"/>
    <w:rsid w:val="69751CA4"/>
    <w:rsid w:val="6A21F07C"/>
    <w:rsid w:val="6B40FD8B"/>
    <w:rsid w:val="6BFF2154"/>
    <w:rsid w:val="6DCDB297"/>
    <w:rsid w:val="6E2621DA"/>
    <w:rsid w:val="6F7583EA"/>
    <w:rsid w:val="6F7F0C05"/>
    <w:rsid w:val="6FA80B4B"/>
    <w:rsid w:val="7088FA6D"/>
    <w:rsid w:val="7151B928"/>
    <w:rsid w:val="7207C1D3"/>
    <w:rsid w:val="7219E38A"/>
    <w:rsid w:val="7229F75E"/>
    <w:rsid w:val="7333FE8B"/>
    <w:rsid w:val="73B43319"/>
    <w:rsid w:val="73FE35AA"/>
    <w:rsid w:val="74518102"/>
    <w:rsid w:val="75ECCF24"/>
    <w:rsid w:val="7628EB01"/>
    <w:rsid w:val="779F74E1"/>
    <w:rsid w:val="7813186B"/>
    <w:rsid w:val="786F2D4E"/>
    <w:rsid w:val="78972CB2"/>
    <w:rsid w:val="78E36378"/>
    <w:rsid w:val="78FDAE37"/>
    <w:rsid w:val="78FDDEB3"/>
    <w:rsid w:val="796DE802"/>
    <w:rsid w:val="79A69740"/>
    <w:rsid w:val="79B90E74"/>
    <w:rsid w:val="7A062459"/>
    <w:rsid w:val="7A0FFA98"/>
    <w:rsid w:val="7A240D0E"/>
    <w:rsid w:val="7B5016E3"/>
    <w:rsid w:val="7B87247F"/>
    <w:rsid w:val="7C8DC162"/>
    <w:rsid w:val="7E133C5F"/>
    <w:rsid w:val="7F1E97B3"/>
    <w:rsid w:val="7F737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12EB"/>
  <w15:chartTrackingRefBased/>
  <w15:docId w15:val="{F03BD66C-E09A-4ED9-AB93-760E4CFF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BodyText"/>
    <w:next w:val="Normal"/>
    <w:link w:val="Heading1Char"/>
    <w:uiPriority w:val="1"/>
    <w:qFormat/>
    <w:rsid w:val="004B40C6"/>
    <w:pPr>
      <w:ind w:left="277" w:right="278"/>
      <w:jc w:val="center"/>
      <w:outlineLvl w:val="0"/>
    </w:pPr>
    <w:rPr>
      <w:rFonts w:ascii="Aptos" w:hAnsi="Aptos"/>
      <w:spacing w:val="-2"/>
    </w:rPr>
  </w:style>
  <w:style w:type="paragraph" w:styleId="Heading2">
    <w:name w:val="heading 2"/>
    <w:basedOn w:val="HBsl"/>
    <w:next w:val="Normal"/>
    <w:link w:val="Heading2Char"/>
    <w:uiPriority w:val="1"/>
    <w:qFormat/>
    <w:rsid w:val="0027045D"/>
    <w:pPr>
      <w:spacing w:after="120"/>
      <w:outlineLvl w:val="1"/>
    </w:pPr>
    <w:rPr>
      <w:rFonts w:asciiTheme="minorHAnsi" w:hAnsiTheme="minorHAnsi"/>
      <w:b/>
      <w:bCs/>
      <w:sz w:val="21"/>
      <w:szCs w:val="21"/>
      <w:u w:val="none"/>
    </w:rPr>
  </w:style>
  <w:style w:type="paragraph" w:styleId="Heading3">
    <w:name w:val="heading 3"/>
    <w:basedOn w:val="HBsl"/>
    <w:next w:val="Normal"/>
    <w:link w:val="Heading3Char"/>
    <w:uiPriority w:val="1"/>
    <w:qFormat/>
    <w:rsid w:val="0027045D"/>
    <w:pPr>
      <w:spacing w:after="120"/>
      <w:outlineLvl w:val="2"/>
    </w:pPr>
    <w:rPr>
      <w:rFonts w:asciiTheme="minorHAnsi" w:eastAsia="PMingLiU" w:hAnsiTheme="minorHAnsi"/>
      <w:sz w:val="21"/>
      <w:szCs w:val="21"/>
      <w:u w:val="none"/>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4B40C6"/>
    <w:rPr>
      <w:rFonts w:ascii="Aptos" w:hAnsi="Aptos" w:cs="Times New Roman"/>
      <w:b/>
      <w:bCs/>
      <w:spacing w:val="-2"/>
      <w:kern w:val="0"/>
      <w:sz w:val="36"/>
      <w:szCs w:val="36"/>
      <w14:ligatures w14:val="none"/>
    </w:rPr>
  </w:style>
  <w:style w:type="character" w:customStyle="1" w:styleId="Heading2Char">
    <w:name w:val="Heading 2 Char"/>
    <w:link w:val="Heading2"/>
    <w:uiPriority w:val="1"/>
    <w:rsid w:val="0027045D"/>
    <w:rPr>
      <w:rFonts w:cs="Times New Roman"/>
      <w:b/>
      <w:bCs/>
      <w:sz w:val="21"/>
      <w:szCs w:val="21"/>
    </w:rPr>
  </w:style>
  <w:style w:type="character" w:customStyle="1" w:styleId="Heading3Char">
    <w:name w:val="Heading 3 Char"/>
    <w:link w:val="Heading3"/>
    <w:uiPriority w:val="1"/>
    <w:rsid w:val="0027045D"/>
    <w:rPr>
      <w:rFonts w:eastAsia="PMingLiU" w:cs="Times New Roman"/>
      <w:sz w:val="21"/>
      <w:szCs w:val="21"/>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E040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40C8"/>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E040C8"/>
    <w:pPr>
      <w:ind w:left="720"/>
      <w:contextualSpacing/>
    </w:pPr>
  </w:style>
  <w:style w:type="character" w:styleId="IntenseEmphasis">
    <w:name w:val="Intense Emphasis"/>
    <w:basedOn w:val="DefaultParagraphFont"/>
    <w:uiPriority w:val="21"/>
    <w:qFormat/>
    <w:rsid w:val="00E040C8"/>
    <w:rPr>
      <w:i/>
      <w:iCs/>
      <w:color w:val="0F4761" w:themeColor="accent1" w:themeShade="BF"/>
    </w:rPr>
  </w:style>
  <w:style w:type="paragraph" w:styleId="IntenseQuote">
    <w:name w:val="Intense Quote"/>
    <w:basedOn w:val="Normal"/>
    <w:next w:val="Normal"/>
    <w:link w:val="IntenseQuoteChar"/>
    <w:uiPriority w:val="30"/>
    <w:qFormat/>
    <w:rsid w:val="00E04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0C8"/>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E040C8"/>
    <w:rPr>
      <w:b/>
      <w:bCs/>
      <w:smallCaps/>
      <w:color w:val="0F4761" w:themeColor="accent1" w:themeShade="BF"/>
      <w:spacing w:val="5"/>
    </w:rPr>
  </w:style>
  <w:style w:type="paragraph" w:styleId="FootnoteText">
    <w:name w:val="footnote text"/>
    <w:basedOn w:val="Normal"/>
    <w:link w:val="FootnoteTextChar"/>
    <w:uiPriority w:val="99"/>
    <w:semiHidden/>
    <w:unhideWhenUsed/>
    <w:rsid w:val="00E040C8"/>
    <w:rPr>
      <w:rFonts w:ascii="Aptos" w:hAnsi="Aptos"/>
      <w:kern w:val="0"/>
      <w:sz w:val="20"/>
      <w:szCs w:val="20"/>
      <w14:ligatures w14:val="none"/>
    </w:rPr>
  </w:style>
  <w:style w:type="character" w:customStyle="1" w:styleId="FootnoteTextChar">
    <w:name w:val="Footnote Text Char"/>
    <w:basedOn w:val="DefaultParagraphFont"/>
    <w:link w:val="FootnoteText"/>
    <w:uiPriority w:val="99"/>
    <w:semiHidden/>
    <w:rsid w:val="00E040C8"/>
    <w:rPr>
      <w:rFonts w:ascii="Aptos" w:hAnsi="Aptos" w:cs="Times New Roman"/>
      <w:kern w:val="0"/>
      <w:sz w:val="20"/>
      <w:szCs w:val="20"/>
      <w14:ligatures w14:val="none"/>
    </w:rPr>
  </w:style>
  <w:style w:type="character" w:styleId="FootnoteReference">
    <w:name w:val="footnote reference"/>
    <w:basedOn w:val="DefaultParagraphFont"/>
    <w:uiPriority w:val="99"/>
    <w:semiHidden/>
    <w:unhideWhenUsed/>
    <w:rsid w:val="00E040C8"/>
    <w:rPr>
      <w:vertAlign w:val="superscript"/>
    </w:rPr>
  </w:style>
  <w:style w:type="paragraph" w:styleId="Header">
    <w:name w:val="header"/>
    <w:basedOn w:val="Normal"/>
    <w:link w:val="HeaderChar"/>
    <w:uiPriority w:val="99"/>
    <w:unhideWhenUsed/>
    <w:rsid w:val="004356C0"/>
    <w:pPr>
      <w:tabs>
        <w:tab w:val="center" w:pos="4680"/>
        <w:tab w:val="right" w:pos="9360"/>
      </w:tabs>
    </w:pPr>
  </w:style>
  <w:style w:type="character" w:customStyle="1" w:styleId="HeaderChar">
    <w:name w:val="Header Char"/>
    <w:basedOn w:val="DefaultParagraphFont"/>
    <w:link w:val="Header"/>
    <w:uiPriority w:val="99"/>
    <w:rsid w:val="004356C0"/>
    <w:rPr>
      <w:rFonts w:ascii="Times New Roman" w:hAnsi="Times New Roman" w:cs="Times New Roman"/>
      <w:sz w:val="24"/>
      <w:szCs w:val="24"/>
    </w:rPr>
  </w:style>
  <w:style w:type="paragraph" w:styleId="Footer">
    <w:name w:val="footer"/>
    <w:basedOn w:val="Normal"/>
    <w:link w:val="FooterChar"/>
    <w:uiPriority w:val="99"/>
    <w:unhideWhenUsed/>
    <w:rsid w:val="004356C0"/>
    <w:pPr>
      <w:tabs>
        <w:tab w:val="center" w:pos="4680"/>
        <w:tab w:val="right" w:pos="9360"/>
      </w:tabs>
    </w:pPr>
  </w:style>
  <w:style w:type="character" w:customStyle="1" w:styleId="FooterChar">
    <w:name w:val="Footer Char"/>
    <w:basedOn w:val="DefaultParagraphFont"/>
    <w:link w:val="Footer"/>
    <w:uiPriority w:val="99"/>
    <w:rsid w:val="004356C0"/>
    <w:rPr>
      <w:rFonts w:ascii="Times New Roman" w:hAnsi="Times New Roman" w:cs="Times New Roman"/>
      <w:sz w:val="24"/>
      <w:szCs w:val="24"/>
    </w:rPr>
  </w:style>
  <w:style w:type="paragraph" w:customStyle="1" w:styleId="DocID">
    <w:name w:val="DocID"/>
    <w:basedOn w:val="Normal"/>
    <w:qFormat/>
    <w:rsid w:val="004356C0"/>
    <w:rPr>
      <w:kern w:val="0"/>
      <w:sz w:val="16"/>
      <w:szCs w:val="16"/>
      <w14:ligatures w14:val="none"/>
    </w:rPr>
  </w:style>
  <w:style w:type="character" w:styleId="CommentReference">
    <w:name w:val="annotation reference"/>
    <w:basedOn w:val="DefaultParagraphFont"/>
    <w:uiPriority w:val="99"/>
    <w:semiHidden/>
    <w:unhideWhenUsed/>
    <w:rsid w:val="00796FA4"/>
    <w:rPr>
      <w:sz w:val="16"/>
      <w:szCs w:val="16"/>
    </w:rPr>
  </w:style>
  <w:style w:type="paragraph" w:styleId="CommentText">
    <w:name w:val="annotation text"/>
    <w:basedOn w:val="Normal"/>
    <w:link w:val="CommentTextChar"/>
    <w:uiPriority w:val="99"/>
    <w:unhideWhenUsed/>
    <w:rsid w:val="00796FA4"/>
    <w:rPr>
      <w:sz w:val="20"/>
      <w:szCs w:val="20"/>
    </w:rPr>
  </w:style>
  <w:style w:type="character" w:customStyle="1" w:styleId="CommentTextChar">
    <w:name w:val="Comment Text Char"/>
    <w:basedOn w:val="DefaultParagraphFont"/>
    <w:link w:val="CommentText"/>
    <w:uiPriority w:val="99"/>
    <w:rsid w:val="00796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FA4"/>
    <w:rPr>
      <w:b/>
      <w:bCs/>
    </w:rPr>
  </w:style>
  <w:style w:type="character" w:customStyle="1" w:styleId="CommentSubjectChar">
    <w:name w:val="Comment Subject Char"/>
    <w:basedOn w:val="CommentTextChar"/>
    <w:link w:val="CommentSubject"/>
    <w:uiPriority w:val="99"/>
    <w:semiHidden/>
    <w:rsid w:val="00796FA4"/>
    <w:rPr>
      <w:rFonts w:ascii="Times New Roman" w:hAnsi="Times New Roman" w:cs="Times New Roman"/>
      <w:b/>
      <w:bCs/>
      <w:sz w:val="20"/>
      <w:szCs w:val="20"/>
    </w:rPr>
  </w:style>
  <w:style w:type="table" w:styleId="TableGrid">
    <w:name w:val="Table Grid"/>
    <w:basedOn w:val="TableNormal"/>
    <w:uiPriority w:val="39"/>
    <w:rsid w:val="00012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C9F"/>
    <w:rPr>
      <w:color w:val="467886" w:themeColor="hyperlink"/>
      <w:u w:val="single"/>
    </w:rPr>
  </w:style>
  <w:style w:type="character" w:customStyle="1" w:styleId="Hyperlink1">
    <w:name w:val="Hyperlink1"/>
    <w:basedOn w:val="DefaultParagraphFont"/>
    <w:uiPriority w:val="99"/>
    <w:semiHidden/>
    <w:unhideWhenUsed/>
    <w:rsid w:val="00F47C9F"/>
    <w:rPr>
      <w:color w:val="0563C1"/>
      <w:u w:val="single"/>
    </w:rPr>
  </w:style>
  <w:style w:type="character" w:customStyle="1" w:styleId="al-author-delim">
    <w:name w:val="al-author-delim"/>
    <w:basedOn w:val="DefaultParagraphFont"/>
    <w:rsid w:val="00F47C9F"/>
  </w:style>
  <w:style w:type="character" w:styleId="Emphasis">
    <w:name w:val="Emphasis"/>
    <w:basedOn w:val="DefaultParagraphFont"/>
    <w:uiPriority w:val="20"/>
    <w:qFormat/>
    <w:rsid w:val="00F47C9F"/>
    <w:rPr>
      <w:i/>
      <w:iCs/>
    </w:rPr>
  </w:style>
  <w:style w:type="paragraph" w:customStyle="1" w:styleId="Default">
    <w:name w:val="Default"/>
    <w:uiPriority w:val="99"/>
    <w:rsid w:val="000F4131"/>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EE3668"/>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02A61"/>
    <w:rPr>
      <w:color w:val="605E5C"/>
      <w:shd w:val="clear" w:color="auto" w:fill="E1DFDD"/>
    </w:rPr>
  </w:style>
  <w:style w:type="character" w:styleId="FollowedHyperlink">
    <w:name w:val="FollowedHyperlink"/>
    <w:basedOn w:val="DefaultParagraphFont"/>
    <w:uiPriority w:val="99"/>
    <w:semiHidden/>
    <w:unhideWhenUsed/>
    <w:rsid w:val="00CA774B"/>
    <w:rPr>
      <w:color w:val="96607D" w:themeColor="followedHyperlink"/>
      <w:u w:val="single"/>
    </w:rPr>
  </w:style>
  <w:style w:type="paragraph" w:styleId="ListBullet2">
    <w:name w:val="List Bullet 2"/>
    <w:basedOn w:val="Normal"/>
    <w:uiPriority w:val="99"/>
    <w:semiHidden/>
    <w:unhideWhenUsed/>
    <w:rsid w:val="00082AFF"/>
    <w:pPr>
      <w:numPr>
        <w:numId w:val="13"/>
      </w:numPr>
      <w:tabs>
        <w:tab w:val="clear" w:pos="720"/>
      </w:tabs>
      <w:spacing w:after="240"/>
      <w:ind w:left="0" w:firstLine="0"/>
      <w:jc w:val="both"/>
    </w:pPr>
    <w:rPr>
      <w:rFonts w:ascii="Aptos" w:hAnsi="Aptos"/>
      <w:sz w:val="21"/>
    </w:rPr>
  </w:style>
  <w:style w:type="character" w:customStyle="1" w:styleId="ListParagraphChar">
    <w:name w:val="List Paragraph Char"/>
    <w:basedOn w:val="DefaultParagraphFont"/>
    <w:link w:val="ListParagraph"/>
    <w:uiPriority w:val="34"/>
    <w:rsid w:val="00F50A55"/>
    <w:rPr>
      <w:rFonts w:ascii="Times New Roman" w:hAnsi="Times New Roman" w:cs="Times New Roman"/>
      <w:sz w:val="24"/>
      <w:szCs w:val="24"/>
    </w:rPr>
  </w:style>
  <w:style w:type="character" w:styleId="Mention">
    <w:name w:val="Mention"/>
    <w:basedOn w:val="DefaultParagraphFont"/>
    <w:uiPriority w:val="99"/>
    <w:unhideWhenUsed/>
    <w:rsid w:val="00833C97"/>
    <w:rPr>
      <w:color w:val="2B579A"/>
      <w:shd w:val="clear" w:color="auto" w:fill="E1DFDD"/>
    </w:rPr>
  </w:style>
  <w:style w:type="paragraph" w:styleId="BodyText">
    <w:name w:val="Body Text"/>
    <w:basedOn w:val="Normal"/>
    <w:link w:val="BodyTextChar"/>
    <w:uiPriority w:val="1"/>
    <w:qFormat/>
    <w:rsid w:val="00F70D4E"/>
    <w:pPr>
      <w:widowControl w:val="0"/>
      <w:suppressAutoHyphens w:val="0"/>
      <w:autoSpaceDE w:val="0"/>
      <w:autoSpaceDN w:val="0"/>
      <w:spacing w:before="85"/>
    </w:pPr>
    <w:rPr>
      <w:b/>
      <w:bCs/>
      <w:kern w:val="0"/>
      <w:sz w:val="36"/>
      <w:szCs w:val="36"/>
      <w14:ligatures w14:val="none"/>
    </w:rPr>
  </w:style>
  <w:style w:type="character" w:customStyle="1" w:styleId="BodyTextChar">
    <w:name w:val="Body Text Char"/>
    <w:basedOn w:val="DefaultParagraphFont"/>
    <w:link w:val="BodyText"/>
    <w:uiPriority w:val="1"/>
    <w:rsid w:val="00F70D4E"/>
    <w:rPr>
      <w:rFonts w:ascii="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6760">
      <w:bodyDiv w:val="1"/>
      <w:marLeft w:val="0"/>
      <w:marRight w:val="0"/>
      <w:marTop w:val="0"/>
      <w:marBottom w:val="0"/>
      <w:divBdr>
        <w:top w:val="none" w:sz="0" w:space="0" w:color="auto"/>
        <w:left w:val="none" w:sz="0" w:space="0" w:color="auto"/>
        <w:bottom w:val="none" w:sz="0" w:space="0" w:color="auto"/>
        <w:right w:val="none" w:sz="0" w:space="0" w:color="auto"/>
      </w:divBdr>
    </w:div>
    <w:div w:id="509443806">
      <w:bodyDiv w:val="1"/>
      <w:marLeft w:val="0"/>
      <w:marRight w:val="0"/>
      <w:marTop w:val="0"/>
      <w:marBottom w:val="0"/>
      <w:divBdr>
        <w:top w:val="none" w:sz="0" w:space="0" w:color="auto"/>
        <w:left w:val="none" w:sz="0" w:space="0" w:color="auto"/>
        <w:bottom w:val="none" w:sz="0" w:space="0" w:color="auto"/>
        <w:right w:val="none" w:sz="0" w:space="0" w:color="auto"/>
      </w:divBdr>
    </w:div>
    <w:div w:id="951401796">
      <w:bodyDiv w:val="1"/>
      <w:marLeft w:val="0"/>
      <w:marRight w:val="0"/>
      <w:marTop w:val="0"/>
      <w:marBottom w:val="0"/>
      <w:divBdr>
        <w:top w:val="none" w:sz="0" w:space="0" w:color="auto"/>
        <w:left w:val="none" w:sz="0" w:space="0" w:color="auto"/>
        <w:bottom w:val="none" w:sz="0" w:space="0" w:color="auto"/>
        <w:right w:val="none" w:sz="0" w:space="0" w:color="auto"/>
      </w:divBdr>
    </w:div>
    <w:div w:id="953444195">
      <w:bodyDiv w:val="1"/>
      <w:marLeft w:val="0"/>
      <w:marRight w:val="0"/>
      <w:marTop w:val="0"/>
      <w:marBottom w:val="0"/>
      <w:divBdr>
        <w:top w:val="none" w:sz="0" w:space="0" w:color="auto"/>
        <w:left w:val="none" w:sz="0" w:space="0" w:color="auto"/>
        <w:bottom w:val="none" w:sz="0" w:space="0" w:color="auto"/>
        <w:right w:val="none" w:sz="0" w:space="0" w:color="auto"/>
      </w:divBdr>
    </w:div>
    <w:div w:id="1047873706">
      <w:bodyDiv w:val="1"/>
      <w:marLeft w:val="0"/>
      <w:marRight w:val="0"/>
      <w:marTop w:val="0"/>
      <w:marBottom w:val="0"/>
      <w:divBdr>
        <w:top w:val="none" w:sz="0" w:space="0" w:color="auto"/>
        <w:left w:val="none" w:sz="0" w:space="0" w:color="auto"/>
        <w:bottom w:val="none" w:sz="0" w:space="0" w:color="auto"/>
        <w:right w:val="none" w:sz="0" w:space="0" w:color="auto"/>
      </w:divBdr>
    </w:div>
    <w:div w:id="1090586355">
      <w:bodyDiv w:val="1"/>
      <w:marLeft w:val="0"/>
      <w:marRight w:val="0"/>
      <w:marTop w:val="0"/>
      <w:marBottom w:val="0"/>
      <w:divBdr>
        <w:top w:val="none" w:sz="0" w:space="0" w:color="auto"/>
        <w:left w:val="none" w:sz="0" w:space="0" w:color="auto"/>
        <w:bottom w:val="none" w:sz="0" w:space="0" w:color="auto"/>
        <w:right w:val="none" w:sz="0" w:space="0" w:color="auto"/>
      </w:divBdr>
    </w:div>
    <w:div w:id="1092507216">
      <w:bodyDiv w:val="1"/>
      <w:marLeft w:val="0"/>
      <w:marRight w:val="0"/>
      <w:marTop w:val="0"/>
      <w:marBottom w:val="0"/>
      <w:divBdr>
        <w:top w:val="none" w:sz="0" w:space="0" w:color="auto"/>
        <w:left w:val="none" w:sz="0" w:space="0" w:color="auto"/>
        <w:bottom w:val="none" w:sz="0" w:space="0" w:color="auto"/>
        <w:right w:val="none" w:sz="0" w:space="0" w:color="auto"/>
      </w:divBdr>
    </w:div>
    <w:div w:id="1375960238">
      <w:bodyDiv w:val="1"/>
      <w:marLeft w:val="0"/>
      <w:marRight w:val="0"/>
      <w:marTop w:val="0"/>
      <w:marBottom w:val="0"/>
      <w:divBdr>
        <w:top w:val="none" w:sz="0" w:space="0" w:color="auto"/>
        <w:left w:val="none" w:sz="0" w:space="0" w:color="auto"/>
        <w:bottom w:val="none" w:sz="0" w:space="0" w:color="auto"/>
        <w:right w:val="none" w:sz="0" w:space="0" w:color="auto"/>
      </w:divBdr>
    </w:div>
    <w:div w:id="1407191033">
      <w:bodyDiv w:val="1"/>
      <w:marLeft w:val="0"/>
      <w:marRight w:val="0"/>
      <w:marTop w:val="0"/>
      <w:marBottom w:val="0"/>
      <w:divBdr>
        <w:top w:val="none" w:sz="0" w:space="0" w:color="auto"/>
        <w:left w:val="none" w:sz="0" w:space="0" w:color="auto"/>
        <w:bottom w:val="none" w:sz="0" w:space="0" w:color="auto"/>
        <w:right w:val="none" w:sz="0" w:space="0" w:color="auto"/>
      </w:divBdr>
    </w:div>
    <w:div w:id="1468165958">
      <w:bodyDiv w:val="1"/>
      <w:marLeft w:val="0"/>
      <w:marRight w:val="0"/>
      <w:marTop w:val="0"/>
      <w:marBottom w:val="0"/>
      <w:divBdr>
        <w:top w:val="none" w:sz="0" w:space="0" w:color="auto"/>
        <w:left w:val="none" w:sz="0" w:space="0" w:color="auto"/>
        <w:bottom w:val="none" w:sz="0" w:space="0" w:color="auto"/>
        <w:right w:val="none" w:sz="0" w:space="0" w:color="auto"/>
      </w:divBdr>
    </w:div>
    <w:div w:id="1559129986">
      <w:bodyDiv w:val="1"/>
      <w:marLeft w:val="0"/>
      <w:marRight w:val="0"/>
      <w:marTop w:val="0"/>
      <w:marBottom w:val="0"/>
      <w:divBdr>
        <w:top w:val="none" w:sz="0" w:space="0" w:color="auto"/>
        <w:left w:val="none" w:sz="0" w:space="0" w:color="auto"/>
        <w:bottom w:val="none" w:sz="0" w:space="0" w:color="auto"/>
        <w:right w:val="none" w:sz="0" w:space="0" w:color="auto"/>
      </w:divBdr>
    </w:div>
    <w:div w:id="1747336383">
      <w:bodyDiv w:val="1"/>
      <w:marLeft w:val="0"/>
      <w:marRight w:val="0"/>
      <w:marTop w:val="0"/>
      <w:marBottom w:val="0"/>
      <w:divBdr>
        <w:top w:val="none" w:sz="0" w:space="0" w:color="auto"/>
        <w:left w:val="none" w:sz="0" w:space="0" w:color="auto"/>
        <w:bottom w:val="none" w:sz="0" w:space="0" w:color="auto"/>
        <w:right w:val="none" w:sz="0" w:space="0" w:color="auto"/>
      </w:divBdr>
    </w:div>
    <w:div w:id="1842309696">
      <w:bodyDiv w:val="1"/>
      <w:marLeft w:val="0"/>
      <w:marRight w:val="0"/>
      <w:marTop w:val="0"/>
      <w:marBottom w:val="0"/>
      <w:divBdr>
        <w:top w:val="none" w:sz="0" w:space="0" w:color="auto"/>
        <w:left w:val="none" w:sz="0" w:space="0" w:color="auto"/>
        <w:bottom w:val="none" w:sz="0" w:space="0" w:color="auto"/>
        <w:right w:val="none" w:sz="0" w:space="0" w:color="auto"/>
      </w:divBdr>
    </w:div>
    <w:div w:id="19700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sg.org/resource/breaking-barriers-specialty-care/" TargetMode="External"/><Relationship Id="rId3" Type="http://schemas.openxmlformats.org/officeDocument/2006/relationships/hyperlink" Target="https://www.ncbi.nlm.nih.gov/books/NBK217922/" TargetMode="External"/><Relationship Id="rId7" Type="http://schemas.openxmlformats.org/officeDocument/2006/relationships/hyperlink" Target="https://pmc.ncbi.nlm.nih.gov/articles/PMC6652173/" TargetMode="External"/><Relationship Id="rId12" Type="http://schemas.openxmlformats.org/officeDocument/2006/relationships/hyperlink" Target="https://bmchealthservres.biomedcentral.com/articles/10.1186/s12913-023-09140-0" TargetMode="External"/><Relationship Id="rId2" Type="http://schemas.openxmlformats.org/officeDocument/2006/relationships/hyperlink" Target="https://www.beckershospitalreview.com/finance/646-hospitals-at-risk-of-closure-ranked-by-state/" TargetMode="External"/><Relationship Id="rId1" Type="http://schemas.openxmlformats.org/officeDocument/2006/relationships/hyperlink" Target="https://masshpc.gov/sites/default/files/2025-05/BulletinHPC2025-02_independent-community-hospitals.pdf" TargetMode="External"/><Relationship Id="rId6" Type="http://schemas.openxmlformats.org/officeDocument/2006/relationships/hyperlink" Target="https://jamanetwork.com/journals/jamanetworkopen/fullarticle/2784342" TargetMode="External"/><Relationship Id="rId11" Type="http://schemas.openxmlformats.org/officeDocument/2006/relationships/hyperlink" Target="http://www.baystatehealth.org/mercy" TargetMode="External"/><Relationship Id="rId5" Type="http://schemas.openxmlformats.org/officeDocument/2006/relationships/hyperlink" Target="https://wayback.archive-it.org/5774/20220413202227/https:/www.healthypeople.gov/2020/topics-objectives/topic/Access-to-Health-Services" TargetMode="External"/><Relationship Id="rId10" Type="http://schemas.openxmlformats.org/officeDocument/2006/relationships/hyperlink" Target="https://psnet.ahrq.gov/primer/inpatient-transitions-care-challenges-and-safety-practices" TargetMode="External"/><Relationship Id="rId4" Type="http://schemas.openxmlformats.org/officeDocument/2006/relationships/hyperlink" Target="https://www.mass.gov/doc/community-hospitals-at-a-crossroads-findings-from-an-examination-of-the-massachusetts-health/download" TargetMode="External"/><Relationship Id="rId9" Type="http://schemas.openxmlformats.org/officeDocument/2006/relationships/hyperlink" Target="https://www.rand.org/topics/integrated-c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170C8D-17FC-4C0C-A1EA-DC2AACD4E002}">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1072</TotalTime>
  <Pages>24</Pages>
  <Words>8311</Words>
  <Characters>47377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Baystate-Mercy Narrative</dc:title>
  <dc:creator>Healy, Terry</dc:creator>
  <cp:lastModifiedBy>Marks, Brett (DPH)</cp:lastModifiedBy>
  <cp:revision>65</cp:revision>
  <cp:lastPrinted>2026-05-21T14:13:00Z</cp:lastPrinted>
  <dcterms:created xsi:type="dcterms:W3CDTF">2026-05-21T14:15:00Z</dcterms:created>
  <dcterms:modified xsi:type="dcterms:W3CDTF">2026-05-29T12:53:00Z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4915-2142-6526</vt:lpwstr>
  </property>
</Properties>
</file>