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7A2F1" w14:textId="2357ED97" w:rsidR="00BC42A1" w:rsidRDefault="00C34AF8" w:rsidP="00B152DF">
      <w:pPr>
        <w:pStyle w:val="Heading1"/>
        <w:rPr>
          <w:rFonts w:asciiTheme="minorHAnsi" w:hAnsiTheme="minorHAnsi" w:cstheme="minorHAnsi"/>
        </w:rPr>
      </w:pPr>
      <w:r w:rsidRPr="007A45EA">
        <w:rPr>
          <w:rFonts w:asciiTheme="minorHAnsi" w:hAnsiTheme="minorHAnsi" w:cstheme="minorHAnsi"/>
          <w:u w:val="none"/>
        </w:rPr>
        <w:t>2</w:t>
      </w:r>
      <w:r w:rsidR="001669C5" w:rsidRPr="007A45EA">
        <w:rPr>
          <w:rFonts w:asciiTheme="minorHAnsi" w:hAnsiTheme="minorHAnsi" w:cstheme="minorHAnsi"/>
          <w:u w:val="none"/>
        </w:rPr>
        <w:t>. Project</w:t>
      </w:r>
      <w:r w:rsidRPr="007A45EA">
        <w:rPr>
          <w:rFonts w:asciiTheme="minorHAnsi" w:hAnsiTheme="minorHAnsi" w:cstheme="minorHAnsi"/>
          <w:u w:val="none"/>
        </w:rPr>
        <w:t xml:space="preserve"> Description</w:t>
      </w:r>
      <w:r w:rsidRPr="007A45EA">
        <w:rPr>
          <w:rFonts w:asciiTheme="minorHAnsi" w:hAnsiTheme="minorHAnsi" w:cstheme="minorHAnsi"/>
        </w:rPr>
        <w:t xml:space="preserve"> </w:t>
      </w:r>
    </w:p>
    <w:p w14:paraId="22E39E14" w14:textId="50B92170" w:rsidR="006B2043" w:rsidRPr="007A45EA" w:rsidRDefault="00BC72C5" w:rsidP="006B2043">
      <w:pPr>
        <w:jc w:val="both"/>
        <w:rPr>
          <w:rFonts w:asciiTheme="minorHAnsi" w:hAnsiTheme="minorHAnsi" w:cstheme="minorHAnsi"/>
        </w:rPr>
      </w:pPr>
      <w:r>
        <w:rPr>
          <w:rFonts w:asciiTheme="minorHAnsi" w:hAnsiTheme="minorHAnsi" w:cstheme="minorHAnsi"/>
          <w:szCs w:val="24"/>
        </w:rPr>
        <w:t>Blue Cloud Pediatric Surgery Center</w:t>
      </w:r>
      <w:r w:rsidR="006F6A4A">
        <w:rPr>
          <w:rFonts w:asciiTheme="minorHAnsi" w:hAnsiTheme="minorHAnsi" w:cstheme="minorHAnsi"/>
          <w:szCs w:val="24"/>
        </w:rPr>
        <w:t>s</w:t>
      </w:r>
      <w:r>
        <w:rPr>
          <w:rFonts w:asciiTheme="minorHAnsi" w:hAnsiTheme="minorHAnsi" w:cstheme="minorHAnsi"/>
          <w:szCs w:val="24"/>
        </w:rPr>
        <w:t>, LLC (t</w:t>
      </w:r>
      <w:r w:rsidR="006B2043" w:rsidRPr="007A45EA">
        <w:rPr>
          <w:rFonts w:asciiTheme="minorHAnsi" w:hAnsiTheme="minorHAnsi" w:cstheme="minorHAnsi"/>
          <w:szCs w:val="24"/>
        </w:rPr>
        <w:t xml:space="preserve">he </w:t>
      </w:r>
      <w:r>
        <w:rPr>
          <w:rFonts w:asciiTheme="minorHAnsi" w:hAnsiTheme="minorHAnsi" w:cstheme="minorHAnsi"/>
          <w:szCs w:val="24"/>
        </w:rPr>
        <w:t>“</w:t>
      </w:r>
      <w:r w:rsidR="006B2043" w:rsidRPr="007A45EA">
        <w:rPr>
          <w:rFonts w:asciiTheme="minorHAnsi" w:hAnsiTheme="minorHAnsi" w:cstheme="minorHAnsi"/>
          <w:szCs w:val="24"/>
        </w:rPr>
        <w:t>Applicant</w:t>
      </w:r>
      <w:r>
        <w:rPr>
          <w:rFonts w:asciiTheme="minorHAnsi" w:hAnsiTheme="minorHAnsi" w:cstheme="minorHAnsi"/>
          <w:szCs w:val="24"/>
        </w:rPr>
        <w:t>” or “Blue Cloud”)</w:t>
      </w:r>
      <w:r w:rsidR="006B2043" w:rsidRPr="007A45EA">
        <w:rPr>
          <w:rFonts w:asciiTheme="minorHAnsi" w:hAnsiTheme="minorHAnsi" w:cstheme="minorHAnsi"/>
          <w:szCs w:val="24"/>
        </w:rPr>
        <w:t xml:space="preserve"> proposes to become the owner of Northeast Ambulatory Center, </w:t>
      </w:r>
      <w:r w:rsidR="006B2043">
        <w:rPr>
          <w:rFonts w:asciiTheme="minorHAnsi" w:hAnsiTheme="minorHAnsi" w:cstheme="minorHAnsi"/>
          <w:szCs w:val="24"/>
        </w:rPr>
        <w:t xml:space="preserve">LLC, which owns and operates </w:t>
      </w:r>
      <w:r w:rsidR="006B2043" w:rsidRPr="007A45EA">
        <w:rPr>
          <w:rFonts w:asciiTheme="minorHAnsi" w:hAnsiTheme="minorHAnsi" w:cstheme="minorHAnsi"/>
          <w:szCs w:val="24"/>
        </w:rPr>
        <w:t xml:space="preserve">a free-standing ambulatory surgery (“ASC”) located in Stoneham, Massachusetts (the “Center”). Pursuant to a Membership Interest Purchase Agreement dated </w:t>
      </w:r>
      <w:r w:rsidR="008A4186">
        <w:rPr>
          <w:rFonts w:asciiTheme="minorHAnsi" w:hAnsiTheme="minorHAnsi" w:cstheme="minorHAnsi"/>
          <w:szCs w:val="24"/>
        </w:rPr>
        <w:t>May 14</w:t>
      </w:r>
      <w:r w:rsidR="006B2043" w:rsidRPr="007A45EA">
        <w:rPr>
          <w:rFonts w:asciiTheme="minorHAnsi" w:hAnsiTheme="minorHAnsi" w:cstheme="minorHAnsi"/>
          <w:szCs w:val="24"/>
        </w:rPr>
        <w:t>, 2026, by and among Applicant and Dr. Anil Kumar (the “Seller”), Applicant will acquire all the equity in Northeast Ambulatory Center, LLC from the Seller</w:t>
      </w:r>
      <w:r w:rsidR="006B2043">
        <w:rPr>
          <w:rFonts w:asciiTheme="minorHAnsi" w:hAnsiTheme="minorHAnsi" w:cstheme="minorHAnsi"/>
          <w:szCs w:val="24"/>
        </w:rPr>
        <w:t xml:space="preserve"> (the “Proposed Project”)</w:t>
      </w:r>
      <w:r w:rsidR="006B2043" w:rsidRPr="007A45EA">
        <w:rPr>
          <w:rFonts w:asciiTheme="minorHAnsi" w:hAnsiTheme="minorHAnsi" w:cstheme="minorHAnsi"/>
          <w:szCs w:val="24"/>
        </w:rPr>
        <w:t xml:space="preserve">.  </w:t>
      </w:r>
      <w:r w:rsidR="006B2043" w:rsidRPr="007A45EA">
        <w:rPr>
          <w:rFonts w:asciiTheme="minorHAnsi" w:hAnsiTheme="minorHAnsi" w:cstheme="minorHAnsi"/>
        </w:rPr>
        <w:t xml:space="preserve"> </w:t>
      </w:r>
    </w:p>
    <w:p w14:paraId="11342D6D" w14:textId="3570AD44" w:rsidR="006B2043" w:rsidRPr="007A45EA" w:rsidRDefault="006B2043" w:rsidP="006B2043">
      <w:pPr>
        <w:jc w:val="both"/>
        <w:rPr>
          <w:rFonts w:asciiTheme="minorHAnsi" w:hAnsiTheme="minorHAnsi" w:cstheme="minorHAnsi"/>
        </w:rPr>
      </w:pPr>
      <w:r w:rsidRPr="007A45EA">
        <w:rPr>
          <w:rFonts w:asciiTheme="minorHAnsi" w:hAnsiTheme="minorHAnsi" w:cstheme="minorHAnsi"/>
        </w:rPr>
        <w:t xml:space="preserve">The Seller, an anesthesiologist and pain medicine physician, established the Center in 1996 as a single specialty pain management ASC.  The Seller uses the </w:t>
      </w:r>
      <w:r>
        <w:rPr>
          <w:rFonts w:asciiTheme="minorHAnsi" w:hAnsiTheme="minorHAnsi" w:cstheme="minorHAnsi"/>
        </w:rPr>
        <w:t>Center</w:t>
      </w:r>
      <w:r w:rsidRPr="007A45EA">
        <w:rPr>
          <w:rFonts w:asciiTheme="minorHAnsi" w:hAnsiTheme="minorHAnsi" w:cstheme="minorHAnsi"/>
        </w:rPr>
        <w:t xml:space="preserve"> to provide specialized procedures designed to effectively address chronic pain and promote overall wellness to patients the Seller sees in </w:t>
      </w:r>
      <w:r w:rsidR="008A4186">
        <w:rPr>
          <w:rFonts w:asciiTheme="minorHAnsi" w:hAnsiTheme="minorHAnsi" w:cstheme="minorHAnsi"/>
        </w:rPr>
        <w:t>his</w:t>
      </w:r>
      <w:r w:rsidRPr="007A45EA">
        <w:rPr>
          <w:rFonts w:asciiTheme="minorHAnsi" w:hAnsiTheme="minorHAnsi" w:cstheme="minorHAnsi"/>
        </w:rPr>
        <w:t xml:space="preserve"> physician practice. The Seller</w:t>
      </w:r>
      <w:r>
        <w:rPr>
          <w:rFonts w:asciiTheme="minorHAnsi" w:hAnsiTheme="minorHAnsi" w:cstheme="minorHAnsi"/>
        </w:rPr>
        <w:t xml:space="preserve"> has been winding down his practice over the last few years </w:t>
      </w:r>
      <w:r w:rsidR="004D3B9B">
        <w:rPr>
          <w:rFonts w:asciiTheme="minorHAnsi" w:hAnsiTheme="minorHAnsi" w:cstheme="minorHAnsi"/>
        </w:rPr>
        <w:t xml:space="preserve">as he prepares for retirement </w:t>
      </w:r>
      <w:r w:rsidRPr="007A45EA">
        <w:rPr>
          <w:rFonts w:asciiTheme="minorHAnsi" w:hAnsiTheme="minorHAnsi" w:cstheme="minorHAnsi"/>
        </w:rPr>
        <w:t>and desires to transfer the ownership of the Center to the Applicant</w:t>
      </w:r>
      <w:r>
        <w:rPr>
          <w:rFonts w:asciiTheme="minorHAnsi" w:hAnsiTheme="minorHAnsi" w:cstheme="minorHAnsi"/>
        </w:rPr>
        <w:t>,</w:t>
      </w:r>
      <w:r w:rsidRPr="007A45EA">
        <w:rPr>
          <w:rFonts w:asciiTheme="minorHAnsi" w:hAnsiTheme="minorHAnsi" w:cstheme="minorHAnsi"/>
        </w:rPr>
        <w:t xml:space="preserve"> who will </w:t>
      </w:r>
      <w:r>
        <w:rPr>
          <w:rFonts w:asciiTheme="minorHAnsi" w:hAnsiTheme="minorHAnsi" w:cstheme="minorHAnsi"/>
        </w:rPr>
        <w:t xml:space="preserve">continue to </w:t>
      </w:r>
      <w:r w:rsidRPr="007A45EA">
        <w:rPr>
          <w:rFonts w:asciiTheme="minorHAnsi" w:hAnsiTheme="minorHAnsi" w:cstheme="minorHAnsi"/>
        </w:rPr>
        <w:t xml:space="preserve">operate </w:t>
      </w:r>
      <w:r>
        <w:rPr>
          <w:rFonts w:asciiTheme="minorHAnsi" w:hAnsiTheme="minorHAnsi" w:cstheme="minorHAnsi"/>
        </w:rPr>
        <w:t>the Center</w:t>
      </w:r>
      <w:r w:rsidRPr="007A45EA">
        <w:rPr>
          <w:rFonts w:asciiTheme="minorHAnsi" w:hAnsiTheme="minorHAnsi" w:cstheme="minorHAnsi"/>
        </w:rPr>
        <w:t xml:space="preserve"> as a single specialty</w:t>
      </w:r>
      <w:r>
        <w:rPr>
          <w:rFonts w:asciiTheme="minorHAnsi" w:hAnsiTheme="minorHAnsi" w:cstheme="minorHAnsi"/>
        </w:rPr>
        <w:t xml:space="preserve"> ASC.</w:t>
      </w:r>
      <w:r w:rsidR="008A4186">
        <w:rPr>
          <w:rFonts w:asciiTheme="minorHAnsi" w:hAnsiTheme="minorHAnsi" w:cstheme="minorHAnsi"/>
        </w:rPr>
        <w:t xml:space="preserve">  </w:t>
      </w:r>
      <w:r>
        <w:rPr>
          <w:rFonts w:asciiTheme="minorHAnsi" w:hAnsiTheme="minorHAnsi" w:cstheme="minorHAnsi"/>
        </w:rPr>
        <w:t xml:space="preserve">Instead of continuing to provide pain management services, </w:t>
      </w:r>
      <w:r w:rsidR="004D3B9B">
        <w:rPr>
          <w:rFonts w:asciiTheme="minorHAnsi" w:hAnsiTheme="minorHAnsi" w:cstheme="minorHAnsi"/>
        </w:rPr>
        <w:t xml:space="preserve">however, </w:t>
      </w:r>
      <w:r>
        <w:rPr>
          <w:rFonts w:asciiTheme="minorHAnsi" w:hAnsiTheme="minorHAnsi" w:cstheme="minorHAnsi"/>
        </w:rPr>
        <w:t>the Applicant will use the Center to provide high-acuity dental procedures and surgeries (“High Acuity Dental Surgeries”) for pediatric and special needs patients who require these services under general anesthesia and are not well served in an office or hospital operating room</w:t>
      </w:r>
      <w:r w:rsidR="00BC72C5">
        <w:rPr>
          <w:rFonts w:asciiTheme="minorHAnsi" w:hAnsiTheme="minorHAnsi" w:cstheme="minorHAnsi"/>
        </w:rPr>
        <w:t xml:space="preserve"> (the “Applicant’s Patient Population” or “Patient Population”)</w:t>
      </w:r>
      <w:r w:rsidRPr="007A45EA">
        <w:rPr>
          <w:rFonts w:asciiTheme="minorHAnsi" w:hAnsiTheme="minorHAnsi" w:cstheme="minorHAnsi"/>
        </w:rPr>
        <w:t xml:space="preserve">.   </w:t>
      </w:r>
    </w:p>
    <w:p w14:paraId="19BF5F01" w14:textId="11CC9C46" w:rsidR="006B2043" w:rsidRDefault="006B2043" w:rsidP="006B2043">
      <w:pPr>
        <w:jc w:val="both"/>
        <w:rPr>
          <w:rFonts w:asciiTheme="minorHAnsi" w:hAnsiTheme="minorHAnsi" w:cstheme="minorHAnsi"/>
        </w:rPr>
      </w:pPr>
      <w:proofErr w:type="gramStart"/>
      <w:r w:rsidRPr="007A45EA">
        <w:rPr>
          <w:rFonts w:asciiTheme="minorHAnsi" w:hAnsiTheme="minorHAnsi" w:cstheme="minorHAnsi"/>
        </w:rPr>
        <w:t>Applicant</w:t>
      </w:r>
      <w:proofErr w:type="gramEnd"/>
      <w:r w:rsidRPr="007A45EA">
        <w:rPr>
          <w:rFonts w:asciiTheme="minorHAnsi" w:hAnsiTheme="minorHAnsi" w:cstheme="minorHAnsi"/>
        </w:rPr>
        <w:t>, a market leader in operating ASCs for pediatric dental patients, established its first ASC in 2010</w:t>
      </w:r>
      <w:r>
        <w:rPr>
          <w:rFonts w:asciiTheme="minorHAnsi" w:hAnsiTheme="minorHAnsi" w:cstheme="minorHAnsi"/>
        </w:rPr>
        <w:t xml:space="preserve"> to serve </w:t>
      </w:r>
      <w:r w:rsidR="00BC72C5">
        <w:rPr>
          <w:rFonts w:asciiTheme="minorHAnsi" w:hAnsiTheme="minorHAnsi" w:cstheme="minorHAnsi"/>
        </w:rPr>
        <w:t>its P</w:t>
      </w:r>
      <w:r>
        <w:rPr>
          <w:rFonts w:asciiTheme="minorHAnsi" w:hAnsiTheme="minorHAnsi" w:cstheme="minorHAnsi"/>
        </w:rPr>
        <w:t xml:space="preserve">atient </w:t>
      </w:r>
      <w:r w:rsidR="00BC72C5">
        <w:rPr>
          <w:rFonts w:asciiTheme="minorHAnsi" w:hAnsiTheme="minorHAnsi" w:cstheme="minorHAnsi"/>
        </w:rPr>
        <w:t>P</w:t>
      </w:r>
      <w:r>
        <w:rPr>
          <w:rFonts w:asciiTheme="minorHAnsi" w:hAnsiTheme="minorHAnsi" w:cstheme="minorHAnsi"/>
        </w:rPr>
        <w:t xml:space="preserve">opulation. </w:t>
      </w:r>
      <w:r w:rsidRPr="007A45EA">
        <w:rPr>
          <w:rFonts w:asciiTheme="minorHAnsi" w:hAnsiTheme="minorHAnsi" w:cstheme="minorHAnsi"/>
        </w:rPr>
        <w:t>Since 2010, the Applicant has expanded</w:t>
      </w:r>
      <w:r>
        <w:rPr>
          <w:rFonts w:asciiTheme="minorHAnsi" w:hAnsiTheme="minorHAnsi" w:cstheme="minorHAnsi"/>
        </w:rPr>
        <w:t xml:space="preserve"> its ASCs </w:t>
      </w:r>
      <w:r w:rsidRPr="007A45EA">
        <w:rPr>
          <w:rFonts w:asciiTheme="minorHAnsi" w:hAnsiTheme="minorHAnsi" w:cstheme="minorHAnsi"/>
        </w:rPr>
        <w:t xml:space="preserve">into 15 states.  </w:t>
      </w:r>
      <w:r>
        <w:rPr>
          <w:rFonts w:asciiTheme="minorHAnsi" w:hAnsiTheme="minorHAnsi" w:cstheme="minorHAnsi"/>
        </w:rPr>
        <w:t>The Applicant’s mission</w:t>
      </w:r>
      <w:r w:rsidRPr="007A45EA">
        <w:rPr>
          <w:rFonts w:asciiTheme="minorHAnsi" w:hAnsiTheme="minorHAnsi" w:cstheme="minorHAnsi"/>
        </w:rPr>
        <w:t xml:space="preserve"> is to expand access to high quality dental care to an</w:t>
      </w:r>
      <w:r>
        <w:rPr>
          <w:rFonts w:asciiTheme="minorHAnsi" w:hAnsiTheme="minorHAnsi" w:cstheme="minorHAnsi"/>
        </w:rPr>
        <w:t xml:space="preserve"> underserved and historically overlooked</w:t>
      </w:r>
      <w:r w:rsidRPr="007A45EA">
        <w:rPr>
          <w:rFonts w:asciiTheme="minorHAnsi" w:hAnsiTheme="minorHAnsi" w:cstheme="minorHAnsi"/>
        </w:rPr>
        <w:t xml:space="preserve"> population while reducing costs for </w:t>
      </w:r>
      <w:r>
        <w:rPr>
          <w:rFonts w:asciiTheme="minorHAnsi" w:hAnsiTheme="minorHAnsi" w:cstheme="minorHAnsi"/>
        </w:rPr>
        <w:t xml:space="preserve">both </w:t>
      </w:r>
      <w:r w:rsidRPr="007A45EA">
        <w:rPr>
          <w:rFonts w:asciiTheme="minorHAnsi" w:hAnsiTheme="minorHAnsi" w:cstheme="minorHAnsi"/>
        </w:rPr>
        <w:t>patients and payors</w:t>
      </w:r>
      <w:r>
        <w:rPr>
          <w:rFonts w:asciiTheme="minorHAnsi" w:hAnsiTheme="minorHAnsi" w:cstheme="minorHAnsi"/>
        </w:rPr>
        <w:t xml:space="preserve">.  </w:t>
      </w:r>
      <w:r w:rsidR="00BC72C5">
        <w:rPr>
          <w:rFonts w:asciiTheme="minorHAnsi" w:hAnsiTheme="minorHAnsi" w:cstheme="minorHAnsi"/>
        </w:rPr>
        <w:t>The Applicant’s</w:t>
      </w:r>
      <w:r>
        <w:rPr>
          <w:rFonts w:asciiTheme="minorHAnsi" w:hAnsiTheme="minorHAnsi" w:cstheme="minorHAnsi"/>
        </w:rPr>
        <w:t xml:space="preserve"> P</w:t>
      </w:r>
      <w:r w:rsidRPr="007A45EA">
        <w:rPr>
          <w:rFonts w:asciiTheme="minorHAnsi" w:hAnsiTheme="minorHAnsi" w:cstheme="minorHAnsi"/>
        </w:rPr>
        <w:t xml:space="preserve">atient </w:t>
      </w:r>
      <w:r>
        <w:rPr>
          <w:rFonts w:asciiTheme="minorHAnsi" w:hAnsiTheme="minorHAnsi" w:cstheme="minorHAnsi"/>
        </w:rPr>
        <w:t>P</w:t>
      </w:r>
      <w:r w:rsidRPr="007A45EA">
        <w:rPr>
          <w:rFonts w:asciiTheme="minorHAnsi" w:hAnsiTheme="minorHAnsi" w:cstheme="minorHAnsi"/>
        </w:rPr>
        <w:t xml:space="preserve">opulation aligns with this </w:t>
      </w:r>
      <w:r>
        <w:rPr>
          <w:rFonts w:asciiTheme="minorHAnsi" w:hAnsiTheme="minorHAnsi" w:cstheme="minorHAnsi"/>
        </w:rPr>
        <w:t>m</w:t>
      </w:r>
      <w:r w:rsidRPr="007A45EA">
        <w:rPr>
          <w:rFonts w:asciiTheme="minorHAnsi" w:hAnsiTheme="minorHAnsi" w:cstheme="minorHAnsi"/>
        </w:rPr>
        <w:t xml:space="preserve">ission as </w:t>
      </w:r>
      <w:r>
        <w:rPr>
          <w:rFonts w:asciiTheme="minorHAnsi" w:hAnsiTheme="minorHAnsi" w:cstheme="minorHAnsi"/>
        </w:rPr>
        <w:t>its patients are predominately pediatric Medicaid patients</w:t>
      </w:r>
      <w:r w:rsidRPr="007A45EA">
        <w:rPr>
          <w:rFonts w:asciiTheme="minorHAnsi" w:hAnsiTheme="minorHAnsi" w:cstheme="minorHAnsi"/>
        </w:rPr>
        <w:t>, the majority</w:t>
      </w:r>
      <w:r>
        <w:rPr>
          <w:rFonts w:asciiTheme="minorHAnsi" w:hAnsiTheme="minorHAnsi" w:cstheme="minorHAnsi"/>
        </w:rPr>
        <w:t xml:space="preserve"> of which</w:t>
      </w:r>
      <w:r w:rsidRPr="007A45EA">
        <w:rPr>
          <w:rFonts w:asciiTheme="minorHAnsi" w:hAnsiTheme="minorHAnsi" w:cstheme="minorHAnsi"/>
        </w:rPr>
        <w:t xml:space="preserve"> are under the age of </w:t>
      </w:r>
      <w:r>
        <w:rPr>
          <w:rFonts w:asciiTheme="minorHAnsi" w:hAnsiTheme="minorHAnsi" w:cstheme="minorHAnsi"/>
        </w:rPr>
        <w:t xml:space="preserve">nine.  The Applicant also serves a special needs population, which includes both children and adult patients.  Across all the Applicant’s ASCs, it serves a disproportionate share of Medicaid and Children Health Initiative Program (“CHIP”) beneficiaries </w:t>
      </w:r>
      <w:r w:rsidR="00654515">
        <w:rPr>
          <w:rFonts w:asciiTheme="minorHAnsi" w:hAnsiTheme="minorHAnsi" w:cstheme="minorHAnsi"/>
        </w:rPr>
        <w:t>- approximately</w:t>
      </w:r>
      <w:r>
        <w:rPr>
          <w:rFonts w:asciiTheme="minorHAnsi" w:hAnsiTheme="minorHAnsi" w:cstheme="minorHAnsi"/>
        </w:rPr>
        <w:t xml:space="preserve"> 9</w:t>
      </w:r>
      <w:r w:rsidR="008A4186">
        <w:rPr>
          <w:rFonts w:asciiTheme="minorHAnsi" w:hAnsiTheme="minorHAnsi" w:cstheme="minorHAnsi"/>
        </w:rPr>
        <w:t>4</w:t>
      </w:r>
      <w:r w:rsidR="00CC1FB5">
        <w:rPr>
          <w:rFonts w:asciiTheme="minorHAnsi" w:hAnsiTheme="minorHAnsi" w:cstheme="minorHAnsi"/>
        </w:rPr>
        <w:t xml:space="preserve"> percent</w:t>
      </w:r>
      <w:r>
        <w:rPr>
          <w:rFonts w:asciiTheme="minorHAnsi" w:hAnsiTheme="minorHAnsi" w:cstheme="minorHAnsi"/>
        </w:rPr>
        <w:t xml:space="preserve">.  </w:t>
      </w:r>
    </w:p>
    <w:p w14:paraId="5DAC69E0" w14:textId="73A56FD2" w:rsidR="006B2043" w:rsidRPr="007A45EA" w:rsidRDefault="006B2043" w:rsidP="006B2043">
      <w:pPr>
        <w:jc w:val="both"/>
        <w:rPr>
          <w:rFonts w:asciiTheme="minorHAnsi" w:hAnsiTheme="minorHAnsi" w:cstheme="minorHAnsi"/>
        </w:rPr>
      </w:pPr>
      <w:r w:rsidRPr="007A45EA">
        <w:rPr>
          <w:rFonts w:asciiTheme="minorHAnsi" w:hAnsiTheme="minorHAnsi" w:cstheme="minorHAnsi"/>
        </w:rPr>
        <w:t xml:space="preserve">The Applicant is committed to ensuring that </w:t>
      </w:r>
      <w:r>
        <w:rPr>
          <w:rFonts w:asciiTheme="minorHAnsi" w:hAnsiTheme="minorHAnsi" w:cstheme="minorHAnsi"/>
        </w:rPr>
        <w:t xml:space="preserve">the </w:t>
      </w:r>
      <w:r w:rsidR="00222EC9">
        <w:rPr>
          <w:rFonts w:asciiTheme="minorHAnsi" w:hAnsiTheme="minorHAnsi" w:cstheme="minorHAnsi"/>
        </w:rPr>
        <w:t>P</w:t>
      </w:r>
      <w:r>
        <w:rPr>
          <w:rFonts w:asciiTheme="minorHAnsi" w:hAnsiTheme="minorHAnsi" w:cstheme="minorHAnsi"/>
        </w:rPr>
        <w:t xml:space="preserve">atient </w:t>
      </w:r>
      <w:r w:rsidR="00222EC9">
        <w:rPr>
          <w:rFonts w:asciiTheme="minorHAnsi" w:hAnsiTheme="minorHAnsi" w:cstheme="minorHAnsi"/>
        </w:rPr>
        <w:t>P</w:t>
      </w:r>
      <w:r>
        <w:rPr>
          <w:rFonts w:asciiTheme="minorHAnsi" w:hAnsiTheme="minorHAnsi" w:cstheme="minorHAnsi"/>
        </w:rPr>
        <w:t>anel that will be served</w:t>
      </w:r>
      <w:r w:rsidRPr="007A45EA">
        <w:rPr>
          <w:rFonts w:asciiTheme="minorHAnsi" w:hAnsiTheme="minorHAnsi" w:cstheme="minorHAnsi"/>
        </w:rPr>
        <w:t xml:space="preserve"> at the Center has timely, convenient access to medically necessary </w:t>
      </w:r>
      <w:r>
        <w:rPr>
          <w:rFonts w:asciiTheme="minorHAnsi" w:hAnsiTheme="minorHAnsi" w:cstheme="minorHAnsi"/>
        </w:rPr>
        <w:t>High Acuity Dental Surgeries.</w:t>
      </w:r>
      <w:r w:rsidRPr="007A45EA">
        <w:rPr>
          <w:rFonts w:asciiTheme="minorHAnsi" w:hAnsiTheme="minorHAnsi" w:cstheme="minorHAnsi"/>
        </w:rPr>
        <w:t xml:space="preserve"> </w:t>
      </w:r>
      <w:r>
        <w:rPr>
          <w:rFonts w:asciiTheme="minorHAnsi" w:hAnsiTheme="minorHAnsi" w:cstheme="minorHAnsi"/>
        </w:rPr>
        <w:t xml:space="preserve">In Massachusetts, High Acuity Dental Surgeries </w:t>
      </w:r>
      <w:r w:rsidRPr="007A45EA">
        <w:rPr>
          <w:rFonts w:asciiTheme="minorHAnsi" w:hAnsiTheme="minorHAnsi" w:cstheme="minorHAnsi"/>
        </w:rPr>
        <w:t xml:space="preserve">are currently provided </w:t>
      </w:r>
      <w:r>
        <w:rPr>
          <w:rFonts w:asciiTheme="minorHAnsi" w:hAnsiTheme="minorHAnsi" w:cstheme="minorHAnsi"/>
        </w:rPr>
        <w:t>to the Blu</w:t>
      </w:r>
      <w:r w:rsidR="004D3B9B">
        <w:rPr>
          <w:rFonts w:asciiTheme="minorHAnsi" w:hAnsiTheme="minorHAnsi" w:cstheme="minorHAnsi"/>
        </w:rPr>
        <w:t>e</w:t>
      </w:r>
      <w:r>
        <w:rPr>
          <w:rFonts w:asciiTheme="minorHAnsi" w:hAnsiTheme="minorHAnsi" w:cstheme="minorHAnsi"/>
        </w:rPr>
        <w:t xml:space="preserve"> Cloud Patient Population as outpatient procedures in</w:t>
      </w:r>
      <w:r w:rsidRPr="007A45EA">
        <w:rPr>
          <w:rFonts w:asciiTheme="minorHAnsi" w:hAnsiTheme="minorHAnsi" w:cstheme="minorHAnsi"/>
        </w:rPr>
        <w:t xml:space="preserve"> hospital operating rooms</w:t>
      </w:r>
      <w:r>
        <w:rPr>
          <w:rFonts w:asciiTheme="minorHAnsi" w:hAnsiTheme="minorHAnsi" w:cstheme="minorHAnsi"/>
        </w:rPr>
        <w:t xml:space="preserve"> </w:t>
      </w:r>
      <w:r w:rsidR="008A4186">
        <w:rPr>
          <w:rFonts w:asciiTheme="minorHAnsi" w:hAnsiTheme="minorHAnsi" w:cstheme="minorHAnsi"/>
        </w:rPr>
        <w:t>(“HOPDs”)</w:t>
      </w:r>
      <w:r w:rsidR="004D3B9B">
        <w:rPr>
          <w:rFonts w:asciiTheme="minorHAnsi" w:hAnsiTheme="minorHAnsi" w:cstheme="minorHAnsi"/>
        </w:rPr>
        <w:t xml:space="preserve">, </w:t>
      </w:r>
      <w:r w:rsidRPr="007A45EA">
        <w:rPr>
          <w:rFonts w:asciiTheme="minorHAnsi" w:hAnsiTheme="minorHAnsi" w:cstheme="minorHAnsi"/>
        </w:rPr>
        <w:t xml:space="preserve">where </w:t>
      </w:r>
      <w:r w:rsidR="00BC72C5">
        <w:rPr>
          <w:rFonts w:asciiTheme="minorHAnsi" w:hAnsiTheme="minorHAnsi" w:cstheme="minorHAnsi"/>
        </w:rPr>
        <w:t>p</w:t>
      </w:r>
      <w:r>
        <w:rPr>
          <w:rFonts w:asciiTheme="minorHAnsi" w:hAnsiTheme="minorHAnsi" w:cstheme="minorHAnsi"/>
        </w:rPr>
        <w:t>atient</w:t>
      </w:r>
      <w:r w:rsidR="00BC72C5">
        <w:rPr>
          <w:rFonts w:asciiTheme="minorHAnsi" w:hAnsiTheme="minorHAnsi" w:cstheme="minorHAnsi"/>
        </w:rPr>
        <w:t>s</w:t>
      </w:r>
      <w:r>
        <w:rPr>
          <w:rFonts w:asciiTheme="minorHAnsi" w:hAnsiTheme="minorHAnsi" w:cstheme="minorHAnsi"/>
        </w:rPr>
        <w:t xml:space="preserve"> </w:t>
      </w:r>
      <w:r w:rsidR="00BC72C5">
        <w:rPr>
          <w:rFonts w:asciiTheme="minorHAnsi" w:hAnsiTheme="minorHAnsi" w:cstheme="minorHAnsi"/>
        </w:rPr>
        <w:t>e</w:t>
      </w:r>
      <w:r>
        <w:rPr>
          <w:rFonts w:asciiTheme="minorHAnsi" w:hAnsiTheme="minorHAnsi" w:cstheme="minorHAnsi"/>
        </w:rPr>
        <w:t>ncounter</w:t>
      </w:r>
      <w:r w:rsidRPr="007A45EA">
        <w:rPr>
          <w:rFonts w:asciiTheme="minorHAnsi" w:hAnsiTheme="minorHAnsi" w:cstheme="minorHAnsi"/>
        </w:rPr>
        <w:t xml:space="preserve"> long wait times</w:t>
      </w:r>
      <w:r>
        <w:rPr>
          <w:rFonts w:asciiTheme="minorHAnsi" w:hAnsiTheme="minorHAnsi" w:cstheme="minorHAnsi"/>
        </w:rPr>
        <w:t xml:space="preserve">, </w:t>
      </w:r>
      <w:r w:rsidRPr="007A45EA">
        <w:rPr>
          <w:rFonts w:asciiTheme="minorHAnsi" w:hAnsiTheme="minorHAnsi" w:cstheme="minorHAnsi"/>
        </w:rPr>
        <w:t xml:space="preserve">or </w:t>
      </w:r>
      <w:r w:rsidR="004D3B9B">
        <w:rPr>
          <w:rFonts w:asciiTheme="minorHAnsi" w:hAnsiTheme="minorHAnsi" w:cstheme="minorHAnsi"/>
        </w:rPr>
        <w:t>in a</w:t>
      </w:r>
      <w:r w:rsidRPr="007A45EA">
        <w:rPr>
          <w:rFonts w:asciiTheme="minorHAnsi" w:hAnsiTheme="minorHAnsi" w:cstheme="minorHAnsi"/>
        </w:rPr>
        <w:t xml:space="preserve"> less-than-ideal setting </w:t>
      </w:r>
      <w:r w:rsidR="004D3B9B">
        <w:rPr>
          <w:rFonts w:asciiTheme="minorHAnsi" w:hAnsiTheme="minorHAnsi" w:cstheme="minorHAnsi"/>
        </w:rPr>
        <w:t>of a</w:t>
      </w:r>
      <w:r>
        <w:rPr>
          <w:rFonts w:asciiTheme="minorHAnsi" w:hAnsiTheme="minorHAnsi" w:cstheme="minorHAnsi"/>
        </w:rPr>
        <w:t xml:space="preserve"> standard</w:t>
      </w:r>
      <w:r w:rsidRPr="007A45EA">
        <w:rPr>
          <w:rFonts w:asciiTheme="minorHAnsi" w:hAnsiTheme="minorHAnsi" w:cstheme="minorHAnsi"/>
        </w:rPr>
        <w:t xml:space="preserve"> dental office. The Applicant will partner with </w:t>
      </w:r>
      <w:r w:rsidR="008A4186">
        <w:rPr>
          <w:rFonts w:asciiTheme="minorHAnsi" w:hAnsiTheme="minorHAnsi" w:cstheme="minorHAnsi"/>
        </w:rPr>
        <w:t xml:space="preserve">federally qualified </w:t>
      </w:r>
      <w:r w:rsidRPr="007A45EA">
        <w:rPr>
          <w:rFonts w:asciiTheme="minorHAnsi" w:hAnsiTheme="minorHAnsi" w:cstheme="minorHAnsi"/>
        </w:rPr>
        <w:t>community health centers</w:t>
      </w:r>
      <w:r w:rsidR="008A4186">
        <w:rPr>
          <w:rFonts w:asciiTheme="minorHAnsi" w:hAnsiTheme="minorHAnsi" w:cstheme="minorHAnsi"/>
        </w:rPr>
        <w:t xml:space="preserve"> (“FQHCs”)</w:t>
      </w:r>
      <w:r w:rsidRPr="007A45EA">
        <w:rPr>
          <w:rFonts w:asciiTheme="minorHAnsi" w:hAnsiTheme="minorHAnsi" w:cstheme="minorHAnsi"/>
        </w:rPr>
        <w:t xml:space="preserve"> and pediatric </w:t>
      </w:r>
      <w:r>
        <w:rPr>
          <w:rFonts w:asciiTheme="minorHAnsi" w:hAnsiTheme="minorHAnsi" w:cstheme="minorHAnsi"/>
        </w:rPr>
        <w:t xml:space="preserve">and general </w:t>
      </w:r>
      <w:r w:rsidRPr="007A45EA">
        <w:rPr>
          <w:rFonts w:asciiTheme="minorHAnsi" w:hAnsiTheme="minorHAnsi" w:cstheme="minorHAnsi"/>
        </w:rPr>
        <w:t xml:space="preserve">dentists to ensure that only clinically appropriate </w:t>
      </w:r>
      <w:r>
        <w:rPr>
          <w:rFonts w:asciiTheme="minorHAnsi" w:hAnsiTheme="minorHAnsi" w:cstheme="minorHAnsi"/>
        </w:rPr>
        <w:t>High Acuity Dental Surgeries</w:t>
      </w:r>
      <w:r w:rsidRPr="007A45EA">
        <w:rPr>
          <w:rFonts w:asciiTheme="minorHAnsi" w:hAnsiTheme="minorHAnsi" w:cstheme="minorHAnsi"/>
        </w:rPr>
        <w:t xml:space="preserve"> are provided at the Center.</w:t>
      </w:r>
      <w:r>
        <w:rPr>
          <w:rFonts w:asciiTheme="minorHAnsi" w:hAnsiTheme="minorHAnsi" w:cstheme="minorHAnsi"/>
        </w:rPr>
        <w:t xml:space="preserve">  </w:t>
      </w:r>
      <w:r w:rsidR="004D3B9B">
        <w:rPr>
          <w:rFonts w:asciiTheme="minorHAnsi" w:hAnsiTheme="minorHAnsi" w:cstheme="minorHAnsi"/>
        </w:rPr>
        <w:t xml:space="preserve">This model is replicated with success at all its existing </w:t>
      </w:r>
      <w:proofErr w:type="gramStart"/>
      <w:r w:rsidR="004D3B9B">
        <w:rPr>
          <w:rFonts w:asciiTheme="minorHAnsi" w:hAnsiTheme="minorHAnsi" w:cstheme="minorHAnsi"/>
        </w:rPr>
        <w:t>ASCs, and</w:t>
      </w:r>
      <w:proofErr w:type="gramEnd"/>
      <w:r w:rsidR="004D3B9B">
        <w:rPr>
          <w:rFonts w:asciiTheme="minorHAnsi" w:hAnsiTheme="minorHAnsi" w:cstheme="minorHAnsi"/>
        </w:rPr>
        <w:t xml:space="preserve"> has proven effective at improving health outcomes for its patient population, </w:t>
      </w:r>
      <w:r>
        <w:rPr>
          <w:rFonts w:asciiTheme="minorHAnsi" w:hAnsiTheme="minorHAnsi" w:cstheme="minorHAnsi"/>
        </w:rPr>
        <w:t>ranging from</w:t>
      </w:r>
      <w:r w:rsidRPr="007A45EA">
        <w:rPr>
          <w:rFonts w:asciiTheme="minorHAnsi" w:hAnsiTheme="minorHAnsi" w:cstheme="minorHAnsi"/>
        </w:rPr>
        <w:t xml:space="preserve"> </w:t>
      </w:r>
      <w:r w:rsidR="004D3B9B">
        <w:rPr>
          <w:rFonts w:asciiTheme="minorHAnsi" w:hAnsiTheme="minorHAnsi" w:cstheme="minorHAnsi"/>
        </w:rPr>
        <w:t xml:space="preserve">the </w:t>
      </w:r>
      <w:r w:rsidR="004D3B9B">
        <w:rPr>
          <w:rFonts w:asciiTheme="minorHAnsi" w:hAnsiTheme="minorHAnsi" w:cstheme="minorHAnsi"/>
        </w:rPr>
        <w:lastRenderedPageBreak/>
        <w:t>prevention of</w:t>
      </w:r>
      <w:r w:rsidR="004D3B9B" w:rsidRPr="007A45EA">
        <w:rPr>
          <w:rFonts w:asciiTheme="minorHAnsi" w:hAnsiTheme="minorHAnsi" w:cstheme="minorHAnsi"/>
        </w:rPr>
        <w:t xml:space="preserve"> </w:t>
      </w:r>
      <w:r w:rsidRPr="007A45EA">
        <w:rPr>
          <w:rFonts w:asciiTheme="minorHAnsi" w:hAnsiTheme="minorHAnsi" w:cstheme="minorHAnsi"/>
        </w:rPr>
        <w:t xml:space="preserve">speech impediments dietary abnormalities and </w:t>
      </w:r>
      <w:r w:rsidR="004D3B9B" w:rsidRPr="007A45EA">
        <w:rPr>
          <w:rFonts w:asciiTheme="minorHAnsi" w:hAnsiTheme="minorHAnsi" w:cstheme="minorHAnsi"/>
        </w:rPr>
        <w:t>malnourishment</w:t>
      </w:r>
      <w:r w:rsidR="004D3B9B">
        <w:rPr>
          <w:rFonts w:asciiTheme="minorHAnsi" w:hAnsiTheme="minorHAnsi" w:cstheme="minorHAnsi"/>
        </w:rPr>
        <w:t>,</w:t>
      </w:r>
      <w:r w:rsidR="004D3B9B" w:rsidRPr="007A45EA">
        <w:rPr>
          <w:rFonts w:asciiTheme="minorHAnsi" w:hAnsiTheme="minorHAnsi" w:cstheme="minorHAnsi"/>
        </w:rPr>
        <w:t xml:space="preserve"> to</w:t>
      </w:r>
      <w:r w:rsidRPr="007A45EA">
        <w:rPr>
          <w:rFonts w:asciiTheme="minorHAnsi" w:hAnsiTheme="minorHAnsi" w:cstheme="minorHAnsi"/>
        </w:rPr>
        <w:t xml:space="preserve"> increas</w:t>
      </w:r>
      <w:r>
        <w:rPr>
          <w:rFonts w:asciiTheme="minorHAnsi" w:hAnsiTheme="minorHAnsi" w:cstheme="minorHAnsi"/>
        </w:rPr>
        <w:t>ing</w:t>
      </w:r>
      <w:r w:rsidRPr="007A45EA">
        <w:rPr>
          <w:rFonts w:asciiTheme="minorHAnsi" w:hAnsiTheme="minorHAnsi" w:cstheme="minorHAnsi"/>
        </w:rPr>
        <w:t xml:space="preserve"> </w:t>
      </w:r>
      <w:r>
        <w:rPr>
          <w:rFonts w:asciiTheme="minorHAnsi" w:hAnsiTheme="minorHAnsi" w:cstheme="minorHAnsi"/>
        </w:rPr>
        <w:t xml:space="preserve">patients’ </w:t>
      </w:r>
      <w:r w:rsidRPr="007A45EA">
        <w:rPr>
          <w:rFonts w:asciiTheme="minorHAnsi" w:hAnsiTheme="minorHAnsi" w:cstheme="minorHAnsi"/>
        </w:rPr>
        <w:t xml:space="preserve">self-esteem and confidence. </w:t>
      </w:r>
    </w:p>
    <w:p w14:paraId="3A669F46" w14:textId="2EBFFC13" w:rsidR="006B2043" w:rsidRDefault="006B2043" w:rsidP="006B2043">
      <w:pPr>
        <w:jc w:val="both"/>
        <w:rPr>
          <w:rFonts w:asciiTheme="minorHAnsi" w:hAnsiTheme="minorHAnsi" w:cstheme="minorHAnsi"/>
        </w:rPr>
      </w:pPr>
      <w:r>
        <w:rPr>
          <w:rFonts w:asciiTheme="minorHAnsi" w:hAnsiTheme="minorHAnsi" w:cstheme="minorHAnsi"/>
        </w:rPr>
        <w:t>The</w:t>
      </w:r>
      <w:r w:rsidRPr="007A45EA">
        <w:rPr>
          <w:rFonts w:asciiTheme="minorHAnsi" w:hAnsiTheme="minorHAnsi" w:cstheme="minorHAnsi"/>
        </w:rPr>
        <w:t xml:space="preserve"> Proposed Project</w:t>
      </w:r>
      <w:r>
        <w:rPr>
          <w:rFonts w:asciiTheme="minorHAnsi" w:hAnsiTheme="minorHAnsi" w:cstheme="minorHAnsi"/>
        </w:rPr>
        <w:t xml:space="preserve"> will allow the Applicant to open its first ASC in Massachusetts</w:t>
      </w:r>
      <w:r w:rsidR="004D3B9B">
        <w:rPr>
          <w:rFonts w:asciiTheme="minorHAnsi" w:hAnsiTheme="minorHAnsi" w:cstheme="minorHAnsi"/>
        </w:rPr>
        <w:t>,</w:t>
      </w:r>
      <w:r>
        <w:rPr>
          <w:rFonts w:asciiTheme="minorHAnsi" w:hAnsiTheme="minorHAnsi" w:cstheme="minorHAnsi"/>
        </w:rPr>
        <w:t xml:space="preserve"> where it can </w:t>
      </w:r>
      <w:r w:rsidRPr="007A45EA">
        <w:rPr>
          <w:rFonts w:asciiTheme="minorHAnsi" w:hAnsiTheme="minorHAnsi" w:cstheme="minorHAnsi"/>
        </w:rPr>
        <w:t xml:space="preserve">focus on care delivery </w:t>
      </w:r>
      <w:r>
        <w:rPr>
          <w:rFonts w:asciiTheme="minorHAnsi" w:hAnsiTheme="minorHAnsi" w:cstheme="minorHAnsi"/>
        </w:rPr>
        <w:t xml:space="preserve">that </w:t>
      </w:r>
      <w:r w:rsidRPr="007A45EA">
        <w:rPr>
          <w:rFonts w:asciiTheme="minorHAnsi" w:hAnsiTheme="minorHAnsi" w:cstheme="minorHAnsi"/>
        </w:rPr>
        <w:t xml:space="preserve">aims to reduce overall costs to the health care system, which in turn contributes to the Commonwealth’s goals.  </w:t>
      </w:r>
      <w:r>
        <w:rPr>
          <w:rFonts w:asciiTheme="minorHAnsi" w:hAnsiTheme="minorHAnsi" w:cstheme="minorHAnsi"/>
        </w:rPr>
        <w:t xml:space="preserve">In addition to focusing on care delivery, the Applicant aims to reduce overall costs to the health care system, which symbiotically contributes to the Commonwealth’s goals. </w:t>
      </w:r>
      <w:r w:rsidRPr="007A45EA">
        <w:rPr>
          <w:rFonts w:asciiTheme="minorHAnsi" w:hAnsiTheme="minorHAnsi" w:cstheme="minorHAnsi"/>
        </w:rPr>
        <w:t>The Massachusetts Health Policy Commission (“HPC”) has identified that prices for services performed in ASCs are generally far lower than hospital outpatient departments across all pay</w:t>
      </w:r>
      <w:r>
        <w:rPr>
          <w:rFonts w:asciiTheme="minorHAnsi" w:hAnsiTheme="minorHAnsi" w:cstheme="minorHAnsi"/>
        </w:rPr>
        <w:t>o</w:t>
      </w:r>
      <w:r w:rsidRPr="007A45EA">
        <w:rPr>
          <w:rFonts w:asciiTheme="minorHAnsi" w:hAnsiTheme="minorHAnsi" w:cstheme="minorHAnsi"/>
        </w:rPr>
        <w:t>rs</w:t>
      </w:r>
      <w:r w:rsidRPr="007A45EA">
        <w:rPr>
          <w:rStyle w:val="FootnoteReference"/>
          <w:rFonts w:asciiTheme="minorHAnsi" w:hAnsiTheme="minorHAnsi" w:cstheme="minorHAnsi"/>
        </w:rPr>
        <w:footnoteReference w:id="1"/>
      </w:r>
      <w:r w:rsidRPr="007A45EA">
        <w:rPr>
          <w:rFonts w:asciiTheme="minorHAnsi" w:hAnsiTheme="minorHAnsi" w:cstheme="minorHAnsi"/>
        </w:rPr>
        <w:t xml:space="preserve">. </w:t>
      </w:r>
      <w:r>
        <w:rPr>
          <w:rFonts w:asciiTheme="minorHAnsi" w:hAnsiTheme="minorHAnsi" w:cstheme="minorHAnsi"/>
        </w:rPr>
        <w:t xml:space="preserve"> Additionally, for High Acuity Dental Surgeries that are being performed in the office setting, the ASC </w:t>
      </w:r>
      <w:r w:rsidR="002D0280">
        <w:rPr>
          <w:rFonts w:asciiTheme="minorHAnsi" w:hAnsiTheme="minorHAnsi" w:cstheme="minorHAnsi"/>
        </w:rPr>
        <w:t xml:space="preserve">provides a safer patient care </w:t>
      </w:r>
      <w:proofErr w:type="gramStart"/>
      <w:r w:rsidR="002D0280">
        <w:rPr>
          <w:rFonts w:asciiTheme="minorHAnsi" w:hAnsiTheme="minorHAnsi" w:cstheme="minorHAnsi"/>
        </w:rPr>
        <w:t>setting  which</w:t>
      </w:r>
      <w:proofErr w:type="gramEnd"/>
      <w:r w:rsidR="002D0280">
        <w:rPr>
          <w:rFonts w:asciiTheme="minorHAnsi" w:hAnsiTheme="minorHAnsi" w:cstheme="minorHAnsi"/>
        </w:rPr>
        <w:t xml:space="preserve"> </w:t>
      </w:r>
      <w:r>
        <w:rPr>
          <w:rFonts w:asciiTheme="minorHAnsi" w:hAnsiTheme="minorHAnsi" w:cstheme="minorHAnsi"/>
        </w:rPr>
        <w:t xml:space="preserve">in turn </w:t>
      </w:r>
      <w:r w:rsidR="002D0280">
        <w:rPr>
          <w:rFonts w:asciiTheme="minorHAnsi" w:hAnsiTheme="minorHAnsi" w:cstheme="minorHAnsi"/>
        </w:rPr>
        <w:t>results</w:t>
      </w:r>
      <w:r>
        <w:rPr>
          <w:rFonts w:asciiTheme="minorHAnsi" w:hAnsiTheme="minorHAnsi" w:cstheme="minorHAnsi"/>
        </w:rPr>
        <w:t xml:space="preserve"> in long-term cost savings to patients and the health care system. </w:t>
      </w:r>
      <w:r w:rsidRPr="007A45EA">
        <w:rPr>
          <w:rFonts w:asciiTheme="minorHAnsi" w:hAnsiTheme="minorHAnsi" w:cstheme="minorHAnsi"/>
        </w:rPr>
        <w:t xml:space="preserve"> </w:t>
      </w:r>
      <w:r>
        <w:rPr>
          <w:rFonts w:asciiTheme="minorHAnsi" w:hAnsiTheme="minorHAnsi" w:cstheme="minorHAnsi"/>
        </w:rPr>
        <w:t>Furthermore, as a community provider, the Center will be agile and capable of serving urgent emergency needs for High Acuity Dental Surgeries, thus minimizing pediatric patients’ absences from school and their parents</w:t>
      </w:r>
      <w:r w:rsidR="004D3B9B">
        <w:rPr>
          <w:rFonts w:asciiTheme="minorHAnsi" w:hAnsiTheme="minorHAnsi" w:cstheme="minorHAnsi"/>
        </w:rPr>
        <w:t>’</w:t>
      </w:r>
      <w:r>
        <w:rPr>
          <w:rFonts w:asciiTheme="minorHAnsi" w:hAnsiTheme="minorHAnsi" w:cstheme="minorHAnsi"/>
        </w:rPr>
        <w:t xml:space="preserve">/caregiver’s time away from work, ultimately saving the Commonwealth hours of lost income and productivity.   </w:t>
      </w:r>
    </w:p>
    <w:p w14:paraId="0DF925A9" w14:textId="77777777" w:rsidR="006B2043" w:rsidRDefault="006B2043" w:rsidP="006B2043">
      <w:pPr>
        <w:jc w:val="both"/>
        <w:rPr>
          <w:rFonts w:asciiTheme="minorHAnsi" w:hAnsiTheme="minorHAnsi" w:cstheme="minorHAnsi"/>
        </w:rPr>
      </w:pPr>
      <w:r>
        <w:rPr>
          <w:rFonts w:asciiTheme="minorHAnsi" w:hAnsiTheme="minorHAnsi" w:cstheme="minorHAnsi"/>
        </w:rPr>
        <w:t>Finally, t</w:t>
      </w:r>
      <w:r w:rsidRPr="007A45EA">
        <w:rPr>
          <w:rFonts w:asciiTheme="minorHAnsi" w:hAnsiTheme="minorHAnsi" w:cstheme="minorHAnsi"/>
        </w:rPr>
        <w:t xml:space="preserve">he Applicant’s </w:t>
      </w:r>
      <w:r>
        <w:rPr>
          <w:rFonts w:asciiTheme="minorHAnsi" w:hAnsiTheme="minorHAnsi" w:cstheme="minorHAnsi"/>
        </w:rPr>
        <w:t xml:space="preserve">approach to the </w:t>
      </w:r>
      <w:r w:rsidRPr="007A45EA">
        <w:rPr>
          <w:rFonts w:asciiTheme="minorHAnsi" w:hAnsiTheme="minorHAnsi" w:cstheme="minorHAnsi"/>
        </w:rPr>
        <w:t>patient experience</w:t>
      </w:r>
      <w:r>
        <w:rPr>
          <w:rFonts w:asciiTheme="minorHAnsi" w:hAnsiTheme="minorHAnsi" w:cstheme="minorHAnsi"/>
        </w:rPr>
        <w:t xml:space="preserve"> is built upon a foundation of</w:t>
      </w:r>
      <w:r w:rsidRPr="007A45EA">
        <w:rPr>
          <w:rFonts w:asciiTheme="minorHAnsi" w:hAnsiTheme="minorHAnsi" w:cstheme="minorHAnsi"/>
        </w:rPr>
        <w:t xml:space="preserve"> efficien</w:t>
      </w:r>
      <w:r>
        <w:rPr>
          <w:rFonts w:asciiTheme="minorHAnsi" w:hAnsiTheme="minorHAnsi" w:cstheme="minorHAnsi"/>
        </w:rPr>
        <w:t xml:space="preserve">cy and expertise: efficient </w:t>
      </w:r>
      <w:r w:rsidRPr="007A45EA">
        <w:rPr>
          <w:rFonts w:asciiTheme="minorHAnsi" w:hAnsiTheme="minorHAnsi" w:cstheme="minorHAnsi"/>
        </w:rPr>
        <w:t>scheduling</w:t>
      </w:r>
      <w:r>
        <w:rPr>
          <w:rFonts w:asciiTheme="minorHAnsi" w:hAnsiTheme="minorHAnsi" w:cstheme="minorHAnsi"/>
        </w:rPr>
        <w:t xml:space="preserve">, </w:t>
      </w:r>
      <w:r w:rsidRPr="007A45EA">
        <w:rPr>
          <w:rFonts w:asciiTheme="minorHAnsi" w:hAnsiTheme="minorHAnsi" w:cstheme="minorHAnsi"/>
        </w:rPr>
        <w:t>facilit</w:t>
      </w:r>
      <w:r>
        <w:rPr>
          <w:rFonts w:asciiTheme="minorHAnsi" w:hAnsiTheme="minorHAnsi" w:cstheme="minorHAnsi"/>
        </w:rPr>
        <w:t>y operations, and</w:t>
      </w:r>
      <w:r w:rsidRPr="007A45EA">
        <w:rPr>
          <w:rFonts w:asciiTheme="minorHAnsi" w:hAnsiTheme="minorHAnsi" w:cstheme="minorHAnsi"/>
        </w:rPr>
        <w:t xml:space="preserve"> process</w:t>
      </w:r>
      <w:r>
        <w:rPr>
          <w:rFonts w:asciiTheme="minorHAnsi" w:hAnsiTheme="minorHAnsi" w:cstheme="minorHAnsi"/>
        </w:rPr>
        <w:t>es, combined with</w:t>
      </w:r>
      <w:r w:rsidRPr="007A45EA">
        <w:rPr>
          <w:rFonts w:asciiTheme="minorHAnsi" w:hAnsiTheme="minorHAnsi" w:cstheme="minorHAnsi"/>
        </w:rPr>
        <w:t xml:space="preserve"> provider expertise</w:t>
      </w:r>
      <w:r>
        <w:rPr>
          <w:rFonts w:asciiTheme="minorHAnsi" w:hAnsiTheme="minorHAnsi" w:cstheme="minorHAnsi"/>
        </w:rPr>
        <w:t xml:space="preserve"> and compassion,</w:t>
      </w:r>
      <w:r w:rsidRPr="007A45EA">
        <w:rPr>
          <w:rFonts w:asciiTheme="minorHAnsi" w:hAnsiTheme="minorHAnsi" w:cstheme="minorHAnsi"/>
        </w:rPr>
        <w:t xml:space="preserve"> all </w:t>
      </w:r>
      <w:r>
        <w:rPr>
          <w:rFonts w:asciiTheme="minorHAnsi" w:hAnsiTheme="minorHAnsi" w:cstheme="minorHAnsi"/>
        </w:rPr>
        <w:t xml:space="preserve">of which is </w:t>
      </w:r>
      <w:r w:rsidRPr="007A45EA">
        <w:rPr>
          <w:rFonts w:asciiTheme="minorHAnsi" w:hAnsiTheme="minorHAnsi" w:cstheme="minorHAnsi"/>
        </w:rPr>
        <w:t xml:space="preserve">specifically tailored to pediatrics and patients with special needs and their families. </w:t>
      </w:r>
      <w:r>
        <w:rPr>
          <w:rFonts w:asciiTheme="minorHAnsi" w:hAnsiTheme="minorHAnsi" w:cstheme="minorHAnsi"/>
        </w:rPr>
        <w:t xml:space="preserve"> </w:t>
      </w:r>
      <w:proofErr w:type="gramStart"/>
      <w:r>
        <w:rPr>
          <w:rFonts w:asciiTheme="minorHAnsi" w:hAnsiTheme="minorHAnsi" w:cstheme="minorHAnsi"/>
        </w:rPr>
        <w:t>As a whole, the</w:t>
      </w:r>
      <w:proofErr w:type="gramEnd"/>
      <w:r>
        <w:rPr>
          <w:rFonts w:asciiTheme="minorHAnsi" w:hAnsiTheme="minorHAnsi" w:cstheme="minorHAnsi"/>
        </w:rPr>
        <w:t xml:space="preserve"> Proposed Project will greatly contribute to long-term system wide cost savings. </w:t>
      </w:r>
    </w:p>
    <w:p w14:paraId="639B7498" w14:textId="52340618" w:rsidR="009355C9" w:rsidRPr="007A45EA" w:rsidRDefault="00C34AF8" w:rsidP="00CE3D35">
      <w:pPr>
        <w:pStyle w:val="Heading2"/>
      </w:pPr>
      <w:r w:rsidRPr="007A45EA">
        <w:t>6.6</w:t>
      </w:r>
      <w:r w:rsidRPr="007A45EA">
        <w:tab/>
        <w:t xml:space="preserve">In context of responding to each of the Required Factors 1, 3 and 4, consider how the proposed transaction will affect the manner in which the Applicant serves its existing Patient Panel in the context of value (that is </w:t>
      </w:r>
      <w:r w:rsidR="00B30DEF" w:rsidRPr="007A45EA">
        <w:t>cost and quality), and describe</w:t>
      </w:r>
      <w:r w:rsidRPr="007A45EA">
        <w:t xml:space="preserve"> the impact to the Patient Panel in the context of Access, Value (price, cost, outcomes</w:t>
      </w:r>
      <w:r w:rsidR="00153B66" w:rsidRPr="007A45EA">
        <w:t>)</w:t>
      </w:r>
      <w:r w:rsidRPr="007A45EA">
        <w:t xml:space="preserve">, and Health Disparities. </w:t>
      </w:r>
    </w:p>
    <w:p w14:paraId="7E2FC9C6" w14:textId="323E40D2" w:rsidR="006B2043" w:rsidRDefault="006B2043" w:rsidP="006B2043">
      <w:pPr>
        <w:jc w:val="both"/>
        <w:rPr>
          <w:rFonts w:asciiTheme="minorHAnsi" w:hAnsiTheme="minorHAnsi" w:cstheme="minorHAnsi"/>
          <w:szCs w:val="24"/>
        </w:rPr>
      </w:pPr>
      <w:r w:rsidRPr="007A45EA">
        <w:rPr>
          <w:rFonts w:asciiTheme="minorHAnsi" w:hAnsiTheme="minorHAnsi" w:cstheme="minorHAnsi"/>
          <w:szCs w:val="24"/>
        </w:rPr>
        <w:t xml:space="preserve">As noted in the Project Description, the Applicant plans to utilize the Center for the </w:t>
      </w:r>
      <w:r>
        <w:rPr>
          <w:rFonts w:asciiTheme="minorHAnsi" w:hAnsiTheme="minorHAnsi" w:cstheme="minorHAnsi"/>
          <w:szCs w:val="24"/>
        </w:rPr>
        <w:t>High Acuity Dental Surgeries</w:t>
      </w:r>
      <w:r w:rsidRPr="007A45EA">
        <w:rPr>
          <w:rFonts w:asciiTheme="minorHAnsi" w:hAnsiTheme="minorHAnsi" w:cstheme="minorHAnsi"/>
          <w:szCs w:val="24"/>
        </w:rPr>
        <w:t>, which differs from the Seller’s current use.  As Seller has progressed towards retirement</w:t>
      </w:r>
      <w:r>
        <w:rPr>
          <w:rFonts w:asciiTheme="minorHAnsi" w:hAnsiTheme="minorHAnsi" w:cstheme="minorHAnsi"/>
          <w:szCs w:val="24"/>
        </w:rPr>
        <w:t xml:space="preserve">, </w:t>
      </w:r>
      <w:r w:rsidRPr="007A45EA">
        <w:rPr>
          <w:rFonts w:asciiTheme="minorHAnsi" w:hAnsiTheme="minorHAnsi" w:cstheme="minorHAnsi"/>
          <w:szCs w:val="24"/>
        </w:rPr>
        <w:t>the Center</w:t>
      </w:r>
      <w:r>
        <w:rPr>
          <w:rFonts w:asciiTheme="minorHAnsi" w:hAnsiTheme="minorHAnsi" w:cstheme="minorHAnsi"/>
          <w:szCs w:val="24"/>
        </w:rPr>
        <w:t>’s utilization rate has predictably</w:t>
      </w:r>
      <w:r w:rsidRPr="007A45EA">
        <w:rPr>
          <w:rFonts w:asciiTheme="minorHAnsi" w:hAnsiTheme="minorHAnsi" w:cstheme="minorHAnsi"/>
          <w:szCs w:val="24"/>
        </w:rPr>
        <w:t xml:space="preserve"> decreased. The Proposed Project allows the Applicant to revitalize the Center and focus on an underserved patient population by creating access, value</w:t>
      </w:r>
      <w:r>
        <w:rPr>
          <w:rFonts w:asciiTheme="minorHAnsi" w:hAnsiTheme="minorHAnsi" w:cstheme="minorHAnsi"/>
          <w:szCs w:val="24"/>
        </w:rPr>
        <w:t xml:space="preserve">, </w:t>
      </w:r>
      <w:r w:rsidRPr="007A45EA">
        <w:rPr>
          <w:rFonts w:asciiTheme="minorHAnsi" w:hAnsiTheme="minorHAnsi" w:cstheme="minorHAnsi"/>
          <w:szCs w:val="24"/>
        </w:rPr>
        <w:t xml:space="preserve">and dignity </w:t>
      </w:r>
      <w:r>
        <w:rPr>
          <w:rFonts w:asciiTheme="minorHAnsi" w:hAnsiTheme="minorHAnsi" w:cstheme="minorHAnsi"/>
          <w:szCs w:val="24"/>
        </w:rPr>
        <w:t xml:space="preserve">in </w:t>
      </w:r>
      <w:r w:rsidRPr="007A45EA">
        <w:rPr>
          <w:rFonts w:asciiTheme="minorHAnsi" w:hAnsiTheme="minorHAnsi" w:cstheme="minorHAnsi"/>
          <w:szCs w:val="24"/>
        </w:rPr>
        <w:t xml:space="preserve">oral health care, an area </w:t>
      </w:r>
      <w:r w:rsidR="008C792A">
        <w:rPr>
          <w:rFonts w:asciiTheme="minorHAnsi" w:hAnsiTheme="minorHAnsi" w:cstheme="minorHAnsi"/>
          <w:szCs w:val="24"/>
        </w:rPr>
        <w:t xml:space="preserve">of </w:t>
      </w:r>
      <w:r w:rsidR="008C792A" w:rsidRPr="007A45EA">
        <w:rPr>
          <w:rFonts w:asciiTheme="minorHAnsi" w:hAnsiTheme="minorHAnsi" w:cstheme="minorHAnsi"/>
          <w:szCs w:val="24"/>
        </w:rPr>
        <w:t>unmet dental care needs</w:t>
      </w:r>
      <w:r w:rsidR="008C792A" w:rsidRPr="007A45EA">
        <w:rPr>
          <w:rStyle w:val="FootnoteReference"/>
          <w:rFonts w:asciiTheme="minorHAnsi" w:hAnsiTheme="minorHAnsi" w:cstheme="minorHAnsi"/>
          <w:szCs w:val="24"/>
        </w:rPr>
        <w:footnoteReference w:id="2"/>
      </w:r>
      <w:r w:rsidR="008C792A">
        <w:rPr>
          <w:rFonts w:asciiTheme="minorHAnsi" w:hAnsiTheme="minorHAnsi" w:cstheme="minorHAnsi"/>
          <w:szCs w:val="24"/>
        </w:rPr>
        <w:t xml:space="preserve"> identified by the HPC as facing significant barriers. </w:t>
      </w:r>
      <w:r w:rsidRPr="007A45EA">
        <w:rPr>
          <w:rFonts w:asciiTheme="minorHAnsi" w:hAnsiTheme="minorHAnsi" w:cstheme="minorHAnsi"/>
          <w:szCs w:val="24"/>
        </w:rPr>
        <w:t xml:space="preserve">The Proposed Project will also lower the overall cost of </w:t>
      </w:r>
      <w:r>
        <w:rPr>
          <w:rFonts w:asciiTheme="minorHAnsi" w:hAnsiTheme="minorHAnsi" w:cstheme="minorHAnsi"/>
          <w:szCs w:val="24"/>
        </w:rPr>
        <w:t>High Acuity Dental Surgeries</w:t>
      </w:r>
      <w:r w:rsidRPr="007A45EA">
        <w:rPr>
          <w:rFonts w:asciiTheme="minorHAnsi" w:hAnsiTheme="minorHAnsi" w:cstheme="minorHAnsi"/>
          <w:szCs w:val="24"/>
        </w:rPr>
        <w:t xml:space="preserve"> to the Commonwealth.  Today, these </w:t>
      </w:r>
      <w:r>
        <w:rPr>
          <w:rFonts w:asciiTheme="minorHAnsi" w:hAnsiTheme="minorHAnsi" w:cstheme="minorHAnsi"/>
          <w:szCs w:val="24"/>
        </w:rPr>
        <w:t>High Acuity Dental Surgeries</w:t>
      </w:r>
      <w:r w:rsidRPr="007A45EA">
        <w:rPr>
          <w:rFonts w:asciiTheme="minorHAnsi" w:hAnsiTheme="minorHAnsi" w:cstheme="minorHAnsi"/>
          <w:szCs w:val="24"/>
        </w:rPr>
        <w:t xml:space="preserve"> are </w:t>
      </w:r>
      <w:r w:rsidRPr="007A45EA">
        <w:rPr>
          <w:rFonts w:asciiTheme="minorHAnsi" w:hAnsiTheme="minorHAnsi" w:cstheme="minorHAnsi"/>
          <w:szCs w:val="24"/>
        </w:rPr>
        <w:lastRenderedPageBreak/>
        <w:t xml:space="preserve">typically performed in </w:t>
      </w:r>
      <w:r w:rsidR="00BC1529">
        <w:rPr>
          <w:rFonts w:asciiTheme="minorHAnsi" w:hAnsiTheme="minorHAnsi" w:cstheme="minorHAnsi"/>
          <w:szCs w:val="24"/>
        </w:rPr>
        <w:t>HOPDs</w:t>
      </w:r>
      <w:r w:rsidRPr="007A45EA">
        <w:rPr>
          <w:rFonts w:asciiTheme="minorHAnsi" w:hAnsiTheme="minorHAnsi" w:cstheme="minorHAnsi"/>
          <w:szCs w:val="24"/>
        </w:rPr>
        <w:t>, dental offices</w:t>
      </w:r>
      <w:r>
        <w:rPr>
          <w:rFonts w:asciiTheme="minorHAnsi" w:hAnsiTheme="minorHAnsi" w:cstheme="minorHAnsi"/>
          <w:szCs w:val="24"/>
        </w:rPr>
        <w:t xml:space="preserve">, </w:t>
      </w:r>
      <w:r w:rsidRPr="007A45EA">
        <w:rPr>
          <w:rFonts w:asciiTheme="minorHAnsi" w:hAnsiTheme="minorHAnsi" w:cstheme="minorHAnsi"/>
          <w:szCs w:val="24"/>
        </w:rPr>
        <w:t xml:space="preserve">or </w:t>
      </w:r>
      <w:r>
        <w:rPr>
          <w:rFonts w:asciiTheme="minorHAnsi" w:hAnsiTheme="minorHAnsi" w:cstheme="minorHAnsi"/>
          <w:szCs w:val="24"/>
        </w:rPr>
        <w:t>completely avoided altogether.</w:t>
      </w:r>
      <w:r w:rsidRPr="007A45EA">
        <w:rPr>
          <w:rFonts w:asciiTheme="minorHAnsi" w:hAnsiTheme="minorHAnsi" w:cstheme="minorHAnsi"/>
          <w:szCs w:val="24"/>
        </w:rPr>
        <w:t xml:space="preserve"> When </w:t>
      </w:r>
      <w:r>
        <w:rPr>
          <w:rFonts w:asciiTheme="minorHAnsi" w:hAnsiTheme="minorHAnsi" w:cstheme="minorHAnsi"/>
          <w:szCs w:val="24"/>
        </w:rPr>
        <w:t>High Acuity Dental Surgeries</w:t>
      </w:r>
      <w:r w:rsidRPr="007A45EA">
        <w:rPr>
          <w:rFonts w:asciiTheme="minorHAnsi" w:hAnsiTheme="minorHAnsi" w:cstheme="minorHAnsi"/>
          <w:szCs w:val="24"/>
        </w:rPr>
        <w:t xml:space="preserve"> are provided i</w:t>
      </w:r>
      <w:r w:rsidR="00BC72C5">
        <w:rPr>
          <w:rFonts w:asciiTheme="minorHAnsi" w:hAnsiTheme="minorHAnsi" w:cstheme="minorHAnsi"/>
          <w:szCs w:val="24"/>
        </w:rPr>
        <w:t>n HOPDs</w:t>
      </w:r>
      <w:r w:rsidRPr="007A45EA">
        <w:rPr>
          <w:rFonts w:asciiTheme="minorHAnsi" w:hAnsiTheme="minorHAnsi" w:cstheme="minorHAnsi"/>
          <w:szCs w:val="24"/>
        </w:rPr>
        <w:t>,</w:t>
      </w:r>
      <w:r>
        <w:rPr>
          <w:rFonts w:asciiTheme="minorHAnsi" w:hAnsiTheme="minorHAnsi" w:cstheme="minorHAnsi"/>
          <w:szCs w:val="24"/>
        </w:rPr>
        <w:t xml:space="preserve"> they are accompanied </w:t>
      </w:r>
      <w:proofErr w:type="gramStart"/>
      <w:r>
        <w:rPr>
          <w:rFonts w:asciiTheme="minorHAnsi" w:hAnsiTheme="minorHAnsi" w:cstheme="minorHAnsi"/>
          <w:szCs w:val="24"/>
        </w:rPr>
        <w:t>with</w:t>
      </w:r>
      <w:proofErr w:type="gramEnd"/>
      <w:r>
        <w:rPr>
          <w:rFonts w:asciiTheme="minorHAnsi" w:hAnsiTheme="minorHAnsi" w:cstheme="minorHAnsi"/>
          <w:szCs w:val="24"/>
        </w:rPr>
        <w:t xml:space="preserve"> excessive</w:t>
      </w:r>
      <w:r w:rsidRPr="007A45EA">
        <w:rPr>
          <w:rFonts w:asciiTheme="minorHAnsi" w:hAnsiTheme="minorHAnsi" w:cstheme="minorHAnsi"/>
          <w:szCs w:val="24"/>
        </w:rPr>
        <w:t xml:space="preserve"> </w:t>
      </w:r>
      <w:proofErr w:type="gramStart"/>
      <w:r w:rsidRPr="007A45EA">
        <w:rPr>
          <w:rFonts w:asciiTheme="minorHAnsi" w:hAnsiTheme="minorHAnsi" w:cstheme="minorHAnsi"/>
          <w:szCs w:val="24"/>
        </w:rPr>
        <w:t>wait</w:t>
      </w:r>
      <w:proofErr w:type="gramEnd"/>
      <w:r w:rsidRPr="007A45EA">
        <w:rPr>
          <w:rFonts w:asciiTheme="minorHAnsi" w:hAnsiTheme="minorHAnsi" w:cstheme="minorHAnsi"/>
          <w:szCs w:val="24"/>
        </w:rPr>
        <w:t xml:space="preserve"> times, stressful patient </w:t>
      </w:r>
      <w:r>
        <w:rPr>
          <w:rFonts w:asciiTheme="minorHAnsi" w:hAnsiTheme="minorHAnsi" w:cstheme="minorHAnsi"/>
          <w:szCs w:val="24"/>
        </w:rPr>
        <w:t xml:space="preserve">and parent/caregiver </w:t>
      </w:r>
      <w:r w:rsidRPr="007A45EA">
        <w:rPr>
          <w:rFonts w:asciiTheme="minorHAnsi" w:hAnsiTheme="minorHAnsi" w:cstheme="minorHAnsi"/>
          <w:szCs w:val="24"/>
        </w:rPr>
        <w:t>experience</w:t>
      </w:r>
      <w:r>
        <w:rPr>
          <w:rFonts w:asciiTheme="minorHAnsi" w:hAnsiTheme="minorHAnsi" w:cstheme="minorHAnsi"/>
          <w:szCs w:val="24"/>
        </w:rPr>
        <w:t>s</w:t>
      </w:r>
      <w:r w:rsidRPr="007A45EA">
        <w:rPr>
          <w:rFonts w:asciiTheme="minorHAnsi" w:hAnsiTheme="minorHAnsi" w:cstheme="minorHAnsi"/>
          <w:szCs w:val="24"/>
        </w:rPr>
        <w:t xml:space="preserve">, and </w:t>
      </w:r>
      <w:r>
        <w:rPr>
          <w:rFonts w:asciiTheme="minorHAnsi" w:hAnsiTheme="minorHAnsi" w:cstheme="minorHAnsi"/>
          <w:szCs w:val="24"/>
        </w:rPr>
        <w:t xml:space="preserve">unnecessarily </w:t>
      </w:r>
      <w:r w:rsidRPr="007A45EA">
        <w:rPr>
          <w:rFonts w:asciiTheme="minorHAnsi" w:hAnsiTheme="minorHAnsi" w:cstheme="minorHAnsi"/>
          <w:szCs w:val="24"/>
        </w:rPr>
        <w:t>high costs to the patients and the Commonwealth.</w:t>
      </w:r>
      <w:r w:rsidR="00BC1529">
        <w:rPr>
          <w:rFonts w:asciiTheme="minorHAnsi" w:hAnsiTheme="minorHAnsi" w:cstheme="minorHAnsi"/>
          <w:szCs w:val="24"/>
        </w:rPr>
        <w:t xml:space="preserve">  </w:t>
      </w:r>
      <w:r>
        <w:rPr>
          <w:rFonts w:asciiTheme="minorHAnsi" w:hAnsiTheme="minorHAnsi" w:cstheme="minorHAnsi"/>
          <w:szCs w:val="24"/>
        </w:rPr>
        <w:t>While the immediate cost may appear lower when</w:t>
      </w:r>
      <w:r w:rsidRPr="007A45EA">
        <w:rPr>
          <w:rFonts w:asciiTheme="minorHAnsi" w:hAnsiTheme="minorHAnsi" w:cstheme="minorHAnsi"/>
          <w:szCs w:val="24"/>
        </w:rPr>
        <w:t xml:space="preserve"> the </w:t>
      </w:r>
      <w:r>
        <w:rPr>
          <w:rFonts w:asciiTheme="minorHAnsi" w:hAnsiTheme="minorHAnsi" w:cstheme="minorHAnsi"/>
          <w:szCs w:val="24"/>
        </w:rPr>
        <w:t>same High Acuity Dental Surgeries</w:t>
      </w:r>
      <w:r w:rsidRPr="007A45EA">
        <w:rPr>
          <w:rFonts w:asciiTheme="minorHAnsi" w:hAnsiTheme="minorHAnsi" w:cstheme="minorHAnsi"/>
          <w:szCs w:val="24"/>
        </w:rPr>
        <w:t xml:space="preserve"> are skipped </w:t>
      </w:r>
      <w:r>
        <w:rPr>
          <w:rFonts w:asciiTheme="minorHAnsi" w:hAnsiTheme="minorHAnsi" w:cstheme="minorHAnsi"/>
          <w:szCs w:val="24"/>
        </w:rPr>
        <w:t xml:space="preserve">entirely </w:t>
      </w:r>
      <w:r w:rsidRPr="007A45EA">
        <w:rPr>
          <w:rFonts w:asciiTheme="minorHAnsi" w:hAnsiTheme="minorHAnsi" w:cstheme="minorHAnsi"/>
          <w:szCs w:val="24"/>
        </w:rPr>
        <w:t>by the patient, the long-term</w:t>
      </w:r>
      <w:r>
        <w:rPr>
          <w:rFonts w:asciiTheme="minorHAnsi" w:hAnsiTheme="minorHAnsi" w:cstheme="minorHAnsi"/>
          <w:szCs w:val="24"/>
        </w:rPr>
        <w:t xml:space="preserve"> negative</w:t>
      </w:r>
      <w:r w:rsidRPr="007A45EA">
        <w:rPr>
          <w:rFonts w:asciiTheme="minorHAnsi" w:hAnsiTheme="minorHAnsi" w:cstheme="minorHAnsi"/>
          <w:szCs w:val="24"/>
        </w:rPr>
        <w:t xml:space="preserve"> impact on the health care system is </w:t>
      </w:r>
      <w:r>
        <w:rPr>
          <w:rFonts w:asciiTheme="minorHAnsi" w:hAnsiTheme="minorHAnsi" w:cstheme="minorHAnsi"/>
          <w:szCs w:val="24"/>
        </w:rPr>
        <w:t xml:space="preserve">greater. </w:t>
      </w:r>
      <w:r w:rsidR="002D0280">
        <w:rPr>
          <w:rFonts w:asciiTheme="minorHAnsi" w:hAnsiTheme="minorHAnsi" w:cstheme="minorHAnsi"/>
          <w:szCs w:val="24"/>
        </w:rPr>
        <w:t xml:space="preserve"> Additionally, d</w:t>
      </w:r>
      <w:r w:rsidRPr="007A45EA">
        <w:rPr>
          <w:rFonts w:asciiTheme="minorHAnsi" w:hAnsiTheme="minorHAnsi" w:cstheme="minorHAnsi"/>
          <w:szCs w:val="24"/>
        </w:rPr>
        <w:t>ental offices are not designed for high</w:t>
      </w:r>
      <w:r w:rsidR="00354B08">
        <w:rPr>
          <w:rFonts w:asciiTheme="minorHAnsi" w:hAnsiTheme="minorHAnsi" w:cstheme="minorHAnsi"/>
          <w:szCs w:val="24"/>
        </w:rPr>
        <w:t xml:space="preserve"> </w:t>
      </w:r>
      <w:r w:rsidRPr="007A45EA">
        <w:rPr>
          <w:rFonts w:asciiTheme="minorHAnsi" w:hAnsiTheme="minorHAnsi" w:cstheme="minorHAnsi"/>
          <w:szCs w:val="24"/>
        </w:rPr>
        <w:t>acuity procedures</w:t>
      </w:r>
      <w:r w:rsidR="00354B08">
        <w:rPr>
          <w:rFonts w:asciiTheme="minorHAnsi" w:hAnsiTheme="minorHAnsi" w:cstheme="minorHAnsi"/>
          <w:szCs w:val="24"/>
        </w:rPr>
        <w:t xml:space="preserve"> </w:t>
      </w:r>
      <w:r w:rsidR="002D0280">
        <w:rPr>
          <w:rFonts w:asciiTheme="minorHAnsi" w:hAnsiTheme="minorHAnsi" w:cstheme="minorHAnsi"/>
          <w:szCs w:val="24"/>
        </w:rPr>
        <w:t xml:space="preserve">because they have </w:t>
      </w:r>
      <w:r w:rsidRPr="007A45EA">
        <w:rPr>
          <w:rFonts w:asciiTheme="minorHAnsi" w:hAnsiTheme="minorHAnsi" w:cstheme="minorHAnsi"/>
          <w:szCs w:val="24"/>
        </w:rPr>
        <w:t>less emergency equipment</w:t>
      </w:r>
      <w:r w:rsidR="002D0280">
        <w:rPr>
          <w:rFonts w:asciiTheme="minorHAnsi" w:hAnsiTheme="minorHAnsi" w:cstheme="minorHAnsi"/>
          <w:szCs w:val="24"/>
        </w:rPr>
        <w:t>, limited life safety infrastructure and</w:t>
      </w:r>
      <w:r>
        <w:rPr>
          <w:rFonts w:asciiTheme="minorHAnsi" w:hAnsiTheme="minorHAnsi" w:cstheme="minorHAnsi"/>
          <w:szCs w:val="24"/>
        </w:rPr>
        <w:t xml:space="preserve"> fewer </w:t>
      </w:r>
      <w:r w:rsidRPr="007A45EA">
        <w:rPr>
          <w:rFonts w:asciiTheme="minorHAnsi" w:hAnsiTheme="minorHAnsi" w:cstheme="minorHAnsi"/>
          <w:szCs w:val="24"/>
        </w:rPr>
        <w:t>trained staff in the event of complications</w:t>
      </w:r>
      <w:r>
        <w:rPr>
          <w:rFonts w:asciiTheme="minorHAnsi" w:hAnsiTheme="minorHAnsi" w:cstheme="minorHAnsi"/>
          <w:szCs w:val="24"/>
        </w:rPr>
        <w:t>.</w:t>
      </w:r>
      <w:r w:rsidRPr="007A45EA">
        <w:rPr>
          <w:rFonts w:asciiTheme="minorHAnsi" w:hAnsiTheme="minorHAnsi" w:cstheme="minorHAnsi"/>
          <w:szCs w:val="24"/>
        </w:rPr>
        <w:t xml:space="preserve"> </w:t>
      </w:r>
      <w:r>
        <w:rPr>
          <w:rFonts w:asciiTheme="minorHAnsi" w:hAnsiTheme="minorHAnsi" w:cstheme="minorHAnsi"/>
          <w:szCs w:val="24"/>
        </w:rPr>
        <w:t>A</w:t>
      </w:r>
      <w:r w:rsidRPr="007A45EA">
        <w:rPr>
          <w:rFonts w:asciiTheme="minorHAnsi" w:hAnsiTheme="minorHAnsi" w:cstheme="minorHAnsi"/>
          <w:szCs w:val="24"/>
        </w:rPr>
        <w:t>voiding care</w:t>
      </w:r>
      <w:r>
        <w:rPr>
          <w:rFonts w:asciiTheme="minorHAnsi" w:hAnsiTheme="minorHAnsi" w:cstheme="minorHAnsi"/>
          <w:szCs w:val="24"/>
        </w:rPr>
        <w:t xml:space="preserve"> and skipping procedures</w:t>
      </w:r>
      <w:r w:rsidRPr="007A45EA">
        <w:rPr>
          <w:rFonts w:asciiTheme="minorHAnsi" w:hAnsiTheme="minorHAnsi" w:cstheme="minorHAnsi"/>
          <w:szCs w:val="24"/>
        </w:rPr>
        <w:t xml:space="preserve"> </w:t>
      </w:r>
      <w:r>
        <w:rPr>
          <w:rFonts w:asciiTheme="minorHAnsi" w:hAnsiTheme="minorHAnsi" w:cstheme="minorHAnsi"/>
          <w:szCs w:val="24"/>
        </w:rPr>
        <w:t xml:space="preserve">has long been demonstrated to </w:t>
      </w:r>
      <w:r w:rsidRPr="007A45EA">
        <w:rPr>
          <w:rFonts w:asciiTheme="minorHAnsi" w:hAnsiTheme="minorHAnsi" w:cstheme="minorHAnsi"/>
          <w:szCs w:val="24"/>
        </w:rPr>
        <w:t xml:space="preserve">lead to </w:t>
      </w:r>
      <w:r>
        <w:rPr>
          <w:rFonts w:asciiTheme="minorHAnsi" w:hAnsiTheme="minorHAnsi" w:cstheme="minorHAnsi"/>
          <w:szCs w:val="24"/>
        </w:rPr>
        <w:t xml:space="preserve">significant </w:t>
      </w:r>
      <w:r w:rsidRPr="007A45EA">
        <w:rPr>
          <w:rFonts w:asciiTheme="minorHAnsi" w:hAnsiTheme="minorHAnsi" w:cstheme="minorHAnsi"/>
          <w:szCs w:val="24"/>
        </w:rPr>
        <w:t xml:space="preserve">negative health outcomes.  </w:t>
      </w:r>
      <w:r>
        <w:rPr>
          <w:rFonts w:asciiTheme="minorHAnsi" w:hAnsiTheme="minorHAnsi" w:cstheme="minorHAnsi"/>
          <w:szCs w:val="24"/>
        </w:rPr>
        <w:t>With the Proposed Project, t</w:t>
      </w:r>
      <w:r w:rsidRPr="007A45EA">
        <w:rPr>
          <w:rFonts w:asciiTheme="minorHAnsi" w:hAnsiTheme="minorHAnsi" w:cstheme="minorHAnsi"/>
          <w:szCs w:val="24"/>
        </w:rPr>
        <w:t xml:space="preserve">he Applicant will be able to </w:t>
      </w:r>
      <w:r>
        <w:rPr>
          <w:rFonts w:asciiTheme="minorHAnsi" w:hAnsiTheme="minorHAnsi" w:cstheme="minorHAnsi"/>
          <w:szCs w:val="24"/>
        </w:rPr>
        <w:t xml:space="preserve">improve community health outcomes while </w:t>
      </w:r>
      <w:r w:rsidRPr="007A45EA">
        <w:rPr>
          <w:rFonts w:asciiTheme="minorHAnsi" w:hAnsiTheme="minorHAnsi" w:cstheme="minorHAnsi"/>
          <w:szCs w:val="24"/>
        </w:rPr>
        <w:t>p</w:t>
      </w:r>
      <w:r>
        <w:rPr>
          <w:rFonts w:asciiTheme="minorHAnsi" w:hAnsiTheme="minorHAnsi" w:cstheme="minorHAnsi"/>
          <w:szCs w:val="24"/>
        </w:rPr>
        <w:t>roviding this specific patient population with</w:t>
      </w:r>
      <w:r w:rsidRPr="007A45EA">
        <w:rPr>
          <w:rFonts w:asciiTheme="minorHAnsi" w:hAnsiTheme="minorHAnsi" w:cstheme="minorHAnsi"/>
          <w:szCs w:val="24"/>
        </w:rPr>
        <w:t xml:space="preserve"> a broader </w:t>
      </w:r>
      <w:r>
        <w:rPr>
          <w:rFonts w:asciiTheme="minorHAnsi" w:hAnsiTheme="minorHAnsi" w:cstheme="minorHAnsi"/>
          <w:szCs w:val="24"/>
        </w:rPr>
        <w:t>and more robust array of</w:t>
      </w:r>
      <w:r w:rsidRPr="007A45EA">
        <w:rPr>
          <w:rFonts w:asciiTheme="minorHAnsi" w:hAnsiTheme="minorHAnsi" w:cstheme="minorHAnsi"/>
          <w:szCs w:val="24"/>
        </w:rPr>
        <w:t xml:space="preserve"> </w:t>
      </w:r>
      <w:r>
        <w:rPr>
          <w:rFonts w:asciiTheme="minorHAnsi" w:hAnsiTheme="minorHAnsi" w:cstheme="minorHAnsi"/>
          <w:szCs w:val="24"/>
        </w:rPr>
        <w:t>High Acuity Dental Surgeries</w:t>
      </w:r>
      <w:r w:rsidRPr="007A45EA">
        <w:rPr>
          <w:rFonts w:asciiTheme="minorHAnsi" w:hAnsiTheme="minorHAnsi" w:cstheme="minorHAnsi"/>
          <w:szCs w:val="24"/>
        </w:rPr>
        <w:t xml:space="preserve"> in the Center because of its general anesthesia, staffing and equipment capabilities</w:t>
      </w:r>
      <w:r>
        <w:rPr>
          <w:rFonts w:asciiTheme="minorHAnsi" w:hAnsiTheme="minorHAnsi" w:cstheme="minorHAnsi"/>
          <w:szCs w:val="24"/>
        </w:rPr>
        <w:t>,</w:t>
      </w:r>
      <w:r w:rsidRPr="007A45EA">
        <w:rPr>
          <w:rFonts w:asciiTheme="minorHAnsi" w:hAnsiTheme="minorHAnsi" w:cstheme="minorHAnsi"/>
          <w:szCs w:val="24"/>
        </w:rPr>
        <w:t xml:space="preserve"> as well as increased life safety equipment to ensure sufficient support for potential complications.      </w:t>
      </w:r>
    </w:p>
    <w:p w14:paraId="1E2C645F" w14:textId="1D9BF151" w:rsidR="00127F17" w:rsidRPr="007A45EA" w:rsidRDefault="00EE0CB1" w:rsidP="00EE0CB1">
      <w:pPr>
        <w:jc w:val="both"/>
        <w:rPr>
          <w:rFonts w:asciiTheme="minorHAnsi" w:hAnsiTheme="minorHAnsi" w:cstheme="minorHAnsi"/>
          <w:b/>
          <w:bCs/>
        </w:rPr>
      </w:pPr>
      <w:r w:rsidRPr="007A45EA">
        <w:rPr>
          <w:rFonts w:asciiTheme="minorHAnsi" w:hAnsiTheme="minorHAnsi" w:cstheme="minorHAnsi"/>
          <w:b/>
          <w:bCs/>
          <w:szCs w:val="24"/>
        </w:rPr>
        <w:t xml:space="preserve">  </w:t>
      </w:r>
      <w:r w:rsidR="00C34AF8" w:rsidRPr="007A45EA">
        <w:rPr>
          <w:rFonts w:asciiTheme="minorHAnsi" w:hAnsiTheme="minorHAnsi" w:cstheme="minorHAnsi"/>
          <w:b/>
          <w:bCs/>
        </w:rPr>
        <w:t>13</w:t>
      </w:r>
      <w:r w:rsidR="002B04A4" w:rsidRPr="007A45EA">
        <w:rPr>
          <w:rFonts w:asciiTheme="minorHAnsi" w:hAnsiTheme="minorHAnsi" w:cstheme="minorHAnsi"/>
          <w:b/>
          <w:bCs/>
        </w:rPr>
        <w:t>.</w:t>
      </w:r>
      <w:r w:rsidR="004C47D0" w:rsidRPr="007A45EA">
        <w:rPr>
          <w:rFonts w:asciiTheme="minorHAnsi" w:hAnsiTheme="minorHAnsi" w:cstheme="minorHAnsi"/>
          <w:b/>
          <w:bCs/>
        </w:rPr>
        <w:t xml:space="preserve"> </w:t>
      </w:r>
      <w:r w:rsidR="00C34AF8" w:rsidRPr="007A45EA">
        <w:rPr>
          <w:rFonts w:asciiTheme="minorHAnsi" w:hAnsiTheme="minorHAnsi" w:cstheme="minorHAnsi"/>
          <w:b/>
          <w:bCs/>
        </w:rPr>
        <w:t>Factor</w:t>
      </w:r>
      <w:r w:rsidR="004C47D0" w:rsidRPr="007A45EA">
        <w:rPr>
          <w:rFonts w:asciiTheme="minorHAnsi" w:hAnsiTheme="minorHAnsi" w:cstheme="minorHAnsi"/>
          <w:b/>
          <w:bCs/>
        </w:rPr>
        <w:t>s</w:t>
      </w:r>
    </w:p>
    <w:p w14:paraId="60176D46" w14:textId="0961AC18" w:rsidR="008544EA" w:rsidRPr="007A45EA" w:rsidRDefault="00C34AF8" w:rsidP="00770FE6">
      <w:pPr>
        <w:jc w:val="both"/>
        <w:rPr>
          <w:rFonts w:asciiTheme="minorHAnsi" w:hAnsiTheme="minorHAnsi" w:cstheme="minorHAnsi"/>
          <w:b/>
          <w:bCs/>
          <w:szCs w:val="24"/>
        </w:rPr>
      </w:pPr>
      <w:r w:rsidRPr="007A45EA">
        <w:rPr>
          <w:rStyle w:val="Heading2Char"/>
        </w:rPr>
        <w:t>F.1.a.i Patient Panel</w:t>
      </w:r>
    </w:p>
    <w:p w14:paraId="7C47C27E" w14:textId="4783C087" w:rsidR="008544EA" w:rsidRPr="007A45EA" w:rsidRDefault="00C34AF8" w:rsidP="00770FE6">
      <w:pPr>
        <w:autoSpaceDE w:val="0"/>
        <w:autoSpaceDN w:val="0"/>
        <w:adjustRightInd w:val="0"/>
        <w:spacing w:after="0" w:line="240" w:lineRule="auto"/>
        <w:jc w:val="both"/>
        <w:rPr>
          <w:rFonts w:asciiTheme="minorHAnsi" w:hAnsiTheme="minorHAnsi" w:cstheme="minorHAnsi"/>
          <w:b/>
          <w:szCs w:val="24"/>
        </w:rPr>
      </w:pPr>
      <w:r w:rsidRPr="007A45EA">
        <w:rPr>
          <w:rFonts w:asciiTheme="minorHAnsi" w:hAnsiTheme="minorHAnsi" w:cstheme="minorHAnsi"/>
          <w:b/>
          <w:szCs w:val="24"/>
        </w:rPr>
        <w:t>Describe your existing Patient Panel, including incidence or prevalence of disease or behavioral risk factors, acuity mix, noted health disparities, geographic breakdown expressed in zip codes or other appropriate measure, demographics including age,</w:t>
      </w:r>
      <w:r w:rsidR="003222EB" w:rsidRPr="007A45EA">
        <w:rPr>
          <w:rFonts w:asciiTheme="minorHAnsi" w:hAnsiTheme="minorHAnsi" w:cstheme="minorHAnsi"/>
          <w:b/>
          <w:szCs w:val="24"/>
        </w:rPr>
        <w:t xml:space="preserve"> </w:t>
      </w:r>
      <w:r w:rsidRPr="007A45EA">
        <w:rPr>
          <w:rFonts w:asciiTheme="minorHAnsi" w:hAnsiTheme="minorHAnsi" w:cstheme="minorHAnsi"/>
          <w:b/>
          <w:szCs w:val="24"/>
        </w:rPr>
        <w:t>gender and sexual identity, race, ethnicity, socioeconomic status and other priority populations relevant to the Applicant's existing patient panel and payer mix.</w:t>
      </w:r>
    </w:p>
    <w:p w14:paraId="25FE0743" w14:textId="77777777" w:rsidR="006146A8" w:rsidRPr="007A45EA" w:rsidRDefault="006146A8" w:rsidP="00770FE6">
      <w:pPr>
        <w:autoSpaceDE w:val="0"/>
        <w:autoSpaceDN w:val="0"/>
        <w:adjustRightInd w:val="0"/>
        <w:spacing w:after="0" w:line="240" w:lineRule="auto"/>
        <w:jc w:val="both"/>
        <w:rPr>
          <w:rFonts w:asciiTheme="minorHAnsi" w:hAnsiTheme="minorHAnsi" w:cstheme="minorHAnsi"/>
          <w:b/>
          <w:szCs w:val="24"/>
        </w:rPr>
      </w:pPr>
    </w:p>
    <w:p w14:paraId="5DA59E3D" w14:textId="707B276B" w:rsidR="0052580A" w:rsidRPr="00AB6F78" w:rsidRDefault="00C45D5F" w:rsidP="00C45D5F">
      <w:pPr>
        <w:pStyle w:val="ListParagraph"/>
        <w:numPr>
          <w:ilvl w:val="0"/>
          <w:numId w:val="21"/>
        </w:numPr>
        <w:autoSpaceDE w:val="0"/>
        <w:autoSpaceDN w:val="0"/>
        <w:adjustRightInd w:val="0"/>
        <w:jc w:val="both"/>
        <w:rPr>
          <w:rFonts w:cstheme="minorHAnsi"/>
          <w:sz w:val="24"/>
          <w:szCs w:val="24"/>
        </w:rPr>
      </w:pPr>
      <w:r w:rsidRPr="00AB6F78">
        <w:rPr>
          <w:rFonts w:cstheme="minorHAnsi"/>
          <w:sz w:val="24"/>
          <w:szCs w:val="24"/>
        </w:rPr>
        <w:t xml:space="preserve">The Applicant’s Patient </w:t>
      </w:r>
      <w:r w:rsidR="00E45702" w:rsidRPr="00AB6F78">
        <w:rPr>
          <w:rFonts w:cstheme="minorHAnsi"/>
          <w:sz w:val="24"/>
          <w:szCs w:val="24"/>
        </w:rPr>
        <w:t>Population</w:t>
      </w:r>
      <w:r w:rsidRPr="00AB6F78">
        <w:rPr>
          <w:rFonts w:cstheme="minorHAnsi"/>
          <w:sz w:val="24"/>
          <w:szCs w:val="24"/>
        </w:rPr>
        <w:t xml:space="preserve"> </w:t>
      </w:r>
    </w:p>
    <w:p w14:paraId="5900BBA8" w14:textId="77777777" w:rsidR="008D368C" w:rsidRPr="007A45EA" w:rsidRDefault="008D368C" w:rsidP="008D368C">
      <w:pPr>
        <w:pStyle w:val="ListParagraph"/>
        <w:autoSpaceDE w:val="0"/>
        <w:autoSpaceDN w:val="0"/>
        <w:adjustRightInd w:val="0"/>
        <w:jc w:val="both"/>
        <w:rPr>
          <w:rFonts w:cstheme="minorHAnsi"/>
          <w:sz w:val="24"/>
          <w:szCs w:val="24"/>
          <w:u w:val="single"/>
        </w:rPr>
      </w:pPr>
    </w:p>
    <w:p w14:paraId="7BDB3506" w14:textId="7B2096CF" w:rsidR="008D368C" w:rsidRDefault="008D368C" w:rsidP="00C45D5F">
      <w:pPr>
        <w:autoSpaceDE w:val="0"/>
        <w:autoSpaceDN w:val="0"/>
        <w:adjustRightInd w:val="0"/>
        <w:jc w:val="both"/>
        <w:rPr>
          <w:rFonts w:asciiTheme="minorHAnsi" w:hAnsiTheme="minorHAnsi" w:cstheme="minorHAnsi"/>
          <w:szCs w:val="24"/>
        </w:rPr>
      </w:pPr>
      <w:r>
        <w:rPr>
          <w:rFonts w:asciiTheme="minorHAnsi" w:hAnsiTheme="minorHAnsi" w:cstheme="minorHAnsi"/>
          <w:szCs w:val="24"/>
        </w:rPr>
        <w:t>The Proposed Project</w:t>
      </w:r>
      <w:r w:rsidR="00E45702">
        <w:rPr>
          <w:rFonts w:asciiTheme="minorHAnsi" w:hAnsiTheme="minorHAnsi" w:cstheme="minorHAnsi"/>
          <w:szCs w:val="24"/>
        </w:rPr>
        <w:t xml:space="preserve"> will allow the Applicant to open its first ASC</w:t>
      </w:r>
      <w:r>
        <w:rPr>
          <w:rFonts w:asciiTheme="minorHAnsi" w:hAnsiTheme="minorHAnsi" w:cstheme="minorHAnsi"/>
          <w:szCs w:val="24"/>
        </w:rPr>
        <w:t xml:space="preserve"> in Massachusetts</w:t>
      </w:r>
      <w:r w:rsidR="00E45702">
        <w:rPr>
          <w:rFonts w:asciiTheme="minorHAnsi" w:hAnsiTheme="minorHAnsi" w:cstheme="minorHAnsi"/>
          <w:szCs w:val="24"/>
        </w:rPr>
        <w:t xml:space="preserve">; however, as a national provider, the </w:t>
      </w:r>
      <w:r>
        <w:rPr>
          <w:rFonts w:asciiTheme="minorHAnsi" w:hAnsiTheme="minorHAnsi" w:cstheme="minorHAnsi"/>
          <w:szCs w:val="24"/>
        </w:rPr>
        <w:t>Applicant expects</w:t>
      </w:r>
      <w:r w:rsidR="008C792A">
        <w:rPr>
          <w:rFonts w:asciiTheme="minorHAnsi" w:hAnsiTheme="minorHAnsi" w:cstheme="minorHAnsi"/>
          <w:szCs w:val="24"/>
        </w:rPr>
        <w:t xml:space="preserve"> that</w:t>
      </w:r>
      <w:r>
        <w:rPr>
          <w:rFonts w:asciiTheme="minorHAnsi" w:hAnsiTheme="minorHAnsi" w:cstheme="minorHAnsi"/>
          <w:szCs w:val="24"/>
        </w:rPr>
        <w:t xml:space="preserve"> </w:t>
      </w:r>
      <w:r w:rsidR="00222EC9">
        <w:rPr>
          <w:rFonts w:asciiTheme="minorHAnsi" w:hAnsiTheme="minorHAnsi" w:cstheme="minorHAnsi"/>
          <w:szCs w:val="24"/>
        </w:rPr>
        <w:t>the Center’s Patient Panel</w:t>
      </w:r>
      <w:r>
        <w:rPr>
          <w:rFonts w:asciiTheme="minorHAnsi" w:hAnsiTheme="minorHAnsi" w:cstheme="minorHAnsi"/>
          <w:szCs w:val="24"/>
        </w:rPr>
        <w:t xml:space="preserve"> </w:t>
      </w:r>
      <w:r w:rsidR="00E45702">
        <w:rPr>
          <w:rFonts w:asciiTheme="minorHAnsi" w:hAnsiTheme="minorHAnsi" w:cstheme="minorHAnsi"/>
          <w:szCs w:val="24"/>
        </w:rPr>
        <w:t>will b</w:t>
      </w:r>
      <w:r>
        <w:rPr>
          <w:rFonts w:asciiTheme="minorHAnsi" w:hAnsiTheme="minorHAnsi" w:cstheme="minorHAnsi"/>
          <w:szCs w:val="24"/>
        </w:rPr>
        <w:t xml:space="preserve">e consistent with Blue Cloud’s </w:t>
      </w:r>
      <w:r w:rsidR="00FF55EF">
        <w:rPr>
          <w:rFonts w:asciiTheme="minorHAnsi" w:hAnsiTheme="minorHAnsi" w:cstheme="minorHAnsi"/>
          <w:szCs w:val="24"/>
        </w:rPr>
        <w:t>P</w:t>
      </w:r>
      <w:r>
        <w:rPr>
          <w:rFonts w:asciiTheme="minorHAnsi" w:hAnsiTheme="minorHAnsi" w:cstheme="minorHAnsi"/>
          <w:szCs w:val="24"/>
        </w:rPr>
        <w:t xml:space="preserve">atient </w:t>
      </w:r>
      <w:r w:rsidR="00FF55EF">
        <w:rPr>
          <w:rFonts w:asciiTheme="minorHAnsi" w:hAnsiTheme="minorHAnsi" w:cstheme="minorHAnsi"/>
          <w:szCs w:val="24"/>
        </w:rPr>
        <w:t>P</w:t>
      </w:r>
      <w:r>
        <w:rPr>
          <w:rFonts w:asciiTheme="minorHAnsi" w:hAnsiTheme="minorHAnsi" w:cstheme="minorHAnsi"/>
          <w:szCs w:val="24"/>
        </w:rPr>
        <w:t>opulation</w:t>
      </w:r>
      <w:r w:rsidR="00E45702">
        <w:rPr>
          <w:rFonts w:asciiTheme="minorHAnsi" w:hAnsiTheme="minorHAnsi" w:cstheme="minorHAnsi"/>
          <w:szCs w:val="24"/>
        </w:rPr>
        <w:t xml:space="preserve"> across all its ASCs</w:t>
      </w:r>
      <w:r>
        <w:rPr>
          <w:rFonts w:asciiTheme="minorHAnsi" w:hAnsiTheme="minorHAnsi" w:cstheme="minorHAnsi"/>
          <w:szCs w:val="24"/>
        </w:rPr>
        <w:t xml:space="preserve">.  </w:t>
      </w:r>
    </w:p>
    <w:p w14:paraId="1659899D" w14:textId="62416B48" w:rsidR="008D368C" w:rsidRPr="00AB6F78" w:rsidRDefault="008D368C" w:rsidP="008D368C">
      <w:pPr>
        <w:autoSpaceDE w:val="0"/>
        <w:autoSpaceDN w:val="0"/>
        <w:adjustRightInd w:val="0"/>
        <w:jc w:val="both"/>
        <w:rPr>
          <w:rFonts w:asciiTheme="minorHAnsi" w:hAnsiTheme="minorHAnsi" w:cstheme="minorHAnsi"/>
          <w:szCs w:val="24"/>
        </w:rPr>
      </w:pPr>
      <w:r w:rsidRPr="00AB6F78">
        <w:rPr>
          <w:rFonts w:asciiTheme="minorHAnsi" w:hAnsiTheme="minorHAnsi" w:cstheme="minorHAnsi"/>
          <w:szCs w:val="24"/>
        </w:rPr>
        <w:t xml:space="preserve">In </w:t>
      </w:r>
      <w:r w:rsidR="000926B7" w:rsidRPr="00AB6F78">
        <w:rPr>
          <w:rFonts w:asciiTheme="minorHAnsi" w:hAnsiTheme="minorHAnsi" w:cstheme="minorHAnsi"/>
          <w:szCs w:val="24"/>
        </w:rPr>
        <w:t>CY</w:t>
      </w:r>
      <w:r w:rsidRPr="00AB6F78">
        <w:rPr>
          <w:rFonts w:asciiTheme="minorHAnsi" w:hAnsiTheme="minorHAnsi" w:cstheme="minorHAnsi"/>
          <w:szCs w:val="24"/>
        </w:rPr>
        <w:t>2025, the Applicant served 6</w:t>
      </w:r>
      <w:r w:rsidR="00D171C5" w:rsidRPr="00AB6F78">
        <w:rPr>
          <w:rFonts w:asciiTheme="minorHAnsi" w:hAnsiTheme="minorHAnsi" w:cstheme="minorHAnsi"/>
          <w:szCs w:val="24"/>
        </w:rPr>
        <w:t>7</w:t>
      </w:r>
      <w:r w:rsidRPr="00AB6F78">
        <w:rPr>
          <w:rFonts w:asciiTheme="minorHAnsi" w:hAnsiTheme="minorHAnsi" w:cstheme="minorHAnsi"/>
          <w:szCs w:val="24"/>
        </w:rPr>
        <w:t>,</w:t>
      </w:r>
      <w:r w:rsidR="00D171C5" w:rsidRPr="00AB6F78">
        <w:rPr>
          <w:rFonts w:asciiTheme="minorHAnsi" w:hAnsiTheme="minorHAnsi" w:cstheme="minorHAnsi"/>
          <w:szCs w:val="24"/>
        </w:rPr>
        <w:t>400</w:t>
      </w:r>
      <w:r w:rsidRPr="00AB6F78">
        <w:rPr>
          <w:rFonts w:asciiTheme="minorHAnsi" w:hAnsiTheme="minorHAnsi" w:cstheme="minorHAnsi"/>
          <w:szCs w:val="24"/>
        </w:rPr>
        <w:t xml:space="preserve"> unique patients across </w:t>
      </w:r>
      <w:r w:rsidR="00143F42" w:rsidRPr="00AB6F78">
        <w:rPr>
          <w:rFonts w:asciiTheme="minorHAnsi" w:hAnsiTheme="minorHAnsi" w:cstheme="minorHAnsi"/>
          <w:szCs w:val="24"/>
        </w:rPr>
        <w:t xml:space="preserve">its </w:t>
      </w:r>
      <w:r w:rsidR="00D50E38" w:rsidRPr="00AB6F78">
        <w:rPr>
          <w:rFonts w:asciiTheme="minorHAnsi" w:hAnsiTheme="minorHAnsi" w:cstheme="minorHAnsi"/>
          <w:szCs w:val="24"/>
        </w:rPr>
        <w:t>27</w:t>
      </w:r>
      <w:r w:rsidR="00143F42" w:rsidRPr="00AB6F78">
        <w:rPr>
          <w:rFonts w:asciiTheme="minorHAnsi" w:hAnsiTheme="minorHAnsi" w:cstheme="minorHAnsi"/>
          <w:szCs w:val="24"/>
        </w:rPr>
        <w:t xml:space="preserve"> </w:t>
      </w:r>
      <w:r w:rsidRPr="00AB6F78">
        <w:rPr>
          <w:rFonts w:asciiTheme="minorHAnsi" w:hAnsiTheme="minorHAnsi" w:cstheme="minorHAnsi"/>
          <w:szCs w:val="24"/>
        </w:rPr>
        <w:t>AS</w:t>
      </w:r>
      <w:r w:rsidR="00E10954" w:rsidRPr="00AB6F78">
        <w:rPr>
          <w:rFonts w:asciiTheme="minorHAnsi" w:hAnsiTheme="minorHAnsi" w:cstheme="minorHAnsi"/>
          <w:szCs w:val="24"/>
        </w:rPr>
        <w:t>Cs, of which 12,384 or 1</w:t>
      </w:r>
      <w:r w:rsidR="00D171C5" w:rsidRPr="00AB6F78">
        <w:rPr>
          <w:rFonts w:asciiTheme="minorHAnsi" w:hAnsiTheme="minorHAnsi" w:cstheme="minorHAnsi"/>
          <w:szCs w:val="24"/>
        </w:rPr>
        <w:t>8</w:t>
      </w:r>
      <w:r w:rsidR="00CC1FB5">
        <w:rPr>
          <w:rFonts w:asciiTheme="minorHAnsi" w:hAnsiTheme="minorHAnsi" w:cstheme="minorHAnsi"/>
          <w:szCs w:val="24"/>
        </w:rPr>
        <w:t xml:space="preserve"> percent</w:t>
      </w:r>
      <w:r w:rsidR="00E10954" w:rsidRPr="00AB6F78">
        <w:rPr>
          <w:rFonts w:asciiTheme="minorHAnsi" w:hAnsiTheme="minorHAnsi" w:cstheme="minorHAnsi"/>
          <w:szCs w:val="24"/>
        </w:rPr>
        <w:t xml:space="preserve"> were children or adults with special needs.</w:t>
      </w:r>
      <w:r w:rsidR="00143F42" w:rsidRPr="00AB6F78">
        <w:rPr>
          <w:rFonts w:asciiTheme="minorHAnsi" w:hAnsiTheme="minorHAnsi" w:cstheme="minorHAnsi"/>
          <w:szCs w:val="24"/>
        </w:rPr>
        <w:t xml:space="preserve">   As a specialty provider focused on serving pediatric patients, n</w:t>
      </w:r>
      <w:r w:rsidR="00E73C2B" w:rsidRPr="00AB6F78">
        <w:rPr>
          <w:rFonts w:asciiTheme="minorHAnsi" w:hAnsiTheme="minorHAnsi" w:cstheme="minorHAnsi"/>
          <w:szCs w:val="24"/>
        </w:rPr>
        <w:t>inety-six</w:t>
      </w:r>
      <w:r w:rsidR="00E10954" w:rsidRPr="00AB6F78">
        <w:rPr>
          <w:rFonts w:asciiTheme="minorHAnsi" w:hAnsiTheme="minorHAnsi" w:cstheme="minorHAnsi"/>
          <w:szCs w:val="24"/>
        </w:rPr>
        <w:t xml:space="preserve"> </w:t>
      </w:r>
      <w:r w:rsidR="00E73C2B" w:rsidRPr="00AB6F78">
        <w:rPr>
          <w:rFonts w:asciiTheme="minorHAnsi" w:hAnsiTheme="minorHAnsi" w:cstheme="minorHAnsi"/>
          <w:szCs w:val="24"/>
        </w:rPr>
        <w:t xml:space="preserve">percent </w:t>
      </w:r>
      <w:r w:rsidR="00E10954" w:rsidRPr="00AB6F78">
        <w:rPr>
          <w:rFonts w:asciiTheme="minorHAnsi" w:hAnsiTheme="minorHAnsi" w:cstheme="minorHAnsi"/>
          <w:szCs w:val="24"/>
        </w:rPr>
        <w:t>(</w:t>
      </w:r>
      <w:r w:rsidR="00D171C5" w:rsidRPr="00AB6F78">
        <w:rPr>
          <w:rFonts w:asciiTheme="minorHAnsi" w:hAnsiTheme="minorHAnsi" w:cstheme="minorHAnsi"/>
          <w:szCs w:val="24"/>
        </w:rPr>
        <w:t>96</w:t>
      </w:r>
      <w:r w:rsidR="00CC1FB5">
        <w:rPr>
          <w:rFonts w:asciiTheme="minorHAnsi" w:hAnsiTheme="minorHAnsi" w:cstheme="minorHAnsi"/>
          <w:szCs w:val="24"/>
        </w:rPr>
        <w:t xml:space="preserve"> </w:t>
      </w:r>
      <w:r w:rsidR="00CC1FB5">
        <w:rPr>
          <w:rFonts w:asciiTheme="minorHAnsi" w:hAnsiTheme="minorHAnsi" w:cstheme="minorHAnsi"/>
          <w:szCs w:val="24"/>
        </w:rPr>
        <w:t>percent</w:t>
      </w:r>
      <w:r w:rsidR="00E10954" w:rsidRPr="00AB6F78">
        <w:rPr>
          <w:rFonts w:asciiTheme="minorHAnsi" w:hAnsiTheme="minorHAnsi" w:cstheme="minorHAnsi"/>
          <w:szCs w:val="24"/>
        </w:rPr>
        <w:t xml:space="preserve">) of the </w:t>
      </w:r>
      <w:r w:rsidR="000926B7" w:rsidRPr="00AB6F78">
        <w:rPr>
          <w:rFonts w:asciiTheme="minorHAnsi" w:hAnsiTheme="minorHAnsi" w:cstheme="minorHAnsi"/>
          <w:szCs w:val="24"/>
        </w:rPr>
        <w:t xml:space="preserve">Applicant’s </w:t>
      </w:r>
      <w:r w:rsidR="00E10954" w:rsidRPr="00AB6F78">
        <w:rPr>
          <w:rFonts w:asciiTheme="minorHAnsi" w:hAnsiTheme="minorHAnsi" w:cstheme="minorHAnsi"/>
          <w:szCs w:val="24"/>
        </w:rPr>
        <w:t xml:space="preserve">patients </w:t>
      </w:r>
      <w:r w:rsidR="00866AD1" w:rsidRPr="00AB6F78">
        <w:rPr>
          <w:rFonts w:asciiTheme="minorHAnsi" w:hAnsiTheme="minorHAnsi" w:cstheme="minorHAnsi"/>
          <w:szCs w:val="24"/>
        </w:rPr>
        <w:t>were</w:t>
      </w:r>
      <w:r w:rsidR="00E10954" w:rsidRPr="00AB6F78">
        <w:rPr>
          <w:rFonts w:asciiTheme="minorHAnsi" w:hAnsiTheme="minorHAnsi" w:cstheme="minorHAnsi"/>
          <w:szCs w:val="24"/>
        </w:rPr>
        <w:t xml:space="preserve"> under the age of 18 with </w:t>
      </w:r>
      <w:r w:rsidR="00143F42" w:rsidRPr="00AB6F78">
        <w:rPr>
          <w:rFonts w:asciiTheme="minorHAnsi" w:hAnsiTheme="minorHAnsi" w:cstheme="minorHAnsi"/>
          <w:szCs w:val="24"/>
        </w:rPr>
        <w:t>eighty eight percent (</w:t>
      </w:r>
      <w:r w:rsidR="00A834B4" w:rsidRPr="00AB6F78">
        <w:rPr>
          <w:rFonts w:asciiTheme="minorHAnsi" w:hAnsiTheme="minorHAnsi" w:cstheme="minorHAnsi"/>
          <w:szCs w:val="24"/>
        </w:rPr>
        <w:t>8</w:t>
      </w:r>
      <w:r w:rsidR="00D171C5" w:rsidRPr="00AB6F78">
        <w:rPr>
          <w:rFonts w:asciiTheme="minorHAnsi" w:hAnsiTheme="minorHAnsi" w:cstheme="minorHAnsi"/>
          <w:szCs w:val="24"/>
        </w:rPr>
        <w:t>8</w:t>
      </w:r>
      <w:r w:rsidR="00CC1FB5">
        <w:rPr>
          <w:rFonts w:asciiTheme="minorHAnsi" w:hAnsiTheme="minorHAnsi" w:cstheme="minorHAnsi"/>
          <w:szCs w:val="24"/>
        </w:rPr>
        <w:t xml:space="preserve"> </w:t>
      </w:r>
      <w:r w:rsidR="00CC1FB5">
        <w:rPr>
          <w:rFonts w:asciiTheme="minorHAnsi" w:hAnsiTheme="minorHAnsi" w:cstheme="minorHAnsi"/>
          <w:szCs w:val="24"/>
        </w:rPr>
        <w:t>percent</w:t>
      </w:r>
      <w:r w:rsidR="00143F42" w:rsidRPr="00AB6F78">
        <w:rPr>
          <w:rFonts w:asciiTheme="minorHAnsi" w:hAnsiTheme="minorHAnsi" w:cstheme="minorHAnsi"/>
          <w:szCs w:val="24"/>
        </w:rPr>
        <w:t xml:space="preserve">) </w:t>
      </w:r>
      <w:r w:rsidR="00A834B4" w:rsidRPr="00AB6F78">
        <w:rPr>
          <w:rFonts w:asciiTheme="minorHAnsi" w:hAnsiTheme="minorHAnsi" w:cstheme="minorHAnsi"/>
          <w:szCs w:val="24"/>
        </w:rPr>
        <w:t>age 9</w:t>
      </w:r>
      <w:r w:rsidR="00D171C5" w:rsidRPr="00AB6F78">
        <w:rPr>
          <w:rFonts w:asciiTheme="minorHAnsi" w:hAnsiTheme="minorHAnsi" w:cstheme="minorHAnsi"/>
          <w:szCs w:val="24"/>
        </w:rPr>
        <w:t xml:space="preserve"> or under</w:t>
      </w:r>
      <w:r w:rsidR="00A834B4" w:rsidRPr="00AB6F78">
        <w:rPr>
          <w:rFonts w:asciiTheme="minorHAnsi" w:hAnsiTheme="minorHAnsi" w:cstheme="minorHAnsi"/>
          <w:szCs w:val="24"/>
        </w:rPr>
        <w:t xml:space="preserve"> and </w:t>
      </w:r>
      <w:r w:rsidR="00143F42" w:rsidRPr="00AB6F78">
        <w:rPr>
          <w:rFonts w:asciiTheme="minorHAnsi" w:hAnsiTheme="minorHAnsi" w:cstheme="minorHAnsi"/>
          <w:szCs w:val="24"/>
        </w:rPr>
        <w:t>eleven percent (</w:t>
      </w:r>
      <w:r w:rsidR="00A834B4" w:rsidRPr="00AB6F78">
        <w:rPr>
          <w:rFonts w:asciiTheme="minorHAnsi" w:hAnsiTheme="minorHAnsi" w:cstheme="minorHAnsi"/>
          <w:szCs w:val="24"/>
        </w:rPr>
        <w:t>1</w:t>
      </w:r>
      <w:r w:rsidR="00D171C5" w:rsidRPr="00AB6F78">
        <w:rPr>
          <w:rFonts w:asciiTheme="minorHAnsi" w:hAnsiTheme="minorHAnsi" w:cstheme="minorHAnsi"/>
          <w:szCs w:val="24"/>
        </w:rPr>
        <w:t>1</w:t>
      </w:r>
      <w:r w:rsidR="00CC1FB5" w:rsidRPr="00CC1FB5">
        <w:rPr>
          <w:rFonts w:asciiTheme="minorHAnsi" w:hAnsiTheme="minorHAnsi" w:cstheme="minorHAnsi"/>
          <w:szCs w:val="24"/>
        </w:rPr>
        <w:t xml:space="preserve"> </w:t>
      </w:r>
      <w:r w:rsidR="00CC1FB5">
        <w:rPr>
          <w:rFonts w:asciiTheme="minorHAnsi" w:hAnsiTheme="minorHAnsi" w:cstheme="minorHAnsi"/>
          <w:szCs w:val="24"/>
        </w:rPr>
        <w:t>percent</w:t>
      </w:r>
      <w:r w:rsidR="00143F42" w:rsidRPr="00AB6F78">
        <w:rPr>
          <w:rFonts w:asciiTheme="minorHAnsi" w:hAnsiTheme="minorHAnsi" w:cstheme="minorHAnsi"/>
          <w:szCs w:val="24"/>
        </w:rPr>
        <w:t>)</w:t>
      </w:r>
      <w:r w:rsidR="00A834B4" w:rsidRPr="00AB6F78">
        <w:rPr>
          <w:rFonts w:asciiTheme="minorHAnsi" w:hAnsiTheme="minorHAnsi" w:cstheme="minorHAnsi"/>
          <w:szCs w:val="24"/>
        </w:rPr>
        <w:t xml:space="preserve"> </w:t>
      </w:r>
      <w:r w:rsidR="00D171C5" w:rsidRPr="00AB6F78">
        <w:rPr>
          <w:rFonts w:asciiTheme="minorHAnsi" w:hAnsiTheme="minorHAnsi" w:cstheme="minorHAnsi"/>
          <w:szCs w:val="24"/>
        </w:rPr>
        <w:t>ag</w:t>
      </w:r>
      <w:r w:rsidR="00A834B4" w:rsidRPr="00AB6F78">
        <w:rPr>
          <w:rFonts w:asciiTheme="minorHAnsi" w:hAnsiTheme="minorHAnsi" w:cstheme="minorHAnsi"/>
          <w:szCs w:val="24"/>
        </w:rPr>
        <w:t xml:space="preserve">es 10-17. </w:t>
      </w:r>
      <w:r w:rsidR="00143F42" w:rsidRPr="00AB6F78">
        <w:rPr>
          <w:rFonts w:asciiTheme="minorHAnsi" w:hAnsiTheme="minorHAnsi" w:cstheme="minorHAnsi"/>
          <w:szCs w:val="24"/>
        </w:rPr>
        <w:t xml:space="preserve"> </w:t>
      </w:r>
      <w:r w:rsidR="00EB3102" w:rsidRPr="00AB6F78">
        <w:rPr>
          <w:rFonts w:asciiTheme="minorHAnsi" w:hAnsiTheme="minorHAnsi" w:cstheme="minorHAnsi"/>
          <w:szCs w:val="24"/>
        </w:rPr>
        <w:t>F</w:t>
      </w:r>
      <w:r w:rsidR="00143F42" w:rsidRPr="00AB6F78">
        <w:rPr>
          <w:rFonts w:asciiTheme="minorHAnsi" w:hAnsiTheme="minorHAnsi" w:cstheme="minorHAnsi"/>
          <w:szCs w:val="24"/>
        </w:rPr>
        <w:t>our percent (4</w:t>
      </w:r>
      <w:r w:rsidR="00CC1FB5" w:rsidRPr="00CC1FB5">
        <w:rPr>
          <w:rFonts w:asciiTheme="minorHAnsi" w:hAnsiTheme="minorHAnsi" w:cstheme="minorHAnsi"/>
          <w:szCs w:val="24"/>
        </w:rPr>
        <w:t xml:space="preserve"> </w:t>
      </w:r>
      <w:r w:rsidR="00CC1FB5">
        <w:rPr>
          <w:rFonts w:asciiTheme="minorHAnsi" w:hAnsiTheme="minorHAnsi" w:cstheme="minorHAnsi"/>
          <w:szCs w:val="24"/>
        </w:rPr>
        <w:t>percent</w:t>
      </w:r>
      <w:r w:rsidR="00143F42" w:rsidRPr="00AB6F78">
        <w:rPr>
          <w:rFonts w:asciiTheme="minorHAnsi" w:hAnsiTheme="minorHAnsi" w:cstheme="minorHAnsi"/>
          <w:szCs w:val="24"/>
        </w:rPr>
        <w:t xml:space="preserve">) of patients </w:t>
      </w:r>
      <w:r w:rsidR="00EB3102" w:rsidRPr="00AB6F78">
        <w:rPr>
          <w:rFonts w:asciiTheme="minorHAnsi" w:hAnsiTheme="minorHAnsi" w:cstheme="minorHAnsi"/>
          <w:szCs w:val="24"/>
        </w:rPr>
        <w:t xml:space="preserve">who are over the age </w:t>
      </w:r>
      <w:r w:rsidR="00143F42" w:rsidRPr="00AB6F78">
        <w:rPr>
          <w:rFonts w:asciiTheme="minorHAnsi" w:hAnsiTheme="minorHAnsi" w:cstheme="minorHAnsi"/>
          <w:szCs w:val="24"/>
        </w:rPr>
        <w:t xml:space="preserve">of 18 were adults with special needs.  </w:t>
      </w:r>
      <w:r w:rsidR="00A834B4" w:rsidRPr="00AB6F78">
        <w:rPr>
          <w:rFonts w:asciiTheme="minorHAnsi" w:hAnsiTheme="minorHAnsi" w:cstheme="minorHAnsi"/>
          <w:szCs w:val="24"/>
        </w:rPr>
        <w:t xml:space="preserve">Both genders are equally served </w:t>
      </w:r>
      <w:r w:rsidR="000926B7" w:rsidRPr="00AB6F78">
        <w:rPr>
          <w:rFonts w:asciiTheme="minorHAnsi" w:hAnsiTheme="minorHAnsi" w:cstheme="minorHAnsi"/>
          <w:szCs w:val="24"/>
        </w:rPr>
        <w:t>(</w:t>
      </w:r>
      <w:r w:rsidR="00A834B4" w:rsidRPr="00AB6F78">
        <w:rPr>
          <w:rFonts w:asciiTheme="minorHAnsi" w:hAnsiTheme="minorHAnsi" w:cstheme="minorHAnsi"/>
          <w:szCs w:val="24"/>
        </w:rPr>
        <w:t>4</w:t>
      </w:r>
      <w:r w:rsidR="00D171C5" w:rsidRPr="00AB6F78">
        <w:rPr>
          <w:rFonts w:asciiTheme="minorHAnsi" w:hAnsiTheme="minorHAnsi" w:cstheme="minorHAnsi"/>
          <w:szCs w:val="24"/>
        </w:rPr>
        <w:t>2</w:t>
      </w:r>
      <w:r w:rsidR="00CC1FB5" w:rsidRPr="00CC1FB5">
        <w:rPr>
          <w:rFonts w:asciiTheme="minorHAnsi" w:hAnsiTheme="minorHAnsi" w:cstheme="minorHAnsi"/>
          <w:szCs w:val="24"/>
        </w:rPr>
        <w:t xml:space="preserve"> </w:t>
      </w:r>
      <w:r w:rsidR="00CC1FB5">
        <w:rPr>
          <w:rFonts w:asciiTheme="minorHAnsi" w:hAnsiTheme="minorHAnsi" w:cstheme="minorHAnsi"/>
          <w:szCs w:val="24"/>
        </w:rPr>
        <w:t>percent</w:t>
      </w:r>
      <w:r w:rsidR="00A834B4" w:rsidRPr="00AB6F78">
        <w:rPr>
          <w:rFonts w:asciiTheme="minorHAnsi" w:hAnsiTheme="minorHAnsi" w:cstheme="minorHAnsi"/>
          <w:szCs w:val="24"/>
        </w:rPr>
        <w:t xml:space="preserve"> female and </w:t>
      </w:r>
      <w:r w:rsidR="00D171C5" w:rsidRPr="00AB6F78">
        <w:rPr>
          <w:rFonts w:asciiTheme="minorHAnsi" w:hAnsiTheme="minorHAnsi" w:cstheme="minorHAnsi"/>
          <w:szCs w:val="24"/>
        </w:rPr>
        <w:t>49</w:t>
      </w:r>
      <w:r w:rsidR="00CC1FB5" w:rsidRPr="00CC1FB5">
        <w:rPr>
          <w:rFonts w:asciiTheme="minorHAnsi" w:hAnsiTheme="minorHAnsi" w:cstheme="minorHAnsi"/>
          <w:szCs w:val="24"/>
        </w:rPr>
        <w:t xml:space="preserve"> </w:t>
      </w:r>
      <w:r w:rsidR="00CC1FB5">
        <w:rPr>
          <w:rFonts w:asciiTheme="minorHAnsi" w:hAnsiTheme="minorHAnsi" w:cstheme="minorHAnsi"/>
          <w:szCs w:val="24"/>
        </w:rPr>
        <w:t>percent</w:t>
      </w:r>
      <w:r w:rsidR="00A834B4" w:rsidRPr="00AB6F78">
        <w:rPr>
          <w:rFonts w:asciiTheme="minorHAnsi" w:hAnsiTheme="minorHAnsi" w:cstheme="minorHAnsi"/>
          <w:szCs w:val="24"/>
        </w:rPr>
        <w:t xml:space="preserve"> male</w:t>
      </w:r>
      <w:r w:rsidR="000926B7" w:rsidRPr="00AB6F78">
        <w:rPr>
          <w:rFonts w:asciiTheme="minorHAnsi" w:hAnsiTheme="minorHAnsi" w:cstheme="minorHAnsi"/>
          <w:szCs w:val="24"/>
        </w:rPr>
        <w:t>)</w:t>
      </w:r>
      <w:r w:rsidR="00A834B4" w:rsidRPr="00AB6F78">
        <w:rPr>
          <w:rFonts w:asciiTheme="minorHAnsi" w:hAnsiTheme="minorHAnsi" w:cstheme="minorHAnsi"/>
          <w:szCs w:val="24"/>
        </w:rPr>
        <w:t xml:space="preserve"> </w:t>
      </w:r>
      <w:r w:rsidR="00143F42" w:rsidRPr="00AB6F78">
        <w:rPr>
          <w:rFonts w:asciiTheme="minorHAnsi" w:hAnsiTheme="minorHAnsi" w:cstheme="minorHAnsi"/>
          <w:szCs w:val="24"/>
        </w:rPr>
        <w:t>with</w:t>
      </w:r>
      <w:r w:rsidR="00A834B4" w:rsidRPr="00AB6F78">
        <w:rPr>
          <w:rFonts w:asciiTheme="minorHAnsi" w:hAnsiTheme="minorHAnsi" w:cstheme="minorHAnsi"/>
          <w:szCs w:val="24"/>
        </w:rPr>
        <w:t xml:space="preserve"> </w:t>
      </w:r>
      <w:r w:rsidR="00E23E3D" w:rsidRPr="00AB6F78">
        <w:rPr>
          <w:rFonts w:asciiTheme="minorHAnsi" w:hAnsiTheme="minorHAnsi" w:cstheme="minorHAnsi"/>
          <w:szCs w:val="24"/>
        </w:rPr>
        <w:t>9</w:t>
      </w:r>
      <w:r w:rsidR="00CC1FB5" w:rsidRPr="00CC1FB5">
        <w:rPr>
          <w:rFonts w:asciiTheme="minorHAnsi" w:hAnsiTheme="minorHAnsi" w:cstheme="minorHAnsi"/>
          <w:szCs w:val="24"/>
        </w:rPr>
        <w:t xml:space="preserve"> </w:t>
      </w:r>
      <w:r w:rsidR="00CC1FB5">
        <w:rPr>
          <w:rFonts w:asciiTheme="minorHAnsi" w:hAnsiTheme="minorHAnsi" w:cstheme="minorHAnsi"/>
          <w:szCs w:val="24"/>
        </w:rPr>
        <w:t>percent</w:t>
      </w:r>
      <w:r w:rsidR="00A834B4" w:rsidRPr="00AB6F78">
        <w:rPr>
          <w:rFonts w:asciiTheme="minorHAnsi" w:hAnsiTheme="minorHAnsi" w:cstheme="minorHAnsi"/>
          <w:szCs w:val="24"/>
        </w:rPr>
        <w:t xml:space="preserve"> </w:t>
      </w:r>
      <w:r w:rsidR="00143F42" w:rsidRPr="00AB6F78">
        <w:rPr>
          <w:rFonts w:asciiTheme="minorHAnsi" w:hAnsiTheme="minorHAnsi" w:cstheme="minorHAnsi"/>
          <w:szCs w:val="24"/>
        </w:rPr>
        <w:t xml:space="preserve">of the patients not self-identifying their </w:t>
      </w:r>
      <w:r w:rsidR="00A834B4" w:rsidRPr="00AB6F78">
        <w:rPr>
          <w:rFonts w:asciiTheme="minorHAnsi" w:hAnsiTheme="minorHAnsi" w:cstheme="minorHAnsi"/>
          <w:szCs w:val="24"/>
        </w:rPr>
        <w:t>gender.</w:t>
      </w:r>
      <w:r w:rsidR="00EF6552" w:rsidRPr="00AB6F78">
        <w:rPr>
          <w:rFonts w:asciiTheme="minorHAnsi" w:hAnsiTheme="minorHAnsi" w:cstheme="minorHAnsi"/>
          <w:szCs w:val="24"/>
        </w:rPr>
        <w:t xml:space="preserve">  </w:t>
      </w:r>
      <w:r w:rsidR="00776AB1" w:rsidRPr="00AB6F78">
        <w:rPr>
          <w:rFonts w:asciiTheme="minorHAnsi" w:hAnsiTheme="minorHAnsi" w:cstheme="minorHAnsi"/>
          <w:szCs w:val="24"/>
        </w:rPr>
        <w:t xml:space="preserve">A </w:t>
      </w:r>
      <w:r w:rsidR="000C445B" w:rsidRPr="00AB6F78">
        <w:rPr>
          <w:rFonts w:asciiTheme="minorHAnsi" w:hAnsiTheme="minorHAnsi" w:cstheme="minorHAnsi"/>
          <w:szCs w:val="24"/>
        </w:rPr>
        <w:t xml:space="preserve">disproportionate </w:t>
      </w:r>
      <w:r w:rsidR="00E23E3D" w:rsidRPr="00AB6F78">
        <w:rPr>
          <w:rFonts w:asciiTheme="minorHAnsi" w:hAnsiTheme="minorHAnsi" w:cstheme="minorHAnsi"/>
          <w:szCs w:val="24"/>
        </w:rPr>
        <w:t>share</w:t>
      </w:r>
      <w:r w:rsidR="00776AB1" w:rsidRPr="00AB6F78">
        <w:rPr>
          <w:rFonts w:asciiTheme="minorHAnsi" w:hAnsiTheme="minorHAnsi" w:cstheme="minorHAnsi"/>
          <w:szCs w:val="24"/>
        </w:rPr>
        <w:t xml:space="preserve"> (approximately 94</w:t>
      </w:r>
      <w:r w:rsidR="00CC1FB5" w:rsidRPr="00CC1FB5">
        <w:rPr>
          <w:rFonts w:asciiTheme="minorHAnsi" w:hAnsiTheme="minorHAnsi" w:cstheme="minorHAnsi"/>
          <w:szCs w:val="24"/>
        </w:rPr>
        <w:t xml:space="preserve"> </w:t>
      </w:r>
      <w:r w:rsidR="00CC1FB5">
        <w:rPr>
          <w:rFonts w:asciiTheme="minorHAnsi" w:hAnsiTheme="minorHAnsi" w:cstheme="minorHAnsi"/>
          <w:szCs w:val="24"/>
        </w:rPr>
        <w:t>percent</w:t>
      </w:r>
      <w:r w:rsidR="00776AB1" w:rsidRPr="00AB6F78">
        <w:rPr>
          <w:rFonts w:asciiTheme="minorHAnsi" w:hAnsiTheme="minorHAnsi" w:cstheme="minorHAnsi"/>
          <w:szCs w:val="24"/>
        </w:rPr>
        <w:t>)</w:t>
      </w:r>
      <w:r w:rsidR="00E23E3D" w:rsidRPr="00AB6F78">
        <w:rPr>
          <w:rFonts w:asciiTheme="minorHAnsi" w:hAnsiTheme="minorHAnsi" w:cstheme="minorHAnsi"/>
          <w:szCs w:val="24"/>
        </w:rPr>
        <w:t xml:space="preserve"> </w:t>
      </w:r>
      <w:r w:rsidR="00776AB1" w:rsidRPr="00AB6F78">
        <w:rPr>
          <w:rFonts w:asciiTheme="minorHAnsi" w:hAnsiTheme="minorHAnsi" w:cstheme="minorHAnsi"/>
          <w:szCs w:val="24"/>
        </w:rPr>
        <w:t>of the Patient Population is insured by government payors (</w:t>
      </w:r>
      <w:r w:rsidR="000C445B" w:rsidRPr="00AB6F78">
        <w:rPr>
          <w:rFonts w:asciiTheme="minorHAnsi" w:hAnsiTheme="minorHAnsi" w:cstheme="minorHAnsi"/>
          <w:szCs w:val="24"/>
        </w:rPr>
        <w:t>Medicaid and CHIP</w:t>
      </w:r>
      <w:r w:rsidR="00776AB1" w:rsidRPr="00AB6F78">
        <w:rPr>
          <w:rFonts w:asciiTheme="minorHAnsi" w:hAnsiTheme="minorHAnsi" w:cstheme="minorHAnsi"/>
          <w:szCs w:val="24"/>
        </w:rPr>
        <w:t>).</w:t>
      </w:r>
      <w:r w:rsidR="000C445B" w:rsidRPr="00AB6F78">
        <w:rPr>
          <w:rFonts w:asciiTheme="minorHAnsi" w:hAnsiTheme="minorHAnsi" w:cstheme="minorHAnsi"/>
          <w:szCs w:val="24"/>
        </w:rPr>
        <w:t xml:space="preserve">  The patients</w:t>
      </w:r>
      <w:r w:rsidR="00143F42" w:rsidRPr="00AB6F78">
        <w:rPr>
          <w:rFonts w:asciiTheme="minorHAnsi" w:hAnsiTheme="minorHAnsi" w:cstheme="minorHAnsi"/>
          <w:szCs w:val="24"/>
        </w:rPr>
        <w:t xml:space="preserve"> who utilize the ASCs and obtain High Acuity Dental Surgeries</w:t>
      </w:r>
      <w:r w:rsidR="000C445B" w:rsidRPr="00AB6F78">
        <w:rPr>
          <w:rFonts w:asciiTheme="minorHAnsi" w:hAnsiTheme="minorHAnsi" w:cstheme="minorHAnsi"/>
          <w:szCs w:val="24"/>
        </w:rPr>
        <w:t xml:space="preserve"> </w:t>
      </w:r>
      <w:r w:rsidR="00143F42" w:rsidRPr="00AB6F78">
        <w:rPr>
          <w:rFonts w:asciiTheme="minorHAnsi" w:hAnsiTheme="minorHAnsi" w:cstheme="minorHAnsi"/>
          <w:szCs w:val="24"/>
        </w:rPr>
        <w:t>are</w:t>
      </w:r>
      <w:r w:rsidR="000C445B" w:rsidRPr="00AB6F78">
        <w:rPr>
          <w:rFonts w:asciiTheme="minorHAnsi" w:hAnsiTheme="minorHAnsi" w:cstheme="minorHAnsi"/>
          <w:szCs w:val="24"/>
        </w:rPr>
        <w:t xml:space="preserve"> complex, with approximately </w:t>
      </w:r>
      <w:r w:rsidR="00143F42" w:rsidRPr="00AB6F78">
        <w:rPr>
          <w:rFonts w:asciiTheme="minorHAnsi" w:hAnsiTheme="minorHAnsi" w:cstheme="minorHAnsi"/>
          <w:szCs w:val="24"/>
        </w:rPr>
        <w:t>twenty percent (</w:t>
      </w:r>
      <w:r w:rsidR="000C445B" w:rsidRPr="00AB6F78">
        <w:rPr>
          <w:rFonts w:asciiTheme="minorHAnsi" w:hAnsiTheme="minorHAnsi" w:cstheme="minorHAnsi"/>
          <w:szCs w:val="24"/>
        </w:rPr>
        <w:t>20</w:t>
      </w:r>
      <w:r w:rsidR="00CC1FB5" w:rsidRPr="00CC1FB5">
        <w:rPr>
          <w:rFonts w:asciiTheme="minorHAnsi" w:hAnsiTheme="minorHAnsi" w:cstheme="minorHAnsi"/>
          <w:szCs w:val="24"/>
        </w:rPr>
        <w:t xml:space="preserve"> </w:t>
      </w:r>
      <w:r w:rsidR="00CC1FB5">
        <w:rPr>
          <w:rFonts w:asciiTheme="minorHAnsi" w:hAnsiTheme="minorHAnsi" w:cstheme="minorHAnsi"/>
          <w:szCs w:val="24"/>
        </w:rPr>
        <w:t>percent</w:t>
      </w:r>
      <w:r w:rsidR="00143F42" w:rsidRPr="00AB6F78">
        <w:rPr>
          <w:rFonts w:asciiTheme="minorHAnsi" w:hAnsiTheme="minorHAnsi" w:cstheme="minorHAnsi"/>
          <w:szCs w:val="24"/>
        </w:rPr>
        <w:t>) of the patients</w:t>
      </w:r>
      <w:r w:rsidR="000C445B" w:rsidRPr="00AB6F78">
        <w:rPr>
          <w:rFonts w:asciiTheme="minorHAnsi" w:hAnsiTheme="minorHAnsi" w:cstheme="minorHAnsi"/>
          <w:szCs w:val="24"/>
        </w:rPr>
        <w:t xml:space="preserve"> presenting with 1 or more </w:t>
      </w:r>
      <w:r w:rsidR="00143F42" w:rsidRPr="00AB6F78">
        <w:rPr>
          <w:rFonts w:asciiTheme="minorHAnsi" w:hAnsiTheme="minorHAnsi" w:cstheme="minorHAnsi"/>
          <w:szCs w:val="24"/>
        </w:rPr>
        <w:t xml:space="preserve">behavioral </w:t>
      </w:r>
      <w:r w:rsidR="000C445B" w:rsidRPr="00AB6F78">
        <w:rPr>
          <w:rFonts w:asciiTheme="minorHAnsi" w:hAnsiTheme="minorHAnsi" w:cstheme="minorHAnsi"/>
          <w:szCs w:val="24"/>
        </w:rPr>
        <w:t xml:space="preserve">risk </w:t>
      </w:r>
      <w:r w:rsidR="00B54691" w:rsidRPr="00AB6F78">
        <w:rPr>
          <w:rFonts w:asciiTheme="minorHAnsi" w:hAnsiTheme="minorHAnsi" w:cstheme="minorHAnsi"/>
          <w:szCs w:val="24"/>
        </w:rPr>
        <w:t>factors</w:t>
      </w:r>
      <w:r w:rsidR="000C445B" w:rsidRPr="00AB6F78">
        <w:rPr>
          <w:rFonts w:asciiTheme="minorHAnsi" w:hAnsiTheme="minorHAnsi" w:cstheme="minorHAnsi"/>
          <w:szCs w:val="24"/>
        </w:rPr>
        <w:t xml:space="preserve">.  </w:t>
      </w:r>
      <w:r w:rsidR="00776AB1" w:rsidRPr="00AB6F78">
        <w:rPr>
          <w:rFonts w:asciiTheme="minorHAnsi" w:hAnsiTheme="minorHAnsi" w:cstheme="minorHAnsi"/>
          <w:szCs w:val="24"/>
        </w:rPr>
        <w:t xml:space="preserve">The most common risk factors faced by the Blue Cloud Patient Population are </w:t>
      </w:r>
      <w:r w:rsidR="00776AB1" w:rsidRPr="00AB6F78">
        <w:rPr>
          <w:rFonts w:asciiTheme="minorHAnsi" w:hAnsiTheme="minorHAnsi" w:cstheme="minorHAnsi"/>
          <w:szCs w:val="24"/>
        </w:rPr>
        <w:lastRenderedPageBreak/>
        <w:t xml:space="preserve">psychosocial (autism, ADHD, Aspergers), neurological (behavioral challenges, developmental delays, seizures or psychiatric diagnosis); and neuromuscular (seizures, paralysis, or low muscle tone) in nature.  </w:t>
      </w:r>
      <w:r w:rsidRPr="00AB6F78">
        <w:rPr>
          <w:rFonts w:asciiTheme="minorHAnsi" w:hAnsiTheme="minorHAnsi" w:cstheme="minorHAnsi"/>
          <w:szCs w:val="24"/>
        </w:rPr>
        <w:t xml:space="preserve">The </w:t>
      </w:r>
      <w:r w:rsidR="00866AD1" w:rsidRPr="00AB6F78">
        <w:rPr>
          <w:rFonts w:asciiTheme="minorHAnsi" w:hAnsiTheme="minorHAnsi" w:cstheme="minorHAnsi"/>
          <w:szCs w:val="24"/>
        </w:rPr>
        <w:t>Applicant’s patient population</w:t>
      </w:r>
      <w:r w:rsidRPr="00AB6F78">
        <w:rPr>
          <w:rFonts w:asciiTheme="minorHAnsi" w:hAnsiTheme="minorHAnsi" w:cstheme="minorHAnsi"/>
          <w:szCs w:val="24"/>
        </w:rPr>
        <w:t xml:space="preserve"> data is set forth in </w:t>
      </w:r>
      <w:r w:rsidR="00FF55EF" w:rsidRPr="00AB6F78">
        <w:rPr>
          <w:rFonts w:asciiTheme="minorHAnsi" w:hAnsiTheme="minorHAnsi" w:cstheme="minorHAnsi"/>
          <w:szCs w:val="24"/>
        </w:rPr>
        <w:t>Exhibit</w:t>
      </w:r>
      <w:r w:rsidRPr="00AB6F78">
        <w:rPr>
          <w:rFonts w:asciiTheme="minorHAnsi" w:hAnsiTheme="minorHAnsi" w:cstheme="minorHAnsi"/>
          <w:szCs w:val="24"/>
        </w:rPr>
        <w:t xml:space="preserve"> 1.</w:t>
      </w:r>
    </w:p>
    <w:p w14:paraId="29C60768" w14:textId="5E4E575C" w:rsidR="006146A8" w:rsidRPr="00AB6F78" w:rsidRDefault="006146A8" w:rsidP="00770FE6">
      <w:pPr>
        <w:pStyle w:val="ListParagraph"/>
        <w:numPr>
          <w:ilvl w:val="0"/>
          <w:numId w:val="21"/>
        </w:numPr>
        <w:autoSpaceDE w:val="0"/>
        <w:autoSpaceDN w:val="0"/>
        <w:adjustRightInd w:val="0"/>
        <w:jc w:val="both"/>
        <w:rPr>
          <w:rFonts w:cstheme="minorHAnsi"/>
          <w:sz w:val="24"/>
          <w:szCs w:val="24"/>
        </w:rPr>
      </w:pPr>
      <w:r w:rsidRPr="00AB6F78">
        <w:rPr>
          <w:rFonts w:cstheme="minorHAnsi"/>
          <w:szCs w:val="24"/>
        </w:rPr>
        <w:t xml:space="preserve"> </w:t>
      </w:r>
      <w:r w:rsidRPr="00AB6F78">
        <w:rPr>
          <w:rFonts w:cstheme="minorHAnsi"/>
          <w:sz w:val="24"/>
          <w:szCs w:val="24"/>
        </w:rPr>
        <w:t>The</w:t>
      </w:r>
      <w:r w:rsidR="00EF6552" w:rsidRPr="00AB6F78">
        <w:rPr>
          <w:rFonts w:cstheme="minorHAnsi"/>
          <w:sz w:val="24"/>
          <w:szCs w:val="24"/>
        </w:rPr>
        <w:t xml:space="preserve"> </w:t>
      </w:r>
      <w:r w:rsidRPr="00AB6F78">
        <w:rPr>
          <w:rFonts w:cstheme="minorHAnsi"/>
          <w:sz w:val="24"/>
          <w:szCs w:val="24"/>
        </w:rPr>
        <w:t xml:space="preserve">Patient Panel for the Proposed Project </w:t>
      </w:r>
    </w:p>
    <w:p w14:paraId="7A9F3DB4" w14:textId="77777777" w:rsidR="00FF55EF" w:rsidRDefault="00FF55EF" w:rsidP="003E0084">
      <w:pPr>
        <w:autoSpaceDE w:val="0"/>
        <w:autoSpaceDN w:val="0"/>
        <w:adjustRightInd w:val="0"/>
        <w:jc w:val="both"/>
        <w:rPr>
          <w:rFonts w:asciiTheme="minorHAnsi" w:hAnsiTheme="minorHAnsi" w:cstheme="minorHAnsi"/>
          <w:szCs w:val="24"/>
        </w:rPr>
      </w:pPr>
    </w:p>
    <w:p w14:paraId="28C8E191" w14:textId="00E039CA" w:rsidR="00A14BA6" w:rsidRPr="00AB6F78" w:rsidRDefault="005038AA" w:rsidP="003E0084">
      <w:pPr>
        <w:autoSpaceDE w:val="0"/>
        <w:autoSpaceDN w:val="0"/>
        <w:adjustRightInd w:val="0"/>
        <w:jc w:val="both"/>
        <w:rPr>
          <w:rFonts w:asciiTheme="minorHAnsi" w:hAnsiTheme="minorHAnsi" w:cstheme="minorHAnsi"/>
          <w:szCs w:val="24"/>
        </w:rPr>
      </w:pPr>
      <w:r w:rsidRPr="00AB6F78">
        <w:rPr>
          <w:rFonts w:asciiTheme="minorHAnsi" w:hAnsiTheme="minorHAnsi" w:cstheme="minorHAnsi"/>
          <w:szCs w:val="24"/>
        </w:rPr>
        <w:t>Because the Applicant is changing the type of service offered by the Center, the Applicant engaged Chartis Healthcare Consulting (“Chartis”) t</w:t>
      </w:r>
      <w:r w:rsidR="00143F42" w:rsidRPr="00AB6F78">
        <w:rPr>
          <w:rFonts w:asciiTheme="minorHAnsi" w:hAnsiTheme="minorHAnsi" w:cstheme="minorHAnsi"/>
          <w:szCs w:val="24"/>
        </w:rPr>
        <w:t>o determine the</w:t>
      </w:r>
      <w:r w:rsidR="00FF55EF" w:rsidRPr="00AB6F78">
        <w:rPr>
          <w:rFonts w:asciiTheme="minorHAnsi" w:hAnsiTheme="minorHAnsi" w:cstheme="minorHAnsi"/>
          <w:szCs w:val="24"/>
        </w:rPr>
        <w:t xml:space="preserve"> </w:t>
      </w:r>
      <w:r w:rsidR="00222EC9" w:rsidRPr="00AB6F78">
        <w:rPr>
          <w:rFonts w:asciiTheme="minorHAnsi" w:hAnsiTheme="minorHAnsi" w:cstheme="minorHAnsi"/>
          <w:szCs w:val="24"/>
        </w:rPr>
        <w:t>P</w:t>
      </w:r>
      <w:r w:rsidRPr="00AB6F78">
        <w:rPr>
          <w:rFonts w:asciiTheme="minorHAnsi" w:hAnsiTheme="minorHAnsi" w:cstheme="minorHAnsi"/>
          <w:szCs w:val="24"/>
        </w:rPr>
        <w:t xml:space="preserve">atient </w:t>
      </w:r>
      <w:r w:rsidR="00222EC9" w:rsidRPr="00AB6F78">
        <w:rPr>
          <w:rFonts w:asciiTheme="minorHAnsi" w:hAnsiTheme="minorHAnsi" w:cstheme="minorHAnsi"/>
          <w:szCs w:val="24"/>
        </w:rPr>
        <w:t>P</w:t>
      </w:r>
      <w:r w:rsidRPr="00AB6F78">
        <w:rPr>
          <w:rFonts w:asciiTheme="minorHAnsi" w:hAnsiTheme="minorHAnsi" w:cstheme="minorHAnsi"/>
          <w:szCs w:val="24"/>
        </w:rPr>
        <w:t>anel</w:t>
      </w:r>
      <w:r w:rsidR="00FF55EF" w:rsidRPr="00AB6F78">
        <w:rPr>
          <w:rFonts w:asciiTheme="minorHAnsi" w:hAnsiTheme="minorHAnsi" w:cstheme="minorHAnsi"/>
          <w:szCs w:val="24"/>
        </w:rPr>
        <w:t xml:space="preserve"> for the Center</w:t>
      </w:r>
      <w:r w:rsidRPr="00AB6F78">
        <w:rPr>
          <w:rFonts w:asciiTheme="minorHAnsi" w:hAnsiTheme="minorHAnsi" w:cstheme="minorHAnsi"/>
          <w:szCs w:val="24"/>
        </w:rPr>
        <w:t xml:space="preserve"> and </w:t>
      </w:r>
      <w:r w:rsidR="00143F42" w:rsidRPr="00AB6F78">
        <w:rPr>
          <w:rFonts w:asciiTheme="minorHAnsi" w:hAnsiTheme="minorHAnsi" w:cstheme="minorHAnsi"/>
          <w:szCs w:val="24"/>
        </w:rPr>
        <w:t xml:space="preserve">need for the Proposed Project using </w:t>
      </w:r>
      <w:r w:rsidR="003E0084" w:rsidRPr="00AB6F78">
        <w:rPr>
          <w:rFonts w:asciiTheme="minorHAnsi" w:hAnsiTheme="minorHAnsi" w:cstheme="minorHAnsi"/>
          <w:szCs w:val="24"/>
        </w:rPr>
        <w:t>historic claims data</w:t>
      </w:r>
      <w:r w:rsidR="003E0084" w:rsidRPr="00AB6F78">
        <w:rPr>
          <w:rStyle w:val="FootnoteReference"/>
          <w:rFonts w:asciiTheme="minorHAnsi" w:hAnsiTheme="minorHAnsi" w:cstheme="minorHAnsi"/>
          <w:szCs w:val="24"/>
        </w:rPr>
        <w:footnoteReference w:id="3"/>
      </w:r>
      <w:r w:rsidR="003E0084" w:rsidRPr="00AB6F78">
        <w:rPr>
          <w:rFonts w:asciiTheme="minorHAnsi" w:hAnsiTheme="minorHAnsi" w:cstheme="minorHAnsi"/>
          <w:szCs w:val="24"/>
        </w:rPr>
        <w:t xml:space="preserve">.   </w:t>
      </w:r>
      <w:r w:rsidR="00A14BA6" w:rsidRPr="00AB6F78">
        <w:rPr>
          <w:rFonts w:asciiTheme="minorHAnsi" w:hAnsiTheme="minorHAnsi" w:cstheme="minorHAnsi"/>
          <w:szCs w:val="24"/>
        </w:rPr>
        <w:t>Chartis determined historic utilization of High Acuity Dental Surgeries using CY2024 claims data</w:t>
      </w:r>
      <w:r w:rsidR="00A14BA6" w:rsidRPr="00AB6F78">
        <w:rPr>
          <w:rStyle w:val="FootnoteReference"/>
          <w:rFonts w:asciiTheme="minorHAnsi" w:hAnsiTheme="minorHAnsi" w:cstheme="minorHAnsi"/>
          <w:szCs w:val="24"/>
        </w:rPr>
        <w:footnoteReference w:id="4"/>
      </w:r>
      <w:r w:rsidR="00A14BA6" w:rsidRPr="00AB6F78">
        <w:rPr>
          <w:rFonts w:asciiTheme="minorHAnsi" w:hAnsiTheme="minorHAnsi" w:cstheme="minorHAnsi"/>
          <w:szCs w:val="24"/>
        </w:rPr>
        <w:t xml:space="preserve"> for individuals ages 0 to </w:t>
      </w:r>
      <w:proofErr w:type="gramStart"/>
      <w:r w:rsidR="00A14BA6" w:rsidRPr="00AB6F78">
        <w:rPr>
          <w:rFonts w:asciiTheme="minorHAnsi" w:hAnsiTheme="minorHAnsi" w:cstheme="minorHAnsi"/>
          <w:szCs w:val="24"/>
        </w:rPr>
        <w:t>21  (</w:t>
      </w:r>
      <w:proofErr w:type="gramEnd"/>
      <w:r w:rsidR="00A14BA6" w:rsidRPr="00AB6F78">
        <w:rPr>
          <w:rFonts w:asciiTheme="minorHAnsi" w:hAnsiTheme="minorHAnsi" w:cstheme="minorHAnsi"/>
          <w:szCs w:val="24"/>
        </w:rPr>
        <w:t xml:space="preserve">“Claims </w:t>
      </w:r>
      <w:proofErr w:type="gramStart"/>
      <w:r w:rsidR="00A14BA6" w:rsidRPr="00AB6F78">
        <w:rPr>
          <w:rFonts w:asciiTheme="minorHAnsi" w:hAnsiTheme="minorHAnsi" w:cstheme="minorHAnsi"/>
          <w:szCs w:val="24"/>
        </w:rPr>
        <w:t>Data”)</w:t>
      </w:r>
      <w:proofErr w:type="gramEnd"/>
      <w:r w:rsidR="00A14BA6" w:rsidRPr="00AB6F78">
        <w:rPr>
          <w:rFonts w:asciiTheme="minorHAnsi" w:hAnsiTheme="minorHAnsi" w:cstheme="minorHAnsi"/>
          <w:szCs w:val="24"/>
        </w:rPr>
        <w:t xml:space="preserve"> based on a methodology set forth on Exhibit </w:t>
      </w:r>
      <w:r w:rsidR="00B82B17" w:rsidRPr="00AB6F78">
        <w:rPr>
          <w:rFonts w:asciiTheme="minorHAnsi" w:hAnsiTheme="minorHAnsi" w:cstheme="minorHAnsi"/>
          <w:szCs w:val="24"/>
        </w:rPr>
        <w:t>2.</w:t>
      </w:r>
      <w:r w:rsidR="00A14BA6" w:rsidRPr="00AB6F78">
        <w:rPr>
          <w:rFonts w:asciiTheme="minorHAnsi" w:hAnsiTheme="minorHAnsi" w:cstheme="minorHAnsi"/>
          <w:szCs w:val="24"/>
        </w:rPr>
        <w:t xml:space="preserve">      </w:t>
      </w:r>
    </w:p>
    <w:p w14:paraId="60B5A971" w14:textId="7A3E0AEC" w:rsidR="001E00A5" w:rsidRPr="00AB6F78" w:rsidRDefault="000926B7" w:rsidP="003E0084">
      <w:pPr>
        <w:autoSpaceDE w:val="0"/>
        <w:autoSpaceDN w:val="0"/>
        <w:adjustRightInd w:val="0"/>
        <w:jc w:val="both"/>
        <w:rPr>
          <w:rFonts w:asciiTheme="minorHAnsi" w:hAnsiTheme="minorHAnsi" w:cstheme="minorHAnsi"/>
          <w:szCs w:val="24"/>
        </w:rPr>
      </w:pPr>
      <w:r w:rsidRPr="00AB6F78">
        <w:rPr>
          <w:rFonts w:asciiTheme="minorHAnsi" w:hAnsiTheme="minorHAnsi" w:cstheme="minorHAnsi"/>
          <w:szCs w:val="24"/>
        </w:rPr>
        <w:t xml:space="preserve">The Applicant’s Primary Service Area </w:t>
      </w:r>
    </w:p>
    <w:p w14:paraId="5752D850" w14:textId="314E1800" w:rsidR="00A14BA6" w:rsidRDefault="00143F42" w:rsidP="003E0084">
      <w:pPr>
        <w:autoSpaceDE w:val="0"/>
        <w:autoSpaceDN w:val="0"/>
        <w:adjustRightInd w:val="0"/>
        <w:jc w:val="both"/>
        <w:rPr>
          <w:rFonts w:asciiTheme="minorHAnsi" w:hAnsiTheme="minorHAnsi" w:cstheme="minorHAnsi"/>
          <w:szCs w:val="24"/>
        </w:rPr>
      </w:pPr>
      <w:r>
        <w:rPr>
          <w:rFonts w:asciiTheme="minorHAnsi" w:hAnsiTheme="minorHAnsi" w:cstheme="minorHAnsi"/>
          <w:szCs w:val="24"/>
        </w:rPr>
        <w:t>The first step</w:t>
      </w:r>
      <w:r w:rsidR="003E0084">
        <w:rPr>
          <w:rFonts w:asciiTheme="minorHAnsi" w:hAnsiTheme="minorHAnsi" w:cstheme="minorHAnsi"/>
          <w:szCs w:val="24"/>
        </w:rPr>
        <w:t xml:space="preserve"> in the analysis was to identify </w:t>
      </w:r>
      <w:r w:rsidR="00FF55EF">
        <w:rPr>
          <w:rFonts w:asciiTheme="minorHAnsi" w:hAnsiTheme="minorHAnsi" w:cstheme="minorHAnsi"/>
          <w:szCs w:val="24"/>
        </w:rPr>
        <w:t xml:space="preserve">the </w:t>
      </w:r>
      <w:r w:rsidR="00265BC6">
        <w:rPr>
          <w:rFonts w:asciiTheme="minorHAnsi" w:hAnsiTheme="minorHAnsi" w:cstheme="minorHAnsi"/>
          <w:szCs w:val="24"/>
        </w:rPr>
        <w:t>Center’s Patient</w:t>
      </w:r>
      <w:r w:rsidR="005038AA">
        <w:rPr>
          <w:rFonts w:asciiTheme="minorHAnsi" w:hAnsiTheme="minorHAnsi" w:cstheme="minorHAnsi"/>
          <w:szCs w:val="24"/>
        </w:rPr>
        <w:t xml:space="preserve"> </w:t>
      </w:r>
      <w:r w:rsidR="00222EC9">
        <w:rPr>
          <w:rFonts w:asciiTheme="minorHAnsi" w:hAnsiTheme="minorHAnsi" w:cstheme="minorHAnsi"/>
          <w:szCs w:val="24"/>
        </w:rPr>
        <w:t>P</w:t>
      </w:r>
      <w:r w:rsidR="005038AA">
        <w:rPr>
          <w:rFonts w:asciiTheme="minorHAnsi" w:hAnsiTheme="minorHAnsi" w:cstheme="minorHAnsi"/>
          <w:szCs w:val="24"/>
        </w:rPr>
        <w:t xml:space="preserve">anel </w:t>
      </w:r>
      <w:r w:rsidR="003E0084">
        <w:rPr>
          <w:rFonts w:asciiTheme="minorHAnsi" w:hAnsiTheme="minorHAnsi" w:cstheme="minorHAnsi"/>
          <w:szCs w:val="24"/>
        </w:rPr>
        <w:t xml:space="preserve">by age within the </w:t>
      </w:r>
      <w:r w:rsidR="005038AA">
        <w:rPr>
          <w:rFonts w:asciiTheme="minorHAnsi" w:hAnsiTheme="minorHAnsi" w:cstheme="minorHAnsi"/>
          <w:szCs w:val="24"/>
        </w:rPr>
        <w:t>Center</w:t>
      </w:r>
      <w:r w:rsidR="003E0084">
        <w:rPr>
          <w:rFonts w:asciiTheme="minorHAnsi" w:hAnsiTheme="minorHAnsi" w:cstheme="minorHAnsi"/>
          <w:szCs w:val="24"/>
        </w:rPr>
        <w:t xml:space="preserve">’s primary service </w:t>
      </w:r>
      <w:proofErr w:type="gramStart"/>
      <w:r w:rsidR="003E0084">
        <w:rPr>
          <w:rFonts w:asciiTheme="minorHAnsi" w:hAnsiTheme="minorHAnsi" w:cstheme="minorHAnsi"/>
          <w:szCs w:val="24"/>
        </w:rPr>
        <w:t>area (“PSA”)</w:t>
      </w:r>
      <w:proofErr w:type="gramEnd"/>
      <w:r w:rsidR="003E0084">
        <w:rPr>
          <w:rFonts w:asciiTheme="minorHAnsi" w:hAnsiTheme="minorHAnsi" w:cstheme="minorHAnsi"/>
          <w:szCs w:val="24"/>
        </w:rPr>
        <w:t xml:space="preserve">.   Based </w:t>
      </w:r>
      <w:r w:rsidR="00FF55EF">
        <w:rPr>
          <w:rFonts w:asciiTheme="minorHAnsi" w:hAnsiTheme="minorHAnsi" w:cstheme="minorHAnsi"/>
          <w:szCs w:val="24"/>
        </w:rPr>
        <w:t>on</w:t>
      </w:r>
      <w:r w:rsidR="003E0084">
        <w:rPr>
          <w:rFonts w:asciiTheme="minorHAnsi" w:hAnsiTheme="minorHAnsi" w:cstheme="minorHAnsi"/>
          <w:szCs w:val="24"/>
        </w:rPr>
        <w:t xml:space="preserve"> prior experience it is not uncommon for its </w:t>
      </w:r>
      <w:r w:rsidR="00222EC9">
        <w:rPr>
          <w:rFonts w:asciiTheme="minorHAnsi" w:hAnsiTheme="minorHAnsi" w:cstheme="minorHAnsi"/>
          <w:szCs w:val="24"/>
        </w:rPr>
        <w:t>P</w:t>
      </w:r>
      <w:r w:rsidR="003E0084">
        <w:rPr>
          <w:rFonts w:asciiTheme="minorHAnsi" w:hAnsiTheme="minorHAnsi" w:cstheme="minorHAnsi"/>
          <w:szCs w:val="24"/>
        </w:rPr>
        <w:t xml:space="preserve">atient </w:t>
      </w:r>
      <w:r w:rsidR="00222EC9">
        <w:rPr>
          <w:rFonts w:asciiTheme="minorHAnsi" w:hAnsiTheme="minorHAnsi" w:cstheme="minorHAnsi"/>
          <w:szCs w:val="24"/>
        </w:rPr>
        <w:t>P</w:t>
      </w:r>
      <w:r w:rsidR="003E0084">
        <w:rPr>
          <w:rFonts w:asciiTheme="minorHAnsi" w:hAnsiTheme="minorHAnsi" w:cstheme="minorHAnsi"/>
          <w:szCs w:val="24"/>
        </w:rPr>
        <w:t>anel to travel up to 45 minutes or more for the High Acuity Dental Services, thus the Applicant estimates that its PSA will be a 15-mile radius from its location in Stoneham.  Looking at the zip codes</w:t>
      </w:r>
      <w:r w:rsidR="003E0084">
        <w:rPr>
          <w:rStyle w:val="FootnoteReference"/>
          <w:rFonts w:asciiTheme="minorHAnsi" w:hAnsiTheme="minorHAnsi" w:cstheme="minorHAnsi"/>
          <w:szCs w:val="24"/>
        </w:rPr>
        <w:footnoteReference w:id="5"/>
      </w:r>
      <w:r w:rsidR="003E0084">
        <w:rPr>
          <w:rFonts w:asciiTheme="minorHAnsi" w:hAnsiTheme="minorHAnsi" w:cstheme="minorHAnsi"/>
          <w:szCs w:val="24"/>
        </w:rPr>
        <w:t xml:space="preserve"> in the PSA, the Applicant has identified that half of Massachusetts</w:t>
      </w:r>
      <w:r w:rsidR="0052422A">
        <w:rPr>
          <w:rFonts w:asciiTheme="minorHAnsi" w:hAnsiTheme="minorHAnsi" w:cstheme="minorHAnsi"/>
          <w:szCs w:val="24"/>
        </w:rPr>
        <w:t>’</w:t>
      </w:r>
      <w:r w:rsidR="003E0084">
        <w:rPr>
          <w:rFonts w:asciiTheme="minorHAnsi" w:hAnsiTheme="minorHAnsi" w:cstheme="minorHAnsi"/>
          <w:szCs w:val="24"/>
        </w:rPr>
        <w:t xml:space="preserve"> pediatric population ages 0 to 21 resides within its PSA</w:t>
      </w:r>
      <w:r w:rsidR="00D56CA2">
        <w:rPr>
          <w:rFonts w:asciiTheme="minorHAnsi" w:hAnsiTheme="minorHAnsi" w:cstheme="minorHAnsi"/>
          <w:szCs w:val="24"/>
        </w:rPr>
        <w:t xml:space="preserve"> and that there is approximately the same number of males and females and that more than </w:t>
      </w:r>
      <w:proofErr w:type="gramStart"/>
      <w:r w:rsidR="00D56CA2">
        <w:rPr>
          <w:rFonts w:asciiTheme="minorHAnsi" w:hAnsiTheme="minorHAnsi" w:cstheme="minorHAnsi"/>
          <w:szCs w:val="24"/>
        </w:rPr>
        <w:t>the majority of</w:t>
      </w:r>
      <w:proofErr w:type="gramEnd"/>
      <w:r w:rsidR="00D56CA2">
        <w:rPr>
          <w:rFonts w:asciiTheme="minorHAnsi" w:hAnsiTheme="minorHAnsi" w:cstheme="minorHAnsi"/>
          <w:szCs w:val="24"/>
        </w:rPr>
        <w:t xml:space="preserve"> the population is white</w:t>
      </w:r>
      <w:r w:rsidR="003E0084">
        <w:rPr>
          <w:rFonts w:asciiTheme="minorHAnsi" w:hAnsiTheme="minorHAnsi" w:cstheme="minorHAnsi"/>
          <w:szCs w:val="24"/>
        </w:rPr>
        <w:t xml:space="preserve">.  See </w:t>
      </w:r>
      <w:r w:rsidR="003E0084" w:rsidRPr="00265BC6">
        <w:rPr>
          <w:rFonts w:asciiTheme="minorHAnsi" w:hAnsiTheme="minorHAnsi" w:cstheme="minorHAnsi"/>
          <w:szCs w:val="24"/>
        </w:rPr>
        <w:t>Exhibit</w:t>
      </w:r>
      <w:r w:rsidR="00B82B17" w:rsidRPr="00265BC6">
        <w:rPr>
          <w:rFonts w:asciiTheme="minorHAnsi" w:hAnsiTheme="minorHAnsi" w:cstheme="minorHAnsi"/>
          <w:szCs w:val="24"/>
        </w:rPr>
        <w:t xml:space="preserve"> 3</w:t>
      </w:r>
      <w:r w:rsidR="003E0084">
        <w:rPr>
          <w:rFonts w:asciiTheme="minorHAnsi" w:hAnsiTheme="minorHAnsi" w:cstheme="minorHAnsi"/>
          <w:szCs w:val="24"/>
        </w:rPr>
        <w:t xml:space="preserve">.   </w:t>
      </w:r>
      <w:r w:rsidR="00B54691">
        <w:rPr>
          <w:rFonts w:asciiTheme="minorHAnsi" w:hAnsiTheme="minorHAnsi" w:cstheme="minorHAnsi"/>
          <w:szCs w:val="24"/>
        </w:rPr>
        <w:t>Specifically,</w:t>
      </w:r>
      <w:r w:rsidR="003E0084">
        <w:rPr>
          <w:rFonts w:asciiTheme="minorHAnsi" w:hAnsiTheme="minorHAnsi" w:cstheme="minorHAnsi"/>
          <w:szCs w:val="24"/>
        </w:rPr>
        <w:t xml:space="preserve"> within the PSA, </w:t>
      </w:r>
      <w:r w:rsidR="0052422A">
        <w:rPr>
          <w:rFonts w:asciiTheme="minorHAnsi" w:hAnsiTheme="minorHAnsi" w:cstheme="minorHAnsi"/>
          <w:szCs w:val="24"/>
        </w:rPr>
        <w:t>a high</w:t>
      </w:r>
      <w:r w:rsidR="003E0084">
        <w:rPr>
          <w:rFonts w:asciiTheme="minorHAnsi" w:hAnsiTheme="minorHAnsi" w:cstheme="minorHAnsi"/>
          <w:szCs w:val="24"/>
        </w:rPr>
        <w:t xml:space="preserve"> concentration of </w:t>
      </w:r>
      <w:r w:rsidR="0069348E">
        <w:rPr>
          <w:rFonts w:asciiTheme="minorHAnsi" w:hAnsiTheme="minorHAnsi" w:cstheme="minorHAnsi"/>
          <w:szCs w:val="24"/>
        </w:rPr>
        <w:t xml:space="preserve">pediatric patients who are MassHealth </w:t>
      </w:r>
      <w:r w:rsidR="00866AD1">
        <w:rPr>
          <w:rFonts w:asciiTheme="minorHAnsi" w:hAnsiTheme="minorHAnsi" w:cstheme="minorHAnsi"/>
          <w:szCs w:val="24"/>
        </w:rPr>
        <w:t>b</w:t>
      </w:r>
      <w:r w:rsidR="0069348E">
        <w:rPr>
          <w:rFonts w:asciiTheme="minorHAnsi" w:hAnsiTheme="minorHAnsi" w:cstheme="minorHAnsi"/>
          <w:szCs w:val="24"/>
        </w:rPr>
        <w:t>eneficiaries</w:t>
      </w:r>
      <w:r w:rsidR="0052422A">
        <w:rPr>
          <w:rFonts w:asciiTheme="minorHAnsi" w:hAnsiTheme="minorHAnsi" w:cstheme="minorHAnsi"/>
          <w:szCs w:val="24"/>
        </w:rPr>
        <w:t xml:space="preserve"> exists</w:t>
      </w:r>
      <w:r w:rsidR="0069348E">
        <w:rPr>
          <w:rFonts w:asciiTheme="minorHAnsi" w:hAnsiTheme="minorHAnsi" w:cstheme="minorHAnsi"/>
          <w:szCs w:val="24"/>
        </w:rPr>
        <w:t xml:space="preserve"> within</w:t>
      </w:r>
      <w:r w:rsidR="00866AD1">
        <w:rPr>
          <w:rFonts w:asciiTheme="minorHAnsi" w:hAnsiTheme="minorHAnsi" w:cstheme="minorHAnsi"/>
          <w:szCs w:val="24"/>
        </w:rPr>
        <w:t xml:space="preserve"> the towns </w:t>
      </w:r>
      <w:r w:rsidR="00265BC6">
        <w:rPr>
          <w:rFonts w:asciiTheme="minorHAnsi" w:hAnsiTheme="minorHAnsi" w:cstheme="minorHAnsi"/>
          <w:szCs w:val="24"/>
        </w:rPr>
        <w:t>of Revere</w:t>
      </w:r>
      <w:r w:rsidR="005F14F4">
        <w:rPr>
          <w:rFonts w:asciiTheme="minorHAnsi" w:hAnsiTheme="minorHAnsi" w:cstheme="minorHAnsi"/>
          <w:szCs w:val="24"/>
        </w:rPr>
        <w:t xml:space="preserve">, Malden, Medford, Methuen, Lawrence, Lynn, and </w:t>
      </w:r>
      <w:r w:rsidR="00265BC6">
        <w:rPr>
          <w:rFonts w:asciiTheme="minorHAnsi" w:hAnsiTheme="minorHAnsi" w:cstheme="minorHAnsi"/>
          <w:szCs w:val="24"/>
        </w:rPr>
        <w:t>Everett.</w:t>
      </w:r>
      <w:r w:rsidR="0069348E">
        <w:rPr>
          <w:rFonts w:asciiTheme="minorHAnsi" w:hAnsiTheme="minorHAnsi" w:cstheme="minorHAnsi"/>
          <w:szCs w:val="24"/>
        </w:rPr>
        <w:t xml:space="preserve">  See </w:t>
      </w:r>
      <w:r w:rsidR="0069348E" w:rsidRPr="00AB6F78">
        <w:rPr>
          <w:rFonts w:asciiTheme="minorHAnsi" w:hAnsiTheme="minorHAnsi" w:cstheme="minorHAnsi"/>
          <w:szCs w:val="24"/>
        </w:rPr>
        <w:t xml:space="preserve">Exhibit </w:t>
      </w:r>
      <w:r w:rsidR="005F14F4" w:rsidRPr="00AB6F78">
        <w:rPr>
          <w:rFonts w:asciiTheme="minorHAnsi" w:hAnsiTheme="minorHAnsi" w:cstheme="minorHAnsi"/>
          <w:szCs w:val="24"/>
        </w:rPr>
        <w:t>4</w:t>
      </w:r>
      <w:r w:rsidR="0069348E" w:rsidRPr="00AB6F78">
        <w:rPr>
          <w:rFonts w:asciiTheme="minorHAnsi" w:hAnsiTheme="minorHAnsi" w:cstheme="minorHAnsi"/>
          <w:szCs w:val="24"/>
        </w:rPr>
        <w:t>.</w:t>
      </w:r>
      <w:r w:rsidR="0069348E">
        <w:rPr>
          <w:rFonts w:asciiTheme="minorHAnsi" w:hAnsiTheme="minorHAnsi" w:cstheme="minorHAnsi"/>
          <w:szCs w:val="24"/>
        </w:rPr>
        <w:t xml:space="preserve"> </w:t>
      </w:r>
      <w:r w:rsidR="00D56CA2">
        <w:rPr>
          <w:rFonts w:asciiTheme="minorHAnsi" w:hAnsiTheme="minorHAnsi" w:cstheme="minorHAnsi"/>
          <w:szCs w:val="24"/>
        </w:rPr>
        <w:t xml:space="preserve">  </w:t>
      </w:r>
      <w:r w:rsidR="0019058A">
        <w:rPr>
          <w:rFonts w:asciiTheme="minorHAnsi" w:hAnsiTheme="minorHAnsi" w:cstheme="minorHAnsi"/>
          <w:szCs w:val="24"/>
        </w:rPr>
        <w:t xml:space="preserve"> </w:t>
      </w:r>
    </w:p>
    <w:p w14:paraId="64A2773D" w14:textId="696E2540" w:rsidR="000926B7" w:rsidRPr="00AB6F78" w:rsidRDefault="000926B7" w:rsidP="003E0084">
      <w:pPr>
        <w:autoSpaceDE w:val="0"/>
        <w:autoSpaceDN w:val="0"/>
        <w:adjustRightInd w:val="0"/>
        <w:jc w:val="both"/>
        <w:rPr>
          <w:rFonts w:asciiTheme="minorHAnsi" w:hAnsiTheme="minorHAnsi" w:cstheme="minorHAnsi"/>
          <w:szCs w:val="24"/>
        </w:rPr>
      </w:pPr>
      <w:r w:rsidRPr="00AB6F78">
        <w:rPr>
          <w:rFonts w:asciiTheme="minorHAnsi" w:hAnsiTheme="minorHAnsi" w:cstheme="minorHAnsi"/>
          <w:szCs w:val="24"/>
        </w:rPr>
        <w:t>Patient Panel Demographics by Utilization</w:t>
      </w:r>
    </w:p>
    <w:p w14:paraId="694F5E78" w14:textId="61427DF8" w:rsidR="00A14BA6" w:rsidRDefault="00A14BA6" w:rsidP="00A14BA6">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The second step in the analysis looked at </w:t>
      </w:r>
      <w:r w:rsidR="00FF55EF">
        <w:rPr>
          <w:rFonts w:asciiTheme="minorHAnsi" w:hAnsiTheme="minorHAnsi" w:cstheme="minorHAnsi"/>
          <w:szCs w:val="24"/>
        </w:rPr>
        <w:t xml:space="preserve">the </w:t>
      </w:r>
      <w:r w:rsidR="001E00A5">
        <w:rPr>
          <w:rFonts w:asciiTheme="minorHAnsi" w:hAnsiTheme="minorHAnsi" w:cstheme="minorHAnsi"/>
          <w:szCs w:val="24"/>
        </w:rPr>
        <w:t>care setting</w:t>
      </w:r>
      <w:r w:rsidR="00FF55EF">
        <w:rPr>
          <w:rFonts w:asciiTheme="minorHAnsi" w:hAnsiTheme="minorHAnsi" w:cstheme="minorHAnsi"/>
          <w:szCs w:val="24"/>
        </w:rPr>
        <w:t>s</w:t>
      </w:r>
      <w:r w:rsidR="001E00A5">
        <w:rPr>
          <w:rFonts w:asciiTheme="minorHAnsi" w:hAnsiTheme="minorHAnsi" w:cstheme="minorHAnsi"/>
          <w:szCs w:val="24"/>
        </w:rPr>
        <w:t xml:space="preserve">: </w:t>
      </w:r>
      <w:r>
        <w:rPr>
          <w:rFonts w:asciiTheme="minorHAnsi" w:hAnsiTheme="minorHAnsi" w:cstheme="minorHAnsi"/>
          <w:szCs w:val="24"/>
        </w:rPr>
        <w:t>HOPD, ASC, dental office</w:t>
      </w:r>
      <w:r w:rsidR="001E00A5">
        <w:rPr>
          <w:rFonts w:asciiTheme="minorHAnsi" w:hAnsiTheme="minorHAnsi" w:cstheme="minorHAnsi"/>
          <w:szCs w:val="24"/>
        </w:rPr>
        <w:t xml:space="preserve"> (“Care Setting</w:t>
      </w:r>
      <w:r w:rsidR="00FF55EF">
        <w:rPr>
          <w:rFonts w:asciiTheme="minorHAnsi" w:hAnsiTheme="minorHAnsi" w:cstheme="minorHAnsi"/>
          <w:szCs w:val="24"/>
        </w:rPr>
        <w:t>s</w:t>
      </w:r>
      <w:r w:rsidR="001E00A5">
        <w:rPr>
          <w:rFonts w:asciiTheme="minorHAnsi" w:hAnsiTheme="minorHAnsi" w:cstheme="minorHAnsi"/>
          <w:szCs w:val="24"/>
        </w:rPr>
        <w:t>”)</w:t>
      </w:r>
      <w:r>
        <w:rPr>
          <w:rFonts w:asciiTheme="minorHAnsi" w:hAnsiTheme="minorHAnsi" w:cstheme="minorHAnsi"/>
          <w:szCs w:val="24"/>
        </w:rPr>
        <w:t xml:space="preserve"> by age and payor</w:t>
      </w:r>
      <w:r w:rsidR="000926B7">
        <w:rPr>
          <w:rStyle w:val="FootnoteReference"/>
          <w:rFonts w:asciiTheme="minorHAnsi" w:hAnsiTheme="minorHAnsi" w:cstheme="minorHAnsi"/>
          <w:szCs w:val="24"/>
        </w:rPr>
        <w:footnoteReference w:id="6"/>
      </w:r>
      <w:r>
        <w:rPr>
          <w:rFonts w:asciiTheme="minorHAnsi" w:hAnsiTheme="minorHAnsi" w:cstheme="minorHAnsi"/>
          <w:szCs w:val="24"/>
        </w:rPr>
        <w:t xml:space="preserve"> </w:t>
      </w:r>
      <w:r w:rsidR="000926B7">
        <w:rPr>
          <w:rFonts w:asciiTheme="minorHAnsi" w:hAnsiTheme="minorHAnsi" w:cstheme="minorHAnsi"/>
          <w:szCs w:val="24"/>
        </w:rPr>
        <w:t xml:space="preserve">utilizing the universe of </w:t>
      </w:r>
      <w:r>
        <w:rPr>
          <w:rFonts w:asciiTheme="minorHAnsi" w:hAnsiTheme="minorHAnsi" w:cstheme="minorHAnsi"/>
          <w:szCs w:val="24"/>
        </w:rPr>
        <w:t>Claims Data for Massachusetts.   The findings showed that patients ages 10 and under received their care in an HOPD or</w:t>
      </w:r>
      <w:r w:rsidR="00FF55EF">
        <w:rPr>
          <w:rFonts w:asciiTheme="minorHAnsi" w:hAnsiTheme="minorHAnsi" w:cstheme="minorHAnsi"/>
          <w:szCs w:val="24"/>
        </w:rPr>
        <w:t xml:space="preserve"> an</w:t>
      </w:r>
      <w:r>
        <w:rPr>
          <w:rFonts w:asciiTheme="minorHAnsi" w:hAnsiTheme="minorHAnsi" w:cstheme="minorHAnsi"/>
          <w:szCs w:val="24"/>
        </w:rPr>
        <w:t xml:space="preserve"> </w:t>
      </w:r>
      <w:r w:rsidR="00B54691">
        <w:rPr>
          <w:rFonts w:asciiTheme="minorHAnsi" w:hAnsiTheme="minorHAnsi" w:cstheme="minorHAnsi"/>
          <w:szCs w:val="24"/>
        </w:rPr>
        <w:t>ASC,</w:t>
      </w:r>
      <w:r>
        <w:rPr>
          <w:rFonts w:asciiTheme="minorHAnsi" w:hAnsiTheme="minorHAnsi" w:cstheme="minorHAnsi"/>
          <w:szCs w:val="24"/>
        </w:rPr>
        <w:t xml:space="preserve"> </w:t>
      </w:r>
      <w:r w:rsidR="00B54691">
        <w:rPr>
          <w:rFonts w:asciiTheme="minorHAnsi" w:hAnsiTheme="minorHAnsi" w:cstheme="minorHAnsi"/>
          <w:szCs w:val="24"/>
        </w:rPr>
        <w:t>whereas</w:t>
      </w:r>
      <w:r>
        <w:rPr>
          <w:rFonts w:asciiTheme="minorHAnsi" w:hAnsiTheme="minorHAnsi" w:cstheme="minorHAnsi"/>
          <w:szCs w:val="24"/>
        </w:rPr>
        <w:t xml:space="preserve"> patients ages 11-21 received most of their care in a dental office.  However, when you look at the Claims Data </w:t>
      </w:r>
      <w:r w:rsidR="000926B7">
        <w:rPr>
          <w:rFonts w:asciiTheme="minorHAnsi" w:hAnsiTheme="minorHAnsi" w:cstheme="minorHAnsi"/>
          <w:szCs w:val="24"/>
        </w:rPr>
        <w:t xml:space="preserve">by Care Setting and </w:t>
      </w:r>
      <w:r>
        <w:rPr>
          <w:rFonts w:asciiTheme="minorHAnsi" w:hAnsiTheme="minorHAnsi" w:cstheme="minorHAnsi"/>
          <w:szCs w:val="24"/>
        </w:rPr>
        <w:t xml:space="preserve">by payor, the majority of MassHealth </w:t>
      </w:r>
      <w:r w:rsidR="00FF55EF">
        <w:rPr>
          <w:rFonts w:asciiTheme="minorHAnsi" w:hAnsiTheme="minorHAnsi" w:cstheme="minorHAnsi"/>
          <w:szCs w:val="24"/>
        </w:rPr>
        <w:t xml:space="preserve">pediatric </w:t>
      </w:r>
      <w:r>
        <w:rPr>
          <w:rFonts w:asciiTheme="minorHAnsi" w:hAnsiTheme="minorHAnsi" w:cstheme="minorHAnsi"/>
          <w:szCs w:val="24"/>
        </w:rPr>
        <w:t>patients</w:t>
      </w:r>
      <w:r w:rsidR="0052422A">
        <w:rPr>
          <w:rFonts w:asciiTheme="minorHAnsi" w:hAnsiTheme="minorHAnsi" w:cstheme="minorHAnsi"/>
          <w:szCs w:val="24"/>
        </w:rPr>
        <w:t>,</w:t>
      </w:r>
      <w:r w:rsidR="00776AB1">
        <w:rPr>
          <w:rFonts w:asciiTheme="minorHAnsi" w:hAnsiTheme="minorHAnsi" w:cstheme="minorHAnsi"/>
          <w:szCs w:val="24"/>
        </w:rPr>
        <w:t xml:space="preserve"> </w:t>
      </w:r>
      <w:r w:rsidR="000926B7">
        <w:rPr>
          <w:rFonts w:asciiTheme="minorHAnsi" w:hAnsiTheme="minorHAnsi" w:cstheme="minorHAnsi"/>
          <w:szCs w:val="24"/>
        </w:rPr>
        <w:lastRenderedPageBreak/>
        <w:t>regardless of age</w:t>
      </w:r>
      <w:r w:rsidR="0052422A">
        <w:rPr>
          <w:rFonts w:asciiTheme="minorHAnsi" w:hAnsiTheme="minorHAnsi" w:cstheme="minorHAnsi"/>
          <w:szCs w:val="24"/>
        </w:rPr>
        <w:t>,</w:t>
      </w:r>
      <w:r w:rsidR="00776AB1">
        <w:rPr>
          <w:rFonts w:asciiTheme="minorHAnsi" w:hAnsiTheme="minorHAnsi" w:cstheme="minorHAnsi"/>
          <w:szCs w:val="24"/>
        </w:rPr>
        <w:t xml:space="preserve"> </w:t>
      </w:r>
      <w:r>
        <w:rPr>
          <w:rFonts w:asciiTheme="minorHAnsi" w:hAnsiTheme="minorHAnsi" w:cstheme="minorHAnsi"/>
          <w:szCs w:val="24"/>
        </w:rPr>
        <w:t>received their care in an HOPD or ASC compared to commercial patients who received their care in a dental office.   The MassHealth population that received its care in an ASC was 5</w:t>
      </w:r>
      <w:r w:rsidR="00CC1FB5" w:rsidRPr="00CC1FB5">
        <w:rPr>
          <w:rFonts w:asciiTheme="minorHAnsi" w:hAnsiTheme="minorHAnsi" w:cstheme="minorHAnsi"/>
          <w:szCs w:val="24"/>
        </w:rPr>
        <w:t xml:space="preserve"> </w:t>
      </w:r>
      <w:r w:rsidR="00CC1FB5">
        <w:rPr>
          <w:rFonts w:asciiTheme="minorHAnsi" w:hAnsiTheme="minorHAnsi" w:cstheme="minorHAnsi"/>
          <w:szCs w:val="24"/>
        </w:rPr>
        <w:t>percent</w:t>
      </w:r>
      <w:r>
        <w:rPr>
          <w:rFonts w:asciiTheme="minorHAnsi" w:hAnsiTheme="minorHAnsi" w:cstheme="minorHAnsi"/>
          <w:szCs w:val="24"/>
        </w:rPr>
        <w:t xml:space="preserve"> compared to 69</w:t>
      </w:r>
      <w:r w:rsidR="00CC1FB5" w:rsidRPr="00CC1FB5">
        <w:rPr>
          <w:rFonts w:asciiTheme="minorHAnsi" w:hAnsiTheme="minorHAnsi" w:cstheme="minorHAnsi"/>
          <w:szCs w:val="24"/>
        </w:rPr>
        <w:t xml:space="preserve"> </w:t>
      </w:r>
      <w:r w:rsidR="00CC1FB5">
        <w:rPr>
          <w:rFonts w:asciiTheme="minorHAnsi" w:hAnsiTheme="minorHAnsi" w:cstheme="minorHAnsi"/>
          <w:szCs w:val="24"/>
        </w:rPr>
        <w:t>percent</w:t>
      </w:r>
      <w:r>
        <w:rPr>
          <w:rFonts w:asciiTheme="minorHAnsi" w:hAnsiTheme="minorHAnsi" w:cstheme="minorHAnsi"/>
          <w:szCs w:val="24"/>
        </w:rPr>
        <w:t xml:space="preserve"> in an HOPD.   </w:t>
      </w:r>
      <w:r w:rsidR="00B82B17">
        <w:rPr>
          <w:rFonts w:asciiTheme="minorHAnsi" w:hAnsiTheme="minorHAnsi" w:cstheme="minorHAnsi"/>
          <w:szCs w:val="24"/>
        </w:rPr>
        <w:t xml:space="preserve"> See </w:t>
      </w:r>
      <w:r w:rsidR="00B82B17" w:rsidRPr="00AB6F78">
        <w:rPr>
          <w:rFonts w:asciiTheme="minorHAnsi" w:hAnsiTheme="minorHAnsi" w:cstheme="minorHAnsi"/>
          <w:szCs w:val="24"/>
        </w:rPr>
        <w:t>Exhibit 4.</w:t>
      </w:r>
      <w:r>
        <w:rPr>
          <w:rFonts w:asciiTheme="minorHAnsi" w:hAnsiTheme="minorHAnsi" w:cstheme="minorHAnsi"/>
          <w:szCs w:val="24"/>
        </w:rPr>
        <w:t xml:space="preserve"> </w:t>
      </w:r>
      <w:r w:rsidR="00D56CA2">
        <w:rPr>
          <w:rFonts w:asciiTheme="minorHAnsi" w:hAnsiTheme="minorHAnsi" w:cstheme="minorHAnsi"/>
          <w:szCs w:val="24"/>
        </w:rPr>
        <w:t xml:space="preserve">  </w:t>
      </w:r>
    </w:p>
    <w:p w14:paraId="67FAEF43" w14:textId="25D7F919" w:rsidR="004F40C9" w:rsidRDefault="0069348E" w:rsidP="0069348E">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The </w:t>
      </w:r>
      <w:r w:rsidR="00553C14">
        <w:rPr>
          <w:rFonts w:asciiTheme="minorHAnsi" w:hAnsiTheme="minorHAnsi" w:cstheme="minorHAnsi"/>
          <w:szCs w:val="24"/>
        </w:rPr>
        <w:t>third step</w:t>
      </w:r>
      <w:r>
        <w:rPr>
          <w:rFonts w:asciiTheme="minorHAnsi" w:hAnsiTheme="minorHAnsi" w:cstheme="minorHAnsi"/>
          <w:szCs w:val="24"/>
        </w:rPr>
        <w:t xml:space="preserve"> </w:t>
      </w:r>
      <w:r w:rsidR="00866AD1">
        <w:rPr>
          <w:rFonts w:asciiTheme="minorHAnsi" w:hAnsiTheme="minorHAnsi" w:cstheme="minorHAnsi"/>
          <w:szCs w:val="24"/>
        </w:rPr>
        <w:t>in the analysis</w:t>
      </w:r>
      <w:r w:rsidR="00776AB1">
        <w:rPr>
          <w:rFonts w:asciiTheme="minorHAnsi" w:hAnsiTheme="minorHAnsi" w:cstheme="minorHAnsi"/>
          <w:szCs w:val="24"/>
        </w:rPr>
        <w:t xml:space="preserve"> </w:t>
      </w:r>
      <w:r w:rsidR="00553C14">
        <w:rPr>
          <w:rFonts w:asciiTheme="minorHAnsi" w:hAnsiTheme="minorHAnsi" w:cstheme="minorHAnsi"/>
          <w:szCs w:val="24"/>
        </w:rPr>
        <w:t xml:space="preserve">further analyzed the Claims Data in two </w:t>
      </w:r>
      <w:r w:rsidR="00B54691">
        <w:rPr>
          <w:rFonts w:asciiTheme="minorHAnsi" w:hAnsiTheme="minorHAnsi" w:cstheme="minorHAnsi"/>
          <w:szCs w:val="24"/>
        </w:rPr>
        <w:t>ways</w:t>
      </w:r>
      <w:r>
        <w:rPr>
          <w:rFonts w:asciiTheme="minorHAnsi" w:hAnsiTheme="minorHAnsi" w:cstheme="minorHAnsi"/>
          <w:szCs w:val="24"/>
        </w:rPr>
        <w:t>: (1)</w:t>
      </w:r>
      <w:r w:rsidR="00FF55EF">
        <w:rPr>
          <w:rFonts w:asciiTheme="minorHAnsi" w:hAnsiTheme="minorHAnsi" w:cstheme="minorHAnsi"/>
          <w:szCs w:val="24"/>
        </w:rPr>
        <w:t xml:space="preserve"> State-Wide analysis by Care Setting, </w:t>
      </w:r>
      <w:r>
        <w:rPr>
          <w:rFonts w:asciiTheme="minorHAnsi" w:hAnsiTheme="minorHAnsi" w:cstheme="minorHAnsi"/>
          <w:szCs w:val="24"/>
        </w:rPr>
        <w:t>age</w:t>
      </w:r>
      <w:r w:rsidR="00FF55EF">
        <w:rPr>
          <w:rFonts w:asciiTheme="minorHAnsi" w:hAnsiTheme="minorHAnsi" w:cstheme="minorHAnsi"/>
          <w:szCs w:val="24"/>
        </w:rPr>
        <w:t xml:space="preserve"> and payor </w:t>
      </w:r>
      <w:r w:rsidR="00A17E19">
        <w:rPr>
          <w:rFonts w:asciiTheme="minorHAnsi" w:hAnsiTheme="minorHAnsi" w:cstheme="minorHAnsi"/>
          <w:szCs w:val="24"/>
        </w:rPr>
        <w:t>(“Category 1”)</w:t>
      </w:r>
      <w:r w:rsidR="0052422A">
        <w:rPr>
          <w:rFonts w:asciiTheme="minorHAnsi" w:hAnsiTheme="minorHAnsi" w:cstheme="minorHAnsi"/>
          <w:szCs w:val="24"/>
        </w:rPr>
        <w:t>;</w:t>
      </w:r>
      <w:r>
        <w:rPr>
          <w:rFonts w:asciiTheme="minorHAnsi" w:hAnsiTheme="minorHAnsi" w:cstheme="minorHAnsi"/>
          <w:szCs w:val="24"/>
        </w:rPr>
        <w:t xml:space="preserve"> and (2) </w:t>
      </w:r>
      <w:r w:rsidR="00FF55EF">
        <w:rPr>
          <w:rFonts w:asciiTheme="minorHAnsi" w:hAnsiTheme="minorHAnsi" w:cstheme="minorHAnsi"/>
          <w:szCs w:val="24"/>
        </w:rPr>
        <w:t>the Applicant’s</w:t>
      </w:r>
      <w:r>
        <w:rPr>
          <w:rFonts w:asciiTheme="minorHAnsi" w:hAnsiTheme="minorHAnsi" w:cstheme="minorHAnsi"/>
          <w:szCs w:val="24"/>
        </w:rPr>
        <w:t xml:space="preserve"> PSA by </w:t>
      </w:r>
      <w:r w:rsidR="00FF55EF">
        <w:rPr>
          <w:rFonts w:asciiTheme="minorHAnsi" w:hAnsiTheme="minorHAnsi" w:cstheme="minorHAnsi"/>
          <w:szCs w:val="24"/>
        </w:rPr>
        <w:t>Care S</w:t>
      </w:r>
      <w:r>
        <w:rPr>
          <w:rFonts w:asciiTheme="minorHAnsi" w:hAnsiTheme="minorHAnsi" w:cstheme="minorHAnsi"/>
          <w:szCs w:val="24"/>
        </w:rPr>
        <w:t>etting, age and payer</w:t>
      </w:r>
      <w:r w:rsidR="00A17E19">
        <w:rPr>
          <w:rFonts w:asciiTheme="minorHAnsi" w:hAnsiTheme="minorHAnsi" w:cstheme="minorHAnsi"/>
          <w:szCs w:val="24"/>
        </w:rPr>
        <w:t xml:space="preserve"> (“Category 2”)</w:t>
      </w:r>
      <w:r>
        <w:rPr>
          <w:rFonts w:asciiTheme="minorHAnsi" w:hAnsiTheme="minorHAnsi" w:cstheme="minorHAnsi"/>
          <w:szCs w:val="24"/>
        </w:rPr>
        <w:t xml:space="preserve">.  </w:t>
      </w:r>
      <w:r w:rsidR="00B82B17">
        <w:rPr>
          <w:rFonts w:asciiTheme="minorHAnsi" w:hAnsiTheme="minorHAnsi" w:cstheme="minorHAnsi"/>
          <w:szCs w:val="24"/>
        </w:rPr>
        <w:t xml:space="preserve"> See </w:t>
      </w:r>
      <w:r w:rsidR="00B82B17" w:rsidRPr="00AB6F78">
        <w:rPr>
          <w:rFonts w:asciiTheme="minorHAnsi" w:hAnsiTheme="minorHAnsi" w:cstheme="minorHAnsi"/>
          <w:szCs w:val="24"/>
        </w:rPr>
        <w:t>Exhibit 4.</w:t>
      </w:r>
      <w:r w:rsidR="00A17E19" w:rsidRPr="00AB6F78">
        <w:rPr>
          <w:rFonts w:asciiTheme="minorHAnsi" w:hAnsiTheme="minorHAnsi" w:cstheme="minorHAnsi"/>
          <w:szCs w:val="24"/>
        </w:rPr>
        <w:t xml:space="preserve">   </w:t>
      </w:r>
    </w:p>
    <w:p w14:paraId="0EAE32F9" w14:textId="480E470A" w:rsidR="004F40C9" w:rsidRPr="00AB6F78" w:rsidRDefault="004F40C9" w:rsidP="0069348E">
      <w:pPr>
        <w:autoSpaceDE w:val="0"/>
        <w:autoSpaceDN w:val="0"/>
        <w:adjustRightInd w:val="0"/>
        <w:jc w:val="both"/>
        <w:rPr>
          <w:rFonts w:asciiTheme="minorHAnsi" w:hAnsiTheme="minorHAnsi" w:cstheme="minorHAnsi"/>
          <w:szCs w:val="24"/>
        </w:rPr>
      </w:pPr>
      <w:r>
        <w:rPr>
          <w:rFonts w:asciiTheme="minorHAnsi" w:hAnsiTheme="minorHAnsi" w:cstheme="minorHAnsi"/>
          <w:szCs w:val="24"/>
        </w:rPr>
        <w:tab/>
      </w:r>
      <w:r w:rsidRPr="00AB6F78">
        <w:rPr>
          <w:rFonts w:asciiTheme="minorHAnsi" w:hAnsiTheme="minorHAnsi" w:cstheme="minorHAnsi"/>
          <w:szCs w:val="24"/>
        </w:rPr>
        <w:t>Category 1 (State-Wide)</w:t>
      </w:r>
    </w:p>
    <w:p w14:paraId="75691B4B" w14:textId="49CAA963" w:rsidR="004F40C9" w:rsidRPr="004F40C9" w:rsidRDefault="004F40C9" w:rsidP="00FF55EF">
      <w:pPr>
        <w:pStyle w:val="ListParagraph"/>
        <w:numPr>
          <w:ilvl w:val="0"/>
          <w:numId w:val="29"/>
        </w:numPr>
        <w:autoSpaceDE w:val="0"/>
        <w:autoSpaceDN w:val="0"/>
        <w:adjustRightInd w:val="0"/>
        <w:spacing w:line="276" w:lineRule="auto"/>
        <w:jc w:val="both"/>
        <w:rPr>
          <w:rFonts w:cstheme="minorHAnsi"/>
          <w:szCs w:val="24"/>
        </w:rPr>
      </w:pPr>
      <w:r w:rsidRPr="004F40C9">
        <w:rPr>
          <w:rFonts w:cstheme="minorHAnsi"/>
          <w:sz w:val="24"/>
          <w:szCs w:val="28"/>
        </w:rPr>
        <w:t>The</w:t>
      </w:r>
      <w:r w:rsidR="00A17E19" w:rsidRPr="004F40C9">
        <w:rPr>
          <w:rFonts w:cstheme="minorHAnsi"/>
          <w:sz w:val="24"/>
          <w:szCs w:val="28"/>
        </w:rPr>
        <w:t xml:space="preserve"> </w:t>
      </w:r>
      <w:r>
        <w:rPr>
          <w:rFonts w:cstheme="minorHAnsi"/>
          <w:sz w:val="24"/>
          <w:szCs w:val="28"/>
        </w:rPr>
        <w:t>C</w:t>
      </w:r>
      <w:r w:rsidR="00A17E19" w:rsidRPr="004F40C9">
        <w:rPr>
          <w:rFonts w:cstheme="minorHAnsi"/>
          <w:sz w:val="24"/>
          <w:szCs w:val="28"/>
        </w:rPr>
        <w:t xml:space="preserve">laims </w:t>
      </w:r>
      <w:r>
        <w:rPr>
          <w:rFonts w:cstheme="minorHAnsi"/>
          <w:sz w:val="24"/>
          <w:szCs w:val="28"/>
        </w:rPr>
        <w:t>D</w:t>
      </w:r>
      <w:r w:rsidR="00A17E19" w:rsidRPr="004F40C9">
        <w:rPr>
          <w:rFonts w:cstheme="minorHAnsi"/>
          <w:sz w:val="24"/>
          <w:szCs w:val="28"/>
        </w:rPr>
        <w:t>ata identified</w:t>
      </w:r>
      <w:r w:rsidR="0052422A">
        <w:rPr>
          <w:rFonts w:cstheme="minorHAnsi"/>
          <w:sz w:val="24"/>
          <w:szCs w:val="28"/>
        </w:rPr>
        <w:t xml:space="preserve"> that</w:t>
      </w:r>
      <w:r w:rsidR="00A17E19" w:rsidRPr="004F40C9">
        <w:rPr>
          <w:rFonts w:cstheme="minorHAnsi"/>
          <w:sz w:val="24"/>
          <w:szCs w:val="28"/>
        </w:rPr>
        <w:t xml:space="preserve"> 215,597 cases of High Acuity Dental S</w:t>
      </w:r>
      <w:r w:rsidR="0079568E" w:rsidRPr="004F40C9">
        <w:rPr>
          <w:rFonts w:cstheme="minorHAnsi"/>
          <w:sz w:val="24"/>
          <w:szCs w:val="28"/>
        </w:rPr>
        <w:t>urgeries</w:t>
      </w:r>
      <w:r w:rsidR="00866AD1" w:rsidRPr="004F40C9">
        <w:rPr>
          <w:rFonts w:cstheme="minorHAnsi"/>
          <w:sz w:val="24"/>
          <w:szCs w:val="28"/>
        </w:rPr>
        <w:t xml:space="preserve"> were </w:t>
      </w:r>
      <w:r w:rsidRPr="004F40C9">
        <w:rPr>
          <w:rFonts w:cstheme="minorHAnsi"/>
          <w:sz w:val="24"/>
          <w:szCs w:val="28"/>
        </w:rPr>
        <w:t>performed</w:t>
      </w:r>
      <w:r w:rsidR="00866AD1" w:rsidRPr="004F40C9">
        <w:rPr>
          <w:rFonts w:cstheme="minorHAnsi"/>
          <w:sz w:val="24"/>
          <w:szCs w:val="28"/>
        </w:rPr>
        <w:t xml:space="preserve"> for individuals </w:t>
      </w:r>
      <w:proofErr w:type="gramStart"/>
      <w:r w:rsidR="00866AD1" w:rsidRPr="004F40C9">
        <w:rPr>
          <w:rFonts w:cstheme="minorHAnsi"/>
          <w:sz w:val="24"/>
          <w:szCs w:val="28"/>
        </w:rPr>
        <w:t>ages</w:t>
      </w:r>
      <w:proofErr w:type="gramEnd"/>
      <w:r w:rsidR="00866AD1" w:rsidRPr="004F40C9">
        <w:rPr>
          <w:rFonts w:cstheme="minorHAnsi"/>
          <w:sz w:val="24"/>
          <w:szCs w:val="28"/>
        </w:rPr>
        <w:t xml:space="preserve"> 21</w:t>
      </w:r>
      <w:r w:rsidR="00FF55EF">
        <w:rPr>
          <w:rFonts w:cstheme="minorHAnsi"/>
          <w:sz w:val="24"/>
          <w:szCs w:val="28"/>
        </w:rPr>
        <w:t xml:space="preserve"> state-wide </w:t>
      </w:r>
      <w:r w:rsidR="00866AD1" w:rsidRPr="004F40C9">
        <w:rPr>
          <w:rFonts w:cstheme="minorHAnsi"/>
          <w:sz w:val="24"/>
          <w:szCs w:val="28"/>
        </w:rPr>
        <w:t xml:space="preserve">across all </w:t>
      </w:r>
      <w:r w:rsidR="001E00A5">
        <w:rPr>
          <w:rFonts w:cstheme="minorHAnsi"/>
          <w:sz w:val="24"/>
          <w:szCs w:val="28"/>
        </w:rPr>
        <w:t>Care Settings</w:t>
      </w:r>
      <w:r w:rsidR="00A17E19" w:rsidRPr="004F40C9">
        <w:rPr>
          <w:rFonts w:cstheme="minorHAnsi"/>
          <w:sz w:val="24"/>
          <w:szCs w:val="28"/>
        </w:rPr>
        <w:t>.  Of these cases, forty seven percent (47</w:t>
      </w:r>
      <w:r w:rsidR="00CC1FB5" w:rsidRPr="00CC1FB5">
        <w:rPr>
          <w:rFonts w:cstheme="minorHAnsi"/>
          <w:szCs w:val="24"/>
        </w:rPr>
        <w:t xml:space="preserve"> </w:t>
      </w:r>
      <w:r w:rsidR="00CC1FB5">
        <w:rPr>
          <w:rFonts w:cstheme="minorHAnsi"/>
          <w:szCs w:val="24"/>
        </w:rPr>
        <w:t>percent</w:t>
      </w:r>
      <w:r w:rsidR="00A17E19" w:rsidRPr="004F40C9">
        <w:rPr>
          <w:rFonts w:cstheme="minorHAnsi"/>
          <w:sz w:val="24"/>
          <w:szCs w:val="28"/>
        </w:rPr>
        <w:t>) were M</w:t>
      </w:r>
      <w:r w:rsidR="0079568E" w:rsidRPr="004F40C9">
        <w:rPr>
          <w:rFonts w:cstheme="minorHAnsi"/>
          <w:sz w:val="24"/>
          <w:szCs w:val="28"/>
        </w:rPr>
        <w:t xml:space="preserve">assHealth </w:t>
      </w:r>
      <w:r w:rsidR="00B54691">
        <w:rPr>
          <w:rFonts w:cstheme="minorHAnsi"/>
          <w:sz w:val="24"/>
          <w:szCs w:val="28"/>
        </w:rPr>
        <w:t>c</w:t>
      </w:r>
      <w:r w:rsidR="00B54691" w:rsidRPr="004F40C9">
        <w:rPr>
          <w:rFonts w:cstheme="minorHAnsi"/>
          <w:sz w:val="24"/>
          <w:szCs w:val="28"/>
        </w:rPr>
        <w:t>ases,</w:t>
      </w:r>
      <w:r w:rsidR="00A17E19" w:rsidRPr="004F40C9">
        <w:rPr>
          <w:rFonts w:cstheme="minorHAnsi"/>
          <w:sz w:val="24"/>
          <w:szCs w:val="28"/>
        </w:rPr>
        <w:t xml:space="preserve"> and fifty three percent (53</w:t>
      </w:r>
      <w:r w:rsidR="00CC1FB5" w:rsidRPr="00CC1FB5">
        <w:rPr>
          <w:rFonts w:cstheme="minorHAnsi"/>
          <w:szCs w:val="24"/>
        </w:rPr>
        <w:t xml:space="preserve"> </w:t>
      </w:r>
      <w:r w:rsidR="00CC1FB5">
        <w:rPr>
          <w:rFonts w:cstheme="minorHAnsi"/>
          <w:szCs w:val="24"/>
        </w:rPr>
        <w:t>percent</w:t>
      </w:r>
      <w:r w:rsidR="00A17E19" w:rsidRPr="004F40C9">
        <w:rPr>
          <w:rFonts w:cstheme="minorHAnsi"/>
          <w:sz w:val="24"/>
          <w:szCs w:val="28"/>
        </w:rPr>
        <w:t>) were commercial</w:t>
      </w:r>
      <w:r w:rsidR="005038AA" w:rsidRPr="004F40C9">
        <w:rPr>
          <w:rFonts w:cstheme="minorHAnsi"/>
          <w:sz w:val="24"/>
          <w:szCs w:val="28"/>
        </w:rPr>
        <w:t xml:space="preserve"> cases</w:t>
      </w:r>
      <w:r w:rsidR="00A17E19" w:rsidRPr="004F40C9">
        <w:rPr>
          <w:rFonts w:cstheme="minorHAnsi"/>
          <w:sz w:val="24"/>
          <w:szCs w:val="28"/>
        </w:rPr>
        <w:t xml:space="preserve">. </w:t>
      </w:r>
      <w:r w:rsidR="0079568E" w:rsidRPr="004F40C9">
        <w:rPr>
          <w:rFonts w:cstheme="minorHAnsi"/>
          <w:sz w:val="24"/>
          <w:szCs w:val="28"/>
        </w:rPr>
        <w:t xml:space="preserve"> Even though approximately the same number of High Acuity Dental Surgeries </w:t>
      </w:r>
      <w:r w:rsidR="00866AD1" w:rsidRPr="004F40C9">
        <w:rPr>
          <w:rFonts w:cstheme="minorHAnsi"/>
          <w:sz w:val="24"/>
          <w:szCs w:val="28"/>
        </w:rPr>
        <w:t>were p</w:t>
      </w:r>
      <w:r w:rsidR="0079568E" w:rsidRPr="004F40C9">
        <w:rPr>
          <w:rFonts w:cstheme="minorHAnsi"/>
          <w:sz w:val="24"/>
          <w:szCs w:val="28"/>
        </w:rPr>
        <w:t>erformed for commercial and MassHealth patients</w:t>
      </w:r>
      <w:r w:rsidR="0052422A">
        <w:rPr>
          <w:rFonts w:cstheme="minorHAnsi"/>
          <w:sz w:val="24"/>
          <w:szCs w:val="28"/>
        </w:rPr>
        <w:t>,</w:t>
      </w:r>
      <w:r w:rsidR="00776AB1">
        <w:rPr>
          <w:rFonts w:cstheme="minorHAnsi"/>
          <w:sz w:val="24"/>
          <w:szCs w:val="28"/>
        </w:rPr>
        <w:t xml:space="preserve"> </w:t>
      </w:r>
      <w:r w:rsidR="0079568E" w:rsidRPr="004F40C9">
        <w:rPr>
          <w:rFonts w:cstheme="minorHAnsi"/>
          <w:sz w:val="24"/>
          <w:szCs w:val="28"/>
        </w:rPr>
        <w:t xml:space="preserve">the </w:t>
      </w:r>
      <w:r w:rsidR="0052422A">
        <w:rPr>
          <w:rFonts w:cstheme="minorHAnsi"/>
          <w:sz w:val="24"/>
          <w:szCs w:val="28"/>
        </w:rPr>
        <w:t xml:space="preserve">difference in </w:t>
      </w:r>
      <w:r w:rsidR="000926B7">
        <w:rPr>
          <w:rFonts w:cstheme="minorHAnsi"/>
          <w:sz w:val="24"/>
          <w:szCs w:val="28"/>
        </w:rPr>
        <w:t>Care S</w:t>
      </w:r>
      <w:r w:rsidR="0079568E" w:rsidRPr="004F40C9">
        <w:rPr>
          <w:rFonts w:cstheme="minorHAnsi"/>
          <w:sz w:val="24"/>
          <w:szCs w:val="28"/>
        </w:rPr>
        <w:t>etting for these cases</w:t>
      </w:r>
      <w:r w:rsidR="00866AD1" w:rsidRPr="004F40C9">
        <w:rPr>
          <w:rFonts w:cstheme="minorHAnsi"/>
          <w:sz w:val="24"/>
          <w:szCs w:val="28"/>
        </w:rPr>
        <w:t xml:space="preserve"> was </w:t>
      </w:r>
      <w:r w:rsidR="0052422A">
        <w:rPr>
          <w:rFonts w:cstheme="minorHAnsi"/>
          <w:sz w:val="24"/>
          <w:szCs w:val="28"/>
        </w:rPr>
        <w:t>pronounced:</w:t>
      </w:r>
      <w:r w:rsidR="00776AB1">
        <w:rPr>
          <w:rFonts w:cstheme="minorHAnsi"/>
          <w:sz w:val="24"/>
          <w:szCs w:val="28"/>
        </w:rPr>
        <w:t xml:space="preserve"> </w:t>
      </w:r>
      <w:r w:rsidR="0052422A">
        <w:rPr>
          <w:rFonts w:cstheme="minorHAnsi"/>
          <w:sz w:val="24"/>
          <w:szCs w:val="28"/>
        </w:rPr>
        <w:t>t</w:t>
      </w:r>
      <w:r w:rsidR="00866AD1" w:rsidRPr="004F40C9">
        <w:rPr>
          <w:rFonts w:cstheme="minorHAnsi"/>
          <w:sz w:val="24"/>
          <w:szCs w:val="28"/>
        </w:rPr>
        <w:t>he majority of the commercial cases (67</w:t>
      </w:r>
      <w:r w:rsidR="00CC1FB5" w:rsidRPr="00CC1FB5">
        <w:rPr>
          <w:rFonts w:cstheme="minorHAnsi"/>
          <w:szCs w:val="24"/>
        </w:rPr>
        <w:t xml:space="preserve"> </w:t>
      </w:r>
      <w:r w:rsidR="00CC1FB5">
        <w:rPr>
          <w:rFonts w:cstheme="minorHAnsi"/>
          <w:szCs w:val="24"/>
        </w:rPr>
        <w:t>percent</w:t>
      </w:r>
      <w:r w:rsidR="00866AD1" w:rsidRPr="004F40C9">
        <w:rPr>
          <w:rFonts w:cstheme="minorHAnsi"/>
          <w:sz w:val="24"/>
          <w:szCs w:val="28"/>
        </w:rPr>
        <w:t>) were performed in a dental office setting</w:t>
      </w:r>
      <w:r w:rsidR="0052422A">
        <w:rPr>
          <w:rFonts w:cstheme="minorHAnsi"/>
          <w:sz w:val="24"/>
          <w:szCs w:val="28"/>
        </w:rPr>
        <w:t>,</w:t>
      </w:r>
      <w:r w:rsidR="00866AD1" w:rsidRPr="004F40C9">
        <w:rPr>
          <w:rFonts w:cstheme="minorHAnsi"/>
          <w:sz w:val="24"/>
          <w:szCs w:val="28"/>
        </w:rPr>
        <w:t xml:space="preserve"> </w:t>
      </w:r>
      <w:r w:rsidR="0052422A">
        <w:rPr>
          <w:rFonts w:cstheme="minorHAnsi"/>
          <w:sz w:val="24"/>
          <w:szCs w:val="28"/>
        </w:rPr>
        <w:t>w</w:t>
      </w:r>
      <w:r w:rsidR="00866AD1" w:rsidRPr="004F40C9">
        <w:rPr>
          <w:rFonts w:cstheme="minorHAnsi"/>
          <w:sz w:val="24"/>
          <w:szCs w:val="28"/>
        </w:rPr>
        <w:t>hereas the majority of the MassHealth cases</w:t>
      </w:r>
      <w:r w:rsidRPr="004F40C9">
        <w:rPr>
          <w:rFonts w:cstheme="minorHAnsi"/>
          <w:sz w:val="24"/>
          <w:szCs w:val="28"/>
        </w:rPr>
        <w:t xml:space="preserve"> (60</w:t>
      </w:r>
      <w:r w:rsidR="00CC1FB5" w:rsidRPr="00CC1FB5">
        <w:rPr>
          <w:rFonts w:cstheme="minorHAnsi"/>
          <w:szCs w:val="24"/>
        </w:rPr>
        <w:t xml:space="preserve"> </w:t>
      </w:r>
      <w:r w:rsidR="00CC1FB5">
        <w:rPr>
          <w:rFonts w:cstheme="minorHAnsi"/>
          <w:szCs w:val="24"/>
        </w:rPr>
        <w:t>percent</w:t>
      </w:r>
      <w:r w:rsidRPr="004F40C9">
        <w:rPr>
          <w:rFonts w:cstheme="minorHAnsi"/>
          <w:sz w:val="24"/>
          <w:szCs w:val="28"/>
        </w:rPr>
        <w:t>)</w:t>
      </w:r>
      <w:r w:rsidR="00866AD1" w:rsidRPr="004F40C9">
        <w:rPr>
          <w:rFonts w:cstheme="minorHAnsi"/>
          <w:sz w:val="24"/>
          <w:szCs w:val="28"/>
        </w:rPr>
        <w:t xml:space="preserve"> were performed in </w:t>
      </w:r>
      <w:r w:rsidR="00B54691" w:rsidRPr="004F40C9">
        <w:rPr>
          <w:rFonts w:cstheme="minorHAnsi"/>
          <w:sz w:val="24"/>
          <w:szCs w:val="28"/>
        </w:rPr>
        <w:t>HOPDs</w:t>
      </w:r>
      <w:r w:rsidR="00866AD1" w:rsidRPr="004F40C9">
        <w:rPr>
          <w:rFonts w:cstheme="minorHAnsi"/>
          <w:sz w:val="24"/>
          <w:szCs w:val="28"/>
        </w:rPr>
        <w:t>.</w:t>
      </w:r>
      <w:r w:rsidR="001E00A5">
        <w:rPr>
          <w:rFonts w:cstheme="minorHAnsi"/>
          <w:sz w:val="24"/>
          <w:szCs w:val="28"/>
        </w:rPr>
        <w:t xml:space="preserve">  Looking at the number of MassHealth cases performed in the HOPD, approximately </w:t>
      </w:r>
      <w:r w:rsidR="00B54691">
        <w:rPr>
          <w:rFonts w:cstheme="minorHAnsi"/>
          <w:sz w:val="24"/>
          <w:szCs w:val="28"/>
        </w:rPr>
        <w:t>50</w:t>
      </w:r>
      <w:r w:rsidR="00CC1FB5" w:rsidRPr="00CC1FB5">
        <w:rPr>
          <w:rFonts w:cstheme="minorHAnsi"/>
          <w:szCs w:val="24"/>
        </w:rPr>
        <w:t xml:space="preserve"> </w:t>
      </w:r>
      <w:r w:rsidR="00CC1FB5">
        <w:rPr>
          <w:rFonts w:cstheme="minorHAnsi"/>
          <w:szCs w:val="24"/>
        </w:rPr>
        <w:t>percent</w:t>
      </w:r>
      <w:r w:rsidR="001E00A5">
        <w:rPr>
          <w:rFonts w:cstheme="minorHAnsi"/>
          <w:sz w:val="24"/>
          <w:szCs w:val="28"/>
        </w:rPr>
        <w:t xml:space="preserve"> </w:t>
      </w:r>
      <w:r w:rsidR="0052422A">
        <w:rPr>
          <w:rFonts w:cstheme="minorHAnsi"/>
          <w:sz w:val="24"/>
          <w:szCs w:val="28"/>
        </w:rPr>
        <w:t>were</w:t>
      </w:r>
      <w:r w:rsidR="001E00A5">
        <w:rPr>
          <w:rFonts w:cstheme="minorHAnsi"/>
          <w:sz w:val="24"/>
          <w:szCs w:val="28"/>
        </w:rPr>
        <w:t xml:space="preserve"> for children </w:t>
      </w:r>
      <w:proofErr w:type="gramStart"/>
      <w:r w:rsidR="001E00A5">
        <w:rPr>
          <w:rFonts w:cstheme="minorHAnsi"/>
          <w:sz w:val="24"/>
          <w:szCs w:val="28"/>
        </w:rPr>
        <w:t>ages</w:t>
      </w:r>
      <w:proofErr w:type="gramEnd"/>
      <w:r w:rsidR="001E00A5">
        <w:rPr>
          <w:rFonts w:cstheme="minorHAnsi"/>
          <w:sz w:val="24"/>
          <w:szCs w:val="28"/>
        </w:rPr>
        <w:t xml:space="preserve"> 0-10.  </w:t>
      </w:r>
      <w:r w:rsidRPr="004F40C9">
        <w:rPr>
          <w:rFonts w:cstheme="minorHAnsi"/>
          <w:sz w:val="24"/>
          <w:szCs w:val="28"/>
        </w:rPr>
        <w:t xml:space="preserve"> </w:t>
      </w:r>
      <w:r w:rsidR="00D56CA2">
        <w:rPr>
          <w:rFonts w:cstheme="minorHAnsi"/>
          <w:sz w:val="24"/>
          <w:szCs w:val="28"/>
        </w:rPr>
        <w:t xml:space="preserve">  The Claims Data also identified that approximately the same number of males and females are treated in both Care Settings with MassHealth treating a more diverse population across all Care Settings</w:t>
      </w:r>
      <w:r w:rsidR="00D85214">
        <w:rPr>
          <w:rFonts w:cstheme="minorHAnsi"/>
          <w:sz w:val="24"/>
          <w:szCs w:val="28"/>
        </w:rPr>
        <w:t xml:space="preserve"> and commercial payors treating a higher percentage of white patients compared to other race/ethnicity in the office instead of the HOPD</w:t>
      </w:r>
      <w:r w:rsidR="00D56CA2">
        <w:rPr>
          <w:rFonts w:cstheme="minorHAnsi"/>
          <w:sz w:val="24"/>
          <w:szCs w:val="28"/>
        </w:rPr>
        <w:t xml:space="preserve">. </w:t>
      </w:r>
    </w:p>
    <w:p w14:paraId="793BABD9" w14:textId="77777777" w:rsidR="004F40C9" w:rsidRDefault="004F40C9" w:rsidP="004F40C9">
      <w:pPr>
        <w:pStyle w:val="ListParagraph"/>
        <w:autoSpaceDE w:val="0"/>
        <w:autoSpaceDN w:val="0"/>
        <w:adjustRightInd w:val="0"/>
        <w:ind w:left="1440"/>
        <w:jc w:val="both"/>
        <w:rPr>
          <w:rFonts w:cstheme="minorHAnsi"/>
          <w:szCs w:val="24"/>
        </w:rPr>
      </w:pPr>
    </w:p>
    <w:p w14:paraId="68AAD196" w14:textId="09D6C5A4" w:rsidR="004F40C9" w:rsidRPr="00AB6F78" w:rsidRDefault="004F40C9" w:rsidP="004F40C9">
      <w:pPr>
        <w:autoSpaceDE w:val="0"/>
        <w:autoSpaceDN w:val="0"/>
        <w:adjustRightInd w:val="0"/>
        <w:jc w:val="both"/>
        <w:rPr>
          <w:rFonts w:asciiTheme="minorHAnsi" w:hAnsiTheme="minorHAnsi" w:cstheme="minorHAnsi"/>
          <w:szCs w:val="24"/>
        </w:rPr>
      </w:pPr>
      <w:r>
        <w:rPr>
          <w:rFonts w:asciiTheme="minorHAnsi" w:hAnsiTheme="minorHAnsi" w:cstheme="minorHAnsi"/>
          <w:szCs w:val="24"/>
        </w:rPr>
        <w:tab/>
      </w:r>
      <w:r w:rsidRPr="00AB6F78">
        <w:rPr>
          <w:rFonts w:asciiTheme="minorHAnsi" w:hAnsiTheme="minorHAnsi" w:cstheme="minorHAnsi"/>
          <w:szCs w:val="24"/>
        </w:rPr>
        <w:t>Category 2 (Applicant’s PSA)</w:t>
      </w:r>
    </w:p>
    <w:p w14:paraId="48AD95AE" w14:textId="6DAC1EE4" w:rsidR="004F40C9" w:rsidRPr="007526F5" w:rsidRDefault="004F40C9" w:rsidP="002E2761">
      <w:pPr>
        <w:pStyle w:val="ListParagraph"/>
        <w:numPr>
          <w:ilvl w:val="0"/>
          <w:numId w:val="29"/>
        </w:numPr>
        <w:autoSpaceDE w:val="0"/>
        <w:autoSpaceDN w:val="0"/>
        <w:adjustRightInd w:val="0"/>
        <w:spacing w:after="200" w:line="276" w:lineRule="auto"/>
        <w:jc w:val="both"/>
        <w:rPr>
          <w:rFonts w:cstheme="minorHAnsi"/>
          <w:szCs w:val="24"/>
        </w:rPr>
      </w:pPr>
      <w:r w:rsidRPr="007526F5">
        <w:rPr>
          <w:rFonts w:cstheme="minorHAnsi"/>
          <w:sz w:val="24"/>
          <w:szCs w:val="28"/>
        </w:rPr>
        <w:t>The Claims Data identified</w:t>
      </w:r>
      <w:r w:rsidR="0052422A" w:rsidRPr="007526F5">
        <w:rPr>
          <w:rFonts w:cstheme="minorHAnsi"/>
          <w:sz w:val="24"/>
          <w:szCs w:val="28"/>
        </w:rPr>
        <w:t xml:space="preserve"> that</w:t>
      </w:r>
      <w:r w:rsidRPr="007526F5">
        <w:rPr>
          <w:rFonts w:cstheme="minorHAnsi"/>
          <w:sz w:val="24"/>
          <w:szCs w:val="28"/>
        </w:rPr>
        <w:t xml:space="preserve"> 110,787 cases of High Acuity Dental </w:t>
      </w:r>
      <w:r w:rsidR="009A0DBB" w:rsidRPr="007526F5">
        <w:rPr>
          <w:rFonts w:cstheme="minorHAnsi"/>
          <w:sz w:val="24"/>
          <w:szCs w:val="28"/>
        </w:rPr>
        <w:t>Surgeries were</w:t>
      </w:r>
      <w:r w:rsidRPr="007526F5">
        <w:rPr>
          <w:rFonts w:cstheme="minorHAnsi"/>
          <w:sz w:val="24"/>
          <w:szCs w:val="28"/>
        </w:rPr>
        <w:t xml:space="preserve"> performed for individuals ages 21 and </w:t>
      </w:r>
      <w:r w:rsidR="0052422A" w:rsidRPr="007526F5">
        <w:rPr>
          <w:rFonts w:cstheme="minorHAnsi"/>
          <w:sz w:val="24"/>
          <w:szCs w:val="28"/>
        </w:rPr>
        <w:t>within</w:t>
      </w:r>
      <w:r w:rsidRPr="007526F5">
        <w:rPr>
          <w:rFonts w:cstheme="minorHAnsi"/>
          <w:sz w:val="24"/>
          <w:szCs w:val="28"/>
        </w:rPr>
        <w:t xml:space="preserve"> the Applicant’s PSA across all</w:t>
      </w:r>
      <w:r w:rsidR="001E00A5" w:rsidRPr="007526F5">
        <w:rPr>
          <w:rFonts w:cstheme="minorHAnsi"/>
          <w:sz w:val="24"/>
          <w:szCs w:val="28"/>
        </w:rPr>
        <w:t xml:space="preserve"> Care Settings</w:t>
      </w:r>
      <w:r w:rsidR="007526F5" w:rsidRPr="007526F5">
        <w:rPr>
          <w:rFonts w:cstheme="minorHAnsi"/>
          <w:sz w:val="24"/>
          <w:szCs w:val="28"/>
        </w:rPr>
        <w:t xml:space="preserve"> with the top five cities and town with demand being Revere, Malden, Quincy, Medford and Peabody.  </w:t>
      </w:r>
      <w:r w:rsidRPr="007526F5">
        <w:rPr>
          <w:rFonts w:cstheme="minorHAnsi"/>
          <w:sz w:val="24"/>
          <w:szCs w:val="28"/>
        </w:rPr>
        <w:t xml:space="preserve">Of these cases, forty </w:t>
      </w:r>
      <w:r w:rsidR="000F228E" w:rsidRPr="007526F5">
        <w:rPr>
          <w:rFonts w:cstheme="minorHAnsi"/>
          <w:sz w:val="24"/>
          <w:szCs w:val="28"/>
        </w:rPr>
        <w:t>five</w:t>
      </w:r>
      <w:r w:rsidRPr="007526F5">
        <w:rPr>
          <w:rFonts w:cstheme="minorHAnsi"/>
          <w:sz w:val="24"/>
          <w:szCs w:val="28"/>
        </w:rPr>
        <w:t xml:space="preserve"> percent (45</w:t>
      </w:r>
      <w:r w:rsidR="00CC1FB5" w:rsidRPr="00CC1FB5">
        <w:rPr>
          <w:rFonts w:cstheme="minorHAnsi"/>
          <w:szCs w:val="24"/>
        </w:rPr>
        <w:t xml:space="preserve"> </w:t>
      </w:r>
      <w:r w:rsidR="00CC1FB5">
        <w:rPr>
          <w:rFonts w:cstheme="minorHAnsi"/>
          <w:szCs w:val="24"/>
        </w:rPr>
        <w:t>percent</w:t>
      </w:r>
      <w:r w:rsidRPr="007526F5">
        <w:rPr>
          <w:rFonts w:cstheme="minorHAnsi"/>
          <w:sz w:val="24"/>
          <w:szCs w:val="28"/>
        </w:rPr>
        <w:t xml:space="preserve">) were MassHealth </w:t>
      </w:r>
      <w:r w:rsidR="00B54691" w:rsidRPr="007526F5">
        <w:rPr>
          <w:rFonts w:cstheme="minorHAnsi"/>
          <w:sz w:val="24"/>
          <w:szCs w:val="28"/>
        </w:rPr>
        <w:t>cases,</w:t>
      </w:r>
      <w:r w:rsidRPr="007526F5">
        <w:rPr>
          <w:rFonts w:cstheme="minorHAnsi"/>
          <w:sz w:val="24"/>
          <w:szCs w:val="28"/>
        </w:rPr>
        <w:t xml:space="preserve"> and fifty </w:t>
      </w:r>
      <w:r w:rsidR="000F228E" w:rsidRPr="007526F5">
        <w:rPr>
          <w:rFonts w:cstheme="minorHAnsi"/>
          <w:sz w:val="24"/>
          <w:szCs w:val="28"/>
        </w:rPr>
        <w:t xml:space="preserve">five </w:t>
      </w:r>
      <w:r w:rsidRPr="007526F5">
        <w:rPr>
          <w:rFonts w:cstheme="minorHAnsi"/>
          <w:sz w:val="24"/>
          <w:szCs w:val="28"/>
        </w:rPr>
        <w:t>percent (55</w:t>
      </w:r>
      <w:r w:rsidR="00CC1FB5" w:rsidRPr="00CC1FB5">
        <w:rPr>
          <w:rFonts w:cstheme="minorHAnsi"/>
          <w:szCs w:val="24"/>
        </w:rPr>
        <w:t xml:space="preserve"> </w:t>
      </w:r>
      <w:r w:rsidR="00CC1FB5">
        <w:rPr>
          <w:rFonts w:cstheme="minorHAnsi"/>
          <w:szCs w:val="24"/>
        </w:rPr>
        <w:t>percent</w:t>
      </w:r>
      <w:r w:rsidRPr="007526F5">
        <w:rPr>
          <w:rFonts w:cstheme="minorHAnsi"/>
          <w:sz w:val="24"/>
          <w:szCs w:val="28"/>
        </w:rPr>
        <w:t xml:space="preserve">) were commercial cases.  </w:t>
      </w:r>
      <w:proofErr w:type="gramStart"/>
      <w:r w:rsidRPr="007526F5">
        <w:rPr>
          <w:rFonts w:cstheme="minorHAnsi"/>
          <w:sz w:val="24"/>
          <w:szCs w:val="28"/>
        </w:rPr>
        <w:t>Similar to</w:t>
      </w:r>
      <w:proofErr w:type="gramEnd"/>
      <w:r w:rsidRPr="007526F5">
        <w:rPr>
          <w:rFonts w:cstheme="minorHAnsi"/>
          <w:sz w:val="24"/>
          <w:szCs w:val="28"/>
        </w:rPr>
        <w:t xml:space="preserve"> Category 1, the </w:t>
      </w:r>
      <w:r w:rsidR="00A52372" w:rsidRPr="007526F5">
        <w:rPr>
          <w:rFonts w:cstheme="minorHAnsi"/>
          <w:sz w:val="24"/>
          <w:szCs w:val="28"/>
        </w:rPr>
        <w:t>C</w:t>
      </w:r>
      <w:r w:rsidRPr="007526F5">
        <w:rPr>
          <w:rFonts w:cstheme="minorHAnsi"/>
          <w:sz w:val="24"/>
          <w:szCs w:val="28"/>
        </w:rPr>
        <w:t xml:space="preserve">are </w:t>
      </w:r>
      <w:r w:rsidR="00A52372" w:rsidRPr="007526F5">
        <w:rPr>
          <w:rFonts w:cstheme="minorHAnsi"/>
          <w:sz w:val="24"/>
          <w:szCs w:val="28"/>
        </w:rPr>
        <w:t>S</w:t>
      </w:r>
      <w:r w:rsidRPr="007526F5">
        <w:rPr>
          <w:rFonts w:cstheme="minorHAnsi"/>
          <w:sz w:val="24"/>
          <w:szCs w:val="28"/>
        </w:rPr>
        <w:t xml:space="preserve">etting for the commercial </w:t>
      </w:r>
      <w:r w:rsidR="0052422A" w:rsidRPr="007526F5">
        <w:rPr>
          <w:rFonts w:cstheme="minorHAnsi"/>
          <w:sz w:val="24"/>
          <w:szCs w:val="28"/>
        </w:rPr>
        <w:t>versus</w:t>
      </w:r>
      <w:r w:rsidRPr="007526F5">
        <w:rPr>
          <w:rFonts w:cstheme="minorHAnsi"/>
          <w:sz w:val="24"/>
          <w:szCs w:val="28"/>
        </w:rPr>
        <w:t xml:space="preserve"> MassHealth populations was very different</w:t>
      </w:r>
      <w:r w:rsidR="0052422A" w:rsidRPr="007526F5">
        <w:rPr>
          <w:rFonts w:cstheme="minorHAnsi"/>
          <w:sz w:val="24"/>
          <w:szCs w:val="28"/>
        </w:rPr>
        <w:t xml:space="preserve">, with </w:t>
      </w:r>
      <w:proofErr w:type="gramStart"/>
      <w:r w:rsidR="0052422A" w:rsidRPr="007526F5">
        <w:rPr>
          <w:rFonts w:cstheme="minorHAnsi"/>
          <w:sz w:val="24"/>
          <w:szCs w:val="28"/>
        </w:rPr>
        <w:t>the</w:t>
      </w:r>
      <w:r w:rsidR="000F228E" w:rsidRPr="007526F5">
        <w:rPr>
          <w:rFonts w:cstheme="minorHAnsi"/>
          <w:sz w:val="24"/>
          <w:szCs w:val="28"/>
        </w:rPr>
        <w:t xml:space="preserve"> </w:t>
      </w:r>
      <w:r w:rsidRPr="007526F5">
        <w:rPr>
          <w:rFonts w:cstheme="minorHAnsi"/>
          <w:sz w:val="24"/>
          <w:szCs w:val="28"/>
        </w:rPr>
        <w:t>majority of</w:t>
      </w:r>
      <w:proofErr w:type="gramEnd"/>
      <w:r w:rsidRPr="007526F5">
        <w:rPr>
          <w:rFonts w:cstheme="minorHAnsi"/>
          <w:sz w:val="24"/>
          <w:szCs w:val="28"/>
        </w:rPr>
        <w:t xml:space="preserve"> the commercial cases (67</w:t>
      </w:r>
      <w:r w:rsidR="00CC1FB5" w:rsidRPr="00CC1FB5">
        <w:rPr>
          <w:rFonts w:cstheme="minorHAnsi"/>
          <w:szCs w:val="24"/>
        </w:rPr>
        <w:t xml:space="preserve"> </w:t>
      </w:r>
      <w:r w:rsidR="00CC1FB5">
        <w:rPr>
          <w:rFonts w:cstheme="minorHAnsi"/>
          <w:szCs w:val="24"/>
        </w:rPr>
        <w:t>percent</w:t>
      </w:r>
      <w:proofErr w:type="gramStart"/>
      <w:r w:rsidRPr="007526F5">
        <w:rPr>
          <w:rFonts w:cstheme="minorHAnsi"/>
          <w:sz w:val="24"/>
          <w:szCs w:val="28"/>
        </w:rPr>
        <w:t xml:space="preserve">) </w:t>
      </w:r>
      <w:r w:rsidR="0052422A" w:rsidRPr="007526F5">
        <w:rPr>
          <w:rFonts w:cstheme="minorHAnsi"/>
          <w:sz w:val="24"/>
          <w:szCs w:val="28"/>
        </w:rPr>
        <w:t>again</w:t>
      </w:r>
      <w:proofErr w:type="gramEnd"/>
      <w:r w:rsidR="0052422A" w:rsidRPr="007526F5">
        <w:rPr>
          <w:rFonts w:cstheme="minorHAnsi"/>
          <w:sz w:val="24"/>
          <w:szCs w:val="28"/>
        </w:rPr>
        <w:t xml:space="preserve"> being </w:t>
      </w:r>
      <w:r w:rsidRPr="007526F5">
        <w:rPr>
          <w:rFonts w:cstheme="minorHAnsi"/>
          <w:sz w:val="24"/>
          <w:szCs w:val="28"/>
        </w:rPr>
        <w:t>performed in a dental office setting</w:t>
      </w:r>
      <w:r w:rsidR="0052422A" w:rsidRPr="007526F5">
        <w:rPr>
          <w:rFonts w:cstheme="minorHAnsi"/>
          <w:sz w:val="24"/>
          <w:szCs w:val="28"/>
        </w:rPr>
        <w:t xml:space="preserve">, </w:t>
      </w:r>
      <w:proofErr w:type="gramStart"/>
      <w:r w:rsidR="0052422A" w:rsidRPr="007526F5">
        <w:rPr>
          <w:rFonts w:cstheme="minorHAnsi"/>
          <w:sz w:val="24"/>
          <w:szCs w:val="28"/>
        </w:rPr>
        <w:t xml:space="preserve">and </w:t>
      </w:r>
      <w:r w:rsidRPr="007526F5">
        <w:rPr>
          <w:rFonts w:cstheme="minorHAnsi"/>
          <w:sz w:val="24"/>
          <w:szCs w:val="28"/>
        </w:rPr>
        <w:t xml:space="preserve"> the</w:t>
      </w:r>
      <w:proofErr w:type="gramEnd"/>
      <w:r w:rsidRPr="007526F5">
        <w:rPr>
          <w:rFonts w:cstheme="minorHAnsi"/>
          <w:sz w:val="24"/>
          <w:szCs w:val="28"/>
        </w:rPr>
        <w:t xml:space="preserve"> majority of the MassHealth cases (60</w:t>
      </w:r>
      <w:r w:rsidR="00CC1FB5" w:rsidRPr="00CC1FB5">
        <w:rPr>
          <w:rFonts w:cstheme="minorHAnsi"/>
          <w:szCs w:val="24"/>
        </w:rPr>
        <w:t xml:space="preserve"> </w:t>
      </w:r>
      <w:r w:rsidR="00CC1FB5">
        <w:rPr>
          <w:rFonts w:cstheme="minorHAnsi"/>
          <w:szCs w:val="24"/>
        </w:rPr>
        <w:t>percent</w:t>
      </w:r>
      <w:r w:rsidRPr="007526F5">
        <w:rPr>
          <w:rFonts w:cstheme="minorHAnsi"/>
          <w:sz w:val="24"/>
          <w:szCs w:val="28"/>
        </w:rPr>
        <w:t xml:space="preserve">) </w:t>
      </w:r>
      <w:r w:rsidR="0052422A" w:rsidRPr="007526F5">
        <w:rPr>
          <w:rFonts w:cstheme="minorHAnsi"/>
          <w:sz w:val="24"/>
          <w:szCs w:val="28"/>
        </w:rPr>
        <w:t>being</w:t>
      </w:r>
      <w:r w:rsidR="000F228E" w:rsidRPr="007526F5">
        <w:rPr>
          <w:rFonts w:cstheme="minorHAnsi"/>
          <w:sz w:val="24"/>
          <w:szCs w:val="28"/>
        </w:rPr>
        <w:t xml:space="preserve"> </w:t>
      </w:r>
      <w:r w:rsidRPr="007526F5">
        <w:rPr>
          <w:rFonts w:cstheme="minorHAnsi"/>
          <w:sz w:val="24"/>
          <w:szCs w:val="28"/>
        </w:rPr>
        <w:t xml:space="preserve">performed in </w:t>
      </w:r>
      <w:r w:rsidR="00B54691" w:rsidRPr="007526F5">
        <w:rPr>
          <w:rFonts w:cstheme="minorHAnsi"/>
          <w:sz w:val="24"/>
          <w:szCs w:val="28"/>
        </w:rPr>
        <w:t>HOPDs</w:t>
      </w:r>
      <w:r w:rsidRPr="007526F5">
        <w:rPr>
          <w:rFonts w:cstheme="minorHAnsi"/>
          <w:sz w:val="24"/>
          <w:szCs w:val="28"/>
        </w:rPr>
        <w:t xml:space="preserve">.  </w:t>
      </w:r>
      <w:r w:rsidR="001E00A5" w:rsidRPr="007526F5">
        <w:rPr>
          <w:rFonts w:cstheme="minorHAnsi"/>
          <w:sz w:val="24"/>
          <w:szCs w:val="28"/>
        </w:rPr>
        <w:t xml:space="preserve"> Looking at the number of MassHealth cases performed in the HOPD, approximately </w:t>
      </w:r>
      <w:r w:rsidR="00B54691" w:rsidRPr="007526F5">
        <w:rPr>
          <w:rFonts w:cstheme="minorHAnsi"/>
          <w:sz w:val="24"/>
          <w:szCs w:val="28"/>
        </w:rPr>
        <w:t>50</w:t>
      </w:r>
      <w:r w:rsidR="00CC1FB5" w:rsidRPr="00CC1FB5">
        <w:rPr>
          <w:rFonts w:cstheme="minorHAnsi"/>
          <w:szCs w:val="24"/>
        </w:rPr>
        <w:t xml:space="preserve"> </w:t>
      </w:r>
      <w:r w:rsidR="00CC1FB5">
        <w:rPr>
          <w:rFonts w:cstheme="minorHAnsi"/>
          <w:szCs w:val="24"/>
        </w:rPr>
        <w:t>percent</w:t>
      </w:r>
      <w:r w:rsidR="001E00A5" w:rsidRPr="007526F5">
        <w:rPr>
          <w:rFonts w:cstheme="minorHAnsi"/>
          <w:sz w:val="24"/>
          <w:szCs w:val="28"/>
        </w:rPr>
        <w:t xml:space="preserve"> are for children </w:t>
      </w:r>
      <w:proofErr w:type="gramStart"/>
      <w:r w:rsidR="001E00A5" w:rsidRPr="007526F5">
        <w:rPr>
          <w:rFonts w:cstheme="minorHAnsi"/>
          <w:sz w:val="24"/>
          <w:szCs w:val="28"/>
        </w:rPr>
        <w:t>ages</w:t>
      </w:r>
      <w:proofErr w:type="gramEnd"/>
      <w:r w:rsidR="001E00A5" w:rsidRPr="007526F5">
        <w:rPr>
          <w:rFonts w:cstheme="minorHAnsi"/>
          <w:sz w:val="24"/>
          <w:szCs w:val="28"/>
        </w:rPr>
        <w:t xml:space="preserve"> 0-10.   </w:t>
      </w:r>
    </w:p>
    <w:p w14:paraId="4DB80156" w14:textId="77777777" w:rsidR="00A52372" w:rsidRPr="00A52372" w:rsidRDefault="00A52372" w:rsidP="00A52372">
      <w:pPr>
        <w:pStyle w:val="ListParagraph"/>
        <w:rPr>
          <w:rFonts w:cstheme="minorHAnsi"/>
          <w:szCs w:val="24"/>
        </w:rPr>
      </w:pPr>
    </w:p>
    <w:p w14:paraId="5BC7B36D" w14:textId="61034106" w:rsidR="00A14BA6" w:rsidRDefault="00553C14" w:rsidP="00143F42">
      <w:pPr>
        <w:autoSpaceDE w:val="0"/>
        <w:autoSpaceDN w:val="0"/>
        <w:adjustRightInd w:val="0"/>
        <w:jc w:val="both"/>
        <w:rPr>
          <w:rFonts w:asciiTheme="minorHAnsi" w:hAnsiTheme="minorHAnsi" w:cstheme="minorHAnsi"/>
          <w:szCs w:val="24"/>
        </w:rPr>
      </w:pPr>
      <w:r>
        <w:rPr>
          <w:rFonts w:asciiTheme="minorHAnsi" w:hAnsiTheme="minorHAnsi" w:cstheme="minorHAnsi"/>
          <w:szCs w:val="24"/>
        </w:rPr>
        <w:lastRenderedPageBreak/>
        <w:t xml:space="preserve">Thus, </w:t>
      </w:r>
      <w:r w:rsidR="0052422A">
        <w:rPr>
          <w:rFonts w:asciiTheme="minorHAnsi" w:hAnsiTheme="minorHAnsi" w:cstheme="minorHAnsi"/>
          <w:szCs w:val="24"/>
        </w:rPr>
        <w:t>the Claims Data</w:t>
      </w:r>
      <w:r w:rsidR="000F228E">
        <w:rPr>
          <w:rFonts w:asciiTheme="minorHAnsi" w:hAnsiTheme="minorHAnsi" w:cstheme="minorHAnsi"/>
          <w:szCs w:val="24"/>
        </w:rPr>
        <w:t xml:space="preserve"> is clear</w:t>
      </w:r>
      <w:r w:rsidR="0052422A">
        <w:rPr>
          <w:rFonts w:asciiTheme="minorHAnsi" w:hAnsiTheme="minorHAnsi" w:cstheme="minorHAnsi"/>
          <w:szCs w:val="24"/>
        </w:rPr>
        <w:t xml:space="preserve"> that </w:t>
      </w:r>
      <w:r w:rsidR="009A0DBB">
        <w:rPr>
          <w:rFonts w:asciiTheme="minorHAnsi" w:hAnsiTheme="minorHAnsi" w:cstheme="minorHAnsi"/>
          <w:szCs w:val="24"/>
        </w:rPr>
        <w:t>the majority</w:t>
      </w:r>
      <w:r>
        <w:rPr>
          <w:rFonts w:asciiTheme="minorHAnsi" w:hAnsiTheme="minorHAnsi" w:cstheme="minorHAnsi"/>
          <w:szCs w:val="24"/>
        </w:rPr>
        <w:t xml:space="preserve"> of MassHealth beneficiaries</w:t>
      </w:r>
      <w:r w:rsidR="0052422A">
        <w:rPr>
          <w:rFonts w:asciiTheme="minorHAnsi" w:hAnsiTheme="minorHAnsi" w:cstheme="minorHAnsi"/>
          <w:szCs w:val="24"/>
        </w:rPr>
        <w:t xml:space="preserve"> under the age of 21</w:t>
      </w:r>
      <w:r>
        <w:rPr>
          <w:rFonts w:asciiTheme="minorHAnsi" w:hAnsiTheme="minorHAnsi" w:cstheme="minorHAnsi"/>
          <w:szCs w:val="24"/>
        </w:rPr>
        <w:t xml:space="preserve"> in the Applicant’s PSA as well as across </w:t>
      </w:r>
      <w:r w:rsidR="00FF55EF">
        <w:rPr>
          <w:rFonts w:asciiTheme="minorHAnsi" w:hAnsiTheme="minorHAnsi" w:cstheme="minorHAnsi"/>
          <w:szCs w:val="24"/>
        </w:rPr>
        <w:t>the Commonwealth</w:t>
      </w:r>
      <w:r>
        <w:rPr>
          <w:rFonts w:asciiTheme="minorHAnsi" w:hAnsiTheme="minorHAnsi" w:cstheme="minorHAnsi"/>
          <w:szCs w:val="24"/>
        </w:rPr>
        <w:t xml:space="preserve"> are receiving their care at an HOPD</w:t>
      </w:r>
      <w:r w:rsidR="0052422A">
        <w:rPr>
          <w:rFonts w:asciiTheme="minorHAnsi" w:hAnsiTheme="minorHAnsi" w:cstheme="minorHAnsi"/>
          <w:szCs w:val="24"/>
        </w:rPr>
        <w:t>,</w:t>
      </w:r>
      <w:r w:rsidR="001E00A5">
        <w:rPr>
          <w:rFonts w:asciiTheme="minorHAnsi" w:hAnsiTheme="minorHAnsi" w:cstheme="minorHAnsi"/>
          <w:szCs w:val="24"/>
        </w:rPr>
        <w:t xml:space="preserve"> with the majority of the</w:t>
      </w:r>
      <w:r w:rsidR="0052422A">
        <w:rPr>
          <w:rFonts w:asciiTheme="minorHAnsi" w:hAnsiTheme="minorHAnsi" w:cstheme="minorHAnsi"/>
          <w:szCs w:val="24"/>
        </w:rPr>
        <w:t>se under 21</w:t>
      </w:r>
      <w:r w:rsidR="001E00A5">
        <w:rPr>
          <w:rFonts w:asciiTheme="minorHAnsi" w:hAnsiTheme="minorHAnsi" w:cstheme="minorHAnsi"/>
          <w:szCs w:val="24"/>
        </w:rPr>
        <w:t xml:space="preserve"> patients </w:t>
      </w:r>
      <w:proofErr w:type="gramStart"/>
      <w:r w:rsidR="001E00A5">
        <w:rPr>
          <w:rFonts w:asciiTheme="minorHAnsi" w:hAnsiTheme="minorHAnsi" w:cstheme="minorHAnsi"/>
          <w:szCs w:val="24"/>
        </w:rPr>
        <w:t>being age</w:t>
      </w:r>
      <w:r w:rsidR="009A0DBB">
        <w:rPr>
          <w:rFonts w:asciiTheme="minorHAnsi" w:hAnsiTheme="minorHAnsi" w:cstheme="minorHAnsi"/>
          <w:szCs w:val="24"/>
        </w:rPr>
        <w:t>d</w:t>
      </w:r>
      <w:proofErr w:type="gramEnd"/>
      <w:r w:rsidR="001E00A5">
        <w:rPr>
          <w:rFonts w:asciiTheme="minorHAnsi" w:hAnsiTheme="minorHAnsi" w:cstheme="minorHAnsi"/>
          <w:szCs w:val="24"/>
        </w:rPr>
        <w:t xml:space="preserve"> 0-10</w:t>
      </w:r>
      <w:r>
        <w:rPr>
          <w:rFonts w:asciiTheme="minorHAnsi" w:hAnsiTheme="minorHAnsi" w:cstheme="minorHAnsi"/>
          <w:szCs w:val="24"/>
        </w:rPr>
        <w:t xml:space="preserve">.  </w:t>
      </w:r>
    </w:p>
    <w:p w14:paraId="2BFADD2F" w14:textId="585A04D5" w:rsidR="00E10A43" w:rsidRPr="00E10A43" w:rsidRDefault="001E2949" w:rsidP="00E10A43">
      <w:pPr>
        <w:autoSpaceDE w:val="0"/>
        <w:autoSpaceDN w:val="0"/>
        <w:adjustRightInd w:val="0"/>
        <w:jc w:val="both"/>
        <w:rPr>
          <w:rFonts w:asciiTheme="minorHAnsi" w:hAnsiTheme="minorHAnsi" w:cstheme="minorHAnsi"/>
          <w:szCs w:val="24"/>
        </w:rPr>
      </w:pPr>
      <w:r>
        <w:rPr>
          <w:rFonts w:asciiTheme="minorHAnsi" w:hAnsiTheme="minorHAnsi" w:cstheme="minorHAnsi"/>
          <w:szCs w:val="24"/>
        </w:rPr>
        <w:t>In addition to the Chartis</w:t>
      </w:r>
      <w:r w:rsidR="000926B7">
        <w:rPr>
          <w:rFonts w:asciiTheme="minorHAnsi" w:hAnsiTheme="minorHAnsi" w:cstheme="minorHAnsi"/>
          <w:szCs w:val="24"/>
        </w:rPr>
        <w:t xml:space="preserve"> analysis,</w:t>
      </w:r>
      <w:r>
        <w:rPr>
          <w:rFonts w:asciiTheme="minorHAnsi" w:hAnsiTheme="minorHAnsi" w:cstheme="minorHAnsi"/>
          <w:szCs w:val="24"/>
        </w:rPr>
        <w:t xml:space="preserve"> the Applicant performed comprehensive </w:t>
      </w:r>
      <w:r w:rsidR="000926B7">
        <w:rPr>
          <w:rFonts w:asciiTheme="minorHAnsi" w:hAnsiTheme="minorHAnsi" w:cstheme="minorHAnsi"/>
          <w:szCs w:val="24"/>
        </w:rPr>
        <w:t>qualitative market analysis of the Center’s PSA</w:t>
      </w:r>
      <w:r>
        <w:rPr>
          <w:rFonts w:asciiTheme="minorHAnsi" w:hAnsiTheme="minorHAnsi" w:cstheme="minorHAnsi"/>
          <w:szCs w:val="24"/>
        </w:rPr>
        <w:t xml:space="preserve"> through its own outreach and research</w:t>
      </w:r>
      <w:r w:rsidR="004600DF">
        <w:rPr>
          <w:rStyle w:val="FootnoteReference"/>
          <w:rFonts w:asciiTheme="minorHAnsi" w:hAnsiTheme="minorHAnsi" w:cstheme="minorHAnsi"/>
          <w:szCs w:val="24"/>
        </w:rPr>
        <w:footnoteReference w:id="7"/>
      </w:r>
      <w:r>
        <w:rPr>
          <w:rFonts w:asciiTheme="minorHAnsi" w:hAnsiTheme="minorHAnsi" w:cstheme="minorHAnsi"/>
          <w:szCs w:val="24"/>
        </w:rPr>
        <w:t xml:space="preserve">.   </w:t>
      </w:r>
      <w:r w:rsidR="000010B2">
        <w:rPr>
          <w:rFonts w:asciiTheme="minorHAnsi" w:hAnsiTheme="minorHAnsi" w:cstheme="minorHAnsi"/>
          <w:szCs w:val="24"/>
        </w:rPr>
        <w:t xml:space="preserve">Based on the census data, the Applicant identified the PSA population size as </w:t>
      </w:r>
      <w:r>
        <w:rPr>
          <w:rFonts w:asciiTheme="minorHAnsi" w:hAnsiTheme="minorHAnsi" w:cstheme="minorHAnsi"/>
          <w:szCs w:val="24"/>
        </w:rPr>
        <w:t>approximately 3,700,000</w:t>
      </w:r>
      <w:r w:rsidR="000010B2">
        <w:rPr>
          <w:rFonts w:asciiTheme="minorHAnsi" w:hAnsiTheme="minorHAnsi" w:cstheme="minorHAnsi"/>
          <w:szCs w:val="24"/>
        </w:rPr>
        <w:t xml:space="preserve">, </w:t>
      </w:r>
      <w:r w:rsidR="00EA4C84">
        <w:rPr>
          <w:rFonts w:asciiTheme="minorHAnsi" w:hAnsiTheme="minorHAnsi" w:cstheme="minorHAnsi"/>
          <w:szCs w:val="24"/>
        </w:rPr>
        <w:t xml:space="preserve">and through publicly available MassHealth data extrapolated </w:t>
      </w:r>
      <w:r w:rsidR="000010B2">
        <w:rPr>
          <w:rFonts w:asciiTheme="minorHAnsi" w:hAnsiTheme="minorHAnsi" w:cstheme="minorHAnsi"/>
          <w:szCs w:val="24"/>
        </w:rPr>
        <w:t>that within this population,</w:t>
      </w:r>
      <w:r w:rsidR="00EA4C84">
        <w:rPr>
          <w:rFonts w:asciiTheme="minorHAnsi" w:hAnsiTheme="minorHAnsi" w:cstheme="minorHAnsi"/>
          <w:szCs w:val="24"/>
        </w:rPr>
        <w:t xml:space="preserve"> approximately </w:t>
      </w:r>
      <w:r w:rsidR="00B54691">
        <w:rPr>
          <w:rFonts w:asciiTheme="minorHAnsi" w:hAnsiTheme="minorHAnsi" w:cstheme="minorHAnsi"/>
          <w:szCs w:val="24"/>
        </w:rPr>
        <w:t>213,000</w:t>
      </w:r>
      <w:r>
        <w:rPr>
          <w:rFonts w:asciiTheme="minorHAnsi" w:hAnsiTheme="minorHAnsi" w:cstheme="minorHAnsi"/>
          <w:szCs w:val="24"/>
        </w:rPr>
        <w:t xml:space="preserve"> children under 9 </w:t>
      </w:r>
      <w:r w:rsidR="000010B2">
        <w:rPr>
          <w:rFonts w:asciiTheme="minorHAnsi" w:hAnsiTheme="minorHAnsi" w:cstheme="minorHAnsi"/>
          <w:szCs w:val="24"/>
        </w:rPr>
        <w:t>are</w:t>
      </w:r>
      <w:r w:rsidR="000F228E">
        <w:rPr>
          <w:rFonts w:asciiTheme="minorHAnsi" w:hAnsiTheme="minorHAnsi" w:cstheme="minorHAnsi"/>
          <w:szCs w:val="24"/>
        </w:rPr>
        <w:t xml:space="preserve"> </w:t>
      </w:r>
      <w:r>
        <w:rPr>
          <w:rFonts w:asciiTheme="minorHAnsi" w:hAnsiTheme="minorHAnsi" w:cstheme="minorHAnsi"/>
          <w:szCs w:val="24"/>
        </w:rPr>
        <w:t>MassHealth beneficiaries</w:t>
      </w:r>
      <w:r w:rsidR="00EA4C84">
        <w:rPr>
          <w:rFonts w:asciiTheme="minorHAnsi" w:hAnsiTheme="minorHAnsi" w:cstheme="minorHAnsi"/>
          <w:szCs w:val="24"/>
        </w:rPr>
        <w:t xml:space="preserve">, of </w:t>
      </w:r>
      <w:r w:rsidR="009A0DBB">
        <w:rPr>
          <w:rFonts w:asciiTheme="minorHAnsi" w:hAnsiTheme="minorHAnsi" w:cstheme="minorHAnsi"/>
          <w:szCs w:val="24"/>
        </w:rPr>
        <w:t>which only</w:t>
      </w:r>
      <w:r w:rsidR="000010B2">
        <w:rPr>
          <w:rFonts w:asciiTheme="minorHAnsi" w:hAnsiTheme="minorHAnsi" w:cstheme="minorHAnsi"/>
          <w:szCs w:val="24"/>
        </w:rPr>
        <w:t xml:space="preserve"> </w:t>
      </w:r>
      <w:r>
        <w:rPr>
          <w:rFonts w:asciiTheme="minorHAnsi" w:hAnsiTheme="minorHAnsi" w:cstheme="minorHAnsi"/>
          <w:szCs w:val="24"/>
        </w:rPr>
        <w:t xml:space="preserve">124,000 children </w:t>
      </w:r>
      <w:r w:rsidR="00EA4C84">
        <w:rPr>
          <w:rFonts w:asciiTheme="minorHAnsi" w:hAnsiTheme="minorHAnsi" w:cstheme="minorHAnsi"/>
          <w:szCs w:val="24"/>
        </w:rPr>
        <w:t xml:space="preserve">had </w:t>
      </w:r>
      <w:r>
        <w:rPr>
          <w:rFonts w:asciiTheme="minorHAnsi" w:hAnsiTheme="minorHAnsi" w:cstheme="minorHAnsi"/>
          <w:szCs w:val="24"/>
        </w:rPr>
        <w:t xml:space="preserve">a dental visit </w:t>
      </w:r>
      <w:r w:rsidR="00CE16A8">
        <w:rPr>
          <w:rFonts w:asciiTheme="minorHAnsi" w:hAnsiTheme="minorHAnsi" w:cstheme="minorHAnsi"/>
          <w:szCs w:val="24"/>
        </w:rPr>
        <w:t>for any reason</w:t>
      </w:r>
      <w:r>
        <w:rPr>
          <w:rFonts w:asciiTheme="minorHAnsi" w:hAnsiTheme="minorHAnsi" w:cstheme="minorHAnsi"/>
          <w:szCs w:val="24"/>
        </w:rPr>
        <w:t xml:space="preserve">.  </w:t>
      </w:r>
      <w:r w:rsidR="004600DF">
        <w:rPr>
          <w:rFonts w:asciiTheme="minorHAnsi" w:hAnsiTheme="minorHAnsi" w:cstheme="minorHAnsi"/>
          <w:szCs w:val="24"/>
        </w:rPr>
        <w:t>This indicates that approximately 58</w:t>
      </w:r>
      <w:r w:rsidR="00CC1FB5" w:rsidRPr="00CC1FB5">
        <w:rPr>
          <w:rFonts w:asciiTheme="minorHAnsi" w:hAnsiTheme="minorHAnsi" w:cstheme="minorHAnsi"/>
          <w:szCs w:val="24"/>
        </w:rPr>
        <w:t xml:space="preserve"> </w:t>
      </w:r>
      <w:r w:rsidR="00CC1FB5">
        <w:rPr>
          <w:rFonts w:asciiTheme="minorHAnsi" w:hAnsiTheme="minorHAnsi" w:cstheme="minorHAnsi"/>
          <w:szCs w:val="24"/>
        </w:rPr>
        <w:t>percent</w:t>
      </w:r>
      <w:r w:rsidR="004600DF">
        <w:rPr>
          <w:rFonts w:asciiTheme="minorHAnsi" w:hAnsiTheme="minorHAnsi" w:cstheme="minorHAnsi"/>
          <w:szCs w:val="24"/>
        </w:rPr>
        <w:t xml:space="preserve"> of children under 9 on MassHealth are using some form of dental services on an annual basis. </w:t>
      </w:r>
      <w:r>
        <w:rPr>
          <w:rFonts w:asciiTheme="minorHAnsi" w:hAnsiTheme="minorHAnsi" w:cstheme="minorHAnsi"/>
          <w:szCs w:val="24"/>
        </w:rPr>
        <w:t xml:space="preserve"> </w:t>
      </w:r>
      <w:r w:rsidR="00F15E73">
        <w:rPr>
          <w:rFonts w:asciiTheme="minorHAnsi" w:hAnsiTheme="minorHAnsi" w:cstheme="minorHAnsi"/>
          <w:szCs w:val="24"/>
        </w:rPr>
        <w:t xml:space="preserve"> </w:t>
      </w:r>
      <w:r w:rsidR="00E10A43">
        <w:rPr>
          <w:rFonts w:asciiTheme="minorHAnsi" w:hAnsiTheme="minorHAnsi" w:cstheme="minorHAnsi"/>
          <w:szCs w:val="24"/>
        </w:rPr>
        <w:t>Similar to Category 1, t</w:t>
      </w:r>
      <w:r w:rsidR="00E10A43" w:rsidRPr="00E10A43">
        <w:rPr>
          <w:rFonts w:asciiTheme="minorHAnsi" w:hAnsiTheme="minorHAnsi" w:cstheme="minorHAnsi"/>
          <w:szCs w:val="24"/>
        </w:rPr>
        <w:t xml:space="preserve">he Claims Data also identified that approximately the same number of males and females are treated in both Care Settings with MassHealth treating a more diverse population across all Care Settings and commercial payors treating a higher percentage of white patients compared to other race/ethnicity in the office instead of the HOPD. </w:t>
      </w:r>
    </w:p>
    <w:p w14:paraId="6A28A292" w14:textId="1264B295" w:rsidR="000D1D99" w:rsidRPr="00AB6F78" w:rsidRDefault="001E00A5" w:rsidP="00553C14">
      <w:pPr>
        <w:autoSpaceDE w:val="0"/>
        <w:autoSpaceDN w:val="0"/>
        <w:adjustRightInd w:val="0"/>
        <w:jc w:val="both"/>
        <w:rPr>
          <w:rFonts w:asciiTheme="minorHAnsi" w:hAnsiTheme="minorHAnsi" w:cstheme="minorHAnsi"/>
          <w:szCs w:val="24"/>
        </w:rPr>
      </w:pPr>
      <w:r w:rsidRPr="00AB6F78">
        <w:rPr>
          <w:rFonts w:asciiTheme="minorHAnsi" w:hAnsiTheme="minorHAnsi" w:cstheme="minorHAnsi"/>
          <w:szCs w:val="24"/>
        </w:rPr>
        <w:t>Behavioral Risk Factors</w:t>
      </w:r>
    </w:p>
    <w:p w14:paraId="377C5246" w14:textId="7293E0F4" w:rsidR="00F15E73" w:rsidRPr="00F15E73" w:rsidRDefault="001E00A5" w:rsidP="00553C14">
      <w:pPr>
        <w:autoSpaceDE w:val="0"/>
        <w:autoSpaceDN w:val="0"/>
        <w:adjustRightInd w:val="0"/>
        <w:jc w:val="both"/>
        <w:rPr>
          <w:rFonts w:asciiTheme="minorHAnsi" w:hAnsiTheme="minorHAnsi" w:cstheme="minorHAnsi"/>
          <w:szCs w:val="24"/>
        </w:rPr>
      </w:pPr>
      <w:r>
        <w:rPr>
          <w:rFonts w:asciiTheme="minorHAnsi" w:hAnsiTheme="minorHAnsi" w:cstheme="minorHAnsi"/>
          <w:szCs w:val="24"/>
        </w:rPr>
        <w:t>Using the Claims Data, Chartis determined that the primary diagnosis for 94</w:t>
      </w:r>
      <w:r w:rsidR="00CC1FB5" w:rsidRPr="00CC1FB5">
        <w:rPr>
          <w:rFonts w:asciiTheme="minorHAnsi" w:hAnsiTheme="minorHAnsi" w:cstheme="minorHAnsi"/>
          <w:szCs w:val="24"/>
        </w:rPr>
        <w:t xml:space="preserve"> </w:t>
      </w:r>
      <w:r w:rsidR="00CC1FB5">
        <w:rPr>
          <w:rFonts w:asciiTheme="minorHAnsi" w:hAnsiTheme="minorHAnsi" w:cstheme="minorHAnsi"/>
          <w:szCs w:val="24"/>
        </w:rPr>
        <w:t>percent</w:t>
      </w:r>
      <w:r>
        <w:rPr>
          <w:rFonts w:asciiTheme="minorHAnsi" w:hAnsiTheme="minorHAnsi" w:cstheme="minorHAnsi"/>
          <w:szCs w:val="24"/>
        </w:rPr>
        <w:t xml:space="preserve"> of the cases was impacted teeth</w:t>
      </w:r>
      <w:r w:rsidR="000010B2">
        <w:rPr>
          <w:rFonts w:asciiTheme="minorHAnsi" w:hAnsiTheme="minorHAnsi" w:cstheme="minorHAnsi"/>
          <w:szCs w:val="24"/>
        </w:rPr>
        <w:t>,</w:t>
      </w:r>
      <w:r>
        <w:rPr>
          <w:rFonts w:asciiTheme="minorHAnsi" w:hAnsiTheme="minorHAnsi" w:cstheme="minorHAnsi"/>
          <w:szCs w:val="24"/>
        </w:rPr>
        <w:t xml:space="preserve"> </w:t>
      </w:r>
      <w:r w:rsidR="00F10B65">
        <w:rPr>
          <w:rFonts w:asciiTheme="minorHAnsi" w:hAnsiTheme="minorHAnsi" w:cstheme="minorHAnsi"/>
          <w:szCs w:val="24"/>
        </w:rPr>
        <w:t>but the</w:t>
      </w:r>
      <w:r>
        <w:rPr>
          <w:rFonts w:asciiTheme="minorHAnsi" w:hAnsiTheme="minorHAnsi" w:cstheme="minorHAnsi"/>
          <w:szCs w:val="24"/>
        </w:rPr>
        <w:t xml:space="preserve"> secondary diagnosis differed by </w:t>
      </w:r>
      <w:r w:rsidR="00A52372">
        <w:rPr>
          <w:rFonts w:asciiTheme="minorHAnsi" w:hAnsiTheme="minorHAnsi" w:cstheme="minorHAnsi"/>
          <w:szCs w:val="24"/>
        </w:rPr>
        <w:t>C</w:t>
      </w:r>
      <w:r>
        <w:rPr>
          <w:rFonts w:asciiTheme="minorHAnsi" w:hAnsiTheme="minorHAnsi" w:cstheme="minorHAnsi"/>
          <w:szCs w:val="24"/>
        </w:rPr>
        <w:t xml:space="preserve">are </w:t>
      </w:r>
      <w:r w:rsidR="00A52372">
        <w:rPr>
          <w:rFonts w:asciiTheme="minorHAnsi" w:hAnsiTheme="minorHAnsi" w:cstheme="minorHAnsi"/>
          <w:szCs w:val="24"/>
        </w:rPr>
        <w:t>S</w:t>
      </w:r>
      <w:r>
        <w:rPr>
          <w:rFonts w:asciiTheme="minorHAnsi" w:hAnsiTheme="minorHAnsi" w:cstheme="minorHAnsi"/>
          <w:szCs w:val="24"/>
        </w:rPr>
        <w:t xml:space="preserve">etting. </w:t>
      </w:r>
      <w:r w:rsidR="00A52372">
        <w:rPr>
          <w:rFonts w:asciiTheme="minorHAnsi" w:hAnsiTheme="minorHAnsi" w:cstheme="minorHAnsi"/>
          <w:szCs w:val="24"/>
        </w:rPr>
        <w:t xml:space="preserve">  The top 5 secondary diagnoses for care delivered in </w:t>
      </w:r>
      <w:r w:rsidR="000010B2">
        <w:rPr>
          <w:rFonts w:asciiTheme="minorHAnsi" w:hAnsiTheme="minorHAnsi" w:cstheme="minorHAnsi"/>
          <w:szCs w:val="24"/>
        </w:rPr>
        <w:t>an</w:t>
      </w:r>
      <w:r w:rsidR="00A52372">
        <w:rPr>
          <w:rFonts w:asciiTheme="minorHAnsi" w:hAnsiTheme="minorHAnsi" w:cstheme="minorHAnsi"/>
          <w:szCs w:val="24"/>
        </w:rPr>
        <w:t xml:space="preserve"> HOPD for children</w:t>
      </w:r>
      <w:r w:rsidR="000010B2">
        <w:rPr>
          <w:rFonts w:asciiTheme="minorHAnsi" w:hAnsiTheme="minorHAnsi" w:cstheme="minorHAnsi"/>
          <w:szCs w:val="24"/>
        </w:rPr>
        <w:t xml:space="preserve"> aged</w:t>
      </w:r>
      <w:r w:rsidR="00A52372">
        <w:rPr>
          <w:rFonts w:asciiTheme="minorHAnsi" w:hAnsiTheme="minorHAnsi" w:cstheme="minorHAnsi"/>
          <w:szCs w:val="24"/>
        </w:rPr>
        <w:t xml:space="preserve"> 0 to 10 </w:t>
      </w:r>
      <w:r w:rsidR="000010B2">
        <w:rPr>
          <w:rFonts w:asciiTheme="minorHAnsi" w:hAnsiTheme="minorHAnsi" w:cstheme="minorHAnsi"/>
          <w:szCs w:val="24"/>
        </w:rPr>
        <w:t>and</w:t>
      </w:r>
      <w:r w:rsidR="000F228E">
        <w:rPr>
          <w:rFonts w:asciiTheme="minorHAnsi" w:hAnsiTheme="minorHAnsi" w:cstheme="minorHAnsi"/>
          <w:szCs w:val="24"/>
        </w:rPr>
        <w:t xml:space="preserve"> </w:t>
      </w:r>
      <w:r w:rsidR="00A52372">
        <w:rPr>
          <w:rFonts w:asciiTheme="minorHAnsi" w:hAnsiTheme="minorHAnsi" w:cstheme="minorHAnsi"/>
          <w:szCs w:val="24"/>
        </w:rPr>
        <w:t xml:space="preserve">11 to 21 included behavioral risk factors such as acute stress reaction, autistic disorder and anxiety disorder </w:t>
      </w:r>
      <w:r w:rsidR="000010B2">
        <w:rPr>
          <w:rFonts w:asciiTheme="minorHAnsi" w:hAnsiTheme="minorHAnsi" w:cstheme="minorHAnsi"/>
          <w:szCs w:val="24"/>
        </w:rPr>
        <w:t>(</w:t>
      </w:r>
      <w:r w:rsidR="00A52372">
        <w:rPr>
          <w:rFonts w:asciiTheme="minorHAnsi" w:hAnsiTheme="minorHAnsi" w:cstheme="minorHAnsi"/>
          <w:szCs w:val="24"/>
        </w:rPr>
        <w:t>unspecified</w:t>
      </w:r>
      <w:r w:rsidR="000010B2">
        <w:rPr>
          <w:rFonts w:asciiTheme="minorHAnsi" w:hAnsiTheme="minorHAnsi" w:cstheme="minorHAnsi"/>
          <w:szCs w:val="24"/>
        </w:rPr>
        <w:t>)</w:t>
      </w:r>
      <w:r w:rsidR="00A52372">
        <w:rPr>
          <w:rFonts w:asciiTheme="minorHAnsi" w:hAnsiTheme="minorHAnsi" w:cstheme="minorHAnsi"/>
          <w:szCs w:val="24"/>
        </w:rPr>
        <w:t xml:space="preserve">.  See </w:t>
      </w:r>
      <w:r w:rsidR="00A52372" w:rsidRPr="00AB6F78">
        <w:rPr>
          <w:rFonts w:asciiTheme="minorHAnsi" w:hAnsiTheme="minorHAnsi" w:cstheme="minorHAnsi"/>
          <w:szCs w:val="24"/>
        </w:rPr>
        <w:t xml:space="preserve">Exhibit </w:t>
      </w:r>
      <w:r w:rsidR="00B82B17" w:rsidRPr="00AB6F78">
        <w:rPr>
          <w:rFonts w:asciiTheme="minorHAnsi" w:hAnsiTheme="minorHAnsi" w:cstheme="minorHAnsi"/>
          <w:szCs w:val="24"/>
        </w:rPr>
        <w:t>4</w:t>
      </w:r>
      <w:r w:rsidR="00A52372">
        <w:rPr>
          <w:rFonts w:asciiTheme="minorHAnsi" w:hAnsiTheme="minorHAnsi" w:cstheme="minorHAnsi"/>
          <w:szCs w:val="24"/>
        </w:rPr>
        <w:t xml:space="preserve">. </w:t>
      </w:r>
      <w:r>
        <w:rPr>
          <w:rFonts w:asciiTheme="minorHAnsi" w:hAnsiTheme="minorHAnsi" w:cstheme="minorHAnsi"/>
          <w:szCs w:val="24"/>
        </w:rPr>
        <w:t xml:space="preserve"> </w:t>
      </w:r>
      <w:r w:rsidR="00A52372">
        <w:rPr>
          <w:rFonts w:asciiTheme="minorHAnsi" w:hAnsiTheme="minorHAnsi" w:cstheme="minorHAnsi"/>
          <w:szCs w:val="24"/>
        </w:rPr>
        <w:t xml:space="preserve">  </w:t>
      </w:r>
      <w:r w:rsidR="000010B2">
        <w:rPr>
          <w:rFonts w:asciiTheme="minorHAnsi" w:hAnsiTheme="minorHAnsi" w:cstheme="minorHAnsi"/>
          <w:szCs w:val="24"/>
        </w:rPr>
        <w:t xml:space="preserve">In contrast, </w:t>
      </w:r>
      <w:r w:rsidR="00A52372">
        <w:rPr>
          <w:rFonts w:asciiTheme="minorHAnsi" w:hAnsiTheme="minorHAnsi" w:cstheme="minorHAnsi"/>
          <w:szCs w:val="24"/>
        </w:rPr>
        <w:t>for care delivered in a dental office</w:t>
      </w:r>
      <w:r w:rsidR="000010B2">
        <w:rPr>
          <w:rFonts w:asciiTheme="minorHAnsi" w:hAnsiTheme="minorHAnsi" w:cstheme="minorHAnsi"/>
          <w:szCs w:val="24"/>
        </w:rPr>
        <w:t>,</w:t>
      </w:r>
      <w:r w:rsidR="00A52372">
        <w:rPr>
          <w:rFonts w:asciiTheme="minorHAnsi" w:hAnsiTheme="minorHAnsi" w:cstheme="minorHAnsi"/>
          <w:szCs w:val="24"/>
        </w:rPr>
        <w:t xml:space="preserve"> </w:t>
      </w:r>
      <w:r w:rsidR="009A0DBB">
        <w:rPr>
          <w:rFonts w:asciiTheme="minorHAnsi" w:hAnsiTheme="minorHAnsi" w:cstheme="minorHAnsi"/>
          <w:szCs w:val="24"/>
        </w:rPr>
        <w:t>the top</w:t>
      </w:r>
      <w:r w:rsidR="00A52372">
        <w:rPr>
          <w:rFonts w:asciiTheme="minorHAnsi" w:hAnsiTheme="minorHAnsi" w:cstheme="minorHAnsi"/>
          <w:szCs w:val="24"/>
        </w:rPr>
        <w:t xml:space="preserve"> 5 secondary diagnoses were more medical in nature</w:t>
      </w:r>
      <w:r w:rsidR="000F228E">
        <w:rPr>
          <w:rFonts w:asciiTheme="minorHAnsi" w:hAnsiTheme="minorHAnsi" w:cstheme="minorHAnsi"/>
          <w:szCs w:val="24"/>
        </w:rPr>
        <w:t>:</w:t>
      </w:r>
      <w:r w:rsidR="00A52372">
        <w:rPr>
          <w:rFonts w:asciiTheme="minorHAnsi" w:hAnsiTheme="minorHAnsi" w:cstheme="minorHAnsi"/>
          <w:szCs w:val="24"/>
        </w:rPr>
        <w:t xml:space="preserve"> dental </w:t>
      </w:r>
      <w:r w:rsidR="000010B2">
        <w:rPr>
          <w:rFonts w:asciiTheme="minorHAnsi" w:hAnsiTheme="minorHAnsi" w:cstheme="minorHAnsi"/>
          <w:szCs w:val="24"/>
        </w:rPr>
        <w:t>carriers (</w:t>
      </w:r>
      <w:r w:rsidR="00A52372">
        <w:rPr>
          <w:rFonts w:asciiTheme="minorHAnsi" w:hAnsiTheme="minorHAnsi" w:cstheme="minorHAnsi"/>
          <w:szCs w:val="24"/>
        </w:rPr>
        <w:t>unspecified</w:t>
      </w:r>
      <w:r w:rsidR="000010B2">
        <w:rPr>
          <w:rFonts w:asciiTheme="minorHAnsi" w:hAnsiTheme="minorHAnsi" w:cstheme="minorHAnsi"/>
          <w:szCs w:val="24"/>
        </w:rPr>
        <w:t>)</w:t>
      </w:r>
      <w:r w:rsidR="00A52372">
        <w:rPr>
          <w:rFonts w:asciiTheme="minorHAnsi" w:hAnsiTheme="minorHAnsi" w:cstheme="minorHAnsi"/>
          <w:szCs w:val="24"/>
        </w:rPr>
        <w:t xml:space="preserve">, disturbances in tooth eruption, developmental odontogenic cysts, and impacted or </w:t>
      </w:r>
      <w:r w:rsidR="009A0DBB">
        <w:rPr>
          <w:rFonts w:asciiTheme="minorHAnsi" w:hAnsiTheme="minorHAnsi" w:cstheme="minorHAnsi"/>
          <w:szCs w:val="24"/>
        </w:rPr>
        <w:t>embedded teeth</w:t>
      </w:r>
      <w:r w:rsidR="00A52372">
        <w:rPr>
          <w:rFonts w:asciiTheme="minorHAnsi" w:hAnsiTheme="minorHAnsi" w:cstheme="minorHAnsi"/>
          <w:szCs w:val="24"/>
        </w:rPr>
        <w:t xml:space="preserve">.  See </w:t>
      </w:r>
      <w:r w:rsidR="00A52372" w:rsidRPr="00AB6F78">
        <w:rPr>
          <w:rFonts w:asciiTheme="minorHAnsi" w:hAnsiTheme="minorHAnsi" w:cstheme="minorHAnsi"/>
          <w:szCs w:val="24"/>
        </w:rPr>
        <w:t xml:space="preserve">Exhibit </w:t>
      </w:r>
      <w:r w:rsidR="00B82B17" w:rsidRPr="00AB6F78">
        <w:rPr>
          <w:rFonts w:asciiTheme="minorHAnsi" w:hAnsiTheme="minorHAnsi" w:cstheme="minorHAnsi"/>
          <w:szCs w:val="24"/>
        </w:rPr>
        <w:t>4</w:t>
      </w:r>
      <w:r w:rsidR="00A52372">
        <w:rPr>
          <w:rFonts w:asciiTheme="minorHAnsi" w:hAnsiTheme="minorHAnsi" w:cstheme="minorHAnsi"/>
          <w:szCs w:val="24"/>
        </w:rPr>
        <w:t xml:space="preserve">.  </w:t>
      </w:r>
    </w:p>
    <w:p w14:paraId="1305E7B6" w14:textId="2524A1D8" w:rsidR="00D351C5" w:rsidRPr="007A45EA" w:rsidRDefault="00C34AF8" w:rsidP="00CE3D35">
      <w:pPr>
        <w:pStyle w:val="Heading3"/>
      </w:pPr>
      <w:r w:rsidRPr="007A45EA">
        <w:t>F1.</w:t>
      </w:r>
      <w:proofErr w:type="gramStart"/>
      <w:r w:rsidRPr="007A45EA">
        <w:t>a.ii</w:t>
      </w:r>
      <w:proofErr w:type="gramEnd"/>
      <w:r w:rsidRPr="007A45EA">
        <w:t xml:space="preserve"> Need by Patient Panel</w:t>
      </w:r>
    </w:p>
    <w:p w14:paraId="5429A7A0" w14:textId="35858111" w:rsidR="00F35C1F" w:rsidRPr="007A45EA" w:rsidRDefault="00C34AF8" w:rsidP="004855F3">
      <w:pPr>
        <w:autoSpaceDE w:val="0"/>
        <w:autoSpaceDN w:val="0"/>
        <w:adjustRightInd w:val="0"/>
        <w:spacing w:after="0" w:line="240" w:lineRule="auto"/>
        <w:jc w:val="both"/>
        <w:rPr>
          <w:rFonts w:asciiTheme="minorHAnsi" w:hAnsiTheme="minorHAnsi" w:cstheme="minorHAnsi"/>
          <w:b/>
          <w:szCs w:val="24"/>
        </w:rPr>
      </w:pPr>
      <w:r w:rsidRPr="007A45EA">
        <w:rPr>
          <w:rFonts w:asciiTheme="minorHAnsi" w:hAnsiTheme="minorHAnsi" w:cstheme="minorHAnsi"/>
          <w:b/>
          <w:szCs w:val="24"/>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w:t>
      </w:r>
      <w:r w:rsidR="004855F3" w:rsidRPr="007A45EA">
        <w:rPr>
          <w:rFonts w:asciiTheme="minorHAnsi" w:hAnsiTheme="minorHAnsi" w:cstheme="minorHAnsi"/>
          <w:b/>
          <w:szCs w:val="24"/>
        </w:rPr>
        <w:t xml:space="preserve"> </w:t>
      </w:r>
      <w:r w:rsidRPr="007A45EA">
        <w:rPr>
          <w:rFonts w:asciiTheme="minorHAnsi" w:hAnsiTheme="minorHAnsi" w:cstheme="minorHAnsi"/>
          <w:b/>
          <w:szCs w:val="24"/>
        </w:rPr>
        <w:t>principles underlying Public Health Value (see instructions) and ensure that Need is addressed in that context as well.</w:t>
      </w:r>
    </w:p>
    <w:p w14:paraId="5DB52CD6" w14:textId="77777777" w:rsidR="004855F3" w:rsidRPr="007A45EA" w:rsidRDefault="004855F3" w:rsidP="004855F3">
      <w:pPr>
        <w:autoSpaceDE w:val="0"/>
        <w:autoSpaceDN w:val="0"/>
        <w:adjustRightInd w:val="0"/>
        <w:spacing w:after="0" w:line="240" w:lineRule="auto"/>
        <w:jc w:val="both"/>
        <w:rPr>
          <w:rFonts w:asciiTheme="minorHAnsi" w:hAnsiTheme="minorHAnsi" w:cstheme="minorHAnsi"/>
          <w:b/>
          <w:szCs w:val="24"/>
        </w:rPr>
      </w:pPr>
    </w:p>
    <w:p w14:paraId="563A3074" w14:textId="7919DED5" w:rsidR="00B82B17" w:rsidRPr="005730E2" w:rsidRDefault="0051356D" w:rsidP="0051356D">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The Applicant’s entire mission is to expand access to care, exemplify safety and quality, and reduce costs </w:t>
      </w:r>
      <w:r w:rsidR="00B54691">
        <w:rPr>
          <w:rFonts w:asciiTheme="minorHAnsi" w:hAnsiTheme="minorHAnsi" w:cstheme="minorHAnsi"/>
          <w:szCs w:val="24"/>
        </w:rPr>
        <w:t>for</w:t>
      </w:r>
      <w:r>
        <w:rPr>
          <w:rFonts w:asciiTheme="minorHAnsi" w:hAnsiTheme="minorHAnsi" w:cstheme="minorHAnsi"/>
          <w:szCs w:val="24"/>
        </w:rPr>
        <w:t xml:space="preserve"> patients and payors with a focus on serving an underserved pediatric and special needs population. In recent years, oral health, particularly for children and adolescents, has been </w:t>
      </w:r>
      <w:r>
        <w:rPr>
          <w:rFonts w:asciiTheme="minorHAnsi" w:hAnsiTheme="minorHAnsi" w:cstheme="minorHAnsi"/>
          <w:szCs w:val="24"/>
        </w:rPr>
        <w:lastRenderedPageBreak/>
        <w:t>both a national and state priority.</w:t>
      </w:r>
      <w:r>
        <w:rPr>
          <w:rStyle w:val="FootnoteReference"/>
          <w:rFonts w:asciiTheme="minorHAnsi" w:hAnsiTheme="minorHAnsi" w:cstheme="minorHAnsi"/>
          <w:szCs w:val="24"/>
        </w:rPr>
        <w:footnoteReference w:id="8"/>
      </w:r>
      <w:r>
        <w:rPr>
          <w:rFonts w:asciiTheme="minorHAnsi" w:hAnsiTheme="minorHAnsi" w:cstheme="minorHAnsi"/>
          <w:szCs w:val="24"/>
        </w:rPr>
        <w:t xml:space="preserve">    Healthy People 2030, a national initiative aimed at improving health across the United States, </w:t>
      </w:r>
      <w:r w:rsidR="00B82B17">
        <w:rPr>
          <w:rFonts w:asciiTheme="minorHAnsi" w:hAnsiTheme="minorHAnsi" w:cstheme="minorHAnsi"/>
          <w:szCs w:val="24"/>
        </w:rPr>
        <w:t>focuses</w:t>
      </w:r>
      <w:r>
        <w:rPr>
          <w:rFonts w:asciiTheme="minorHAnsi" w:hAnsiTheme="minorHAnsi" w:cstheme="minorHAnsi"/>
          <w:szCs w:val="24"/>
        </w:rPr>
        <w:t xml:space="preserve"> on reducing the proportion of children and adolescents with lifetime tooth decay in their primary or permanent teeth or active and untreated tooth decay, as well  as increasing the proportion of low-income youth that have a preventative dental visits and dental sealants.</w:t>
      </w:r>
      <w:r>
        <w:rPr>
          <w:rStyle w:val="FootnoteReference"/>
          <w:rFonts w:asciiTheme="minorHAnsi" w:hAnsiTheme="minorHAnsi" w:cstheme="minorHAnsi"/>
          <w:szCs w:val="24"/>
        </w:rPr>
        <w:footnoteReference w:id="9"/>
      </w:r>
      <w:r>
        <w:rPr>
          <w:rFonts w:asciiTheme="minorHAnsi" w:hAnsiTheme="minorHAnsi" w:cstheme="minorHAnsi"/>
          <w:szCs w:val="24"/>
        </w:rPr>
        <w:t xml:space="preserve">  Massachusetts has also </w:t>
      </w:r>
      <w:r w:rsidR="000010B2">
        <w:rPr>
          <w:rFonts w:asciiTheme="minorHAnsi" w:hAnsiTheme="minorHAnsi" w:cstheme="minorHAnsi"/>
          <w:szCs w:val="24"/>
        </w:rPr>
        <w:t xml:space="preserve">explicitly </w:t>
      </w:r>
      <w:r>
        <w:rPr>
          <w:rFonts w:asciiTheme="minorHAnsi" w:hAnsiTheme="minorHAnsi" w:cstheme="minorHAnsi"/>
          <w:szCs w:val="24"/>
        </w:rPr>
        <w:t>made oral health a priority.   DPH has established the Office of Oral Health to achieve oral health justice for everyone in Massachusetts with four primary goals: establishing statewide oral health surveillance systems to monitor changes over time, implementing and promoting evidence based prevention practices to improve health, expanding coverage, services and timeliness of access to oral health treatment with a robust, culturally competent workforce, and integrating oral health across the health system in all care settings.</w:t>
      </w:r>
      <w:r>
        <w:rPr>
          <w:rStyle w:val="FootnoteReference"/>
          <w:rFonts w:asciiTheme="minorHAnsi" w:hAnsiTheme="minorHAnsi" w:cstheme="minorHAnsi"/>
          <w:szCs w:val="24"/>
        </w:rPr>
        <w:footnoteReference w:id="10"/>
      </w:r>
      <w:r>
        <w:rPr>
          <w:rFonts w:asciiTheme="minorHAnsi" w:hAnsiTheme="minorHAnsi" w:cstheme="minorHAnsi"/>
          <w:szCs w:val="24"/>
        </w:rPr>
        <w:t xml:space="preserve">  In </w:t>
      </w:r>
      <w:r w:rsidR="000010B2">
        <w:rPr>
          <w:rFonts w:asciiTheme="minorHAnsi" w:hAnsiTheme="minorHAnsi" w:cstheme="minorHAnsi"/>
          <w:szCs w:val="24"/>
        </w:rPr>
        <w:t xml:space="preserve">its </w:t>
      </w:r>
      <w:r>
        <w:rPr>
          <w:rFonts w:asciiTheme="minorHAnsi" w:hAnsiTheme="minorHAnsi" w:cstheme="minorHAnsi"/>
          <w:szCs w:val="24"/>
        </w:rPr>
        <w:t xml:space="preserve">FY2023 Budget, the State established  </w:t>
      </w:r>
      <w:r w:rsidR="000010B2">
        <w:rPr>
          <w:rFonts w:asciiTheme="minorHAnsi" w:hAnsiTheme="minorHAnsi" w:cstheme="minorHAnsi"/>
          <w:szCs w:val="24"/>
        </w:rPr>
        <w:t xml:space="preserve">the </w:t>
      </w:r>
      <w:r>
        <w:rPr>
          <w:rFonts w:asciiTheme="minorHAnsi" w:hAnsiTheme="minorHAnsi" w:cstheme="minorHAnsi"/>
          <w:szCs w:val="24"/>
        </w:rPr>
        <w:t>Special Commission on Oral Health</w:t>
      </w:r>
      <w:r w:rsidR="000010B2">
        <w:rPr>
          <w:rFonts w:asciiTheme="minorHAnsi" w:hAnsiTheme="minorHAnsi" w:cstheme="minorHAnsi"/>
          <w:szCs w:val="24"/>
        </w:rPr>
        <w:t xml:space="preserve">, </w:t>
      </w:r>
      <w:r>
        <w:rPr>
          <w:rFonts w:asciiTheme="minorHAnsi" w:hAnsiTheme="minorHAnsi" w:cstheme="minorHAnsi"/>
          <w:szCs w:val="24"/>
        </w:rPr>
        <w:t>which among other things focuses on assessing gaps in access to oral health care and services.</w:t>
      </w:r>
      <w:r>
        <w:rPr>
          <w:rStyle w:val="FootnoteReference"/>
          <w:rFonts w:asciiTheme="minorHAnsi" w:hAnsiTheme="minorHAnsi" w:cstheme="minorHAnsi"/>
          <w:szCs w:val="24"/>
        </w:rPr>
        <w:footnoteReference w:id="11"/>
      </w:r>
      <w:r>
        <w:rPr>
          <w:rFonts w:asciiTheme="minorHAnsi" w:hAnsiTheme="minorHAnsi" w:cstheme="minorHAnsi"/>
          <w:szCs w:val="24"/>
        </w:rPr>
        <w:t xml:space="preserve">   </w:t>
      </w:r>
      <w:r w:rsidR="001E756C">
        <w:rPr>
          <w:rFonts w:asciiTheme="minorHAnsi" w:hAnsiTheme="minorHAnsi" w:cstheme="minorHAnsi"/>
          <w:szCs w:val="24"/>
        </w:rPr>
        <w:t>Two</w:t>
      </w:r>
      <w:r w:rsidR="00B82B17">
        <w:rPr>
          <w:rFonts w:asciiTheme="minorHAnsi" w:hAnsiTheme="minorHAnsi" w:cstheme="minorHAnsi"/>
          <w:szCs w:val="24"/>
        </w:rPr>
        <w:t xml:space="preserve"> of the Special Commission’s subcommittee meeting on access</w:t>
      </w:r>
      <w:r w:rsidR="001E756C">
        <w:rPr>
          <w:rFonts w:asciiTheme="minorHAnsi" w:hAnsiTheme="minorHAnsi" w:cstheme="minorHAnsi"/>
          <w:szCs w:val="24"/>
        </w:rPr>
        <w:t xml:space="preserve"> involved discussion about</w:t>
      </w:r>
      <w:r w:rsidR="00B82B17">
        <w:rPr>
          <w:rFonts w:asciiTheme="minorHAnsi" w:hAnsiTheme="minorHAnsi" w:cstheme="minorHAnsi"/>
          <w:szCs w:val="24"/>
        </w:rPr>
        <w:t xml:space="preserve"> the need to </w:t>
      </w:r>
      <w:r w:rsidR="00B82B17" w:rsidRPr="00B82B17">
        <w:rPr>
          <w:rFonts w:asciiTheme="minorHAnsi" w:hAnsiTheme="minorHAnsi" w:cstheme="minorHAnsi"/>
          <w:szCs w:val="24"/>
        </w:rPr>
        <w:t>include operating room access for pediatric patie</w:t>
      </w:r>
      <w:r w:rsidR="00B82B17">
        <w:rPr>
          <w:rFonts w:asciiTheme="minorHAnsi" w:hAnsiTheme="minorHAnsi" w:cstheme="minorHAnsi"/>
          <w:szCs w:val="24"/>
        </w:rPr>
        <w:t>nts and disab</w:t>
      </w:r>
      <w:r w:rsidR="001E756C">
        <w:rPr>
          <w:rFonts w:asciiTheme="minorHAnsi" w:hAnsiTheme="minorHAnsi" w:cstheme="minorHAnsi"/>
          <w:szCs w:val="24"/>
        </w:rPr>
        <w:t>led persons</w:t>
      </w:r>
      <w:r w:rsidR="00B82B17">
        <w:rPr>
          <w:rFonts w:asciiTheme="minorHAnsi" w:hAnsiTheme="minorHAnsi" w:cstheme="minorHAnsi"/>
          <w:szCs w:val="24"/>
        </w:rPr>
        <w:t>.</w:t>
      </w:r>
      <w:r w:rsidR="00B82B17">
        <w:rPr>
          <w:rStyle w:val="FootnoteReference"/>
          <w:rFonts w:asciiTheme="minorHAnsi" w:hAnsiTheme="minorHAnsi" w:cstheme="minorHAnsi"/>
          <w:szCs w:val="24"/>
        </w:rPr>
        <w:footnoteReference w:id="12"/>
      </w:r>
    </w:p>
    <w:p w14:paraId="288B3748" w14:textId="77777777" w:rsidR="0051356D" w:rsidRPr="00FB3129" w:rsidRDefault="0051356D" w:rsidP="00FB3129">
      <w:pPr>
        <w:pStyle w:val="Heading4"/>
      </w:pPr>
      <w:r w:rsidRPr="00FB3129">
        <w:t>Determining Need for High Acuity Dental Surgeries Due to Clinical Drivers</w:t>
      </w:r>
    </w:p>
    <w:p w14:paraId="7FD47E2C" w14:textId="3011473D" w:rsidR="0051356D" w:rsidRDefault="0051356D" w:rsidP="0008336C">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Oral health plays a critical role in </w:t>
      </w:r>
      <w:r w:rsidR="001E756C">
        <w:rPr>
          <w:rFonts w:asciiTheme="minorHAnsi" w:hAnsiTheme="minorHAnsi" w:cstheme="minorHAnsi"/>
          <w:szCs w:val="24"/>
        </w:rPr>
        <w:t xml:space="preserve">a person’s </w:t>
      </w:r>
      <w:r>
        <w:rPr>
          <w:rFonts w:asciiTheme="minorHAnsi" w:hAnsiTheme="minorHAnsi" w:cstheme="minorHAnsi"/>
          <w:szCs w:val="24"/>
        </w:rPr>
        <w:t>physical, mental, social and economic well-being</w:t>
      </w:r>
      <w:r w:rsidR="001E756C">
        <w:rPr>
          <w:rFonts w:asciiTheme="minorHAnsi" w:hAnsiTheme="minorHAnsi" w:cstheme="minorHAnsi"/>
          <w:szCs w:val="24"/>
        </w:rPr>
        <w:t>, and</w:t>
      </w:r>
      <w:r>
        <w:rPr>
          <w:rFonts w:asciiTheme="minorHAnsi" w:hAnsiTheme="minorHAnsi" w:cstheme="minorHAnsi"/>
          <w:szCs w:val="24"/>
        </w:rPr>
        <w:t xml:space="preserve"> access to preventative health care and early treatment for dental problems is essential to good oral health.</w:t>
      </w:r>
      <w:r>
        <w:rPr>
          <w:rStyle w:val="FootnoteReference"/>
          <w:rFonts w:asciiTheme="minorHAnsi" w:hAnsiTheme="minorHAnsi" w:cstheme="minorHAnsi"/>
          <w:szCs w:val="24"/>
        </w:rPr>
        <w:footnoteReference w:id="13"/>
      </w:r>
      <w:r>
        <w:rPr>
          <w:rFonts w:asciiTheme="minorHAnsi" w:hAnsiTheme="minorHAnsi" w:cstheme="minorHAnsi"/>
          <w:szCs w:val="24"/>
        </w:rPr>
        <w:t xml:space="preserve">  Tooth decay and periodontal disease are among the most common chronic conditions in children.</w:t>
      </w:r>
      <w:r>
        <w:rPr>
          <w:rStyle w:val="FootnoteReference"/>
          <w:rFonts w:asciiTheme="minorHAnsi" w:hAnsiTheme="minorHAnsi" w:cstheme="minorHAnsi"/>
          <w:szCs w:val="24"/>
        </w:rPr>
        <w:footnoteReference w:id="14"/>
      </w:r>
      <w:r>
        <w:rPr>
          <w:rFonts w:asciiTheme="minorHAnsi" w:hAnsiTheme="minorHAnsi" w:cstheme="minorHAnsi"/>
          <w:szCs w:val="24"/>
        </w:rPr>
        <w:t xml:space="preserve">   According to the CDC, untreated cavities  were almost three times more common in children aged 2 to 5 living in low-income than higher income households</w:t>
      </w:r>
      <w:r w:rsidR="001E756C">
        <w:rPr>
          <w:rFonts w:asciiTheme="minorHAnsi" w:hAnsiTheme="minorHAnsi" w:cstheme="minorHAnsi"/>
          <w:szCs w:val="24"/>
        </w:rPr>
        <w:t>;</w:t>
      </w:r>
      <w:r w:rsidR="000F228E">
        <w:rPr>
          <w:rFonts w:asciiTheme="minorHAnsi" w:hAnsiTheme="minorHAnsi" w:cstheme="minorHAnsi"/>
          <w:szCs w:val="24"/>
        </w:rPr>
        <w:t xml:space="preserve"> </w:t>
      </w:r>
      <w:r>
        <w:rPr>
          <w:rFonts w:asciiTheme="minorHAnsi" w:hAnsiTheme="minorHAnsi" w:cstheme="minorHAnsi"/>
          <w:szCs w:val="24"/>
        </w:rPr>
        <w:t>about 3 in 5 children aged 6 to 9 from lower income households have had cavities in their primary (baby) or permanent teeth</w:t>
      </w:r>
      <w:r w:rsidR="001E756C">
        <w:rPr>
          <w:rFonts w:asciiTheme="minorHAnsi" w:hAnsiTheme="minorHAnsi" w:cstheme="minorHAnsi"/>
          <w:szCs w:val="24"/>
        </w:rPr>
        <w:t>,</w:t>
      </w:r>
      <w:r w:rsidR="000F228E">
        <w:rPr>
          <w:rFonts w:asciiTheme="minorHAnsi" w:hAnsiTheme="minorHAnsi" w:cstheme="minorHAnsi"/>
          <w:szCs w:val="24"/>
        </w:rPr>
        <w:t xml:space="preserve"> </w:t>
      </w:r>
      <w:r>
        <w:rPr>
          <w:rFonts w:asciiTheme="minorHAnsi" w:hAnsiTheme="minorHAnsi" w:cstheme="minorHAnsi"/>
          <w:szCs w:val="24"/>
        </w:rPr>
        <w:t>compared to 2 in 5 children in higher income households,  and untreated cavities were more common among adolescents aged 12 to 19 from low-income households.</w:t>
      </w:r>
      <w:r>
        <w:rPr>
          <w:rStyle w:val="FootnoteReference"/>
          <w:rFonts w:asciiTheme="minorHAnsi" w:hAnsiTheme="minorHAnsi" w:cstheme="minorHAnsi"/>
          <w:szCs w:val="24"/>
        </w:rPr>
        <w:footnoteReference w:id="15"/>
      </w:r>
      <w:r>
        <w:rPr>
          <w:rFonts w:asciiTheme="minorHAnsi" w:hAnsiTheme="minorHAnsi" w:cstheme="minorHAnsi"/>
          <w:szCs w:val="24"/>
        </w:rPr>
        <w:t xml:space="preserve"> Reasons for this are both biological and environmental.  Biological factors </w:t>
      </w:r>
      <w:r w:rsidR="001E756C">
        <w:rPr>
          <w:rFonts w:asciiTheme="minorHAnsi" w:hAnsiTheme="minorHAnsi" w:cstheme="minorHAnsi"/>
          <w:szCs w:val="24"/>
        </w:rPr>
        <w:t>that typically lead to a</w:t>
      </w:r>
      <w:r>
        <w:rPr>
          <w:rFonts w:asciiTheme="minorHAnsi" w:hAnsiTheme="minorHAnsi" w:cstheme="minorHAnsi"/>
          <w:szCs w:val="24"/>
        </w:rPr>
        <w:t xml:space="preserve"> high prevalence of cavities and periodontal disease include viral conditions, fluctuations in </w:t>
      </w:r>
      <w:r>
        <w:rPr>
          <w:rFonts w:asciiTheme="minorHAnsi" w:hAnsiTheme="minorHAnsi" w:cstheme="minorHAnsi"/>
          <w:szCs w:val="24"/>
        </w:rPr>
        <w:lastRenderedPageBreak/>
        <w:t>hormone levels, diabetes, medications and genetic predispositions.</w:t>
      </w:r>
      <w:r>
        <w:rPr>
          <w:rStyle w:val="FootnoteReference"/>
          <w:rFonts w:asciiTheme="minorHAnsi" w:hAnsiTheme="minorHAnsi" w:cstheme="minorHAnsi"/>
          <w:szCs w:val="24"/>
        </w:rPr>
        <w:footnoteReference w:id="16"/>
      </w:r>
      <w:r>
        <w:rPr>
          <w:rFonts w:asciiTheme="minorHAnsi" w:hAnsiTheme="minorHAnsi" w:cstheme="minorHAnsi"/>
          <w:szCs w:val="24"/>
        </w:rPr>
        <w:t xml:space="preserve">   Environmental factors include lack of access to healthy food options, lack of fluoridated community water supply, transportation </w:t>
      </w:r>
      <w:r w:rsidR="00A90722">
        <w:rPr>
          <w:rFonts w:asciiTheme="minorHAnsi" w:hAnsiTheme="minorHAnsi" w:cstheme="minorHAnsi"/>
          <w:szCs w:val="24"/>
        </w:rPr>
        <w:t>barriers, income</w:t>
      </w:r>
      <w:r w:rsidR="001E756C">
        <w:rPr>
          <w:rFonts w:asciiTheme="minorHAnsi" w:hAnsiTheme="minorHAnsi" w:cstheme="minorHAnsi"/>
          <w:szCs w:val="24"/>
        </w:rPr>
        <w:t xml:space="preserve"> disparities</w:t>
      </w:r>
      <w:r>
        <w:rPr>
          <w:rFonts w:asciiTheme="minorHAnsi" w:hAnsiTheme="minorHAnsi" w:cstheme="minorHAnsi"/>
          <w:szCs w:val="24"/>
        </w:rPr>
        <w:t>, cultural beliefs and practices, fear of dental procedures and complexity of the Medicaid benefit.</w:t>
      </w:r>
      <w:r w:rsidRPr="00990FC7">
        <w:rPr>
          <w:rStyle w:val="FootnoteReference"/>
          <w:rFonts w:asciiTheme="minorHAnsi" w:hAnsiTheme="minorHAnsi" w:cstheme="minorHAnsi"/>
          <w:szCs w:val="24"/>
        </w:rPr>
        <w:t xml:space="preserve"> </w:t>
      </w:r>
      <w:r>
        <w:rPr>
          <w:rStyle w:val="FootnoteReference"/>
          <w:rFonts w:asciiTheme="minorHAnsi" w:hAnsiTheme="minorHAnsi" w:cstheme="minorHAnsi"/>
          <w:szCs w:val="24"/>
        </w:rPr>
        <w:footnoteReference w:id="17"/>
      </w:r>
      <w:r>
        <w:rPr>
          <w:rFonts w:asciiTheme="minorHAnsi" w:hAnsiTheme="minorHAnsi" w:cstheme="minorHAnsi"/>
          <w:szCs w:val="24"/>
        </w:rPr>
        <w:t xml:space="preserve">       </w:t>
      </w:r>
    </w:p>
    <w:p w14:paraId="47716732" w14:textId="3C119AA0" w:rsidR="00EC0237" w:rsidRDefault="00F74C02" w:rsidP="0008336C">
      <w:pPr>
        <w:autoSpaceDE w:val="0"/>
        <w:autoSpaceDN w:val="0"/>
        <w:adjustRightInd w:val="0"/>
        <w:jc w:val="both"/>
        <w:rPr>
          <w:rFonts w:asciiTheme="minorHAnsi" w:hAnsiTheme="minorHAnsi" w:cstheme="minorHAnsi"/>
          <w:szCs w:val="24"/>
        </w:rPr>
      </w:pPr>
      <w:r>
        <w:rPr>
          <w:rFonts w:asciiTheme="minorHAnsi" w:hAnsiTheme="minorHAnsi" w:cstheme="minorHAnsi"/>
          <w:szCs w:val="24"/>
        </w:rPr>
        <w:t>It is well documented that the c</w:t>
      </w:r>
      <w:r w:rsidR="0051356D">
        <w:rPr>
          <w:rFonts w:asciiTheme="minorHAnsi" w:hAnsiTheme="minorHAnsi" w:cstheme="minorHAnsi"/>
          <w:szCs w:val="24"/>
        </w:rPr>
        <w:t>onsequences of poor oral health have a ripple effect on one’s physical and mental wellbeing. Malnutrition and delayed oral health care creates a vicious cycle, where poor nutrition weakens teeth and gums.</w:t>
      </w:r>
      <w:r w:rsidR="0051356D">
        <w:rPr>
          <w:rStyle w:val="FootnoteReference"/>
          <w:rFonts w:asciiTheme="minorHAnsi" w:hAnsiTheme="minorHAnsi" w:cstheme="minorHAnsi"/>
          <w:szCs w:val="24"/>
        </w:rPr>
        <w:footnoteReference w:id="18"/>
      </w:r>
      <w:r w:rsidR="0051356D">
        <w:rPr>
          <w:rFonts w:asciiTheme="minorHAnsi" w:hAnsiTheme="minorHAnsi" w:cstheme="minorHAnsi"/>
          <w:szCs w:val="24"/>
        </w:rPr>
        <w:t xml:space="preserve"> Tooth decay leads to pain, school absenteeism, difficulty concentrating in school with resultant failure, avoidance of smiling, poor self-esteem and painful eating leading to poor nutrition.</w:t>
      </w:r>
      <w:r w:rsidR="0051356D">
        <w:rPr>
          <w:rStyle w:val="FootnoteReference"/>
          <w:rFonts w:asciiTheme="minorHAnsi" w:hAnsiTheme="minorHAnsi" w:cstheme="minorHAnsi"/>
          <w:szCs w:val="24"/>
        </w:rPr>
        <w:footnoteReference w:id="19"/>
      </w:r>
      <w:r w:rsidR="0051356D">
        <w:rPr>
          <w:rFonts w:asciiTheme="minorHAnsi" w:hAnsiTheme="minorHAnsi" w:cstheme="minorHAnsi"/>
          <w:szCs w:val="24"/>
        </w:rPr>
        <w:t xml:space="preserve">  For example, one study found that children with poor oral health status were nearly 3 times more likely than their counterparts to miss school as a result of dental pain.</w:t>
      </w:r>
      <w:r w:rsidR="0051356D">
        <w:rPr>
          <w:rStyle w:val="FootnoteReference"/>
          <w:rFonts w:asciiTheme="minorHAnsi" w:hAnsiTheme="minorHAnsi" w:cstheme="minorHAnsi"/>
          <w:szCs w:val="24"/>
        </w:rPr>
        <w:footnoteReference w:id="20"/>
      </w:r>
    </w:p>
    <w:p w14:paraId="7116E332" w14:textId="4F12AD11" w:rsidR="009747AB" w:rsidRDefault="00773F01" w:rsidP="0008336C">
      <w:pPr>
        <w:autoSpaceDE w:val="0"/>
        <w:autoSpaceDN w:val="0"/>
        <w:adjustRightInd w:val="0"/>
        <w:jc w:val="both"/>
        <w:rPr>
          <w:rFonts w:asciiTheme="minorHAnsi" w:hAnsiTheme="minorHAnsi" w:cstheme="minorHAnsi"/>
          <w:szCs w:val="24"/>
        </w:rPr>
      </w:pPr>
      <w:r>
        <w:rPr>
          <w:rFonts w:asciiTheme="minorHAnsi" w:hAnsiTheme="minorHAnsi" w:cstheme="minorHAnsi"/>
          <w:szCs w:val="24"/>
        </w:rPr>
        <w:t>In addition to the clinical drivers</w:t>
      </w:r>
      <w:r w:rsidR="009747AB">
        <w:rPr>
          <w:rFonts w:asciiTheme="minorHAnsi" w:hAnsiTheme="minorHAnsi" w:cstheme="minorHAnsi"/>
          <w:szCs w:val="24"/>
        </w:rPr>
        <w:t xml:space="preserve"> for the</w:t>
      </w:r>
      <w:r>
        <w:rPr>
          <w:rFonts w:asciiTheme="minorHAnsi" w:hAnsiTheme="minorHAnsi" w:cstheme="minorHAnsi"/>
          <w:szCs w:val="24"/>
        </w:rPr>
        <w:t xml:space="preserve"> general pediatric population, </w:t>
      </w:r>
      <w:r w:rsidR="00872346">
        <w:rPr>
          <w:rFonts w:asciiTheme="minorHAnsi" w:hAnsiTheme="minorHAnsi" w:cstheme="minorHAnsi"/>
          <w:szCs w:val="24"/>
        </w:rPr>
        <w:t>the</w:t>
      </w:r>
      <w:r>
        <w:rPr>
          <w:rFonts w:asciiTheme="minorHAnsi" w:hAnsiTheme="minorHAnsi" w:cstheme="minorHAnsi"/>
          <w:szCs w:val="24"/>
        </w:rPr>
        <w:t xml:space="preserve"> r</w:t>
      </w:r>
      <w:r w:rsidR="00EC0237" w:rsidRPr="00EC0237">
        <w:rPr>
          <w:rFonts w:asciiTheme="minorHAnsi" w:hAnsiTheme="minorHAnsi" w:cstheme="minorHAnsi"/>
          <w:szCs w:val="24"/>
        </w:rPr>
        <w:t xml:space="preserve">isk for oral disease </w:t>
      </w:r>
      <w:r w:rsidR="00F74C02">
        <w:rPr>
          <w:rFonts w:asciiTheme="minorHAnsi" w:hAnsiTheme="minorHAnsi" w:cstheme="minorHAnsi"/>
          <w:szCs w:val="24"/>
        </w:rPr>
        <w:t>within</w:t>
      </w:r>
      <w:r w:rsidR="000F228E">
        <w:rPr>
          <w:rFonts w:asciiTheme="minorHAnsi" w:hAnsiTheme="minorHAnsi" w:cstheme="minorHAnsi"/>
          <w:szCs w:val="24"/>
        </w:rPr>
        <w:t xml:space="preserve"> the </w:t>
      </w:r>
      <w:r w:rsidR="00EC0237">
        <w:rPr>
          <w:rFonts w:asciiTheme="minorHAnsi" w:hAnsiTheme="minorHAnsi" w:cstheme="minorHAnsi"/>
          <w:szCs w:val="24"/>
        </w:rPr>
        <w:t>special needs population</w:t>
      </w:r>
      <w:r>
        <w:rPr>
          <w:rFonts w:asciiTheme="minorHAnsi" w:hAnsiTheme="minorHAnsi" w:cstheme="minorHAnsi"/>
          <w:szCs w:val="24"/>
        </w:rPr>
        <w:t xml:space="preserve"> </w:t>
      </w:r>
      <w:r w:rsidR="009747AB">
        <w:rPr>
          <w:rFonts w:asciiTheme="minorHAnsi" w:hAnsiTheme="minorHAnsi" w:cstheme="minorHAnsi"/>
          <w:szCs w:val="24"/>
        </w:rPr>
        <w:t xml:space="preserve">has additional factors such as </w:t>
      </w:r>
      <w:r w:rsidR="00872346" w:rsidRPr="00872346">
        <w:rPr>
          <w:rFonts w:asciiTheme="minorHAnsi" w:hAnsiTheme="minorHAnsi" w:cstheme="minorHAnsi"/>
          <w:szCs w:val="24"/>
        </w:rPr>
        <w:t>limited access to dental treatment, a higher prevalence and incidence of dental problems, and worse oral hygiene than the rest of the populatio</w:t>
      </w:r>
      <w:r w:rsidR="00872346">
        <w:rPr>
          <w:rFonts w:asciiTheme="minorHAnsi" w:hAnsiTheme="minorHAnsi" w:cstheme="minorHAnsi"/>
          <w:szCs w:val="24"/>
        </w:rPr>
        <w:t>n</w:t>
      </w:r>
      <w:r w:rsidR="00EC0237">
        <w:rPr>
          <w:rFonts w:asciiTheme="minorHAnsi" w:hAnsiTheme="minorHAnsi" w:cstheme="minorHAnsi"/>
          <w:szCs w:val="24"/>
        </w:rPr>
        <w:t>.</w:t>
      </w:r>
      <w:r w:rsidR="00EC0237" w:rsidRPr="00EC0237">
        <w:rPr>
          <w:rStyle w:val="FootnoteReference"/>
          <w:rFonts w:asciiTheme="minorHAnsi" w:hAnsiTheme="minorHAnsi" w:cstheme="minorHAnsi"/>
          <w:szCs w:val="24"/>
        </w:rPr>
        <w:t xml:space="preserve"> </w:t>
      </w:r>
      <w:r w:rsidR="00EC0237">
        <w:rPr>
          <w:rStyle w:val="FootnoteReference"/>
          <w:rFonts w:asciiTheme="minorHAnsi" w:hAnsiTheme="minorHAnsi" w:cstheme="minorHAnsi"/>
          <w:szCs w:val="24"/>
        </w:rPr>
        <w:footnoteReference w:id="21"/>
      </w:r>
      <w:r w:rsidR="00EC0237">
        <w:rPr>
          <w:rFonts w:asciiTheme="minorHAnsi" w:hAnsiTheme="minorHAnsi" w:cstheme="minorHAnsi"/>
          <w:szCs w:val="24"/>
        </w:rPr>
        <w:t xml:space="preserve"> </w:t>
      </w:r>
      <w:r w:rsidR="00FF55EF">
        <w:rPr>
          <w:rFonts w:asciiTheme="minorHAnsi" w:hAnsiTheme="minorHAnsi" w:cstheme="minorHAnsi"/>
          <w:szCs w:val="24"/>
        </w:rPr>
        <w:t xml:space="preserve"> </w:t>
      </w:r>
      <w:r w:rsidR="00872346">
        <w:rPr>
          <w:rFonts w:asciiTheme="minorHAnsi" w:hAnsiTheme="minorHAnsi" w:cstheme="minorHAnsi"/>
          <w:szCs w:val="24"/>
        </w:rPr>
        <w:t xml:space="preserve"> </w:t>
      </w:r>
      <w:r w:rsidR="009747AB">
        <w:rPr>
          <w:rFonts w:asciiTheme="minorHAnsi" w:hAnsiTheme="minorHAnsi" w:cstheme="minorHAnsi"/>
          <w:szCs w:val="24"/>
        </w:rPr>
        <w:t xml:space="preserve">This </w:t>
      </w:r>
      <w:r w:rsidR="00F74C02">
        <w:rPr>
          <w:rFonts w:asciiTheme="minorHAnsi" w:hAnsiTheme="minorHAnsi" w:cstheme="minorHAnsi"/>
          <w:szCs w:val="24"/>
        </w:rPr>
        <w:t xml:space="preserve">vulnerable </w:t>
      </w:r>
      <w:r w:rsidR="009747AB">
        <w:rPr>
          <w:rFonts w:asciiTheme="minorHAnsi" w:hAnsiTheme="minorHAnsi" w:cstheme="minorHAnsi"/>
          <w:szCs w:val="24"/>
        </w:rPr>
        <w:t xml:space="preserve">population </w:t>
      </w:r>
      <w:r w:rsidR="00872346">
        <w:rPr>
          <w:rFonts w:asciiTheme="minorHAnsi" w:hAnsiTheme="minorHAnsi" w:cstheme="minorHAnsi"/>
          <w:szCs w:val="24"/>
        </w:rPr>
        <w:t>may also exhibit</w:t>
      </w:r>
      <w:r w:rsidR="009747AB">
        <w:rPr>
          <w:rFonts w:asciiTheme="minorHAnsi" w:hAnsiTheme="minorHAnsi" w:cstheme="minorHAnsi"/>
          <w:szCs w:val="24"/>
        </w:rPr>
        <w:t xml:space="preserve"> behaviors </w:t>
      </w:r>
      <w:r w:rsidR="00EC0237">
        <w:rPr>
          <w:rFonts w:asciiTheme="minorHAnsi" w:hAnsiTheme="minorHAnsi" w:cstheme="minorHAnsi"/>
          <w:szCs w:val="24"/>
        </w:rPr>
        <w:t xml:space="preserve">that preclude  them from </w:t>
      </w:r>
      <w:r w:rsidR="00EC0237" w:rsidRPr="00EC0237">
        <w:rPr>
          <w:rFonts w:asciiTheme="minorHAnsi" w:hAnsiTheme="minorHAnsi" w:cstheme="minorHAnsi"/>
          <w:szCs w:val="24"/>
        </w:rPr>
        <w:t>participat</w:t>
      </w:r>
      <w:r w:rsidR="00F74C02">
        <w:rPr>
          <w:rFonts w:asciiTheme="minorHAnsi" w:hAnsiTheme="minorHAnsi" w:cstheme="minorHAnsi"/>
          <w:szCs w:val="24"/>
        </w:rPr>
        <w:t>ing</w:t>
      </w:r>
      <w:r w:rsidR="00EC0237" w:rsidRPr="00EC0237">
        <w:rPr>
          <w:rFonts w:asciiTheme="minorHAnsi" w:hAnsiTheme="minorHAnsi" w:cstheme="minorHAnsi"/>
          <w:szCs w:val="24"/>
        </w:rPr>
        <w:t xml:space="preserve"> </w:t>
      </w:r>
      <w:r w:rsidR="00F74C02">
        <w:rPr>
          <w:rFonts w:asciiTheme="minorHAnsi" w:hAnsiTheme="minorHAnsi" w:cstheme="minorHAnsi"/>
          <w:szCs w:val="24"/>
        </w:rPr>
        <w:t xml:space="preserve">in </w:t>
      </w:r>
      <w:r w:rsidR="00EC0237" w:rsidRPr="00EC0237">
        <w:rPr>
          <w:rFonts w:asciiTheme="minorHAnsi" w:hAnsiTheme="minorHAnsi" w:cstheme="minorHAnsi"/>
          <w:szCs w:val="24"/>
        </w:rPr>
        <w:t>or cooperat</w:t>
      </w:r>
      <w:r w:rsidR="00F74C02">
        <w:rPr>
          <w:rFonts w:asciiTheme="minorHAnsi" w:hAnsiTheme="minorHAnsi" w:cstheme="minorHAnsi"/>
          <w:szCs w:val="24"/>
        </w:rPr>
        <w:t>ing</w:t>
      </w:r>
      <w:r w:rsidR="000F228E">
        <w:rPr>
          <w:rFonts w:asciiTheme="minorHAnsi" w:hAnsiTheme="minorHAnsi" w:cstheme="minorHAnsi"/>
          <w:szCs w:val="24"/>
        </w:rPr>
        <w:t xml:space="preserve"> </w:t>
      </w:r>
      <w:r w:rsidR="00F74C02">
        <w:rPr>
          <w:rFonts w:asciiTheme="minorHAnsi" w:hAnsiTheme="minorHAnsi" w:cstheme="minorHAnsi"/>
          <w:szCs w:val="24"/>
        </w:rPr>
        <w:t>during the</w:t>
      </w:r>
      <w:r w:rsidR="00EC0237" w:rsidRPr="00EC0237">
        <w:rPr>
          <w:rFonts w:asciiTheme="minorHAnsi" w:hAnsiTheme="minorHAnsi" w:cstheme="minorHAnsi"/>
          <w:szCs w:val="24"/>
        </w:rPr>
        <w:t xml:space="preserve"> receipt of needed treatment</w:t>
      </w:r>
      <w:r w:rsidR="00EC0237">
        <w:rPr>
          <w:rFonts w:asciiTheme="minorHAnsi" w:hAnsiTheme="minorHAnsi" w:cstheme="minorHAnsi"/>
          <w:szCs w:val="24"/>
        </w:rPr>
        <w:t xml:space="preserve">, thus requiring </w:t>
      </w:r>
      <w:r w:rsidR="00EC0237" w:rsidRPr="00EC0237">
        <w:rPr>
          <w:rFonts w:asciiTheme="minorHAnsi" w:hAnsiTheme="minorHAnsi" w:cstheme="minorHAnsi"/>
          <w:szCs w:val="24"/>
        </w:rPr>
        <w:t xml:space="preserve">sedation or </w:t>
      </w:r>
      <w:r w:rsidR="00EC0237">
        <w:rPr>
          <w:rFonts w:asciiTheme="minorHAnsi" w:hAnsiTheme="minorHAnsi" w:cstheme="minorHAnsi"/>
          <w:szCs w:val="24"/>
        </w:rPr>
        <w:t xml:space="preserve">general anesthesia </w:t>
      </w:r>
      <w:r w:rsidR="00EC0237" w:rsidRPr="00EC0237">
        <w:rPr>
          <w:rFonts w:asciiTheme="minorHAnsi" w:hAnsiTheme="minorHAnsi" w:cstheme="minorHAnsi"/>
          <w:szCs w:val="24"/>
        </w:rPr>
        <w:t>to render medically necessary care.</w:t>
      </w:r>
      <w:r w:rsidR="00EC0237">
        <w:rPr>
          <w:rStyle w:val="FootnoteReference"/>
          <w:rFonts w:asciiTheme="minorHAnsi" w:hAnsiTheme="minorHAnsi" w:cstheme="minorHAnsi"/>
          <w:szCs w:val="24"/>
        </w:rPr>
        <w:footnoteReference w:id="22"/>
      </w:r>
      <w:r>
        <w:rPr>
          <w:rFonts w:asciiTheme="minorHAnsi" w:hAnsiTheme="minorHAnsi" w:cstheme="minorHAnsi"/>
          <w:szCs w:val="24"/>
        </w:rPr>
        <w:t xml:space="preserve">  </w:t>
      </w:r>
      <w:r w:rsidR="00EC0237">
        <w:rPr>
          <w:rFonts w:asciiTheme="minorHAnsi" w:hAnsiTheme="minorHAnsi" w:cstheme="minorHAnsi"/>
          <w:szCs w:val="24"/>
        </w:rPr>
        <w:t xml:space="preserve">There is also a </w:t>
      </w:r>
      <w:r w:rsidR="00EC0237" w:rsidRPr="00EC0237">
        <w:rPr>
          <w:rFonts w:asciiTheme="minorHAnsi" w:hAnsiTheme="minorHAnsi" w:cstheme="minorHAnsi"/>
          <w:szCs w:val="24"/>
        </w:rPr>
        <w:t>lack of access to providers</w:t>
      </w:r>
      <w:r w:rsidR="00EC0237">
        <w:rPr>
          <w:rFonts w:asciiTheme="minorHAnsi" w:hAnsiTheme="minorHAnsi" w:cstheme="minorHAnsi"/>
          <w:szCs w:val="24"/>
        </w:rPr>
        <w:t xml:space="preserve"> for </w:t>
      </w:r>
      <w:r w:rsidR="00EC0237" w:rsidRPr="00EC0237">
        <w:rPr>
          <w:rFonts w:asciiTheme="minorHAnsi" w:hAnsiTheme="minorHAnsi" w:cstheme="minorHAnsi"/>
          <w:szCs w:val="24"/>
        </w:rPr>
        <w:t>this population despite being eligible for Medicaid.</w:t>
      </w:r>
      <w:r w:rsidR="00EC0237">
        <w:rPr>
          <w:rStyle w:val="FootnoteReference"/>
          <w:rFonts w:asciiTheme="minorHAnsi" w:hAnsiTheme="minorHAnsi" w:cstheme="minorHAnsi"/>
          <w:szCs w:val="24"/>
        </w:rPr>
        <w:footnoteReference w:id="23"/>
      </w:r>
      <w:r w:rsidR="00EC0237">
        <w:rPr>
          <w:rFonts w:asciiTheme="minorHAnsi" w:hAnsiTheme="minorHAnsi" w:cstheme="minorHAnsi"/>
          <w:szCs w:val="24"/>
        </w:rPr>
        <w:t xml:space="preserve">  </w:t>
      </w:r>
      <w:r>
        <w:rPr>
          <w:rFonts w:asciiTheme="minorHAnsi" w:hAnsiTheme="minorHAnsi" w:cstheme="minorHAnsi"/>
          <w:szCs w:val="24"/>
        </w:rPr>
        <w:t xml:space="preserve"> This population often has di</w:t>
      </w:r>
      <w:r w:rsidRPr="00773F01">
        <w:rPr>
          <w:rFonts w:asciiTheme="minorHAnsi" w:hAnsiTheme="minorHAnsi" w:cstheme="minorHAnsi"/>
          <w:szCs w:val="24"/>
        </w:rPr>
        <w:t xml:space="preserve">fficulty finding facilities and anesthesia providers who are comfortable caring for </w:t>
      </w:r>
      <w:r>
        <w:rPr>
          <w:rFonts w:asciiTheme="minorHAnsi" w:hAnsiTheme="minorHAnsi" w:cstheme="minorHAnsi"/>
          <w:szCs w:val="24"/>
        </w:rPr>
        <w:t>this population and operating room time can be scarce</w:t>
      </w:r>
      <w:r w:rsidRPr="00773F01">
        <w:rPr>
          <w:rFonts w:asciiTheme="minorHAnsi" w:hAnsiTheme="minorHAnsi" w:cstheme="minorHAnsi"/>
          <w:szCs w:val="24"/>
        </w:rPr>
        <w:t>.</w:t>
      </w:r>
      <w:r>
        <w:rPr>
          <w:rStyle w:val="FootnoteReference"/>
          <w:rFonts w:asciiTheme="minorHAnsi" w:hAnsiTheme="minorHAnsi" w:cstheme="minorHAnsi"/>
          <w:szCs w:val="24"/>
        </w:rPr>
        <w:footnoteReference w:id="24"/>
      </w:r>
      <w:r w:rsidRPr="00773F01">
        <w:rPr>
          <w:rFonts w:asciiTheme="minorHAnsi" w:hAnsiTheme="minorHAnsi" w:cstheme="minorHAnsi"/>
          <w:szCs w:val="24"/>
          <w:vertAlign w:val="superscript"/>
        </w:rPr>
        <w:t> </w:t>
      </w:r>
      <w:r w:rsidR="000C5130">
        <w:rPr>
          <w:rFonts w:asciiTheme="minorHAnsi" w:hAnsiTheme="minorHAnsi" w:cstheme="minorHAnsi"/>
          <w:szCs w:val="24"/>
        </w:rPr>
        <w:t xml:space="preserve"> There are a number of individual considerations that need to be taken into account when serving this population, but a 2</w:t>
      </w:r>
      <w:r w:rsidR="009747AB">
        <w:rPr>
          <w:rFonts w:asciiTheme="minorHAnsi" w:hAnsiTheme="minorHAnsi" w:cstheme="minorHAnsi"/>
          <w:szCs w:val="24"/>
        </w:rPr>
        <w:t>024 study found that there are</w:t>
      </w:r>
      <w:r w:rsidR="009747AB" w:rsidRPr="009747AB">
        <w:rPr>
          <w:rFonts w:asciiTheme="minorHAnsi" w:hAnsiTheme="minorHAnsi" w:cstheme="minorHAnsi"/>
          <w:szCs w:val="24"/>
        </w:rPr>
        <w:t xml:space="preserve"> significant postoperative improvement</w:t>
      </w:r>
      <w:r w:rsidR="00F74C02">
        <w:rPr>
          <w:rFonts w:asciiTheme="minorHAnsi" w:hAnsiTheme="minorHAnsi" w:cstheme="minorHAnsi"/>
          <w:szCs w:val="24"/>
        </w:rPr>
        <w:t>s</w:t>
      </w:r>
      <w:r w:rsidR="009747AB" w:rsidRPr="009747AB">
        <w:rPr>
          <w:rFonts w:asciiTheme="minorHAnsi" w:hAnsiTheme="minorHAnsi" w:cstheme="minorHAnsi"/>
          <w:szCs w:val="24"/>
        </w:rPr>
        <w:t xml:space="preserve"> in oral health-related quality of life</w:t>
      </w:r>
      <w:r w:rsidR="00F74C02">
        <w:rPr>
          <w:rFonts w:asciiTheme="minorHAnsi" w:hAnsiTheme="minorHAnsi" w:cstheme="minorHAnsi"/>
          <w:szCs w:val="24"/>
        </w:rPr>
        <w:t xml:space="preserve"> </w:t>
      </w:r>
      <w:r w:rsidR="00F74C02">
        <w:rPr>
          <w:rFonts w:asciiTheme="minorHAnsi" w:hAnsiTheme="minorHAnsi" w:cstheme="minorHAnsi"/>
          <w:szCs w:val="24"/>
        </w:rPr>
        <w:lastRenderedPageBreak/>
        <w:t>measures</w:t>
      </w:r>
      <w:r w:rsidR="009747AB" w:rsidRPr="009747AB">
        <w:rPr>
          <w:rFonts w:asciiTheme="minorHAnsi" w:hAnsiTheme="minorHAnsi" w:cstheme="minorHAnsi"/>
          <w:szCs w:val="24"/>
        </w:rPr>
        <w:t xml:space="preserve"> for </w:t>
      </w:r>
      <w:r w:rsidR="00F74C02">
        <w:rPr>
          <w:rFonts w:asciiTheme="minorHAnsi" w:hAnsiTheme="minorHAnsi" w:cstheme="minorHAnsi"/>
          <w:szCs w:val="24"/>
        </w:rPr>
        <w:t xml:space="preserve">the </w:t>
      </w:r>
      <w:r w:rsidR="009747AB">
        <w:rPr>
          <w:rFonts w:asciiTheme="minorHAnsi" w:hAnsiTheme="minorHAnsi" w:cstheme="minorHAnsi"/>
          <w:szCs w:val="24"/>
        </w:rPr>
        <w:t>special needs population who are able to get care under sedation or general anesthesia.</w:t>
      </w:r>
      <w:r w:rsidR="009747AB">
        <w:rPr>
          <w:rStyle w:val="FootnoteReference"/>
          <w:rFonts w:asciiTheme="minorHAnsi" w:hAnsiTheme="minorHAnsi" w:cstheme="minorHAnsi"/>
          <w:szCs w:val="24"/>
        </w:rPr>
        <w:footnoteReference w:id="25"/>
      </w:r>
    </w:p>
    <w:p w14:paraId="1BEF79FB" w14:textId="77777777" w:rsidR="0051356D" w:rsidRPr="002E6823" w:rsidRDefault="0051356D" w:rsidP="00FB3129">
      <w:pPr>
        <w:pStyle w:val="Heading4"/>
      </w:pPr>
      <w:r w:rsidRPr="002E6823">
        <w:t xml:space="preserve">Determining Need for High Acuity Surgical Services Due to Capacity </w:t>
      </w:r>
    </w:p>
    <w:p w14:paraId="4D2755C5" w14:textId="4108B6BB" w:rsidR="0051356D" w:rsidRDefault="0051356D" w:rsidP="0008336C">
      <w:pPr>
        <w:autoSpaceDE w:val="0"/>
        <w:autoSpaceDN w:val="0"/>
        <w:adjustRightInd w:val="0"/>
        <w:jc w:val="both"/>
        <w:rPr>
          <w:rFonts w:asciiTheme="minorHAnsi" w:hAnsiTheme="minorHAnsi" w:cstheme="minorHAnsi"/>
          <w:szCs w:val="24"/>
        </w:rPr>
      </w:pPr>
      <w:r w:rsidRPr="00990FC7">
        <w:rPr>
          <w:rFonts w:asciiTheme="minorHAnsi" w:hAnsiTheme="minorHAnsi" w:cstheme="minorHAnsi"/>
          <w:szCs w:val="24"/>
        </w:rPr>
        <w:t>Dental services are a mandatory Medicaid benefit for children; however, historically, many states, including Massachusetts, have encountered challenges attracting and enrolling a sufficient number of dental providers to meet the needs of members.</w:t>
      </w:r>
      <w:r>
        <w:rPr>
          <w:rStyle w:val="FootnoteReference"/>
          <w:rFonts w:asciiTheme="minorHAnsi" w:hAnsiTheme="minorHAnsi" w:cstheme="minorHAnsi"/>
          <w:szCs w:val="24"/>
        </w:rPr>
        <w:footnoteReference w:id="26"/>
      </w:r>
      <w:r w:rsidRPr="00990FC7">
        <w:rPr>
          <w:rFonts w:asciiTheme="minorHAnsi" w:hAnsiTheme="minorHAnsi" w:cstheme="minorHAnsi"/>
          <w:szCs w:val="24"/>
        </w:rPr>
        <w:t xml:space="preserve">  </w:t>
      </w:r>
      <w:r>
        <w:rPr>
          <w:rFonts w:asciiTheme="minorHAnsi" w:hAnsiTheme="minorHAnsi" w:cstheme="minorHAnsi"/>
          <w:szCs w:val="24"/>
        </w:rPr>
        <w:t xml:space="preserve"> </w:t>
      </w:r>
      <w:r w:rsidRPr="00717F52">
        <w:rPr>
          <w:rFonts w:asciiTheme="minorHAnsi" w:hAnsiTheme="minorHAnsi" w:cstheme="minorHAnsi"/>
          <w:szCs w:val="24"/>
        </w:rPr>
        <w:t>The HPC has consistently identified that access to oral health care continues to be a challenge for many Massachusetts residents.</w:t>
      </w:r>
      <w:r>
        <w:rPr>
          <w:rStyle w:val="FootnoteReference"/>
          <w:rFonts w:asciiTheme="minorHAnsi" w:hAnsiTheme="minorHAnsi" w:cstheme="minorHAnsi"/>
          <w:szCs w:val="24"/>
        </w:rPr>
        <w:footnoteReference w:id="27"/>
      </w:r>
      <w:r w:rsidR="004B4CCC" w:rsidRPr="004B4CCC">
        <w:rPr>
          <w:rFonts w:asciiTheme="minorHAnsi" w:hAnsiTheme="minorHAnsi" w:cstheme="minorHAnsi"/>
          <w:szCs w:val="24"/>
          <w:vertAlign w:val="superscript"/>
        </w:rPr>
        <w:t>,</w:t>
      </w:r>
      <w:r w:rsidR="004B4CCC">
        <w:rPr>
          <w:rStyle w:val="FootnoteReference"/>
          <w:rFonts w:asciiTheme="minorHAnsi" w:hAnsiTheme="minorHAnsi" w:cstheme="minorHAnsi"/>
          <w:szCs w:val="24"/>
        </w:rPr>
        <w:footnoteReference w:id="28"/>
      </w:r>
      <w:r w:rsidRPr="00717F52">
        <w:rPr>
          <w:rFonts w:asciiTheme="minorHAnsi" w:hAnsiTheme="minorHAnsi" w:cstheme="minorHAnsi"/>
          <w:szCs w:val="24"/>
        </w:rPr>
        <w:t xml:space="preserve"> </w:t>
      </w:r>
      <w:r>
        <w:rPr>
          <w:rFonts w:asciiTheme="minorHAnsi" w:hAnsiTheme="minorHAnsi" w:cstheme="minorHAnsi"/>
          <w:szCs w:val="24"/>
        </w:rPr>
        <w:t xml:space="preserve">  </w:t>
      </w:r>
      <w:r w:rsidRPr="009378D0">
        <w:rPr>
          <w:rFonts w:asciiTheme="minorHAnsi" w:hAnsiTheme="minorHAnsi" w:cstheme="minorHAnsi"/>
          <w:szCs w:val="24"/>
        </w:rPr>
        <w:t>In 2021, the HPC reported that less than 50</w:t>
      </w:r>
      <w:r w:rsidR="00CC1FB5" w:rsidRPr="00CC1FB5">
        <w:rPr>
          <w:rFonts w:asciiTheme="minorHAnsi" w:hAnsiTheme="minorHAnsi" w:cstheme="minorHAnsi"/>
          <w:szCs w:val="24"/>
        </w:rPr>
        <w:t xml:space="preserve"> </w:t>
      </w:r>
      <w:r w:rsidR="00CC1FB5">
        <w:rPr>
          <w:rFonts w:asciiTheme="minorHAnsi" w:hAnsiTheme="minorHAnsi" w:cstheme="minorHAnsi"/>
          <w:szCs w:val="24"/>
        </w:rPr>
        <w:t>percent</w:t>
      </w:r>
      <w:r w:rsidRPr="009378D0">
        <w:rPr>
          <w:rFonts w:asciiTheme="minorHAnsi" w:hAnsiTheme="minorHAnsi" w:cstheme="minorHAnsi"/>
          <w:szCs w:val="24"/>
        </w:rPr>
        <w:t xml:space="preserve"> of Massachusetts dentist accept MassHealth.</w:t>
      </w:r>
      <w:r>
        <w:rPr>
          <w:rStyle w:val="FootnoteReference"/>
          <w:rFonts w:asciiTheme="minorHAnsi" w:hAnsiTheme="minorHAnsi" w:cstheme="minorHAnsi"/>
          <w:szCs w:val="24"/>
        </w:rPr>
        <w:footnoteReference w:id="29"/>
      </w:r>
      <w:r w:rsidRPr="009378D0">
        <w:rPr>
          <w:rFonts w:asciiTheme="minorHAnsi" w:hAnsiTheme="minorHAnsi" w:cstheme="minorHAnsi"/>
          <w:szCs w:val="24"/>
        </w:rPr>
        <w:t xml:space="preserve"> </w:t>
      </w:r>
      <w:r w:rsidR="002E6823">
        <w:rPr>
          <w:rFonts w:asciiTheme="minorHAnsi" w:hAnsiTheme="minorHAnsi" w:cstheme="minorHAnsi"/>
          <w:szCs w:val="24"/>
        </w:rPr>
        <w:t xml:space="preserve"> That same year, the HPC </w:t>
      </w:r>
      <w:r w:rsidR="00F74C02">
        <w:rPr>
          <w:rFonts w:asciiTheme="minorHAnsi" w:hAnsiTheme="minorHAnsi" w:cstheme="minorHAnsi"/>
          <w:szCs w:val="24"/>
        </w:rPr>
        <w:t xml:space="preserve">also </w:t>
      </w:r>
      <w:r w:rsidR="002E6823">
        <w:rPr>
          <w:rFonts w:asciiTheme="minorHAnsi" w:hAnsiTheme="minorHAnsi" w:cstheme="minorHAnsi"/>
          <w:szCs w:val="24"/>
        </w:rPr>
        <w:t xml:space="preserve">identified that </w:t>
      </w:r>
      <w:r w:rsidR="00F74C02">
        <w:rPr>
          <w:rFonts w:asciiTheme="minorHAnsi" w:hAnsiTheme="minorHAnsi" w:cstheme="minorHAnsi"/>
          <w:szCs w:val="24"/>
        </w:rPr>
        <w:t xml:space="preserve">not only </w:t>
      </w:r>
      <w:r w:rsidR="002E6823">
        <w:rPr>
          <w:rFonts w:asciiTheme="minorHAnsi" w:hAnsiTheme="minorHAnsi" w:cstheme="minorHAnsi"/>
          <w:szCs w:val="24"/>
        </w:rPr>
        <w:t>are a significant number of non-traumatic dental conditions result</w:t>
      </w:r>
      <w:r w:rsidR="00F74C02">
        <w:rPr>
          <w:rFonts w:asciiTheme="minorHAnsi" w:hAnsiTheme="minorHAnsi" w:cstheme="minorHAnsi"/>
          <w:szCs w:val="24"/>
        </w:rPr>
        <w:t>ing</w:t>
      </w:r>
      <w:r w:rsidR="002E6823">
        <w:rPr>
          <w:rFonts w:asciiTheme="minorHAnsi" w:hAnsiTheme="minorHAnsi" w:cstheme="minorHAnsi"/>
          <w:szCs w:val="24"/>
        </w:rPr>
        <w:t xml:space="preserve"> in oral health emergency room visits</w:t>
      </w:r>
      <w:r w:rsidR="00F74C02">
        <w:rPr>
          <w:rFonts w:asciiTheme="minorHAnsi" w:hAnsiTheme="minorHAnsi" w:cstheme="minorHAnsi"/>
          <w:szCs w:val="24"/>
        </w:rPr>
        <w:t>, but also</w:t>
      </w:r>
      <w:r w:rsidR="002E6823">
        <w:rPr>
          <w:rFonts w:asciiTheme="minorHAnsi" w:hAnsiTheme="minorHAnsi" w:cstheme="minorHAnsi"/>
          <w:szCs w:val="24"/>
        </w:rPr>
        <w:t xml:space="preserve"> that the data suggests </w:t>
      </w:r>
      <w:r w:rsidR="00F74C02">
        <w:rPr>
          <w:rFonts w:asciiTheme="minorHAnsi" w:hAnsiTheme="minorHAnsi" w:cstheme="minorHAnsi"/>
          <w:szCs w:val="24"/>
        </w:rPr>
        <w:t>the existence of</w:t>
      </w:r>
      <w:r w:rsidR="002E6823">
        <w:rPr>
          <w:rFonts w:asciiTheme="minorHAnsi" w:hAnsiTheme="minorHAnsi" w:cstheme="minorHAnsi"/>
          <w:szCs w:val="24"/>
        </w:rPr>
        <w:t xml:space="preserve"> disparities in access to preventative care and treatment for dental conditions .</w:t>
      </w:r>
      <w:r w:rsidR="002E6823">
        <w:rPr>
          <w:rStyle w:val="FootnoteReference"/>
          <w:rFonts w:asciiTheme="minorHAnsi" w:hAnsiTheme="minorHAnsi" w:cstheme="minorHAnsi"/>
          <w:szCs w:val="24"/>
        </w:rPr>
        <w:footnoteReference w:id="30"/>
      </w:r>
      <w:r w:rsidR="002E6823">
        <w:rPr>
          <w:rFonts w:asciiTheme="minorHAnsi" w:hAnsiTheme="minorHAnsi" w:cstheme="minorHAnsi"/>
          <w:szCs w:val="24"/>
        </w:rPr>
        <w:t xml:space="preserve">  </w:t>
      </w:r>
      <w:r>
        <w:rPr>
          <w:rFonts w:asciiTheme="minorHAnsi" w:hAnsiTheme="minorHAnsi" w:cstheme="minorHAnsi"/>
          <w:szCs w:val="24"/>
        </w:rPr>
        <w:t xml:space="preserve">  As of 2025, </w:t>
      </w:r>
      <w:r w:rsidR="004600DF">
        <w:rPr>
          <w:rFonts w:asciiTheme="minorHAnsi" w:hAnsiTheme="minorHAnsi" w:cstheme="minorHAnsi"/>
          <w:szCs w:val="24"/>
        </w:rPr>
        <w:t xml:space="preserve">based on the Applicant’s research </w:t>
      </w:r>
      <w:r>
        <w:rPr>
          <w:rFonts w:asciiTheme="minorHAnsi" w:hAnsiTheme="minorHAnsi" w:cstheme="minorHAnsi"/>
          <w:szCs w:val="24"/>
        </w:rPr>
        <w:t xml:space="preserve">there are only 71 pediatric dental offices  across the Commonwealth that accept MassHealth. </w:t>
      </w:r>
      <w:r w:rsidR="00F74C02">
        <w:rPr>
          <w:rFonts w:asciiTheme="minorHAnsi" w:hAnsiTheme="minorHAnsi" w:cstheme="minorHAnsi"/>
          <w:szCs w:val="24"/>
        </w:rPr>
        <w:t>Consequentially,</w:t>
      </w:r>
      <w:r w:rsidR="002916FD">
        <w:rPr>
          <w:rFonts w:asciiTheme="minorHAnsi" w:hAnsiTheme="minorHAnsi" w:cstheme="minorHAnsi"/>
          <w:szCs w:val="24"/>
        </w:rPr>
        <w:t xml:space="preserve"> </w:t>
      </w:r>
      <w:r w:rsidR="00905809">
        <w:rPr>
          <w:rFonts w:asciiTheme="minorHAnsi" w:hAnsiTheme="minorHAnsi" w:cstheme="minorHAnsi"/>
          <w:szCs w:val="24"/>
        </w:rPr>
        <w:t>MassHealth beneficiaries</w:t>
      </w:r>
      <w:r>
        <w:rPr>
          <w:rFonts w:asciiTheme="minorHAnsi" w:hAnsiTheme="minorHAnsi" w:cstheme="minorHAnsi"/>
          <w:szCs w:val="24"/>
        </w:rPr>
        <w:t xml:space="preserve"> often receive their dental care at </w:t>
      </w:r>
      <w:r w:rsidR="00211438">
        <w:rPr>
          <w:rFonts w:asciiTheme="minorHAnsi" w:hAnsiTheme="minorHAnsi" w:cstheme="minorHAnsi"/>
          <w:szCs w:val="24"/>
        </w:rPr>
        <w:t xml:space="preserve">FQHCs that </w:t>
      </w:r>
      <w:r>
        <w:rPr>
          <w:rFonts w:asciiTheme="minorHAnsi" w:hAnsiTheme="minorHAnsi" w:cstheme="minorHAnsi"/>
          <w:szCs w:val="24"/>
        </w:rPr>
        <w:t xml:space="preserve">have the same mission as the Applicant to serve the underserved and overlooked population. </w:t>
      </w:r>
    </w:p>
    <w:p w14:paraId="3C5245BD" w14:textId="265B06A2" w:rsidR="0051356D" w:rsidRDefault="0051356D" w:rsidP="0008336C">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The </w:t>
      </w:r>
      <w:r w:rsidR="00F10B65">
        <w:rPr>
          <w:rFonts w:asciiTheme="minorHAnsi" w:hAnsiTheme="minorHAnsi" w:cstheme="minorHAnsi"/>
          <w:szCs w:val="24"/>
        </w:rPr>
        <w:t xml:space="preserve">overarching </w:t>
      </w:r>
      <w:r>
        <w:rPr>
          <w:rFonts w:asciiTheme="minorHAnsi" w:hAnsiTheme="minorHAnsi" w:cstheme="minorHAnsi"/>
          <w:szCs w:val="24"/>
        </w:rPr>
        <w:t xml:space="preserve">need for access to High Acuity Dental Surgeries is further exemplified through MassHealth’s most recent Request for Responses (“RFR”) for a dental </w:t>
      </w:r>
      <w:r w:rsidR="00B54691">
        <w:rPr>
          <w:rFonts w:asciiTheme="minorHAnsi" w:hAnsiTheme="minorHAnsi" w:cstheme="minorHAnsi"/>
          <w:szCs w:val="24"/>
        </w:rPr>
        <w:t>third-party</w:t>
      </w:r>
      <w:r>
        <w:rPr>
          <w:rFonts w:asciiTheme="minorHAnsi" w:hAnsiTheme="minorHAnsi" w:cstheme="minorHAnsi"/>
          <w:szCs w:val="24"/>
        </w:rPr>
        <w:t xml:space="preserve"> administrator in which MassHealth sets forth its goals to increase access, improve patient satisfaction, and ensure that its member receive cost-effective, quality care</w:t>
      </w:r>
      <w:r>
        <w:rPr>
          <w:rStyle w:val="FootnoteReference"/>
          <w:rFonts w:asciiTheme="minorHAnsi" w:hAnsiTheme="minorHAnsi" w:cstheme="minorHAnsi"/>
          <w:szCs w:val="24"/>
        </w:rPr>
        <w:footnoteReference w:id="31"/>
      </w:r>
      <w:r w:rsidR="00A86A2B">
        <w:rPr>
          <w:rFonts w:asciiTheme="minorHAnsi" w:hAnsiTheme="minorHAnsi" w:cstheme="minorHAnsi"/>
          <w:szCs w:val="24"/>
        </w:rPr>
        <w:t xml:space="preserve">.   Through the Applicant’s research, they determined that there are only a handful of </w:t>
      </w:r>
      <w:r w:rsidR="004B4CCC">
        <w:rPr>
          <w:rFonts w:asciiTheme="minorHAnsi" w:hAnsiTheme="minorHAnsi" w:cstheme="minorHAnsi"/>
          <w:szCs w:val="24"/>
        </w:rPr>
        <w:t>h</w:t>
      </w:r>
      <w:r w:rsidR="00A86A2B">
        <w:rPr>
          <w:rFonts w:asciiTheme="minorHAnsi" w:hAnsiTheme="minorHAnsi" w:cstheme="minorHAnsi"/>
          <w:szCs w:val="24"/>
        </w:rPr>
        <w:t xml:space="preserve">ospitals </w:t>
      </w:r>
      <w:r w:rsidR="00F74C02">
        <w:rPr>
          <w:rFonts w:asciiTheme="minorHAnsi" w:hAnsiTheme="minorHAnsi" w:cstheme="minorHAnsi"/>
          <w:szCs w:val="24"/>
        </w:rPr>
        <w:t>with</w:t>
      </w:r>
      <w:r w:rsidR="00A86A2B">
        <w:rPr>
          <w:rFonts w:asciiTheme="minorHAnsi" w:hAnsiTheme="minorHAnsi" w:cstheme="minorHAnsi"/>
          <w:szCs w:val="24"/>
        </w:rPr>
        <w:t xml:space="preserve"> dentists on their medical staff who use their HOPDs to provide High Acuity Dental Surgeries.   Additionally, </w:t>
      </w:r>
      <w:r w:rsidR="004B4CCC">
        <w:rPr>
          <w:rFonts w:asciiTheme="minorHAnsi" w:hAnsiTheme="minorHAnsi" w:cstheme="minorHAnsi"/>
          <w:szCs w:val="24"/>
        </w:rPr>
        <w:t xml:space="preserve">there </w:t>
      </w:r>
      <w:r w:rsidR="00B54691">
        <w:rPr>
          <w:rFonts w:asciiTheme="minorHAnsi" w:hAnsiTheme="minorHAnsi" w:cstheme="minorHAnsi"/>
          <w:szCs w:val="24"/>
        </w:rPr>
        <w:t>are only</w:t>
      </w:r>
      <w:r w:rsidR="004B4CCC">
        <w:rPr>
          <w:rFonts w:asciiTheme="minorHAnsi" w:hAnsiTheme="minorHAnsi" w:cstheme="minorHAnsi"/>
          <w:szCs w:val="24"/>
        </w:rPr>
        <w:t xml:space="preserve"> </w:t>
      </w:r>
      <w:r w:rsidR="00A86A2B">
        <w:rPr>
          <w:rFonts w:asciiTheme="minorHAnsi" w:hAnsiTheme="minorHAnsi" w:cstheme="minorHAnsi"/>
          <w:szCs w:val="24"/>
        </w:rPr>
        <w:t xml:space="preserve">a few key pediatric dental offices </w:t>
      </w:r>
      <w:r w:rsidR="00F74C02">
        <w:rPr>
          <w:rFonts w:asciiTheme="minorHAnsi" w:hAnsiTheme="minorHAnsi" w:cstheme="minorHAnsi"/>
          <w:szCs w:val="24"/>
        </w:rPr>
        <w:t>with</w:t>
      </w:r>
      <w:r w:rsidR="00A86A2B">
        <w:rPr>
          <w:rFonts w:asciiTheme="minorHAnsi" w:hAnsiTheme="minorHAnsi" w:cstheme="minorHAnsi"/>
          <w:szCs w:val="24"/>
        </w:rPr>
        <w:t>in the Applicant’s PSA who perform High Acuity Dental Surgeries in their office</w:t>
      </w:r>
      <w:r w:rsidR="004B4CCC">
        <w:rPr>
          <w:rFonts w:asciiTheme="minorHAnsi" w:hAnsiTheme="minorHAnsi" w:cstheme="minorHAnsi"/>
          <w:szCs w:val="24"/>
        </w:rPr>
        <w:t xml:space="preserve"> and on average </w:t>
      </w:r>
      <w:r w:rsidR="00A86A2B">
        <w:rPr>
          <w:rFonts w:asciiTheme="minorHAnsi" w:hAnsiTheme="minorHAnsi" w:cstheme="minorHAnsi"/>
          <w:szCs w:val="24"/>
        </w:rPr>
        <w:t>most providers refer on average 2.5 cases to dentists who can perform the surgeries in a HOPD.</w:t>
      </w:r>
      <w:r w:rsidR="00A333BA">
        <w:rPr>
          <w:rFonts w:asciiTheme="minorHAnsi" w:hAnsiTheme="minorHAnsi" w:cstheme="minorHAnsi"/>
          <w:szCs w:val="24"/>
        </w:rPr>
        <w:t xml:space="preserve">  One reason for this may be that there are </w:t>
      </w:r>
      <w:r w:rsidR="00211438">
        <w:rPr>
          <w:rFonts w:asciiTheme="minorHAnsi" w:hAnsiTheme="minorHAnsi" w:cstheme="minorHAnsi"/>
          <w:szCs w:val="24"/>
        </w:rPr>
        <w:t>limited</w:t>
      </w:r>
      <w:r w:rsidR="00A333BA">
        <w:rPr>
          <w:rFonts w:asciiTheme="minorHAnsi" w:hAnsiTheme="minorHAnsi" w:cstheme="minorHAnsi"/>
          <w:szCs w:val="24"/>
        </w:rPr>
        <w:t xml:space="preserve"> mobile general anesthesiology groups</w:t>
      </w:r>
      <w:r w:rsidR="00751711">
        <w:rPr>
          <w:rFonts w:asciiTheme="minorHAnsi" w:hAnsiTheme="minorHAnsi" w:cstheme="minorHAnsi"/>
          <w:szCs w:val="24"/>
        </w:rPr>
        <w:t>;</w:t>
      </w:r>
      <w:r w:rsidR="000F228E">
        <w:rPr>
          <w:rFonts w:asciiTheme="minorHAnsi" w:hAnsiTheme="minorHAnsi" w:cstheme="minorHAnsi"/>
          <w:szCs w:val="24"/>
        </w:rPr>
        <w:t xml:space="preserve"> </w:t>
      </w:r>
      <w:r w:rsidR="00751711">
        <w:rPr>
          <w:rFonts w:asciiTheme="minorHAnsi" w:hAnsiTheme="minorHAnsi" w:cstheme="minorHAnsi"/>
          <w:szCs w:val="24"/>
        </w:rPr>
        <w:t>t</w:t>
      </w:r>
      <w:r w:rsidR="00A333BA">
        <w:rPr>
          <w:rFonts w:asciiTheme="minorHAnsi" w:hAnsiTheme="minorHAnsi" w:cstheme="minorHAnsi"/>
          <w:szCs w:val="24"/>
        </w:rPr>
        <w:t>he Applicant was able to identify</w:t>
      </w:r>
      <w:r w:rsidR="00751711">
        <w:rPr>
          <w:rFonts w:asciiTheme="minorHAnsi" w:hAnsiTheme="minorHAnsi" w:cstheme="minorHAnsi"/>
          <w:szCs w:val="24"/>
        </w:rPr>
        <w:t xml:space="preserve"> only</w:t>
      </w:r>
      <w:r w:rsidR="00A333BA">
        <w:rPr>
          <w:rFonts w:asciiTheme="minorHAnsi" w:hAnsiTheme="minorHAnsi" w:cstheme="minorHAnsi"/>
          <w:szCs w:val="24"/>
        </w:rPr>
        <w:t xml:space="preserve"> four mobile general anesthesiology groups</w:t>
      </w:r>
      <w:r w:rsidR="00A333BA">
        <w:rPr>
          <w:rStyle w:val="FootnoteReference"/>
          <w:rFonts w:asciiTheme="minorHAnsi" w:hAnsiTheme="minorHAnsi" w:cstheme="minorHAnsi"/>
          <w:szCs w:val="24"/>
        </w:rPr>
        <w:footnoteReference w:id="32"/>
      </w:r>
      <w:r w:rsidR="00A333BA">
        <w:rPr>
          <w:rFonts w:asciiTheme="minorHAnsi" w:hAnsiTheme="minorHAnsi" w:cstheme="minorHAnsi"/>
          <w:szCs w:val="24"/>
        </w:rPr>
        <w:t xml:space="preserve"> </w:t>
      </w:r>
      <w:r w:rsidR="00751711">
        <w:rPr>
          <w:rFonts w:asciiTheme="minorHAnsi" w:hAnsiTheme="minorHAnsi" w:cstheme="minorHAnsi"/>
          <w:szCs w:val="24"/>
        </w:rPr>
        <w:t>with</w:t>
      </w:r>
      <w:r w:rsidR="00A333BA">
        <w:rPr>
          <w:rFonts w:asciiTheme="minorHAnsi" w:hAnsiTheme="minorHAnsi" w:cstheme="minorHAnsi"/>
          <w:szCs w:val="24"/>
        </w:rPr>
        <w:t xml:space="preserve">in </w:t>
      </w:r>
      <w:r w:rsidR="00211438">
        <w:rPr>
          <w:rFonts w:asciiTheme="minorHAnsi" w:hAnsiTheme="minorHAnsi" w:cstheme="minorHAnsi"/>
          <w:szCs w:val="24"/>
        </w:rPr>
        <w:t>its</w:t>
      </w:r>
      <w:r w:rsidR="00A333BA">
        <w:rPr>
          <w:rFonts w:asciiTheme="minorHAnsi" w:hAnsiTheme="minorHAnsi" w:cstheme="minorHAnsi"/>
          <w:szCs w:val="24"/>
        </w:rPr>
        <w:t xml:space="preserve"> PSA</w:t>
      </w:r>
      <w:r w:rsidR="00751711">
        <w:rPr>
          <w:rFonts w:asciiTheme="minorHAnsi" w:hAnsiTheme="minorHAnsi" w:cstheme="minorHAnsi"/>
          <w:szCs w:val="24"/>
        </w:rPr>
        <w:t>,</w:t>
      </w:r>
      <w:r w:rsidR="00A333BA">
        <w:rPr>
          <w:rFonts w:asciiTheme="minorHAnsi" w:hAnsiTheme="minorHAnsi" w:cstheme="minorHAnsi"/>
          <w:szCs w:val="24"/>
        </w:rPr>
        <w:t xml:space="preserve"> of which </w:t>
      </w:r>
      <w:r w:rsidR="00751711">
        <w:rPr>
          <w:rFonts w:asciiTheme="minorHAnsi" w:hAnsiTheme="minorHAnsi" w:cstheme="minorHAnsi"/>
          <w:szCs w:val="24"/>
        </w:rPr>
        <w:t>despite thorough</w:t>
      </w:r>
      <w:r w:rsidR="00A333BA">
        <w:rPr>
          <w:rFonts w:asciiTheme="minorHAnsi" w:hAnsiTheme="minorHAnsi" w:cstheme="minorHAnsi"/>
          <w:szCs w:val="24"/>
        </w:rPr>
        <w:t xml:space="preserve"> diligence</w:t>
      </w:r>
      <w:r w:rsidR="00751711">
        <w:rPr>
          <w:rFonts w:asciiTheme="minorHAnsi" w:hAnsiTheme="minorHAnsi" w:cstheme="minorHAnsi"/>
          <w:szCs w:val="24"/>
        </w:rPr>
        <w:t>,</w:t>
      </w:r>
      <w:r w:rsidR="00A333BA">
        <w:rPr>
          <w:rFonts w:asciiTheme="minorHAnsi" w:hAnsiTheme="minorHAnsi" w:cstheme="minorHAnsi"/>
          <w:szCs w:val="24"/>
        </w:rPr>
        <w:t xml:space="preserve"> they could not obtain any information </w:t>
      </w:r>
      <w:r w:rsidR="00751711">
        <w:rPr>
          <w:rFonts w:asciiTheme="minorHAnsi" w:hAnsiTheme="minorHAnsi" w:cstheme="minorHAnsi"/>
          <w:szCs w:val="24"/>
        </w:rPr>
        <w:t>for</w:t>
      </w:r>
      <w:r w:rsidR="000F228E">
        <w:rPr>
          <w:rFonts w:asciiTheme="minorHAnsi" w:hAnsiTheme="minorHAnsi" w:cstheme="minorHAnsi"/>
          <w:szCs w:val="24"/>
        </w:rPr>
        <w:t xml:space="preserve"> </w:t>
      </w:r>
      <w:r w:rsidR="00A333BA">
        <w:rPr>
          <w:rFonts w:asciiTheme="minorHAnsi" w:hAnsiTheme="minorHAnsi" w:cstheme="minorHAnsi"/>
          <w:szCs w:val="24"/>
        </w:rPr>
        <w:t>2 of the</w:t>
      </w:r>
      <w:r w:rsidR="00751711">
        <w:rPr>
          <w:rFonts w:asciiTheme="minorHAnsi" w:hAnsiTheme="minorHAnsi" w:cstheme="minorHAnsi"/>
          <w:szCs w:val="24"/>
        </w:rPr>
        <w:t>se</w:t>
      </w:r>
      <w:r w:rsidR="00A333BA">
        <w:rPr>
          <w:rFonts w:asciiTheme="minorHAnsi" w:hAnsiTheme="minorHAnsi" w:cstheme="minorHAnsi"/>
          <w:szCs w:val="24"/>
        </w:rPr>
        <w:t xml:space="preserve"> 4 groups</w:t>
      </w:r>
      <w:r w:rsidR="009F59DD">
        <w:rPr>
          <w:rFonts w:asciiTheme="minorHAnsi" w:hAnsiTheme="minorHAnsi" w:cstheme="minorHAnsi"/>
          <w:szCs w:val="24"/>
        </w:rPr>
        <w:t xml:space="preserve"> and could only confirm that 1 participates in </w:t>
      </w:r>
      <w:r w:rsidR="009F59DD">
        <w:rPr>
          <w:rFonts w:asciiTheme="minorHAnsi" w:hAnsiTheme="minorHAnsi" w:cstheme="minorHAnsi"/>
          <w:szCs w:val="24"/>
        </w:rPr>
        <w:lastRenderedPageBreak/>
        <w:t>MassHealth.</w:t>
      </w:r>
      <w:r w:rsidR="00A333BA">
        <w:rPr>
          <w:rFonts w:asciiTheme="minorHAnsi" w:hAnsiTheme="minorHAnsi" w:cstheme="minorHAnsi"/>
          <w:szCs w:val="24"/>
        </w:rPr>
        <w:t xml:space="preserve"> Of the two groups that had available information, they learned that one group had 3 individual providers and the other only had 1 individual provider. </w:t>
      </w:r>
    </w:p>
    <w:p w14:paraId="06CC88C4" w14:textId="0FB67361" w:rsidR="00F10B65" w:rsidRDefault="005635BE" w:rsidP="0008336C">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When </w:t>
      </w:r>
      <w:r w:rsidR="00F10B65">
        <w:rPr>
          <w:rFonts w:asciiTheme="minorHAnsi" w:hAnsiTheme="minorHAnsi" w:cstheme="minorHAnsi"/>
          <w:szCs w:val="24"/>
        </w:rPr>
        <w:t>Chartis</w:t>
      </w:r>
      <w:r>
        <w:rPr>
          <w:rFonts w:asciiTheme="minorHAnsi" w:hAnsiTheme="minorHAnsi" w:cstheme="minorHAnsi"/>
          <w:szCs w:val="24"/>
        </w:rPr>
        <w:t xml:space="preserve"> </w:t>
      </w:r>
      <w:r w:rsidR="00F10B65">
        <w:rPr>
          <w:rFonts w:asciiTheme="minorHAnsi" w:hAnsiTheme="minorHAnsi" w:cstheme="minorHAnsi"/>
          <w:szCs w:val="24"/>
        </w:rPr>
        <w:t>projected need</w:t>
      </w:r>
      <w:r w:rsidR="00751711">
        <w:rPr>
          <w:rFonts w:asciiTheme="minorHAnsi" w:hAnsiTheme="minorHAnsi" w:cstheme="minorHAnsi"/>
          <w:szCs w:val="24"/>
        </w:rPr>
        <w:t xml:space="preserve">, </w:t>
      </w:r>
      <w:r w:rsidR="00F10B65">
        <w:rPr>
          <w:rFonts w:asciiTheme="minorHAnsi" w:hAnsiTheme="minorHAnsi" w:cstheme="minorHAnsi"/>
          <w:szCs w:val="24"/>
        </w:rPr>
        <w:t>based on the Claims Data for Category 2</w:t>
      </w:r>
      <w:r w:rsidR="00751711">
        <w:rPr>
          <w:rFonts w:asciiTheme="minorHAnsi" w:hAnsiTheme="minorHAnsi" w:cstheme="minorHAnsi"/>
          <w:szCs w:val="24"/>
        </w:rPr>
        <w:t xml:space="preserve"> (</w:t>
      </w:r>
      <w:r w:rsidR="00F10B65">
        <w:rPr>
          <w:rFonts w:asciiTheme="minorHAnsi" w:hAnsiTheme="minorHAnsi" w:cstheme="minorHAnsi"/>
          <w:szCs w:val="24"/>
        </w:rPr>
        <w:t>the Applicant’s PSA</w:t>
      </w:r>
      <w:r w:rsidR="00751711">
        <w:rPr>
          <w:rFonts w:asciiTheme="minorHAnsi" w:hAnsiTheme="minorHAnsi" w:cstheme="minorHAnsi"/>
          <w:szCs w:val="24"/>
        </w:rPr>
        <w:t>)</w:t>
      </w:r>
      <w:r>
        <w:rPr>
          <w:rFonts w:asciiTheme="minorHAnsi" w:hAnsiTheme="minorHAnsi" w:cstheme="minorHAnsi"/>
          <w:szCs w:val="24"/>
        </w:rPr>
        <w:t>, the analysis</w:t>
      </w:r>
      <w:r w:rsidR="00F10B65">
        <w:rPr>
          <w:rFonts w:asciiTheme="minorHAnsi" w:hAnsiTheme="minorHAnsi" w:cstheme="minorHAnsi"/>
          <w:szCs w:val="24"/>
        </w:rPr>
        <w:t xml:space="preserve"> </w:t>
      </w:r>
      <w:r w:rsidR="00751711">
        <w:rPr>
          <w:rFonts w:asciiTheme="minorHAnsi" w:hAnsiTheme="minorHAnsi" w:cstheme="minorHAnsi"/>
          <w:szCs w:val="24"/>
        </w:rPr>
        <w:t xml:space="preserve">showed </w:t>
      </w:r>
      <w:r>
        <w:rPr>
          <w:rFonts w:asciiTheme="minorHAnsi" w:hAnsiTheme="minorHAnsi" w:cstheme="minorHAnsi"/>
          <w:szCs w:val="24"/>
        </w:rPr>
        <w:t xml:space="preserve">no growth in volume with </w:t>
      </w:r>
      <w:r w:rsidR="00F10B65">
        <w:rPr>
          <w:rFonts w:asciiTheme="minorHAnsi" w:hAnsiTheme="minorHAnsi" w:cstheme="minorHAnsi"/>
          <w:szCs w:val="24"/>
        </w:rPr>
        <w:t>little variation</w:t>
      </w:r>
      <w:r>
        <w:rPr>
          <w:rFonts w:asciiTheme="minorHAnsi" w:hAnsiTheme="minorHAnsi" w:cstheme="minorHAnsi"/>
          <w:szCs w:val="24"/>
        </w:rPr>
        <w:t xml:space="preserve"> for all ages and payors</w:t>
      </w:r>
      <w:r w:rsidR="00F10B65">
        <w:rPr>
          <w:rFonts w:asciiTheme="minorHAnsi" w:hAnsiTheme="minorHAnsi" w:cstheme="minorHAnsi"/>
          <w:szCs w:val="24"/>
        </w:rPr>
        <w:t xml:space="preserve"> between 2024 and 2029.  </w:t>
      </w:r>
      <w:r w:rsidR="00F10B65" w:rsidRPr="00CF5761">
        <w:rPr>
          <w:rFonts w:asciiTheme="minorHAnsi" w:hAnsiTheme="minorHAnsi" w:cstheme="minorHAnsi"/>
          <w:szCs w:val="24"/>
        </w:rPr>
        <w:t xml:space="preserve">See Exhibit </w:t>
      </w:r>
      <w:r w:rsidR="004B4CCC" w:rsidRPr="00CF5761">
        <w:rPr>
          <w:rFonts w:asciiTheme="minorHAnsi" w:hAnsiTheme="minorHAnsi" w:cstheme="minorHAnsi"/>
          <w:szCs w:val="24"/>
        </w:rPr>
        <w:t>5</w:t>
      </w:r>
      <w:r w:rsidR="00F10B65">
        <w:rPr>
          <w:rFonts w:asciiTheme="minorHAnsi" w:hAnsiTheme="minorHAnsi" w:cstheme="minorHAnsi"/>
          <w:szCs w:val="24"/>
        </w:rPr>
        <w:t xml:space="preserve">.   </w:t>
      </w:r>
      <w:r w:rsidRPr="005635BE">
        <w:rPr>
          <w:rFonts w:asciiTheme="minorHAnsi" w:hAnsiTheme="minorHAnsi" w:cstheme="minorHAnsi"/>
          <w:szCs w:val="24"/>
        </w:rPr>
        <w:t>This consistent need could be indicative of a system already operating at maximum capacity, with additional access necessary.</w:t>
      </w:r>
    </w:p>
    <w:p w14:paraId="108FD3C9" w14:textId="02729D2E" w:rsidR="002638F7" w:rsidRDefault="00F15E73" w:rsidP="0008336C">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The Claims Data unfortunately did not include information on </w:t>
      </w:r>
      <w:proofErr w:type="gramStart"/>
      <w:r>
        <w:rPr>
          <w:rFonts w:asciiTheme="minorHAnsi" w:hAnsiTheme="minorHAnsi" w:cstheme="minorHAnsi"/>
          <w:szCs w:val="24"/>
        </w:rPr>
        <w:t>wait</w:t>
      </w:r>
      <w:proofErr w:type="gramEnd"/>
      <w:r>
        <w:rPr>
          <w:rFonts w:asciiTheme="minorHAnsi" w:hAnsiTheme="minorHAnsi" w:cstheme="minorHAnsi"/>
          <w:szCs w:val="24"/>
        </w:rPr>
        <w:t xml:space="preserve"> times.  The Applicant, however, was able to obtain analytic data on </w:t>
      </w:r>
      <w:proofErr w:type="gramStart"/>
      <w:r>
        <w:rPr>
          <w:rFonts w:asciiTheme="minorHAnsi" w:hAnsiTheme="minorHAnsi" w:cstheme="minorHAnsi"/>
          <w:szCs w:val="24"/>
        </w:rPr>
        <w:t>wait</w:t>
      </w:r>
      <w:proofErr w:type="gramEnd"/>
      <w:r>
        <w:rPr>
          <w:rFonts w:asciiTheme="minorHAnsi" w:hAnsiTheme="minorHAnsi" w:cstheme="minorHAnsi"/>
          <w:szCs w:val="24"/>
        </w:rPr>
        <w:t xml:space="preserve"> times through its own outreach</w:t>
      </w:r>
      <w:r w:rsidR="004B4CCC">
        <w:rPr>
          <w:rFonts w:asciiTheme="minorHAnsi" w:hAnsiTheme="minorHAnsi" w:cstheme="minorHAnsi"/>
          <w:szCs w:val="24"/>
        </w:rPr>
        <w:t xml:space="preserve"> to HOPDs and dental offices</w:t>
      </w:r>
      <w:r>
        <w:rPr>
          <w:rFonts w:asciiTheme="minorHAnsi" w:hAnsiTheme="minorHAnsi" w:cstheme="minorHAnsi"/>
          <w:szCs w:val="24"/>
        </w:rPr>
        <w:t xml:space="preserve">.   </w:t>
      </w:r>
      <w:r w:rsidR="00751711">
        <w:rPr>
          <w:rFonts w:asciiTheme="minorHAnsi" w:hAnsiTheme="minorHAnsi" w:cstheme="minorHAnsi"/>
          <w:szCs w:val="24"/>
        </w:rPr>
        <w:t>Through this outreach, the Applicant learned</w:t>
      </w:r>
      <w:r>
        <w:rPr>
          <w:rFonts w:asciiTheme="minorHAnsi" w:hAnsiTheme="minorHAnsi" w:cstheme="minorHAnsi"/>
          <w:szCs w:val="24"/>
        </w:rPr>
        <w:t xml:space="preserve"> that </w:t>
      </w:r>
      <w:r w:rsidR="00A86A2B">
        <w:rPr>
          <w:rFonts w:asciiTheme="minorHAnsi" w:hAnsiTheme="minorHAnsi" w:cstheme="minorHAnsi"/>
          <w:szCs w:val="24"/>
        </w:rPr>
        <w:t xml:space="preserve">there are </w:t>
      </w:r>
      <w:r w:rsidR="00751711">
        <w:rPr>
          <w:rFonts w:asciiTheme="minorHAnsi" w:hAnsiTheme="minorHAnsi" w:cstheme="minorHAnsi"/>
          <w:szCs w:val="24"/>
        </w:rPr>
        <w:t xml:space="preserve">consistently </w:t>
      </w:r>
      <w:r w:rsidR="00A86A2B">
        <w:rPr>
          <w:rFonts w:asciiTheme="minorHAnsi" w:hAnsiTheme="minorHAnsi" w:cstheme="minorHAnsi"/>
          <w:szCs w:val="24"/>
        </w:rPr>
        <w:t xml:space="preserve">long </w:t>
      </w:r>
      <w:proofErr w:type="gramStart"/>
      <w:r>
        <w:rPr>
          <w:rFonts w:asciiTheme="minorHAnsi" w:hAnsiTheme="minorHAnsi" w:cstheme="minorHAnsi"/>
          <w:szCs w:val="24"/>
        </w:rPr>
        <w:t>wait</w:t>
      </w:r>
      <w:proofErr w:type="gramEnd"/>
      <w:r>
        <w:rPr>
          <w:rFonts w:asciiTheme="minorHAnsi" w:hAnsiTheme="minorHAnsi" w:cstheme="minorHAnsi"/>
          <w:szCs w:val="24"/>
        </w:rPr>
        <w:t xml:space="preserve"> times for care at HOPD</w:t>
      </w:r>
      <w:r w:rsidR="00751711">
        <w:rPr>
          <w:rFonts w:asciiTheme="minorHAnsi" w:hAnsiTheme="minorHAnsi" w:cstheme="minorHAnsi"/>
          <w:szCs w:val="24"/>
        </w:rPr>
        <w:t>s,</w:t>
      </w:r>
      <w:r w:rsidR="005635BE">
        <w:rPr>
          <w:rFonts w:asciiTheme="minorHAnsi" w:hAnsiTheme="minorHAnsi" w:cstheme="minorHAnsi"/>
          <w:szCs w:val="24"/>
        </w:rPr>
        <w:t xml:space="preserve"> </w:t>
      </w:r>
      <w:r w:rsidR="00A86A2B">
        <w:rPr>
          <w:rFonts w:asciiTheme="minorHAnsi" w:hAnsiTheme="minorHAnsi" w:cstheme="minorHAnsi"/>
          <w:szCs w:val="24"/>
        </w:rPr>
        <w:t xml:space="preserve">with a wait time of </w:t>
      </w:r>
      <w:r w:rsidR="0014071D">
        <w:rPr>
          <w:rFonts w:asciiTheme="minorHAnsi" w:hAnsiTheme="minorHAnsi" w:cstheme="minorHAnsi"/>
          <w:szCs w:val="24"/>
        </w:rPr>
        <w:t>approximately 7</w:t>
      </w:r>
      <w:r w:rsidR="00A86A2B">
        <w:rPr>
          <w:rFonts w:asciiTheme="minorHAnsi" w:hAnsiTheme="minorHAnsi" w:cstheme="minorHAnsi"/>
          <w:szCs w:val="24"/>
        </w:rPr>
        <w:t xml:space="preserve"> months for the preliminary evaluation</w:t>
      </w:r>
      <w:r w:rsidR="00751711">
        <w:rPr>
          <w:rFonts w:asciiTheme="minorHAnsi" w:hAnsiTheme="minorHAnsi" w:cstheme="minorHAnsi"/>
          <w:szCs w:val="24"/>
        </w:rPr>
        <w:t>, followed by</w:t>
      </w:r>
      <w:r w:rsidR="00A86A2B">
        <w:rPr>
          <w:rFonts w:asciiTheme="minorHAnsi" w:hAnsiTheme="minorHAnsi" w:cstheme="minorHAnsi"/>
          <w:szCs w:val="24"/>
        </w:rPr>
        <w:t xml:space="preserve"> another 6-8 months for the surgery</w:t>
      </w:r>
      <w:r w:rsidR="00751711">
        <w:rPr>
          <w:rFonts w:asciiTheme="minorHAnsi" w:hAnsiTheme="minorHAnsi" w:cstheme="minorHAnsi"/>
          <w:szCs w:val="24"/>
        </w:rPr>
        <w:t xml:space="preserve"> itself</w:t>
      </w:r>
      <w:r w:rsidR="00A86A2B">
        <w:rPr>
          <w:rFonts w:asciiTheme="minorHAnsi" w:hAnsiTheme="minorHAnsi" w:cstheme="minorHAnsi"/>
          <w:szCs w:val="24"/>
        </w:rPr>
        <w:t xml:space="preserve">.   </w:t>
      </w:r>
      <w:r w:rsidR="00A333BA">
        <w:rPr>
          <w:rFonts w:asciiTheme="minorHAnsi" w:hAnsiTheme="minorHAnsi" w:cstheme="minorHAnsi"/>
          <w:szCs w:val="24"/>
        </w:rPr>
        <w:t xml:space="preserve">Because of the long-wait times, one could reasonably conclude that the Claims Data may be an under representation of the true need and </w:t>
      </w:r>
      <w:r w:rsidR="00751711">
        <w:rPr>
          <w:rFonts w:asciiTheme="minorHAnsi" w:hAnsiTheme="minorHAnsi" w:cstheme="minorHAnsi"/>
          <w:szCs w:val="24"/>
        </w:rPr>
        <w:t>that adding capacity</w:t>
      </w:r>
      <w:r w:rsidR="00A333BA">
        <w:rPr>
          <w:rFonts w:asciiTheme="minorHAnsi" w:hAnsiTheme="minorHAnsi" w:cstheme="minorHAnsi"/>
          <w:szCs w:val="24"/>
        </w:rPr>
        <w:t xml:space="preserve"> to the healthcare system </w:t>
      </w:r>
      <w:r w:rsidR="00751711">
        <w:rPr>
          <w:rFonts w:asciiTheme="minorHAnsi" w:hAnsiTheme="minorHAnsi" w:cstheme="minorHAnsi"/>
          <w:szCs w:val="24"/>
        </w:rPr>
        <w:t>could</w:t>
      </w:r>
      <w:r w:rsidR="00A333BA">
        <w:rPr>
          <w:rFonts w:asciiTheme="minorHAnsi" w:hAnsiTheme="minorHAnsi" w:cstheme="minorHAnsi"/>
          <w:szCs w:val="24"/>
        </w:rPr>
        <w:t xml:space="preserve"> ultimately </w:t>
      </w:r>
      <w:r w:rsidR="00751711">
        <w:rPr>
          <w:rFonts w:asciiTheme="minorHAnsi" w:hAnsiTheme="minorHAnsi" w:cstheme="minorHAnsi"/>
          <w:szCs w:val="24"/>
        </w:rPr>
        <w:t xml:space="preserve">lead </w:t>
      </w:r>
      <w:r w:rsidR="0014071D">
        <w:rPr>
          <w:rFonts w:asciiTheme="minorHAnsi" w:hAnsiTheme="minorHAnsi" w:cstheme="minorHAnsi"/>
          <w:szCs w:val="24"/>
        </w:rPr>
        <w:t>to more</w:t>
      </w:r>
      <w:r w:rsidR="00A333BA">
        <w:rPr>
          <w:rFonts w:asciiTheme="minorHAnsi" w:hAnsiTheme="minorHAnsi" w:cstheme="minorHAnsi"/>
          <w:szCs w:val="24"/>
        </w:rPr>
        <w:t xml:space="preserve"> pediatric and special needs patients getting the </w:t>
      </w:r>
      <w:r w:rsidR="004B4CCC">
        <w:rPr>
          <w:rFonts w:asciiTheme="minorHAnsi" w:hAnsiTheme="minorHAnsi" w:cstheme="minorHAnsi"/>
          <w:szCs w:val="24"/>
        </w:rPr>
        <w:t xml:space="preserve">timely </w:t>
      </w:r>
      <w:r w:rsidR="00A333BA">
        <w:rPr>
          <w:rFonts w:asciiTheme="minorHAnsi" w:hAnsiTheme="minorHAnsi" w:cstheme="minorHAnsi"/>
          <w:szCs w:val="24"/>
        </w:rPr>
        <w:t>care that they need to improve their health outcomes.</w:t>
      </w:r>
    </w:p>
    <w:p w14:paraId="4E6A905D" w14:textId="1D688115" w:rsidR="00F10B65" w:rsidRDefault="00F10B65" w:rsidP="0008336C">
      <w:pPr>
        <w:autoSpaceDE w:val="0"/>
        <w:autoSpaceDN w:val="0"/>
        <w:adjustRightInd w:val="0"/>
        <w:jc w:val="both"/>
        <w:rPr>
          <w:rFonts w:asciiTheme="minorHAnsi" w:hAnsiTheme="minorHAnsi" w:cstheme="minorHAnsi"/>
          <w:szCs w:val="24"/>
        </w:rPr>
      </w:pPr>
      <w:r>
        <w:rPr>
          <w:rFonts w:asciiTheme="minorHAnsi" w:hAnsiTheme="minorHAnsi" w:cstheme="minorHAnsi"/>
          <w:szCs w:val="24"/>
        </w:rPr>
        <w:t>Considering the large MassHealth pediatric population in the Applicant’s PSA, a system that shows no utilization growth year</w:t>
      </w:r>
      <w:r w:rsidR="00211438">
        <w:rPr>
          <w:rFonts w:asciiTheme="minorHAnsi" w:hAnsiTheme="minorHAnsi" w:cstheme="minorHAnsi"/>
          <w:szCs w:val="24"/>
        </w:rPr>
        <w:t>-</w:t>
      </w:r>
      <w:r>
        <w:rPr>
          <w:rFonts w:asciiTheme="minorHAnsi" w:hAnsiTheme="minorHAnsi" w:cstheme="minorHAnsi"/>
          <w:szCs w:val="24"/>
        </w:rPr>
        <w:t>over</w:t>
      </w:r>
      <w:r w:rsidR="00211438">
        <w:rPr>
          <w:rFonts w:asciiTheme="minorHAnsi" w:hAnsiTheme="minorHAnsi" w:cstheme="minorHAnsi"/>
          <w:szCs w:val="24"/>
        </w:rPr>
        <w:t>-</w:t>
      </w:r>
      <w:r>
        <w:rPr>
          <w:rFonts w:asciiTheme="minorHAnsi" w:hAnsiTheme="minorHAnsi" w:cstheme="minorHAnsi"/>
          <w:szCs w:val="24"/>
        </w:rPr>
        <w:t>year, and existing wait times, the Applicant</w:t>
      </w:r>
      <w:r w:rsidR="004B4CCC">
        <w:rPr>
          <w:rFonts w:asciiTheme="minorHAnsi" w:hAnsiTheme="minorHAnsi" w:cstheme="minorHAnsi"/>
          <w:szCs w:val="24"/>
        </w:rPr>
        <w:t xml:space="preserve"> projected the volume of the Center </w:t>
      </w:r>
      <w:r w:rsidR="006432AF">
        <w:rPr>
          <w:rFonts w:asciiTheme="minorHAnsi" w:hAnsiTheme="minorHAnsi" w:cstheme="minorHAnsi"/>
          <w:szCs w:val="24"/>
        </w:rPr>
        <w:t xml:space="preserve">using internal data and looking at </w:t>
      </w:r>
      <w:r w:rsidR="004B4CCC">
        <w:rPr>
          <w:rFonts w:asciiTheme="minorHAnsi" w:hAnsiTheme="minorHAnsi" w:cstheme="minorHAnsi"/>
          <w:szCs w:val="24"/>
        </w:rPr>
        <w:t xml:space="preserve">its </w:t>
      </w:r>
      <w:r w:rsidR="006432AF">
        <w:rPr>
          <w:rFonts w:asciiTheme="minorHAnsi" w:hAnsiTheme="minorHAnsi" w:cstheme="minorHAnsi"/>
          <w:szCs w:val="24"/>
        </w:rPr>
        <w:t>other start-up ASCs in similar metropolitan markets where the Applicant was the first ASC to offer the High Acuity Dental Services</w:t>
      </w:r>
      <w:r>
        <w:rPr>
          <w:rFonts w:asciiTheme="minorHAnsi" w:hAnsiTheme="minorHAnsi" w:cstheme="minorHAnsi"/>
          <w:szCs w:val="24"/>
        </w:rPr>
        <w:t xml:space="preserve">.  </w:t>
      </w:r>
      <w:r w:rsidR="00751711">
        <w:rPr>
          <w:rFonts w:asciiTheme="minorHAnsi" w:hAnsiTheme="minorHAnsi" w:cstheme="minorHAnsi"/>
          <w:szCs w:val="24"/>
        </w:rPr>
        <w:t>These projections indicate</w:t>
      </w:r>
      <w:r>
        <w:rPr>
          <w:rFonts w:asciiTheme="minorHAnsi" w:hAnsiTheme="minorHAnsi" w:cstheme="minorHAnsi"/>
          <w:szCs w:val="24"/>
        </w:rPr>
        <w:t xml:space="preserve"> that </w:t>
      </w:r>
      <w:r w:rsidR="00B45B23">
        <w:rPr>
          <w:rFonts w:asciiTheme="minorHAnsi" w:hAnsiTheme="minorHAnsi" w:cstheme="minorHAnsi"/>
          <w:szCs w:val="24"/>
        </w:rPr>
        <w:t xml:space="preserve">with the Proposed Project reaching full capacity at year 5 of </w:t>
      </w:r>
      <w:r w:rsidR="003A522B">
        <w:rPr>
          <w:rFonts w:asciiTheme="minorHAnsi" w:hAnsiTheme="minorHAnsi" w:cstheme="minorHAnsi"/>
          <w:szCs w:val="24"/>
        </w:rPr>
        <w:t>operations,</w:t>
      </w:r>
      <w:r w:rsidR="00B45B23">
        <w:rPr>
          <w:rFonts w:asciiTheme="minorHAnsi" w:hAnsiTheme="minorHAnsi" w:cstheme="minorHAnsi"/>
          <w:szCs w:val="24"/>
        </w:rPr>
        <w:t xml:space="preserve"> the Center will be</w:t>
      </w:r>
      <w:r>
        <w:rPr>
          <w:rFonts w:asciiTheme="minorHAnsi" w:hAnsiTheme="minorHAnsi" w:cstheme="minorHAnsi"/>
          <w:szCs w:val="24"/>
        </w:rPr>
        <w:t xml:space="preserve"> perform</w:t>
      </w:r>
      <w:r w:rsidR="00751711">
        <w:rPr>
          <w:rFonts w:asciiTheme="minorHAnsi" w:hAnsiTheme="minorHAnsi" w:cstheme="minorHAnsi"/>
          <w:szCs w:val="24"/>
        </w:rPr>
        <w:t>ing</w:t>
      </w:r>
      <w:r>
        <w:rPr>
          <w:rFonts w:asciiTheme="minorHAnsi" w:hAnsiTheme="minorHAnsi" w:cstheme="minorHAnsi"/>
          <w:szCs w:val="24"/>
        </w:rPr>
        <w:t xml:space="preserve"> 3,713 cases</w:t>
      </w:r>
      <w:r w:rsidR="00B45B23">
        <w:rPr>
          <w:rFonts w:asciiTheme="minorHAnsi" w:hAnsiTheme="minorHAnsi" w:cstheme="minorHAnsi"/>
          <w:szCs w:val="24"/>
        </w:rPr>
        <w:t xml:space="preserve"> per year.</w:t>
      </w:r>
      <w:r>
        <w:rPr>
          <w:rFonts w:asciiTheme="minorHAnsi" w:hAnsiTheme="minorHAnsi" w:cstheme="minorHAnsi"/>
          <w:szCs w:val="24"/>
        </w:rPr>
        <w:t xml:space="preserve">  </w:t>
      </w:r>
    </w:p>
    <w:tbl>
      <w:tblPr>
        <w:tblW w:w="8020"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Case Projection Year 1-5"/>
      </w:tblPr>
      <w:tblGrid>
        <w:gridCol w:w="3220"/>
        <w:gridCol w:w="960"/>
        <w:gridCol w:w="960"/>
        <w:gridCol w:w="960"/>
        <w:gridCol w:w="960"/>
        <w:gridCol w:w="960"/>
      </w:tblGrid>
      <w:tr w:rsidR="00F10B65" w:rsidRPr="00F10B65" w14:paraId="6C05AED1" w14:textId="77777777" w:rsidTr="00571E18">
        <w:trPr>
          <w:cantSplit/>
          <w:trHeight w:val="225"/>
          <w:tblHeader/>
        </w:trPr>
        <w:tc>
          <w:tcPr>
            <w:tcW w:w="3220" w:type="dxa"/>
            <w:noWrap/>
            <w:tcMar>
              <w:top w:w="15" w:type="dxa"/>
              <w:left w:w="15" w:type="dxa"/>
              <w:bottom w:w="0" w:type="dxa"/>
              <w:right w:w="15" w:type="dxa"/>
            </w:tcMar>
            <w:vAlign w:val="bottom"/>
            <w:hideMark/>
          </w:tcPr>
          <w:p w14:paraId="07B0B551" w14:textId="07ED4220" w:rsidR="00F10B65" w:rsidRPr="000259A3" w:rsidRDefault="000259A3" w:rsidP="00FD2E73">
            <w:pPr>
              <w:spacing w:after="160" w:line="278" w:lineRule="auto"/>
              <w:rPr>
                <w:rFonts w:asciiTheme="minorHAnsi" w:hAnsiTheme="minorHAnsi" w:cstheme="minorHAnsi"/>
              </w:rPr>
            </w:pPr>
            <w:r w:rsidRPr="000259A3">
              <w:rPr>
                <w:rFonts w:asciiTheme="minorHAnsi" w:hAnsiTheme="minorHAnsi" w:cstheme="minorHAnsi"/>
                <w:b/>
                <w:bCs/>
              </w:rPr>
              <w:t>Cases</w:t>
            </w:r>
          </w:p>
        </w:tc>
        <w:tc>
          <w:tcPr>
            <w:tcW w:w="960" w:type="dxa"/>
            <w:noWrap/>
            <w:tcMar>
              <w:top w:w="15" w:type="dxa"/>
              <w:left w:w="15" w:type="dxa"/>
              <w:bottom w:w="0" w:type="dxa"/>
              <w:right w:w="15" w:type="dxa"/>
            </w:tcMar>
            <w:vAlign w:val="bottom"/>
            <w:hideMark/>
          </w:tcPr>
          <w:p w14:paraId="2128871F" w14:textId="77777777" w:rsidR="00F10B65" w:rsidRPr="0016656C" w:rsidRDefault="00F10B65" w:rsidP="00FD2E73">
            <w:pPr>
              <w:spacing w:after="160" w:line="278" w:lineRule="auto"/>
              <w:rPr>
                <w:rFonts w:asciiTheme="minorHAnsi" w:hAnsiTheme="minorHAnsi" w:cstheme="minorHAnsi"/>
              </w:rPr>
            </w:pPr>
            <w:r w:rsidRPr="0016656C">
              <w:rPr>
                <w:rFonts w:asciiTheme="minorHAnsi" w:hAnsiTheme="minorHAnsi" w:cstheme="minorHAnsi"/>
              </w:rPr>
              <w:t>Year 1</w:t>
            </w:r>
          </w:p>
        </w:tc>
        <w:tc>
          <w:tcPr>
            <w:tcW w:w="960" w:type="dxa"/>
            <w:noWrap/>
            <w:tcMar>
              <w:top w:w="15" w:type="dxa"/>
              <w:left w:w="15" w:type="dxa"/>
              <w:bottom w:w="0" w:type="dxa"/>
              <w:right w:w="15" w:type="dxa"/>
            </w:tcMar>
            <w:vAlign w:val="bottom"/>
            <w:hideMark/>
          </w:tcPr>
          <w:p w14:paraId="2AD4678F" w14:textId="77777777" w:rsidR="00F10B65" w:rsidRPr="0016656C" w:rsidRDefault="00F10B65" w:rsidP="00FD2E73">
            <w:pPr>
              <w:spacing w:after="160" w:line="278" w:lineRule="auto"/>
              <w:rPr>
                <w:rFonts w:asciiTheme="minorHAnsi" w:hAnsiTheme="minorHAnsi" w:cstheme="minorHAnsi"/>
              </w:rPr>
            </w:pPr>
            <w:r w:rsidRPr="0016656C">
              <w:rPr>
                <w:rFonts w:asciiTheme="minorHAnsi" w:hAnsiTheme="minorHAnsi" w:cstheme="minorHAnsi"/>
              </w:rPr>
              <w:t>Year 2</w:t>
            </w:r>
          </w:p>
        </w:tc>
        <w:tc>
          <w:tcPr>
            <w:tcW w:w="960" w:type="dxa"/>
            <w:noWrap/>
            <w:tcMar>
              <w:top w:w="15" w:type="dxa"/>
              <w:left w:w="15" w:type="dxa"/>
              <w:bottom w:w="0" w:type="dxa"/>
              <w:right w:w="15" w:type="dxa"/>
            </w:tcMar>
            <w:vAlign w:val="bottom"/>
            <w:hideMark/>
          </w:tcPr>
          <w:p w14:paraId="3195B4BD" w14:textId="77777777" w:rsidR="00F10B65" w:rsidRPr="0016656C" w:rsidRDefault="00F10B65" w:rsidP="00FD2E73">
            <w:pPr>
              <w:spacing w:after="160" w:line="278" w:lineRule="auto"/>
              <w:rPr>
                <w:rFonts w:asciiTheme="minorHAnsi" w:hAnsiTheme="minorHAnsi" w:cstheme="minorHAnsi"/>
              </w:rPr>
            </w:pPr>
            <w:r w:rsidRPr="0016656C">
              <w:rPr>
                <w:rFonts w:asciiTheme="minorHAnsi" w:hAnsiTheme="minorHAnsi" w:cstheme="minorHAnsi"/>
              </w:rPr>
              <w:t>Year 3</w:t>
            </w:r>
          </w:p>
        </w:tc>
        <w:tc>
          <w:tcPr>
            <w:tcW w:w="960" w:type="dxa"/>
            <w:noWrap/>
            <w:tcMar>
              <w:top w:w="15" w:type="dxa"/>
              <w:left w:w="15" w:type="dxa"/>
              <w:bottom w:w="0" w:type="dxa"/>
              <w:right w:w="15" w:type="dxa"/>
            </w:tcMar>
            <w:vAlign w:val="bottom"/>
            <w:hideMark/>
          </w:tcPr>
          <w:p w14:paraId="57437DB1" w14:textId="77777777" w:rsidR="00F10B65" w:rsidRPr="0016656C" w:rsidRDefault="00F10B65" w:rsidP="00FD2E73">
            <w:pPr>
              <w:spacing w:after="160" w:line="278" w:lineRule="auto"/>
              <w:rPr>
                <w:rFonts w:asciiTheme="minorHAnsi" w:hAnsiTheme="minorHAnsi" w:cstheme="minorHAnsi"/>
              </w:rPr>
            </w:pPr>
            <w:r w:rsidRPr="0016656C">
              <w:rPr>
                <w:rFonts w:asciiTheme="minorHAnsi" w:hAnsiTheme="minorHAnsi" w:cstheme="minorHAnsi"/>
              </w:rPr>
              <w:t>Year 4</w:t>
            </w:r>
          </w:p>
        </w:tc>
        <w:tc>
          <w:tcPr>
            <w:tcW w:w="960" w:type="dxa"/>
            <w:noWrap/>
            <w:tcMar>
              <w:top w:w="15" w:type="dxa"/>
              <w:left w:w="15" w:type="dxa"/>
              <w:bottom w:w="0" w:type="dxa"/>
              <w:right w:w="15" w:type="dxa"/>
            </w:tcMar>
            <w:vAlign w:val="bottom"/>
            <w:hideMark/>
          </w:tcPr>
          <w:p w14:paraId="5339D0A2" w14:textId="77777777" w:rsidR="00F10B65" w:rsidRPr="0016656C" w:rsidRDefault="00F10B65" w:rsidP="00FD2E73">
            <w:pPr>
              <w:spacing w:after="160" w:line="278" w:lineRule="auto"/>
              <w:rPr>
                <w:rFonts w:asciiTheme="minorHAnsi" w:hAnsiTheme="minorHAnsi" w:cstheme="minorHAnsi"/>
              </w:rPr>
            </w:pPr>
            <w:r w:rsidRPr="0016656C">
              <w:rPr>
                <w:rFonts w:asciiTheme="minorHAnsi" w:hAnsiTheme="minorHAnsi" w:cstheme="minorHAnsi"/>
              </w:rPr>
              <w:t>Year 5</w:t>
            </w:r>
          </w:p>
        </w:tc>
      </w:tr>
      <w:tr w:rsidR="00F10B65" w:rsidRPr="00F10B65" w14:paraId="7A5B61BA" w14:textId="77777777" w:rsidTr="00DD6756">
        <w:trPr>
          <w:cantSplit/>
          <w:trHeight w:val="210"/>
        </w:trPr>
        <w:tc>
          <w:tcPr>
            <w:tcW w:w="3220" w:type="dxa"/>
            <w:noWrap/>
            <w:tcMar>
              <w:top w:w="15" w:type="dxa"/>
              <w:left w:w="225" w:type="dxa"/>
              <w:bottom w:w="0" w:type="dxa"/>
              <w:right w:w="15" w:type="dxa"/>
            </w:tcMar>
            <w:vAlign w:val="bottom"/>
            <w:hideMark/>
          </w:tcPr>
          <w:p w14:paraId="248BDB27"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b/>
                <w:bCs/>
              </w:rPr>
              <w:t>Total OR Days</w:t>
            </w:r>
          </w:p>
        </w:tc>
        <w:tc>
          <w:tcPr>
            <w:tcW w:w="960" w:type="dxa"/>
            <w:noWrap/>
            <w:tcMar>
              <w:top w:w="15" w:type="dxa"/>
              <w:left w:w="15" w:type="dxa"/>
              <w:bottom w:w="0" w:type="dxa"/>
              <w:right w:w="15" w:type="dxa"/>
            </w:tcMar>
            <w:vAlign w:val="bottom"/>
            <w:hideMark/>
          </w:tcPr>
          <w:p w14:paraId="24633F83"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108</w:t>
            </w:r>
          </w:p>
        </w:tc>
        <w:tc>
          <w:tcPr>
            <w:tcW w:w="960" w:type="dxa"/>
            <w:noWrap/>
            <w:tcMar>
              <w:top w:w="15" w:type="dxa"/>
              <w:left w:w="15" w:type="dxa"/>
              <w:bottom w:w="0" w:type="dxa"/>
              <w:right w:w="15" w:type="dxa"/>
            </w:tcMar>
            <w:vAlign w:val="bottom"/>
            <w:hideMark/>
          </w:tcPr>
          <w:p w14:paraId="0E883DFD"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325</w:t>
            </w:r>
          </w:p>
        </w:tc>
        <w:tc>
          <w:tcPr>
            <w:tcW w:w="960" w:type="dxa"/>
            <w:noWrap/>
            <w:tcMar>
              <w:top w:w="15" w:type="dxa"/>
              <w:left w:w="15" w:type="dxa"/>
              <w:bottom w:w="0" w:type="dxa"/>
              <w:right w:w="15" w:type="dxa"/>
            </w:tcMar>
            <w:vAlign w:val="bottom"/>
            <w:hideMark/>
          </w:tcPr>
          <w:p w14:paraId="1BBECBA2"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414</w:t>
            </w:r>
          </w:p>
        </w:tc>
        <w:tc>
          <w:tcPr>
            <w:tcW w:w="960" w:type="dxa"/>
            <w:noWrap/>
            <w:tcMar>
              <w:top w:w="15" w:type="dxa"/>
              <w:left w:w="15" w:type="dxa"/>
              <w:bottom w:w="0" w:type="dxa"/>
              <w:right w:w="15" w:type="dxa"/>
            </w:tcMar>
            <w:vAlign w:val="bottom"/>
            <w:hideMark/>
          </w:tcPr>
          <w:p w14:paraId="0196CC97"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449</w:t>
            </w:r>
          </w:p>
        </w:tc>
        <w:tc>
          <w:tcPr>
            <w:tcW w:w="960" w:type="dxa"/>
            <w:noWrap/>
            <w:tcMar>
              <w:top w:w="15" w:type="dxa"/>
              <w:left w:w="15" w:type="dxa"/>
              <w:bottom w:w="0" w:type="dxa"/>
              <w:right w:w="15" w:type="dxa"/>
            </w:tcMar>
            <w:vAlign w:val="bottom"/>
            <w:hideMark/>
          </w:tcPr>
          <w:p w14:paraId="11335BF4"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486</w:t>
            </w:r>
          </w:p>
        </w:tc>
      </w:tr>
      <w:tr w:rsidR="00F10B65" w:rsidRPr="00F10B65" w14:paraId="559554AE" w14:textId="77777777" w:rsidTr="00DD6756">
        <w:trPr>
          <w:cantSplit/>
          <w:trHeight w:val="210"/>
        </w:trPr>
        <w:tc>
          <w:tcPr>
            <w:tcW w:w="3220" w:type="dxa"/>
            <w:noWrap/>
            <w:tcMar>
              <w:top w:w="15" w:type="dxa"/>
              <w:left w:w="675" w:type="dxa"/>
              <w:bottom w:w="0" w:type="dxa"/>
              <w:right w:w="15" w:type="dxa"/>
            </w:tcMar>
            <w:vAlign w:val="bottom"/>
            <w:hideMark/>
          </w:tcPr>
          <w:p w14:paraId="1EC109DB"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i/>
                <w:iCs/>
              </w:rPr>
              <w:t>OR Utilization</w:t>
            </w:r>
          </w:p>
        </w:tc>
        <w:tc>
          <w:tcPr>
            <w:tcW w:w="960" w:type="dxa"/>
            <w:noWrap/>
            <w:tcMar>
              <w:top w:w="15" w:type="dxa"/>
              <w:left w:w="15" w:type="dxa"/>
              <w:bottom w:w="0" w:type="dxa"/>
              <w:right w:w="15" w:type="dxa"/>
            </w:tcMar>
            <w:vAlign w:val="bottom"/>
            <w:hideMark/>
          </w:tcPr>
          <w:p w14:paraId="6EA3DA5E"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21%</w:t>
            </w:r>
          </w:p>
        </w:tc>
        <w:tc>
          <w:tcPr>
            <w:tcW w:w="960" w:type="dxa"/>
            <w:noWrap/>
            <w:tcMar>
              <w:top w:w="15" w:type="dxa"/>
              <w:left w:w="15" w:type="dxa"/>
              <w:bottom w:w="0" w:type="dxa"/>
              <w:right w:w="15" w:type="dxa"/>
            </w:tcMar>
            <w:vAlign w:val="bottom"/>
            <w:hideMark/>
          </w:tcPr>
          <w:p w14:paraId="1EFD30C0"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64%</w:t>
            </w:r>
          </w:p>
        </w:tc>
        <w:tc>
          <w:tcPr>
            <w:tcW w:w="960" w:type="dxa"/>
            <w:noWrap/>
            <w:tcMar>
              <w:top w:w="15" w:type="dxa"/>
              <w:left w:w="15" w:type="dxa"/>
              <w:bottom w:w="0" w:type="dxa"/>
              <w:right w:w="15" w:type="dxa"/>
            </w:tcMar>
            <w:vAlign w:val="bottom"/>
            <w:hideMark/>
          </w:tcPr>
          <w:p w14:paraId="7243FF1A"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82%</w:t>
            </w:r>
          </w:p>
        </w:tc>
        <w:tc>
          <w:tcPr>
            <w:tcW w:w="960" w:type="dxa"/>
            <w:noWrap/>
            <w:tcMar>
              <w:top w:w="15" w:type="dxa"/>
              <w:left w:w="15" w:type="dxa"/>
              <w:bottom w:w="0" w:type="dxa"/>
              <w:right w:w="15" w:type="dxa"/>
            </w:tcMar>
            <w:vAlign w:val="bottom"/>
            <w:hideMark/>
          </w:tcPr>
          <w:p w14:paraId="359E81FB"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89%</w:t>
            </w:r>
          </w:p>
        </w:tc>
        <w:tc>
          <w:tcPr>
            <w:tcW w:w="960" w:type="dxa"/>
            <w:noWrap/>
            <w:tcMar>
              <w:top w:w="15" w:type="dxa"/>
              <w:left w:w="15" w:type="dxa"/>
              <w:bottom w:w="0" w:type="dxa"/>
              <w:right w:w="15" w:type="dxa"/>
            </w:tcMar>
            <w:vAlign w:val="bottom"/>
            <w:hideMark/>
          </w:tcPr>
          <w:p w14:paraId="1CED45A4"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96%</w:t>
            </w:r>
          </w:p>
        </w:tc>
      </w:tr>
      <w:tr w:rsidR="00F10B65" w:rsidRPr="00F10B65" w14:paraId="089B5305" w14:textId="77777777" w:rsidTr="00DD6756">
        <w:trPr>
          <w:cantSplit/>
          <w:trHeight w:val="210"/>
        </w:trPr>
        <w:tc>
          <w:tcPr>
            <w:tcW w:w="3220" w:type="dxa"/>
            <w:noWrap/>
            <w:tcMar>
              <w:top w:w="15" w:type="dxa"/>
              <w:left w:w="450" w:type="dxa"/>
              <w:bottom w:w="0" w:type="dxa"/>
              <w:right w:w="15" w:type="dxa"/>
            </w:tcMar>
            <w:vAlign w:val="bottom"/>
            <w:hideMark/>
          </w:tcPr>
          <w:p w14:paraId="5CDE8893"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Pediatric Dental Cases</w:t>
            </w:r>
          </w:p>
        </w:tc>
        <w:tc>
          <w:tcPr>
            <w:tcW w:w="960" w:type="dxa"/>
            <w:noWrap/>
            <w:tcMar>
              <w:top w:w="15" w:type="dxa"/>
              <w:left w:w="15" w:type="dxa"/>
              <w:bottom w:w="0" w:type="dxa"/>
              <w:right w:w="15" w:type="dxa"/>
            </w:tcMar>
            <w:vAlign w:val="bottom"/>
            <w:hideMark/>
          </w:tcPr>
          <w:p w14:paraId="602A68C9"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650</w:t>
            </w:r>
          </w:p>
        </w:tc>
        <w:tc>
          <w:tcPr>
            <w:tcW w:w="960" w:type="dxa"/>
            <w:noWrap/>
            <w:tcMar>
              <w:top w:w="15" w:type="dxa"/>
              <w:left w:w="15" w:type="dxa"/>
              <w:bottom w:w="0" w:type="dxa"/>
              <w:right w:w="15" w:type="dxa"/>
            </w:tcMar>
            <w:vAlign w:val="bottom"/>
            <w:hideMark/>
          </w:tcPr>
          <w:p w14:paraId="5602CAC0"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1926</w:t>
            </w:r>
          </w:p>
        </w:tc>
        <w:tc>
          <w:tcPr>
            <w:tcW w:w="960" w:type="dxa"/>
            <w:noWrap/>
            <w:tcMar>
              <w:top w:w="15" w:type="dxa"/>
              <w:left w:w="15" w:type="dxa"/>
              <w:bottom w:w="0" w:type="dxa"/>
              <w:right w:w="15" w:type="dxa"/>
            </w:tcMar>
            <w:vAlign w:val="bottom"/>
            <w:hideMark/>
          </w:tcPr>
          <w:p w14:paraId="4428F886"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2454</w:t>
            </w:r>
          </w:p>
        </w:tc>
        <w:tc>
          <w:tcPr>
            <w:tcW w:w="960" w:type="dxa"/>
            <w:noWrap/>
            <w:tcMar>
              <w:top w:w="15" w:type="dxa"/>
              <w:left w:w="15" w:type="dxa"/>
              <w:bottom w:w="0" w:type="dxa"/>
              <w:right w:w="15" w:type="dxa"/>
            </w:tcMar>
            <w:vAlign w:val="bottom"/>
            <w:hideMark/>
          </w:tcPr>
          <w:p w14:paraId="72D2FF2C"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2646</w:t>
            </w:r>
          </w:p>
        </w:tc>
        <w:tc>
          <w:tcPr>
            <w:tcW w:w="960" w:type="dxa"/>
            <w:noWrap/>
            <w:tcMar>
              <w:top w:w="15" w:type="dxa"/>
              <w:left w:w="15" w:type="dxa"/>
              <w:bottom w:w="0" w:type="dxa"/>
              <w:right w:w="15" w:type="dxa"/>
            </w:tcMar>
            <w:vAlign w:val="bottom"/>
            <w:hideMark/>
          </w:tcPr>
          <w:p w14:paraId="23943AAA"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2862</w:t>
            </w:r>
          </w:p>
        </w:tc>
      </w:tr>
      <w:tr w:rsidR="00F10B65" w:rsidRPr="00F10B65" w14:paraId="195A3508" w14:textId="77777777" w:rsidTr="00DD6756">
        <w:trPr>
          <w:cantSplit/>
          <w:trHeight w:val="210"/>
        </w:trPr>
        <w:tc>
          <w:tcPr>
            <w:tcW w:w="3220" w:type="dxa"/>
            <w:noWrap/>
            <w:tcMar>
              <w:top w:w="15" w:type="dxa"/>
              <w:left w:w="450" w:type="dxa"/>
              <w:bottom w:w="0" w:type="dxa"/>
              <w:right w:w="15" w:type="dxa"/>
            </w:tcMar>
            <w:vAlign w:val="bottom"/>
            <w:hideMark/>
          </w:tcPr>
          <w:p w14:paraId="49CC9054"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Pediatric Oral Surgery Cases</w:t>
            </w:r>
          </w:p>
        </w:tc>
        <w:tc>
          <w:tcPr>
            <w:tcW w:w="960" w:type="dxa"/>
            <w:noWrap/>
            <w:tcMar>
              <w:top w:w="15" w:type="dxa"/>
              <w:left w:w="15" w:type="dxa"/>
              <w:bottom w:w="0" w:type="dxa"/>
              <w:right w:w="15" w:type="dxa"/>
            </w:tcMar>
            <w:vAlign w:val="bottom"/>
            <w:hideMark/>
          </w:tcPr>
          <w:p w14:paraId="47C9B21E"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168</w:t>
            </w:r>
          </w:p>
        </w:tc>
        <w:tc>
          <w:tcPr>
            <w:tcW w:w="960" w:type="dxa"/>
            <w:noWrap/>
            <w:tcMar>
              <w:top w:w="15" w:type="dxa"/>
              <w:left w:w="15" w:type="dxa"/>
              <w:bottom w:w="0" w:type="dxa"/>
              <w:right w:w="15" w:type="dxa"/>
            </w:tcMar>
            <w:vAlign w:val="bottom"/>
            <w:hideMark/>
          </w:tcPr>
          <w:p w14:paraId="1FC30D4E"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552</w:t>
            </w:r>
          </w:p>
        </w:tc>
        <w:tc>
          <w:tcPr>
            <w:tcW w:w="960" w:type="dxa"/>
            <w:noWrap/>
            <w:tcMar>
              <w:top w:w="15" w:type="dxa"/>
              <w:left w:w="15" w:type="dxa"/>
              <w:bottom w:w="0" w:type="dxa"/>
              <w:right w:w="15" w:type="dxa"/>
            </w:tcMar>
            <w:vAlign w:val="bottom"/>
            <w:hideMark/>
          </w:tcPr>
          <w:p w14:paraId="18E22C1A"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706</w:t>
            </w:r>
          </w:p>
        </w:tc>
        <w:tc>
          <w:tcPr>
            <w:tcW w:w="960" w:type="dxa"/>
            <w:noWrap/>
            <w:tcMar>
              <w:top w:w="15" w:type="dxa"/>
              <w:left w:w="15" w:type="dxa"/>
              <w:bottom w:w="0" w:type="dxa"/>
              <w:right w:w="15" w:type="dxa"/>
            </w:tcMar>
            <w:vAlign w:val="bottom"/>
            <w:hideMark/>
          </w:tcPr>
          <w:p w14:paraId="37C28EDA"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791</w:t>
            </w:r>
          </w:p>
        </w:tc>
        <w:tc>
          <w:tcPr>
            <w:tcW w:w="960" w:type="dxa"/>
            <w:noWrap/>
            <w:tcMar>
              <w:top w:w="15" w:type="dxa"/>
              <w:left w:w="15" w:type="dxa"/>
              <w:bottom w:w="0" w:type="dxa"/>
              <w:right w:w="15" w:type="dxa"/>
            </w:tcMar>
            <w:vAlign w:val="bottom"/>
            <w:hideMark/>
          </w:tcPr>
          <w:p w14:paraId="3DEF1DE2"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851</w:t>
            </w:r>
          </w:p>
        </w:tc>
      </w:tr>
      <w:tr w:rsidR="00F10B65" w:rsidRPr="00F10B65" w14:paraId="3B25798D" w14:textId="77777777" w:rsidTr="00DD6756">
        <w:trPr>
          <w:cantSplit/>
          <w:trHeight w:val="210"/>
        </w:trPr>
        <w:tc>
          <w:tcPr>
            <w:tcW w:w="3220" w:type="dxa"/>
            <w:noWrap/>
            <w:tcMar>
              <w:top w:w="15" w:type="dxa"/>
              <w:left w:w="225" w:type="dxa"/>
              <w:bottom w:w="0" w:type="dxa"/>
              <w:right w:w="15" w:type="dxa"/>
            </w:tcMar>
            <w:vAlign w:val="bottom"/>
            <w:hideMark/>
          </w:tcPr>
          <w:p w14:paraId="34B123C9"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b/>
                <w:bCs/>
              </w:rPr>
              <w:t>Total Cases</w:t>
            </w:r>
          </w:p>
        </w:tc>
        <w:tc>
          <w:tcPr>
            <w:tcW w:w="960" w:type="dxa"/>
            <w:noWrap/>
            <w:tcMar>
              <w:top w:w="15" w:type="dxa"/>
              <w:left w:w="15" w:type="dxa"/>
              <w:bottom w:w="0" w:type="dxa"/>
              <w:right w:w="15" w:type="dxa"/>
            </w:tcMar>
            <w:vAlign w:val="bottom"/>
            <w:hideMark/>
          </w:tcPr>
          <w:p w14:paraId="0AB6B27C"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818</w:t>
            </w:r>
          </w:p>
        </w:tc>
        <w:tc>
          <w:tcPr>
            <w:tcW w:w="960" w:type="dxa"/>
            <w:noWrap/>
            <w:tcMar>
              <w:top w:w="15" w:type="dxa"/>
              <w:left w:w="15" w:type="dxa"/>
              <w:bottom w:w="0" w:type="dxa"/>
              <w:right w:w="15" w:type="dxa"/>
            </w:tcMar>
            <w:vAlign w:val="bottom"/>
            <w:hideMark/>
          </w:tcPr>
          <w:p w14:paraId="1DE9F812"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2</w:t>
            </w:r>
            <w:r>
              <w:rPr>
                <w:rFonts w:asciiTheme="minorHAnsi" w:hAnsiTheme="minorHAnsi" w:cstheme="minorHAnsi"/>
              </w:rPr>
              <w:t>,</w:t>
            </w:r>
            <w:r w:rsidRPr="00F10B65">
              <w:rPr>
                <w:rFonts w:asciiTheme="minorHAnsi" w:hAnsiTheme="minorHAnsi" w:cstheme="minorHAnsi"/>
              </w:rPr>
              <w:t>478</w:t>
            </w:r>
          </w:p>
        </w:tc>
        <w:tc>
          <w:tcPr>
            <w:tcW w:w="960" w:type="dxa"/>
            <w:noWrap/>
            <w:tcMar>
              <w:top w:w="15" w:type="dxa"/>
              <w:left w:w="15" w:type="dxa"/>
              <w:bottom w:w="0" w:type="dxa"/>
              <w:right w:w="15" w:type="dxa"/>
            </w:tcMar>
            <w:vAlign w:val="bottom"/>
            <w:hideMark/>
          </w:tcPr>
          <w:p w14:paraId="33DE86C8"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3</w:t>
            </w:r>
            <w:r>
              <w:rPr>
                <w:rFonts w:asciiTheme="minorHAnsi" w:hAnsiTheme="minorHAnsi" w:cstheme="minorHAnsi"/>
              </w:rPr>
              <w:t>,</w:t>
            </w:r>
            <w:r w:rsidRPr="00F10B65">
              <w:rPr>
                <w:rFonts w:asciiTheme="minorHAnsi" w:hAnsiTheme="minorHAnsi" w:cstheme="minorHAnsi"/>
              </w:rPr>
              <w:t>160</w:t>
            </w:r>
          </w:p>
        </w:tc>
        <w:tc>
          <w:tcPr>
            <w:tcW w:w="960" w:type="dxa"/>
            <w:noWrap/>
            <w:tcMar>
              <w:top w:w="15" w:type="dxa"/>
              <w:left w:w="15" w:type="dxa"/>
              <w:bottom w:w="0" w:type="dxa"/>
              <w:right w:w="15" w:type="dxa"/>
            </w:tcMar>
            <w:vAlign w:val="bottom"/>
            <w:hideMark/>
          </w:tcPr>
          <w:p w14:paraId="7AE581FE"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3</w:t>
            </w:r>
            <w:r>
              <w:rPr>
                <w:rFonts w:asciiTheme="minorHAnsi" w:hAnsiTheme="minorHAnsi" w:cstheme="minorHAnsi"/>
              </w:rPr>
              <w:t>,</w:t>
            </w:r>
            <w:r w:rsidRPr="00F10B65">
              <w:rPr>
                <w:rFonts w:asciiTheme="minorHAnsi" w:hAnsiTheme="minorHAnsi" w:cstheme="minorHAnsi"/>
              </w:rPr>
              <w:t>437</w:t>
            </w:r>
          </w:p>
        </w:tc>
        <w:tc>
          <w:tcPr>
            <w:tcW w:w="960" w:type="dxa"/>
            <w:noWrap/>
            <w:tcMar>
              <w:top w:w="15" w:type="dxa"/>
              <w:left w:w="15" w:type="dxa"/>
              <w:bottom w:w="0" w:type="dxa"/>
              <w:right w:w="15" w:type="dxa"/>
            </w:tcMar>
            <w:vAlign w:val="bottom"/>
            <w:hideMark/>
          </w:tcPr>
          <w:p w14:paraId="51B8D739" w14:textId="77777777" w:rsidR="00F10B65" w:rsidRPr="00F10B65" w:rsidRDefault="00F10B65" w:rsidP="00FD2E73">
            <w:pPr>
              <w:spacing w:after="160" w:line="278" w:lineRule="auto"/>
              <w:rPr>
                <w:rFonts w:asciiTheme="minorHAnsi" w:hAnsiTheme="minorHAnsi" w:cstheme="minorHAnsi"/>
              </w:rPr>
            </w:pPr>
            <w:r w:rsidRPr="00F10B65">
              <w:rPr>
                <w:rFonts w:asciiTheme="minorHAnsi" w:hAnsiTheme="minorHAnsi" w:cstheme="minorHAnsi"/>
              </w:rPr>
              <w:t>3</w:t>
            </w:r>
            <w:r>
              <w:rPr>
                <w:rFonts w:asciiTheme="minorHAnsi" w:hAnsiTheme="minorHAnsi" w:cstheme="minorHAnsi"/>
              </w:rPr>
              <w:t>,</w:t>
            </w:r>
            <w:r w:rsidRPr="00F10B65">
              <w:rPr>
                <w:rFonts w:asciiTheme="minorHAnsi" w:hAnsiTheme="minorHAnsi" w:cstheme="minorHAnsi"/>
              </w:rPr>
              <w:t>713</w:t>
            </w:r>
          </w:p>
        </w:tc>
      </w:tr>
    </w:tbl>
    <w:p w14:paraId="2A233B52" w14:textId="77777777" w:rsidR="00FF3130" w:rsidRDefault="00FF3130" w:rsidP="00A333BA">
      <w:pPr>
        <w:autoSpaceDE w:val="0"/>
        <w:autoSpaceDN w:val="0"/>
        <w:adjustRightInd w:val="0"/>
        <w:ind w:firstLine="720"/>
        <w:jc w:val="both"/>
        <w:rPr>
          <w:rFonts w:asciiTheme="minorHAnsi" w:hAnsiTheme="minorHAnsi" w:cstheme="minorHAnsi"/>
          <w:b/>
          <w:szCs w:val="24"/>
        </w:rPr>
      </w:pPr>
    </w:p>
    <w:p w14:paraId="1DC3B293" w14:textId="692DF534" w:rsidR="00D351C5" w:rsidRPr="007A45EA" w:rsidRDefault="00C34AF8" w:rsidP="00CE3D35">
      <w:pPr>
        <w:pStyle w:val="Heading3"/>
      </w:pPr>
      <w:r w:rsidRPr="007A45EA">
        <w:t>F1.a.iii Competition</w:t>
      </w:r>
    </w:p>
    <w:p w14:paraId="468CD0FF" w14:textId="1126F1CE" w:rsidR="00D351C5" w:rsidRPr="007A45EA" w:rsidRDefault="00C34AF8" w:rsidP="00770FE6">
      <w:pPr>
        <w:autoSpaceDE w:val="0"/>
        <w:autoSpaceDN w:val="0"/>
        <w:adjustRightInd w:val="0"/>
        <w:spacing w:after="0" w:line="240" w:lineRule="auto"/>
        <w:jc w:val="both"/>
        <w:rPr>
          <w:rFonts w:asciiTheme="minorHAnsi" w:hAnsiTheme="minorHAnsi" w:cstheme="minorHAnsi"/>
          <w:b/>
          <w:szCs w:val="24"/>
        </w:rPr>
      </w:pPr>
      <w:r w:rsidRPr="007A45EA">
        <w:rPr>
          <w:rFonts w:asciiTheme="minorHAnsi" w:hAnsiTheme="minorHAnsi" w:cstheme="minorHAnsi"/>
          <w:b/>
          <w:szCs w:val="24"/>
        </w:rPr>
        <w:t xml:space="preserve">Provide evidence that the Proposed Project will compete </w:t>
      </w:r>
      <w:proofErr w:type="gramStart"/>
      <w:r w:rsidRPr="007A45EA">
        <w:rPr>
          <w:rFonts w:asciiTheme="minorHAnsi" w:hAnsiTheme="minorHAnsi" w:cstheme="minorHAnsi"/>
          <w:b/>
          <w:szCs w:val="24"/>
        </w:rPr>
        <w:t>on the basis of</w:t>
      </w:r>
      <w:proofErr w:type="gramEnd"/>
      <w:r w:rsidRPr="007A45EA">
        <w:rPr>
          <w:rFonts w:asciiTheme="minorHAnsi" w:hAnsiTheme="minorHAnsi" w:cstheme="minorHAnsi"/>
          <w:b/>
          <w:szCs w:val="24"/>
        </w:rPr>
        <w:t xml:space="preserve"> price, total medical expenses, provider costs, and other recognized measures of health care spending. When </w:t>
      </w:r>
      <w:r w:rsidRPr="007A45EA">
        <w:rPr>
          <w:rFonts w:asciiTheme="minorHAnsi" w:hAnsiTheme="minorHAnsi" w:cstheme="minorHAnsi"/>
          <w:b/>
          <w:szCs w:val="24"/>
        </w:rPr>
        <w:lastRenderedPageBreak/>
        <w:t>responding to this question, please consider Factor 4, Financial Feasibility</w:t>
      </w:r>
      <w:r w:rsidR="003222EB" w:rsidRPr="007A45EA">
        <w:rPr>
          <w:rFonts w:asciiTheme="minorHAnsi" w:hAnsiTheme="minorHAnsi" w:cstheme="minorHAnsi"/>
          <w:b/>
          <w:szCs w:val="24"/>
        </w:rPr>
        <w:t xml:space="preserve"> </w:t>
      </w:r>
      <w:r w:rsidRPr="007A45EA">
        <w:rPr>
          <w:rFonts w:asciiTheme="minorHAnsi" w:hAnsiTheme="minorHAnsi" w:cstheme="minorHAnsi"/>
          <w:b/>
          <w:szCs w:val="24"/>
        </w:rPr>
        <w:t>and Reasonableness of Costs.</w:t>
      </w:r>
    </w:p>
    <w:p w14:paraId="59584A6B" w14:textId="1F41C7A2" w:rsidR="007C2AB0" w:rsidRDefault="007C2AB0" w:rsidP="00770FE6">
      <w:pPr>
        <w:autoSpaceDE w:val="0"/>
        <w:autoSpaceDN w:val="0"/>
        <w:adjustRightInd w:val="0"/>
        <w:spacing w:after="0" w:line="240" w:lineRule="auto"/>
        <w:jc w:val="both"/>
        <w:rPr>
          <w:rFonts w:asciiTheme="minorHAnsi" w:hAnsiTheme="minorHAnsi" w:cstheme="minorHAnsi"/>
          <w:b/>
          <w:szCs w:val="24"/>
        </w:rPr>
      </w:pPr>
    </w:p>
    <w:p w14:paraId="7AED7F30" w14:textId="557DA570" w:rsidR="0008336C" w:rsidRDefault="00E23E3D" w:rsidP="0052404E">
      <w:pPr>
        <w:autoSpaceDE w:val="0"/>
        <w:autoSpaceDN w:val="0"/>
        <w:adjustRightInd w:val="0"/>
        <w:spacing w:after="0"/>
        <w:jc w:val="both"/>
        <w:rPr>
          <w:rFonts w:asciiTheme="minorHAnsi" w:hAnsiTheme="minorHAnsi" w:cstheme="minorHAnsi"/>
        </w:rPr>
      </w:pPr>
      <w:r w:rsidRPr="006432AF">
        <w:rPr>
          <w:rFonts w:asciiTheme="minorHAnsi" w:hAnsiTheme="minorHAnsi" w:cstheme="minorHAnsi"/>
          <w:szCs w:val="24"/>
        </w:rPr>
        <w:t xml:space="preserve">The Proposed Project will compete on the basis of price, total medical expenses (“TME”), provider costs and other recognized measures of healthcare spending by continuing to offer the High Acuity Dental Surgeries in a lower cost setting, particularly for </w:t>
      </w:r>
      <w:r w:rsidR="0008336C" w:rsidRPr="006432AF">
        <w:rPr>
          <w:rFonts w:asciiTheme="minorHAnsi" w:hAnsiTheme="minorHAnsi" w:cstheme="minorHAnsi"/>
          <w:szCs w:val="24"/>
        </w:rPr>
        <w:t>p</w:t>
      </w:r>
      <w:r w:rsidRPr="006432AF">
        <w:rPr>
          <w:rFonts w:asciiTheme="minorHAnsi" w:hAnsiTheme="minorHAnsi" w:cstheme="minorHAnsi"/>
          <w:szCs w:val="24"/>
        </w:rPr>
        <w:t>atient</w:t>
      </w:r>
      <w:r w:rsidR="0008336C" w:rsidRPr="006432AF">
        <w:rPr>
          <w:rFonts w:asciiTheme="minorHAnsi" w:hAnsiTheme="minorHAnsi" w:cstheme="minorHAnsi"/>
          <w:szCs w:val="24"/>
        </w:rPr>
        <w:t xml:space="preserve">s </w:t>
      </w:r>
      <w:r w:rsidRPr="006432AF">
        <w:rPr>
          <w:rFonts w:asciiTheme="minorHAnsi" w:hAnsiTheme="minorHAnsi" w:cstheme="minorHAnsi"/>
          <w:szCs w:val="24"/>
        </w:rPr>
        <w:t>ages 9 and under who are currently being treated in HOPDs</w:t>
      </w:r>
      <w:r w:rsidR="0008336C" w:rsidRPr="006432AF">
        <w:rPr>
          <w:rFonts w:asciiTheme="minorHAnsi" w:hAnsiTheme="minorHAnsi" w:cstheme="minorHAnsi"/>
          <w:szCs w:val="24"/>
        </w:rPr>
        <w:t xml:space="preserve"> </w:t>
      </w:r>
      <w:r w:rsidR="00406A39">
        <w:rPr>
          <w:rFonts w:asciiTheme="minorHAnsi" w:hAnsiTheme="minorHAnsi" w:cstheme="minorHAnsi"/>
          <w:szCs w:val="24"/>
        </w:rPr>
        <w:t>with</w:t>
      </w:r>
      <w:r w:rsidR="0008336C" w:rsidRPr="006432AF">
        <w:rPr>
          <w:rFonts w:asciiTheme="minorHAnsi" w:hAnsiTheme="minorHAnsi" w:cstheme="minorHAnsi"/>
          <w:szCs w:val="24"/>
        </w:rPr>
        <w:t xml:space="preserve"> long wait times</w:t>
      </w:r>
      <w:r w:rsidRPr="006432AF">
        <w:rPr>
          <w:rFonts w:asciiTheme="minorHAnsi" w:hAnsiTheme="minorHAnsi" w:cstheme="minorHAnsi"/>
          <w:szCs w:val="24"/>
        </w:rPr>
        <w:t>.</w:t>
      </w:r>
      <w:r w:rsidR="0008336C" w:rsidRPr="006432AF">
        <w:rPr>
          <w:rFonts w:asciiTheme="minorHAnsi" w:hAnsiTheme="minorHAnsi" w:cstheme="minorHAnsi"/>
          <w:szCs w:val="24"/>
        </w:rPr>
        <w:t xml:space="preserve">  </w:t>
      </w:r>
      <w:r w:rsidR="005C7CC2" w:rsidRPr="006432AF">
        <w:rPr>
          <w:rFonts w:asciiTheme="minorHAnsi" w:hAnsiTheme="minorHAnsi" w:cstheme="minorHAnsi"/>
          <w:szCs w:val="24"/>
        </w:rPr>
        <w:t>ASCs compete effectively with HOPDs by delivering high-quality care at significantly lower costs.</w:t>
      </w:r>
      <w:r w:rsidR="005C7CC2" w:rsidRPr="00E61502">
        <w:rPr>
          <w:rFonts w:asciiTheme="minorHAnsi" w:hAnsiTheme="minorHAnsi" w:cstheme="minorHAnsi"/>
          <w:szCs w:val="24"/>
          <w:vertAlign w:val="superscript"/>
        </w:rPr>
        <w:footnoteReference w:id="33"/>
      </w:r>
      <w:r w:rsidR="005C7CC2" w:rsidRPr="006432AF">
        <w:rPr>
          <w:rFonts w:asciiTheme="minorHAnsi" w:hAnsiTheme="minorHAnsi" w:cstheme="minorHAnsi"/>
          <w:szCs w:val="24"/>
        </w:rPr>
        <w:t xml:space="preserve">  This is especially true for the Applicant, who is a single specialty ASC and achieves operational efficiencies through its</w:t>
      </w:r>
      <w:r w:rsidR="005C7CC2" w:rsidRPr="0008336C">
        <w:rPr>
          <w:rFonts w:asciiTheme="minorHAnsi" w:hAnsiTheme="minorHAnsi" w:cstheme="minorHAnsi"/>
        </w:rPr>
        <w:t xml:space="preserve"> </w:t>
      </w:r>
      <w:r w:rsidR="00406A39">
        <w:rPr>
          <w:rFonts w:asciiTheme="minorHAnsi" w:hAnsiTheme="minorHAnsi" w:cstheme="minorHAnsi"/>
        </w:rPr>
        <w:t xml:space="preserve">streamlined </w:t>
      </w:r>
      <w:r w:rsidR="005C7CC2" w:rsidRPr="0008336C">
        <w:rPr>
          <w:rFonts w:asciiTheme="minorHAnsi" w:hAnsiTheme="minorHAnsi" w:cstheme="minorHAnsi"/>
        </w:rPr>
        <w:t>ASC design and workflows that are specific to its Patient Panel and the</w:t>
      </w:r>
      <w:r w:rsidR="00406A39">
        <w:rPr>
          <w:rFonts w:asciiTheme="minorHAnsi" w:hAnsiTheme="minorHAnsi" w:cstheme="minorHAnsi"/>
        </w:rPr>
        <w:t>ir requisite</w:t>
      </w:r>
      <w:r w:rsidR="000F228E">
        <w:rPr>
          <w:rFonts w:asciiTheme="minorHAnsi" w:hAnsiTheme="minorHAnsi" w:cstheme="minorHAnsi"/>
        </w:rPr>
        <w:t xml:space="preserve"> </w:t>
      </w:r>
      <w:r w:rsidR="005C7CC2" w:rsidRPr="0008336C">
        <w:rPr>
          <w:rFonts w:asciiTheme="minorHAnsi" w:hAnsiTheme="minorHAnsi" w:cstheme="minorHAnsi"/>
        </w:rPr>
        <w:t>High Acuity Dental Surgeries.</w:t>
      </w:r>
      <w:r w:rsidR="0052404E">
        <w:rPr>
          <w:rStyle w:val="FootnoteReference"/>
          <w:rFonts w:asciiTheme="minorHAnsi" w:hAnsiTheme="minorHAnsi" w:cstheme="minorHAnsi"/>
        </w:rPr>
        <w:footnoteReference w:id="34"/>
      </w:r>
      <w:r w:rsidR="005C7CC2" w:rsidRPr="0008336C">
        <w:rPr>
          <w:rFonts w:asciiTheme="minorHAnsi" w:hAnsiTheme="minorHAnsi" w:cstheme="minorHAnsi"/>
        </w:rPr>
        <w:t xml:space="preserve">  The Center will utilize the Applicant’s </w:t>
      </w:r>
      <w:r w:rsidR="00406A39">
        <w:rPr>
          <w:rFonts w:asciiTheme="minorHAnsi" w:hAnsiTheme="minorHAnsi" w:cstheme="minorHAnsi"/>
        </w:rPr>
        <w:t xml:space="preserve">proven and effective </w:t>
      </w:r>
      <w:r w:rsidR="005C7CC2" w:rsidRPr="0008336C">
        <w:rPr>
          <w:rFonts w:asciiTheme="minorHAnsi" w:hAnsiTheme="minorHAnsi" w:cstheme="minorHAnsi"/>
        </w:rPr>
        <w:t>national model to ensure that the Center has appropriate staff</w:t>
      </w:r>
      <w:r w:rsidR="00406A39">
        <w:rPr>
          <w:rFonts w:asciiTheme="minorHAnsi" w:hAnsiTheme="minorHAnsi" w:cstheme="minorHAnsi"/>
        </w:rPr>
        <w:t>ing</w:t>
      </w:r>
      <w:r w:rsidR="005C7CC2" w:rsidRPr="0008336C">
        <w:rPr>
          <w:rFonts w:asciiTheme="minorHAnsi" w:hAnsiTheme="minorHAnsi" w:cstheme="minorHAnsi"/>
        </w:rPr>
        <w:t>, equipment, and supplies necessary to meet patient needs</w:t>
      </w:r>
      <w:r w:rsidR="00406A39">
        <w:rPr>
          <w:rFonts w:asciiTheme="minorHAnsi" w:hAnsiTheme="minorHAnsi" w:cstheme="minorHAnsi"/>
        </w:rPr>
        <w:t xml:space="preserve"> upon opening.</w:t>
      </w:r>
      <w:r w:rsidR="000F228E">
        <w:rPr>
          <w:rFonts w:asciiTheme="minorHAnsi" w:hAnsiTheme="minorHAnsi" w:cstheme="minorHAnsi"/>
        </w:rPr>
        <w:t xml:space="preserve">  </w:t>
      </w:r>
      <w:r w:rsidR="002638F7" w:rsidRPr="007A45EA">
        <w:rPr>
          <w:rFonts w:asciiTheme="minorHAnsi" w:hAnsiTheme="minorHAnsi" w:cstheme="minorHAnsi"/>
        </w:rPr>
        <w:t>Consistent with the HPC’s 2024 Report: Trends in ASCs in Massachusetts</w:t>
      </w:r>
      <w:r w:rsidR="002638F7" w:rsidRPr="007A45EA">
        <w:rPr>
          <w:rStyle w:val="FootnoteReference"/>
          <w:rFonts w:asciiTheme="minorHAnsi" w:hAnsiTheme="minorHAnsi" w:cstheme="minorHAnsi"/>
        </w:rPr>
        <w:footnoteReference w:id="35"/>
      </w:r>
      <w:r w:rsidR="00406A39">
        <w:rPr>
          <w:rFonts w:asciiTheme="minorHAnsi" w:hAnsiTheme="minorHAnsi" w:cstheme="minorHAnsi"/>
        </w:rPr>
        <w:t>,</w:t>
      </w:r>
      <w:r w:rsidR="002638F7" w:rsidRPr="007A45EA">
        <w:rPr>
          <w:rFonts w:asciiTheme="minorHAnsi" w:hAnsiTheme="minorHAnsi" w:cstheme="minorHAnsi"/>
        </w:rPr>
        <w:t>2023 Cost Trends Report</w:t>
      </w:r>
      <w:r w:rsidR="002638F7" w:rsidRPr="007A45EA">
        <w:rPr>
          <w:rStyle w:val="FootnoteReference"/>
          <w:rFonts w:asciiTheme="minorHAnsi" w:hAnsiTheme="minorHAnsi" w:cstheme="minorHAnsi"/>
        </w:rPr>
        <w:footnoteReference w:id="36"/>
      </w:r>
      <w:r w:rsidR="00406A39">
        <w:rPr>
          <w:rFonts w:asciiTheme="minorHAnsi" w:hAnsiTheme="minorHAnsi" w:cstheme="minorHAnsi"/>
        </w:rPr>
        <w:t>,</w:t>
      </w:r>
      <w:r w:rsidR="002638F7" w:rsidRPr="007A45EA">
        <w:rPr>
          <w:rFonts w:asciiTheme="minorHAnsi" w:hAnsiTheme="minorHAnsi" w:cstheme="minorHAnsi"/>
        </w:rPr>
        <w:t xml:space="preserve"> </w:t>
      </w:r>
      <w:r w:rsidR="002638F7" w:rsidRPr="00E61502">
        <w:rPr>
          <w:rFonts w:asciiTheme="minorHAnsi" w:hAnsiTheme="minorHAnsi" w:cstheme="minorHAnsi"/>
        </w:rPr>
        <w:t xml:space="preserve">and DPH’s 2017 changes to the </w:t>
      </w:r>
      <w:proofErr w:type="spellStart"/>
      <w:r w:rsidR="002638F7" w:rsidRPr="00E61502">
        <w:rPr>
          <w:rFonts w:asciiTheme="minorHAnsi" w:hAnsiTheme="minorHAnsi" w:cstheme="minorHAnsi"/>
        </w:rPr>
        <w:t>DoN</w:t>
      </w:r>
      <w:proofErr w:type="spellEnd"/>
      <w:r w:rsidR="002638F7" w:rsidRPr="00E61502">
        <w:rPr>
          <w:rFonts w:asciiTheme="minorHAnsi" w:hAnsiTheme="minorHAnsi" w:cstheme="minorHAnsi"/>
        </w:rPr>
        <w:t xml:space="preserve"> Program</w:t>
      </w:r>
      <w:r w:rsidR="002638F7" w:rsidRPr="00E61502">
        <w:rPr>
          <w:rStyle w:val="FootnoteReference"/>
          <w:rFonts w:asciiTheme="minorHAnsi" w:hAnsiTheme="minorHAnsi" w:cstheme="minorHAnsi"/>
        </w:rPr>
        <w:footnoteReference w:id="37"/>
      </w:r>
      <w:r w:rsidR="002638F7" w:rsidRPr="00E61502">
        <w:rPr>
          <w:rFonts w:asciiTheme="minorHAnsi" w:hAnsiTheme="minorHAnsi" w:cstheme="minorHAnsi"/>
        </w:rPr>
        <w:t>, the</w:t>
      </w:r>
      <w:r w:rsidR="002638F7" w:rsidRPr="007A45EA">
        <w:rPr>
          <w:rFonts w:asciiTheme="minorHAnsi" w:hAnsiTheme="minorHAnsi" w:cstheme="minorHAnsi"/>
        </w:rPr>
        <w:t xml:space="preserve"> Proposed Project will compete based on price</w:t>
      </w:r>
      <w:r w:rsidR="00D26DED">
        <w:rPr>
          <w:rFonts w:asciiTheme="minorHAnsi" w:hAnsiTheme="minorHAnsi" w:cstheme="minorHAnsi"/>
        </w:rPr>
        <w:t xml:space="preserve"> </w:t>
      </w:r>
      <w:r w:rsidR="00406A39">
        <w:rPr>
          <w:rFonts w:asciiTheme="minorHAnsi" w:hAnsiTheme="minorHAnsi" w:cstheme="minorHAnsi"/>
        </w:rPr>
        <w:t>by</w:t>
      </w:r>
      <w:r w:rsidR="002638F7" w:rsidRPr="007A45EA">
        <w:rPr>
          <w:rFonts w:asciiTheme="minorHAnsi" w:hAnsiTheme="minorHAnsi" w:cstheme="minorHAnsi"/>
        </w:rPr>
        <w:t xml:space="preserve"> provid</w:t>
      </w:r>
      <w:r w:rsidR="00406A39">
        <w:rPr>
          <w:rFonts w:asciiTheme="minorHAnsi" w:hAnsiTheme="minorHAnsi" w:cstheme="minorHAnsi"/>
        </w:rPr>
        <w:t>ing</w:t>
      </w:r>
      <w:r w:rsidR="002638F7" w:rsidRPr="007A45EA">
        <w:rPr>
          <w:rFonts w:asciiTheme="minorHAnsi" w:hAnsiTheme="minorHAnsi" w:cstheme="minorHAnsi"/>
        </w:rPr>
        <w:t xml:space="preserve"> a lower cost alternative to high cost </w:t>
      </w:r>
      <w:r w:rsidR="00CD45A6">
        <w:rPr>
          <w:rFonts w:asciiTheme="minorHAnsi" w:hAnsiTheme="minorHAnsi" w:cstheme="minorHAnsi"/>
        </w:rPr>
        <w:t>HOPDs</w:t>
      </w:r>
      <w:r w:rsidR="00CD45A6" w:rsidRPr="007A45EA">
        <w:rPr>
          <w:rFonts w:asciiTheme="minorHAnsi" w:hAnsiTheme="minorHAnsi" w:cstheme="minorHAnsi"/>
        </w:rPr>
        <w:t xml:space="preserve"> for</w:t>
      </w:r>
      <w:r w:rsidR="002638F7" w:rsidRPr="007A45EA">
        <w:rPr>
          <w:rFonts w:asciiTheme="minorHAnsi" w:hAnsiTheme="minorHAnsi" w:cstheme="minorHAnsi"/>
        </w:rPr>
        <w:t xml:space="preserve"> the same </w:t>
      </w:r>
      <w:r w:rsidR="000D1D99">
        <w:rPr>
          <w:rFonts w:asciiTheme="minorHAnsi" w:hAnsiTheme="minorHAnsi" w:cstheme="minorHAnsi"/>
        </w:rPr>
        <w:t xml:space="preserve">High Acuity </w:t>
      </w:r>
      <w:r w:rsidR="002638F7" w:rsidRPr="007A45EA">
        <w:rPr>
          <w:rFonts w:asciiTheme="minorHAnsi" w:hAnsiTheme="minorHAnsi" w:cstheme="minorHAnsi"/>
        </w:rPr>
        <w:t xml:space="preserve">Dental </w:t>
      </w:r>
      <w:r w:rsidR="00A664FF">
        <w:rPr>
          <w:rFonts w:asciiTheme="minorHAnsi" w:hAnsiTheme="minorHAnsi" w:cstheme="minorHAnsi"/>
        </w:rPr>
        <w:t>Surgery</w:t>
      </w:r>
      <w:r w:rsidR="002638F7" w:rsidRPr="007A45EA">
        <w:rPr>
          <w:rStyle w:val="FootnoteReference"/>
          <w:rFonts w:asciiTheme="minorHAnsi" w:hAnsiTheme="minorHAnsi" w:cstheme="minorHAnsi"/>
        </w:rPr>
        <w:footnoteReference w:id="38"/>
      </w:r>
      <w:r w:rsidR="002638F7" w:rsidRPr="007A45EA">
        <w:rPr>
          <w:rFonts w:asciiTheme="minorHAnsi" w:hAnsiTheme="minorHAnsi" w:cstheme="minorHAnsi"/>
        </w:rPr>
        <w:t xml:space="preserve"> </w:t>
      </w:r>
      <w:r w:rsidR="00C65D8B">
        <w:rPr>
          <w:rFonts w:asciiTheme="minorHAnsi" w:hAnsiTheme="minorHAnsi" w:cstheme="minorHAnsi"/>
        </w:rPr>
        <w:t xml:space="preserve"> </w:t>
      </w:r>
      <w:r w:rsidR="004B4CCC">
        <w:rPr>
          <w:rFonts w:asciiTheme="minorHAnsi" w:hAnsiTheme="minorHAnsi" w:cstheme="minorHAnsi"/>
        </w:rPr>
        <w:t>A</w:t>
      </w:r>
      <w:r w:rsidR="00406A39">
        <w:rPr>
          <w:rFonts w:asciiTheme="minorHAnsi" w:hAnsiTheme="minorHAnsi" w:cstheme="minorHAnsi"/>
        </w:rPr>
        <w:t>SC</w:t>
      </w:r>
      <w:r w:rsidR="004B4CCC">
        <w:rPr>
          <w:rFonts w:asciiTheme="minorHAnsi" w:hAnsiTheme="minorHAnsi" w:cstheme="minorHAnsi"/>
        </w:rPr>
        <w:t xml:space="preserve"> reimbursement is approximately 40-45</w:t>
      </w:r>
      <w:r w:rsidR="00CC1FB5" w:rsidRPr="00CC1FB5">
        <w:rPr>
          <w:rFonts w:asciiTheme="minorHAnsi" w:hAnsiTheme="minorHAnsi" w:cstheme="minorHAnsi"/>
          <w:szCs w:val="24"/>
        </w:rPr>
        <w:t xml:space="preserve"> </w:t>
      </w:r>
      <w:r w:rsidR="00CC1FB5">
        <w:rPr>
          <w:rFonts w:asciiTheme="minorHAnsi" w:hAnsiTheme="minorHAnsi" w:cstheme="minorHAnsi"/>
          <w:szCs w:val="24"/>
        </w:rPr>
        <w:t>percent</w:t>
      </w:r>
      <w:r w:rsidR="004B4CCC">
        <w:rPr>
          <w:rFonts w:asciiTheme="minorHAnsi" w:hAnsiTheme="minorHAnsi" w:cstheme="minorHAnsi"/>
        </w:rPr>
        <w:t xml:space="preserve"> of the HOPD reimbursement. </w:t>
      </w:r>
      <w:r w:rsidR="00C65D8B">
        <w:rPr>
          <w:rFonts w:asciiTheme="minorHAnsi" w:hAnsiTheme="minorHAnsi" w:cstheme="minorHAnsi"/>
        </w:rPr>
        <w:t xml:space="preserve"> On average</w:t>
      </w:r>
      <w:r w:rsidR="00406A39">
        <w:rPr>
          <w:rFonts w:asciiTheme="minorHAnsi" w:hAnsiTheme="minorHAnsi" w:cstheme="minorHAnsi"/>
        </w:rPr>
        <w:t>,</w:t>
      </w:r>
      <w:r w:rsidR="00C65D8B">
        <w:rPr>
          <w:rFonts w:asciiTheme="minorHAnsi" w:hAnsiTheme="minorHAnsi" w:cstheme="minorHAnsi"/>
        </w:rPr>
        <w:t xml:space="preserve"> HOPD facility </w:t>
      </w:r>
      <w:proofErr w:type="gramStart"/>
      <w:r w:rsidR="00C65D8B">
        <w:rPr>
          <w:rFonts w:asciiTheme="minorHAnsi" w:hAnsiTheme="minorHAnsi" w:cstheme="minorHAnsi"/>
        </w:rPr>
        <w:t>fee  reimbursement</w:t>
      </w:r>
      <w:proofErr w:type="gramEnd"/>
      <w:r w:rsidR="00C65D8B">
        <w:rPr>
          <w:rFonts w:asciiTheme="minorHAnsi" w:hAnsiTheme="minorHAnsi" w:cstheme="minorHAnsi"/>
        </w:rPr>
        <w:t xml:space="preserve"> for the High Acuity Dental Surgery is approximately $3,200.</w:t>
      </w:r>
      <w:r w:rsidR="00D26DED">
        <w:rPr>
          <w:rFonts w:asciiTheme="minorHAnsi" w:hAnsiTheme="minorHAnsi" w:cstheme="minorHAnsi"/>
        </w:rPr>
        <w:t xml:space="preserve">  </w:t>
      </w:r>
      <w:r w:rsidR="00406A39">
        <w:rPr>
          <w:rFonts w:asciiTheme="minorHAnsi" w:hAnsiTheme="minorHAnsi" w:cstheme="minorHAnsi"/>
        </w:rPr>
        <w:t xml:space="preserve">In contrast, </w:t>
      </w:r>
      <w:r w:rsidR="00C65D8B">
        <w:rPr>
          <w:rFonts w:asciiTheme="minorHAnsi" w:hAnsiTheme="minorHAnsi" w:cstheme="minorHAnsi"/>
        </w:rPr>
        <w:t>ASC facility fee reimbursement for the same surger</w:t>
      </w:r>
      <w:r w:rsidR="00D26DED">
        <w:rPr>
          <w:rFonts w:asciiTheme="minorHAnsi" w:hAnsiTheme="minorHAnsi" w:cstheme="minorHAnsi"/>
        </w:rPr>
        <w:t>y</w:t>
      </w:r>
      <w:r w:rsidR="00C65D8B">
        <w:rPr>
          <w:rFonts w:asciiTheme="minorHAnsi" w:hAnsiTheme="minorHAnsi" w:cstheme="minorHAnsi"/>
        </w:rPr>
        <w:t xml:space="preserve"> is approximately $1,400, </w:t>
      </w:r>
      <w:r w:rsidR="00406A39">
        <w:rPr>
          <w:rFonts w:asciiTheme="minorHAnsi" w:hAnsiTheme="minorHAnsi" w:cstheme="minorHAnsi"/>
        </w:rPr>
        <w:t>equaling a</w:t>
      </w:r>
      <w:r w:rsidR="00C65D8B">
        <w:rPr>
          <w:rFonts w:asciiTheme="minorHAnsi" w:hAnsiTheme="minorHAnsi" w:cstheme="minorHAnsi"/>
        </w:rPr>
        <w:t xml:space="preserve"> savings of </w:t>
      </w:r>
      <w:r w:rsidR="004B4CCC">
        <w:rPr>
          <w:rFonts w:asciiTheme="minorHAnsi" w:hAnsiTheme="minorHAnsi" w:cstheme="minorHAnsi"/>
        </w:rPr>
        <w:t xml:space="preserve">approximately </w:t>
      </w:r>
      <w:r w:rsidR="00C65D8B">
        <w:rPr>
          <w:rFonts w:asciiTheme="minorHAnsi" w:hAnsiTheme="minorHAnsi" w:cstheme="minorHAnsi"/>
        </w:rPr>
        <w:t xml:space="preserve">$1,800 per case.  </w:t>
      </w:r>
      <w:proofErr w:type="gramStart"/>
      <w:r w:rsidR="00C65D8B">
        <w:rPr>
          <w:rFonts w:asciiTheme="minorHAnsi" w:hAnsiTheme="minorHAnsi" w:cstheme="minorHAnsi"/>
        </w:rPr>
        <w:t>Assuming  the</w:t>
      </w:r>
      <w:proofErr w:type="gramEnd"/>
      <w:r w:rsidR="00C65D8B">
        <w:rPr>
          <w:rFonts w:asciiTheme="minorHAnsi" w:hAnsiTheme="minorHAnsi" w:cstheme="minorHAnsi"/>
        </w:rPr>
        <w:t xml:space="preserve"> Applicant’s projected </w:t>
      </w:r>
      <w:r w:rsidR="00E61502">
        <w:rPr>
          <w:rFonts w:asciiTheme="minorHAnsi" w:hAnsiTheme="minorHAnsi" w:cstheme="minorHAnsi"/>
        </w:rPr>
        <w:t>volume for Year</w:t>
      </w:r>
      <w:r w:rsidR="00C65D8B">
        <w:rPr>
          <w:rFonts w:asciiTheme="minorHAnsi" w:hAnsiTheme="minorHAnsi" w:cstheme="minorHAnsi"/>
        </w:rPr>
        <w:t xml:space="preserve"> </w:t>
      </w:r>
      <w:r w:rsidR="00E61502">
        <w:rPr>
          <w:rFonts w:asciiTheme="minorHAnsi" w:hAnsiTheme="minorHAnsi" w:cstheme="minorHAnsi"/>
        </w:rPr>
        <w:t xml:space="preserve">5 </w:t>
      </w:r>
      <w:r w:rsidR="00C65D8B">
        <w:rPr>
          <w:rFonts w:asciiTheme="minorHAnsi" w:hAnsiTheme="minorHAnsi" w:cstheme="minorHAnsi"/>
        </w:rPr>
        <w:t>of the Proposed Project</w:t>
      </w:r>
      <w:r w:rsidR="00E61502">
        <w:rPr>
          <w:rFonts w:asciiTheme="minorHAnsi" w:hAnsiTheme="minorHAnsi" w:cstheme="minorHAnsi"/>
        </w:rPr>
        <w:t xml:space="preserve"> </w:t>
      </w:r>
      <w:r w:rsidR="00B54691">
        <w:rPr>
          <w:rFonts w:asciiTheme="minorHAnsi" w:hAnsiTheme="minorHAnsi" w:cstheme="minorHAnsi"/>
        </w:rPr>
        <w:t>is</w:t>
      </w:r>
      <w:r w:rsidR="00E61502">
        <w:rPr>
          <w:rFonts w:asciiTheme="minorHAnsi" w:hAnsiTheme="minorHAnsi" w:cstheme="minorHAnsi"/>
        </w:rPr>
        <w:t xml:space="preserve"> p</w:t>
      </w:r>
      <w:r w:rsidR="004B4CCC">
        <w:rPr>
          <w:rFonts w:asciiTheme="minorHAnsi" w:hAnsiTheme="minorHAnsi" w:cstheme="minorHAnsi"/>
        </w:rPr>
        <w:t xml:space="preserve">erformed at the Center rather than </w:t>
      </w:r>
      <w:r w:rsidR="00B54691">
        <w:rPr>
          <w:rFonts w:asciiTheme="minorHAnsi" w:hAnsiTheme="minorHAnsi" w:cstheme="minorHAnsi"/>
        </w:rPr>
        <w:t>an HOPD</w:t>
      </w:r>
      <w:r w:rsidR="00E61502">
        <w:rPr>
          <w:rFonts w:asciiTheme="minorHAnsi" w:hAnsiTheme="minorHAnsi" w:cstheme="minorHAnsi"/>
        </w:rPr>
        <w:t xml:space="preserve">, </w:t>
      </w:r>
      <w:r w:rsidR="00406A39">
        <w:rPr>
          <w:rFonts w:asciiTheme="minorHAnsi" w:hAnsiTheme="minorHAnsi" w:cstheme="minorHAnsi"/>
        </w:rPr>
        <w:t xml:space="preserve">the resulting </w:t>
      </w:r>
      <w:r w:rsidR="00B54691">
        <w:rPr>
          <w:rFonts w:asciiTheme="minorHAnsi" w:hAnsiTheme="minorHAnsi" w:cstheme="minorHAnsi"/>
        </w:rPr>
        <w:t>cost</w:t>
      </w:r>
      <w:r w:rsidR="00C65D8B">
        <w:rPr>
          <w:rFonts w:asciiTheme="minorHAnsi" w:hAnsiTheme="minorHAnsi" w:cstheme="minorHAnsi"/>
        </w:rPr>
        <w:t xml:space="preserve"> savings</w:t>
      </w:r>
      <w:r w:rsidR="00406A39">
        <w:rPr>
          <w:rFonts w:asciiTheme="minorHAnsi" w:hAnsiTheme="minorHAnsi" w:cstheme="minorHAnsi"/>
        </w:rPr>
        <w:t xml:space="preserve"> could reach an estimated</w:t>
      </w:r>
      <w:r w:rsidR="002D0280">
        <w:rPr>
          <w:rFonts w:asciiTheme="minorHAnsi" w:hAnsiTheme="minorHAnsi" w:cstheme="minorHAnsi"/>
        </w:rPr>
        <w:t xml:space="preserve"> </w:t>
      </w:r>
      <w:r w:rsidR="00E61502">
        <w:rPr>
          <w:rFonts w:asciiTheme="minorHAnsi" w:hAnsiTheme="minorHAnsi" w:cstheme="minorHAnsi"/>
        </w:rPr>
        <w:t xml:space="preserve">$6,700,000. </w:t>
      </w:r>
      <w:r w:rsidR="00C65D8B">
        <w:rPr>
          <w:rFonts w:asciiTheme="minorHAnsi" w:hAnsiTheme="minorHAnsi" w:cstheme="minorHAnsi"/>
        </w:rPr>
        <w:t xml:space="preserve">   </w:t>
      </w:r>
    </w:p>
    <w:p w14:paraId="3A909810" w14:textId="77777777" w:rsidR="00266A51" w:rsidRDefault="00266A51" w:rsidP="0052404E">
      <w:pPr>
        <w:autoSpaceDE w:val="0"/>
        <w:autoSpaceDN w:val="0"/>
        <w:adjustRightInd w:val="0"/>
        <w:spacing w:after="0"/>
        <w:jc w:val="both"/>
        <w:rPr>
          <w:rFonts w:asciiTheme="minorHAnsi" w:hAnsiTheme="minorHAnsi" w:cstheme="minorHAnsi"/>
        </w:rPr>
      </w:pPr>
    </w:p>
    <w:p w14:paraId="39118FC2" w14:textId="31060669" w:rsidR="00E74528" w:rsidRDefault="0008336C" w:rsidP="00E61502">
      <w:pPr>
        <w:jc w:val="both"/>
        <w:rPr>
          <w:rFonts w:asciiTheme="minorHAnsi" w:hAnsiTheme="minorHAnsi" w:cstheme="minorHAnsi"/>
        </w:rPr>
      </w:pPr>
      <w:r>
        <w:rPr>
          <w:rFonts w:asciiTheme="minorHAnsi" w:hAnsiTheme="minorHAnsi" w:cstheme="minorHAnsi"/>
        </w:rPr>
        <w:lastRenderedPageBreak/>
        <w:t xml:space="preserve">It is important to recognize that even though there are cost savings with the Proposed Project, </w:t>
      </w:r>
      <w:r w:rsidR="00E61502">
        <w:rPr>
          <w:rFonts w:asciiTheme="minorHAnsi" w:hAnsiTheme="minorHAnsi" w:cstheme="minorHAnsi"/>
        </w:rPr>
        <w:t>it</w:t>
      </w:r>
      <w:r>
        <w:rPr>
          <w:rFonts w:asciiTheme="minorHAnsi" w:hAnsiTheme="minorHAnsi" w:cstheme="minorHAnsi"/>
        </w:rPr>
        <w:t xml:space="preserve"> is not a replacement for the High Acuity Dental Surgeries being performed in an HOPD.  </w:t>
      </w:r>
      <w:r w:rsidR="00D82D0E">
        <w:rPr>
          <w:rFonts w:asciiTheme="minorHAnsi" w:hAnsiTheme="minorHAnsi" w:cstheme="minorHAnsi"/>
        </w:rPr>
        <w:t>There are</w:t>
      </w:r>
      <w:r>
        <w:rPr>
          <w:rFonts w:asciiTheme="minorHAnsi" w:hAnsiTheme="minorHAnsi" w:cstheme="minorHAnsi"/>
        </w:rPr>
        <w:t xml:space="preserve"> medically necessary reasons</w:t>
      </w:r>
      <w:r w:rsidR="00D82D0E">
        <w:rPr>
          <w:rFonts w:asciiTheme="minorHAnsi" w:hAnsiTheme="minorHAnsi" w:cstheme="minorHAnsi"/>
        </w:rPr>
        <w:t xml:space="preserve"> or behavioral complexities</w:t>
      </w:r>
      <w:r>
        <w:rPr>
          <w:rFonts w:asciiTheme="minorHAnsi" w:hAnsiTheme="minorHAnsi" w:cstheme="minorHAnsi"/>
        </w:rPr>
        <w:t xml:space="preserve"> that </w:t>
      </w:r>
      <w:r w:rsidR="00D82D0E">
        <w:rPr>
          <w:rFonts w:asciiTheme="minorHAnsi" w:hAnsiTheme="minorHAnsi" w:cstheme="minorHAnsi"/>
        </w:rPr>
        <w:t xml:space="preserve">require </w:t>
      </w:r>
      <w:r>
        <w:rPr>
          <w:rFonts w:asciiTheme="minorHAnsi" w:hAnsiTheme="minorHAnsi" w:cstheme="minorHAnsi"/>
        </w:rPr>
        <w:t xml:space="preserve">certain patients </w:t>
      </w:r>
      <w:r w:rsidR="00D82D0E">
        <w:rPr>
          <w:rFonts w:asciiTheme="minorHAnsi" w:hAnsiTheme="minorHAnsi" w:cstheme="minorHAnsi"/>
        </w:rPr>
        <w:t>to receive care in an HOPD</w:t>
      </w:r>
      <w:r w:rsidR="00E74528">
        <w:rPr>
          <w:rStyle w:val="FootnoteReference"/>
          <w:rFonts w:asciiTheme="minorHAnsi" w:hAnsiTheme="minorHAnsi" w:cstheme="minorHAnsi"/>
        </w:rPr>
        <w:footnoteReference w:id="39"/>
      </w:r>
      <w:r w:rsidR="00D82D0E">
        <w:rPr>
          <w:rFonts w:asciiTheme="minorHAnsi" w:hAnsiTheme="minorHAnsi" w:cstheme="minorHAnsi"/>
        </w:rPr>
        <w:t>.  In addition,</w:t>
      </w:r>
      <w:r w:rsidR="00215386">
        <w:rPr>
          <w:rFonts w:asciiTheme="minorHAnsi" w:hAnsiTheme="minorHAnsi" w:cstheme="minorHAnsi"/>
        </w:rPr>
        <w:t xml:space="preserve"> as mentioned above,</w:t>
      </w:r>
      <w:r w:rsidR="00D82D0E">
        <w:rPr>
          <w:rFonts w:asciiTheme="minorHAnsi" w:hAnsiTheme="minorHAnsi" w:cstheme="minorHAnsi"/>
        </w:rPr>
        <w:t xml:space="preserve"> </w:t>
      </w:r>
      <w:r>
        <w:rPr>
          <w:rFonts w:asciiTheme="minorHAnsi" w:hAnsiTheme="minorHAnsi" w:cstheme="minorHAnsi"/>
        </w:rPr>
        <w:t xml:space="preserve">the system </w:t>
      </w:r>
      <w:r w:rsidR="00215386">
        <w:rPr>
          <w:rFonts w:asciiTheme="minorHAnsi" w:hAnsiTheme="minorHAnsi" w:cstheme="minorHAnsi"/>
        </w:rPr>
        <w:t xml:space="preserve">does </w:t>
      </w:r>
      <w:r>
        <w:rPr>
          <w:rFonts w:asciiTheme="minorHAnsi" w:hAnsiTheme="minorHAnsi" w:cstheme="minorHAnsi"/>
        </w:rPr>
        <w:t>appear to be</w:t>
      </w:r>
      <w:r w:rsidR="00215386">
        <w:rPr>
          <w:rFonts w:asciiTheme="minorHAnsi" w:hAnsiTheme="minorHAnsi" w:cstheme="minorHAnsi"/>
        </w:rPr>
        <w:t xml:space="preserve"> operating</w:t>
      </w:r>
      <w:r>
        <w:rPr>
          <w:rFonts w:asciiTheme="minorHAnsi" w:hAnsiTheme="minorHAnsi" w:cstheme="minorHAnsi"/>
        </w:rPr>
        <w:t xml:space="preserve"> at </w:t>
      </w:r>
      <w:r w:rsidR="00215386">
        <w:rPr>
          <w:rFonts w:asciiTheme="minorHAnsi" w:hAnsiTheme="minorHAnsi" w:cstheme="minorHAnsi"/>
        </w:rPr>
        <w:t xml:space="preserve">maximum </w:t>
      </w:r>
      <w:r>
        <w:rPr>
          <w:rFonts w:asciiTheme="minorHAnsi" w:hAnsiTheme="minorHAnsi" w:cstheme="minorHAnsi"/>
        </w:rPr>
        <w:t>capacity</w:t>
      </w:r>
      <w:r w:rsidR="00421D44">
        <w:rPr>
          <w:rFonts w:asciiTheme="minorHAnsi" w:hAnsiTheme="minorHAnsi" w:cstheme="minorHAnsi"/>
        </w:rPr>
        <w:t xml:space="preserve"> </w:t>
      </w:r>
      <w:r w:rsidR="00215386">
        <w:rPr>
          <w:rFonts w:asciiTheme="minorHAnsi" w:hAnsiTheme="minorHAnsi" w:cstheme="minorHAnsi"/>
        </w:rPr>
        <w:t>already</w:t>
      </w:r>
      <w:r>
        <w:rPr>
          <w:rFonts w:asciiTheme="minorHAnsi" w:hAnsiTheme="minorHAnsi" w:cstheme="minorHAnsi"/>
        </w:rPr>
        <w:t xml:space="preserve">.  </w:t>
      </w:r>
      <w:r w:rsidR="0052404E" w:rsidRPr="0052404E">
        <w:rPr>
          <w:rFonts w:asciiTheme="minorHAnsi" w:hAnsiTheme="minorHAnsi" w:cstheme="minorHAnsi"/>
        </w:rPr>
        <w:t>The introduction of ASCs has been shown to substantially expand capacity</w:t>
      </w:r>
      <w:r w:rsidR="0052404E">
        <w:rPr>
          <w:rFonts w:asciiTheme="minorHAnsi" w:hAnsiTheme="minorHAnsi" w:cstheme="minorHAnsi"/>
        </w:rPr>
        <w:t xml:space="preserve"> and </w:t>
      </w:r>
      <w:r w:rsidR="00215386">
        <w:rPr>
          <w:rFonts w:asciiTheme="minorHAnsi" w:hAnsiTheme="minorHAnsi" w:cstheme="minorHAnsi"/>
        </w:rPr>
        <w:t xml:space="preserve">have a positive </w:t>
      </w:r>
      <w:r w:rsidR="0052404E">
        <w:rPr>
          <w:rFonts w:asciiTheme="minorHAnsi" w:hAnsiTheme="minorHAnsi" w:cstheme="minorHAnsi"/>
        </w:rPr>
        <w:t>impact through</w:t>
      </w:r>
      <w:r w:rsidR="00215386">
        <w:rPr>
          <w:rFonts w:asciiTheme="minorHAnsi" w:hAnsiTheme="minorHAnsi" w:cstheme="minorHAnsi"/>
        </w:rPr>
        <w:t>o</w:t>
      </w:r>
      <w:r w:rsidR="0052404E">
        <w:rPr>
          <w:rFonts w:asciiTheme="minorHAnsi" w:hAnsiTheme="minorHAnsi" w:cstheme="minorHAnsi"/>
        </w:rPr>
        <w:t>ut</w:t>
      </w:r>
      <w:r w:rsidR="00215386">
        <w:rPr>
          <w:rFonts w:asciiTheme="minorHAnsi" w:hAnsiTheme="minorHAnsi" w:cstheme="minorHAnsi"/>
        </w:rPr>
        <w:t xml:space="preserve"> systems</w:t>
      </w:r>
      <w:r w:rsidR="0052404E">
        <w:rPr>
          <w:rFonts w:asciiTheme="minorHAnsi" w:hAnsiTheme="minorHAnsi" w:cstheme="minorHAnsi"/>
        </w:rPr>
        <w:t>, not me</w:t>
      </w:r>
      <w:r w:rsidR="0052404E" w:rsidRPr="0052404E">
        <w:rPr>
          <w:rFonts w:asciiTheme="minorHAnsi" w:hAnsiTheme="minorHAnsi" w:cstheme="minorHAnsi"/>
        </w:rPr>
        <w:t xml:space="preserve">rely </w:t>
      </w:r>
      <w:r w:rsidR="00215386">
        <w:rPr>
          <w:rFonts w:asciiTheme="minorHAnsi" w:hAnsiTheme="minorHAnsi" w:cstheme="minorHAnsi"/>
        </w:rPr>
        <w:t xml:space="preserve">having a </w:t>
      </w:r>
      <w:r w:rsidR="0052404E" w:rsidRPr="0052404E">
        <w:rPr>
          <w:rFonts w:asciiTheme="minorHAnsi" w:hAnsiTheme="minorHAnsi" w:cstheme="minorHAnsi"/>
        </w:rPr>
        <w:t>redistribut</w:t>
      </w:r>
      <w:r w:rsidR="00215386">
        <w:rPr>
          <w:rFonts w:asciiTheme="minorHAnsi" w:hAnsiTheme="minorHAnsi" w:cstheme="minorHAnsi"/>
        </w:rPr>
        <w:t>ive effect on</w:t>
      </w:r>
      <w:r w:rsidR="0052404E" w:rsidRPr="0052404E">
        <w:rPr>
          <w:rFonts w:asciiTheme="minorHAnsi" w:hAnsiTheme="minorHAnsi" w:cstheme="minorHAnsi"/>
        </w:rPr>
        <w:t xml:space="preserve"> cas</w:t>
      </w:r>
      <w:r w:rsidR="0052404E">
        <w:rPr>
          <w:rFonts w:asciiTheme="minorHAnsi" w:hAnsiTheme="minorHAnsi" w:cstheme="minorHAnsi"/>
        </w:rPr>
        <w:t>e</w:t>
      </w:r>
      <w:r w:rsidR="00D82D0E">
        <w:rPr>
          <w:rFonts w:asciiTheme="minorHAnsi" w:hAnsiTheme="minorHAnsi" w:cstheme="minorHAnsi"/>
        </w:rPr>
        <w:t>s</w:t>
      </w:r>
      <w:r w:rsidR="0052404E" w:rsidRPr="0052404E">
        <w:rPr>
          <w:rFonts w:asciiTheme="minorHAnsi" w:hAnsiTheme="minorHAnsi" w:cstheme="minorHAnsi"/>
        </w:rPr>
        <w:t>.</w:t>
      </w:r>
      <w:r w:rsidR="0052404E">
        <w:rPr>
          <w:rStyle w:val="FootnoteReference"/>
          <w:rFonts w:asciiTheme="minorHAnsi" w:hAnsiTheme="minorHAnsi" w:cstheme="minorHAnsi"/>
        </w:rPr>
        <w:footnoteReference w:id="40"/>
      </w:r>
      <w:r w:rsidR="0052404E">
        <w:rPr>
          <w:rFonts w:asciiTheme="minorHAnsi" w:hAnsiTheme="minorHAnsi" w:cstheme="minorHAnsi"/>
        </w:rPr>
        <w:t xml:space="preserve">  </w:t>
      </w:r>
      <w:r w:rsidR="00E74528">
        <w:rPr>
          <w:rFonts w:asciiTheme="minorHAnsi" w:hAnsiTheme="minorHAnsi" w:cstheme="minorHAnsi"/>
        </w:rPr>
        <w:t>Accordingly, th</w:t>
      </w:r>
      <w:r w:rsidR="00215386">
        <w:rPr>
          <w:rFonts w:asciiTheme="minorHAnsi" w:hAnsiTheme="minorHAnsi" w:cstheme="minorHAnsi"/>
        </w:rPr>
        <w:t>e</w:t>
      </w:r>
      <w:r>
        <w:rPr>
          <w:rFonts w:asciiTheme="minorHAnsi" w:hAnsiTheme="minorHAnsi" w:cstheme="minorHAnsi"/>
        </w:rPr>
        <w:t xml:space="preserve"> increased access at a lower cost that </w:t>
      </w:r>
      <w:r w:rsidR="00215386">
        <w:rPr>
          <w:rFonts w:asciiTheme="minorHAnsi" w:hAnsiTheme="minorHAnsi" w:cstheme="minorHAnsi"/>
        </w:rPr>
        <w:t>the Proposed Project will enable ultimately</w:t>
      </w:r>
      <w:r>
        <w:rPr>
          <w:rFonts w:asciiTheme="minorHAnsi" w:hAnsiTheme="minorHAnsi" w:cstheme="minorHAnsi"/>
        </w:rPr>
        <w:t xml:space="preserve"> furthers</w:t>
      </w:r>
      <w:r w:rsidR="0052404E">
        <w:rPr>
          <w:rFonts w:asciiTheme="minorHAnsi" w:hAnsiTheme="minorHAnsi" w:cstheme="minorHAnsi"/>
        </w:rPr>
        <w:t xml:space="preserve"> </w:t>
      </w:r>
      <w:r>
        <w:rPr>
          <w:rFonts w:asciiTheme="minorHAnsi" w:hAnsiTheme="minorHAnsi" w:cstheme="minorHAnsi"/>
        </w:rPr>
        <w:t>the Commonwealth’s goals</w:t>
      </w:r>
      <w:r w:rsidR="00E61502">
        <w:rPr>
          <w:rFonts w:asciiTheme="minorHAnsi" w:hAnsiTheme="minorHAnsi" w:cstheme="minorHAnsi"/>
        </w:rPr>
        <w:t xml:space="preserve"> to increase capacity and improve long-term health </w:t>
      </w:r>
      <w:r w:rsidR="00B54691">
        <w:rPr>
          <w:rFonts w:asciiTheme="minorHAnsi" w:hAnsiTheme="minorHAnsi" w:cstheme="minorHAnsi"/>
        </w:rPr>
        <w:t>outcomes</w:t>
      </w:r>
      <w:r w:rsidR="00E61502">
        <w:rPr>
          <w:rFonts w:asciiTheme="minorHAnsi" w:hAnsiTheme="minorHAnsi" w:cstheme="minorHAnsi"/>
        </w:rPr>
        <w:t xml:space="preserve">.  </w:t>
      </w:r>
      <w:r>
        <w:rPr>
          <w:rFonts w:asciiTheme="minorHAnsi" w:hAnsiTheme="minorHAnsi" w:cstheme="minorHAnsi"/>
        </w:rPr>
        <w:t xml:space="preserve"> </w:t>
      </w:r>
    </w:p>
    <w:p w14:paraId="415C6863" w14:textId="2F40FC3B" w:rsidR="00D351C5" w:rsidRPr="007A45EA" w:rsidRDefault="00C34AF8" w:rsidP="00CE3D35">
      <w:pPr>
        <w:pStyle w:val="Heading3"/>
      </w:pPr>
      <w:r w:rsidRPr="007A45EA">
        <w:t>F1.b.i Public Health Value /Evidence-Based</w:t>
      </w:r>
    </w:p>
    <w:p w14:paraId="111D812C" w14:textId="0D148F3A" w:rsidR="00D351C5" w:rsidRDefault="00C34AF8" w:rsidP="00770FE6">
      <w:pPr>
        <w:autoSpaceDE w:val="0"/>
        <w:autoSpaceDN w:val="0"/>
        <w:adjustRightInd w:val="0"/>
        <w:spacing w:after="0" w:line="240" w:lineRule="auto"/>
        <w:jc w:val="both"/>
        <w:rPr>
          <w:rFonts w:asciiTheme="minorHAnsi" w:hAnsiTheme="minorHAnsi" w:cstheme="minorHAnsi"/>
          <w:b/>
          <w:szCs w:val="24"/>
        </w:rPr>
      </w:pPr>
      <w:r w:rsidRPr="007A45EA">
        <w:rPr>
          <w:rFonts w:asciiTheme="minorHAnsi" w:hAnsiTheme="minorHAnsi" w:cstheme="minorHAnsi"/>
          <w:b/>
          <w:szCs w:val="24"/>
        </w:rPr>
        <w:t xml:space="preserve">Provide information on the evidence-base for the Proposed Project. That is, how does the Proposed Project address the Need that Applicant has identified. </w:t>
      </w:r>
    </w:p>
    <w:p w14:paraId="12349F8D" w14:textId="77777777" w:rsidR="00074FE4" w:rsidRDefault="00074FE4" w:rsidP="00770FE6">
      <w:pPr>
        <w:autoSpaceDE w:val="0"/>
        <w:autoSpaceDN w:val="0"/>
        <w:adjustRightInd w:val="0"/>
        <w:spacing w:after="0" w:line="240" w:lineRule="auto"/>
        <w:jc w:val="both"/>
        <w:rPr>
          <w:rFonts w:asciiTheme="minorHAnsi" w:hAnsiTheme="minorHAnsi" w:cstheme="minorHAnsi"/>
          <w:b/>
          <w:szCs w:val="24"/>
        </w:rPr>
      </w:pPr>
    </w:p>
    <w:p w14:paraId="20141AA7" w14:textId="0812F01A" w:rsidR="00805E0A" w:rsidRPr="0051356D" w:rsidRDefault="0051356D" w:rsidP="00805E0A">
      <w:pPr>
        <w:spacing w:after="0"/>
        <w:jc w:val="both"/>
        <w:rPr>
          <w:rFonts w:asciiTheme="minorHAnsi" w:hAnsiTheme="minorHAnsi" w:cstheme="minorHAnsi"/>
        </w:rPr>
      </w:pPr>
      <w:r w:rsidRPr="0051356D">
        <w:rPr>
          <w:rFonts w:asciiTheme="minorHAnsi" w:hAnsiTheme="minorHAnsi" w:cstheme="minorHAnsi"/>
        </w:rPr>
        <w:t>The Proposed Project addresses an identified need by increasing access to necessary oral health services th</w:t>
      </w:r>
      <w:r w:rsidR="002D0280">
        <w:rPr>
          <w:rFonts w:asciiTheme="minorHAnsi" w:hAnsiTheme="minorHAnsi" w:cstheme="minorHAnsi"/>
        </w:rPr>
        <w:t>r</w:t>
      </w:r>
      <w:r w:rsidRPr="0051356D">
        <w:rPr>
          <w:rFonts w:asciiTheme="minorHAnsi" w:hAnsiTheme="minorHAnsi" w:cstheme="minorHAnsi"/>
        </w:rPr>
        <w:t xml:space="preserve">ough </w:t>
      </w:r>
      <w:r w:rsidR="00215386">
        <w:rPr>
          <w:rFonts w:asciiTheme="minorHAnsi" w:hAnsiTheme="minorHAnsi" w:cstheme="minorHAnsi"/>
        </w:rPr>
        <w:t>the provision of</w:t>
      </w:r>
      <w:r w:rsidR="00215386" w:rsidRPr="0051356D">
        <w:rPr>
          <w:rFonts w:asciiTheme="minorHAnsi" w:hAnsiTheme="minorHAnsi" w:cstheme="minorHAnsi"/>
        </w:rPr>
        <w:t xml:space="preserve"> </w:t>
      </w:r>
      <w:r w:rsidRPr="0051356D">
        <w:rPr>
          <w:rFonts w:asciiTheme="minorHAnsi" w:hAnsiTheme="minorHAnsi" w:cstheme="minorHAnsi"/>
        </w:rPr>
        <w:t>High Acuity Dental Surgeries to an identified underserved population in Massachusetts.</w:t>
      </w:r>
      <w:r w:rsidRPr="0051356D">
        <w:rPr>
          <w:rStyle w:val="FootnoteReference"/>
          <w:rFonts w:asciiTheme="minorHAnsi" w:hAnsiTheme="minorHAnsi" w:cstheme="minorHAnsi"/>
        </w:rPr>
        <w:footnoteReference w:id="41"/>
      </w:r>
      <w:r w:rsidRPr="0051356D">
        <w:rPr>
          <w:rFonts w:asciiTheme="minorHAnsi" w:hAnsiTheme="minorHAnsi" w:cstheme="minorHAnsi"/>
        </w:rPr>
        <w:t xml:space="preserve">   Over 15 years ago, the Patient Protection and Affordable Care Act (ACA) required health plans to extend health coverage</w:t>
      </w:r>
      <w:r w:rsidR="00215386">
        <w:rPr>
          <w:rFonts w:asciiTheme="minorHAnsi" w:hAnsiTheme="minorHAnsi" w:cstheme="minorHAnsi"/>
        </w:rPr>
        <w:t xml:space="preserve">. However, </w:t>
      </w:r>
      <w:r w:rsidRPr="0051356D">
        <w:rPr>
          <w:rFonts w:asciiTheme="minorHAnsi" w:hAnsiTheme="minorHAnsi" w:cstheme="minorHAnsi"/>
        </w:rPr>
        <w:t>dental care was largely excluded from this mandate</w:t>
      </w:r>
      <w:r w:rsidR="00215386">
        <w:rPr>
          <w:rFonts w:asciiTheme="minorHAnsi" w:hAnsiTheme="minorHAnsi" w:cstheme="minorHAnsi"/>
        </w:rPr>
        <w:t>,</w:t>
      </w:r>
      <w:r w:rsidRPr="0051356D">
        <w:rPr>
          <w:rFonts w:asciiTheme="minorHAnsi" w:hAnsiTheme="minorHAnsi" w:cstheme="minorHAnsi"/>
        </w:rPr>
        <w:t xml:space="preserve"> which has had ripplin</w:t>
      </w:r>
      <w:r w:rsidR="00805E0A">
        <w:rPr>
          <w:rFonts w:asciiTheme="minorHAnsi" w:hAnsiTheme="minorHAnsi" w:cstheme="minorHAnsi"/>
        </w:rPr>
        <w:t>g</w:t>
      </w:r>
      <w:r w:rsidRPr="0051356D">
        <w:rPr>
          <w:rFonts w:asciiTheme="minorHAnsi" w:hAnsiTheme="minorHAnsi" w:cstheme="minorHAnsi"/>
        </w:rPr>
        <w:t xml:space="preserve"> effects, including here in Massachusetts.  The HPC</w:t>
      </w:r>
      <w:r w:rsidR="00805E0A">
        <w:rPr>
          <w:rFonts w:asciiTheme="minorHAnsi" w:hAnsiTheme="minorHAnsi" w:cstheme="minorHAnsi"/>
        </w:rPr>
        <w:t xml:space="preserve"> and DPH’s Office of Oral Health </w:t>
      </w:r>
      <w:r w:rsidRPr="0051356D">
        <w:rPr>
          <w:rFonts w:asciiTheme="minorHAnsi" w:hAnsiTheme="minorHAnsi" w:cstheme="minorHAnsi"/>
        </w:rPr>
        <w:t>ha</w:t>
      </w:r>
      <w:r w:rsidR="00805E0A">
        <w:rPr>
          <w:rFonts w:asciiTheme="minorHAnsi" w:hAnsiTheme="minorHAnsi" w:cstheme="minorHAnsi"/>
        </w:rPr>
        <w:t xml:space="preserve">ve </w:t>
      </w:r>
      <w:r w:rsidRPr="0051356D">
        <w:rPr>
          <w:rFonts w:asciiTheme="minorHAnsi" w:hAnsiTheme="minorHAnsi" w:cstheme="minorHAnsi"/>
        </w:rPr>
        <w:t>consistently identified that access to oral health care continues to be a challenge for many Massachusetts residents.</w:t>
      </w:r>
      <w:r w:rsidRPr="0051356D">
        <w:rPr>
          <w:rStyle w:val="FootnoteReference"/>
          <w:rFonts w:asciiTheme="minorHAnsi" w:hAnsiTheme="minorHAnsi" w:cstheme="minorHAnsi"/>
        </w:rPr>
        <w:footnoteReference w:id="42"/>
      </w:r>
      <w:r w:rsidRPr="0051356D">
        <w:rPr>
          <w:rFonts w:asciiTheme="minorHAnsi" w:hAnsiTheme="minorHAnsi" w:cstheme="minorHAnsi"/>
        </w:rPr>
        <w:t xml:space="preserve">  In August 2016, the HPC published its first report on oral health conditions in the Commonwealth</w:t>
      </w:r>
      <w:r w:rsidR="00215386">
        <w:rPr>
          <w:rFonts w:asciiTheme="minorHAnsi" w:hAnsiTheme="minorHAnsi" w:cstheme="minorHAnsi"/>
        </w:rPr>
        <w:t>, in which it identified</w:t>
      </w:r>
      <w:r w:rsidR="00421D44">
        <w:rPr>
          <w:rFonts w:asciiTheme="minorHAnsi" w:hAnsiTheme="minorHAnsi" w:cstheme="minorHAnsi"/>
        </w:rPr>
        <w:t xml:space="preserve"> </w:t>
      </w:r>
      <w:r w:rsidR="00215386">
        <w:rPr>
          <w:rFonts w:asciiTheme="minorHAnsi" w:hAnsiTheme="minorHAnsi" w:cstheme="minorHAnsi"/>
        </w:rPr>
        <w:t>not only the existence of a</w:t>
      </w:r>
      <w:r w:rsidR="00421D44">
        <w:rPr>
          <w:rFonts w:asciiTheme="minorHAnsi" w:hAnsiTheme="minorHAnsi" w:cstheme="minorHAnsi"/>
        </w:rPr>
        <w:t xml:space="preserve"> </w:t>
      </w:r>
      <w:r w:rsidR="00FB1259">
        <w:rPr>
          <w:rFonts w:asciiTheme="minorHAnsi" w:hAnsiTheme="minorHAnsi" w:cstheme="minorHAnsi"/>
        </w:rPr>
        <w:t xml:space="preserve">barrier to access, particularly related to income, </w:t>
      </w:r>
      <w:r w:rsidR="00215386">
        <w:rPr>
          <w:rFonts w:asciiTheme="minorHAnsi" w:hAnsiTheme="minorHAnsi" w:cstheme="minorHAnsi"/>
        </w:rPr>
        <w:t>but also that</w:t>
      </w:r>
      <w:r w:rsidR="00FB1259">
        <w:rPr>
          <w:rFonts w:asciiTheme="minorHAnsi" w:hAnsiTheme="minorHAnsi" w:cstheme="minorHAnsi"/>
        </w:rPr>
        <w:t xml:space="preserve"> there are significant unmet dental needs.</w:t>
      </w:r>
      <w:r w:rsidR="00FB1259">
        <w:rPr>
          <w:rStyle w:val="FootnoteReference"/>
          <w:rFonts w:asciiTheme="minorHAnsi" w:hAnsiTheme="minorHAnsi" w:cstheme="minorHAnsi"/>
        </w:rPr>
        <w:footnoteReference w:id="43"/>
      </w:r>
      <w:r w:rsidR="00FB1259">
        <w:rPr>
          <w:rFonts w:asciiTheme="minorHAnsi" w:hAnsiTheme="minorHAnsi" w:cstheme="minorHAnsi"/>
        </w:rPr>
        <w:t xml:space="preserve">  The HPC</w:t>
      </w:r>
      <w:r w:rsidR="00215386">
        <w:rPr>
          <w:rFonts w:asciiTheme="minorHAnsi" w:hAnsiTheme="minorHAnsi" w:cstheme="minorHAnsi"/>
        </w:rPr>
        <w:t xml:space="preserve"> further</w:t>
      </w:r>
      <w:r w:rsidR="00FB1259">
        <w:rPr>
          <w:rFonts w:asciiTheme="minorHAnsi" w:hAnsiTheme="minorHAnsi" w:cstheme="minorHAnsi"/>
        </w:rPr>
        <w:t xml:space="preserve"> found that Massachusetts, like the nation as a whole, has an insufficient supply of dentists in certain areas and the dental population at the time was starting to age out.</w:t>
      </w:r>
      <w:r w:rsidR="00FB1259">
        <w:rPr>
          <w:rStyle w:val="FootnoteReference"/>
          <w:rFonts w:asciiTheme="minorHAnsi" w:hAnsiTheme="minorHAnsi" w:cstheme="minorHAnsi"/>
        </w:rPr>
        <w:footnoteReference w:id="44"/>
      </w:r>
      <w:r w:rsidR="00FB1259">
        <w:rPr>
          <w:rFonts w:asciiTheme="minorHAnsi" w:hAnsiTheme="minorHAnsi" w:cstheme="minorHAnsi"/>
        </w:rPr>
        <w:t xml:space="preserve">  The HPC also identified</w:t>
      </w:r>
      <w:r w:rsidR="00215386">
        <w:rPr>
          <w:rFonts w:asciiTheme="minorHAnsi" w:hAnsiTheme="minorHAnsi" w:cstheme="minorHAnsi"/>
        </w:rPr>
        <w:t xml:space="preserve"> in this report</w:t>
      </w:r>
      <w:r w:rsidR="00FB1259">
        <w:rPr>
          <w:rFonts w:asciiTheme="minorHAnsi" w:hAnsiTheme="minorHAnsi" w:cstheme="minorHAnsi"/>
        </w:rPr>
        <w:t xml:space="preserve"> that the lack of access results in high numbers of preventable oral health conditions being  treated in the emergency department (“ED”).</w:t>
      </w:r>
      <w:r w:rsidR="00805E0A">
        <w:rPr>
          <w:rStyle w:val="FootnoteReference"/>
          <w:rFonts w:asciiTheme="minorHAnsi" w:hAnsiTheme="minorHAnsi" w:cstheme="minorHAnsi"/>
        </w:rPr>
        <w:footnoteReference w:id="45"/>
      </w:r>
      <w:r w:rsidR="00FB1259">
        <w:rPr>
          <w:rFonts w:asciiTheme="minorHAnsi" w:hAnsiTheme="minorHAnsi" w:cstheme="minorHAnsi"/>
        </w:rPr>
        <w:t xml:space="preserve">  </w:t>
      </w:r>
      <w:r w:rsidRPr="0051356D">
        <w:rPr>
          <w:rFonts w:asciiTheme="minorHAnsi" w:hAnsiTheme="minorHAnsi" w:cstheme="minorHAnsi"/>
        </w:rPr>
        <w:t>The HPC</w:t>
      </w:r>
      <w:r w:rsidR="00805E0A">
        <w:rPr>
          <w:rFonts w:asciiTheme="minorHAnsi" w:hAnsiTheme="minorHAnsi" w:cstheme="minorHAnsi"/>
        </w:rPr>
        <w:t xml:space="preserve"> issued a </w:t>
      </w:r>
      <w:r w:rsidR="00863397">
        <w:rPr>
          <w:rFonts w:asciiTheme="minorHAnsi" w:hAnsiTheme="minorHAnsi" w:cstheme="minorHAnsi"/>
        </w:rPr>
        <w:t xml:space="preserve">subsequent </w:t>
      </w:r>
      <w:r w:rsidR="00805E0A">
        <w:rPr>
          <w:rFonts w:asciiTheme="minorHAnsi" w:hAnsiTheme="minorHAnsi" w:cstheme="minorHAnsi"/>
        </w:rPr>
        <w:t xml:space="preserve">follow up report </w:t>
      </w:r>
      <w:r w:rsidRPr="0051356D">
        <w:rPr>
          <w:rFonts w:asciiTheme="minorHAnsi" w:hAnsiTheme="minorHAnsi" w:cstheme="minorHAnsi"/>
        </w:rPr>
        <w:t>in April 2017</w:t>
      </w:r>
      <w:r w:rsidR="00863397">
        <w:rPr>
          <w:rFonts w:asciiTheme="minorHAnsi" w:hAnsiTheme="minorHAnsi" w:cstheme="minorHAnsi"/>
        </w:rPr>
        <w:t>, in which it</w:t>
      </w:r>
      <w:r w:rsidR="00805E0A">
        <w:rPr>
          <w:rFonts w:asciiTheme="minorHAnsi" w:hAnsiTheme="minorHAnsi" w:cstheme="minorHAnsi"/>
        </w:rPr>
        <w:t xml:space="preserve"> found </w:t>
      </w:r>
      <w:r w:rsidR="00863397">
        <w:rPr>
          <w:rFonts w:asciiTheme="minorHAnsi" w:hAnsiTheme="minorHAnsi" w:cstheme="minorHAnsi"/>
        </w:rPr>
        <w:t xml:space="preserve">that </w:t>
      </w:r>
      <w:r w:rsidR="00805E0A">
        <w:rPr>
          <w:rFonts w:asciiTheme="minorHAnsi" w:hAnsiTheme="minorHAnsi" w:cstheme="minorHAnsi"/>
        </w:rPr>
        <w:t xml:space="preserve">there are a </w:t>
      </w:r>
      <w:r w:rsidRPr="0051356D">
        <w:rPr>
          <w:rFonts w:asciiTheme="minorHAnsi" w:hAnsiTheme="minorHAnsi" w:cstheme="minorHAnsi"/>
        </w:rPr>
        <w:t xml:space="preserve">substantial number of emergency department (“ED”) visits for preventable </w:t>
      </w:r>
      <w:r w:rsidRPr="0051356D">
        <w:rPr>
          <w:rFonts w:asciiTheme="minorHAnsi" w:hAnsiTheme="minorHAnsi" w:cstheme="minorHAnsi"/>
        </w:rPr>
        <w:lastRenderedPageBreak/>
        <w:t xml:space="preserve">oral health conditions for which hospitals are not </w:t>
      </w:r>
      <w:r w:rsidR="00863397">
        <w:rPr>
          <w:rFonts w:asciiTheme="minorHAnsi" w:hAnsiTheme="minorHAnsi" w:cstheme="minorHAnsi"/>
        </w:rPr>
        <w:t>equipped</w:t>
      </w:r>
      <w:r w:rsidRPr="0051356D">
        <w:rPr>
          <w:rFonts w:asciiTheme="minorHAnsi" w:hAnsiTheme="minorHAnsi" w:cstheme="minorHAnsi"/>
        </w:rPr>
        <w:t xml:space="preserve"> to treat.</w:t>
      </w:r>
      <w:r w:rsidR="00FB1259">
        <w:rPr>
          <w:rStyle w:val="FootnoteReference"/>
          <w:rFonts w:asciiTheme="minorHAnsi" w:hAnsiTheme="minorHAnsi" w:cstheme="minorHAnsi"/>
        </w:rPr>
        <w:footnoteReference w:id="46"/>
      </w:r>
      <w:r w:rsidRPr="0051356D">
        <w:rPr>
          <w:rFonts w:asciiTheme="minorHAnsi" w:hAnsiTheme="minorHAnsi" w:cstheme="minorHAnsi"/>
        </w:rPr>
        <w:t xml:space="preserve">  </w:t>
      </w:r>
      <w:r w:rsidR="00863397">
        <w:rPr>
          <w:rFonts w:asciiTheme="minorHAnsi" w:hAnsiTheme="minorHAnsi" w:cstheme="minorHAnsi"/>
        </w:rPr>
        <w:t>The</w:t>
      </w:r>
      <w:r w:rsidR="00FB1259">
        <w:rPr>
          <w:rFonts w:asciiTheme="minorHAnsi" w:hAnsiTheme="minorHAnsi" w:cstheme="minorHAnsi"/>
        </w:rPr>
        <w:t xml:space="preserve"> HPC continued it</w:t>
      </w:r>
      <w:r w:rsidR="00421D44">
        <w:rPr>
          <w:rFonts w:asciiTheme="minorHAnsi" w:hAnsiTheme="minorHAnsi" w:cstheme="minorHAnsi"/>
        </w:rPr>
        <w:t xml:space="preserve">s </w:t>
      </w:r>
      <w:r w:rsidR="00FB1259">
        <w:rPr>
          <w:rFonts w:asciiTheme="minorHAnsi" w:hAnsiTheme="minorHAnsi" w:cstheme="minorHAnsi"/>
        </w:rPr>
        <w:t xml:space="preserve">review of oral health </w:t>
      </w:r>
      <w:r w:rsidR="00863397">
        <w:rPr>
          <w:rFonts w:asciiTheme="minorHAnsi" w:hAnsiTheme="minorHAnsi" w:cstheme="minorHAnsi"/>
        </w:rPr>
        <w:t>when in 2021 it highlighted a concerning trend of</w:t>
      </w:r>
      <w:r w:rsidR="00FB1259">
        <w:rPr>
          <w:rFonts w:asciiTheme="minorHAnsi" w:hAnsiTheme="minorHAnsi" w:cstheme="minorHAnsi"/>
        </w:rPr>
        <w:t xml:space="preserve"> avoidance of routine dental care due to lack of coverage, access, and/or affordability</w:t>
      </w:r>
      <w:r w:rsidR="00863397">
        <w:rPr>
          <w:rFonts w:asciiTheme="minorHAnsi" w:hAnsiTheme="minorHAnsi" w:cstheme="minorHAnsi"/>
        </w:rPr>
        <w:t>,</w:t>
      </w:r>
      <w:r w:rsidR="00421D44">
        <w:rPr>
          <w:rFonts w:asciiTheme="minorHAnsi" w:hAnsiTheme="minorHAnsi" w:cstheme="minorHAnsi"/>
        </w:rPr>
        <w:t xml:space="preserve"> </w:t>
      </w:r>
      <w:r w:rsidR="00FB1259">
        <w:rPr>
          <w:rFonts w:asciiTheme="minorHAnsi" w:hAnsiTheme="minorHAnsi" w:cstheme="minorHAnsi"/>
        </w:rPr>
        <w:t>which can have long-term health consequences, both mental and physical.</w:t>
      </w:r>
      <w:r w:rsidR="00FB1259">
        <w:rPr>
          <w:rStyle w:val="FootnoteReference"/>
          <w:rFonts w:asciiTheme="minorHAnsi" w:hAnsiTheme="minorHAnsi" w:cstheme="minorHAnsi"/>
        </w:rPr>
        <w:footnoteReference w:id="47"/>
      </w:r>
      <w:r w:rsidR="00FB1259">
        <w:rPr>
          <w:rFonts w:asciiTheme="minorHAnsi" w:hAnsiTheme="minorHAnsi" w:cstheme="minorHAnsi"/>
        </w:rPr>
        <w:t xml:space="preserve"> </w:t>
      </w:r>
      <w:r w:rsidR="00805E0A">
        <w:rPr>
          <w:rFonts w:asciiTheme="minorHAnsi" w:hAnsiTheme="minorHAnsi" w:cstheme="minorHAnsi"/>
        </w:rPr>
        <w:t xml:space="preserve">  </w:t>
      </w:r>
      <w:r w:rsidR="00805E0A" w:rsidRPr="0051356D">
        <w:rPr>
          <w:rFonts w:asciiTheme="minorHAnsi" w:hAnsiTheme="minorHAnsi" w:cstheme="minorHAnsi"/>
        </w:rPr>
        <w:t xml:space="preserve">In </w:t>
      </w:r>
      <w:r w:rsidR="00863397">
        <w:rPr>
          <w:rFonts w:asciiTheme="minorHAnsi" w:hAnsiTheme="minorHAnsi" w:cstheme="minorHAnsi"/>
        </w:rPr>
        <w:t xml:space="preserve">this </w:t>
      </w:r>
      <w:r w:rsidR="00805E0A" w:rsidRPr="0051356D">
        <w:rPr>
          <w:rFonts w:asciiTheme="minorHAnsi" w:hAnsiTheme="minorHAnsi" w:cstheme="minorHAnsi"/>
        </w:rPr>
        <w:t>2021</w:t>
      </w:r>
      <w:r w:rsidR="00863397">
        <w:rPr>
          <w:rFonts w:asciiTheme="minorHAnsi" w:hAnsiTheme="minorHAnsi" w:cstheme="minorHAnsi"/>
        </w:rPr>
        <w:t xml:space="preserve"> report</w:t>
      </w:r>
      <w:r w:rsidR="00805E0A" w:rsidRPr="0051356D">
        <w:rPr>
          <w:rFonts w:asciiTheme="minorHAnsi" w:hAnsiTheme="minorHAnsi" w:cstheme="minorHAnsi"/>
        </w:rPr>
        <w:t xml:space="preserve">, the HPC </w:t>
      </w:r>
      <w:r w:rsidR="00863397">
        <w:rPr>
          <w:rFonts w:asciiTheme="minorHAnsi" w:hAnsiTheme="minorHAnsi" w:cstheme="minorHAnsi"/>
        </w:rPr>
        <w:t xml:space="preserve">noted </w:t>
      </w:r>
      <w:r w:rsidR="00805E0A" w:rsidRPr="0051356D">
        <w:rPr>
          <w:rFonts w:asciiTheme="minorHAnsi" w:hAnsiTheme="minorHAnsi" w:cstheme="minorHAnsi"/>
        </w:rPr>
        <w:t>that less than 50</w:t>
      </w:r>
      <w:r w:rsidR="00CC1FB5" w:rsidRPr="00CC1FB5">
        <w:rPr>
          <w:rFonts w:asciiTheme="minorHAnsi" w:hAnsiTheme="minorHAnsi" w:cstheme="minorHAnsi"/>
          <w:szCs w:val="24"/>
        </w:rPr>
        <w:t xml:space="preserve"> </w:t>
      </w:r>
      <w:r w:rsidR="00CC1FB5">
        <w:rPr>
          <w:rFonts w:asciiTheme="minorHAnsi" w:hAnsiTheme="minorHAnsi" w:cstheme="minorHAnsi"/>
          <w:szCs w:val="24"/>
        </w:rPr>
        <w:t>percent</w:t>
      </w:r>
      <w:r w:rsidR="00805E0A" w:rsidRPr="0051356D">
        <w:rPr>
          <w:rFonts w:asciiTheme="minorHAnsi" w:hAnsiTheme="minorHAnsi" w:cstheme="minorHAnsi"/>
        </w:rPr>
        <w:t xml:space="preserve"> of Massachusetts dentist</w:t>
      </w:r>
      <w:r w:rsidR="00863397">
        <w:rPr>
          <w:rFonts w:asciiTheme="minorHAnsi" w:hAnsiTheme="minorHAnsi" w:cstheme="minorHAnsi"/>
        </w:rPr>
        <w:t>s</w:t>
      </w:r>
      <w:r w:rsidR="00805E0A" w:rsidRPr="0051356D">
        <w:rPr>
          <w:rFonts w:asciiTheme="minorHAnsi" w:hAnsiTheme="minorHAnsi" w:cstheme="minorHAnsi"/>
        </w:rPr>
        <w:t xml:space="preserve"> accept MassHealth.</w:t>
      </w:r>
      <w:r w:rsidR="00805E0A" w:rsidRPr="0051356D">
        <w:rPr>
          <w:rStyle w:val="FootnoteReference"/>
          <w:rFonts w:asciiTheme="minorHAnsi" w:hAnsiTheme="minorHAnsi" w:cstheme="minorHAnsi"/>
        </w:rPr>
        <w:footnoteReference w:id="48"/>
      </w:r>
      <w:r w:rsidR="00805E0A" w:rsidRPr="00FB1259">
        <w:rPr>
          <w:rFonts w:asciiTheme="minorHAnsi" w:hAnsiTheme="minorHAnsi" w:cstheme="minorHAnsi"/>
          <w:vertAlign w:val="superscript"/>
        </w:rPr>
        <w:t>,</w:t>
      </w:r>
      <w:r w:rsidR="00805E0A">
        <w:rPr>
          <w:rStyle w:val="FootnoteReference"/>
          <w:rFonts w:asciiTheme="minorHAnsi" w:hAnsiTheme="minorHAnsi" w:cstheme="minorHAnsi"/>
        </w:rPr>
        <w:footnoteReference w:id="49"/>
      </w:r>
      <w:r w:rsidR="00805E0A" w:rsidRPr="0051356D">
        <w:rPr>
          <w:rFonts w:asciiTheme="minorHAnsi" w:hAnsiTheme="minorHAnsi" w:cstheme="minorHAnsi"/>
        </w:rPr>
        <w:t xml:space="preserve">  </w:t>
      </w:r>
      <w:r w:rsidR="00863397">
        <w:rPr>
          <w:rFonts w:asciiTheme="minorHAnsi" w:hAnsiTheme="minorHAnsi" w:cstheme="minorHAnsi"/>
        </w:rPr>
        <w:t>Two years later,</w:t>
      </w:r>
      <w:r w:rsidR="00805E0A">
        <w:rPr>
          <w:rFonts w:asciiTheme="minorHAnsi" w:hAnsiTheme="minorHAnsi" w:cstheme="minorHAnsi"/>
        </w:rPr>
        <w:t xml:space="preserve"> </w:t>
      </w:r>
      <w:r w:rsidR="00863397">
        <w:rPr>
          <w:rFonts w:asciiTheme="minorHAnsi" w:hAnsiTheme="minorHAnsi" w:cstheme="minorHAnsi"/>
        </w:rPr>
        <w:t>i</w:t>
      </w:r>
      <w:r w:rsidR="00805E0A">
        <w:rPr>
          <w:rFonts w:asciiTheme="minorHAnsi" w:hAnsiTheme="minorHAnsi" w:cstheme="minorHAnsi"/>
        </w:rPr>
        <w:t>n 2023, the Legislature established a Special Commission on Oral Health.</w:t>
      </w:r>
      <w:r w:rsidR="00805E0A">
        <w:rPr>
          <w:rStyle w:val="FootnoteReference"/>
          <w:rFonts w:asciiTheme="minorHAnsi" w:hAnsiTheme="minorHAnsi" w:cstheme="minorHAnsi"/>
        </w:rPr>
        <w:footnoteReference w:id="50"/>
      </w:r>
    </w:p>
    <w:p w14:paraId="771EAE2A" w14:textId="77777777" w:rsidR="0051356D" w:rsidRPr="0051356D" w:rsidRDefault="0051356D" w:rsidP="00E61502">
      <w:pPr>
        <w:spacing w:after="0"/>
        <w:jc w:val="both"/>
        <w:rPr>
          <w:rFonts w:asciiTheme="minorHAnsi" w:hAnsiTheme="minorHAnsi" w:cstheme="minorHAnsi"/>
        </w:rPr>
      </w:pPr>
    </w:p>
    <w:p w14:paraId="6F0C7744" w14:textId="15A79044" w:rsidR="0051356D" w:rsidRPr="0051356D" w:rsidRDefault="00863397" w:rsidP="00E61502">
      <w:pPr>
        <w:spacing w:after="0"/>
        <w:jc w:val="both"/>
        <w:rPr>
          <w:rFonts w:asciiTheme="minorHAnsi" w:hAnsiTheme="minorHAnsi" w:cstheme="minorHAnsi"/>
        </w:rPr>
      </w:pPr>
      <w:r>
        <w:rPr>
          <w:rFonts w:asciiTheme="minorHAnsi" w:hAnsiTheme="minorHAnsi" w:cstheme="minorHAnsi"/>
        </w:rPr>
        <w:t xml:space="preserve">MassHealth’s most recent Request for Responses (“RFR”) in </w:t>
      </w:r>
      <w:r w:rsidR="00421D44">
        <w:rPr>
          <w:rFonts w:asciiTheme="minorHAnsi" w:hAnsiTheme="minorHAnsi" w:cstheme="minorHAnsi"/>
        </w:rPr>
        <w:t>2023</w:t>
      </w:r>
      <w:r>
        <w:rPr>
          <w:rFonts w:asciiTheme="minorHAnsi" w:hAnsiTheme="minorHAnsi" w:cstheme="minorHAnsi"/>
        </w:rPr>
        <w:t xml:space="preserve"> further exemplifies the need for </w:t>
      </w:r>
      <w:r w:rsidR="0051356D" w:rsidRPr="0051356D">
        <w:rPr>
          <w:rFonts w:asciiTheme="minorHAnsi" w:hAnsiTheme="minorHAnsi" w:cstheme="minorHAnsi"/>
        </w:rPr>
        <w:t xml:space="preserve">access to High Acuity Dental Surgeries </w:t>
      </w:r>
      <w:r>
        <w:rPr>
          <w:rFonts w:asciiTheme="minorHAnsi" w:hAnsiTheme="minorHAnsi" w:cstheme="minorHAnsi"/>
        </w:rPr>
        <w:t xml:space="preserve">by focusing on a </w:t>
      </w:r>
      <w:r w:rsidR="00421D44">
        <w:rPr>
          <w:rFonts w:asciiTheme="minorHAnsi" w:hAnsiTheme="minorHAnsi" w:cstheme="minorHAnsi"/>
        </w:rPr>
        <w:t>d</w:t>
      </w:r>
      <w:r w:rsidR="0051356D" w:rsidRPr="0051356D">
        <w:rPr>
          <w:rFonts w:asciiTheme="minorHAnsi" w:hAnsiTheme="minorHAnsi" w:cstheme="minorHAnsi"/>
        </w:rPr>
        <w:t xml:space="preserve">ental third party administrator </w:t>
      </w:r>
      <w:r>
        <w:rPr>
          <w:rFonts w:asciiTheme="minorHAnsi" w:hAnsiTheme="minorHAnsi" w:cstheme="minorHAnsi"/>
        </w:rPr>
        <w:t>and</w:t>
      </w:r>
      <w:r w:rsidRPr="0051356D">
        <w:rPr>
          <w:rFonts w:asciiTheme="minorHAnsi" w:hAnsiTheme="minorHAnsi" w:cstheme="minorHAnsi"/>
        </w:rPr>
        <w:t xml:space="preserve"> </w:t>
      </w:r>
      <w:r>
        <w:rPr>
          <w:rFonts w:asciiTheme="minorHAnsi" w:hAnsiTheme="minorHAnsi" w:cstheme="minorHAnsi"/>
        </w:rPr>
        <w:t>setting</w:t>
      </w:r>
      <w:r w:rsidR="0051356D" w:rsidRPr="0051356D">
        <w:rPr>
          <w:rFonts w:asciiTheme="minorHAnsi" w:hAnsiTheme="minorHAnsi" w:cstheme="minorHAnsi"/>
        </w:rPr>
        <w:t xml:space="preserve"> forth its goals to increase access, improve patient satisfaction and ensure that its members receive cost-effective, quality care.</w:t>
      </w:r>
      <w:r w:rsidR="0051356D" w:rsidRPr="0051356D">
        <w:rPr>
          <w:rStyle w:val="FootnoteReference"/>
          <w:rFonts w:asciiTheme="minorHAnsi" w:hAnsiTheme="minorHAnsi" w:cstheme="minorHAnsi"/>
        </w:rPr>
        <w:footnoteReference w:id="51"/>
      </w:r>
      <w:r w:rsidR="0051356D" w:rsidRPr="0051356D">
        <w:rPr>
          <w:rFonts w:asciiTheme="minorHAnsi" w:hAnsiTheme="minorHAnsi" w:cstheme="minorHAnsi"/>
        </w:rPr>
        <w:t xml:space="preserve">   Specifically, MassHealth’s goals include growing and strengthening the network of active dental providers including both general dentists and specialists, ensuring community based access to decrease non-traumatic emergency department utilization for oral health services, and decreasing racial disparities in oral health outcomes for MassHealth members.</w:t>
      </w:r>
      <w:r w:rsidR="0051356D" w:rsidRPr="0051356D">
        <w:rPr>
          <w:rStyle w:val="FootnoteReference"/>
          <w:rFonts w:asciiTheme="minorHAnsi" w:hAnsiTheme="minorHAnsi" w:cstheme="minorHAnsi"/>
        </w:rPr>
        <w:footnoteReference w:id="52"/>
      </w:r>
      <w:r w:rsidR="0051356D" w:rsidRPr="0051356D">
        <w:rPr>
          <w:rFonts w:asciiTheme="minorHAnsi" w:hAnsiTheme="minorHAnsi" w:cstheme="minorHAnsi"/>
        </w:rPr>
        <w:t xml:space="preserve">  Not only do MassHealth’s goals focus on access, they also stress the importance of improving patient outcomes, ensuring appropriate care (not just additional services), and establishing and implementing quality outcome measures.</w:t>
      </w:r>
      <w:r w:rsidR="00805E0A">
        <w:rPr>
          <w:rStyle w:val="FootnoteReference"/>
          <w:rFonts w:asciiTheme="minorHAnsi" w:hAnsiTheme="minorHAnsi" w:cstheme="minorHAnsi"/>
        </w:rPr>
        <w:footnoteReference w:id="53"/>
      </w:r>
      <w:r w:rsidR="0051356D" w:rsidRPr="0051356D">
        <w:rPr>
          <w:rFonts w:asciiTheme="minorHAnsi" w:hAnsiTheme="minorHAnsi" w:cstheme="minorHAnsi"/>
        </w:rPr>
        <w:t xml:space="preserve">  </w:t>
      </w:r>
    </w:p>
    <w:p w14:paraId="4C486F34" w14:textId="77777777" w:rsidR="0051356D" w:rsidRPr="0051356D" w:rsidRDefault="0051356D" w:rsidP="00E61502">
      <w:pPr>
        <w:spacing w:after="0"/>
        <w:jc w:val="both"/>
        <w:rPr>
          <w:rFonts w:asciiTheme="minorHAnsi" w:hAnsiTheme="minorHAnsi" w:cstheme="minorHAnsi"/>
        </w:rPr>
      </w:pPr>
    </w:p>
    <w:p w14:paraId="11DEEF57" w14:textId="42985D49" w:rsidR="0051356D" w:rsidRDefault="0051356D" w:rsidP="00E61502">
      <w:pPr>
        <w:spacing w:after="0"/>
        <w:jc w:val="both"/>
        <w:rPr>
          <w:rFonts w:asciiTheme="minorHAnsi" w:hAnsiTheme="minorHAnsi" w:cstheme="minorHAnsi"/>
        </w:rPr>
      </w:pPr>
      <w:r w:rsidRPr="0051356D">
        <w:rPr>
          <w:rFonts w:asciiTheme="minorHAnsi" w:hAnsiTheme="minorHAnsi" w:cstheme="minorHAnsi"/>
        </w:rPr>
        <w:t xml:space="preserve">The Proposed Project is consistent with MassHealth’s goals and will create additional access for needed services.  The Center will provide timely, convenient High Acuity Dental Surgeries which in turn </w:t>
      </w:r>
      <w:r w:rsidR="0022652D">
        <w:rPr>
          <w:rFonts w:asciiTheme="minorHAnsi" w:hAnsiTheme="minorHAnsi" w:cstheme="minorHAnsi"/>
        </w:rPr>
        <w:t xml:space="preserve">can </w:t>
      </w:r>
      <w:r w:rsidRPr="0051356D">
        <w:rPr>
          <w:rFonts w:asciiTheme="minorHAnsi" w:hAnsiTheme="minorHAnsi" w:cstheme="minorHAnsi"/>
        </w:rPr>
        <w:t>decrease non-traumatic ED utilization for oral health services for children in the Center’s service area.</w:t>
      </w:r>
      <w:r w:rsidRPr="0051356D">
        <w:rPr>
          <w:rStyle w:val="FootnoteReference"/>
          <w:rFonts w:asciiTheme="minorHAnsi" w:hAnsiTheme="minorHAnsi" w:cstheme="minorHAnsi"/>
        </w:rPr>
        <w:footnoteReference w:id="54"/>
      </w:r>
      <w:r w:rsidRPr="0051356D">
        <w:rPr>
          <w:rFonts w:asciiTheme="minorHAnsi" w:hAnsiTheme="minorHAnsi" w:cstheme="minorHAnsi"/>
        </w:rPr>
        <w:t xml:space="preserve"> Avoidance of routine dental care due to lack of coverage, access, and/or affordability </w:t>
      </w:r>
      <w:r w:rsidR="00863397">
        <w:rPr>
          <w:rFonts w:asciiTheme="minorHAnsi" w:hAnsiTheme="minorHAnsi" w:cstheme="minorHAnsi"/>
        </w:rPr>
        <w:t>has been shown to</w:t>
      </w:r>
      <w:r w:rsidR="00863397" w:rsidRPr="0051356D">
        <w:rPr>
          <w:rFonts w:asciiTheme="minorHAnsi" w:hAnsiTheme="minorHAnsi" w:cstheme="minorHAnsi"/>
        </w:rPr>
        <w:t xml:space="preserve"> </w:t>
      </w:r>
      <w:r w:rsidRPr="0051356D">
        <w:rPr>
          <w:rFonts w:asciiTheme="minorHAnsi" w:hAnsiTheme="minorHAnsi" w:cstheme="minorHAnsi"/>
        </w:rPr>
        <w:t>have long-term health consequences, both mental and physical.</w:t>
      </w:r>
      <w:r w:rsidRPr="0051356D">
        <w:rPr>
          <w:rStyle w:val="FootnoteReference"/>
          <w:rFonts w:asciiTheme="minorHAnsi" w:hAnsiTheme="minorHAnsi" w:cstheme="minorHAnsi"/>
        </w:rPr>
        <w:footnoteReference w:id="55"/>
      </w:r>
      <w:r w:rsidRPr="0051356D">
        <w:rPr>
          <w:rFonts w:asciiTheme="minorHAnsi" w:hAnsiTheme="minorHAnsi" w:cstheme="minorHAnsi"/>
        </w:rPr>
        <w:t xml:space="preserve">  Moreover, by increasing the capacity to provide High Acuity Dental S</w:t>
      </w:r>
      <w:r w:rsidR="004B4CCC">
        <w:rPr>
          <w:rFonts w:asciiTheme="minorHAnsi" w:hAnsiTheme="minorHAnsi" w:cstheme="minorHAnsi"/>
        </w:rPr>
        <w:t>urgeries</w:t>
      </w:r>
      <w:r w:rsidRPr="0051356D">
        <w:rPr>
          <w:rFonts w:asciiTheme="minorHAnsi" w:hAnsiTheme="minorHAnsi" w:cstheme="minorHAnsi"/>
        </w:rPr>
        <w:t xml:space="preserve"> in a state-of-the-art facility that is designed to ensure a seamless, patient driven experience, </w:t>
      </w:r>
      <w:r w:rsidR="00863397">
        <w:rPr>
          <w:rFonts w:asciiTheme="minorHAnsi" w:hAnsiTheme="minorHAnsi" w:cstheme="minorHAnsi"/>
        </w:rPr>
        <w:t>the Center has</w:t>
      </w:r>
      <w:r w:rsidR="0022652D">
        <w:rPr>
          <w:rFonts w:asciiTheme="minorHAnsi" w:hAnsiTheme="minorHAnsi" w:cstheme="minorHAnsi"/>
        </w:rPr>
        <w:t xml:space="preserve"> the ability to shift some </w:t>
      </w:r>
      <w:r w:rsidRPr="0051356D">
        <w:rPr>
          <w:rFonts w:asciiTheme="minorHAnsi" w:hAnsiTheme="minorHAnsi" w:cstheme="minorHAnsi"/>
        </w:rPr>
        <w:t xml:space="preserve">cases away from </w:t>
      </w:r>
      <w:r w:rsidR="0022652D">
        <w:rPr>
          <w:rFonts w:asciiTheme="minorHAnsi" w:hAnsiTheme="minorHAnsi" w:cstheme="minorHAnsi"/>
        </w:rPr>
        <w:t>HOPDs</w:t>
      </w:r>
      <w:r w:rsidRPr="0051356D">
        <w:rPr>
          <w:rFonts w:asciiTheme="minorHAnsi" w:hAnsiTheme="minorHAnsi" w:cstheme="minorHAnsi"/>
        </w:rPr>
        <w:t xml:space="preserve"> and dental offices, which </w:t>
      </w:r>
      <w:r w:rsidR="00863397">
        <w:rPr>
          <w:rFonts w:asciiTheme="minorHAnsi" w:hAnsiTheme="minorHAnsi" w:cstheme="minorHAnsi"/>
        </w:rPr>
        <w:t>can both</w:t>
      </w:r>
      <w:r w:rsidRPr="0051356D">
        <w:rPr>
          <w:rFonts w:asciiTheme="minorHAnsi" w:hAnsiTheme="minorHAnsi" w:cstheme="minorHAnsi"/>
        </w:rPr>
        <w:t xml:space="preserve"> </w:t>
      </w:r>
      <w:r w:rsidRPr="0051356D">
        <w:rPr>
          <w:rFonts w:asciiTheme="minorHAnsi" w:hAnsiTheme="minorHAnsi" w:cstheme="minorHAnsi"/>
        </w:rPr>
        <w:lastRenderedPageBreak/>
        <w:t>be stressful environment</w:t>
      </w:r>
      <w:r w:rsidR="00863397">
        <w:rPr>
          <w:rFonts w:asciiTheme="minorHAnsi" w:hAnsiTheme="minorHAnsi" w:cstheme="minorHAnsi"/>
        </w:rPr>
        <w:t>s</w:t>
      </w:r>
      <w:r w:rsidRPr="0051356D">
        <w:rPr>
          <w:rFonts w:asciiTheme="minorHAnsi" w:hAnsiTheme="minorHAnsi" w:cstheme="minorHAnsi"/>
        </w:rPr>
        <w:t xml:space="preserve"> for a child, especially one who has behavioral health risk factors</w:t>
      </w:r>
      <w:r w:rsidR="00863397">
        <w:rPr>
          <w:rFonts w:asciiTheme="minorHAnsi" w:hAnsiTheme="minorHAnsi" w:cstheme="minorHAnsi"/>
        </w:rPr>
        <w:t xml:space="preserve"> along with</w:t>
      </w:r>
      <w:r w:rsidRPr="0051356D">
        <w:rPr>
          <w:rFonts w:asciiTheme="minorHAnsi" w:hAnsiTheme="minorHAnsi" w:cstheme="minorHAnsi"/>
        </w:rPr>
        <w:t xml:space="preserve"> undergoing these medically necessary surgeries.   The Center w</w:t>
      </w:r>
      <w:r w:rsidR="0022652D">
        <w:rPr>
          <w:rFonts w:asciiTheme="minorHAnsi" w:hAnsiTheme="minorHAnsi" w:cstheme="minorHAnsi"/>
        </w:rPr>
        <w:t xml:space="preserve">ill </w:t>
      </w:r>
      <w:r w:rsidRPr="0051356D">
        <w:rPr>
          <w:rFonts w:asciiTheme="minorHAnsi" w:hAnsiTheme="minorHAnsi" w:cstheme="minorHAnsi"/>
        </w:rPr>
        <w:t xml:space="preserve">aim to schedule </w:t>
      </w:r>
      <w:r w:rsidR="00B54691" w:rsidRPr="0051356D">
        <w:rPr>
          <w:rFonts w:asciiTheme="minorHAnsi" w:hAnsiTheme="minorHAnsi" w:cstheme="minorHAnsi"/>
        </w:rPr>
        <w:t>patients for</w:t>
      </w:r>
      <w:r w:rsidRPr="0051356D">
        <w:rPr>
          <w:rFonts w:asciiTheme="minorHAnsi" w:hAnsiTheme="minorHAnsi" w:cstheme="minorHAnsi"/>
        </w:rPr>
        <w:t xml:space="preserve"> the same or </w:t>
      </w:r>
      <w:r w:rsidR="00B54691" w:rsidRPr="0051356D">
        <w:rPr>
          <w:rFonts w:asciiTheme="minorHAnsi" w:hAnsiTheme="minorHAnsi" w:cstheme="minorHAnsi"/>
        </w:rPr>
        <w:t>next day</w:t>
      </w:r>
      <w:r w:rsidRPr="0051356D">
        <w:rPr>
          <w:rFonts w:asciiTheme="minorHAnsi" w:hAnsiTheme="minorHAnsi" w:cstheme="minorHAnsi"/>
        </w:rPr>
        <w:t xml:space="preserve"> for emergent needs.  This will keep children in the</w:t>
      </w:r>
      <w:r w:rsidR="00EF53D1">
        <w:rPr>
          <w:rFonts w:asciiTheme="minorHAnsi" w:hAnsiTheme="minorHAnsi" w:cstheme="minorHAnsi"/>
        </w:rPr>
        <w:t>ir</w:t>
      </w:r>
      <w:r w:rsidRPr="0051356D">
        <w:rPr>
          <w:rFonts w:asciiTheme="minorHAnsi" w:hAnsiTheme="minorHAnsi" w:cstheme="minorHAnsi"/>
        </w:rPr>
        <w:t xml:space="preserve"> community where they receive care in an environment specifically designed for a pediatric and special needs population</w:t>
      </w:r>
      <w:r w:rsidR="00EF53D1">
        <w:rPr>
          <w:rFonts w:asciiTheme="minorHAnsi" w:hAnsiTheme="minorHAnsi" w:cstheme="minorHAnsi"/>
        </w:rPr>
        <w:t xml:space="preserve"> and will</w:t>
      </w:r>
      <w:r w:rsidR="00421D44">
        <w:rPr>
          <w:rFonts w:asciiTheme="minorHAnsi" w:hAnsiTheme="minorHAnsi" w:cstheme="minorHAnsi"/>
        </w:rPr>
        <w:t xml:space="preserve"> </w:t>
      </w:r>
      <w:r w:rsidRPr="0051356D">
        <w:rPr>
          <w:rFonts w:asciiTheme="minorHAnsi" w:hAnsiTheme="minorHAnsi" w:cstheme="minorHAnsi"/>
        </w:rPr>
        <w:t>reduce their time out of school – all of which will have a positive impact on their oral health and long-term medical and social health outcomes ranging from preventing speech impediments, dietary abnormalities and malnourishment</w:t>
      </w:r>
      <w:r w:rsidR="00EF53D1">
        <w:rPr>
          <w:rFonts w:asciiTheme="minorHAnsi" w:hAnsiTheme="minorHAnsi" w:cstheme="minorHAnsi"/>
        </w:rPr>
        <w:t>,</w:t>
      </w:r>
      <w:r w:rsidR="00421D44">
        <w:rPr>
          <w:rFonts w:asciiTheme="minorHAnsi" w:hAnsiTheme="minorHAnsi" w:cstheme="minorHAnsi"/>
        </w:rPr>
        <w:t xml:space="preserve"> </w:t>
      </w:r>
      <w:r w:rsidRPr="0051356D">
        <w:rPr>
          <w:rFonts w:asciiTheme="minorHAnsi" w:hAnsiTheme="minorHAnsi" w:cstheme="minorHAnsi"/>
        </w:rPr>
        <w:t>to increasing patients’ self-esteem and confidence.</w:t>
      </w:r>
    </w:p>
    <w:p w14:paraId="5922239C" w14:textId="77777777" w:rsidR="002916FD" w:rsidRDefault="002916FD" w:rsidP="00E61502">
      <w:pPr>
        <w:spacing w:after="0"/>
        <w:jc w:val="both"/>
        <w:rPr>
          <w:rFonts w:asciiTheme="minorHAnsi" w:hAnsiTheme="minorHAnsi" w:cstheme="minorHAnsi"/>
        </w:rPr>
      </w:pPr>
    </w:p>
    <w:p w14:paraId="3466ABF8" w14:textId="3A7E3FBC" w:rsidR="00D351C5" w:rsidRPr="007A45EA" w:rsidRDefault="00C34AF8" w:rsidP="00CE3D35">
      <w:pPr>
        <w:pStyle w:val="Heading3"/>
      </w:pPr>
      <w:r w:rsidRPr="007A45EA">
        <w:t>F1.</w:t>
      </w:r>
      <w:proofErr w:type="gramStart"/>
      <w:r w:rsidRPr="007A45EA">
        <w:t>b.ii</w:t>
      </w:r>
      <w:proofErr w:type="gramEnd"/>
      <w:r w:rsidRPr="007A45EA">
        <w:t xml:space="preserve"> Public Health Value /Outcome-Oriented</w:t>
      </w:r>
    </w:p>
    <w:p w14:paraId="6F91D205" w14:textId="241A578F" w:rsidR="00D351C5" w:rsidRPr="007A45EA" w:rsidRDefault="00C34AF8" w:rsidP="00770FE6">
      <w:pPr>
        <w:autoSpaceDE w:val="0"/>
        <w:autoSpaceDN w:val="0"/>
        <w:adjustRightInd w:val="0"/>
        <w:spacing w:after="0" w:line="240" w:lineRule="auto"/>
        <w:jc w:val="both"/>
        <w:rPr>
          <w:rFonts w:asciiTheme="minorHAnsi" w:hAnsiTheme="minorHAnsi" w:cstheme="minorHAnsi"/>
          <w:b/>
          <w:szCs w:val="24"/>
        </w:rPr>
      </w:pPr>
      <w:r w:rsidRPr="007A45EA">
        <w:rPr>
          <w:rFonts w:asciiTheme="minorHAnsi" w:hAnsiTheme="minorHAnsi" w:cstheme="minorHAnsi"/>
          <w:b/>
          <w:szCs w:val="24"/>
        </w:rPr>
        <w:t>Describe the impact of the Proposed Project and how the Applicant will assess such impact. Provide projections demonstrating how the Proposed Project will improve health outcomes, quality of life, or health equity. Only measures that can be tracked and</w:t>
      </w:r>
      <w:r w:rsidR="00BE61CA" w:rsidRPr="007A45EA">
        <w:rPr>
          <w:rFonts w:asciiTheme="minorHAnsi" w:hAnsiTheme="minorHAnsi" w:cstheme="minorHAnsi"/>
          <w:b/>
          <w:szCs w:val="24"/>
        </w:rPr>
        <w:t xml:space="preserve"> </w:t>
      </w:r>
      <w:r w:rsidRPr="007A45EA">
        <w:rPr>
          <w:rFonts w:asciiTheme="minorHAnsi" w:hAnsiTheme="minorHAnsi" w:cstheme="minorHAnsi"/>
          <w:b/>
          <w:szCs w:val="24"/>
        </w:rPr>
        <w:t>reported over time should be utilized.</w:t>
      </w:r>
    </w:p>
    <w:p w14:paraId="29BD6550" w14:textId="58610F0C" w:rsidR="0011595B" w:rsidRPr="007A45EA" w:rsidRDefault="0011595B" w:rsidP="00770FE6">
      <w:pPr>
        <w:autoSpaceDE w:val="0"/>
        <w:autoSpaceDN w:val="0"/>
        <w:adjustRightInd w:val="0"/>
        <w:spacing w:after="0" w:line="240" w:lineRule="auto"/>
        <w:jc w:val="both"/>
        <w:rPr>
          <w:rFonts w:asciiTheme="minorHAnsi" w:hAnsiTheme="minorHAnsi" w:cstheme="minorHAnsi"/>
          <w:b/>
          <w:szCs w:val="24"/>
        </w:rPr>
      </w:pPr>
    </w:p>
    <w:p w14:paraId="23C15B11" w14:textId="1033FEF4" w:rsidR="002638F7" w:rsidRDefault="002638F7" w:rsidP="002638F7">
      <w:pPr>
        <w:jc w:val="both"/>
        <w:rPr>
          <w:rFonts w:asciiTheme="minorHAnsi" w:hAnsiTheme="minorHAnsi" w:cstheme="minorHAnsi"/>
          <w:szCs w:val="24"/>
        </w:rPr>
      </w:pPr>
      <w:r w:rsidRPr="007A45EA">
        <w:rPr>
          <w:rFonts w:asciiTheme="minorHAnsi" w:hAnsiTheme="minorHAnsi" w:cstheme="minorHAnsi"/>
          <w:szCs w:val="24"/>
        </w:rPr>
        <w:t xml:space="preserve">The Proposed Project will improve timely access to </w:t>
      </w:r>
      <w:r w:rsidR="000C445B">
        <w:rPr>
          <w:rFonts w:asciiTheme="minorHAnsi" w:hAnsiTheme="minorHAnsi" w:cstheme="minorHAnsi"/>
          <w:szCs w:val="24"/>
        </w:rPr>
        <w:t xml:space="preserve">High Acuity </w:t>
      </w:r>
      <w:r w:rsidRPr="007A45EA">
        <w:rPr>
          <w:rFonts w:asciiTheme="minorHAnsi" w:hAnsiTheme="minorHAnsi" w:cstheme="minorHAnsi"/>
          <w:szCs w:val="24"/>
        </w:rPr>
        <w:t>Dental S</w:t>
      </w:r>
      <w:r w:rsidR="00A664FF">
        <w:rPr>
          <w:rFonts w:asciiTheme="minorHAnsi" w:hAnsiTheme="minorHAnsi" w:cstheme="minorHAnsi"/>
          <w:szCs w:val="24"/>
        </w:rPr>
        <w:t>urger</w:t>
      </w:r>
      <w:r w:rsidR="000C445B">
        <w:rPr>
          <w:rFonts w:asciiTheme="minorHAnsi" w:hAnsiTheme="minorHAnsi" w:cstheme="minorHAnsi"/>
          <w:szCs w:val="24"/>
        </w:rPr>
        <w:t>ies</w:t>
      </w:r>
      <w:r w:rsidRPr="007A45EA">
        <w:rPr>
          <w:rFonts w:asciiTheme="minorHAnsi" w:hAnsiTheme="minorHAnsi" w:cstheme="minorHAnsi"/>
          <w:szCs w:val="24"/>
        </w:rPr>
        <w:t xml:space="preserve"> in a low-cost setting for the </w:t>
      </w:r>
      <w:r w:rsidR="00222EC9">
        <w:rPr>
          <w:rFonts w:asciiTheme="minorHAnsi" w:hAnsiTheme="minorHAnsi" w:cstheme="minorHAnsi"/>
          <w:szCs w:val="24"/>
        </w:rPr>
        <w:t>P</w:t>
      </w:r>
      <w:r w:rsidRPr="007A45EA">
        <w:rPr>
          <w:rFonts w:asciiTheme="minorHAnsi" w:hAnsiTheme="minorHAnsi" w:cstheme="minorHAnsi"/>
          <w:szCs w:val="24"/>
        </w:rPr>
        <w:t xml:space="preserve">atient </w:t>
      </w:r>
      <w:r w:rsidR="00222EC9">
        <w:rPr>
          <w:rFonts w:asciiTheme="minorHAnsi" w:hAnsiTheme="minorHAnsi" w:cstheme="minorHAnsi"/>
          <w:szCs w:val="24"/>
        </w:rPr>
        <w:t>P</w:t>
      </w:r>
      <w:r w:rsidRPr="007A45EA">
        <w:rPr>
          <w:rFonts w:asciiTheme="minorHAnsi" w:hAnsiTheme="minorHAnsi" w:cstheme="minorHAnsi"/>
          <w:szCs w:val="24"/>
        </w:rPr>
        <w:t>anel.  To assess the impact of the Proposed Project, the Applicant will track and report on the following measure</w:t>
      </w:r>
      <w:r w:rsidR="00A664FF">
        <w:rPr>
          <w:rFonts w:asciiTheme="minorHAnsi" w:hAnsiTheme="minorHAnsi" w:cstheme="minorHAnsi"/>
          <w:szCs w:val="24"/>
        </w:rPr>
        <w:t>s</w:t>
      </w:r>
      <w:r w:rsidRPr="007A45EA">
        <w:rPr>
          <w:rFonts w:asciiTheme="minorHAnsi" w:hAnsiTheme="minorHAnsi" w:cstheme="minorHAnsi"/>
          <w:szCs w:val="24"/>
        </w:rPr>
        <w:t xml:space="preserve">:     </w:t>
      </w:r>
    </w:p>
    <w:p w14:paraId="38F1CD9F" w14:textId="77777777" w:rsidR="00A664FF" w:rsidRPr="00E45702" w:rsidRDefault="00A664FF" w:rsidP="00A664FF">
      <w:pPr>
        <w:pStyle w:val="ListParagraph"/>
        <w:numPr>
          <w:ilvl w:val="0"/>
          <w:numId w:val="22"/>
        </w:numPr>
        <w:spacing w:after="200" w:line="276" w:lineRule="auto"/>
        <w:contextualSpacing w:val="0"/>
        <w:jc w:val="both"/>
        <w:rPr>
          <w:rFonts w:cstheme="minorHAnsi"/>
          <w:bCs/>
          <w:sz w:val="24"/>
          <w:szCs w:val="24"/>
        </w:rPr>
      </w:pPr>
      <w:r w:rsidRPr="00E45702">
        <w:rPr>
          <w:rFonts w:cstheme="minorHAnsi"/>
          <w:b/>
          <w:sz w:val="24"/>
          <w:szCs w:val="24"/>
        </w:rPr>
        <w:t xml:space="preserve">Clinical Quality – Re-Admission/Re-Treat Rate. </w:t>
      </w:r>
      <w:r w:rsidRPr="00E45702">
        <w:rPr>
          <w:rFonts w:cstheme="minorHAnsi"/>
          <w:bCs/>
          <w:sz w:val="24"/>
          <w:szCs w:val="24"/>
        </w:rPr>
        <w:t xml:space="preserve">Surgical site infections can be significant setback to a patient’s recovery. Effective surgical infection prevention programs include systems and processes to reduce risk factors, unnecessary hospitalizations and achieve better health outcomes while lowering costs.  </w:t>
      </w:r>
    </w:p>
    <w:p w14:paraId="2F6A1299" w14:textId="42DAACE5" w:rsidR="00A664FF" w:rsidRPr="00E45702" w:rsidRDefault="00A664FF" w:rsidP="00A664FF">
      <w:pPr>
        <w:pStyle w:val="ListParagraph"/>
        <w:numPr>
          <w:ilvl w:val="0"/>
          <w:numId w:val="24"/>
        </w:numPr>
        <w:spacing w:after="200" w:line="276" w:lineRule="auto"/>
        <w:contextualSpacing w:val="0"/>
        <w:jc w:val="both"/>
        <w:rPr>
          <w:rFonts w:cstheme="minorHAnsi"/>
          <w:sz w:val="24"/>
          <w:szCs w:val="24"/>
        </w:rPr>
      </w:pPr>
      <w:r w:rsidRPr="00E45702">
        <w:rPr>
          <w:rFonts w:cstheme="minorHAnsi"/>
          <w:i/>
          <w:sz w:val="24"/>
          <w:szCs w:val="24"/>
        </w:rPr>
        <w:t>Measure</w:t>
      </w:r>
      <w:proofErr w:type="gramStart"/>
      <w:r w:rsidRPr="00E45702">
        <w:rPr>
          <w:rFonts w:cstheme="minorHAnsi"/>
          <w:sz w:val="24"/>
          <w:szCs w:val="24"/>
        </w:rPr>
        <w:t>:  The</w:t>
      </w:r>
      <w:proofErr w:type="gramEnd"/>
      <w:r w:rsidRPr="00E45702">
        <w:rPr>
          <w:rFonts w:cstheme="minorHAnsi"/>
          <w:sz w:val="24"/>
          <w:szCs w:val="24"/>
        </w:rPr>
        <w:t xml:space="preserve"> Applicant will report every patient return/re-treat and compare to the total Center admissions. The data will be reported using a Blue Cloud Patient Return form and/or internal incident/adverse event form.</w:t>
      </w:r>
    </w:p>
    <w:p w14:paraId="13583626" w14:textId="5A279CFD" w:rsidR="00A664FF" w:rsidRPr="00E45702" w:rsidRDefault="00A664FF" w:rsidP="00A664FF">
      <w:pPr>
        <w:pStyle w:val="ListParagraph"/>
        <w:numPr>
          <w:ilvl w:val="0"/>
          <w:numId w:val="24"/>
        </w:numPr>
        <w:spacing w:after="200" w:line="276" w:lineRule="auto"/>
        <w:contextualSpacing w:val="0"/>
        <w:jc w:val="both"/>
        <w:rPr>
          <w:rFonts w:cstheme="minorHAnsi"/>
          <w:sz w:val="24"/>
          <w:szCs w:val="24"/>
        </w:rPr>
      </w:pPr>
      <w:r w:rsidRPr="00E45702">
        <w:rPr>
          <w:rFonts w:cstheme="minorHAnsi"/>
          <w:i/>
          <w:sz w:val="24"/>
          <w:szCs w:val="24"/>
        </w:rPr>
        <w:t>Projections:</w:t>
      </w:r>
      <w:r w:rsidRPr="00E45702">
        <w:rPr>
          <w:rFonts w:cstheme="minorHAnsi"/>
          <w:iCs/>
          <w:sz w:val="24"/>
          <w:szCs w:val="24"/>
        </w:rPr>
        <w:t xml:space="preserve"> Completed Patient Return forms will be analyzed and reviewed at quarterly QAPI/MEC meetings as well as </w:t>
      </w:r>
      <w:r w:rsidR="00EF53D1">
        <w:rPr>
          <w:rFonts w:cstheme="minorHAnsi"/>
          <w:iCs/>
          <w:sz w:val="24"/>
          <w:szCs w:val="24"/>
        </w:rPr>
        <w:t xml:space="preserve">at </w:t>
      </w:r>
      <w:r w:rsidRPr="00E45702">
        <w:rPr>
          <w:rFonts w:cstheme="minorHAnsi"/>
          <w:iCs/>
          <w:sz w:val="24"/>
          <w:szCs w:val="24"/>
        </w:rPr>
        <w:t>Governing Body meetings.</w:t>
      </w:r>
      <w:r w:rsidRPr="00E45702">
        <w:rPr>
          <w:rFonts w:cstheme="minorHAnsi"/>
          <w:i/>
          <w:sz w:val="24"/>
          <w:szCs w:val="24"/>
        </w:rPr>
        <w:t xml:space="preserve"> </w:t>
      </w:r>
      <w:r w:rsidRPr="00E45702">
        <w:rPr>
          <w:rFonts w:cstheme="minorHAnsi"/>
          <w:sz w:val="24"/>
          <w:szCs w:val="24"/>
        </w:rPr>
        <w:t xml:space="preserve"> Areas for improvement based on the data collected will result in policy and procedure changes as necessary. </w:t>
      </w:r>
    </w:p>
    <w:p w14:paraId="3A221CFB" w14:textId="38FC068A" w:rsidR="00A664FF" w:rsidRPr="00E45702" w:rsidRDefault="00A664FF" w:rsidP="00A664FF">
      <w:pPr>
        <w:pStyle w:val="ListParagraph"/>
        <w:spacing w:after="200" w:line="276" w:lineRule="auto"/>
        <w:ind w:left="1080"/>
        <w:contextualSpacing w:val="0"/>
        <w:jc w:val="both"/>
        <w:rPr>
          <w:rFonts w:cstheme="minorHAnsi"/>
          <w:sz w:val="24"/>
          <w:szCs w:val="24"/>
        </w:rPr>
      </w:pPr>
      <w:r w:rsidRPr="00E45702">
        <w:rPr>
          <w:rFonts w:cstheme="minorHAnsi"/>
          <w:sz w:val="24"/>
          <w:szCs w:val="24"/>
        </w:rPr>
        <w:t xml:space="preserve"> Baseline: &lt;1</w:t>
      </w:r>
      <w:r w:rsidR="00CC1FB5" w:rsidRPr="00CC1FB5">
        <w:rPr>
          <w:rFonts w:cstheme="minorHAnsi"/>
          <w:szCs w:val="24"/>
        </w:rPr>
        <w:t xml:space="preserve"> </w:t>
      </w:r>
      <w:r w:rsidR="00CC1FB5">
        <w:rPr>
          <w:rFonts w:cstheme="minorHAnsi"/>
          <w:szCs w:val="24"/>
        </w:rPr>
        <w:t>percent</w:t>
      </w:r>
      <w:r w:rsidRPr="00E45702">
        <w:rPr>
          <w:rFonts w:cstheme="minorHAnsi"/>
          <w:sz w:val="24"/>
          <w:szCs w:val="24"/>
        </w:rPr>
        <w:tab/>
        <w:t>Year 1: &lt;1</w:t>
      </w:r>
      <w:r w:rsidR="00CC1FB5" w:rsidRPr="00CC1FB5">
        <w:rPr>
          <w:rFonts w:cstheme="minorHAnsi"/>
          <w:szCs w:val="24"/>
        </w:rPr>
        <w:t xml:space="preserve"> </w:t>
      </w:r>
      <w:r w:rsidR="00CC1FB5">
        <w:rPr>
          <w:rFonts w:cstheme="minorHAnsi"/>
          <w:szCs w:val="24"/>
        </w:rPr>
        <w:t>percent</w:t>
      </w:r>
      <w:r w:rsidRPr="00E45702">
        <w:rPr>
          <w:rFonts w:cstheme="minorHAnsi"/>
          <w:sz w:val="24"/>
          <w:szCs w:val="24"/>
        </w:rPr>
        <w:tab/>
        <w:t>Year 2: &lt;1</w:t>
      </w:r>
      <w:r w:rsidR="00CC1FB5" w:rsidRPr="00CC1FB5">
        <w:rPr>
          <w:rFonts w:cstheme="minorHAnsi"/>
          <w:szCs w:val="24"/>
        </w:rPr>
        <w:t xml:space="preserve"> </w:t>
      </w:r>
      <w:r w:rsidR="00CC1FB5">
        <w:rPr>
          <w:rFonts w:cstheme="minorHAnsi"/>
          <w:szCs w:val="24"/>
        </w:rPr>
        <w:t>percent</w:t>
      </w:r>
      <w:r w:rsidRPr="00E45702">
        <w:rPr>
          <w:rFonts w:cstheme="minorHAnsi"/>
          <w:sz w:val="24"/>
          <w:szCs w:val="24"/>
        </w:rPr>
        <w:tab/>
        <w:t>Year 3: &lt;1</w:t>
      </w:r>
      <w:r w:rsidR="00CC1FB5" w:rsidRPr="00CC1FB5">
        <w:rPr>
          <w:rFonts w:cstheme="minorHAnsi"/>
          <w:szCs w:val="24"/>
        </w:rPr>
        <w:t xml:space="preserve"> </w:t>
      </w:r>
      <w:r w:rsidR="00CC1FB5">
        <w:rPr>
          <w:rFonts w:cstheme="minorHAnsi"/>
          <w:szCs w:val="24"/>
        </w:rPr>
        <w:t>percent</w:t>
      </w:r>
    </w:p>
    <w:p w14:paraId="49BEA678" w14:textId="016BF2E9" w:rsidR="00A664FF" w:rsidRPr="00E45702" w:rsidRDefault="00A664FF" w:rsidP="00A664FF">
      <w:pPr>
        <w:pStyle w:val="ListParagraph"/>
        <w:numPr>
          <w:ilvl w:val="0"/>
          <w:numId w:val="22"/>
        </w:numPr>
        <w:spacing w:after="200" w:line="276" w:lineRule="auto"/>
        <w:contextualSpacing w:val="0"/>
        <w:jc w:val="both"/>
        <w:rPr>
          <w:rFonts w:cstheme="minorHAnsi"/>
          <w:sz w:val="24"/>
          <w:szCs w:val="24"/>
        </w:rPr>
      </w:pPr>
      <w:r w:rsidRPr="00E45702">
        <w:rPr>
          <w:rFonts w:cstheme="minorHAnsi"/>
          <w:b/>
          <w:bCs/>
          <w:sz w:val="24"/>
          <w:szCs w:val="24"/>
        </w:rPr>
        <w:t>Clinical Quality – Hospital Transfer Rate</w:t>
      </w:r>
      <w:r w:rsidRPr="00E45702">
        <w:rPr>
          <w:rFonts w:cstheme="minorHAnsi"/>
          <w:sz w:val="24"/>
          <w:szCs w:val="24"/>
        </w:rPr>
        <w:t xml:space="preserve">.   </w:t>
      </w:r>
      <w:r w:rsidR="00EF53D1">
        <w:rPr>
          <w:rFonts w:cstheme="minorHAnsi"/>
          <w:sz w:val="24"/>
          <w:szCs w:val="24"/>
        </w:rPr>
        <w:t>Assessing p</w:t>
      </w:r>
      <w:r w:rsidRPr="00E45702">
        <w:rPr>
          <w:rFonts w:cstheme="minorHAnsi"/>
          <w:sz w:val="24"/>
          <w:szCs w:val="24"/>
        </w:rPr>
        <w:t>atient transfer rates can provide data</w:t>
      </w:r>
      <w:r w:rsidR="00EF53D1">
        <w:rPr>
          <w:rFonts w:cstheme="minorHAnsi"/>
          <w:sz w:val="24"/>
          <w:szCs w:val="24"/>
        </w:rPr>
        <w:t>, help</w:t>
      </w:r>
      <w:r w:rsidRPr="00E45702">
        <w:rPr>
          <w:rFonts w:cstheme="minorHAnsi"/>
          <w:sz w:val="24"/>
          <w:szCs w:val="24"/>
        </w:rPr>
        <w:t xml:space="preserve"> evaluate the care or treatment provided and</w:t>
      </w:r>
      <w:r w:rsidR="00EF53D1">
        <w:rPr>
          <w:rFonts w:cstheme="minorHAnsi"/>
          <w:sz w:val="24"/>
          <w:szCs w:val="24"/>
        </w:rPr>
        <w:t xml:space="preserve"> determine</w:t>
      </w:r>
      <w:r w:rsidRPr="00E45702">
        <w:rPr>
          <w:rFonts w:cstheme="minorHAnsi"/>
          <w:sz w:val="24"/>
          <w:szCs w:val="24"/>
        </w:rPr>
        <w:t xml:space="preserve"> if existing processes facilitate the best patient outcomes for the aspects of care provided by the Center. The </w:t>
      </w:r>
      <w:r w:rsidRPr="00E45702">
        <w:rPr>
          <w:rFonts w:cstheme="minorHAnsi"/>
          <w:sz w:val="24"/>
          <w:szCs w:val="24"/>
        </w:rPr>
        <w:lastRenderedPageBreak/>
        <w:t>Applicant will continue to track all patient hospital transfers regardless of cause and compare across like facilities and regional benchmarks.</w:t>
      </w:r>
    </w:p>
    <w:p w14:paraId="320528E7" w14:textId="77777777" w:rsidR="00A664FF" w:rsidRPr="00E45702" w:rsidRDefault="00A664FF" w:rsidP="00A664FF">
      <w:pPr>
        <w:pStyle w:val="ListParagraph"/>
        <w:numPr>
          <w:ilvl w:val="0"/>
          <w:numId w:val="25"/>
        </w:numPr>
        <w:spacing w:after="200" w:line="276" w:lineRule="auto"/>
        <w:contextualSpacing w:val="0"/>
        <w:jc w:val="both"/>
        <w:rPr>
          <w:rFonts w:cstheme="minorHAnsi"/>
          <w:sz w:val="24"/>
          <w:szCs w:val="24"/>
        </w:rPr>
      </w:pPr>
      <w:r w:rsidRPr="00E45702">
        <w:rPr>
          <w:rFonts w:cstheme="minorHAnsi"/>
          <w:i/>
          <w:sz w:val="24"/>
          <w:szCs w:val="24"/>
        </w:rPr>
        <w:t>Measure</w:t>
      </w:r>
      <w:r w:rsidRPr="00E45702">
        <w:rPr>
          <w:rFonts w:cstheme="minorHAnsi"/>
          <w:sz w:val="24"/>
          <w:szCs w:val="24"/>
        </w:rPr>
        <w:t>:  Every hospital transfer regardless of cause will be reported by the Applicant completing an internal incident/adverse event report.  The total number of hospital transfers will be compared with the total number of Center admissions.</w:t>
      </w:r>
    </w:p>
    <w:p w14:paraId="0AFF018F" w14:textId="6A00950F" w:rsidR="00A664FF" w:rsidRPr="00E45702" w:rsidRDefault="00A664FF" w:rsidP="00A664FF">
      <w:pPr>
        <w:pStyle w:val="ListParagraph"/>
        <w:numPr>
          <w:ilvl w:val="0"/>
          <w:numId w:val="24"/>
        </w:numPr>
        <w:spacing w:after="200" w:line="276" w:lineRule="auto"/>
        <w:contextualSpacing w:val="0"/>
        <w:jc w:val="both"/>
        <w:rPr>
          <w:rFonts w:cstheme="minorHAnsi"/>
          <w:sz w:val="24"/>
          <w:szCs w:val="24"/>
        </w:rPr>
      </w:pPr>
      <w:r w:rsidRPr="00E45702">
        <w:rPr>
          <w:rFonts w:cstheme="minorHAnsi"/>
          <w:i/>
          <w:sz w:val="24"/>
          <w:szCs w:val="24"/>
        </w:rPr>
        <w:t xml:space="preserve">Projections: </w:t>
      </w:r>
      <w:r w:rsidRPr="00E45702">
        <w:rPr>
          <w:rFonts w:cstheme="minorHAnsi"/>
          <w:iCs/>
          <w:sz w:val="24"/>
          <w:szCs w:val="24"/>
        </w:rPr>
        <w:t xml:space="preserve">Completed incident/adverse event reports will be trended and analyzed and reviewed monthly by the Center’s Medical/Clinical compliance leaders and at quarterly QAPI/MEC and Governing Body meetings. Areas for improvement based on the </w:t>
      </w:r>
      <w:r w:rsidR="00B54691" w:rsidRPr="00E45702">
        <w:rPr>
          <w:rFonts w:cstheme="minorHAnsi"/>
          <w:iCs/>
          <w:sz w:val="24"/>
          <w:szCs w:val="24"/>
        </w:rPr>
        <w:t>data collected</w:t>
      </w:r>
      <w:r w:rsidRPr="00E45702">
        <w:rPr>
          <w:rFonts w:cstheme="minorHAnsi"/>
          <w:iCs/>
          <w:sz w:val="24"/>
          <w:szCs w:val="24"/>
        </w:rPr>
        <w:t xml:space="preserve"> will result in policy and procedure changes as necessary. </w:t>
      </w:r>
    </w:p>
    <w:p w14:paraId="73EB840B" w14:textId="2B779F89" w:rsidR="00A664FF" w:rsidRPr="00E45702" w:rsidRDefault="00A664FF" w:rsidP="00A664FF">
      <w:pPr>
        <w:pStyle w:val="ListParagraph"/>
        <w:spacing w:after="200" w:line="276" w:lineRule="auto"/>
        <w:ind w:left="1080"/>
        <w:contextualSpacing w:val="0"/>
        <w:jc w:val="both"/>
        <w:rPr>
          <w:rFonts w:cstheme="minorHAnsi"/>
          <w:sz w:val="24"/>
          <w:szCs w:val="24"/>
        </w:rPr>
      </w:pPr>
      <w:r w:rsidRPr="00E45702">
        <w:rPr>
          <w:rFonts w:cstheme="minorHAnsi"/>
          <w:sz w:val="24"/>
          <w:szCs w:val="24"/>
        </w:rPr>
        <w:t>Baseline: &lt;1</w:t>
      </w:r>
      <w:r w:rsidR="00CC1FB5" w:rsidRPr="00CC1FB5">
        <w:rPr>
          <w:rFonts w:cstheme="minorHAnsi"/>
          <w:szCs w:val="24"/>
        </w:rPr>
        <w:t xml:space="preserve"> </w:t>
      </w:r>
      <w:r w:rsidR="00CC1FB5">
        <w:rPr>
          <w:rFonts w:cstheme="minorHAnsi"/>
          <w:szCs w:val="24"/>
        </w:rPr>
        <w:t>percent</w:t>
      </w:r>
      <w:r w:rsidRPr="00E45702">
        <w:rPr>
          <w:rFonts w:cstheme="minorHAnsi"/>
          <w:sz w:val="24"/>
          <w:szCs w:val="24"/>
        </w:rPr>
        <w:tab/>
        <w:t>Year 1: &lt;1</w:t>
      </w:r>
      <w:r w:rsidR="00CC1FB5" w:rsidRPr="00CC1FB5">
        <w:rPr>
          <w:rFonts w:cstheme="minorHAnsi"/>
          <w:szCs w:val="24"/>
        </w:rPr>
        <w:t xml:space="preserve"> </w:t>
      </w:r>
      <w:r w:rsidR="00CC1FB5">
        <w:rPr>
          <w:rFonts w:cstheme="minorHAnsi"/>
          <w:szCs w:val="24"/>
        </w:rPr>
        <w:t>percent</w:t>
      </w:r>
      <w:r w:rsidRPr="00E45702">
        <w:rPr>
          <w:rFonts w:cstheme="minorHAnsi"/>
          <w:sz w:val="24"/>
          <w:szCs w:val="24"/>
        </w:rPr>
        <w:tab/>
        <w:t>Year 2: &lt;1</w:t>
      </w:r>
      <w:r w:rsidR="00CC1FB5" w:rsidRPr="00CC1FB5">
        <w:rPr>
          <w:rFonts w:cstheme="minorHAnsi"/>
          <w:szCs w:val="24"/>
        </w:rPr>
        <w:t xml:space="preserve"> </w:t>
      </w:r>
      <w:r w:rsidR="00CC1FB5">
        <w:rPr>
          <w:rFonts w:cstheme="minorHAnsi"/>
          <w:szCs w:val="24"/>
        </w:rPr>
        <w:t>percent</w:t>
      </w:r>
      <w:r w:rsidRPr="00E45702">
        <w:rPr>
          <w:rFonts w:cstheme="minorHAnsi"/>
          <w:sz w:val="24"/>
          <w:szCs w:val="24"/>
        </w:rPr>
        <w:tab/>
        <w:t>Year 3: &lt;1</w:t>
      </w:r>
      <w:r w:rsidR="00CC1FB5" w:rsidRPr="00CC1FB5">
        <w:rPr>
          <w:rFonts w:cstheme="minorHAnsi"/>
          <w:szCs w:val="24"/>
        </w:rPr>
        <w:t xml:space="preserve"> </w:t>
      </w:r>
      <w:r w:rsidR="00CC1FB5">
        <w:rPr>
          <w:rFonts w:cstheme="minorHAnsi"/>
          <w:szCs w:val="24"/>
        </w:rPr>
        <w:t>percent</w:t>
      </w:r>
    </w:p>
    <w:p w14:paraId="2D358392" w14:textId="77777777" w:rsidR="00A664FF" w:rsidRPr="00E45702" w:rsidRDefault="00A664FF" w:rsidP="00A664FF">
      <w:pPr>
        <w:pStyle w:val="ListParagraph"/>
        <w:numPr>
          <w:ilvl w:val="0"/>
          <w:numId w:val="22"/>
        </w:numPr>
        <w:spacing w:after="200" w:line="276" w:lineRule="auto"/>
        <w:contextualSpacing w:val="0"/>
        <w:jc w:val="both"/>
        <w:rPr>
          <w:rFonts w:cstheme="minorHAnsi"/>
          <w:b/>
          <w:sz w:val="24"/>
          <w:szCs w:val="24"/>
        </w:rPr>
      </w:pPr>
      <w:r w:rsidRPr="00E45702">
        <w:rPr>
          <w:rFonts w:cstheme="minorHAnsi"/>
          <w:b/>
          <w:sz w:val="24"/>
          <w:szCs w:val="24"/>
        </w:rPr>
        <w:t xml:space="preserve">Patient Satisfaction.   </w:t>
      </w:r>
      <w:r w:rsidRPr="00E45702">
        <w:rPr>
          <w:rFonts w:cstheme="minorHAnsi"/>
          <w:bCs/>
          <w:sz w:val="24"/>
          <w:szCs w:val="24"/>
        </w:rPr>
        <w:t>Patients that are satisfied with their care are more likely to seek additional treatment when needed. The Applicant will continue to review patient satisfaction levels with the Center’s surgical services and compare across like facilities and regional benchmarks.</w:t>
      </w:r>
      <w:r w:rsidRPr="00E45702">
        <w:rPr>
          <w:rFonts w:cstheme="minorHAnsi"/>
          <w:b/>
          <w:sz w:val="24"/>
          <w:szCs w:val="24"/>
        </w:rPr>
        <w:t xml:space="preserve">  </w:t>
      </w:r>
    </w:p>
    <w:p w14:paraId="79054F54" w14:textId="77777777" w:rsidR="00A664FF" w:rsidRPr="00E45702" w:rsidRDefault="00A664FF" w:rsidP="00A664FF">
      <w:pPr>
        <w:pStyle w:val="ListParagraph"/>
        <w:numPr>
          <w:ilvl w:val="0"/>
          <w:numId w:val="23"/>
        </w:numPr>
        <w:spacing w:after="200" w:line="276" w:lineRule="auto"/>
        <w:contextualSpacing w:val="0"/>
        <w:jc w:val="both"/>
        <w:rPr>
          <w:rFonts w:cstheme="minorHAnsi"/>
          <w:sz w:val="24"/>
          <w:szCs w:val="24"/>
        </w:rPr>
      </w:pPr>
      <w:r w:rsidRPr="00E45702">
        <w:rPr>
          <w:rFonts w:cstheme="minorHAnsi"/>
          <w:i/>
          <w:sz w:val="24"/>
          <w:szCs w:val="24"/>
        </w:rPr>
        <w:t>Measure</w:t>
      </w:r>
      <w:r w:rsidRPr="00E45702">
        <w:rPr>
          <w:rFonts w:cstheme="minorHAnsi"/>
          <w:sz w:val="24"/>
          <w:szCs w:val="24"/>
        </w:rPr>
        <w:t xml:space="preserve">: The Center will use an internal patient satisfaction survey to assess patient satisfaction. Satisfaction scores range from 0-10 with 10 being the highest score. The survey will be provided to all eligible patients after they have completed treatment at the facility. </w:t>
      </w:r>
    </w:p>
    <w:p w14:paraId="5BC13ACE" w14:textId="38BCA081" w:rsidR="00A664FF" w:rsidRPr="00E45702" w:rsidRDefault="00A664FF" w:rsidP="00A664FF">
      <w:pPr>
        <w:pStyle w:val="ListParagraph"/>
        <w:numPr>
          <w:ilvl w:val="0"/>
          <w:numId w:val="23"/>
        </w:numPr>
        <w:spacing w:after="200" w:line="276" w:lineRule="auto"/>
        <w:contextualSpacing w:val="0"/>
        <w:jc w:val="both"/>
        <w:rPr>
          <w:rFonts w:cstheme="minorHAnsi"/>
          <w:sz w:val="24"/>
          <w:szCs w:val="24"/>
        </w:rPr>
      </w:pPr>
      <w:r w:rsidRPr="00E45702">
        <w:rPr>
          <w:rFonts w:cstheme="minorHAnsi"/>
          <w:i/>
          <w:sz w:val="24"/>
          <w:szCs w:val="24"/>
        </w:rPr>
        <w:t xml:space="preserve">Projections: </w:t>
      </w:r>
      <w:r w:rsidRPr="00E45702">
        <w:rPr>
          <w:rFonts w:cstheme="minorHAnsi"/>
          <w:iCs/>
          <w:sz w:val="24"/>
          <w:szCs w:val="24"/>
        </w:rPr>
        <w:t xml:space="preserve">Completed patient satisfaction survey reports will be reviewed monthly and </w:t>
      </w:r>
      <w:proofErr w:type="gramStart"/>
      <w:r w:rsidRPr="00E45702">
        <w:rPr>
          <w:rFonts w:cstheme="minorHAnsi"/>
          <w:iCs/>
          <w:sz w:val="24"/>
          <w:szCs w:val="24"/>
        </w:rPr>
        <w:t xml:space="preserve">reported </w:t>
      </w:r>
      <w:r w:rsidR="00EF53D1">
        <w:rPr>
          <w:rFonts w:cstheme="minorHAnsi"/>
          <w:iCs/>
          <w:sz w:val="24"/>
          <w:szCs w:val="24"/>
        </w:rPr>
        <w:t>on</w:t>
      </w:r>
      <w:proofErr w:type="gramEnd"/>
      <w:r w:rsidR="00EF53D1">
        <w:rPr>
          <w:rFonts w:cstheme="minorHAnsi"/>
          <w:iCs/>
          <w:sz w:val="24"/>
          <w:szCs w:val="24"/>
        </w:rPr>
        <w:t xml:space="preserve"> </w:t>
      </w:r>
      <w:r w:rsidRPr="00E45702">
        <w:rPr>
          <w:rFonts w:cstheme="minorHAnsi"/>
          <w:iCs/>
          <w:sz w:val="24"/>
          <w:szCs w:val="24"/>
        </w:rPr>
        <w:t>quarterly during facility</w:t>
      </w:r>
      <w:r w:rsidR="00EF53D1">
        <w:rPr>
          <w:rFonts w:cstheme="minorHAnsi"/>
          <w:iCs/>
          <w:sz w:val="24"/>
          <w:szCs w:val="24"/>
        </w:rPr>
        <w:t>/</w:t>
      </w:r>
      <w:r w:rsidRPr="00E45702">
        <w:rPr>
          <w:rFonts w:cstheme="minorHAnsi"/>
          <w:iCs/>
          <w:sz w:val="24"/>
          <w:szCs w:val="24"/>
        </w:rPr>
        <w:t xml:space="preserve">staff/patient safety meetings as well as quarterly during QAPI/MEC and Governing Body meetings. </w:t>
      </w:r>
      <w:r w:rsidRPr="00E45702">
        <w:rPr>
          <w:rFonts w:cstheme="minorHAnsi"/>
          <w:sz w:val="24"/>
          <w:szCs w:val="24"/>
        </w:rPr>
        <w:t xml:space="preserve">Areas for improvement based on scores </w:t>
      </w:r>
      <w:r w:rsidR="00EF53D1">
        <w:rPr>
          <w:rFonts w:cstheme="minorHAnsi"/>
          <w:sz w:val="24"/>
          <w:szCs w:val="24"/>
        </w:rPr>
        <w:t xml:space="preserve">provided </w:t>
      </w:r>
      <w:r w:rsidRPr="00E45702">
        <w:rPr>
          <w:rFonts w:cstheme="minorHAnsi"/>
          <w:sz w:val="24"/>
          <w:szCs w:val="24"/>
        </w:rPr>
        <w:t>will be analyzed</w:t>
      </w:r>
      <w:r w:rsidR="00EF53D1">
        <w:rPr>
          <w:rFonts w:cstheme="minorHAnsi"/>
          <w:sz w:val="24"/>
          <w:szCs w:val="24"/>
        </w:rPr>
        <w:t>,</w:t>
      </w:r>
      <w:r w:rsidRPr="00E45702">
        <w:rPr>
          <w:rFonts w:cstheme="minorHAnsi"/>
          <w:sz w:val="24"/>
          <w:szCs w:val="24"/>
        </w:rPr>
        <w:t xml:space="preserve"> with changes in policy and practice implemented as necessary.  The Applicant will monitor improvements accordingly.</w:t>
      </w:r>
    </w:p>
    <w:p w14:paraId="1EF9E341" w14:textId="506F58C9" w:rsidR="00A664FF" w:rsidRDefault="00A664FF" w:rsidP="005730E2">
      <w:pPr>
        <w:pStyle w:val="ListParagraph"/>
        <w:spacing w:after="200" w:line="276" w:lineRule="auto"/>
        <w:ind w:left="1080"/>
        <w:contextualSpacing w:val="0"/>
        <w:jc w:val="both"/>
        <w:rPr>
          <w:rFonts w:cstheme="minorHAnsi"/>
          <w:sz w:val="24"/>
          <w:szCs w:val="24"/>
        </w:rPr>
      </w:pPr>
      <w:r w:rsidRPr="00E45702">
        <w:rPr>
          <w:rFonts w:cstheme="minorHAnsi"/>
          <w:sz w:val="24"/>
          <w:szCs w:val="24"/>
        </w:rPr>
        <w:t xml:space="preserve"> Baseline: 9.5/10</w:t>
      </w:r>
      <w:proofErr w:type="gramStart"/>
      <w:r w:rsidRPr="00E45702">
        <w:rPr>
          <w:rFonts w:cstheme="minorHAnsi"/>
          <w:sz w:val="24"/>
          <w:szCs w:val="24"/>
        </w:rPr>
        <w:tab/>
        <w:t xml:space="preserve">  Year</w:t>
      </w:r>
      <w:proofErr w:type="gramEnd"/>
      <w:r w:rsidRPr="00E45702">
        <w:rPr>
          <w:rFonts w:cstheme="minorHAnsi"/>
          <w:sz w:val="24"/>
          <w:szCs w:val="24"/>
        </w:rPr>
        <w:t xml:space="preserve"> 1:   9.5/10     Year 2:   9.5/10</w:t>
      </w:r>
      <w:r w:rsidRPr="005730E2">
        <w:rPr>
          <w:rFonts w:cstheme="minorHAnsi"/>
          <w:sz w:val="24"/>
          <w:szCs w:val="24"/>
        </w:rPr>
        <w:t xml:space="preserve">       Year 3: 9.5/10</w:t>
      </w:r>
    </w:p>
    <w:p w14:paraId="472D7026" w14:textId="77777777" w:rsidR="00FF3130" w:rsidRPr="007A45EA" w:rsidRDefault="00FF3130" w:rsidP="00770FE6">
      <w:pPr>
        <w:autoSpaceDE w:val="0"/>
        <w:autoSpaceDN w:val="0"/>
        <w:adjustRightInd w:val="0"/>
        <w:spacing w:after="0" w:line="240" w:lineRule="auto"/>
        <w:jc w:val="both"/>
        <w:rPr>
          <w:rFonts w:asciiTheme="minorHAnsi" w:hAnsiTheme="minorHAnsi" w:cstheme="minorHAnsi"/>
          <w:b/>
          <w:szCs w:val="24"/>
        </w:rPr>
      </w:pPr>
    </w:p>
    <w:p w14:paraId="45DDCF78" w14:textId="7BEAD484" w:rsidR="00D351C5" w:rsidRPr="007A45EA" w:rsidRDefault="00C34AF8" w:rsidP="00770FE6">
      <w:pPr>
        <w:autoSpaceDE w:val="0"/>
        <w:autoSpaceDN w:val="0"/>
        <w:adjustRightInd w:val="0"/>
        <w:spacing w:after="0" w:line="240" w:lineRule="auto"/>
        <w:jc w:val="both"/>
        <w:rPr>
          <w:rFonts w:asciiTheme="minorHAnsi" w:hAnsiTheme="minorHAnsi" w:cstheme="minorHAnsi"/>
          <w:b/>
          <w:szCs w:val="24"/>
        </w:rPr>
      </w:pPr>
      <w:r w:rsidRPr="007A45EA">
        <w:rPr>
          <w:rStyle w:val="Heading2Char"/>
        </w:rPr>
        <w:t>F1.b.iii Public Health Value /Health Equity-Focused</w:t>
      </w:r>
    </w:p>
    <w:p w14:paraId="2B58F7CB" w14:textId="77777777" w:rsidR="0016507F" w:rsidRPr="007A45EA" w:rsidRDefault="0016507F" w:rsidP="00770FE6">
      <w:pPr>
        <w:autoSpaceDE w:val="0"/>
        <w:autoSpaceDN w:val="0"/>
        <w:adjustRightInd w:val="0"/>
        <w:spacing w:after="0" w:line="240" w:lineRule="auto"/>
        <w:jc w:val="both"/>
        <w:rPr>
          <w:rFonts w:asciiTheme="minorHAnsi" w:hAnsiTheme="minorHAnsi" w:cstheme="minorHAnsi"/>
          <w:b/>
          <w:szCs w:val="24"/>
        </w:rPr>
      </w:pPr>
    </w:p>
    <w:p w14:paraId="17D23186" w14:textId="4DC7DC89" w:rsidR="00D351C5" w:rsidRPr="007A45EA" w:rsidRDefault="00C34AF8" w:rsidP="00770FE6">
      <w:pPr>
        <w:autoSpaceDE w:val="0"/>
        <w:autoSpaceDN w:val="0"/>
        <w:adjustRightInd w:val="0"/>
        <w:spacing w:after="0" w:line="240" w:lineRule="auto"/>
        <w:jc w:val="both"/>
        <w:rPr>
          <w:rFonts w:asciiTheme="minorHAnsi" w:hAnsiTheme="minorHAnsi" w:cstheme="minorHAnsi"/>
          <w:b/>
          <w:szCs w:val="24"/>
        </w:rPr>
      </w:pPr>
      <w:r w:rsidRPr="007A45EA">
        <w:rPr>
          <w:rFonts w:asciiTheme="minorHAnsi" w:hAnsiTheme="minorHAnsi" w:cstheme="minorHAnsi"/>
          <w:b/>
          <w:szCs w:val="24"/>
        </w:rPr>
        <w:t>For Proposed Projects addressing health inequities identified within the Applicant's description of the Proposed Project's need base, please justify how the Proposed Project will reduce the health inequity, including the operational components (e.g.</w:t>
      </w:r>
      <w:r w:rsidR="00AC6B0C" w:rsidRPr="007A45EA">
        <w:rPr>
          <w:rFonts w:asciiTheme="minorHAnsi" w:hAnsiTheme="minorHAnsi" w:cstheme="minorHAnsi"/>
          <w:b/>
          <w:szCs w:val="24"/>
        </w:rPr>
        <w:t xml:space="preserve"> </w:t>
      </w:r>
      <w:r w:rsidRPr="007A45EA">
        <w:rPr>
          <w:rFonts w:asciiTheme="minorHAnsi" w:hAnsiTheme="minorHAnsi" w:cstheme="minorHAnsi"/>
          <w:b/>
          <w:szCs w:val="24"/>
        </w:rPr>
        <w:t>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75C2A02B" w14:textId="45D8C40F" w:rsidR="00D351C5" w:rsidRPr="007A45EA" w:rsidRDefault="00D351C5" w:rsidP="00770FE6">
      <w:pPr>
        <w:autoSpaceDE w:val="0"/>
        <w:autoSpaceDN w:val="0"/>
        <w:adjustRightInd w:val="0"/>
        <w:spacing w:after="0" w:line="240" w:lineRule="auto"/>
        <w:jc w:val="both"/>
        <w:rPr>
          <w:rFonts w:asciiTheme="minorHAnsi" w:hAnsiTheme="minorHAnsi" w:cstheme="minorHAnsi"/>
          <w:b/>
          <w:szCs w:val="24"/>
        </w:rPr>
      </w:pPr>
    </w:p>
    <w:p w14:paraId="725B0E83" w14:textId="58C581D7" w:rsidR="00E74E0B" w:rsidRDefault="002638F7" w:rsidP="002638F7">
      <w:pPr>
        <w:autoSpaceDE w:val="0"/>
        <w:autoSpaceDN w:val="0"/>
        <w:adjustRightInd w:val="0"/>
        <w:spacing w:after="0"/>
        <w:jc w:val="both"/>
        <w:rPr>
          <w:rFonts w:asciiTheme="minorHAnsi" w:hAnsiTheme="minorHAnsi" w:cstheme="minorHAnsi"/>
          <w:szCs w:val="24"/>
        </w:rPr>
      </w:pPr>
      <w:r w:rsidRPr="007A45EA">
        <w:rPr>
          <w:rFonts w:asciiTheme="minorHAnsi" w:hAnsiTheme="minorHAnsi" w:cstheme="minorHAnsi"/>
          <w:szCs w:val="24"/>
        </w:rPr>
        <w:t xml:space="preserve">Health equity is at the core of the Applicant’s mission to provide timely and convenient access to </w:t>
      </w:r>
      <w:r w:rsidR="00E45702">
        <w:rPr>
          <w:rFonts w:asciiTheme="minorHAnsi" w:hAnsiTheme="minorHAnsi" w:cstheme="minorHAnsi"/>
          <w:szCs w:val="24"/>
        </w:rPr>
        <w:t>High Acuity Dental Surgeries</w:t>
      </w:r>
      <w:r w:rsidRPr="007A45EA">
        <w:rPr>
          <w:rFonts w:asciiTheme="minorHAnsi" w:hAnsiTheme="minorHAnsi" w:cstheme="minorHAnsi"/>
          <w:szCs w:val="24"/>
        </w:rPr>
        <w:t xml:space="preserve"> to an </w:t>
      </w:r>
      <w:r w:rsidR="00282B72" w:rsidRPr="007A45EA">
        <w:rPr>
          <w:rFonts w:asciiTheme="minorHAnsi" w:hAnsiTheme="minorHAnsi" w:cstheme="minorHAnsi"/>
          <w:szCs w:val="24"/>
        </w:rPr>
        <w:t>underserved</w:t>
      </w:r>
      <w:r w:rsidRPr="007A45EA">
        <w:rPr>
          <w:rFonts w:asciiTheme="minorHAnsi" w:hAnsiTheme="minorHAnsi" w:cstheme="minorHAnsi"/>
          <w:szCs w:val="24"/>
        </w:rPr>
        <w:t xml:space="preserve"> population. </w:t>
      </w:r>
      <w:r w:rsidR="00E433E4">
        <w:rPr>
          <w:rFonts w:asciiTheme="minorHAnsi" w:hAnsiTheme="minorHAnsi" w:cstheme="minorHAnsi"/>
          <w:szCs w:val="24"/>
        </w:rPr>
        <w:t>T</w:t>
      </w:r>
      <w:r w:rsidR="006D35FB">
        <w:rPr>
          <w:rFonts w:asciiTheme="minorHAnsi" w:hAnsiTheme="minorHAnsi" w:cstheme="minorHAnsi"/>
          <w:szCs w:val="24"/>
        </w:rPr>
        <w:t xml:space="preserve">he </w:t>
      </w:r>
      <w:r w:rsidR="00E433E4">
        <w:rPr>
          <w:rFonts w:asciiTheme="minorHAnsi" w:hAnsiTheme="minorHAnsi" w:cstheme="minorHAnsi"/>
          <w:szCs w:val="24"/>
        </w:rPr>
        <w:t>A</w:t>
      </w:r>
      <w:r w:rsidR="006D35FB">
        <w:rPr>
          <w:rFonts w:asciiTheme="minorHAnsi" w:hAnsiTheme="minorHAnsi" w:cstheme="minorHAnsi"/>
          <w:szCs w:val="24"/>
        </w:rPr>
        <w:t>pplicant’s</w:t>
      </w:r>
      <w:r w:rsidR="0022652D">
        <w:rPr>
          <w:rFonts w:asciiTheme="minorHAnsi" w:hAnsiTheme="minorHAnsi" w:cstheme="minorHAnsi"/>
          <w:szCs w:val="24"/>
        </w:rPr>
        <w:t xml:space="preserve"> national</w:t>
      </w:r>
      <w:r w:rsidR="006D35FB">
        <w:rPr>
          <w:rFonts w:asciiTheme="minorHAnsi" w:hAnsiTheme="minorHAnsi" w:cstheme="minorHAnsi"/>
          <w:szCs w:val="24"/>
        </w:rPr>
        <w:t xml:space="preserve"> patient population</w:t>
      </w:r>
      <w:r w:rsidR="00E433E4">
        <w:rPr>
          <w:rFonts w:asciiTheme="minorHAnsi" w:hAnsiTheme="minorHAnsi" w:cstheme="minorHAnsi"/>
          <w:szCs w:val="24"/>
        </w:rPr>
        <w:t xml:space="preserve"> </w:t>
      </w:r>
      <w:r w:rsidR="006D35FB">
        <w:rPr>
          <w:rFonts w:asciiTheme="minorHAnsi" w:hAnsiTheme="minorHAnsi" w:cstheme="minorHAnsi"/>
          <w:szCs w:val="24"/>
        </w:rPr>
        <w:t xml:space="preserve">aligns with this mission as </w:t>
      </w:r>
      <w:r w:rsidR="001E2949">
        <w:rPr>
          <w:rFonts w:asciiTheme="minorHAnsi" w:hAnsiTheme="minorHAnsi" w:cstheme="minorHAnsi"/>
          <w:szCs w:val="24"/>
        </w:rPr>
        <w:t>94</w:t>
      </w:r>
      <w:r w:rsidR="00CC1FB5" w:rsidRPr="00CC1FB5">
        <w:rPr>
          <w:rFonts w:asciiTheme="minorHAnsi" w:hAnsiTheme="minorHAnsi" w:cstheme="minorHAnsi"/>
          <w:szCs w:val="24"/>
        </w:rPr>
        <w:t xml:space="preserve"> </w:t>
      </w:r>
      <w:r w:rsidR="00CC1FB5">
        <w:rPr>
          <w:rFonts w:asciiTheme="minorHAnsi" w:hAnsiTheme="minorHAnsi" w:cstheme="minorHAnsi"/>
          <w:szCs w:val="24"/>
        </w:rPr>
        <w:t>percent</w:t>
      </w:r>
      <w:r w:rsidR="001E2949">
        <w:rPr>
          <w:rFonts w:asciiTheme="minorHAnsi" w:hAnsiTheme="minorHAnsi" w:cstheme="minorHAnsi"/>
          <w:szCs w:val="24"/>
        </w:rPr>
        <w:t xml:space="preserve"> </w:t>
      </w:r>
      <w:r w:rsidR="00E433E4">
        <w:rPr>
          <w:rFonts w:asciiTheme="minorHAnsi" w:hAnsiTheme="minorHAnsi" w:cstheme="minorHAnsi"/>
          <w:szCs w:val="24"/>
        </w:rPr>
        <w:t>of its patients are Medicaid or CHIP beneficiaries</w:t>
      </w:r>
      <w:r w:rsidR="001E2949">
        <w:rPr>
          <w:rFonts w:asciiTheme="minorHAnsi" w:hAnsiTheme="minorHAnsi" w:cstheme="minorHAnsi"/>
          <w:szCs w:val="24"/>
        </w:rPr>
        <w:t xml:space="preserve">, and the Applicant expects </w:t>
      </w:r>
      <w:r w:rsidR="00EE3F4C">
        <w:rPr>
          <w:rFonts w:asciiTheme="minorHAnsi" w:hAnsiTheme="minorHAnsi" w:cstheme="minorHAnsi"/>
          <w:szCs w:val="24"/>
        </w:rPr>
        <w:t>this</w:t>
      </w:r>
      <w:r w:rsidR="001E2949">
        <w:rPr>
          <w:rFonts w:asciiTheme="minorHAnsi" w:hAnsiTheme="minorHAnsi" w:cstheme="minorHAnsi"/>
          <w:szCs w:val="24"/>
        </w:rPr>
        <w:t xml:space="preserve"> to be the same in Massachusetts</w:t>
      </w:r>
      <w:r w:rsidR="006D35FB">
        <w:rPr>
          <w:rFonts w:asciiTheme="minorHAnsi" w:hAnsiTheme="minorHAnsi" w:cstheme="minorHAnsi"/>
          <w:szCs w:val="24"/>
        </w:rPr>
        <w:t xml:space="preserve">. </w:t>
      </w:r>
      <w:r w:rsidR="00FF4250">
        <w:rPr>
          <w:rFonts w:asciiTheme="minorHAnsi" w:hAnsiTheme="minorHAnsi" w:cstheme="minorHAnsi"/>
          <w:szCs w:val="24"/>
        </w:rPr>
        <w:t xml:space="preserve"> </w:t>
      </w:r>
      <w:r w:rsidR="00E433E4">
        <w:rPr>
          <w:rFonts w:asciiTheme="minorHAnsi" w:hAnsiTheme="minorHAnsi" w:cstheme="minorHAnsi"/>
          <w:szCs w:val="24"/>
        </w:rPr>
        <w:t xml:space="preserve">To ensure that the Applicant’s </w:t>
      </w:r>
      <w:r w:rsidR="00222EC9">
        <w:rPr>
          <w:rFonts w:asciiTheme="minorHAnsi" w:hAnsiTheme="minorHAnsi" w:cstheme="minorHAnsi"/>
          <w:szCs w:val="24"/>
        </w:rPr>
        <w:t>P</w:t>
      </w:r>
      <w:r w:rsidR="00E433E4">
        <w:rPr>
          <w:rFonts w:asciiTheme="minorHAnsi" w:hAnsiTheme="minorHAnsi" w:cstheme="minorHAnsi"/>
          <w:szCs w:val="24"/>
        </w:rPr>
        <w:t xml:space="preserve">atient </w:t>
      </w:r>
      <w:r w:rsidR="00222EC9">
        <w:rPr>
          <w:rFonts w:asciiTheme="minorHAnsi" w:hAnsiTheme="minorHAnsi" w:cstheme="minorHAnsi"/>
          <w:szCs w:val="24"/>
        </w:rPr>
        <w:t>P</w:t>
      </w:r>
      <w:r w:rsidR="00E433E4">
        <w:rPr>
          <w:rFonts w:asciiTheme="minorHAnsi" w:hAnsiTheme="minorHAnsi" w:cstheme="minorHAnsi"/>
          <w:szCs w:val="24"/>
        </w:rPr>
        <w:t xml:space="preserve">anel at the Center aligns with its </w:t>
      </w:r>
      <w:r w:rsidR="0022652D">
        <w:rPr>
          <w:rFonts w:asciiTheme="minorHAnsi" w:hAnsiTheme="minorHAnsi" w:cstheme="minorHAnsi"/>
          <w:szCs w:val="24"/>
        </w:rPr>
        <w:t>m</w:t>
      </w:r>
      <w:r w:rsidR="00E433E4">
        <w:rPr>
          <w:rFonts w:asciiTheme="minorHAnsi" w:hAnsiTheme="minorHAnsi" w:cstheme="minorHAnsi"/>
          <w:szCs w:val="24"/>
        </w:rPr>
        <w:t>ission</w:t>
      </w:r>
      <w:r w:rsidR="00C027C4">
        <w:rPr>
          <w:rFonts w:asciiTheme="minorHAnsi" w:hAnsiTheme="minorHAnsi" w:cstheme="minorHAnsi"/>
          <w:szCs w:val="24"/>
        </w:rPr>
        <w:t xml:space="preserve"> and is diverse</w:t>
      </w:r>
      <w:r w:rsidR="00E433E4">
        <w:rPr>
          <w:rFonts w:asciiTheme="minorHAnsi" w:hAnsiTheme="minorHAnsi" w:cstheme="minorHAnsi"/>
          <w:szCs w:val="24"/>
        </w:rPr>
        <w:t xml:space="preserve">, the Applicant will </w:t>
      </w:r>
      <w:r w:rsidR="006D35FB">
        <w:rPr>
          <w:rFonts w:asciiTheme="minorHAnsi" w:hAnsiTheme="minorHAnsi" w:cstheme="minorHAnsi"/>
          <w:szCs w:val="24"/>
        </w:rPr>
        <w:t>partner with</w:t>
      </w:r>
      <w:r w:rsidR="001E2949">
        <w:rPr>
          <w:rFonts w:asciiTheme="minorHAnsi" w:hAnsiTheme="minorHAnsi" w:cstheme="minorHAnsi"/>
          <w:szCs w:val="24"/>
        </w:rPr>
        <w:t xml:space="preserve"> the</w:t>
      </w:r>
      <w:r w:rsidR="006D35FB">
        <w:rPr>
          <w:rFonts w:asciiTheme="minorHAnsi" w:hAnsiTheme="minorHAnsi" w:cstheme="minorHAnsi"/>
          <w:szCs w:val="24"/>
        </w:rPr>
        <w:t xml:space="preserve"> </w:t>
      </w:r>
      <w:r w:rsidR="001E2949">
        <w:rPr>
          <w:rFonts w:asciiTheme="minorHAnsi" w:hAnsiTheme="minorHAnsi" w:cstheme="minorHAnsi"/>
          <w:szCs w:val="24"/>
        </w:rPr>
        <w:t>FQHCs</w:t>
      </w:r>
      <w:r w:rsidR="00EE3F4C">
        <w:rPr>
          <w:rFonts w:asciiTheme="minorHAnsi" w:hAnsiTheme="minorHAnsi" w:cstheme="minorHAnsi"/>
          <w:szCs w:val="24"/>
        </w:rPr>
        <w:t xml:space="preserve"> listed</w:t>
      </w:r>
      <w:r w:rsidR="006D35FB">
        <w:rPr>
          <w:rFonts w:asciiTheme="minorHAnsi" w:hAnsiTheme="minorHAnsi" w:cstheme="minorHAnsi"/>
          <w:szCs w:val="24"/>
        </w:rPr>
        <w:t xml:space="preserve"> </w:t>
      </w:r>
      <w:r w:rsidR="001E2949">
        <w:rPr>
          <w:rFonts w:asciiTheme="minorHAnsi" w:hAnsiTheme="minorHAnsi" w:cstheme="minorHAnsi"/>
          <w:szCs w:val="24"/>
        </w:rPr>
        <w:t>in its PSA</w:t>
      </w:r>
      <w:r w:rsidR="006D35FB">
        <w:rPr>
          <w:rFonts w:asciiTheme="minorHAnsi" w:hAnsiTheme="minorHAnsi" w:cstheme="minorHAnsi"/>
          <w:szCs w:val="24"/>
        </w:rPr>
        <w:t>.</w:t>
      </w:r>
      <w:r w:rsidR="0022652D">
        <w:rPr>
          <w:rStyle w:val="FootnoteReference"/>
          <w:rFonts w:asciiTheme="minorHAnsi" w:hAnsiTheme="minorHAnsi" w:cstheme="minorHAnsi"/>
          <w:szCs w:val="24"/>
        </w:rPr>
        <w:footnoteReference w:id="56"/>
      </w:r>
      <w:r w:rsidR="001E2949">
        <w:rPr>
          <w:rFonts w:asciiTheme="minorHAnsi" w:hAnsiTheme="minorHAnsi" w:cstheme="minorHAnsi"/>
          <w:szCs w:val="24"/>
        </w:rPr>
        <w:t xml:space="preserve">  Of note, the federal government </w:t>
      </w:r>
      <w:r w:rsidR="00C027C4">
        <w:rPr>
          <w:rFonts w:asciiTheme="minorHAnsi" w:hAnsiTheme="minorHAnsi" w:cstheme="minorHAnsi"/>
          <w:szCs w:val="24"/>
        </w:rPr>
        <w:t xml:space="preserve">also has </w:t>
      </w:r>
      <w:r w:rsidR="00783167">
        <w:rPr>
          <w:rFonts w:asciiTheme="minorHAnsi" w:hAnsiTheme="minorHAnsi" w:cstheme="minorHAnsi"/>
          <w:szCs w:val="24"/>
        </w:rPr>
        <w:t>a</w:t>
      </w:r>
      <w:r w:rsidR="00C027C4">
        <w:rPr>
          <w:rFonts w:asciiTheme="minorHAnsi" w:hAnsiTheme="minorHAnsi" w:cstheme="minorHAnsi"/>
          <w:szCs w:val="24"/>
        </w:rPr>
        <w:t xml:space="preserve"> </w:t>
      </w:r>
      <w:r w:rsidR="00EE3F4C">
        <w:rPr>
          <w:rFonts w:asciiTheme="minorHAnsi" w:hAnsiTheme="minorHAnsi" w:cstheme="minorHAnsi"/>
          <w:szCs w:val="24"/>
        </w:rPr>
        <w:t xml:space="preserve">stated </w:t>
      </w:r>
      <w:r w:rsidR="00C027C4">
        <w:rPr>
          <w:rFonts w:asciiTheme="minorHAnsi" w:hAnsiTheme="minorHAnsi" w:cstheme="minorHAnsi"/>
          <w:szCs w:val="24"/>
        </w:rPr>
        <w:t xml:space="preserve">focus on access to dental care for children with behavioral health risk factors. In May 2026, </w:t>
      </w:r>
      <w:r w:rsidR="001E2949">
        <w:rPr>
          <w:rFonts w:asciiTheme="minorHAnsi" w:hAnsiTheme="minorHAnsi" w:cstheme="minorHAnsi"/>
          <w:szCs w:val="24"/>
        </w:rPr>
        <w:t>Hea</w:t>
      </w:r>
      <w:r w:rsidR="00EE3F4C">
        <w:rPr>
          <w:rFonts w:asciiTheme="minorHAnsi" w:hAnsiTheme="minorHAnsi" w:cstheme="minorHAnsi"/>
          <w:szCs w:val="24"/>
        </w:rPr>
        <w:t>l</w:t>
      </w:r>
      <w:r w:rsidR="001E2949">
        <w:rPr>
          <w:rFonts w:asciiTheme="minorHAnsi" w:hAnsiTheme="minorHAnsi" w:cstheme="minorHAnsi"/>
          <w:szCs w:val="24"/>
        </w:rPr>
        <w:t xml:space="preserve">th Resource &amp; Service Administration (HRSA), the agency that oversees the FQHC program, </w:t>
      </w:r>
      <w:r w:rsidR="00C027C4">
        <w:rPr>
          <w:rFonts w:asciiTheme="minorHAnsi" w:hAnsiTheme="minorHAnsi" w:cstheme="minorHAnsi"/>
          <w:szCs w:val="24"/>
        </w:rPr>
        <w:t>announced that i</w:t>
      </w:r>
      <w:r w:rsidR="001E2949">
        <w:rPr>
          <w:rFonts w:asciiTheme="minorHAnsi" w:hAnsiTheme="minorHAnsi" w:cstheme="minorHAnsi"/>
          <w:szCs w:val="24"/>
        </w:rPr>
        <w:t>t will award $50 million</w:t>
      </w:r>
      <w:r w:rsidR="00C027C4">
        <w:rPr>
          <w:rStyle w:val="FootnoteReference"/>
          <w:rFonts w:asciiTheme="minorHAnsi" w:hAnsiTheme="minorHAnsi" w:cstheme="minorHAnsi"/>
          <w:szCs w:val="24"/>
        </w:rPr>
        <w:footnoteReference w:id="57"/>
      </w:r>
      <w:r w:rsidR="001E2949">
        <w:rPr>
          <w:rFonts w:asciiTheme="minorHAnsi" w:hAnsiTheme="minorHAnsi" w:cstheme="minorHAnsi"/>
          <w:szCs w:val="24"/>
        </w:rPr>
        <w:t xml:space="preserve"> to increase access to preventive dental and additional dental services and improve health outcomes for children with neurodevelopment disorders, including children with autism spectrum and developmental disorders. </w:t>
      </w:r>
      <w:r w:rsidR="00C027C4">
        <w:rPr>
          <w:rFonts w:asciiTheme="minorHAnsi" w:hAnsiTheme="minorHAnsi" w:cstheme="minorHAnsi"/>
          <w:szCs w:val="24"/>
        </w:rPr>
        <w:t xml:space="preserve"> </w:t>
      </w:r>
      <w:r w:rsidR="001E2949">
        <w:rPr>
          <w:rFonts w:asciiTheme="minorHAnsi" w:hAnsiTheme="minorHAnsi" w:cstheme="minorHAnsi"/>
          <w:szCs w:val="24"/>
        </w:rPr>
        <w:t>When FQHCs provide care to childre</w:t>
      </w:r>
      <w:r w:rsidR="00C027C4">
        <w:rPr>
          <w:rFonts w:asciiTheme="minorHAnsi" w:hAnsiTheme="minorHAnsi" w:cstheme="minorHAnsi"/>
          <w:szCs w:val="24"/>
        </w:rPr>
        <w:t xml:space="preserve">n who are Medicaid beneficiaries, including those with behavioral health risk factors, they need a partner like the Applicant who can provide timely and convenient access to </w:t>
      </w:r>
      <w:r w:rsidR="001E2949">
        <w:rPr>
          <w:rFonts w:asciiTheme="minorHAnsi" w:hAnsiTheme="minorHAnsi" w:cstheme="minorHAnsi"/>
          <w:szCs w:val="24"/>
        </w:rPr>
        <w:t xml:space="preserve">High </w:t>
      </w:r>
      <w:r w:rsidR="00C027C4">
        <w:rPr>
          <w:rFonts w:asciiTheme="minorHAnsi" w:hAnsiTheme="minorHAnsi" w:cstheme="minorHAnsi"/>
          <w:szCs w:val="24"/>
        </w:rPr>
        <w:t>Acuity</w:t>
      </w:r>
      <w:r w:rsidR="001E2949">
        <w:rPr>
          <w:rFonts w:asciiTheme="minorHAnsi" w:hAnsiTheme="minorHAnsi" w:cstheme="minorHAnsi"/>
          <w:szCs w:val="24"/>
        </w:rPr>
        <w:t xml:space="preserve"> Dental S</w:t>
      </w:r>
      <w:r w:rsidR="004B4CCC">
        <w:rPr>
          <w:rFonts w:asciiTheme="minorHAnsi" w:hAnsiTheme="minorHAnsi" w:cstheme="minorHAnsi"/>
          <w:szCs w:val="24"/>
        </w:rPr>
        <w:t>urgeries</w:t>
      </w:r>
      <w:r w:rsidR="001E2949">
        <w:rPr>
          <w:rFonts w:asciiTheme="minorHAnsi" w:hAnsiTheme="minorHAnsi" w:cstheme="minorHAnsi"/>
          <w:szCs w:val="24"/>
        </w:rPr>
        <w:t xml:space="preserve"> which are not typically performed at FQHC</w:t>
      </w:r>
      <w:r w:rsidR="00D114A5">
        <w:rPr>
          <w:rFonts w:asciiTheme="minorHAnsi" w:hAnsiTheme="minorHAnsi" w:cstheme="minorHAnsi"/>
          <w:szCs w:val="24"/>
        </w:rPr>
        <w:t>s.</w:t>
      </w:r>
    </w:p>
    <w:p w14:paraId="6A3B40D2" w14:textId="77777777" w:rsidR="00D114A5" w:rsidRDefault="00D114A5" w:rsidP="002638F7">
      <w:pPr>
        <w:autoSpaceDE w:val="0"/>
        <w:autoSpaceDN w:val="0"/>
        <w:adjustRightInd w:val="0"/>
        <w:spacing w:after="0"/>
        <w:jc w:val="both"/>
        <w:rPr>
          <w:rFonts w:asciiTheme="minorHAnsi" w:hAnsiTheme="minorHAnsi" w:cstheme="minorHAnsi"/>
          <w:szCs w:val="24"/>
        </w:rPr>
      </w:pPr>
    </w:p>
    <w:p w14:paraId="3F141745" w14:textId="76E516E7" w:rsidR="00C027C4" w:rsidRDefault="00C027C4" w:rsidP="002638F7">
      <w:pPr>
        <w:autoSpaceDE w:val="0"/>
        <w:autoSpaceDN w:val="0"/>
        <w:adjustRightInd w:val="0"/>
        <w:spacing w:after="0"/>
        <w:jc w:val="both"/>
        <w:rPr>
          <w:rFonts w:asciiTheme="minorHAnsi" w:hAnsiTheme="minorHAnsi" w:cstheme="minorHAnsi"/>
          <w:szCs w:val="24"/>
        </w:rPr>
      </w:pPr>
      <w:r>
        <w:rPr>
          <w:rFonts w:asciiTheme="minorHAnsi" w:hAnsiTheme="minorHAnsi" w:cstheme="minorHAnsi"/>
          <w:szCs w:val="24"/>
        </w:rPr>
        <w:t xml:space="preserve">In addition to partnering with FQHCs, the Applicant </w:t>
      </w:r>
      <w:r w:rsidR="00EE3F4C">
        <w:rPr>
          <w:rFonts w:asciiTheme="minorHAnsi" w:hAnsiTheme="minorHAnsi" w:cstheme="minorHAnsi"/>
          <w:szCs w:val="24"/>
        </w:rPr>
        <w:t>will utilize</w:t>
      </w:r>
      <w:r>
        <w:rPr>
          <w:rFonts w:asciiTheme="minorHAnsi" w:hAnsiTheme="minorHAnsi" w:cstheme="minorHAnsi"/>
          <w:szCs w:val="24"/>
        </w:rPr>
        <w:t xml:space="preserve"> the following strategies to reduce health inequities:   </w:t>
      </w:r>
    </w:p>
    <w:p w14:paraId="2FCC83F2" w14:textId="77777777" w:rsidR="00421874" w:rsidRDefault="00421874" w:rsidP="002638F7">
      <w:pPr>
        <w:autoSpaceDE w:val="0"/>
        <w:autoSpaceDN w:val="0"/>
        <w:adjustRightInd w:val="0"/>
        <w:spacing w:after="0"/>
        <w:jc w:val="both"/>
        <w:rPr>
          <w:rFonts w:asciiTheme="minorHAnsi" w:hAnsiTheme="minorHAnsi" w:cstheme="minorHAnsi"/>
          <w:szCs w:val="24"/>
        </w:rPr>
      </w:pPr>
    </w:p>
    <w:p w14:paraId="69C00639" w14:textId="3758D71C" w:rsidR="00FF4250" w:rsidRDefault="00C027C4" w:rsidP="002638F7">
      <w:pPr>
        <w:autoSpaceDE w:val="0"/>
        <w:autoSpaceDN w:val="0"/>
        <w:adjustRightInd w:val="0"/>
        <w:spacing w:after="0"/>
        <w:jc w:val="both"/>
        <w:rPr>
          <w:rFonts w:asciiTheme="minorHAnsi" w:hAnsiTheme="minorHAnsi" w:cstheme="minorHAnsi"/>
          <w:szCs w:val="24"/>
        </w:rPr>
      </w:pPr>
      <w:r>
        <w:rPr>
          <w:rFonts w:asciiTheme="minorHAnsi" w:hAnsiTheme="minorHAnsi" w:cstheme="minorHAnsi"/>
          <w:szCs w:val="24"/>
        </w:rPr>
        <w:t>First, t</w:t>
      </w:r>
      <w:r w:rsidR="00E433E4">
        <w:rPr>
          <w:rFonts w:asciiTheme="minorHAnsi" w:hAnsiTheme="minorHAnsi" w:cstheme="minorHAnsi"/>
          <w:szCs w:val="24"/>
        </w:rPr>
        <w:t xml:space="preserve">o ensure that the Center </w:t>
      </w:r>
      <w:proofErr w:type="gramStart"/>
      <w:r w:rsidR="00E433E4">
        <w:rPr>
          <w:rFonts w:asciiTheme="minorHAnsi" w:hAnsiTheme="minorHAnsi" w:cstheme="minorHAnsi"/>
          <w:szCs w:val="24"/>
        </w:rPr>
        <w:t>is able to</w:t>
      </w:r>
      <w:proofErr w:type="gramEnd"/>
      <w:r w:rsidR="00E433E4">
        <w:rPr>
          <w:rFonts w:asciiTheme="minorHAnsi" w:hAnsiTheme="minorHAnsi" w:cstheme="minorHAnsi"/>
          <w:szCs w:val="24"/>
        </w:rPr>
        <w:t xml:space="preserve"> serve all patients, including the patient population with special needs, it </w:t>
      </w:r>
      <w:r w:rsidR="00FF4250">
        <w:rPr>
          <w:rFonts w:asciiTheme="minorHAnsi" w:hAnsiTheme="minorHAnsi" w:cstheme="minorHAnsi"/>
          <w:szCs w:val="24"/>
        </w:rPr>
        <w:t xml:space="preserve">creates both a physical and social environment that is focused on its patient population.  </w:t>
      </w:r>
      <w:r w:rsidR="00D114A5">
        <w:rPr>
          <w:rFonts w:asciiTheme="minorHAnsi" w:hAnsiTheme="minorHAnsi" w:cstheme="minorHAnsi"/>
          <w:szCs w:val="24"/>
        </w:rPr>
        <w:t>The</w:t>
      </w:r>
      <w:r w:rsidR="00FF4250">
        <w:rPr>
          <w:rFonts w:asciiTheme="minorHAnsi" w:hAnsiTheme="minorHAnsi" w:cstheme="minorHAnsi"/>
          <w:szCs w:val="24"/>
        </w:rPr>
        <w:t xml:space="preserve"> Center </w:t>
      </w:r>
      <w:r w:rsidR="006D35FB">
        <w:rPr>
          <w:rFonts w:asciiTheme="minorHAnsi" w:hAnsiTheme="minorHAnsi" w:cstheme="minorHAnsi"/>
          <w:szCs w:val="24"/>
        </w:rPr>
        <w:t xml:space="preserve">will be physically </w:t>
      </w:r>
      <w:r w:rsidR="00B54691">
        <w:rPr>
          <w:rFonts w:asciiTheme="minorHAnsi" w:hAnsiTheme="minorHAnsi" w:cstheme="minorHAnsi"/>
          <w:szCs w:val="24"/>
        </w:rPr>
        <w:t>accessible,</w:t>
      </w:r>
      <w:r w:rsidR="006D35FB">
        <w:rPr>
          <w:rFonts w:asciiTheme="minorHAnsi" w:hAnsiTheme="minorHAnsi" w:cstheme="minorHAnsi"/>
          <w:szCs w:val="24"/>
        </w:rPr>
        <w:t xml:space="preserve"> and staff will be trained to assist patients with mobility challenges to ensure their comfort and safety</w:t>
      </w:r>
      <w:r w:rsidR="00E433E4">
        <w:rPr>
          <w:rFonts w:asciiTheme="minorHAnsi" w:hAnsiTheme="minorHAnsi" w:cstheme="minorHAnsi"/>
          <w:szCs w:val="24"/>
        </w:rPr>
        <w:t xml:space="preserve">. The Center’s </w:t>
      </w:r>
      <w:r w:rsidR="006D35FB">
        <w:rPr>
          <w:rFonts w:asciiTheme="minorHAnsi" w:hAnsiTheme="minorHAnsi" w:cstheme="minorHAnsi"/>
          <w:szCs w:val="24"/>
        </w:rPr>
        <w:t xml:space="preserve">design will also assist with sensory and emotional issues </w:t>
      </w:r>
      <w:r w:rsidR="00EE3F4C">
        <w:rPr>
          <w:rFonts w:asciiTheme="minorHAnsi" w:hAnsiTheme="minorHAnsi" w:cstheme="minorHAnsi"/>
          <w:szCs w:val="24"/>
        </w:rPr>
        <w:t xml:space="preserve">by utilizing </w:t>
      </w:r>
      <w:r w:rsidR="006D35FB">
        <w:rPr>
          <w:rFonts w:asciiTheme="minorHAnsi" w:hAnsiTheme="minorHAnsi" w:cstheme="minorHAnsi"/>
          <w:szCs w:val="24"/>
        </w:rPr>
        <w:t>larger and quieter space</w:t>
      </w:r>
      <w:r w:rsidR="00D114A5">
        <w:rPr>
          <w:rFonts w:asciiTheme="minorHAnsi" w:hAnsiTheme="minorHAnsi" w:cstheme="minorHAnsi"/>
          <w:szCs w:val="24"/>
        </w:rPr>
        <w:t>s</w:t>
      </w:r>
      <w:r w:rsidR="006D35FB">
        <w:rPr>
          <w:rFonts w:asciiTheme="minorHAnsi" w:hAnsiTheme="minorHAnsi" w:cstheme="minorHAnsi"/>
          <w:szCs w:val="24"/>
        </w:rPr>
        <w:t xml:space="preserve"> with more privacy</w:t>
      </w:r>
      <w:r w:rsidR="00E74E0B">
        <w:rPr>
          <w:rFonts w:asciiTheme="minorHAnsi" w:hAnsiTheme="minorHAnsi" w:cstheme="minorHAnsi"/>
          <w:szCs w:val="24"/>
        </w:rPr>
        <w:t xml:space="preserve">. </w:t>
      </w:r>
      <w:r w:rsidR="00492AD6">
        <w:rPr>
          <w:rFonts w:asciiTheme="minorHAnsi" w:hAnsiTheme="minorHAnsi" w:cstheme="minorHAnsi"/>
          <w:szCs w:val="24"/>
        </w:rPr>
        <w:t xml:space="preserve">The </w:t>
      </w:r>
      <w:r w:rsidR="00E433E4">
        <w:rPr>
          <w:rFonts w:asciiTheme="minorHAnsi" w:hAnsiTheme="minorHAnsi" w:cstheme="minorHAnsi"/>
          <w:szCs w:val="24"/>
        </w:rPr>
        <w:t>Center</w:t>
      </w:r>
      <w:r w:rsidR="00492AD6">
        <w:rPr>
          <w:rFonts w:asciiTheme="minorHAnsi" w:hAnsiTheme="minorHAnsi" w:cstheme="minorHAnsi"/>
          <w:szCs w:val="24"/>
        </w:rPr>
        <w:t xml:space="preserve"> is designed and operated in compliance with applicable federal and state accessibility requirements to ensure safe and equitable access to care.</w:t>
      </w:r>
      <w:r w:rsidR="00FF4250">
        <w:rPr>
          <w:rFonts w:asciiTheme="minorHAnsi" w:hAnsiTheme="minorHAnsi" w:cstheme="minorHAnsi"/>
          <w:szCs w:val="24"/>
        </w:rPr>
        <w:t xml:space="preserve">  </w:t>
      </w:r>
      <w:r w:rsidR="00D114A5">
        <w:rPr>
          <w:rFonts w:asciiTheme="minorHAnsi" w:hAnsiTheme="minorHAnsi" w:cstheme="minorHAnsi"/>
          <w:szCs w:val="24"/>
        </w:rPr>
        <w:t>To</w:t>
      </w:r>
      <w:r w:rsidR="00E74E0B">
        <w:rPr>
          <w:rFonts w:asciiTheme="minorHAnsi" w:hAnsiTheme="minorHAnsi" w:cstheme="minorHAnsi"/>
          <w:szCs w:val="24"/>
        </w:rPr>
        <w:t xml:space="preserve"> ensure a welcoming and understanding environment for patients and their families, the Applicant will employ culturally competent staff to ensure each patient’s experience meets their needs</w:t>
      </w:r>
      <w:r w:rsidR="00492AD6">
        <w:rPr>
          <w:rFonts w:asciiTheme="minorHAnsi" w:hAnsiTheme="minorHAnsi" w:cstheme="minorHAnsi"/>
          <w:szCs w:val="24"/>
        </w:rPr>
        <w:t xml:space="preserve">. The Applicant is committed to providing respectful, inclusive, and equitable care to patients from diverse cultural, linguistic, and socioeconomic backgrounds. </w:t>
      </w:r>
    </w:p>
    <w:p w14:paraId="6A9D7538" w14:textId="77777777" w:rsidR="00FF4250" w:rsidRDefault="00FF4250" w:rsidP="002638F7">
      <w:pPr>
        <w:autoSpaceDE w:val="0"/>
        <w:autoSpaceDN w:val="0"/>
        <w:adjustRightInd w:val="0"/>
        <w:spacing w:after="0"/>
        <w:jc w:val="both"/>
        <w:rPr>
          <w:rFonts w:asciiTheme="minorHAnsi" w:hAnsiTheme="minorHAnsi" w:cstheme="minorHAnsi"/>
          <w:szCs w:val="24"/>
        </w:rPr>
      </w:pPr>
    </w:p>
    <w:p w14:paraId="4DA04249" w14:textId="4B64804F" w:rsidR="00E74E0B" w:rsidRDefault="00D822AF" w:rsidP="002638F7">
      <w:pPr>
        <w:autoSpaceDE w:val="0"/>
        <w:autoSpaceDN w:val="0"/>
        <w:adjustRightInd w:val="0"/>
        <w:spacing w:after="0"/>
        <w:jc w:val="both"/>
        <w:rPr>
          <w:rFonts w:asciiTheme="minorHAnsi" w:hAnsiTheme="minorHAnsi" w:cstheme="minorHAnsi"/>
          <w:szCs w:val="24"/>
        </w:rPr>
      </w:pPr>
      <w:r>
        <w:rPr>
          <w:rFonts w:asciiTheme="minorHAnsi" w:hAnsiTheme="minorHAnsi" w:cstheme="minorHAnsi"/>
          <w:szCs w:val="24"/>
        </w:rPr>
        <w:t>Second, t</w:t>
      </w:r>
      <w:r w:rsidR="00FF4250">
        <w:rPr>
          <w:rFonts w:asciiTheme="minorHAnsi" w:hAnsiTheme="minorHAnsi" w:cstheme="minorHAnsi"/>
          <w:szCs w:val="24"/>
        </w:rPr>
        <w:t xml:space="preserve">he </w:t>
      </w:r>
      <w:r w:rsidR="00E74E0B">
        <w:rPr>
          <w:rFonts w:asciiTheme="minorHAnsi" w:hAnsiTheme="minorHAnsi" w:cstheme="minorHAnsi"/>
          <w:szCs w:val="24"/>
        </w:rPr>
        <w:t>Applicant</w:t>
      </w:r>
      <w:r w:rsidR="00FF4250">
        <w:rPr>
          <w:rFonts w:asciiTheme="minorHAnsi" w:hAnsiTheme="minorHAnsi" w:cstheme="minorHAnsi"/>
          <w:szCs w:val="24"/>
        </w:rPr>
        <w:t xml:space="preserve"> </w:t>
      </w:r>
      <w:r w:rsidR="00E74E0B">
        <w:rPr>
          <w:rFonts w:asciiTheme="minorHAnsi" w:hAnsiTheme="minorHAnsi" w:cstheme="minorHAnsi"/>
          <w:szCs w:val="24"/>
        </w:rPr>
        <w:t xml:space="preserve">strives to recognize and address the barriers relating to the social determinants of health of patients at the point of scheduling. </w:t>
      </w:r>
      <w:r w:rsidR="004E72F1">
        <w:rPr>
          <w:rFonts w:asciiTheme="minorHAnsi" w:hAnsiTheme="minorHAnsi" w:cstheme="minorHAnsi"/>
          <w:szCs w:val="24"/>
        </w:rPr>
        <w:t xml:space="preserve">For example, prior to each </w:t>
      </w:r>
      <w:r w:rsidR="004E72F1">
        <w:rPr>
          <w:rFonts w:asciiTheme="minorHAnsi" w:hAnsiTheme="minorHAnsi" w:cstheme="minorHAnsi"/>
          <w:szCs w:val="24"/>
        </w:rPr>
        <w:lastRenderedPageBreak/>
        <w:t>scheduled procedure, a patient</w:t>
      </w:r>
      <w:r w:rsidR="00FF4250">
        <w:rPr>
          <w:rFonts w:asciiTheme="minorHAnsi" w:hAnsiTheme="minorHAnsi" w:cstheme="minorHAnsi"/>
          <w:szCs w:val="24"/>
        </w:rPr>
        <w:t>’s caregiver</w:t>
      </w:r>
      <w:r w:rsidR="004E72F1">
        <w:rPr>
          <w:rFonts w:asciiTheme="minorHAnsi" w:hAnsiTheme="minorHAnsi" w:cstheme="minorHAnsi"/>
          <w:szCs w:val="24"/>
        </w:rPr>
        <w:t xml:space="preserve"> is asked about their transportation arrangements to and from the </w:t>
      </w:r>
      <w:r w:rsidR="00FF4250">
        <w:rPr>
          <w:rFonts w:asciiTheme="minorHAnsi" w:hAnsiTheme="minorHAnsi" w:cstheme="minorHAnsi"/>
          <w:szCs w:val="24"/>
        </w:rPr>
        <w:t>Center</w:t>
      </w:r>
      <w:r w:rsidR="004E72F1">
        <w:rPr>
          <w:rFonts w:asciiTheme="minorHAnsi" w:hAnsiTheme="minorHAnsi" w:cstheme="minorHAnsi"/>
          <w:szCs w:val="24"/>
        </w:rPr>
        <w:t xml:space="preserve"> </w:t>
      </w:r>
      <w:r w:rsidR="00FF4250">
        <w:rPr>
          <w:rFonts w:asciiTheme="minorHAnsi" w:hAnsiTheme="minorHAnsi" w:cstheme="minorHAnsi"/>
          <w:szCs w:val="24"/>
        </w:rPr>
        <w:t>on t</w:t>
      </w:r>
      <w:r w:rsidR="004E72F1">
        <w:rPr>
          <w:rFonts w:asciiTheme="minorHAnsi" w:hAnsiTheme="minorHAnsi" w:cstheme="minorHAnsi"/>
          <w:szCs w:val="24"/>
        </w:rPr>
        <w:t xml:space="preserve">he day of the </w:t>
      </w:r>
      <w:r w:rsidR="00366626">
        <w:rPr>
          <w:rFonts w:asciiTheme="minorHAnsi" w:hAnsiTheme="minorHAnsi" w:cstheme="minorHAnsi"/>
          <w:szCs w:val="24"/>
        </w:rPr>
        <w:t xml:space="preserve">High Acuity </w:t>
      </w:r>
      <w:r w:rsidR="00FF4250">
        <w:rPr>
          <w:rFonts w:asciiTheme="minorHAnsi" w:hAnsiTheme="minorHAnsi" w:cstheme="minorHAnsi"/>
          <w:szCs w:val="24"/>
        </w:rPr>
        <w:t>Dental Surgery</w:t>
      </w:r>
      <w:r w:rsidR="004E72F1">
        <w:rPr>
          <w:rFonts w:asciiTheme="minorHAnsi" w:hAnsiTheme="minorHAnsi" w:cstheme="minorHAnsi"/>
          <w:szCs w:val="24"/>
        </w:rPr>
        <w:t>. When needed, the Applicant works with patients to address their transportation needs, including but not limited to providing them with referrals to potential community resources that may be able to assist with transportation</w:t>
      </w:r>
      <w:r w:rsidR="00FF4250">
        <w:rPr>
          <w:rFonts w:asciiTheme="minorHAnsi" w:hAnsiTheme="minorHAnsi" w:cstheme="minorHAnsi"/>
          <w:szCs w:val="24"/>
        </w:rPr>
        <w:t xml:space="preserve"> including </w:t>
      </w:r>
      <w:r>
        <w:rPr>
          <w:rFonts w:asciiTheme="minorHAnsi" w:hAnsiTheme="minorHAnsi" w:cstheme="minorHAnsi"/>
          <w:szCs w:val="24"/>
        </w:rPr>
        <w:t>Medicaid transportation services for non-emergency medical appointments such as MassHealth PT-1 Transportation or Uber Medical.</w:t>
      </w:r>
    </w:p>
    <w:p w14:paraId="62814F8B" w14:textId="77777777" w:rsidR="004E72F1" w:rsidRDefault="004E72F1" w:rsidP="002638F7">
      <w:pPr>
        <w:autoSpaceDE w:val="0"/>
        <w:autoSpaceDN w:val="0"/>
        <w:adjustRightInd w:val="0"/>
        <w:spacing w:after="0"/>
        <w:jc w:val="both"/>
        <w:rPr>
          <w:rFonts w:asciiTheme="minorHAnsi" w:hAnsiTheme="minorHAnsi" w:cstheme="minorHAnsi"/>
          <w:szCs w:val="24"/>
        </w:rPr>
      </w:pPr>
    </w:p>
    <w:p w14:paraId="3A56A020" w14:textId="5EAF4BCA" w:rsidR="004E72F1" w:rsidRDefault="00D822AF" w:rsidP="002638F7">
      <w:pPr>
        <w:autoSpaceDE w:val="0"/>
        <w:autoSpaceDN w:val="0"/>
        <w:adjustRightInd w:val="0"/>
        <w:spacing w:after="0"/>
        <w:jc w:val="both"/>
        <w:rPr>
          <w:rFonts w:asciiTheme="minorHAnsi" w:hAnsiTheme="minorHAnsi" w:cstheme="minorHAnsi"/>
          <w:szCs w:val="24"/>
        </w:rPr>
      </w:pPr>
      <w:r>
        <w:rPr>
          <w:rFonts w:asciiTheme="minorHAnsi" w:hAnsiTheme="minorHAnsi" w:cstheme="minorHAnsi"/>
          <w:szCs w:val="24"/>
        </w:rPr>
        <w:t>Third, t</w:t>
      </w:r>
      <w:r w:rsidR="004E72F1">
        <w:rPr>
          <w:rFonts w:asciiTheme="minorHAnsi" w:hAnsiTheme="minorHAnsi" w:cstheme="minorHAnsi"/>
          <w:szCs w:val="24"/>
        </w:rPr>
        <w:t>he Applicant is committed to offer</w:t>
      </w:r>
      <w:r w:rsidR="00D114A5">
        <w:rPr>
          <w:rFonts w:asciiTheme="minorHAnsi" w:hAnsiTheme="minorHAnsi" w:cstheme="minorHAnsi"/>
          <w:szCs w:val="24"/>
        </w:rPr>
        <w:t>ing</w:t>
      </w:r>
      <w:r w:rsidR="004E72F1">
        <w:rPr>
          <w:rFonts w:asciiTheme="minorHAnsi" w:hAnsiTheme="minorHAnsi" w:cstheme="minorHAnsi"/>
          <w:szCs w:val="24"/>
        </w:rPr>
        <w:t xml:space="preserve"> care that is</w:t>
      </w:r>
      <w:r w:rsidR="00EE3F4C">
        <w:rPr>
          <w:rFonts w:asciiTheme="minorHAnsi" w:hAnsiTheme="minorHAnsi" w:cstheme="minorHAnsi"/>
          <w:szCs w:val="24"/>
        </w:rPr>
        <w:t xml:space="preserve"> not only</w:t>
      </w:r>
      <w:r w:rsidR="004E72F1">
        <w:rPr>
          <w:rFonts w:asciiTheme="minorHAnsi" w:hAnsiTheme="minorHAnsi" w:cstheme="minorHAnsi"/>
          <w:szCs w:val="24"/>
        </w:rPr>
        <w:t xml:space="preserve"> respectful of each patient</w:t>
      </w:r>
      <w:r w:rsidR="00EE3F4C">
        <w:rPr>
          <w:rFonts w:asciiTheme="minorHAnsi" w:hAnsiTheme="minorHAnsi" w:cstheme="minorHAnsi"/>
          <w:szCs w:val="24"/>
        </w:rPr>
        <w:t xml:space="preserve"> but also</w:t>
      </w:r>
      <w:r w:rsidR="004E72F1">
        <w:rPr>
          <w:rFonts w:asciiTheme="minorHAnsi" w:hAnsiTheme="minorHAnsi" w:cstheme="minorHAnsi"/>
          <w:szCs w:val="24"/>
        </w:rPr>
        <w:t xml:space="preserve"> delivered in a manner t</w:t>
      </w:r>
      <w:r w:rsidR="00EE3F4C">
        <w:rPr>
          <w:rFonts w:asciiTheme="minorHAnsi" w:hAnsiTheme="minorHAnsi" w:cstheme="minorHAnsi"/>
          <w:szCs w:val="24"/>
        </w:rPr>
        <w:t>hat</w:t>
      </w:r>
      <w:r w:rsidR="004E72F1">
        <w:rPr>
          <w:rFonts w:asciiTheme="minorHAnsi" w:hAnsiTheme="minorHAnsi" w:cstheme="minorHAnsi"/>
          <w:szCs w:val="24"/>
        </w:rPr>
        <w:t xml:space="preserve"> they can comprehend</w:t>
      </w:r>
      <w:r w:rsidR="00EE3F4C">
        <w:rPr>
          <w:rFonts w:asciiTheme="minorHAnsi" w:hAnsiTheme="minorHAnsi" w:cstheme="minorHAnsi"/>
          <w:szCs w:val="24"/>
        </w:rPr>
        <w:t xml:space="preserve"> by</w:t>
      </w:r>
      <w:r w:rsidR="004E72F1">
        <w:rPr>
          <w:rFonts w:asciiTheme="minorHAnsi" w:hAnsiTheme="minorHAnsi" w:cstheme="minorHAnsi"/>
          <w:szCs w:val="24"/>
        </w:rPr>
        <w:t xml:space="preserve"> offer</w:t>
      </w:r>
      <w:r w:rsidR="00EE3F4C">
        <w:rPr>
          <w:rFonts w:asciiTheme="minorHAnsi" w:hAnsiTheme="minorHAnsi" w:cstheme="minorHAnsi"/>
          <w:szCs w:val="24"/>
        </w:rPr>
        <w:t>ing</w:t>
      </w:r>
      <w:r w:rsidR="004E72F1">
        <w:rPr>
          <w:rFonts w:asciiTheme="minorHAnsi" w:hAnsiTheme="minorHAnsi" w:cstheme="minorHAnsi"/>
          <w:szCs w:val="24"/>
        </w:rPr>
        <w:t xml:space="preserve"> tools to address language barriers. Patients will continue to be screened for language</w:t>
      </w:r>
      <w:r w:rsidR="002D0280">
        <w:rPr>
          <w:rFonts w:asciiTheme="minorHAnsi" w:hAnsiTheme="minorHAnsi" w:cstheme="minorHAnsi"/>
          <w:szCs w:val="24"/>
        </w:rPr>
        <w:t>-</w:t>
      </w:r>
      <w:r w:rsidR="004E72F1">
        <w:rPr>
          <w:rFonts w:asciiTheme="minorHAnsi" w:hAnsiTheme="minorHAnsi" w:cstheme="minorHAnsi"/>
          <w:szCs w:val="24"/>
        </w:rPr>
        <w:t xml:space="preserve">related services prior to the procedure to identify the level of assistance needed and ensure </w:t>
      </w:r>
      <w:r w:rsidR="00EE3F4C">
        <w:rPr>
          <w:rFonts w:asciiTheme="minorHAnsi" w:hAnsiTheme="minorHAnsi" w:cstheme="minorHAnsi"/>
          <w:szCs w:val="24"/>
        </w:rPr>
        <w:t xml:space="preserve">that </w:t>
      </w:r>
      <w:r w:rsidR="004E72F1">
        <w:rPr>
          <w:rFonts w:asciiTheme="minorHAnsi" w:hAnsiTheme="minorHAnsi" w:cstheme="minorHAnsi"/>
          <w:szCs w:val="24"/>
        </w:rPr>
        <w:t>services are always immediately available if an unanticipated need arises. Specifically, for all Limited English Proficient (LEP) translation and American Sign Language (ASL) interpretation, services will be provided through qualified language interpretation service</w:t>
      </w:r>
      <w:r w:rsidR="00EE3F4C">
        <w:rPr>
          <w:rFonts w:asciiTheme="minorHAnsi" w:hAnsiTheme="minorHAnsi" w:cstheme="minorHAnsi"/>
          <w:szCs w:val="24"/>
        </w:rPr>
        <w:t xml:space="preserve"> providers</w:t>
      </w:r>
      <w:r w:rsidR="004E72F1">
        <w:rPr>
          <w:rFonts w:asciiTheme="minorHAnsi" w:hAnsiTheme="minorHAnsi" w:cstheme="minorHAnsi"/>
          <w:szCs w:val="24"/>
        </w:rPr>
        <w:t>. Additionally, in-person interpreter services will be available for individuals with hearing impairment. For patients who are visually impaired, someone will be available to read printed materials in a location that protects patient privacy. Printed or recorded materials can also be provided upon request. The Applicant anticipates that these policies will alleviate</w:t>
      </w:r>
      <w:r w:rsidR="00EE3F4C">
        <w:rPr>
          <w:rFonts w:asciiTheme="minorHAnsi" w:hAnsiTheme="minorHAnsi" w:cstheme="minorHAnsi"/>
          <w:szCs w:val="24"/>
        </w:rPr>
        <w:t xml:space="preserve"> difficulties faced w</w:t>
      </w:r>
      <w:r w:rsidR="00954CC1">
        <w:rPr>
          <w:rFonts w:asciiTheme="minorHAnsi" w:hAnsiTheme="minorHAnsi" w:cstheme="minorHAnsi"/>
          <w:szCs w:val="24"/>
        </w:rPr>
        <w:t>hen there are</w:t>
      </w:r>
      <w:r w:rsidR="00421D44">
        <w:rPr>
          <w:rFonts w:asciiTheme="minorHAnsi" w:hAnsiTheme="minorHAnsi" w:cstheme="minorHAnsi"/>
          <w:szCs w:val="24"/>
        </w:rPr>
        <w:t xml:space="preserve"> </w:t>
      </w:r>
      <w:r w:rsidR="004E72F1">
        <w:rPr>
          <w:rFonts w:asciiTheme="minorHAnsi" w:hAnsiTheme="minorHAnsi" w:cstheme="minorHAnsi"/>
          <w:szCs w:val="24"/>
        </w:rPr>
        <w:t xml:space="preserve">language differences, promote health equity, and further equal access to the Applicant’s services. </w:t>
      </w:r>
    </w:p>
    <w:p w14:paraId="1462F9F1" w14:textId="77777777" w:rsidR="00071417" w:rsidRDefault="00071417" w:rsidP="002638F7">
      <w:pPr>
        <w:autoSpaceDE w:val="0"/>
        <w:autoSpaceDN w:val="0"/>
        <w:adjustRightInd w:val="0"/>
        <w:spacing w:after="0"/>
        <w:jc w:val="both"/>
        <w:rPr>
          <w:rFonts w:asciiTheme="minorHAnsi" w:hAnsiTheme="minorHAnsi" w:cstheme="minorHAnsi"/>
          <w:szCs w:val="24"/>
        </w:rPr>
      </w:pPr>
    </w:p>
    <w:p w14:paraId="0713D2D6" w14:textId="6577B243" w:rsidR="007F4F10" w:rsidRPr="007F4F10" w:rsidRDefault="00071417" w:rsidP="007F4F10">
      <w:pPr>
        <w:autoSpaceDE w:val="0"/>
        <w:autoSpaceDN w:val="0"/>
        <w:adjustRightInd w:val="0"/>
        <w:spacing w:after="0"/>
        <w:jc w:val="both"/>
        <w:rPr>
          <w:rFonts w:asciiTheme="minorHAnsi" w:hAnsiTheme="minorHAnsi" w:cstheme="minorHAnsi"/>
          <w:szCs w:val="24"/>
        </w:rPr>
      </w:pPr>
      <w:r>
        <w:rPr>
          <w:rFonts w:asciiTheme="minorHAnsi" w:hAnsiTheme="minorHAnsi" w:cstheme="minorHAnsi"/>
          <w:szCs w:val="24"/>
        </w:rPr>
        <w:t>F</w:t>
      </w:r>
      <w:r w:rsidR="00D822AF">
        <w:rPr>
          <w:rFonts w:asciiTheme="minorHAnsi" w:hAnsiTheme="minorHAnsi" w:cstheme="minorHAnsi"/>
          <w:szCs w:val="24"/>
        </w:rPr>
        <w:t>ourth,</w:t>
      </w:r>
      <w:r>
        <w:rPr>
          <w:rFonts w:asciiTheme="minorHAnsi" w:hAnsiTheme="minorHAnsi" w:cstheme="minorHAnsi"/>
          <w:szCs w:val="24"/>
        </w:rPr>
        <w:t xml:space="preserve"> </w:t>
      </w:r>
      <w:r w:rsidR="00D822AF">
        <w:rPr>
          <w:rFonts w:asciiTheme="minorHAnsi" w:hAnsiTheme="minorHAnsi" w:cstheme="minorHAnsi"/>
          <w:szCs w:val="24"/>
        </w:rPr>
        <w:t xml:space="preserve">the Applicant aims to be a lower cost setting for </w:t>
      </w:r>
      <w:r w:rsidR="00E45702">
        <w:rPr>
          <w:rFonts w:asciiTheme="minorHAnsi" w:hAnsiTheme="minorHAnsi" w:cstheme="minorHAnsi"/>
          <w:szCs w:val="24"/>
        </w:rPr>
        <w:t>High Acuity Dental Surgeries</w:t>
      </w:r>
      <w:r w:rsidR="00D114A5">
        <w:rPr>
          <w:rFonts w:asciiTheme="minorHAnsi" w:hAnsiTheme="minorHAnsi" w:cstheme="minorHAnsi"/>
          <w:szCs w:val="24"/>
        </w:rPr>
        <w:t xml:space="preserve">, which will help address </w:t>
      </w:r>
      <w:r w:rsidR="00954CC1">
        <w:rPr>
          <w:rFonts w:asciiTheme="minorHAnsi" w:hAnsiTheme="minorHAnsi" w:cstheme="minorHAnsi"/>
          <w:szCs w:val="24"/>
        </w:rPr>
        <w:t xml:space="preserve">existing </w:t>
      </w:r>
      <w:r w:rsidR="00D114A5">
        <w:rPr>
          <w:rFonts w:asciiTheme="minorHAnsi" w:hAnsiTheme="minorHAnsi" w:cstheme="minorHAnsi"/>
          <w:szCs w:val="24"/>
        </w:rPr>
        <w:t xml:space="preserve">inequities </w:t>
      </w:r>
      <w:r w:rsidR="00421D44">
        <w:rPr>
          <w:rFonts w:asciiTheme="minorHAnsi" w:hAnsiTheme="minorHAnsi" w:cstheme="minorHAnsi"/>
          <w:szCs w:val="24"/>
        </w:rPr>
        <w:t>with respect to</w:t>
      </w:r>
      <w:r w:rsidR="00954CC1">
        <w:rPr>
          <w:rFonts w:asciiTheme="minorHAnsi" w:hAnsiTheme="minorHAnsi" w:cstheme="minorHAnsi"/>
          <w:szCs w:val="24"/>
        </w:rPr>
        <w:t xml:space="preserve"> </w:t>
      </w:r>
      <w:r w:rsidR="00D114A5">
        <w:rPr>
          <w:rFonts w:asciiTheme="minorHAnsi" w:hAnsiTheme="minorHAnsi" w:cstheme="minorHAnsi"/>
          <w:szCs w:val="24"/>
        </w:rPr>
        <w:t>access and cost of care</w:t>
      </w:r>
      <w:r w:rsidR="00D822AF">
        <w:rPr>
          <w:rFonts w:asciiTheme="minorHAnsi" w:hAnsiTheme="minorHAnsi" w:cstheme="minorHAnsi"/>
          <w:szCs w:val="24"/>
        </w:rPr>
        <w:t xml:space="preserve">.  </w:t>
      </w:r>
      <w:r>
        <w:rPr>
          <w:rFonts w:asciiTheme="minorHAnsi" w:hAnsiTheme="minorHAnsi" w:cstheme="minorHAnsi"/>
          <w:szCs w:val="24"/>
        </w:rPr>
        <w:t xml:space="preserve">The HPC has shared findings from an analysis of the CHIA 2019 Massachusetts Health Insurance Survey, </w:t>
      </w:r>
      <w:r w:rsidR="00954CC1">
        <w:rPr>
          <w:rFonts w:asciiTheme="minorHAnsi" w:hAnsiTheme="minorHAnsi" w:cstheme="minorHAnsi"/>
          <w:szCs w:val="24"/>
        </w:rPr>
        <w:t xml:space="preserve">which </w:t>
      </w:r>
      <w:r>
        <w:rPr>
          <w:rFonts w:asciiTheme="minorHAnsi" w:hAnsiTheme="minorHAnsi" w:cstheme="minorHAnsi"/>
          <w:szCs w:val="24"/>
        </w:rPr>
        <w:t>indicat</w:t>
      </w:r>
      <w:r w:rsidR="00954CC1">
        <w:rPr>
          <w:rFonts w:asciiTheme="minorHAnsi" w:hAnsiTheme="minorHAnsi" w:cstheme="minorHAnsi"/>
          <w:szCs w:val="24"/>
        </w:rPr>
        <w:t>es</w:t>
      </w:r>
      <w:r>
        <w:rPr>
          <w:rFonts w:asciiTheme="minorHAnsi" w:hAnsiTheme="minorHAnsi" w:cstheme="minorHAnsi"/>
          <w:szCs w:val="24"/>
        </w:rPr>
        <w:t xml:space="preserve"> that among Massachusetts</w:t>
      </w:r>
      <w:r w:rsidR="00954CC1">
        <w:rPr>
          <w:rFonts w:asciiTheme="minorHAnsi" w:hAnsiTheme="minorHAnsi" w:cstheme="minorHAnsi"/>
          <w:szCs w:val="24"/>
        </w:rPr>
        <w:t>’</w:t>
      </w:r>
      <w:r>
        <w:rPr>
          <w:rFonts w:asciiTheme="minorHAnsi" w:hAnsiTheme="minorHAnsi" w:cstheme="minorHAnsi"/>
          <w:szCs w:val="24"/>
        </w:rPr>
        <w:t xml:space="preserve"> commercially insured patients with lower incomes, 59</w:t>
      </w:r>
      <w:r w:rsidR="00CC1FB5" w:rsidRPr="00CC1FB5">
        <w:rPr>
          <w:rFonts w:asciiTheme="minorHAnsi" w:hAnsiTheme="minorHAnsi" w:cstheme="minorHAnsi"/>
          <w:szCs w:val="24"/>
        </w:rPr>
        <w:t xml:space="preserve"> </w:t>
      </w:r>
      <w:r w:rsidR="00CC1FB5">
        <w:rPr>
          <w:rFonts w:asciiTheme="minorHAnsi" w:hAnsiTheme="minorHAnsi" w:cstheme="minorHAnsi"/>
          <w:szCs w:val="24"/>
        </w:rPr>
        <w:t>percent</w:t>
      </w:r>
      <w:r>
        <w:rPr>
          <w:rFonts w:asciiTheme="minorHAnsi" w:hAnsiTheme="minorHAnsi" w:cstheme="minorHAnsi"/>
          <w:szCs w:val="24"/>
        </w:rPr>
        <w:t xml:space="preserve"> had trouble accessing care due to cost. The HPC has also found that lower-income residents disproportionately </w:t>
      </w:r>
      <w:proofErr w:type="gramStart"/>
      <w:r>
        <w:rPr>
          <w:rFonts w:asciiTheme="minorHAnsi" w:hAnsiTheme="minorHAnsi" w:cstheme="minorHAnsi"/>
          <w:szCs w:val="24"/>
        </w:rPr>
        <w:t>forgo</w:t>
      </w:r>
      <w:proofErr w:type="gramEnd"/>
      <w:r>
        <w:rPr>
          <w:rFonts w:asciiTheme="minorHAnsi" w:hAnsiTheme="minorHAnsi" w:cstheme="minorHAnsi"/>
          <w:szCs w:val="24"/>
        </w:rPr>
        <w:t xml:space="preserve"> needed care</w:t>
      </w:r>
      <w:r w:rsidR="00954CC1">
        <w:rPr>
          <w:rFonts w:asciiTheme="minorHAnsi" w:hAnsiTheme="minorHAnsi" w:cstheme="minorHAnsi"/>
          <w:szCs w:val="24"/>
        </w:rPr>
        <w:t xml:space="preserve"> more than higher-income residents</w:t>
      </w:r>
      <w:r w:rsidR="00B520E0">
        <w:rPr>
          <w:rStyle w:val="FootnoteReference"/>
          <w:rFonts w:asciiTheme="minorHAnsi" w:hAnsiTheme="minorHAnsi" w:cstheme="minorHAnsi"/>
          <w:szCs w:val="24"/>
        </w:rPr>
        <w:footnoteReference w:id="58"/>
      </w:r>
      <w:r>
        <w:rPr>
          <w:rFonts w:asciiTheme="minorHAnsi" w:hAnsiTheme="minorHAnsi" w:cstheme="minorHAnsi"/>
          <w:szCs w:val="24"/>
        </w:rPr>
        <w:t xml:space="preserve">. </w:t>
      </w:r>
      <w:r w:rsidR="00421D44">
        <w:rPr>
          <w:rFonts w:asciiTheme="minorHAnsi" w:hAnsiTheme="minorHAnsi" w:cstheme="minorHAnsi"/>
          <w:szCs w:val="24"/>
        </w:rPr>
        <w:t xml:space="preserve">  </w:t>
      </w:r>
      <w:r>
        <w:rPr>
          <w:rFonts w:asciiTheme="minorHAnsi" w:hAnsiTheme="minorHAnsi" w:cstheme="minorHAnsi"/>
          <w:szCs w:val="24"/>
        </w:rPr>
        <w:t xml:space="preserve">Reducing the cost of care, including for </w:t>
      </w:r>
      <w:r w:rsidR="00E45702">
        <w:rPr>
          <w:rFonts w:asciiTheme="minorHAnsi" w:hAnsiTheme="minorHAnsi" w:cstheme="minorHAnsi"/>
          <w:szCs w:val="24"/>
        </w:rPr>
        <w:t>High Acuity Dental Surgeries</w:t>
      </w:r>
      <w:r>
        <w:rPr>
          <w:rFonts w:asciiTheme="minorHAnsi" w:hAnsiTheme="minorHAnsi" w:cstheme="minorHAnsi"/>
          <w:szCs w:val="24"/>
        </w:rPr>
        <w:t>, can be incredibly meaningful for families with significant cost-sharing as part of their health insurance plans.</w:t>
      </w:r>
      <w:r w:rsidR="007F4F10">
        <w:rPr>
          <w:rFonts w:asciiTheme="minorHAnsi" w:hAnsiTheme="minorHAnsi" w:cstheme="minorHAnsi"/>
          <w:szCs w:val="24"/>
        </w:rPr>
        <w:t xml:space="preserve"> For example, patients typically have a lower out of pocket cost sharing obligation for </w:t>
      </w:r>
      <w:r w:rsidR="00E45702">
        <w:rPr>
          <w:rFonts w:asciiTheme="minorHAnsi" w:hAnsiTheme="minorHAnsi" w:cstheme="minorHAnsi"/>
          <w:szCs w:val="24"/>
        </w:rPr>
        <w:t>High Acuity Dental Surgeries</w:t>
      </w:r>
      <w:r w:rsidR="007F4F10">
        <w:rPr>
          <w:rFonts w:asciiTheme="minorHAnsi" w:hAnsiTheme="minorHAnsi" w:cstheme="minorHAnsi"/>
          <w:szCs w:val="24"/>
        </w:rPr>
        <w:t xml:space="preserve"> performed in an ASC compared to a dental office because the mobile anesthesia providers used by the dental offices typically do not participate in Medicaid</w:t>
      </w:r>
      <w:r w:rsidR="00D114A5">
        <w:rPr>
          <w:rFonts w:asciiTheme="minorHAnsi" w:hAnsiTheme="minorHAnsi" w:cstheme="minorHAnsi"/>
          <w:szCs w:val="24"/>
        </w:rPr>
        <w:t xml:space="preserve"> and patients pay for the anesthesia out of pocket</w:t>
      </w:r>
      <w:r w:rsidR="007F4F10">
        <w:rPr>
          <w:rFonts w:asciiTheme="minorHAnsi" w:hAnsiTheme="minorHAnsi" w:cstheme="minorHAnsi"/>
          <w:szCs w:val="24"/>
        </w:rPr>
        <w:t xml:space="preserve">.  Additionally, the Applicant has a financial assistance policy and works with patients </w:t>
      </w:r>
      <w:r w:rsidR="007F4F10" w:rsidRPr="007F4F10">
        <w:rPr>
          <w:rFonts w:asciiTheme="minorHAnsi" w:hAnsiTheme="minorHAnsi" w:cstheme="minorHAnsi"/>
          <w:szCs w:val="24"/>
        </w:rPr>
        <w:t>who</w:t>
      </w:r>
      <w:r w:rsidR="00954CC1">
        <w:rPr>
          <w:rFonts w:asciiTheme="minorHAnsi" w:hAnsiTheme="minorHAnsi" w:cstheme="minorHAnsi"/>
          <w:szCs w:val="24"/>
        </w:rPr>
        <w:t xml:space="preserve"> may</w:t>
      </w:r>
      <w:r w:rsidR="007F4F10" w:rsidRPr="007F4F10">
        <w:rPr>
          <w:rFonts w:asciiTheme="minorHAnsi" w:hAnsiTheme="minorHAnsi" w:cstheme="minorHAnsi"/>
          <w:szCs w:val="24"/>
        </w:rPr>
        <w:t xml:space="preserve"> have difficulty paying </w:t>
      </w:r>
      <w:proofErr w:type="gramStart"/>
      <w:r w:rsidR="007F4F10" w:rsidRPr="007F4F10">
        <w:rPr>
          <w:rFonts w:asciiTheme="minorHAnsi" w:hAnsiTheme="minorHAnsi" w:cstheme="minorHAnsi"/>
          <w:szCs w:val="24"/>
        </w:rPr>
        <w:t>as a result of</w:t>
      </w:r>
      <w:proofErr w:type="gramEnd"/>
      <w:r w:rsidR="007F4F10" w:rsidRPr="007F4F10">
        <w:rPr>
          <w:rFonts w:asciiTheme="minorHAnsi" w:hAnsiTheme="minorHAnsi" w:cstheme="minorHAnsi"/>
          <w:szCs w:val="24"/>
        </w:rPr>
        <w:t xml:space="preserve"> financial hardship.</w:t>
      </w:r>
    </w:p>
    <w:p w14:paraId="112CE713" w14:textId="1E8C057B" w:rsidR="007F4F10" w:rsidRDefault="007F4F10" w:rsidP="007F4F10">
      <w:pPr>
        <w:autoSpaceDE w:val="0"/>
        <w:autoSpaceDN w:val="0"/>
        <w:adjustRightInd w:val="0"/>
        <w:spacing w:after="0"/>
        <w:jc w:val="both"/>
        <w:rPr>
          <w:rFonts w:asciiTheme="minorHAnsi" w:hAnsiTheme="minorHAnsi" w:cstheme="minorHAnsi"/>
          <w:szCs w:val="24"/>
        </w:rPr>
      </w:pPr>
    </w:p>
    <w:p w14:paraId="2E730518" w14:textId="280501D3" w:rsidR="004E72F1" w:rsidRDefault="004E72F1" w:rsidP="002638F7">
      <w:pPr>
        <w:autoSpaceDE w:val="0"/>
        <w:autoSpaceDN w:val="0"/>
        <w:adjustRightInd w:val="0"/>
        <w:spacing w:after="0"/>
        <w:jc w:val="both"/>
        <w:rPr>
          <w:rFonts w:asciiTheme="minorHAnsi" w:hAnsiTheme="minorHAnsi" w:cstheme="minorHAnsi"/>
          <w:szCs w:val="24"/>
        </w:rPr>
      </w:pPr>
      <w:r>
        <w:rPr>
          <w:rFonts w:asciiTheme="minorHAnsi" w:hAnsiTheme="minorHAnsi" w:cstheme="minorHAnsi"/>
          <w:szCs w:val="24"/>
        </w:rPr>
        <w:t xml:space="preserve">Finally, </w:t>
      </w:r>
      <w:r w:rsidR="00492AD6">
        <w:rPr>
          <w:rFonts w:asciiTheme="minorHAnsi" w:hAnsiTheme="minorHAnsi" w:cstheme="minorHAnsi"/>
          <w:szCs w:val="24"/>
        </w:rPr>
        <w:t xml:space="preserve">the Applicant frequently provides and participates in community education initiatives focused on oral health awareness, preventative care, and patient education, including outreach </w:t>
      </w:r>
      <w:r w:rsidR="00492AD6">
        <w:rPr>
          <w:rFonts w:asciiTheme="minorHAnsi" w:hAnsiTheme="minorHAnsi" w:cstheme="minorHAnsi"/>
          <w:szCs w:val="24"/>
        </w:rPr>
        <w:lastRenderedPageBreak/>
        <w:t xml:space="preserve">activities and informational resources tailored to meet community needs. </w:t>
      </w:r>
      <w:r w:rsidR="007F4F10">
        <w:rPr>
          <w:rFonts w:asciiTheme="minorHAnsi" w:hAnsiTheme="minorHAnsi" w:cstheme="minorHAnsi"/>
          <w:szCs w:val="24"/>
        </w:rPr>
        <w:t xml:space="preserve"> Once the </w:t>
      </w:r>
      <w:r w:rsidR="00492AD6">
        <w:rPr>
          <w:rFonts w:asciiTheme="minorHAnsi" w:hAnsiTheme="minorHAnsi" w:cstheme="minorHAnsi"/>
          <w:szCs w:val="24"/>
        </w:rPr>
        <w:t>Applicant</w:t>
      </w:r>
      <w:r w:rsidR="007F4F10">
        <w:rPr>
          <w:rFonts w:asciiTheme="minorHAnsi" w:hAnsiTheme="minorHAnsi" w:cstheme="minorHAnsi"/>
          <w:szCs w:val="24"/>
        </w:rPr>
        <w:t xml:space="preserve"> is established in Massachusetts, it</w:t>
      </w:r>
      <w:r w:rsidR="00492AD6">
        <w:rPr>
          <w:rFonts w:asciiTheme="minorHAnsi" w:hAnsiTheme="minorHAnsi" w:cstheme="minorHAnsi"/>
          <w:szCs w:val="24"/>
        </w:rPr>
        <w:t xml:space="preserve"> plans </w:t>
      </w:r>
      <w:r w:rsidR="007F4F10">
        <w:rPr>
          <w:rFonts w:asciiTheme="minorHAnsi" w:hAnsiTheme="minorHAnsi" w:cstheme="minorHAnsi"/>
          <w:szCs w:val="24"/>
        </w:rPr>
        <w:t>to engage</w:t>
      </w:r>
      <w:r w:rsidR="00492AD6">
        <w:rPr>
          <w:rFonts w:asciiTheme="minorHAnsi" w:hAnsiTheme="minorHAnsi" w:cstheme="minorHAnsi"/>
          <w:szCs w:val="24"/>
        </w:rPr>
        <w:t xml:space="preserve"> </w:t>
      </w:r>
      <w:r w:rsidR="00D114A5">
        <w:rPr>
          <w:rFonts w:asciiTheme="minorHAnsi" w:hAnsiTheme="minorHAnsi" w:cstheme="minorHAnsi"/>
          <w:szCs w:val="24"/>
        </w:rPr>
        <w:t>the dental offices and FQCHs</w:t>
      </w:r>
      <w:r w:rsidR="007F4F10">
        <w:rPr>
          <w:rFonts w:asciiTheme="minorHAnsi" w:hAnsiTheme="minorHAnsi" w:cstheme="minorHAnsi"/>
          <w:szCs w:val="24"/>
        </w:rPr>
        <w:t xml:space="preserve"> in its </w:t>
      </w:r>
      <w:r w:rsidR="00D114A5">
        <w:rPr>
          <w:rFonts w:asciiTheme="minorHAnsi" w:hAnsiTheme="minorHAnsi" w:cstheme="minorHAnsi"/>
          <w:szCs w:val="24"/>
        </w:rPr>
        <w:t xml:space="preserve">PSA and beyond </w:t>
      </w:r>
      <w:r w:rsidR="007F4F10">
        <w:rPr>
          <w:rFonts w:asciiTheme="minorHAnsi" w:hAnsiTheme="minorHAnsi" w:cstheme="minorHAnsi"/>
          <w:szCs w:val="24"/>
        </w:rPr>
        <w:t xml:space="preserve">to offer community education </w:t>
      </w:r>
      <w:r w:rsidR="00492AD6">
        <w:rPr>
          <w:rFonts w:asciiTheme="minorHAnsi" w:hAnsiTheme="minorHAnsi" w:cstheme="minorHAnsi"/>
          <w:szCs w:val="24"/>
        </w:rPr>
        <w:t xml:space="preserve">programs </w:t>
      </w:r>
      <w:r w:rsidR="007F4F10">
        <w:rPr>
          <w:rFonts w:asciiTheme="minorHAnsi" w:hAnsiTheme="minorHAnsi" w:cstheme="minorHAnsi"/>
          <w:szCs w:val="24"/>
        </w:rPr>
        <w:t>to their patients</w:t>
      </w:r>
      <w:r w:rsidR="00492AD6">
        <w:rPr>
          <w:rFonts w:asciiTheme="minorHAnsi" w:hAnsiTheme="minorHAnsi" w:cstheme="minorHAnsi"/>
          <w:szCs w:val="24"/>
        </w:rPr>
        <w:t xml:space="preserve">.  </w:t>
      </w:r>
    </w:p>
    <w:p w14:paraId="5E16443C" w14:textId="77777777" w:rsidR="002916FD" w:rsidRDefault="002916FD" w:rsidP="002638F7">
      <w:pPr>
        <w:autoSpaceDE w:val="0"/>
        <w:autoSpaceDN w:val="0"/>
        <w:adjustRightInd w:val="0"/>
        <w:spacing w:after="0"/>
        <w:jc w:val="both"/>
        <w:rPr>
          <w:rFonts w:asciiTheme="minorHAnsi" w:hAnsiTheme="minorHAnsi" w:cstheme="minorHAnsi"/>
          <w:szCs w:val="24"/>
        </w:rPr>
      </w:pPr>
    </w:p>
    <w:p w14:paraId="556CC59C" w14:textId="77777777" w:rsidR="0016507F" w:rsidRPr="007A45EA" w:rsidRDefault="00C34AF8" w:rsidP="00CE3D35">
      <w:pPr>
        <w:pStyle w:val="Heading3"/>
      </w:pPr>
      <w:r w:rsidRPr="007A45EA">
        <w:t>F1.</w:t>
      </w:r>
      <w:proofErr w:type="gramStart"/>
      <w:r w:rsidRPr="007A45EA">
        <w:t>b.iv</w:t>
      </w:r>
      <w:proofErr w:type="gramEnd"/>
      <w:r w:rsidRPr="007A45EA">
        <w:t xml:space="preserve"> </w:t>
      </w:r>
      <w:r w:rsidR="0016507F" w:rsidRPr="007A45EA">
        <w:t>Additional Information</w:t>
      </w:r>
    </w:p>
    <w:p w14:paraId="5C4E530F" w14:textId="48E5E330" w:rsidR="00D351C5" w:rsidRPr="007A45EA" w:rsidRDefault="00C34AF8" w:rsidP="00770FE6">
      <w:pPr>
        <w:autoSpaceDE w:val="0"/>
        <w:autoSpaceDN w:val="0"/>
        <w:adjustRightInd w:val="0"/>
        <w:spacing w:after="0" w:line="240" w:lineRule="auto"/>
        <w:jc w:val="both"/>
        <w:rPr>
          <w:rFonts w:asciiTheme="minorHAnsi" w:hAnsiTheme="minorHAnsi" w:cstheme="minorHAnsi"/>
          <w:b/>
          <w:szCs w:val="24"/>
        </w:rPr>
      </w:pPr>
      <w:r w:rsidRPr="007A45EA">
        <w:rPr>
          <w:rFonts w:asciiTheme="minorHAnsi" w:hAnsiTheme="minorHAnsi" w:cstheme="minorHAnsi"/>
          <w:b/>
          <w:szCs w:val="24"/>
        </w:rPr>
        <w:t>Provide additional information to demonstrate that the Proposed Project will result in improved health outcomes and quality of life of the Applicant's existing Patient Panel, while providing reasonable assurances of health equity.</w:t>
      </w:r>
    </w:p>
    <w:p w14:paraId="1F45652A" w14:textId="77777777" w:rsidR="00613B9D" w:rsidRPr="007A45EA" w:rsidRDefault="00613B9D" w:rsidP="004855F3">
      <w:pPr>
        <w:autoSpaceDE w:val="0"/>
        <w:autoSpaceDN w:val="0"/>
        <w:adjustRightInd w:val="0"/>
        <w:spacing w:after="0"/>
        <w:jc w:val="both"/>
        <w:rPr>
          <w:rFonts w:asciiTheme="minorHAnsi" w:hAnsiTheme="minorHAnsi" w:cstheme="minorHAnsi"/>
          <w:szCs w:val="24"/>
        </w:rPr>
      </w:pPr>
    </w:p>
    <w:p w14:paraId="12FAE345" w14:textId="61C53300" w:rsidR="007A45EA" w:rsidRPr="007A45EA" w:rsidRDefault="007A45EA" w:rsidP="007A45EA">
      <w:pPr>
        <w:jc w:val="both"/>
        <w:rPr>
          <w:rFonts w:asciiTheme="minorHAnsi" w:hAnsiTheme="minorHAnsi" w:cstheme="minorHAnsi"/>
        </w:rPr>
      </w:pPr>
      <w:r w:rsidRPr="007A45EA">
        <w:rPr>
          <w:rFonts w:asciiTheme="minorHAnsi" w:hAnsiTheme="minorHAnsi" w:cstheme="minorHAnsi"/>
        </w:rPr>
        <w:t xml:space="preserve">The Proposed Project will improve health outcomes and quality of life for the </w:t>
      </w:r>
      <w:r w:rsidR="00421D44">
        <w:rPr>
          <w:rFonts w:asciiTheme="minorHAnsi" w:hAnsiTheme="minorHAnsi" w:cstheme="minorHAnsi"/>
        </w:rPr>
        <w:t>P</w:t>
      </w:r>
      <w:r w:rsidR="007F4F10">
        <w:rPr>
          <w:rFonts w:asciiTheme="minorHAnsi" w:hAnsiTheme="minorHAnsi" w:cstheme="minorHAnsi"/>
        </w:rPr>
        <w:t xml:space="preserve">atient </w:t>
      </w:r>
      <w:r w:rsidR="00421D44">
        <w:rPr>
          <w:rFonts w:asciiTheme="minorHAnsi" w:hAnsiTheme="minorHAnsi" w:cstheme="minorHAnsi"/>
        </w:rPr>
        <w:t>P</w:t>
      </w:r>
      <w:r w:rsidR="007F4F10">
        <w:rPr>
          <w:rFonts w:asciiTheme="minorHAnsi" w:hAnsiTheme="minorHAnsi" w:cstheme="minorHAnsi"/>
        </w:rPr>
        <w:t>anel</w:t>
      </w:r>
      <w:r w:rsidRPr="007A45EA">
        <w:rPr>
          <w:rFonts w:asciiTheme="minorHAnsi" w:hAnsiTheme="minorHAnsi" w:cstheme="minorHAnsi"/>
        </w:rPr>
        <w:t xml:space="preserve"> by providing increased access to high-quality, convenient </w:t>
      </w:r>
      <w:r w:rsidR="00E45702">
        <w:rPr>
          <w:rFonts w:asciiTheme="minorHAnsi" w:hAnsiTheme="minorHAnsi" w:cstheme="minorHAnsi"/>
        </w:rPr>
        <w:t>High Acuity Dental Surgeries</w:t>
      </w:r>
      <w:r w:rsidR="00675022">
        <w:rPr>
          <w:rFonts w:asciiTheme="minorHAnsi" w:hAnsiTheme="minorHAnsi" w:cstheme="minorHAnsi"/>
        </w:rPr>
        <w:t xml:space="preserve"> in a lower cost setting, thus expanding timely access to </w:t>
      </w:r>
      <w:r w:rsidR="00F15E73">
        <w:rPr>
          <w:rFonts w:asciiTheme="minorHAnsi" w:hAnsiTheme="minorHAnsi" w:cstheme="minorHAnsi"/>
        </w:rPr>
        <w:t>such surgeries</w:t>
      </w:r>
      <w:r w:rsidRPr="007A45EA">
        <w:rPr>
          <w:rFonts w:asciiTheme="minorHAnsi" w:hAnsiTheme="minorHAnsi" w:cstheme="minorHAnsi"/>
        </w:rPr>
        <w:t xml:space="preserve">. </w:t>
      </w:r>
      <w:r w:rsidR="00954CC1">
        <w:rPr>
          <w:rFonts w:asciiTheme="minorHAnsi" w:hAnsiTheme="minorHAnsi" w:cstheme="minorHAnsi"/>
        </w:rPr>
        <w:t>In contrast</w:t>
      </w:r>
      <w:r w:rsidRPr="007A45EA">
        <w:rPr>
          <w:rFonts w:asciiTheme="minorHAnsi" w:hAnsiTheme="minorHAnsi" w:cstheme="minorHAnsi"/>
        </w:rPr>
        <w:t xml:space="preserve"> to </w:t>
      </w:r>
      <w:r w:rsidR="00F15E73">
        <w:rPr>
          <w:rFonts w:asciiTheme="minorHAnsi" w:hAnsiTheme="minorHAnsi" w:cstheme="minorHAnsi"/>
        </w:rPr>
        <w:t>HOPDs</w:t>
      </w:r>
      <w:r>
        <w:rPr>
          <w:rFonts w:asciiTheme="minorHAnsi" w:hAnsiTheme="minorHAnsi" w:cstheme="minorHAnsi"/>
        </w:rPr>
        <w:t xml:space="preserve">, </w:t>
      </w:r>
      <w:r w:rsidRPr="007A45EA">
        <w:rPr>
          <w:rFonts w:asciiTheme="minorHAnsi" w:hAnsiTheme="minorHAnsi" w:cstheme="minorHAnsi"/>
        </w:rPr>
        <w:t xml:space="preserve">the </w:t>
      </w:r>
      <w:r>
        <w:rPr>
          <w:rFonts w:asciiTheme="minorHAnsi" w:hAnsiTheme="minorHAnsi" w:cstheme="minorHAnsi"/>
        </w:rPr>
        <w:t>Center</w:t>
      </w:r>
      <w:r w:rsidRPr="007A45EA">
        <w:rPr>
          <w:rFonts w:asciiTheme="minorHAnsi" w:hAnsiTheme="minorHAnsi" w:cstheme="minorHAnsi"/>
        </w:rPr>
        <w:t xml:space="preserve"> will provide patients with an opportunity to obtain their</w:t>
      </w:r>
      <w:r w:rsidR="00954CC1">
        <w:rPr>
          <w:rFonts w:asciiTheme="minorHAnsi" w:hAnsiTheme="minorHAnsi" w:cstheme="minorHAnsi"/>
        </w:rPr>
        <w:t xml:space="preserve"> medically necessary</w:t>
      </w:r>
      <w:r w:rsidRPr="007A45EA">
        <w:rPr>
          <w:rFonts w:asciiTheme="minorHAnsi" w:hAnsiTheme="minorHAnsi" w:cstheme="minorHAnsi"/>
        </w:rPr>
        <w:t xml:space="preserve"> </w:t>
      </w:r>
      <w:r w:rsidR="00E45702">
        <w:rPr>
          <w:rFonts w:asciiTheme="minorHAnsi" w:hAnsiTheme="minorHAnsi" w:cstheme="minorHAnsi"/>
        </w:rPr>
        <w:t>High Acuity Dental Surgeries</w:t>
      </w:r>
      <w:r w:rsidRPr="007A45EA">
        <w:rPr>
          <w:rFonts w:asciiTheme="minorHAnsi" w:hAnsiTheme="minorHAnsi" w:cstheme="minorHAnsi"/>
        </w:rPr>
        <w:t xml:space="preserve"> in a convenient community-based setting.  The Proposed Project will be centrally located </w:t>
      </w:r>
      <w:r>
        <w:rPr>
          <w:rFonts w:asciiTheme="minorHAnsi" w:hAnsiTheme="minorHAnsi" w:cstheme="minorHAnsi"/>
        </w:rPr>
        <w:t>and</w:t>
      </w:r>
      <w:r w:rsidRPr="007A45EA">
        <w:rPr>
          <w:rFonts w:asciiTheme="minorHAnsi" w:hAnsiTheme="minorHAnsi" w:cstheme="minorHAnsi"/>
        </w:rPr>
        <w:t xml:space="preserve"> easily accessible from multiple major highways (near the intersection of </w:t>
      </w:r>
      <w:r>
        <w:rPr>
          <w:rFonts w:asciiTheme="minorHAnsi" w:hAnsiTheme="minorHAnsi" w:cstheme="minorHAnsi"/>
        </w:rPr>
        <w:t>I-93</w:t>
      </w:r>
      <w:r w:rsidRPr="007A45EA">
        <w:rPr>
          <w:rFonts w:asciiTheme="minorHAnsi" w:hAnsiTheme="minorHAnsi" w:cstheme="minorHAnsi"/>
        </w:rPr>
        <w:t xml:space="preserve"> and I-95) and provide </w:t>
      </w:r>
      <w:r w:rsidR="00954CC1">
        <w:rPr>
          <w:rFonts w:asciiTheme="minorHAnsi" w:hAnsiTheme="minorHAnsi" w:cstheme="minorHAnsi"/>
        </w:rPr>
        <w:t xml:space="preserve">ample </w:t>
      </w:r>
      <w:r w:rsidRPr="007A45EA">
        <w:rPr>
          <w:rFonts w:asciiTheme="minorHAnsi" w:hAnsiTheme="minorHAnsi" w:cstheme="minorHAnsi"/>
        </w:rPr>
        <w:t xml:space="preserve">access to </w:t>
      </w:r>
      <w:r w:rsidR="00F15E73" w:rsidRPr="007A45EA">
        <w:rPr>
          <w:rFonts w:asciiTheme="minorHAnsi" w:hAnsiTheme="minorHAnsi" w:cstheme="minorHAnsi"/>
        </w:rPr>
        <w:t xml:space="preserve">free </w:t>
      </w:r>
      <w:r w:rsidRPr="007A45EA">
        <w:rPr>
          <w:rFonts w:asciiTheme="minorHAnsi" w:hAnsiTheme="minorHAnsi" w:cstheme="minorHAnsi"/>
        </w:rPr>
        <w:t xml:space="preserve">parking.  </w:t>
      </w:r>
      <w:r w:rsidR="007F4F10">
        <w:rPr>
          <w:rFonts w:asciiTheme="minorHAnsi" w:hAnsiTheme="minorHAnsi" w:cstheme="minorHAnsi"/>
        </w:rPr>
        <w:t>There is a dental office located in the same complex as the Cente</w:t>
      </w:r>
      <w:r w:rsidR="00D114A5">
        <w:rPr>
          <w:rFonts w:asciiTheme="minorHAnsi" w:hAnsiTheme="minorHAnsi" w:cstheme="minorHAnsi"/>
        </w:rPr>
        <w:t>r</w:t>
      </w:r>
      <w:r w:rsidR="00954CC1">
        <w:rPr>
          <w:rFonts w:asciiTheme="minorHAnsi" w:hAnsiTheme="minorHAnsi" w:cstheme="minorHAnsi"/>
        </w:rPr>
        <w:t>,</w:t>
      </w:r>
      <w:r w:rsidR="005635BE">
        <w:rPr>
          <w:rFonts w:asciiTheme="minorHAnsi" w:hAnsiTheme="minorHAnsi" w:cstheme="minorHAnsi"/>
        </w:rPr>
        <w:t xml:space="preserve"> </w:t>
      </w:r>
      <w:r w:rsidR="00D114A5">
        <w:rPr>
          <w:rFonts w:asciiTheme="minorHAnsi" w:hAnsiTheme="minorHAnsi" w:cstheme="minorHAnsi"/>
        </w:rPr>
        <w:t>where the operating dentists will see</w:t>
      </w:r>
      <w:r w:rsidR="00954CC1">
        <w:rPr>
          <w:rFonts w:asciiTheme="minorHAnsi" w:hAnsiTheme="minorHAnsi" w:cstheme="minorHAnsi"/>
        </w:rPr>
        <w:t xml:space="preserve"> the Center’s</w:t>
      </w:r>
      <w:r w:rsidR="00D114A5">
        <w:rPr>
          <w:rFonts w:asciiTheme="minorHAnsi" w:hAnsiTheme="minorHAnsi" w:cstheme="minorHAnsi"/>
        </w:rPr>
        <w:t xml:space="preserve"> patients for pre-surgery consultations</w:t>
      </w:r>
      <w:r w:rsidR="007F4F10">
        <w:rPr>
          <w:rFonts w:asciiTheme="minorHAnsi" w:hAnsiTheme="minorHAnsi" w:cstheme="minorHAnsi"/>
        </w:rPr>
        <w:t xml:space="preserve">.  </w:t>
      </w:r>
      <w:r w:rsidRPr="007A45EA">
        <w:rPr>
          <w:rFonts w:asciiTheme="minorHAnsi" w:hAnsiTheme="minorHAnsi" w:cstheme="minorHAnsi"/>
        </w:rPr>
        <w:t xml:space="preserve">This will be a significant source of additional convenience for patients and their caregivers. </w:t>
      </w:r>
    </w:p>
    <w:p w14:paraId="7826450B" w14:textId="31A604B1" w:rsidR="00A664FF" w:rsidRDefault="00D114A5" w:rsidP="005C0DC8">
      <w:pPr>
        <w:jc w:val="both"/>
        <w:rPr>
          <w:rFonts w:asciiTheme="minorHAnsi" w:hAnsiTheme="minorHAnsi" w:cstheme="minorHAnsi"/>
        </w:rPr>
      </w:pPr>
      <w:r>
        <w:rPr>
          <w:rFonts w:asciiTheme="minorHAnsi" w:hAnsiTheme="minorHAnsi" w:cstheme="minorHAnsi"/>
        </w:rPr>
        <w:t>The</w:t>
      </w:r>
      <w:r w:rsidR="007A45EA" w:rsidRPr="007A45EA">
        <w:rPr>
          <w:rFonts w:asciiTheme="minorHAnsi" w:hAnsiTheme="minorHAnsi" w:cstheme="minorHAnsi"/>
        </w:rPr>
        <w:t xml:space="preserve"> Proposed Project will</w:t>
      </w:r>
      <w:r>
        <w:rPr>
          <w:rFonts w:asciiTheme="minorHAnsi" w:hAnsiTheme="minorHAnsi" w:cstheme="minorHAnsi"/>
        </w:rPr>
        <w:t xml:space="preserve"> also </w:t>
      </w:r>
      <w:r w:rsidR="007A45EA" w:rsidRPr="007A45EA">
        <w:rPr>
          <w:rFonts w:asciiTheme="minorHAnsi" w:hAnsiTheme="minorHAnsi" w:cstheme="minorHAnsi"/>
        </w:rPr>
        <w:t xml:space="preserve">have a direct impact on health equity </w:t>
      </w:r>
      <w:r w:rsidR="00954CC1">
        <w:rPr>
          <w:rFonts w:asciiTheme="minorHAnsi" w:hAnsiTheme="minorHAnsi" w:cstheme="minorHAnsi"/>
        </w:rPr>
        <w:t>through its</w:t>
      </w:r>
      <w:r w:rsidR="007A45EA" w:rsidRPr="007A45EA">
        <w:rPr>
          <w:rFonts w:asciiTheme="minorHAnsi" w:hAnsiTheme="minorHAnsi" w:cstheme="minorHAnsi"/>
        </w:rPr>
        <w:t xml:space="preserve"> reduc</w:t>
      </w:r>
      <w:r w:rsidR="00954CC1">
        <w:rPr>
          <w:rFonts w:asciiTheme="minorHAnsi" w:hAnsiTheme="minorHAnsi" w:cstheme="minorHAnsi"/>
        </w:rPr>
        <w:t>tion of</w:t>
      </w:r>
      <w:r w:rsidR="007A45EA" w:rsidRPr="007A45EA">
        <w:rPr>
          <w:rFonts w:asciiTheme="minorHAnsi" w:hAnsiTheme="minorHAnsi" w:cstheme="minorHAnsi"/>
        </w:rPr>
        <w:t xml:space="preserve"> out-of-pocket expenses for patients whose cost sharing obligations are higher for </w:t>
      </w:r>
      <w:r w:rsidR="00E45702">
        <w:rPr>
          <w:rFonts w:asciiTheme="minorHAnsi" w:hAnsiTheme="minorHAnsi" w:cstheme="minorHAnsi"/>
        </w:rPr>
        <w:t>High Acuity Dental Surgeries</w:t>
      </w:r>
      <w:r w:rsidR="007A45EA" w:rsidRPr="007A45EA">
        <w:rPr>
          <w:rFonts w:asciiTheme="minorHAnsi" w:hAnsiTheme="minorHAnsi" w:cstheme="minorHAnsi"/>
        </w:rPr>
        <w:t xml:space="preserve"> in a</w:t>
      </w:r>
      <w:r w:rsidR="00954CC1">
        <w:rPr>
          <w:rFonts w:asciiTheme="minorHAnsi" w:hAnsiTheme="minorHAnsi" w:cstheme="minorHAnsi"/>
        </w:rPr>
        <w:t>n</w:t>
      </w:r>
      <w:r w:rsidR="007A45EA" w:rsidRPr="007A45EA">
        <w:rPr>
          <w:rFonts w:asciiTheme="minorHAnsi" w:hAnsiTheme="minorHAnsi" w:cstheme="minorHAnsi"/>
        </w:rPr>
        <w:t xml:space="preserve"> </w:t>
      </w:r>
      <w:r>
        <w:rPr>
          <w:rFonts w:asciiTheme="minorHAnsi" w:hAnsiTheme="minorHAnsi" w:cstheme="minorHAnsi"/>
        </w:rPr>
        <w:t>HOPD or dental office as described above with respect to anesthesia costs</w:t>
      </w:r>
      <w:r w:rsidR="007A45EA" w:rsidRPr="007A45EA">
        <w:rPr>
          <w:rFonts w:asciiTheme="minorHAnsi" w:hAnsiTheme="minorHAnsi" w:cstheme="minorHAnsi"/>
        </w:rPr>
        <w:t>.  In addition</w:t>
      </w:r>
      <w:r w:rsidR="00954CC1">
        <w:rPr>
          <w:rFonts w:asciiTheme="minorHAnsi" w:hAnsiTheme="minorHAnsi" w:cstheme="minorHAnsi"/>
        </w:rPr>
        <w:t>,</w:t>
      </w:r>
      <w:r w:rsidR="00421D44">
        <w:rPr>
          <w:rFonts w:asciiTheme="minorHAnsi" w:hAnsiTheme="minorHAnsi" w:cstheme="minorHAnsi"/>
        </w:rPr>
        <w:t xml:space="preserve"> </w:t>
      </w:r>
      <w:r w:rsidR="007A45EA" w:rsidRPr="007A45EA">
        <w:rPr>
          <w:rFonts w:asciiTheme="minorHAnsi" w:hAnsiTheme="minorHAnsi" w:cstheme="minorHAnsi"/>
        </w:rPr>
        <w:t>the Proposed Project</w:t>
      </w:r>
      <w:r w:rsidR="00954CC1">
        <w:rPr>
          <w:rFonts w:asciiTheme="minorHAnsi" w:hAnsiTheme="minorHAnsi" w:cstheme="minorHAnsi"/>
        </w:rPr>
        <w:t>’s</w:t>
      </w:r>
      <w:r w:rsidR="007A45EA" w:rsidRPr="007A45EA">
        <w:rPr>
          <w:rFonts w:asciiTheme="minorHAnsi" w:hAnsiTheme="minorHAnsi" w:cstheme="minorHAnsi"/>
        </w:rPr>
        <w:t xml:space="preserve"> convenient locat</w:t>
      </w:r>
      <w:r w:rsidR="00954CC1">
        <w:rPr>
          <w:rFonts w:asciiTheme="minorHAnsi" w:hAnsiTheme="minorHAnsi" w:cstheme="minorHAnsi"/>
        </w:rPr>
        <w:t>ion</w:t>
      </w:r>
      <w:r w:rsidR="007A45EA" w:rsidRPr="007A45EA">
        <w:rPr>
          <w:rFonts w:asciiTheme="minorHAnsi" w:hAnsiTheme="minorHAnsi" w:cstheme="minorHAnsi"/>
        </w:rPr>
        <w:t xml:space="preserve"> in a community-based setting</w:t>
      </w:r>
      <w:r w:rsidR="00954CC1">
        <w:rPr>
          <w:rFonts w:asciiTheme="minorHAnsi" w:hAnsiTheme="minorHAnsi" w:cstheme="minorHAnsi"/>
        </w:rPr>
        <w:t xml:space="preserve"> will allow</w:t>
      </w:r>
      <w:r w:rsidR="007A45EA" w:rsidRPr="007A45EA">
        <w:rPr>
          <w:rFonts w:asciiTheme="minorHAnsi" w:hAnsiTheme="minorHAnsi" w:cstheme="minorHAnsi"/>
        </w:rPr>
        <w:t xml:space="preserve"> patient</w:t>
      </w:r>
      <w:r w:rsidR="00F15E73">
        <w:rPr>
          <w:rFonts w:asciiTheme="minorHAnsi" w:hAnsiTheme="minorHAnsi" w:cstheme="minorHAnsi"/>
        </w:rPr>
        <w:t>s</w:t>
      </w:r>
      <w:r w:rsidR="007A45EA" w:rsidRPr="007A45EA">
        <w:rPr>
          <w:rFonts w:asciiTheme="minorHAnsi" w:hAnsiTheme="minorHAnsi" w:cstheme="minorHAnsi"/>
        </w:rPr>
        <w:t xml:space="preserve"> to timely access </w:t>
      </w:r>
      <w:r w:rsidR="00E45702">
        <w:rPr>
          <w:rFonts w:asciiTheme="minorHAnsi" w:hAnsiTheme="minorHAnsi" w:cstheme="minorHAnsi"/>
        </w:rPr>
        <w:t>High Acuity Dental Surgeries</w:t>
      </w:r>
      <w:r w:rsidR="007A45EA" w:rsidRPr="007A45EA">
        <w:rPr>
          <w:rFonts w:asciiTheme="minorHAnsi" w:hAnsiTheme="minorHAnsi" w:cstheme="minorHAnsi"/>
        </w:rPr>
        <w:t xml:space="preserve">, which should reduce </w:t>
      </w:r>
      <w:r w:rsidR="007A45EA">
        <w:rPr>
          <w:rFonts w:asciiTheme="minorHAnsi" w:hAnsiTheme="minorHAnsi" w:cstheme="minorHAnsi"/>
        </w:rPr>
        <w:t xml:space="preserve">the children’s time out of school and </w:t>
      </w:r>
      <w:r w:rsidR="00954CC1">
        <w:rPr>
          <w:rFonts w:asciiTheme="minorHAnsi" w:hAnsiTheme="minorHAnsi" w:cstheme="minorHAnsi"/>
        </w:rPr>
        <w:t>parents/</w:t>
      </w:r>
      <w:r>
        <w:rPr>
          <w:rFonts w:asciiTheme="minorHAnsi" w:hAnsiTheme="minorHAnsi" w:cstheme="minorHAnsi"/>
        </w:rPr>
        <w:t>caregivers’</w:t>
      </w:r>
      <w:r w:rsidR="007A45EA">
        <w:rPr>
          <w:rFonts w:asciiTheme="minorHAnsi" w:hAnsiTheme="minorHAnsi" w:cstheme="minorHAnsi"/>
        </w:rPr>
        <w:t xml:space="preserve"> time</w:t>
      </w:r>
      <w:r w:rsidR="007A45EA" w:rsidRPr="007A45EA">
        <w:rPr>
          <w:rFonts w:asciiTheme="minorHAnsi" w:hAnsiTheme="minorHAnsi" w:cstheme="minorHAnsi"/>
        </w:rPr>
        <w:t xml:space="preserve"> off work.  </w:t>
      </w:r>
    </w:p>
    <w:p w14:paraId="2D510505" w14:textId="1DC7CD3F" w:rsidR="00DE7BED" w:rsidRDefault="00DE7BED" w:rsidP="005C0DC8">
      <w:pPr>
        <w:jc w:val="both"/>
        <w:rPr>
          <w:rFonts w:asciiTheme="minorHAnsi" w:hAnsiTheme="minorHAnsi" w:cstheme="minorHAnsi"/>
        </w:rPr>
      </w:pPr>
      <w:r>
        <w:rPr>
          <w:rFonts w:asciiTheme="minorHAnsi" w:hAnsiTheme="minorHAnsi" w:cstheme="minorHAnsi"/>
        </w:rPr>
        <w:t xml:space="preserve">The Applicant is committed to promoting health equity and will work to ensure procedures are accessible to all members of the community it serves. </w:t>
      </w:r>
      <w:r w:rsidR="00D114A5">
        <w:rPr>
          <w:rFonts w:asciiTheme="minorHAnsi" w:hAnsiTheme="minorHAnsi" w:cstheme="minorHAnsi"/>
        </w:rPr>
        <w:t>T</w:t>
      </w:r>
      <w:r>
        <w:rPr>
          <w:rFonts w:asciiTheme="minorHAnsi" w:hAnsiTheme="minorHAnsi" w:cstheme="minorHAnsi"/>
        </w:rPr>
        <w:t xml:space="preserve">he Applicant’s convenient location and set up will ensure patients can access the procedures, and the Application’s translation services, and care coordination will ensure patients can effectively communicate with their </w:t>
      </w:r>
      <w:r w:rsidR="00B54691">
        <w:rPr>
          <w:rFonts w:asciiTheme="minorHAnsi" w:hAnsiTheme="minorHAnsi" w:cstheme="minorHAnsi"/>
        </w:rPr>
        <w:t>providers and</w:t>
      </w:r>
      <w:r>
        <w:rPr>
          <w:rFonts w:asciiTheme="minorHAnsi" w:hAnsiTheme="minorHAnsi" w:cstheme="minorHAnsi"/>
        </w:rPr>
        <w:t xml:space="preserve"> be connected to other needed services outside of the </w:t>
      </w:r>
      <w:r w:rsidR="00D114A5">
        <w:rPr>
          <w:rFonts w:asciiTheme="minorHAnsi" w:hAnsiTheme="minorHAnsi" w:cstheme="minorHAnsi"/>
        </w:rPr>
        <w:t>Center</w:t>
      </w:r>
      <w:r>
        <w:rPr>
          <w:rFonts w:asciiTheme="minorHAnsi" w:hAnsiTheme="minorHAnsi" w:cstheme="minorHAnsi"/>
        </w:rPr>
        <w:t xml:space="preserve">. As discussed in F.1.b.iii, the Applicant already strives to recognize and address the barriers relating to the social determinants of health of patients at the point of scheduling and will continue that practice at the </w:t>
      </w:r>
      <w:r w:rsidR="00D114A5">
        <w:rPr>
          <w:rFonts w:asciiTheme="minorHAnsi" w:hAnsiTheme="minorHAnsi" w:cstheme="minorHAnsi"/>
        </w:rPr>
        <w:t>C</w:t>
      </w:r>
      <w:r>
        <w:rPr>
          <w:rFonts w:asciiTheme="minorHAnsi" w:hAnsiTheme="minorHAnsi" w:cstheme="minorHAnsi"/>
        </w:rPr>
        <w:t xml:space="preserve">enter. The Applicant anticipates that the Proposed Project will result in improved patient access and experience, thus increasing the likelihood of quality outcomes, all while promoting health equity. </w:t>
      </w:r>
    </w:p>
    <w:p w14:paraId="4888E06A" w14:textId="050696B6" w:rsidR="0016507F" w:rsidRPr="007A45EA" w:rsidRDefault="00C34AF8" w:rsidP="00CE3D35">
      <w:pPr>
        <w:pStyle w:val="Heading3"/>
      </w:pPr>
      <w:r w:rsidRPr="007A45EA">
        <w:t xml:space="preserve">F1.c </w:t>
      </w:r>
      <w:r w:rsidR="0016507F" w:rsidRPr="007A45EA">
        <w:t>Continuity and Coordination of Care</w:t>
      </w:r>
    </w:p>
    <w:p w14:paraId="3127098A" w14:textId="0C2F579E" w:rsidR="00754BDA" w:rsidRPr="007A45EA" w:rsidRDefault="00C34AF8" w:rsidP="00770FE6">
      <w:pPr>
        <w:autoSpaceDE w:val="0"/>
        <w:autoSpaceDN w:val="0"/>
        <w:adjustRightInd w:val="0"/>
        <w:spacing w:after="0" w:line="240" w:lineRule="auto"/>
        <w:jc w:val="both"/>
        <w:rPr>
          <w:rFonts w:asciiTheme="minorHAnsi" w:hAnsiTheme="minorHAnsi" w:cstheme="minorHAnsi"/>
          <w:b/>
          <w:szCs w:val="24"/>
        </w:rPr>
      </w:pPr>
      <w:r w:rsidRPr="007A45EA">
        <w:rPr>
          <w:rFonts w:asciiTheme="minorHAnsi" w:hAnsiTheme="minorHAnsi" w:cstheme="minorHAnsi"/>
          <w:b/>
          <w:szCs w:val="24"/>
        </w:rPr>
        <w:lastRenderedPageBreak/>
        <w:t xml:space="preserve">Provide evidence that the Proposed Project will operate efficiently and effectively by furthering and improving continuity and coordination of care for the Applicant's Patient Panel, </w:t>
      </w:r>
      <w:proofErr w:type="gramStart"/>
      <w:r w:rsidRPr="007A45EA">
        <w:rPr>
          <w:rFonts w:asciiTheme="minorHAnsi" w:hAnsiTheme="minorHAnsi" w:cstheme="minorHAnsi"/>
          <w:b/>
          <w:szCs w:val="24"/>
        </w:rPr>
        <w:t>including,</w:t>
      </w:r>
      <w:proofErr w:type="gramEnd"/>
      <w:r w:rsidRPr="007A45EA">
        <w:rPr>
          <w:rFonts w:asciiTheme="minorHAnsi" w:hAnsiTheme="minorHAnsi" w:cstheme="minorHAnsi"/>
          <w:b/>
          <w:szCs w:val="24"/>
        </w:rPr>
        <w:t xml:space="preserve"> how the Proposed Project will create or ensure appropriate linkages to patients' primary care services.</w:t>
      </w:r>
    </w:p>
    <w:p w14:paraId="113C587C" w14:textId="58C9A3A2" w:rsidR="00754BDA" w:rsidRPr="007A45EA" w:rsidRDefault="00754BDA" w:rsidP="00770FE6">
      <w:pPr>
        <w:autoSpaceDE w:val="0"/>
        <w:autoSpaceDN w:val="0"/>
        <w:adjustRightInd w:val="0"/>
        <w:spacing w:after="0" w:line="240" w:lineRule="auto"/>
        <w:jc w:val="both"/>
        <w:rPr>
          <w:rFonts w:asciiTheme="minorHAnsi" w:hAnsiTheme="minorHAnsi" w:cstheme="minorHAnsi"/>
          <w:b/>
          <w:szCs w:val="24"/>
        </w:rPr>
      </w:pPr>
    </w:p>
    <w:p w14:paraId="1ED22BB0" w14:textId="57D706B6" w:rsidR="005730E2" w:rsidRDefault="00C34AF8" w:rsidP="00770FE6">
      <w:pPr>
        <w:jc w:val="both"/>
        <w:rPr>
          <w:rFonts w:asciiTheme="minorHAnsi" w:hAnsiTheme="minorHAnsi" w:cstheme="minorHAnsi"/>
        </w:rPr>
      </w:pPr>
      <w:r w:rsidRPr="005730E2">
        <w:rPr>
          <w:rFonts w:asciiTheme="minorHAnsi" w:hAnsiTheme="minorHAnsi" w:cstheme="minorHAnsi"/>
        </w:rPr>
        <w:t>The Applicant’s goal</w:t>
      </w:r>
      <w:r w:rsidR="007602E9">
        <w:rPr>
          <w:rFonts w:asciiTheme="minorHAnsi" w:hAnsiTheme="minorHAnsi" w:cstheme="minorHAnsi"/>
        </w:rPr>
        <w:t>s</w:t>
      </w:r>
      <w:r w:rsidRPr="005730E2">
        <w:rPr>
          <w:rFonts w:asciiTheme="minorHAnsi" w:hAnsiTheme="minorHAnsi" w:cstheme="minorHAnsi"/>
        </w:rPr>
        <w:t xml:space="preserve"> </w:t>
      </w:r>
      <w:r w:rsidR="007602E9">
        <w:rPr>
          <w:rFonts w:asciiTheme="minorHAnsi" w:hAnsiTheme="minorHAnsi" w:cstheme="minorHAnsi"/>
        </w:rPr>
        <w:t>are</w:t>
      </w:r>
      <w:r w:rsidRPr="005730E2">
        <w:rPr>
          <w:rFonts w:asciiTheme="minorHAnsi" w:hAnsiTheme="minorHAnsi" w:cstheme="minorHAnsi"/>
        </w:rPr>
        <w:t xml:space="preserve"> to ensure that</w:t>
      </w:r>
      <w:r w:rsidR="005730E2" w:rsidRPr="005730E2">
        <w:rPr>
          <w:rFonts w:asciiTheme="minorHAnsi" w:hAnsiTheme="minorHAnsi" w:cstheme="minorHAnsi"/>
        </w:rPr>
        <w:t xml:space="preserve"> all patients are treated out of medical necessity and that </w:t>
      </w:r>
      <w:r w:rsidR="007602E9">
        <w:rPr>
          <w:rFonts w:asciiTheme="minorHAnsi" w:hAnsiTheme="minorHAnsi" w:cstheme="minorHAnsi"/>
        </w:rPr>
        <w:t>the</w:t>
      </w:r>
      <w:r w:rsidR="00421D44">
        <w:rPr>
          <w:rFonts w:asciiTheme="minorHAnsi" w:hAnsiTheme="minorHAnsi" w:cstheme="minorHAnsi"/>
        </w:rPr>
        <w:t xml:space="preserve"> </w:t>
      </w:r>
      <w:r w:rsidR="005730E2" w:rsidRPr="005730E2">
        <w:rPr>
          <w:rFonts w:asciiTheme="minorHAnsi" w:hAnsiTheme="minorHAnsi" w:cstheme="minorHAnsi"/>
        </w:rPr>
        <w:t xml:space="preserve">relationship between the </w:t>
      </w:r>
      <w:r w:rsidR="00D114A5">
        <w:rPr>
          <w:rFonts w:asciiTheme="minorHAnsi" w:hAnsiTheme="minorHAnsi" w:cstheme="minorHAnsi"/>
        </w:rPr>
        <w:t xml:space="preserve">Center </w:t>
      </w:r>
      <w:r w:rsidR="005730E2" w:rsidRPr="005730E2">
        <w:rPr>
          <w:rFonts w:asciiTheme="minorHAnsi" w:hAnsiTheme="minorHAnsi" w:cstheme="minorHAnsi"/>
        </w:rPr>
        <w:t xml:space="preserve">and the patient’s </w:t>
      </w:r>
      <w:r w:rsidR="005730E2">
        <w:rPr>
          <w:rFonts w:asciiTheme="minorHAnsi" w:hAnsiTheme="minorHAnsi" w:cstheme="minorHAnsi"/>
        </w:rPr>
        <w:t xml:space="preserve">main </w:t>
      </w:r>
      <w:r w:rsidR="005730E2" w:rsidRPr="005730E2">
        <w:rPr>
          <w:rFonts w:asciiTheme="minorHAnsi" w:hAnsiTheme="minorHAnsi" w:cstheme="minorHAnsi"/>
        </w:rPr>
        <w:t xml:space="preserve">dental </w:t>
      </w:r>
      <w:r w:rsidR="005730E2">
        <w:rPr>
          <w:rFonts w:asciiTheme="minorHAnsi" w:hAnsiTheme="minorHAnsi" w:cstheme="minorHAnsi"/>
        </w:rPr>
        <w:t>home</w:t>
      </w:r>
      <w:r w:rsidR="007602E9">
        <w:rPr>
          <w:rFonts w:asciiTheme="minorHAnsi" w:hAnsiTheme="minorHAnsi" w:cstheme="minorHAnsi"/>
        </w:rPr>
        <w:t xml:space="preserve"> is seamless</w:t>
      </w:r>
      <w:r w:rsidR="00C5167A">
        <w:rPr>
          <w:rFonts w:asciiTheme="minorHAnsi" w:hAnsiTheme="minorHAnsi" w:cstheme="minorHAnsi"/>
        </w:rPr>
        <w:t xml:space="preserve">.  </w:t>
      </w:r>
      <w:r w:rsidR="005730E2">
        <w:rPr>
          <w:rFonts w:asciiTheme="minorHAnsi" w:hAnsiTheme="minorHAnsi" w:cstheme="minorHAnsi"/>
        </w:rPr>
        <w:t>Dentists refer patients to the Applicant because they are a trusted partner for specialty care.</w:t>
      </w:r>
      <w:r w:rsidR="00C5167A">
        <w:rPr>
          <w:rFonts w:asciiTheme="minorHAnsi" w:hAnsiTheme="minorHAnsi" w:cstheme="minorHAnsi"/>
        </w:rPr>
        <w:t xml:space="preserve"> The Applicant deploys the same </w:t>
      </w:r>
      <w:r w:rsidR="007602E9">
        <w:rPr>
          <w:rFonts w:asciiTheme="minorHAnsi" w:hAnsiTheme="minorHAnsi" w:cstheme="minorHAnsi"/>
        </w:rPr>
        <w:t xml:space="preserve">successful, efficient </w:t>
      </w:r>
      <w:r w:rsidR="00C5167A">
        <w:rPr>
          <w:rFonts w:asciiTheme="minorHAnsi" w:hAnsiTheme="minorHAnsi" w:cstheme="minorHAnsi"/>
        </w:rPr>
        <w:t xml:space="preserve">model at all its ASCs.  The interaction with the Applicant starts with the referral from the patient’s main dental home.  </w:t>
      </w:r>
      <w:r w:rsidR="005730E2">
        <w:rPr>
          <w:rFonts w:asciiTheme="minorHAnsi" w:hAnsiTheme="minorHAnsi" w:cstheme="minorHAnsi"/>
        </w:rPr>
        <w:t>There are many ways to make a referral</w:t>
      </w:r>
      <w:r w:rsidR="00C5167A">
        <w:rPr>
          <w:rFonts w:asciiTheme="minorHAnsi" w:hAnsiTheme="minorHAnsi" w:cstheme="minorHAnsi"/>
        </w:rPr>
        <w:t xml:space="preserve"> </w:t>
      </w:r>
      <w:r w:rsidR="005730E2">
        <w:rPr>
          <w:rFonts w:asciiTheme="minorHAnsi" w:hAnsiTheme="minorHAnsi" w:cstheme="minorHAnsi"/>
        </w:rPr>
        <w:t>- through the Applicant’s website, a custom referral link, faxed referral form or a phone call.</w:t>
      </w:r>
      <w:r w:rsidR="00C5167A">
        <w:rPr>
          <w:rFonts w:asciiTheme="minorHAnsi" w:hAnsiTheme="minorHAnsi" w:cstheme="minorHAnsi"/>
        </w:rPr>
        <w:t xml:space="preserve">  </w:t>
      </w:r>
      <w:r w:rsidR="005730E2">
        <w:rPr>
          <w:rFonts w:asciiTheme="minorHAnsi" w:hAnsiTheme="minorHAnsi" w:cstheme="minorHAnsi"/>
        </w:rPr>
        <w:t xml:space="preserve">Within 24 hours of the referral, </w:t>
      </w:r>
      <w:r w:rsidR="00C5167A">
        <w:rPr>
          <w:rFonts w:asciiTheme="minorHAnsi" w:hAnsiTheme="minorHAnsi" w:cstheme="minorHAnsi"/>
        </w:rPr>
        <w:t>the Applicant contacts the</w:t>
      </w:r>
      <w:r w:rsidR="005730E2">
        <w:rPr>
          <w:rFonts w:asciiTheme="minorHAnsi" w:hAnsiTheme="minorHAnsi" w:cstheme="minorHAnsi"/>
        </w:rPr>
        <w:t xml:space="preserve"> referred patient and schedules a pre-treatment exam that is done by dentists in an affiliated practice in the same complex </w:t>
      </w:r>
      <w:r w:rsidR="007602E9">
        <w:rPr>
          <w:rFonts w:asciiTheme="minorHAnsi" w:hAnsiTheme="minorHAnsi" w:cstheme="minorHAnsi"/>
        </w:rPr>
        <w:t>to ensure</w:t>
      </w:r>
      <w:r w:rsidR="005730E2">
        <w:rPr>
          <w:rFonts w:asciiTheme="minorHAnsi" w:hAnsiTheme="minorHAnsi" w:cstheme="minorHAnsi"/>
        </w:rPr>
        <w:t xml:space="preserve"> that the High Acuity Dental Surgery is medically necessary</w:t>
      </w:r>
      <w:r w:rsidR="00C5167A">
        <w:rPr>
          <w:rFonts w:asciiTheme="minorHAnsi" w:hAnsiTheme="minorHAnsi" w:cstheme="minorHAnsi"/>
        </w:rPr>
        <w:t>.  At the pre-treatment exam, the treating dentist will establish a treatment plan and schedule the surgery</w:t>
      </w:r>
      <w:r w:rsidR="005730E2">
        <w:rPr>
          <w:rFonts w:asciiTheme="minorHAnsi" w:hAnsiTheme="minorHAnsi" w:cstheme="minorHAnsi"/>
        </w:rPr>
        <w:t>.</w:t>
      </w:r>
      <w:r w:rsidR="00C5167A">
        <w:rPr>
          <w:rFonts w:asciiTheme="minorHAnsi" w:hAnsiTheme="minorHAnsi" w:cstheme="minorHAnsi"/>
        </w:rPr>
        <w:t xml:space="preserve">  The pre-treatment exam is </w:t>
      </w:r>
      <w:r w:rsidR="007602E9">
        <w:rPr>
          <w:rFonts w:asciiTheme="minorHAnsi" w:hAnsiTheme="minorHAnsi" w:cstheme="minorHAnsi"/>
        </w:rPr>
        <w:t xml:space="preserve">an </w:t>
      </w:r>
      <w:r w:rsidR="00C5167A">
        <w:rPr>
          <w:rFonts w:asciiTheme="minorHAnsi" w:hAnsiTheme="minorHAnsi" w:cstheme="minorHAnsi"/>
        </w:rPr>
        <w:t>important</w:t>
      </w:r>
      <w:r w:rsidR="007602E9">
        <w:rPr>
          <w:rFonts w:asciiTheme="minorHAnsi" w:hAnsiTheme="minorHAnsi" w:cstheme="minorHAnsi"/>
        </w:rPr>
        <w:t xml:space="preserve"> step in the overall process,</w:t>
      </w:r>
      <w:r w:rsidR="00C5167A">
        <w:rPr>
          <w:rFonts w:asciiTheme="minorHAnsi" w:hAnsiTheme="minorHAnsi" w:cstheme="minorHAnsi"/>
        </w:rPr>
        <w:t xml:space="preserve"> as approximately 15</w:t>
      </w:r>
      <w:r w:rsidR="00CC1FB5" w:rsidRPr="00CC1FB5">
        <w:rPr>
          <w:rFonts w:asciiTheme="minorHAnsi" w:hAnsiTheme="minorHAnsi" w:cstheme="minorHAnsi"/>
          <w:szCs w:val="24"/>
        </w:rPr>
        <w:t xml:space="preserve"> </w:t>
      </w:r>
      <w:r w:rsidR="00CC1FB5">
        <w:rPr>
          <w:rFonts w:asciiTheme="minorHAnsi" w:hAnsiTheme="minorHAnsi" w:cstheme="minorHAnsi"/>
          <w:szCs w:val="24"/>
        </w:rPr>
        <w:t>percent</w:t>
      </w:r>
      <w:r w:rsidR="00C5167A">
        <w:rPr>
          <w:rFonts w:asciiTheme="minorHAnsi" w:hAnsiTheme="minorHAnsi" w:cstheme="minorHAnsi"/>
        </w:rPr>
        <w:t xml:space="preserve"> of patients are </w:t>
      </w:r>
      <w:r w:rsidR="007602E9">
        <w:rPr>
          <w:rFonts w:asciiTheme="minorHAnsi" w:hAnsiTheme="minorHAnsi" w:cstheme="minorHAnsi"/>
        </w:rPr>
        <w:t xml:space="preserve">ultimately </w:t>
      </w:r>
      <w:r w:rsidR="00C5167A">
        <w:rPr>
          <w:rFonts w:asciiTheme="minorHAnsi" w:hAnsiTheme="minorHAnsi" w:cstheme="minorHAnsi"/>
        </w:rPr>
        <w:t>turned away</w:t>
      </w:r>
      <w:r w:rsidR="002D0280">
        <w:rPr>
          <w:rFonts w:asciiTheme="minorHAnsi" w:hAnsiTheme="minorHAnsi" w:cstheme="minorHAnsi"/>
        </w:rPr>
        <w:t xml:space="preserve"> because the dentist determines general anesthesia is unnecessary and the case could safely be performed without anesthesia or</w:t>
      </w:r>
      <w:r w:rsidR="00C5167A">
        <w:rPr>
          <w:rFonts w:asciiTheme="minorHAnsi" w:hAnsiTheme="minorHAnsi" w:cstheme="minorHAnsi"/>
        </w:rPr>
        <w:t xml:space="preserve"> due to factors that could </w:t>
      </w:r>
      <w:r w:rsidR="007602E9">
        <w:rPr>
          <w:rFonts w:asciiTheme="minorHAnsi" w:hAnsiTheme="minorHAnsi" w:cstheme="minorHAnsi"/>
        </w:rPr>
        <w:t xml:space="preserve">potentially </w:t>
      </w:r>
      <w:r w:rsidR="00C5167A">
        <w:rPr>
          <w:rFonts w:asciiTheme="minorHAnsi" w:hAnsiTheme="minorHAnsi" w:cstheme="minorHAnsi"/>
        </w:rPr>
        <w:t>complicate general anesthesia</w:t>
      </w:r>
      <w:r w:rsidR="007602E9">
        <w:rPr>
          <w:rFonts w:asciiTheme="minorHAnsi" w:hAnsiTheme="minorHAnsi" w:cstheme="minorHAnsi"/>
        </w:rPr>
        <w:t xml:space="preserve"> </w:t>
      </w:r>
      <w:r w:rsidR="002D0280">
        <w:rPr>
          <w:rFonts w:asciiTheme="minorHAnsi" w:hAnsiTheme="minorHAnsi" w:cstheme="minorHAnsi"/>
        </w:rPr>
        <w:t>where</w:t>
      </w:r>
      <w:r w:rsidR="007602E9">
        <w:rPr>
          <w:rFonts w:asciiTheme="minorHAnsi" w:hAnsiTheme="minorHAnsi" w:cstheme="minorHAnsi"/>
        </w:rPr>
        <w:t xml:space="preserve"> the dentist determines that the patient</w:t>
      </w:r>
      <w:r w:rsidR="00C5167A">
        <w:rPr>
          <w:rFonts w:asciiTheme="minorHAnsi" w:hAnsiTheme="minorHAnsi" w:cstheme="minorHAnsi"/>
        </w:rPr>
        <w:t xml:space="preserve"> would be better served receiving their care in an HOPD.  </w:t>
      </w:r>
      <w:r w:rsidR="005730E2">
        <w:rPr>
          <w:rFonts w:asciiTheme="minorHAnsi" w:hAnsiTheme="minorHAnsi" w:cstheme="minorHAnsi"/>
        </w:rPr>
        <w:t xml:space="preserve">On the day of the surgery, the patient is treated at the </w:t>
      </w:r>
      <w:r w:rsidR="00166B35">
        <w:rPr>
          <w:rFonts w:asciiTheme="minorHAnsi" w:hAnsiTheme="minorHAnsi" w:cstheme="minorHAnsi"/>
        </w:rPr>
        <w:t xml:space="preserve">ASC </w:t>
      </w:r>
      <w:r w:rsidR="00C5167A">
        <w:rPr>
          <w:rFonts w:asciiTheme="minorHAnsi" w:hAnsiTheme="minorHAnsi" w:cstheme="minorHAnsi"/>
        </w:rPr>
        <w:t xml:space="preserve">by experienced and caring professionals in a pediatric focused, accredited facility.  </w:t>
      </w:r>
      <w:r w:rsidR="005730E2">
        <w:rPr>
          <w:rFonts w:asciiTheme="minorHAnsi" w:hAnsiTheme="minorHAnsi" w:cstheme="minorHAnsi"/>
        </w:rPr>
        <w:t xml:space="preserve">After </w:t>
      </w:r>
      <w:r w:rsidR="00C5167A">
        <w:rPr>
          <w:rFonts w:asciiTheme="minorHAnsi" w:hAnsiTheme="minorHAnsi" w:cstheme="minorHAnsi"/>
        </w:rPr>
        <w:t>the surgery, p</w:t>
      </w:r>
      <w:r w:rsidR="005730E2">
        <w:rPr>
          <w:rFonts w:asciiTheme="minorHAnsi" w:hAnsiTheme="minorHAnsi" w:cstheme="minorHAnsi"/>
        </w:rPr>
        <w:t xml:space="preserve">atients are sent back to their main dental home.  A detailed package of post-treatment information is </w:t>
      </w:r>
      <w:proofErr w:type="gramStart"/>
      <w:r w:rsidR="005730E2">
        <w:rPr>
          <w:rFonts w:asciiTheme="minorHAnsi" w:hAnsiTheme="minorHAnsi" w:cstheme="minorHAnsi"/>
        </w:rPr>
        <w:t>delivered</w:t>
      </w:r>
      <w:proofErr w:type="gramEnd"/>
      <w:r w:rsidR="005730E2">
        <w:rPr>
          <w:rFonts w:asciiTheme="minorHAnsi" w:hAnsiTheme="minorHAnsi" w:cstheme="minorHAnsi"/>
        </w:rPr>
        <w:t xml:space="preserve"> the patient’s main dental home shortly after their surgery.  The </w:t>
      </w:r>
      <w:r w:rsidR="00C5167A">
        <w:rPr>
          <w:rFonts w:asciiTheme="minorHAnsi" w:hAnsiTheme="minorHAnsi" w:cstheme="minorHAnsi"/>
        </w:rPr>
        <w:t>Applicant’s ASCs and its affiliated dentists</w:t>
      </w:r>
      <w:r w:rsidR="00D114A5">
        <w:rPr>
          <w:rFonts w:asciiTheme="minorHAnsi" w:hAnsiTheme="minorHAnsi" w:cstheme="minorHAnsi"/>
        </w:rPr>
        <w:t xml:space="preserve"> doing the surgeries</w:t>
      </w:r>
      <w:r w:rsidR="00C5167A">
        <w:rPr>
          <w:rFonts w:asciiTheme="minorHAnsi" w:hAnsiTheme="minorHAnsi" w:cstheme="minorHAnsi"/>
        </w:rPr>
        <w:t xml:space="preserve"> do not </w:t>
      </w:r>
      <w:r w:rsidR="005730E2">
        <w:rPr>
          <w:rFonts w:asciiTheme="minorHAnsi" w:hAnsiTheme="minorHAnsi" w:cstheme="minorHAnsi"/>
        </w:rPr>
        <w:t xml:space="preserve">provide ongoing care to referred patients. </w:t>
      </w:r>
      <w:r w:rsidR="00C5167A">
        <w:rPr>
          <w:rFonts w:asciiTheme="minorHAnsi" w:hAnsiTheme="minorHAnsi" w:cstheme="minorHAnsi"/>
        </w:rPr>
        <w:t xml:space="preserve">  Each ASC’s Chief Dental Officer and Chief Medical Officer oversee monthly chart reviews to ensure that appropriate documentation and care. </w:t>
      </w:r>
    </w:p>
    <w:p w14:paraId="783DCF28" w14:textId="77777777" w:rsidR="0016507F" w:rsidRPr="007A45EA" w:rsidRDefault="00C34AF8" w:rsidP="00CE3D35">
      <w:pPr>
        <w:pStyle w:val="Heading3"/>
      </w:pPr>
      <w:r w:rsidRPr="007A45EA">
        <w:t xml:space="preserve">F1.d </w:t>
      </w:r>
      <w:r w:rsidR="0016507F" w:rsidRPr="007A45EA">
        <w:t>Consultation with Government Agencies</w:t>
      </w:r>
    </w:p>
    <w:p w14:paraId="6E231B39" w14:textId="68C8BE6A" w:rsidR="00754BDA" w:rsidRPr="007A45EA" w:rsidRDefault="00C34AF8" w:rsidP="00770FE6">
      <w:pPr>
        <w:jc w:val="both"/>
        <w:rPr>
          <w:rFonts w:asciiTheme="minorHAnsi" w:hAnsiTheme="minorHAnsi" w:cstheme="minorHAnsi"/>
          <w:b/>
          <w:szCs w:val="24"/>
        </w:rPr>
      </w:pPr>
      <w:r w:rsidRPr="007A45EA">
        <w:rPr>
          <w:rFonts w:asciiTheme="minorHAnsi" w:hAnsiTheme="minorHAnsi" w:cstheme="minorHAnsi"/>
          <w:b/>
          <w:szCs w:val="24"/>
        </w:rPr>
        <w:t>Provide evidence of consultation, both prior to and after the Filing Date, with all Government Agencies with relevant licensure, certification, or other regulatory oversight of the Applicant or the Proposed Project.</w:t>
      </w:r>
    </w:p>
    <w:p w14:paraId="44FB8F31" w14:textId="1D51C4EB" w:rsidR="0038080F" w:rsidRDefault="00C34AF8" w:rsidP="00770FE6">
      <w:pPr>
        <w:autoSpaceDE w:val="0"/>
        <w:autoSpaceDN w:val="0"/>
        <w:adjustRightInd w:val="0"/>
        <w:spacing w:after="0"/>
        <w:jc w:val="both"/>
        <w:rPr>
          <w:rFonts w:asciiTheme="minorHAnsi" w:hAnsiTheme="minorHAnsi" w:cstheme="minorHAnsi"/>
          <w:szCs w:val="24"/>
        </w:rPr>
      </w:pPr>
      <w:r w:rsidRPr="007A45EA">
        <w:rPr>
          <w:rFonts w:asciiTheme="minorHAnsi" w:hAnsiTheme="minorHAnsi" w:cstheme="minorHAnsi"/>
          <w:szCs w:val="24"/>
        </w:rPr>
        <w:t>The Applicant and its representatives have had discussions with the Department of Public Health Determination of Need Program</w:t>
      </w:r>
      <w:r w:rsidR="007C1A3B">
        <w:rPr>
          <w:rFonts w:asciiTheme="minorHAnsi" w:hAnsiTheme="minorHAnsi" w:cstheme="minorHAnsi"/>
          <w:szCs w:val="24"/>
        </w:rPr>
        <w:t xml:space="preserve">, </w:t>
      </w:r>
      <w:r w:rsidRPr="007A45EA">
        <w:rPr>
          <w:rFonts w:asciiTheme="minorHAnsi" w:hAnsiTheme="minorHAnsi" w:cstheme="minorHAnsi"/>
          <w:szCs w:val="24"/>
        </w:rPr>
        <w:t>the Health Policy Commission</w:t>
      </w:r>
      <w:r w:rsidR="007C1A3B">
        <w:rPr>
          <w:rFonts w:asciiTheme="minorHAnsi" w:hAnsiTheme="minorHAnsi" w:cstheme="minorHAnsi"/>
          <w:szCs w:val="24"/>
        </w:rPr>
        <w:t xml:space="preserve"> and MassHealth, including Samantha Jordan, the MassHealth Dental Director.</w:t>
      </w:r>
    </w:p>
    <w:p w14:paraId="27668171" w14:textId="77777777" w:rsidR="007C1A3B" w:rsidRDefault="007C1A3B" w:rsidP="00770FE6">
      <w:pPr>
        <w:autoSpaceDE w:val="0"/>
        <w:autoSpaceDN w:val="0"/>
        <w:adjustRightInd w:val="0"/>
        <w:spacing w:after="0" w:line="240" w:lineRule="auto"/>
        <w:jc w:val="both"/>
        <w:rPr>
          <w:rFonts w:asciiTheme="minorHAnsi" w:hAnsiTheme="minorHAnsi" w:cstheme="minorHAnsi"/>
          <w:b/>
          <w:szCs w:val="24"/>
        </w:rPr>
      </w:pPr>
    </w:p>
    <w:p w14:paraId="527A7D97" w14:textId="77777777" w:rsidR="0016507F" w:rsidRPr="007A45EA" w:rsidRDefault="00C34AF8" w:rsidP="00CE3D35">
      <w:pPr>
        <w:pStyle w:val="Heading3"/>
      </w:pPr>
      <w:r w:rsidRPr="007A45EA">
        <w:t>F1.e.i Process for Determining Need/Evidence of Community Engagemen</w:t>
      </w:r>
      <w:r w:rsidR="0016507F" w:rsidRPr="007A45EA">
        <w:t>t</w:t>
      </w:r>
    </w:p>
    <w:p w14:paraId="3734F33E" w14:textId="37BD127A" w:rsidR="00754BDA" w:rsidRPr="007A45EA" w:rsidRDefault="00C34AF8" w:rsidP="00770FE6">
      <w:pPr>
        <w:autoSpaceDE w:val="0"/>
        <w:autoSpaceDN w:val="0"/>
        <w:adjustRightInd w:val="0"/>
        <w:spacing w:after="0" w:line="240" w:lineRule="auto"/>
        <w:jc w:val="both"/>
        <w:rPr>
          <w:rFonts w:asciiTheme="minorHAnsi" w:hAnsiTheme="minorHAnsi" w:cstheme="minorHAnsi"/>
          <w:b/>
          <w:szCs w:val="24"/>
        </w:rPr>
      </w:pPr>
      <w:r w:rsidRPr="007A45EA">
        <w:rPr>
          <w:rFonts w:asciiTheme="minorHAnsi" w:hAnsiTheme="minorHAnsi" w:cstheme="minorHAnsi"/>
          <w:b/>
          <w:szCs w:val="24"/>
        </w:rPr>
        <w:t xml:space="preserve">For assistance in responding to this portion of the Application, Applicant is encouraged to review </w:t>
      </w:r>
      <w:r w:rsidRPr="007A45EA">
        <w:rPr>
          <w:rFonts w:asciiTheme="minorHAnsi" w:hAnsiTheme="minorHAnsi" w:cstheme="minorHAnsi"/>
          <w:b/>
          <w:i/>
          <w:iCs/>
          <w:szCs w:val="24"/>
        </w:rPr>
        <w:t>Community Engagement Standards for Community Health Planning Guideline</w:t>
      </w:r>
      <w:r w:rsidRPr="007A45EA">
        <w:rPr>
          <w:rFonts w:asciiTheme="minorHAnsi" w:hAnsiTheme="minorHAnsi" w:cstheme="minorHAnsi"/>
          <w:b/>
          <w:szCs w:val="24"/>
        </w:rPr>
        <w:t>. With</w:t>
      </w:r>
      <w:r w:rsidR="0016507F" w:rsidRPr="007A45EA">
        <w:rPr>
          <w:rFonts w:asciiTheme="minorHAnsi" w:hAnsiTheme="minorHAnsi" w:cstheme="minorHAnsi"/>
          <w:b/>
          <w:szCs w:val="24"/>
        </w:rPr>
        <w:t xml:space="preserve"> </w:t>
      </w:r>
      <w:r w:rsidRPr="007A45EA">
        <w:rPr>
          <w:rFonts w:asciiTheme="minorHAnsi" w:hAnsiTheme="minorHAnsi" w:cstheme="minorHAnsi"/>
          <w:b/>
          <w:szCs w:val="24"/>
        </w:rPr>
        <w:lastRenderedPageBreak/>
        <w:t>respect to the existing Patient Panel, please describe the process through which Applicant determined the need for the Proposed Project.</w:t>
      </w:r>
    </w:p>
    <w:p w14:paraId="05646A3E" w14:textId="4DD727BB" w:rsidR="00754BDA" w:rsidRPr="007A45EA" w:rsidRDefault="00754BDA" w:rsidP="00770FE6">
      <w:pPr>
        <w:autoSpaceDE w:val="0"/>
        <w:autoSpaceDN w:val="0"/>
        <w:adjustRightInd w:val="0"/>
        <w:spacing w:after="0" w:line="240" w:lineRule="auto"/>
        <w:jc w:val="both"/>
        <w:rPr>
          <w:rFonts w:asciiTheme="minorHAnsi" w:hAnsiTheme="minorHAnsi" w:cstheme="minorHAnsi"/>
          <w:b/>
          <w:szCs w:val="24"/>
        </w:rPr>
      </w:pPr>
    </w:p>
    <w:p w14:paraId="79F74ED6" w14:textId="1A49028D" w:rsidR="00285CF5" w:rsidRDefault="00285CF5" w:rsidP="00285CF5">
      <w:pPr>
        <w:jc w:val="both"/>
        <w:rPr>
          <w:rFonts w:asciiTheme="minorHAnsi" w:hAnsiTheme="minorHAnsi" w:cstheme="minorHAnsi"/>
          <w:szCs w:val="24"/>
        </w:rPr>
      </w:pPr>
      <w:r w:rsidRPr="00814ED7">
        <w:rPr>
          <w:rFonts w:asciiTheme="minorHAnsi" w:hAnsiTheme="minorHAnsi" w:cstheme="minorHAnsi"/>
          <w:szCs w:val="24"/>
        </w:rPr>
        <w:t xml:space="preserve">In addition to relying on the data described throughout this </w:t>
      </w:r>
      <w:r>
        <w:rPr>
          <w:rFonts w:asciiTheme="minorHAnsi" w:hAnsiTheme="minorHAnsi" w:cstheme="minorHAnsi"/>
          <w:szCs w:val="24"/>
        </w:rPr>
        <w:t>A</w:t>
      </w:r>
      <w:r w:rsidRPr="00814ED7">
        <w:rPr>
          <w:rFonts w:asciiTheme="minorHAnsi" w:hAnsiTheme="minorHAnsi" w:cstheme="minorHAnsi"/>
          <w:szCs w:val="24"/>
        </w:rPr>
        <w:t xml:space="preserve">pplication that demonstrates the need for the Proposed Project, the Applicant also engaged the community to </w:t>
      </w:r>
      <w:r w:rsidR="007602E9">
        <w:rPr>
          <w:rFonts w:asciiTheme="minorHAnsi" w:hAnsiTheme="minorHAnsi" w:cstheme="minorHAnsi"/>
          <w:szCs w:val="24"/>
        </w:rPr>
        <w:t>gain</w:t>
      </w:r>
      <w:r w:rsidR="007602E9" w:rsidRPr="00814ED7">
        <w:rPr>
          <w:rFonts w:asciiTheme="minorHAnsi" w:hAnsiTheme="minorHAnsi" w:cstheme="minorHAnsi"/>
          <w:szCs w:val="24"/>
        </w:rPr>
        <w:t xml:space="preserve"> </w:t>
      </w:r>
      <w:r w:rsidRPr="00814ED7">
        <w:rPr>
          <w:rFonts w:asciiTheme="minorHAnsi" w:hAnsiTheme="minorHAnsi" w:cstheme="minorHAnsi"/>
          <w:szCs w:val="24"/>
        </w:rPr>
        <w:t>feedback regarding the Proposed Project</w:t>
      </w:r>
      <w:r>
        <w:rPr>
          <w:rFonts w:asciiTheme="minorHAnsi" w:hAnsiTheme="minorHAnsi" w:cstheme="minorHAnsi"/>
          <w:szCs w:val="24"/>
        </w:rPr>
        <w:t>.</w:t>
      </w:r>
      <w:r w:rsidR="001F68CF">
        <w:rPr>
          <w:rFonts w:asciiTheme="minorHAnsi" w:hAnsiTheme="minorHAnsi" w:cstheme="minorHAnsi"/>
          <w:szCs w:val="24"/>
        </w:rPr>
        <w:t xml:space="preserve">  </w:t>
      </w:r>
    </w:p>
    <w:p w14:paraId="700ACBD7" w14:textId="562F7ED7" w:rsidR="001F68CF" w:rsidRDefault="001F68CF" w:rsidP="00285CF5">
      <w:pPr>
        <w:jc w:val="both"/>
        <w:rPr>
          <w:rFonts w:asciiTheme="minorHAnsi" w:hAnsiTheme="minorHAnsi" w:cstheme="minorHAnsi"/>
          <w:szCs w:val="24"/>
        </w:rPr>
      </w:pPr>
      <w:r>
        <w:rPr>
          <w:rFonts w:asciiTheme="minorHAnsi" w:hAnsiTheme="minorHAnsi" w:cstheme="minorHAnsi"/>
          <w:szCs w:val="24"/>
        </w:rPr>
        <w:t>In considering the Proposed Project</w:t>
      </w:r>
      <w:r w:rsidR="00274344">
        <w:rPr>
          <w:rFonts w:asciiTheme="minorHAnsi" w:hAnsiTheme="minorHAnsi" w:cstheme="minorHAnsi"/>
          <w:szCs w:val="24"/>
        </w:rPr>
        <w:t xml:space="preserve"> prior to entering into an agreement with Seller</w:t>
      </w:r>
      <w:r>
        <w:rPr>
          <w:rFonts w:asciiTheme="minorHAnsi" w:hAnsiTheme="minorHAnsi" w:cstheme="minorHAnsi"/>
          <w:szCs w:val="24"/>
        </w:rPr>
        <w:t>, the Applicant engaged in a comprehensive market study.   The Applicant contacted 89 dental offices</w:t>
      </w:r>
      <w:r w:rsidR="00366626">
        <w:rPr>
          <w:rFonts w:asciiTheme="minorHAnsi" w:hAnsiTheme="minorHAnsi" w:cstheme="minorHAnsi"/>
          <w:szCs w:val="24"/>
        </w:rPr>
        <w:t>, including</w:t>
      </w:r>
      <w:r w:rsidR="00453DCF">
        <w:rPr>
          <w:rFonts w:asciiTheme="minorHAnsi" w:hAnsiTheme="minorHAnsi" w:cstheme="minorHAnsi"/>
          <w:szCs w:val="24"/>
        </w:rPr>
        <w:t xml:space="preserve"> 9</w:t>
      </w:r>
      <w:r w:rsidR="00366626">
        <w:rPr>
          <w:rFonts w:asciiTheme="minorHAnsi" w:hAnsiTheme="minorHAnsi" w:cstheme="minorHAnsi"/>
          <w:szCs w:val="24"/>
        </w:rPr>
        <w:t xml:space="preserve"> FQHCs,</w:t>
      </w:r>
      <w:r>
        <w:rPr>
          <w:rFonts w:asciiTheme="minorHAnsi" w:hAnsiTheme="minorHAnsi" w:cstheme="minorHAnsi"/>
          <w:szCs w:val="24"/>
        </w:rPr>
        <w:t xml:space="preserve"> to discuss the need for the services.   The overall feedback was that there is both limited access and long-wait times for High Acuity Dental S</w:t>
      </w:r>
      <w:r w:rsidR="004B4CCC">
        <w:rPr>
          <w:rFonts w:asciiTheme="minorHAnsi" w:hAnsiTheme="minorHAnsi" w:cstheme="minorHAnsi"/>
          <w:szCs w:val="24"/>
        </w:rPr>
        <w:t>urgerie</w:t>
      </w:r>
      <w:r>
        <w:rPr>
          <w:rFonts w:asciiTheme="minorHAnsi" w:hAnsiTheme="minorHAnsi" w:cstheme="minorHAnsi"/>
          <w:szCs w:val="24"/>
        </w:rPr>
        <w:t>s</w:t>
      </w:r>
      <w:r w:rsidR="00353131">
        <w:rPr>
          <w:rFonts w:asciiTheme="minorHAnsi" w:hAnsiTheme="minorHAnsi" w:cstheme="minorHAnsi"/>
          <w:szCs w:val="24"/>
        </w:rPr>
        <w:t xml:space="preserve"> throughout the system, and there was </w:t>
      </w:r>
      <w:proofErr w:type="gramStart"/>
      <w:r w:rsidR="00353131">
        <w:rPr>
          <w:rFonts w:asciiTheme="minorHAnsi" w:hAnsiTheme="minorHAnsi" w:cstheme="minorHAnsi"/>
          <w:szCs w:val="24"/>
        </w:rPr>
        <w:t>a general consensus</w:t>
      </w:r>
      <w:proofErr w:type="gramEnd"/>
      <w:r w:rsidR="00353131">
        <w:rPr>
          <w:rFonts w:asciiTheme="minorHAnsi" w:hAnsiTheme="minorHAnsi" w:cstheme="minorHAnsi"/>
          <w:szCs w:val="24"/>
        </w:rPr>
        <w:t xml:space="preserve"> that the</w:t>
      </w:r>
      <w:r w:rsidR="00166B35">
        <w:rPr>
          <w:rFonts w:asciiTheme="minorHAnsi" w:hAnsiTheme="minorHAnsi" w:cstheme="minorHAnsi"/>
          <w:szCs w:val="24"/>
        </w:rPr>
        <w:t xml:space="preserve"> </w:t>
      </w:r>
      <w:r>
        <w:rPr>
          <w:rFonts w:asciiTheme="minorHAnsi" w:hAnsiTheme="minorHAnsi" w:cstheme="minorHAnsi"/>
          <w:szCs w:val="24"/>
        </w:rPr>
        <w:t xml:space="preserve">Applicant’s services would improve access to </w:t>
      </w:r>
      <w:r w:rsidR="00E45702">
        <w:rPr>
          <w:rFonts w:asciiTheme="minorHAnsi" w:hAnsiTheme="minorHAnsi" w:cstheme="minorHAnsi"/>
          <w:szCs w:val="24"/>
        </w:rPr>
        <w:t>High Acuity Dental Surgeries</w:t>
      </w:r>
      <w:r>
        <w:rPr>
          <w:rFonts w:asciiTheme="minorHAnsi" w:hAnsiTheme="minorHAnsi" w:cstheme="minorHAnsi"/>
          <w:szCs w:val="24"/>
        </w:rPr>
        <w:t xml:space="preserve"> in the Commonwealth. </w:t>
      </w:r>
    </w:p>
    <w:p w14:paraId="3CBEA957" w14:textId="623F87C8" w:rsidR="003C46BC" w:rsidRDefault="00353131" w:rsidP="00B46147">
      <w:pPr>
        <w:jc w:val="both"/>
        <w:rPr>
          <w:rFonts w:asciiTheme="minorHAnsi" w:hAnsiTheme="minorHAnsi" w:cstheme="minorHAnsi"/>
          <w:szCs w:val="24"/>
        </w:rPr>
      </w:pPr>
      <w:r>
        <w:rPr>
          <w:rFonts w:asciiTheme="minorHAnsi" w:hAnsiTheme="minorHAnsi" w:cstheme="minorHAnsi"/>
          <w:szCs w:val="24"/>
        </w:rPr>
        <w:t>Leaders from the Applicant held an open</w:t>
      </w:r>
      <w:r w:rsidR="00166B35">
        <w:rPr>
          <w:rFonts w:asciiTheme="minorHAnsi" w:hAnsiTheme="minorHAnsi" w:cstheme="minorHAnsi"/>
          <w:szCs w:val="24"/>
        </w:rPr>
        <w:t xml:space="preserve"> virtual</w:t>
      </w:r>
      <w:r>
        <w:rPr>
          <w:rFonts w:asciiTheme="minorHAnsi" w:hAnsiTheme="minorHAnsi" w:cstheme="minorHAnsi"/>
          <w:szCs w:val="24"/>
        </w:rPr>
        <w:t xml:space="preserve"> presentation about the Proposed Project via </w:t>
      </w:r>
      <w:r w:rsidR="00B46147">
        <w:rPr>
          <w:rFonts w:asciiTheme="minorHAnsi" w:hAnsiTheme="minorHAnsi" w:cstheme="minorHAnsi"/>
          <w:szCs w:val="24"/>
        </w:rPr>
        <w:t>Teams</w:t>
      </w:r>
      <w:r>
        <w:rPr>
          <w:rFonts w:asciiTheme="minorHAnsi" w:hAnsiTheme="minorHAnsi" w:cstheme="minorHAnsi"/>
          <w:szCs w:val="24"/>
        </w:rPr>
        <w:t xml:space="preserve"> </w:t>
      </w:r>
      <w:r w:rsidR="00285CF5">
        <w:rPr>
          <w:rFonts w:asciiTheme="minorHAnsi" w:hAnsiTheme="minorHAnsi" w:cstheme="minorHAnsi"/>
          <w:szCs w:val="24"/>
        </w:rPr>
        <w:t>on</w:t>
      </w:r>
      <w:r w:rsidR="002D7EC5" w:rsidRPr="00285CF5">
        <w:rPr>
          <w:rFonts w:asciiTheme="minorHAnsi" w:hAnsiTheme="minorHAnsi" w:cstheme="minorHAnsi"/>
          <w:szCs w:val="24"/>
        </w:rPr>
        <w:t xml:space="preserve"> </w:t>
      </w:r>
      <w:r w:rsidR="001F68CF">
        <w:rPr>
          <w:rFonts w:asciiTheme="minorHAnsi" w:hAnsiTheme="minorHAnsi" w:cstheme="minorHAnsi"/>
          <w:szCs w:val="24"/>
        </w:rPr>
        <w:t>May</w:t>
      </w:r>
      <w:r w:rsidR="007D1874">
        <w:rPr>
          <w:rFonts w:asciiTheme="minorHAnsi" w:hAnsiTheme="minorHAnsi" w:cstheme="minorHAnsi"/>
          <w:szCs w:val="24"/>
        </w:rPr>
        <w:t xml:space="preserve"> 28, </w:t>
      </w:r>
      <w:r w:rsidR="00285CF5" w:rsidRPr="00285CF5">
        <w:rPr>
          <w:rFonts w:asciiTheme="minorHAnsi" w:hAnsiTheme="minorHAnsi" w:cstheme="minorHAnsi"/>
          <w:szCs w:val="24"/>
        </w:rPr>
        <w:t>2026</w:t>
      </w:r>
      <w:r w:rsidR="002D7EC5" w:rsidRPr="00285CF5">
        <w:rPr>
          <w:rFonts w:asciiTheme="minorHAnsi" w:hAnsiTheme="minorHAnsi" w:cstheme="minorHAnsi"/>
          <w:szCs w:val="24"/>
        </w:rPr>
        <w:t xml:space="preserve">. </w:t>
      </w:r>
      <w:r w:rsidR="00B46147">
        <w:rPr>
          <w:rFonts w:asciiTheme="minorHAnsi" w:hAnsiTheme="minorHAnsi" w:cstheme="minorHAnsi"/>
          <w:szCs w:val="24"/>
        </w:rPr>
        <w:t xml:space="preserve"> </w:t>
      </w:r>
      <w:r w:rsidR="00285CF5">
        <w:rPr>
          <w:rFonts w:asciiTheme="minorHAnsi" w:hAnsiTheme="minorHAnsi" w:cstheme="minorHAnsi"/>
          <w:szCs w:val="24"/>
        </w:rPr>
        <w:t>Notice of th</w:t>
      </w:r>
      <w:r>
        <w:rPr>
          <w:rFonts w:asciiTheme="minorHAnsi" w:hAnsiTheme="minorHAnsi" w:cstheme="minorHAnsi"/>
          <w:szCs w:val="24"/>
        </w:rPr>
        <w:t>is</w:t>
      </w:r>
      <w:r w:rsidR="00285CF5">
        <w:rPr>
          <w:rFonts w:asciiTheme="minorHAnsi" w:hAnsiTheme="minorHAnsi" w:cstheme="minorHAnsi"/>
          <w:szCs w:val="24"/>
        </w:rPr>
        <w:t xml:space="preserve"> p</w:t>
      </w:r>
      <w:r w:rsidR="002D7EC5" w:rsidRPr="007A45EA">
        <w:rPr>
          <w:rFonts w:asciiTheme="minorHAnsi" w:hAnsiTheme="minorHAnsi" w:cstheme="minorHAnsi"/>
          <w:szCs w:val="24"/>
        </w:rPr>
        <w:t xml:space="preserve">resentation was </w:t>
      </w:r>
      <w:r w:rsidR="00B46147">
        <w:rPr>
          <w:rFonts w:asciiTheme="minorHAnsi" w:hAnsiTheme="minorHAnsi" w:cstheme="minorHAnsi"/>
          <w:szCs w:val="24"/>
        </w:rPr>
        <w:t xml:space="preserve">provided to the </w:t>
      </w:r>
      <w:r w:rsidR="001F68CF">
        <w:rPr>
          <w:rFonts w:asciiTheme="minorHAnsi" w:hAnsiTheme="minorHAnsi" w:cstheme="minorHAnsi"/>
          <w:szCs w:val="24"/>
        </w:rPr>
        <w:t xml:space="preserve">Center’s </w:t>
      </w:r>
      <w:r w:rsidR="00DE5E03">
        <w:rPr>
          <w:rFonts w:asciiTheme="minorHAnsi" w:hAnsiTheme="minorHAnsi" w:cstheme="minorHAnsi"/>
          <w:szCs w:val="24"/>
        </w:rPr>
        <w:t xml:space="preserve">current </w:t>
      </w:r>
      <w:r w:rsidR="001F68CF">
        <w:rPr>
          <w:rFonts w:asciiTheme="minorHAnsi" w:hAnsiTheme="minorHAnsi" w:cstheme="minorHAnsi"/>
          <w:szCs w:val="24"/>
        </w:rPr>
        <w:t>patients and</w:t>
      </w:r>
      <w:r w:rsidR="003C46BC" w:rsidRPr="007A45EA">
        <w:rPr>
          <w:rFonts w:asciiTheme="minorHAnsi" w:hAnsiTheme="minorHAnsi" w:cstheme="minorHAnsi"/>
          <w:szCs w:val="24"/>
        </w:rPr>
        <w:t xml:space="preserve"> staff </w:t>
      </w:r>
      <w:r w:rsidR="001F68CF">
        <w:rPr>
          <w:rFonts w:asciiTheme="minorHAnsi" w:hAnsiTheme="minorHAnsi" w:cstheme="minorHAnsi"/>
          <w:szCs w:val="24"/>
        </w:rPr>
        <w:t xml:space="preserve">as well as dental and </w:t>
      </w:r>
      <w:r w:rsidR="003C46BC" w:rsidRPr="007A45EA">
        <w:rPr>
          <w:rFonts w:asciiTheme="minorHAnsi" w:hAnsiTheme="minorHAnsi" w:cstheme="minorHAnsi"/>
          <w:szCs w:val="24"/>
        </w:rPr>
        <w:t>community partners</w:t>
      </w:r>
      <w:r w:rsidR="00B46147">
        <w:rPr>
          <w:rFonts w:asciiTheme="minorHAnsi" w:hAnsiTheme="minorHAnsi" w:cstheme="minorHAnsi"/>
          <w:szCs w:val="24"/>
        </w:rPr>
        <w:t>, including local elected officials, 18 FQHCs in its PSA</w:t>
      </w:r>
      <w:r w:rsidR="00274344">
        <w:rPr>
          <w:rFonts w:asciiTheme="minorHAnsi" w:hAnsiTheme="minorHAnsi" w:cstheme="minorHAnsi"/>
          <w:szCs w:val="24"/>
        </w:rPr>
        <w:t xml:space="preserve"> and the Massachusetts League of Community Health Centers</w:t>
      </w:r>
      <w:r w:rsidR="00B46147">
        <w:rPr>
          <w:rFonts w:asciiTheme="minorHAnsi" w:hAnsiTheme="minorHAnsi" w:cstheme="minorHAnsi"/>
          <w:szCs w:val="24"/>
        </w:rPr>
        <w:t xml:space="preserve">, The Arc of Massachusetts, Federation of Children with Special Needs, Franciscan Children’s, </w:t>
      </w:r>
      <w:r w:rsidR="00274344">
        <w:rPr>
          <w:rFonts w:asciiTheme="minorHAnsi" w:hAnsiTheme="minorHAnsi" w:cstheme="minorHAnsi"/>
          <w:szCs w:val="24"/>
        </w:rPr>
        <w:t>and Massachusetts Association of 766 Approved Private Schools (MAAPS)</w:t>
      </w:r>
      <w:r w:rsidR="003C46BC" w:rsidRPr="007A45EA">
        <w:rPr>
          <w:rFonts w:asciiTheme="minorHAnsi" w:hAnsiTheme="minorHAnsi" w:cstheme="minorHAnsi"/>
          <w:szCs w:val="24"/>
        </w:rPr>
        <w:t>.</w:t>
      </w:r>
      <w:r w:rsidR="00B46147">
        <w:rPr>
          <w:rFonts w:asciiTheme="minorHAnsi" w:hAnsiTheme="minorHAnsi" w:cstheme="minorHAnsi"/>
          <w:szCs w:val="24"/>
        </w:rPr>
        <w:t xml:space="preserve">  See </w:t>
      </w:r>
      <w:r w:rsidR="00B46147" w:rsidRPr="00B46147">
        <w:rPr>
          <w:rFonts w:asciiTheme="minorHAnsi" w:hAnsiTheme="minorHAnsi" w:cstheme="minorHAnsi"/>
          <w:szCs w:val="24"/>
          <w:u w:val="single"/>
        </w:rPr>
        <w:t>Attachment 1</w:t>
      </w:r>
      <w:r w:rsidR="00B46147">
        <w:rPr>
          <w:rFonts w:asciiTheme="minorHAnsi" w:hAnsiTheme="minorHAnsi" w:cstheme="minorHAnsi"/>
          <w:szCs w:val="24"/>
        </w:rPr>
        <w:t xml:space="preserve">.  </w:t>
      </w:r>
      <w:r w:rsidR="002D7EC5" w:rsidRPr="007A45EA">
        <w:rPr>
          <w:rFonts w:asciiTheme="minorHAnsi" w:hAnsiTheme="minorHAnsi" w:cstheme="minorHAnsi"/>
          <w:szCs w:val="24"/>
        </w:rPr>
        <w:t>The presentation reviewed the purpose of the Proposed Project, what it would mean for patients and the community</w:t>
      </w:r>
      <w:r>
        <w:rPr>
          <w:rFonts w:asciiTheme="minorHAnsi" w:hAnsiTheme="minorHAnsi" w:cstheme="minorHAnsi"/>
          <w:szCs w:val="24"/>
        </w:rPr>
        <w:t>,</w:t>
      </w:r>
      <w:r w:rsidR="002D7EC5" w:rsidRPr="007A45EA">
        <w:rPr>
          <w:rFonts w:asciiTheme="minorHAnsi" w:hAnsiTheme="minorHAnsi" w:cstheme="minorHAnsi"/>
          <w:szCs w:val="24"/>
        </w:rPr>
        <w:t xml:space="preserve"> and provided a general overview of the </w:t>
      </w:r>
      <w:r w:rsidR="00166B35">
        <w:rPr>
          <w:rFonts w:asciiTheme="minorHAnsi" w:hAnsiTheme="minorHAnsi" w:cstheme="minorHAnsi"/>
          <w:szCs w:val="24"/>
        </w:rPr>
        <w:t>Applicant’s care delivery model</w:t>
      </w:r>
      <w:r w:rsidR="002D7EC5" w:rsidRPr="007A45EA">
        <w:rPr>
          <w:rFonts w:asciiTheme="minorHAnsi" w:hAnsiTheme="minorHAnsi" w:cstheme="minorHAnsi"/>
          <w:szCs w:val="24"/>
        </w:rPr>
        <w:t xml:space="preserve">. See </w:t>
      </w:r>
      <w:r w:rsidR="007D1874" w:rsidRPr="0010514B">
        <w:rPr>
          <w:rFonts w:asciiTheme="minorHAnsi" w:hAnsiTheme="minorHAnsi" w:cstheme="minorHAnsi"/>
          <w:szCs w:val="24"/>
        </w:rPr>
        <w:t xml:space="preserve">Attachment </w:t>
      </w:r>
      <w:r w:rsidR="00B46147" w:rsidRPr="0010514B">
        <w:rPr>
          <w:rFonts w:asciiTheme="minorHAnsi" w:hAnsiTheme="minorHAnsi" w:cstheme="minorHAnsi"/>
          <w:szCs w:val="24"/>
        </w:rPr>
        <w:t>2</w:t>
      </w:r>
      <w:r w:rsidR="002D7EC5" w:rsidRPr="007A45EA">
        <w:rPr>
          <w:rFonts w:asciiTheme="minorHAnsi" w:hAnsiTheme="minorHAnsi" w:cstheme="minorHAnsi"/>
          <w:szCs w:val="24"/>
        </w:rPr>
        <w:t>.</w:t>
      </w:r>
      <w:r w:rsidR="00285CF5">
        <w:rPr>
          <w:rFonts w:asciiTheme="minorHAnsi" w:hAnsiTheme="minorHAnsi" w:cstheme="minorHAnsi"/>
          <w:szCs w:val="24"/>
        </w:rPr>
        <w:t xml:space="preserve">  </w:t>
      </w:r>
      <w:r w:rsidR="00B46147">
        <w:rPr>
          <w:rFonts w:asciiTheme="minorHAnsi" w:hAnsiTheme="minorHAnsi" w:cstheme="minorHAnsi"/>
          <w:szCs w:val="24"/>
        </w:rPr>
        <w:t xml:space="preserve"> Despite the broad outreach to the Seller’s patients and dental community and other stakeholders, no one attended the presentation.    </w:t>
      </w:r>
      <w:r w:rsidR="00B46147" w:rsidRPr="00B46147">
        <w:rPr>
          <w:rFonts w:asciiTheme="minorHAnsi" w:hAnsiTheme="minorHAnsi" w:cstheme="minorHAnsi"/>
          <w:szCs w:val="24"/>
        </w:rPr>
        <w:t>The Applicant also did not receive any written comments or</w:t>
      </w:r>
      <w:r w:rsidR="00B46147">
        <w:rPr>
          <w:rFonts w:asciiTheme="minorHAnsi" w:hAnsiTheme="minorHAnsi" w:cstheme="minorHAnsi"/>
          <w:szCs w:val="24"/>
        </w:rPr>
        <w:t xml:space="preserve"> </w:t>
      </w:r>
      <w:r w:rsidR="00B46147" w:rsidRPr="00B46147">
        <w:rPr>
          <w:rFonts w:asciiTheme="minorHAnsi" w:hAnsiTheme="minorHAnsi" w:cstheme="minorHAnsi"/>
          <w:szCs w:val="24"/>
        </w:rPr>
        <w:t>feedback</w:t>
      </w:r>
      <w:r w:rsidR="00B46147">
        <w:rPr>
          <w:rFonts w:asciiTheme="minorHAnsi" w:hAnsiTheme="minorHAnsi" w:cstheme="minorHAnsi"/>
          <w:szCs w:val="24"/>
        </w:rPr>
        <w:t>.</w:t>
      </w:r>
    </w:p>
    <w:p w14:paraId="227FA8CF" w14:textId="5C1B9B1B" w:rsidR="00285CF5" w:rsidRDefault="00274344" w:rsidP="00285CF5">
      <w:pPr>
        <w:jc w:val="both"/>
        <w:rPr>
          <w:rFonts w:asciiTheme="minorHAnsi" w:hAnsiTheme="minorHAnsi" w:cstheme="minorHAnsi"/>
          <w:szCs w:val="24"/>
        </w:rPr>
      </w:pPr>
      <w:r>
        <w:rPr>
          <w:rFonts w:asciiTheme="minorHAnsi" w:hAnsiTheme="minorHAnsi" w:cstheme="minorHAnsi"/>
          <w:szCs w:val="24"/>
        </w:rPr>
        <w:t xml:space="preserve">The Applicant also spoke with key state leaders who support the Proposed Project. </w:t>
      </w:r>
      <w:r w:rsidR="00E45702">
        <w:rPr>
          <w:rFonts w:asciiTheme="minorHAnsi" w:hAnsiTheme="minorHAnsi" w:cstheme="minorHAnsi"/>
          <w:szCs w:val="24"/>
        </w:rPr>
        <w:t xml:space="preserve"> The Applicant met with the Governor’s Chief of Staff and has support from </w:t>
      </w:r>
      <w:r w:rsidR="00C22BFB">
        <w:rPr>
          <w:rFonts w:asciiTheme="minorHAnsi" w:hAnsiTheme="minorHAnsi" w:cstheme="minorHAnsi"/>
          <w:szCs w:val="24"/>
        </w:rPr>
        <w:t xml:space="preserve">Keri Discepolo, DDS, MPH, </w:t>
      </w:r>
      <w:r w:rsidR="00453DCF">
        <w:rPr>
          <w:rFonts w:asciiTheme="minorHAnsi" w:hAnsiTheme="minorHAnsi" w:cstheme="minorHAnsi"/>
          <w:szCs w:val="24"/>
        </w:rPr>
        <w:t xml:space="preserve">the </w:t>
      </w:r>
      <w:r w:rsidR="00E45702">
        <w:rPr>
          <w:rFonts w:asciiTheme="minorHAnsi" w:hAnsiTheme="minorHAnsi" w:cstheme="minorHAnsi"/>
          <w:szCs w:val="24"/>
        </w:rPr>
        <w:t>Chair of Pediatric Dentistry at Boston University Henry M. Goldman School of Dental Medicine</w:t>
      </w:r>
      <w:r w:rsidR="00453DCF">
        <w:rPr>
          <w:rFonts w:asciiTheme="minorHAnsi" w:hAnsiTheme="minorHAnsi" w:cstheme="minorHAnsi"/>
          <w:szCs w:val="24"/>
        </w:rPr>
        <w:t xml:space="preserve">, </w:t>
      </w:r>
      <w:r w:rsidR="00F0596D">
        <w:rPr>
          <w:rFonts w:asciiTheme="minorHAnsi" w:hAnsiTheme="minorHAnsi" w:cstheme="minorHAnsi"/>
          <w:szCs w:val="24"/>
        </w:rPr>
        <w:t xml:space="preserve">Todd Grey, Chief Dental Officer at </w:t>
      </w:r>
      <w:proofErr w:type="spellStart"/>
      <w:r w:rsidR="00F0596D">
        <w:rPr>
          <w:rFonts w:asciiTheme="minorHAnsi" w:hAnsiTheme="minorHAnsi" w:cstheme="minorHAnsi"/>
          <w:szCs w:val="24"/>
        </w:rPr>
        <w:t>DentaQuest</w:t>
      </w:r>
      <w:proofErr w:type="spellEnd"/>
      <w:r w:rsidR="00F0596D">
        <w:rPr>
          <w:rFonts w:asciiTheme="minorHAnsi" w:hAnsiTheme="minorHAnsi" w:cstheme="minorHAnsi"/>
          <w:szCs w:val="24"/>
        </w:rPr>
        <w:t xml:space="preserve">, </w:t>
      </w:r>
      <w:r w:rsidR="00453DCF">
        <w:rPr>
          <w:rFonts w:asciiTheme="minorHAnsi" w:hAnsiTheme="minorHAnsi" w:cstheme="minorHAnsi"/>
          <w:szCs w:val="24"/>
        </w:rPr>
        <w:t xml:space="preserve">and </w:t>
      </w:r>
      <w:r w:rsidR="00C22BFB">
        <w:rPr>
          <w:rFonts w:asciiTheme="minorHAnsi" w:hAnsiTheme="minorHAnsi" w:cstheme="minorHAnsi"/>
          <w:szCs w:val="24"/>
        </w:rPr>
        <w:t>Brian L. Walker, an Executive Fellow at Harvard Business School and Co-Instructor of Innovating in Health Care alongside Professor Regina Herzlinger</w:t>
      </w:r>
      <w:r w:rsidR="00453DCF">
        <w:rPr>
          <w:rFonts w:asciiTheme="minorHAnsi" w:hAnsiTheme="minorHAnsi" w:cstheme="minorHAnsi"/>
          <w:szCs w:val="24"/>
        </w:rPr>
        <w:t xml:space="preserve">.  </w:t>
      </w:r>
      <w:r w:rsidR="00E45702">
        <w:rPr>
          <w:rFonts w:asciiTheme="minorHAnsi" w:hAnsiTheme="minorHAnsi" w:cstheme="minorHAnsi"/>
          <w:szCs w:val="24"/>
        </w:rPr>
        <w:t xml:space="preserve">See </w:t>
      </w:r>
      <w:r w:rsidR="007D1874" w:rsidRPr="0010514B">
        <w:rPr>
          <w:rFonts w:asciiTheme="minorHAnsi" w:hAnsiTheme="minorHAnsi" w:cstheme="minorHAnsi"/>
          <w:szCs w:val="24"/>
        </w:rPr>
        <w:t xml:space="preserve">Attachment </w:t>
      </w:r>
      <w:r w:rsidR="00B46147" w:rsidRPr="0010514B">
        <w:rPr>
          <w:rFonts w:asciiTheme="minorHAnsi" w:hAnsiTheme="minorHAnsi" w:cstheme="minorHAnsi"/>
          <w:szCs w:val="24"/>
        </w:rPr>
        <w:t>3</w:t>
      </w:r>
      <w:r w:rsidR="00E45702">
        <w:rPr>
          <w:rFonts w:asciiTheme="minorHAnsi" w:hAnsiTheme="minorHAnsi" w:cstheme="minorHAnsi"/>
          <w:szCs w:val="24"/>
        </w:rPr>
        <w:t xml:space="preserve">.   </w:t>
      </w:r>
      <w:r w:rsidR="00285CF5">
        <w:rPr>
          <w:rFonts w:asciiTheme="minorHAnsi" w:hAnsiTheme="minorHAnsi" w:cstheme="minorHAnsi"/>
          <w:szCs w:val="24"/>
        </w:rPr>
        <w:t xml:space="preserve"> </w:t>
      </w:r>
      <w:r>
        <w:rPr>
          <w:rFonts w:asciiTheme="minorHAnsi" w:hAnsiTheme="minorHAnsi" w:cstheme="minorHAnsi"/>
          <w:szCs w:val="24"/>
        </w:rPr>
        <w:t xml:space="preserve"> </w:t>
      </w:r>
      <w:r w:rsidR="00285CF5">
        <w:rPr>
          <w:rFonts w:asciiTheme="minorHAnsi" w:hAnsiTheme="minorHAnsi" w:cstheme="minorHAnsi"/>
          <w:szCs w:val="24"/>
        </w:rPr>
        <w:t xml:space="preserve"> </w:t>
      </w:r>
    </w:p>
    <w:p w14:paraId="0A45A194" w14:textId="16E02000" w:rsidR="0016507F" w:rsidRPr="0001126E" w:rsidRDefault="00C34AF8" w:rsidP="00CE3D35">
      <w:pPr>
        <w:pStyle w:val="Heading3"/>
      </w:pPr>
      <w:r w:rsidRPr="0001126E">
        <w:t>F1.</w:t>
      </w:r>
      <w:proofErr w:type="gramStart"/>
      <w:r w:rsidRPr="0001126E">
        <w:t>e.ii</w:t>
      </w:r>
      <w:proofErr w:type="gramEnd"/>
      <w:r w:rsidRPr="0001126E">
        <w:t xml:space="preserve"> </w:t>
      </w:r>
      <w:r w:rsidR="0016507F" w:rsidRPr="0001126E">
        <w:t xml:space="preserve">Community Engagement </w:t>
      </w:r>
    </w:p>
    <w:p w14:paraId="4EF08E49" w14:textId="5C2A6E89" w:rsidR="00754BDA" w:rsidRPr="007A45EA" w:rsidRDefault="00C34AF8" w:rsidP="00770FE6">
      <w:pPr>
        <w:autoSpaceDE w:val="0"/>
        <w:autoSpaceDN w:val="0"/>
        <w:adjustRightInd w:val="0"/>
        <w:spacing w:after="0" w:line="240" w:lineRule="auto"/>
        <w:jc w:val="both"/>
        <w:rPr>
          <w:rFonts w:asciiTheme="minorHAnsi" w:hAnsiTheme="minorHAnsi" w:cstheme="minorHAnsi"/>
          <w:b/>
          <w:szCs w:val="24"/>
        </w:rPr>
      </w:pPr>
      <w:r w:rsidRPr="007A45EA">
        <w:rPr>
          <w:rFonts w:asciiTheme="minorHAnsi" w:hAnsiTheme="minorHAnsi" w:cstheme="minorHAnsi"/>
          <w:b/>
          <w:szCs w:val="24"/>
        </w:rPr>
        <w:t>Please provide evidence of sound Community Engagement and consultation throughout the development of the Proposed Project. A successful Applicant will, at a minimum, describe the process whereby the “Public Health Value” of the Proposed</w:t>
      </w:r>
      <w:r w:rsidR="004C3A96" w:rsidRPr="007A45EA">
        <w:rPr>
          <w:rFonts w:asciiTheme="minorHAnsi" w:hAnsiTheme="minorHAnsi" w:cstheme="minorHAnsi"/>
          <w:b/>
          <w:szCs w:val="24"/>
        </w:rPr>
        <w:t xml:space="preserve"> </w:t>
      </w:r>
      <w:r w:rsidRPr="007A45EA">
        <w:rPr>
          <w:rFonts w:asciiTheme="minorHAnsi" w:hAnsiTheme="minorHAnsi" w:cstheme="minorHAnsi"/>
          <w:b/>
          <w:szCs w:val="24"/>
        </w:rPr>
        <w:t xml:space="preserve">Project was considered, and will describe the Community Engagement process as it occurred and is occurring currently in, at least, the following contexts: Identification of Patient Panel Need; Design/selection of </w:t>
      </w:r>
      <w:proofErr w:type="spellStart"/>
      <w:r w:rsidRPr="007A45EA">
        <w:rPr>
          <w:rFonts w:asciiTheme="minorHAnsi" w:hAnsiTheme="minorHAnsi" w:cstheme="minorHAnsi"/>
          <w:b/>
          <w:szCs w:val="24"/>
        </w:rPr>
        <w:t>DoN</w:t>
      </w:r>
      <w:proofErr w:type="spellEnd"/>
      <w:r w:rsidRPr="007A45EA">
        <w:rPr>
          <w:rFonts w:asciiTheme="minorHAnsi" w:hAnsiTheme="minorHAnsi" w:cstheme="minorHAnsi"/>
          <w:b/>
          <w:szCs w:val="24"/>
        </w:rPr>
        <w:t xml:space="preserve"> </w:t>
      </w:r>
      <w:r w:rsidRPr="007A45EA">
        <w:rPr>
          <w:rFonts w:asciiTheme="minorHAnsi" w:hAnsiTheme="minorHAnsi" w:cstheme="minorHAnsi"/>
          <w:b/>
          <w:szCs w:val="24"/>
        </w:rPr>
        <w:lastRenderedPageBreak/>
        <w:t>Project in response to “Patient Panel”</w:t>
      </w:r>
      <w:r w:rsidR="004C3A96" w:rsidRPr="007A45EA">
        <w:rPr>
          <w:rFonts w:asciiTheme="minorHAnsi" w:hAnsiTheme="minorHAnsi" w:cstheme="minorHAnsi"/>
          <w:b/>
          <w:szCs w:val="24"/>
        </w:rPr>
        <w:t xml:space="preserve"> </w:t>
      </w:r>
      <w:r w:rsidRPr="007A45EA">
        <w:rPr>
          <w:rFonts w:asciiTheme="minorHAnsi" w:hAnsiTheme="minorHAnsi" w:cstheme="minorHAnsi"/>
          <w:b/>
          <w:szCs w:val="24"/>
        </w:rPr>
        <w:t>need; and Linking the Proposed Project to “Public Health Value”.</w:t>
      </w:r>
    </w:p>
    <w:p w14:paraId="2E16C300" w14:textId="77777777" w:rsidR="004C3A96" w:rsidRPr="007A45EA" w:rsidRDefault="004C3A96" w:rsidP="00770FE6">
      <w:pPr>
        <w:autoSpaceDE w:val="0"/>
        <w:autoSpaceDN w:val="0"/>
        <w:adjustRightInd w:val="0"/>
        <w:spacing w:after="0" w:line="240" w:lineRule="auto"/>
        <w:jc w:val="both"/>
        <w:rPr>
          <w:rFonts w:asciiTheme="minorHAnsi" w:hAnsiTheme="minorHAnsi" w:cstheme="minorHAnsi"/>
          <w:b/>
          <w:szCs w:val="24"/>
        </w:rPr>
      </w:pPr>
    </w:p>
    <w:p w14:paraId="7F57CE4A" w14:textId="2638709C" w:rsidR="00BB7EF1" w:rsidRPr="007A45EA" w:rsidRDefault="003C46BC" w:rsidP="00770FE6">
      <w:pPr>
        <w:jc w:val="both"/>
        <w:rPr>
          <w:rFonts w:asciiTheme="minorHAnsi" w:hAnsiTheme="minorHAnsi" w:cstheme="minorHAnsi"/>
        </w:rPr>
      </w:pPr>
      <w:r w:rsidRPr="007A45EA">
        <w:rPr>
          <w:rFonts w:asciiTheme="minorHAnsi" w:hAnsiTheme="minorHAnsi" w:cstheme="minorHAnsi"/>
          <w:szCs w:val="24"/>
        </w:rPr>
        <w:t xml:space="preserve">To ensure sound community engagement for the Proposed Project, the Applicant took the actions described above.  </w:t>
      </w:r>
      <w:r w:rsidR="00E872E7" w:rsidRPr="007A45EA">
        <w:rPr>
          <w:rFonts w:asciiTheme="minorHAnsi" w:hAnsiTheme="minorHAnsi" w:cstheme="minorHAnsi"/>
        </w:rPr>
        <w:t xml:space="preserve"> </w:t>
      </w:r>
      <w:r w:rsidR="00C34AF8" w:rsidRPr="007A45EA">
        <w:rPr>
          <w:rFonts w:asciiTheme="minorHAnsi" w:hAnsiTheme="minorHAnsi" w:cstheme="minorHAnsi"/>
        </w:rPr>
        <w:t xml:space="preserve">Upon approval of Proposed Project, the Applicant will </w:t>
      </w:r>
      <w:r w:rsidR="001E6BDA" w:rsidRPr="007A45EA">
        <w:rPr>
          <w:rFonts w:asciiTheme="minorHAnsi" w:hAnsiTheme="minorHAnsi" w:cstheme="minorHAnsi"/>
        </w:rPr>
        <w:t>undertake a</w:t>
      </w:r>
      <w:r w:rsidRPr="007A45EA">
        <w:rPr>
          <w:rFonts w:asciiTheme="minorHAnsi" w:hAnsiTheme="minorHAnsi" w:cstheme="minorHAnsi"/>
        </w:rPr>
        <w:t xml:space="preserve"> more in-depth</w:t>
      </w:r>
      <w:r w:rsidR="001E6BDA" w:rsidRPr="007A45EA">
        <w:rPr>
          <w:rFonts w:asciiTheme="minorHAnsi" w:hAnsiTheme="minorHAnsi" w:cstheme="minorHAnsi"/>
        </w:rPr>
        <w:t xml:space="preserve"> community-wide engagement campaign, including, but not limited to, </w:t>
      </w:r>
      <w:r w:rsidR="00C34AF8" w:rsidRPr="007A45EA">
        <w:rPr>
          <w:rFonts w:asciiTheme="minorHAnsi" w:hAnsiTheme="minorHAnsi" w:cstheme="minorHAnsi"/>
        </w:rPr>
        <w:t>issu</w:t>
      </w:r>
      <w:r w:rsidR="001E6BDA" w:rsidRPr="007A45EA">
        <w:rPr>
          <w:rFonts w:asciiTheme="minorHAnsi" w:hAnsiTheme="minorHAnsi" w:cstheme="minorHAnsi"/>
        </w:rPr>
        <w:t>ing</w:t>
      </w:r>
      <w:r w:rsidR="00C34AF8" w:rsidRPr="007A45EA">
        <w:rPr>
          <w:rFonts w:asciiTheme="minorHAnsi" w:hAnsiTheme="minorHAnsi" w:cstheme="minorHAnsi"/>
        </w:rPr>
        <w:t xml:space="preserve"> press release</w:t>
      </w:r>
      <w:r w:rsidR="001E6BDA" w:rsidRPr="007A45EA">
        <w:rPr>
          <w:rFonts w:asciiTheme="minorHAnsi" w:hAnsiTheme="minorHAnsi" w:cstheme="minorHAnsi"/>
        </w:rPr>
        <w:t>s</w:t>
      </w:r>
      <w:r w:rsidR="00C34AF8" w:rsidRPr="007A45EA">
        <w:rPr>
          <w:rFonts w:asciiTheme="minorHAnsi" w:hAnsiTheme="minorHAnsi" w:cstheme="minorHAnsi"/>
        </w:rPr>
        <w:t xml:space="preserve"> to local media outlets </w:t>
      </w:r>
      <w:r w:rsidR="00C73EA6">
        <w:rPr>
          <w:rFonts w:asciiTheme="minorHAnsi" w:hAnsiTheme="minorHAnsi" w:cstheme="minorHAnsi"/>
        </w:rPr>
        <w:t>intended to</w:t>
      </w:r>
      <w:r w:rsidR="00C34AF8" w:rsidRPr="007A45EA">
        <w:rPr>
          <w:rFonts w:asciiTheme="minorHAnsi" w:hAnsiTheme="minorHAnsi" w:cstheme="minorHAnsi"/>
        </w:rPr>
        <w:t xml:space="preserve"> inform the Patient Panel and the local community</w:t>
      </w:r>
      <w:r w:rsidR="001E6BDA" w:rsidRPr="007A45EA">
        <w:rPr>
          <w:rFonts w:asciiTheme="minorHAnsi" w:hAnsiTheme="minorHAnsi" w:cstheme="minorHAnsi"/>
        </w:rPr>
        <w:t xml:space="preserve"> of the </w:t>
      </w:r>
      <w:r w:rsidR="00E15791">
        <w:rPr>
          <w:rFonts w:asciiTheme="minorHAnsi" w:hAnsiTheme="minorHAnsi" w:cstheme="minorHAnsi"/>
        </w:rPr>
        <w:t>Proposed Project</w:t>
      </w:r>
      <w:r w:rsidR="00C73EA6">
        <w:rPr>
          <w:rFonts w:asciiTheme="minorHAnsi" w:hAnsiTheme="minorHAnsi" w:cstheme="minorHAnsi"/>
        </w:rPr>
        <w:t xml:space="preserve"> and its goals</w:t>
      </w:r>
      <w:r w:rsidR="00C34AF8" w:rsidRPr="007A45EA">
        <w:rPr>
          <w:rFonts w:asciiTheme="minorHAnsi" w:hAnsiTheme="minorHAnsi" w:cstheme="minorHAnsi"/>
        </w:rPr>
        <w:t xml:space="preserve">. </w:t>
      </w:r>
      <w:r w:rsidR="006F17CE" w:rsidRPr="007A45EA">
        <w:rPr>
          <w:rFonts w:asciiTheme="minorHAnsi" w:hAnsiTheme="minorHAnsi" w:cstheme="minorHAnsi"/>
        </w:rPr>
        <w:t>The Applicant also plans to hold a gran</w:t>
      </w:r>
      <w:r w:rsidR="00D80179" w:rsidRPr="007A45EA">
        <w:rPr>
          <w:rFonts w:asciiTheme="minorHAnsi" w:hAnsiTheme="minorHAnsi" w:cstheme="minorHAnsi"/>
        </w:rPr>
        <w:t>d</w:t>
      </w:r>
      <w:r w:rsidR="006F17CE" w:rsidRPr="007A45EA">
        <w:rPr>
          <w:rFonts w:asciiTheme="minorHAnsi" w:hAnsiTheme="minorHAnsi" w:cstheme="minorHAnsi"/>
        </w:rPr>
        <w:t xml:space="preserve"> re-opening event for the community</w:t>
      </w:r>
      <w:r w:rsidR="00C73EA6">
        <w:rPr>
          <w:rFonts w:asciiTheme="minorHAnsi" w:hAnsiTheme="minorHAnsi" w:cstheme="minorHAnsi"/>
        </w:rPr>
        <w:t xml:space="preserve"> at the Center</w:t>
      </w:r>
      <w:r w:rsidR="006F17CE" w:rsidRPr="007A45EA">
        <w:rPr>
          <w:rFonts w:asciiTheme="minorHAnsi" w:hAnsiTheme="minorHAnsi" w:cstheme="minorHAnsi"/>
        </w:rPr>
        <w:t xml:space="preserve"> upon the completion of its regulatory filings.</w:t>
      </w:r>
      <w:r w:rsidR="00F25AB0" w:rsidRPr="007A45EA">
        <w:rPr>
          <w:rFonts w:asciiTheme="minorHAnsi" w:hAnsiTheme="minorHAnsi" w:cstheme="minorHAnsi"/>
        </w:rPr>
        <w:t xml:space="preserve"> </w:t>
      </w:r>
      <w:r w:rsidR="00E15791">
        <w:rPr>
          <w:rFonts w:asciiTheme="minorHAnsi" w:hAnsiTheme="minorHAnsi" w:cstheme="minorHAnsi"/>
        </w:rPr>
        <w:t xml:space="preserve"> </w:t>
      </w:r>
    </w:p>
    <w:p w14:paraId="60F6F187" w14:textId="77777777" w:rsidR="00B048E1" w:rsidRPr="007A45EA" w:rsidRDefault="00C34AF8" w:rsidP="00CE3D35">
      <w:pPr>
        <w:pStyle w:val="Heading2"/>
      </w:pPr>
      <w:r w:rsidRPr="007A45EA">
        <w:t>Factor 2: Health Priorities</w:t>
      </w:r>
    </w:p>
    <w:p w14:paraId="7C9CBC41" w14:textId="77777777" w:rsidR="00B048E1" w:rsidRDefault="00C34AF8" w:rsidP="00770FE6">
      <w:pPr>
        <w:autoSpaceDE w:val="0"/>
        <w:autoSpaceDN w:val="0"/>
        <w:adjustRightInd w:val="0"/>
        <w:spacing w:after="0" w:line="240" w:lineRule="auto"/>
        <w:jc w:val="both"/>
        <w:rPr>
          <w:rFonts w:asciiTheme="minorHAnsi" w:hAnsiTheme="minorHAnsi" w:cstheme="minorHAnsi"/>
          <w:b/>
          <w:szCs w:val="24"/>
        </w:rPr>
      </w:pPr>
      <w:r w:rsidRPr="007A45EA">
        <w:rPr>
          <w:rFonts w:asciiTheme="minorHAnsi" w:hAnsiTheme="minorHAnsi" w:cstheme="minorHAnsi"/>
          <w:b/>
          <w:szCs w:val="24"/>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31EEFC21" w14:textId="77777777" w:rsidR="00B048E1" w:rsidRPr="007A45EA" w:rsidRDefault="00B048E1" w:rsidP="00770FE6">
      <w:pPr>
        <w:autoSpaceDE w:val="0"/>
        <w:autoSpaceDN w:val="0"/>
        <w:adjustRightInd w:val="0"/>
        <w:spacing w:after="0" w:line="240" w:lineRule="auto"/>
        <w:jc w:val="both"/>
        <w:rPr>
          <w:rFonts w:asciiTheme="minorHAnsi" w:hAnsiTheme="minorHAnsi" w:cstheme="minorHAnsi"/>
          <w:b/>
          <w:szCs w:val="24"/>
        </w:rPr>
      </w:pPr>
    </w:p>
    <w:p w14:paraId="384B5BE0" w14:textId="45FAC0E6" w:rsidR="00B048E1" w:rsidRPr="0082713C" w:rsidRDefault="00C34AF8" w:rsidP="00CE3D35">
      <w:pPr>
        <w:pStyle w:val="Heading3"/>
      </w:pPr>
      <w:r w:rsidRPr="0082713C">
        <w:rPr>
          <w:rStyle w:val="Heading2Char"/>
          <w:b/>
          <w:bCs/>
        </w:rPr>
        <w:t>F2.a Cost Containment</w:t>
      </w:r>
    </w:p>
    <w:p w14:paraId="514114E4" w14:textId="77777777" w:rsidR="0016507F" w:rsidRPr="007A45EA" w:rsidRDefault="0016507F" w:rsidP="00770FE6">
      <w:pPr>
        <w:autoSpaceDE w:val="0"/>
        <w:autoSpaceDN w:val="0"/>
        <w:adjustRightInd w:val="0"/>
        <w:spacing w:after="0" w:line="240" w:lineRule="auto"/>
        <w:jc w:val="both"/>
        <w:rPr>
          <w:rFonts w:asciiTheme="minorHAnsi" w:hAnsiTheme="minorHAnsi" w:cstheme="minorHAnsi"/>
          <w:b/>
          <w:szCs w:val="24"/>
        </w:rPr>
      </w:pPr>
    </w:p>
    <w:p w14:paraId="3E106AB4" w14:textId="77777777" w:rsidR="00B048E1" w:rsidRPr="007A45EA" w:rsidRDefault="00C34AF8" w:rsidP="00770FE6">
      <w:pPr>
        <w:autoSpaceDE w:val="0"/>
        <w:autoSpaceDN w:val="0"/>
        <w:adjustRightInd w:val="0"/>
        <w:spacing w:after="0" w:line="240" w:lineRule="auto"/>
        <w:jc w:val="both"/>
        <w:rPr>
          <w:rFonts w:asciiTheme="minorHAnsi" w:hAnsiTheme="minorHAnsi" w:cstheme="minorHAnsi"/>
          <w:b/>
          <w:szCs w:val="24"/>
        </w:rPr>
      </w:pPr>
      <w:r w:rsidRPr="007A45EA">
        <w:rPr>
          <w:rFonts w:asciiTheme="minorHAnsi" w:hAnsiTheme="minorHAnsi" w:cstheme="minorHAnsi"/>
          <w:b/>
          <w:szCs w:val="24"/>
        </w:rPr>
        <w:t>Using objective data, please describe, for each new or expanded service, how the Proposed Project will meaningfully contribute to the Commonwealth's goals for cost containment.</w:t>
      </w:r>
    </w:p>
    <w:p w14:paraId="16DA5C6D" w14:textId="3BA101EF" w:rsidR="00B048E1" w:rsidRPr="007A45EA" w:rsidRDefault="00B048E1" w:rsidP="00770FE6">
      <w:pPr>
        <w:autoSpaceDE w:val="0"/>
        <w:autoSpaceDN w:val="0"/>
        <w:adjustRightInd w:val="0"/>
        <w:spacing w:after="0" w:line="240" w:lineRule="auto"/>
        <w:jc w:val="both"/>
        <w:rPr>
          <w:rFonts w:asciiTheme="minorHAnsi" w:hAnsiTheme="minorHAnsi" w:cstheme="minorHAnsi"/>
          <w:b/>
          <w:szCs w:val="24"/>
        </w:rPr>
      </w:pPr>
    </w:p>
    <w:p w14:paraId="2535971D" w14:textId="5FA57D84" w:rsidR="00AD7BAE" w:rsidRDefault="00C34AF8" w:rsidP="004855F3">
      <w:pPr>
        <w:autoSpaceDE w:val="0"/>
        <w:autoSpaceDN w:val="0"/>
        <w:adjustRightInd w:val="0"/>
        <w:spacing w:after="0"/>
        <w:jc w:val="both"/>
        <w:rPr>
          <w:rFonts w:asciiTheme="minorHAnsi" w:hAnsiTheme="minorHAnsi" w:cstheme="minorHAnsi"/>
          <w:szCs w:val="24"/>
        </w:rPr>
      </w:pPr>
      <w:r w:rsidRPr="007A45EA">
        <w:rPr>
          <w:rFonts w:asciiTheme="minorHAnsi" w:hAnsiTheme="minorHAnsi" w:cstheme="minorHAnsi"/>
          <w:szCs w:val="24"/>
        </w:rPr>
        <w:t xml:space="preserve">The Applicant </w:t>
      </w:r>
      <w:r w:rsidR="0052580A" w:rsidRPr="007A45EA">
        <w:rPr>
          <w:rFonts w:asciiTheme="minorHAnsi" w:hAnsiTheme="minorHAnsi" w:cstheme="minorHAnsi"/>
          <w:szCs w:val="24"/>
        </w:rPr>
        <w:t xml:space="preserve">plans to </w:t>
      </w:r>
      <w:r w:rsidRPr="007A45EA">
        <w:rPr>
          <w:rFonts w:asciiTheme="minorHAnsi" w:hAnsiTheme="minorHAnsi" w:cstheme="minorHAnsi"/>
          <w:szCs w:val="24"/>
        </w:rPr>
        <w:t xml:space="preserve">work in partnership with its </w:t>
      </w:r>
      <w:r w:rsidR="00772341" w:rsidRPr="007A45EA">
        <w:rPr>
          <w:rFonts w:asciiTheme="minorHAnsi" w:hAnsiTheme="minorHAnsi" w:cstheme="minorHAnsi"/>
          <w:szCs w:val="24"/>
        </w:rPr>
        <w:t xml:space="preserve">primary </w:t>
      </w:r>
      <w:r w:rsidRPr="007A45EA">
        <w:rPr>
          <w:rFonts w:asciiTheme="minorHAnsi" w:hAnsiTheme="minorHAnsi" w:cstheme="minorHAnsi"/>
          <w:szCs w:val="24"/>
        </w:rPr>
        <w:t>referral sources</w:t>
      </w:r>
      <w:r w:rsidR="00772341" w:rsidRPr="007A45EA">
        <w:rPr>
          <w:rFonts w:asciiTheme="minorHAnsi" w:hAnsiTheme="minorHAnsi" w:cstheme="minorHAnsi"/>
          <w:szCs w:val="24"/>
        </w:rPr>
        <w:t xml:space="preserve"> (</w:t>
      </w:r>
      <w:r w:rsidR="00453DCF">
        <w:rPr>
          <w:rFonts w:asciiTheme="minorHAnsi" w:hAnsiTheme="minorHAnsi" w:cstheme="minorHAnsi"/>
          <w:szCs w:val="24"/>
        </w:rPr>
        <w:t>FQHCs</w:t>
      </w:r>
      <w:r w:rsidR="00E15791">
        <w:rPr>
          <w:rFonts w:asciiTheme="minorHAnsi" w:hAnsiTheme="minorHAnsi" w:cstheme="minorHAnsi"/>
          <w:szCs w:val="24"/>
        </w:rPr>
        <w:t xml:space="preserve"> and den</w:t>
      </w:r>
      <w:r w:rsidR="002916FD">
        <w:rPr>
          <w:rFonts w:asciiTheme="minorHAnsi" w:hAnsiTheme="minorHAnsi" w:cstheme="minorHAnsi"/>
          <w:szCs w:val="24"/>
        </w:rPr>
        <w:t>tist</w:t>
      </w:r>
      <w:r w:rsidR="00E15791">
        <w:rPr>
          <w:rFonts w:asciiTheme="minorHAnsi" w:hAnsiTheme="minorHAnsi" w:cstheme="minorHAnsi"/>
          <w:szCs w:val="24"/>
        </w:rPr>
        <w:t xml:space="preserve"> offices</w:t>
      </w:r>
      <w:r w:rsidR="00772341" w:rsidRPr="007A45EA">
        <w:rPr>
          <w:rFonts w:asciiTheme="minorHAnsi" w:hAnsiTheme="minorHAnsi" w:cstheme="minorHAnsi"/>
          <w:szCs w:val="24"/>
        </w:rPr>
        <w:t>)</w:t>
      </w:r>
      <w:r w:rsidRPr="007A45EA">
        <w:rPr>
          <w:rFonts w:asciiTheme="minorHAnsi" w:hAnsiTheme="minorHAnsi" w:cstheme="minorHAnsi"/>
          <w:szCs w:val="24"/>
        </w:rPr>
        <w:t xml:space="preserve"> to ensure patients are receiving</w:t>
      </w:r>
      <w:r w:rsidR="00D1489D">
        <w:rPr>
          <w:rFonts w:asciiTheme="minorHAnsi" w:hAnsiTheme="minorHAnsi" w:cstheme="minorHAnsi"/>
          <w:szCs w:val="24"/>
        </w:rPr>
        <w:t xml:space="preserve"> timely access to</w:t>
      </w:r>
      <w:r w:rsidRPr="007A45EA">
        <w:rPr>
          <w:rFonts w:asciiTheme="minorHAnsi" w:hAnsiTheme="minorHAnsi" w:cstheme="minorHAnsi"/>
          <w:szCs w:val="24"/>
        </w:rPr>
        <w:t xml:space="preserve"> </w:t>
      </w:r>
      <w:r w:rsidR="00E45702">
        <w:rPr>
          <w:rFonts w:asciiTheme="minorHAnsi" w:hAnsiTheme="minorHAnsi" w:cstheme="minorHAnsi"/>
          <w:szCs w:val="24"/>
        </w:rPr>
        <w:t>High Acuity Dental Surgeries</w:t>
      </w:r>
      <w:r w:rsidR="006A5A1D">
        <w:rPr>
          <w:rFonts w:asciiTheme="minorHAnsi" w:hAnsiTheme="minorHAnsi" w:cstheme="minorHAnsi"/>
          <w:szCs w:val="24"/>
        </w:rPr>
        <w:t xml:space="preserve"> </w:t>
      </w:r>
      <w:r w:rsidRPr="007A45EA">
        <w:rPr>
          <w:rFonts w:asciiTheme="minorHAnsi" w:hAnsiTheme="minorHAnsi" w:cstheme="minorHAnsi"/>
          <w:szCs w:val="24"/>
        </w:rPr>
        <w:t>in the</w:t>
      </w:r>
      <w:r w:rsidR="00C73EA6">
        <w:rPr>
          <w:rFonts w:asciiTheme="minorHAnsi" w:hAnsiTheme="minorHAnsi" w:cstheme="minorHAnsi"/>
          <w:szCs w:val="24"/>
        </w:rPr>
        <w:t xml:space="preserve"> most</w:t>
      </w:r>
      <w:r w:rsidRPr="007A45EA">
        <w:rPr>
          <w:rFonts w:asciiTheme="minorHAnsi" w:hAnsiTheme="minorHAnsi" w:cstheme="minorHAnsi"/>
          <w:szCs w:val="24"/>
        </w:rPr>
        <w:t xml:space="preserve"> appropriate </w:t>
      </w:r>
      <w:r w:rsidR="00D1489D">
        <w:rPr>
          <w:rFonts w:asciiTheme="minorHAnsi" w:hAnsiTheme="minorHAnsi" w:cstheme="minorHAnsi"/>
          <w:szCs w:val="24"/>
        </w:rPr>
        <w:t xml:space="preserve">Care Setting.  As noted above, the Proposed Project will </w:t>
      </w:r>
      <w:r w:rsidR="00C73EA6">
        <w:rPr>
          <w:rFonts w:asciiTheme="minorHAnsi" w:hAnsiTheme="minorHAnsi" w:cstheme="minorHAnsi"/>
          <w:szCs w:val="24"/>
        </w:rPr>
        <w:t>provide</w:t>
      </w:r>
      <w:r w:rsidR="00166B35">
        <w:rPr>
          <w:rFonts w:asciiTheme="minorHAnsi" w:hAnsiTheme="minorHAnsi" w:cstheme="minorHAnsi"/>
          <w:szCs w:val="24"/>
        </w:rPr>
        <w:t xml:space="preserve"> </w:t>
      </w:r>
      <w:r w:rsidR="00D1489D">
        <w:rPr>
          <w:rFonts w:asciiTheme="minorHAnsi" w:hAnsiTheme="minorHAnsi" w:cstheme="minorHAnsi"/>
          <w:szCs w:val="24"/>
        </w:rPr>
        <w:t xml:space="preserve">additional capacity to the system that has historically been </w:t>
      </w:r>
      <w:r w:rsidR="00C73EA6">
        <w:rPr>
          <w:rFonts w:asciiTheme="minorHAnsi" w:hAnsiTheme="minorHAnsi" w:cstheme="minorHAnsi"/>
          <w:szCs w:val="24"/>
        </w:rPr>
        <w:t>underfunded and operating at capacity</w:t>
      </w:r>
      <w:r w:rsidR="00D1489D">
        <w:rPr>
          <w:rFonts w:asciiTheme="minorHAnsi" w:hAnsiTheme="minorHAnsi" w:cstheme="minorHAnsi"/>
          <w:szCs w:val="24"/>
        </w:rPr>
        <w:t xml:space="preserve">. </w:t>
      </w:r>
      <w:r w:rsidRPr="007A45EA">
        <w:rPr>
          <w:rFonts w:asciiTheme="minorHAnsi" w:hAnsiTheme="minorHAnsi" w:cstheme="minorHAnsi"/>
          <w:szCs w:val="24"/>
        </w:rPr>
        <w:t xml:space="preserve"> </w:t>
      </w:r>
      <w:r w:rsidR="00C22BFB">
        <w:rPr>
          <w:rFonts w:asciiTheme="minorHAnsi" w:hAnsiTheme="minorHAnsi" w:cstheme="minorHAnsi"/>
          <w:szCs w:val="24"/>
        </w:rPr>
        <w:t>T</w:t>
      </w:r>
      <w:r w:rsidR="00D1489D">
        <w:rPr>
          <w:rFonts w:asciiTheme="minorHAnsi" w:hAnsiTheme="minorHAnsi" w:cstheme="minorHAnsi"/>
          <w:szCs w:val="24"/>
        </w:rPr>
        <w:t xml:space="preserve">he High Acuity Dental Surgeries </w:t>
      </w:r>
      <w:r w:rsidR="00C73EA6">
        <w:rPr>
          <w:rFonts w:asciiTheme="minorHAnsi" w:hAnsiTheme="minorHAnsi" w:cstheme="minorHAnsi"/>
          <w:szCs w:val="24"/>
        </w:rPr>
        <w:t xml:space="preserve">that will occur </w:t>
      </w:r>
      <w:r w:rsidR="00D1489D">
        <w:rPr>
          <w:rFonts w:asciiTheme="minorHAnsi" w:hAnsiTheme="minorHAnsi" w:cstheme="minorHAnsi"/>
          <w:szCs w:val="24"/>
        </w:rPr>
        <w:t xml:space="preserve">at the Center </w:t>
      </w:r>
      <w:r w:rsidR="00B54691">
        <w:rPr>
          <w:rFonts w:asciiTheme="minorHAnsi" w:hAnsiTheme="minorHAnsi" w:cstheme="minorHAnsi"/>
          <w:szCs w:val="24"/>
        </w:rPr>
        <w:t>provide</w:t>
      </w:r>
      <w:r w:rsidR="00453DCF">
        <w:rPr>
          <w:rFonts w:asciiTheme="minorHAnsi" w:hAnsiTheme="minorHAnsi" w:cstheme="minorHAnsi"/>
          <w:szCs w:val="24"/>
        </w:rPr>
        <w:t xml:space="preserve"> a</w:t>
      </w:r>
      <w:r w:rsidR="00D1489D">
        <w:rPr>
          <w:rFonts w:asciiTheme="minorHAnsi" w:hAnsiTheme="minorHAnsi" w:cstheme="minorHAnsi"/>
          <w:szCs w:val="24"/>
        </w:rPr>
        <w:t xml:space="preserve"> lower cost alternative to HOPD</w:t>
      </w:r>
      <w:r w:rsidR="00C73EA6">
        <w:rPr>
          <w:rFonts w:asciiTheme="minorHAnsi" w:hAnsiTheme="minorHAnsi" w:cstheme="minorHAnsi"/>
          <w:szCs w:val="24"/>
        </w:rPr>
        <w:t>s</w:t>
      </w:r>
      <w:r w:rsidR="00453DCF">
        <w:rPr>
          <w:rFonts w:asciiTheme="minorHAnsi" w:hAnsiTheme="minorHAnsi" w:cstheme="minorHAnsi"/>
          <w:szCs w:val="24"/>
        </w:rPr>
        <w:t xml:space="preserve"> and dental offices where anesthesia is typically not covered by MassHealth</w:t>
      </w:r>
      <w:r w:rsidR="00D1489D">
        <w:rPr>
          <w:rFonts w:asciiTheme="minorHAnsi" w:hAnsiTheme="minorHAnsi" w:cstheme="minorHAnsi"/>
          <w:szCs w:val="24"/>
        </w:rPr>
        <w:t xml:space="preserve">.   As noted above, once the Center </w:t>
      </w:r>
      <w:proofErr w:type="gramStart"/>
      <w:r w:rsidR="00D1489D">
        <w:rPr>
          <w:rFonts w:asciiTheme="minorHAnsi" w:hAnsiTheme="minorHAnsi" w:cstheme="minorHAnsi"/>
          <w:szCs w:val="24"/>
        </w:rPr>
        <w:t>is operating</w:t>
      </w:r>
      <w:proofErr w:type="gramEnd"/>
      <w:r w:rsidR="00D1489D">
        <w:rPr>
          <w:rFonts w:asciiTheme="minorHAnsi" w:hAnsiTheme="minorHAnsi" w:cstheme="minorHAnsi"/>
          <w:szCs w:val="24"/>
        </w:rPr>
        <w:t xml:space="preserve"> at full capacity</w:t>
      </w:r>
      <w:r w:rsidR="00C73EA6">
        <w:rPr>
          <w:rFonts w:asciiTheme="minorHAnsi" w:hAnsiTheme="minorHAnsi" w:cstheme="minorHAnsi"/>
          <w:szCs w:val="24"/>
        </w:rPr>
        <w:t>,</w:t>
      </w:r>
      <w:r w:rsidR="00D1489D">
        <w:rPr>
          <w:rFonts w:asciiTheme="minorHAnsi" w:hAnsiTheme="minorHAnsi" w:cstheme="minorHAnsi"/>
          <w:szCs w:val="24"/>
        </w:rPr>
        <w:t xml:space="preserve"> it </w:t>
      </w:r>
      <w:r w:rsidR="00C73EA6">
        <w:rPr>
          <w:rFonts w:asciiTheme="minorHAnsi" w:hAnsiTheme="minorHAnsi" w:cstheme="minorHAnsi"/>
          <w:szCs w:val="24"/>
        </w:rPr>
        <w:t>will likely</w:t>
      </w:r>
      <w:r w:rsidR="00166B35">
        <w:rPr>
          <w:rFonts w:asciiTheme="minorHAnsi" w:hAnsiTheme="minorHAnsi" w:cstheme="minorHAnsi"/>
          <w:szCs w:val="24"/>
        </w:rPr>
        <w:t xml:space="preserve"> </w:t>
      </w:r>
      <w:r w:rsidR="00D1489D">
        <w:rPr>
          <w:rFonts w:asciiTheme="minorHAnsi" w:hAnsiTheme="minorHAnsi" w:cstheme="minorHAnsi"/>
          <w:szCs w:val="24"/>
        </w:rPr>
        <w:t xml:space="preserve">result in </w:t>
      </w:r>
      <w:proofErr w:type="gramStart"/>
      <w:r w:rsidR="00D1489D">
        <w:rPr>
          <w:rFonts w:asciiTheme="minorHAnsi" w:hAnsiTheme="minorHAnsi" w:cstheme="minorHAnsi"/>
          <w:szCs w:val="24"/>
        </w:rPr>
        <w:t>a cost</w:t>
      </w:r>
      <w:proofErr w:type="gramEnd"/>
      <w:r w:rsidR="00D1489D">
        <w:rPr>
          <w:rFonts w:asciiTheme="minorHAnsi" w:hAnsiTheme="minorHAnsi" w:cstheme="minorHAnsi"/>
          <w:szCs w:val="24"/>
        </w:rPr>
        <w:t xml:space="preserve"> savings of approximately $6,</w:t>
      </w:r>
      <w:r w:rsidR="00C22BFB">
        <w:rPr>
          <w:rFonts w:asciiTheme="minorHAnsi" w:hAnsiTheme="minorHAnsi" w:cstheme="minorHAnsi"/>
          <w:szCs w:val="24"/>
        </w:rPr>
        <w:t>7</w:t>
      </w:r>
      <w:r w:rsidR="00D1489D">
        <w:rPr>
          <w:rFonts w:asciiTheme="minorHAnsi" w:hAnsiTheme="minorHAnsi" w:cstheme="minorHAnsi"/>
          <w:szCs w:val="24"/>
        </w:rPr>
        <w:t>00,000 in the short term</w:t>
      </w:r>
      <w:r w:rsidR="00C73EA6">
        <w:rPr>
          <w:rFonts w:asciiTheme="minorHAnsi" w:hAnsiTheme="minorHAnsi" w:cstheme="minorHAnsi"/>
          <w:szCs w:val="24"/>
        </w:rPr>
        <w:t>, as well as</w:t>
      </w:r>
      <w:r w:rsidR="00D1489D">
        <w:rPr>
          <w:rFonts w:asciiTheme="minorHAnsi" w:hAnsiTheme="minorHAnsi" w:cstheme="minorHAnsi"/>
          <w:szCs w:val="24"/>
        </w:rPr>
        <w:t xml:space="preserve"> </w:t>
      </w:r>
      <w:r w:rsidR="00453DCF">
        <w:rPr>
          <w:rFonts w:asciiTheme="minorHAnsi" w:hAnsiTheme="minorHAnsi" w:cstheme="minorHAnsi"/>
          <w:szCs w:val="24"/>
        </w:rPr>
        <w:t>long-term</w:t>
      </w:r>
      <w:r w:rsidR="00D1489D">
        <w:rPr>
          <w:rFonts w:asciiTheme="minorHAnsi" w:hAnsiTheme="minorHAnsi" w:cstheme="minorHAnsi"/>
          <w:szCs w:val="24"/>
        </w:rPr>
        <w:t xml:space="preserve"> health care savings</w:t>
      </w:r>
      <w:r w:rsidR="00453DCF">
        <w:rPr>
          <w:rFonts w:asciiTheme="minorHAnsi" w:hAnsiTheme="minorHAnsi" w:cstheme="minorHAnsi"/>
          <w:szCs w:val="24"/>
        </w:rPr>
        <w:t xml:space="preserve"> through improvements in health outcomes</w:t>
      </w:r>
      <w:r w:rsidR="00D1489D">
        <w:rPr>
          <w:rFonts w:asciiTheme="minorHAnsi" w:hAnsiTheme="minorHAnsi" w:cstheme="minorHAnsi"/>
          <w:szCs w:val="24"/>
        </w:rPr>
        <w:t xml:space="preserve">.  </w:t>
      </w:r>
      <w:r w:rsidRPr="007A45EA">
        <w:rPr>
          <w:rFonts w:asciiTheme="minorHAnsi" w:hAnsiTheme="minorHAnsi" w:cstheme="minorHAnsi"/>
          <w:szCs w:val="24"/>
        </w:rPr>
        <w:t xml:space="preserve"> </w:t>
      </w:r>
      <w:r w:rsidR="006A5A1D">
        <w:rPr>
          <w:rFonts w:asciiTheme="minorHAnsi" w:hAnsiTheme="minorHAnsi" w:cstheme="minorHAnsi"/>
          <w:szCs w:val="24"/>
        </w:rPr>
        <w:t xml:space="preserve"> </w:t>
      </w:r>
    </w:p>
    <w:p w14:paraId="175CD8A7" w14:textId="77777777" w:rsidR="004C39E8" w:rsidRPr="007A45EA" w:rsidRDefault="004C39E8" w:rsidP="00770FE6">
      <w:pPr>
        <w:autoSpaceDE w:val="0"/>
        <w:autoSpaceDN w:val="0"/>
        <w:adjustRightInd w:val="0"/>
        <w:spacing w:after="0" w:line="240" w:lineRule="auto"/>
        <w:jc w:val="both"/>
        <w:rPr>
          <w:rFonts w:asciiTheme="minorHAnsi" w:hAnsiTheme="minorHAnsi" w:cstheme="minorHAnsi"/>
          <w:b/>
          <w:szCs w:val="24"/>
        </w:rPr>
      </w:pPr>
    </w:p>
    <w:p w14:paraId="1B461138" w14:textId="420D2E04" w:rsidR="00B048E1" w:rsidRPr="0082713C" w:rsidRDefault="00C34AF8" w:rsidP="00CE3D35">
      <w:pPr>
        <w:pStyle w:val="Heading3"/>
      </w:pPr>
      <w:r w:rsidRPr="0082713C">
        <w:rPr>
          <w:rStyle w:val="Heading2Char"/>
          <w:b/>
          <w:bCs/>
        </w:rPr>
        <w:t>F2.b Public Health Outcomes</w:t>
      </w:r>
    </w:p>
    <w:p w14:paraId="568A1D5C" w14:textId="77777777" w:rsidR="0016507F" w:rsidRPr="007A45EA" w:rsidRDefault="0016507F" w:rsidP="00770FE6">
      <w:pPr>
        <w:autoSpaceDE w:val="0"/>
        <w:autoSpaceDN w:val="0"/>
        <w:adjustRightInd w:val="0"/>
        <w:spacing w:after="0" w:line="240" w:lineRule="auto"/>
        <w:jc w:val="both"/>
        <w:rPr>
          <w:rFonts w:asciiTheme="minorHAnsi" w:hAnsiTheme="minorHAnsi" w:cstheme="minorHAnsi"/>
          <w:b/>
          <w:szCs w:val="24"/>
        </w:rPr>
      </w:pPr>
    </w:p>
    <w:p w14:paraId="6A0F644A" w14:textId="77777777" w:rsidR="00B048E1" w:rsidRDefault="00C34AF8" w:rsidP="00770FE6">
      <w:pPr>
        <w:autoSpaceDE w:val="0"/>
        <w:autoSpaceDN w:val="0"/>
        <w:adjustRightInd w:val="0"/>
        <w:spacing w:after="0" w:line="240" w:lineRule="auto"/>
        <w:jc w:val="both"/>
        <w:rPr>
          <w:rFonts w:asciiTheme="minorHAnsi" w:hAnsiTheme="minorHAnsi" w:cstheme="minorHAnsi"/>
          <w:b/>
          <w:szCs w:val="24"/>
        </w:rPr>
      </w:pPr>
      <w:r w:rsidRPr="007A45EA">
        <w:rPr>
          <w:rFonts w:asciiTheme="minorHAnsi" w:hAnsiTheme="minorHAnsi" w:cstheme="minorHAnsi"/>
          <w:b/>
          <w:szCs w:val="24"/>
        </w:rPr>
        <w:t>Describe, as relevant, for each new or expanded service, how the Proposed Project will improve public health outcomes.</w:t>
      </w:r>
    </w:p>
    <w:p w14:paraId="00B9CA3E" w14:textId="77777777" w:rsidR="00D1489D" w:rsidRDefault="00D1489D" w:rsidP="00770FE6">
      <w:pPr>
        <w:autoSpaceDE w:val="0"/>
        <w:autoSpaceDN w:val="0"/>
        <w:adjustRightInd w:val="0"/>
        <w:spacing w:after="0" w:line="240" w:lineRule="auto"/>
        <w:jc w:val="both"/>
        <w:rPr>
          <w:rFonts w:asciiTheme="minorHAnsi" w:hAnsiTheme="minorHAnsi" w:cstheme="minorHAnsi"/>
          <w:b/>
          <w:szCs w:val="24"/>
        </w:rPr>
      </w:pPr>
    </w:p>
    <w:p w14:paraId="284F6B35" w14:textId="2474F1C6" w:rsidR="00D1489D" w:rsidRDefault="00EB3102" w:rsidP="00770FE6">
      <w:pPr>
        <w:autoSpaceDE w:val="0"/>
        <w:autoSpaceDN w:val="0"/>
        <w:adjustRightInd w:val="0"/>
        <w:spacing w:after="0" w:line="240" w:lineRule="auto"/>
        <w:jc w:val="both"/>
        <w:rPr>
          <w:rFonts w:asciiTheme="minorHAnsi" w:hAnsiTheme="minorHAnsi" w:cstheme="minorHAnsi"/>
          <w:bCs/>
          <w:szCs w:val="24"/>
        </w:rPr>
      </w:pPr>
      <w:r>
        <w:rPr>
          <w:rFonts w:asciiTheme="minorHAnsi" w:hAnsiTheme="minorHAnsi" w:cstheme="minorHAnsi"/>
          <w:bCs/>
          <w:szCs w:val="24"/>
        </w:rPr>
        <w:t>As discussed throughout this application, e</w:t>
      </w:r>
      <w:r w:rsidR="00D1489D">
        <w:rPr>
          <w:rFonts w:asciiTheme="minorHAnsi" w:hAnsiTheme="minorHAnsi" w:cstheme="minorHAnsi"/>
          <w:bCs/>
          <w:szCs w:val="24"/>
        </w:rPr>
        <w:t>nsuring timely, convenient community-based access for High Acuity Dental S</w:t>
      </w:r>
      <w:r w:rsidR="004B4CCC">
        <w:rPr>
          <w:rFonts w:asciiTheme="minorHAnsi" w:hAnsiTheme="minorHAnsi" w:cstheme="minorHAnsi"/>
          <w:bCs/>
          <w:szCs w:val="24"/>
        </w:rPr>
        <w:t>urgeries</w:t>
      </w:r>
      <w:r w:rsidR="00D1489D">
        <w:rPr>
          <w:rFonts w:asciiTheme="minorHAnsi" w:hAnsiTheme="minorHAnsi" w:cstheme="minorHAnsi"/>
          <w:bCs/>
          <w:szCs w:val="24"/>
        </w:rPr>
        <w:t xml:space="preserve"> specifically designed for a pediatric and special needs MassHealth population will result in better health outcomes </w:t>
      </w:r>
      <w:r>
        <w:rPr>
          <w:rFonts w:asciiTheme="minorHAnsi" w:hAnsiTheme="minorHAnsi" w:cstheme="minorHAnsi"/>
          <w:bCs/>
          <w:szCs w:val="24"/>
        </w:rPr>
        <w:t>for</w:t>
      </w:r>
      <w:r w:rsidR="00D1489D">
        <w:rPr>
          <w:rFonts w:asciiTheme="minorHAnsi" w:hAnsiTheme="minorHAnsi" w:cstheme="minorHAnsi"/>
          <w:bCs/>
          <w:szCs w:val="24"/>
        </w:rPr>
        <w:t xml:space="preserve"> these patients.   </w:t>
      </w:r>
    </w:p>
    <w:p w14:paraId="50C82343" w14:textId="77777777" w:rsidR="00C22BFB" w:rsidRPr="00D1489D" w:rsidRDefault="00C22BFB" w:rsidP="00770FE6">
      <w:pPr>
        <w:autoSpaceDE w:val="0"/>
        <w:autoSpaceDN w:val="0"/>
        <w:adjustRightInd w:val="0"/>
        <w:spacing w:after="0" w:line="240" w:lineRule="auto"/>
        <w:jc w:val="both"/>
        <w:rPr>
          <w:rFonts w:asciiTheme="minorHAnsi" w:hAnsiTheme="minorHAnsi" w:cstheme="minorHAnsi"/>
          <w:bCs/>
          <w:szCs w:val="24"/>
        </w:rPr>
      </w:pPr>
    </w:p>
    <w:p w14:paraId="6EA032FD" w14:textId="0B9525BF" w:rsidR="00B048E1" w:rsidRPr="007A45EA" w:rsidRDefault="00C34AF8" w:rsidP="00CE3D35">
      <w:pPr>
        <w:pStyle w:val="Heading3"/>
      </w:pPr>
      <w:r w:rsidRPr="007A45EA">
        <w:t>F2.c Delivery System Transformation</w:t>
      </w:r>
    </w:p>
    <w:p w14:paraId="12D11204" w14:textId="77777777" w:rsidR="00B048E1" w:rsidRPr="007A45EA" w:rsidRDefault="00C34AF8" w:rsidP="00770FE6">
      <w:pPr>
        <w:autoSpaceDE w:val="0"/>
        <w:autoSpaceDN w:val="0"/>
        <w:adjustRightInd w:val="0"/>
        <w:spacing w:after="0" w:line="240" w:lineRule="auto"/>
        <w:jc w:val="both"/>
        <w:rPr>
          <w:rFonts w:asciiTheme="minorHAnsi" w:hAnsiTheme="minorHAnsi" w:cstheme="minorHAnsi"/>
          <w:b/>
          <w:szCs w:val="24"/>
        </w:rPr>
      </w:pPr>
      <w:r w:rsidRPr="007A45EA">
        <w:rPr>
          <w:rFonts w:asciiTheme="minorHAnsi" w:hAnsiTheme="minorHAnsi" w:cstheme="minorHAnsi"/>
          <w:b/>
          <w:szCs w:val="24"/>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724B3115" w14:textId="77777777" w:rsidR="00F13692" w:rsidRDefault="00F13692" w:rsidP="00B30DEF">
      <w:pPr>
        <w:spacing w:after="0"/>
        <w:jc w:val="both"/>
        <w:rPr>
          <w:rFonts w:asciiTheme="minorHAnsi" w:hAnsiTheme="minorHAnsi" w:cstheme="minorHAnsi"/>
          <w:szCs w:val="24"/>
        </w:rPr>
      </w:pPr>
    </w:p>
    <w:p w14:paraId="21EDB727" w14:textId="0F45B49E" w:rsidR="001F647D" w:rsidRDefault="00F13692" w:rsidP="00F13692">
      <w:pPr>
        <w:spacing w:after="0"/>
        <w:jc w:val="both"/>
        <w:rPr>
          <w:rFonts w:asciiTheme="minorHAnsi" w:hAnsiTheme="minorHAnsi" w:cstheme="minorHAnsi"/>
          <w:bCs/>
          <w:szCs w:val="24"/>
        </w:rPr>
      </w:pPr>
      <w:r w:rsidRPr="00F13692">
        <w:rPr>
          <w:rFonts w:asciiTheme="minorHAnsi" w:hAnsiTheme="minorHAnsi" w:cstheme="minorHAnsi"/>
          <w:szCs w:val="24"/>
        </w:rPr>
        <w:t>Prior to surgery, patients will be evaluated for health needs and potential safety concerns. The Applicant will utilize a Patient Assessment and Health Questionnaire</w:t>
      </w:r>
      <w:r w:rsidR="002D0280">
        <w:rPr>
          <w:rFonts w:asciiTheme="minorHAnsi" w:hAnsiTheme="minorHAnsi" w:cstheme="minorHAnsi"/>
          <w:szCs w:val="24"/>
        </w:rPr>
        <w:t xml:space="preserve"> developed to meet the unique needs of the Patient Panel and stored in </w:t>
      </w:r>
      <w:r w:rsidRPr="00F13692">
        <w:rPr>
          <w:rFonts w:asciiTheme="minorHAnsi" w:hAnsiTheme="minorHAnsi" w:cstheme="minorHAnsi"/>
          <w:szCs w:val="24"/>
        </w:rPr>
        <w:t>its EMR Vendor</w:t>
      </w:r>
      <w:r w:rsidR="002D0280">
        <w:rPr>
          <w:rFonts w:asciiTheme="minorHAnsi" w:hAnsiTheme="minorHAnsi" w:cstheme="minorHAnsi"/>
          <w:szCs w:val="24"/>
        </w:rPr>
        <w:t xml:space="preserve"> </w:t>
      </w:r>
      <w:r w:rsidRPr="00F13692">
        <w:rPr>
          <w:rFonts w:asciiTheme="minorHAnsi" w:hAnsiTheme="minorHAnsi" w:cstheme="minorHAnsi"/>
          <w:szCs w:val="24"/>
        </w:rPr>
        <w:t xml:space="preserve">(Shareables). If </w:t>
      </w:r>
      <w:r w:rsidR="00E22B92">
        <w:rPr>
          <w:rFonts w:asciiTheme="minorHAnsi" w:hAnsiTheme="minorHAnsi" w:cstheme="minorHAnsi"/>
          <w:szCs w:val="24"/>
        </w:rPr>
        <w:t xml:space="preserve">any specific </w:t>
      </w:r>
      <w:r w:rsidRPr="00F13692">
        <w:rPr>
          <w:rFonts w:asciiTheme="minorHAnsi" w:hAnsiTheme="minorHAnsi" w:cstheme="minorHAnsi"/>
          <w:szCs w:val="24"/>
        </w:rPr>
        <w:t xml:space="preserve">needs or concerns are identified, the Applicant will work with the patient's </w:t>
      </w:r>
      <w:r>
        <w:rPr>
          <w:rFonts w:asciiTheme="minorHAnsi" w:hAnsiTheme="minorHAnsi" w:cstheme="minorHAnsi"/>
          <w:szCs w:val="24"/>
        </w:rPr>
        <w:t xml:space="preserve">dental </w:t>
      </w:r>
      <w:r w:rsidRPr="00F13692">
        <w:rPr>
          <w:rFonts w:asciiTheme="minorHAnsi" w:hAnsiTheme="minorHAnsi" w:cstheme="minorHAnsi"/>
          <w:szCs w:val="24"/>
        </w:rPr>
        <w:t>surgeon to support the patient in accessing additional specialty dental services outside of the ASC's scope of practice/care. The Applicant and patients’</w:t>
      </w:r>
      <w:r>
        <w:rPr>
          <w:rFonts w:asciiTheme="minorHAnsi" w:hAnsiTheme="minorHAnsi" w:cstheme="minorHAnsi"/>
          <w:szCs w:val="24"/>
        </w:rPr>
        <w:t xml:space="preserve"> dental </w:t>
      </w:r>
      <w:r w:rsidRPr="00F13692">
        <w:rPr>
          <w:rFonts w:asciiTheme="minorHAnsi" w:hAnsiTheme="minorHAnsi" w:cstheme="minorHAnsi"/>
          <w:szCs w:val="24"/>
        </w:rPr>
        <w:t>surgeons will work to ensure that patients are linked with appropriate dental resources to address social determinant of health needs. </w:t>
      </w:r>
      <w:r>
        <w:rPr>
          <w:rFonts w:asciiTheme="minorHAnsi" w:hAnsiTheme="minorHAnsi" w:cstheme="minorHAnsi"/>
          <w:szCs w:val="24"/>
        </w:rPr>
        <w:t xml:space="preserve"> In addition, the </w:t>
      </w:r>
      <w:r w:rsidR="004546F0" w:rsidRPr="004546F0">
        <w:rPr>
          <w:rFonts w:asciiTheme="minorHAnsi" w:hAnsiTheme="minorHAnsi" w:cstheme="minorHAnsi"/>
          <w:bCs/>
          <w:szCs w:val="24"/>
        </w:rPr>
        <w:t>Applicant’s discharge planning process focuses on the</w:t>
      </w:r>
      <w:r w:rsidR="004546F0">
        <w:rPr>
          <w:rFonts w:asciiTheme="minorHAnsi" w:hAnsiTheme="minorHAnsi" w:cstheme="minorHAnsi"/>
          <w:bCs/>
          <w:szCs w:val="24"/>
        </w:rPr>
        <w:t xml:space="preserve"> </w:t>
      </w:r>
      <w:r w:rsidR="004546F0" w:rsidRPr="004546F0">
        <w:rPr>
          <w:rFonts w:asciiTheme="minorHAnsi" w:hAnsiTheme="minorHAnsi" w:cstheme="minorHAnsi"/>
          <w:bCs/>
          <w:szCs w:val="24"/>
        </w:rPr>
        <w:t xml:space="preserve">individualized goals and treatment preferences of the patient to ensure an effective transition </w:t>
      </w:r>
      <w:r w:rsidR="00E22B92">
        <w:rPr>
          <w:rFonts w:asciiTheme="minorHAnsi" w:hAnsiTheme="minorHAnsi" w:cstheme="minorHAnsi"/>
          <w:bCs/>
          <w:szCs w:val="24"/>
        </w:rPr>
        <w:t>for</w:t>
      </w:r>
      <w:r w:rsidR="004546F0">
        <w:rPr>
          <w:rFonts w:asciiTheme="minorHAnsi" w:hAnsiTheme="minorHAnsi" w:cstheme="minorHAnsi"/>
          <w:bCs/>
          <w:szCs w:val="24"/>
        </w:rPr>
        <w:t xml:space="preserve"> </w:t>
      </w:r>
      <w:r w:rsidR="004546F0" w:rsidRPr="004546F0">
        <w:rPr>
          <w:rFonts w:asciiTheme="minorHAnsi" w:hAnsiTheme="minorHAnsi" w:cstheme="minorHAnsi"/>
          <w:bCs/>
          <w:szCs w:val="24"/>
        </w:rPr>
        <w:t>the patient</w:t>
      </w:r>
      <w:r w:rsidR="00E22B92">
        <w:rPr>
          <w:rFonts w:asciiTheme="minorHAnsi" w:hAnsiTheme="minorHAnsi" w:cstheme="minorHAnsi"/>
          <w:bCs/>
          <w:szCs w:val="24"/>
        </w:rPr>
        <w:t xml:space="preserve"> and their family/caregivers</w:t>
      </w:r>
      <w:r w:rsidR="004546F0" w:rsidRPr="004546F0">
        <w:rPr>
          <w:rFonts w:asciiTheme="minorHAnsi" w:hAnsiTheme="minorHAnsi" w:cstheme="minorHAnsi"/>
          <w:bCs/>
          <w:szCs w:val="24"/>
        </w:rPr>
        <w:t xml:space="preserve"> </w:t>
      </w:r>
      <w:r w:rsidR="004546F0">
        <w:rPr>
          <w:rFonts w:asciiTheme="minorHAnsi" w:hAnsiTheme="minorHAnsi" w:cstheme="minorHAnsi"/>
          <w:bCs/>
          <w:szCs w:val="24"/>
        </w:rPr>
        <w:t xml:space="preserve">from the Center </w:t>
      </w:r>
      <w:r w:rsidR="00E22B92">
        <w:rPr>
          <w:rFonts w:asciiTheme="minorHAnsi" w:hAnsiTheme="minorHAnsi" w:cstheme="minorHAnsi"/>
          <w:bCs/>
          <w:szCs w:val="24"/>
        </w:rPr>
        <w:t xml:space="preserve">back </w:t>
      </w:r>
      <w:r w:rsidR="004546F0">
        <w:rPr>
          <w:rFonts w:asciiTheme="minorHAnsi" w:hAnsiTheme="minorHAnsi" w:cstheme="minorHAnsi"/>
          <w:bCs/>
          <w:szCs w:val="24"/>
        </w:rPr>
        <w:t xml:space="preserve">to their primary dental </w:t>
      </w:r>
      <w:r w:rsidR="00B54691">
        <w:rPr>
          <w:rFonts w:asciiTheme="minorHAnsi" w:hAnsiTheme="minorHAnsi" w:cstheme="minorHAnsi"/>
          <w:bCs/>
          <w:szCs w:val="24"/>
        </w:rPr>
        <w:t>home</w:t>
      </w:r>
      <w:r w:rsidR="00B54691" w:rsidRPr="004546F0">
        <w:rPr>
          <w:rFonts w:asciiTheme="minorHAnsi" w:hAnsiTheme="minorHAnsi" w:cstheme="minorHAnsi"/>
          <w:bCs/>
          <w:szCs w:val="24"/>
        </w:rPr>
        <w:t xml:space="preserve"> and</w:t>
      </w:r>
      <w:r w:rsidR="004546F0" w:rsidRPr="004546F0">
        <w:rPr>
          <w:rFonts w:asciiTheme="minorHAnsi" w:hAnsiTheme="minorHAnsi" w:cstheme="minorHAnsi"/>
          <w:bCs/>
          <w:szCs w:val="24"/>
        </w:rPr>
        <w:t xml:space="preserve"> reduce potential factors leading to preventable</w:t>
      </w:r>
      <w:r w:rsidR="004546F0">
        <w:rPr>
          <w:rFonts w:asciiTheme="minorHAnsi" w:hAnsiTheme="minorHAnsi" w:cstheme="minorHAnsi"/>
          <w:bCs/>
          <w:szCs w:val="24"/>
        </w:rPr>
        <w:t xml:space="preserve"> </w:t>
      </w:r>
      <w:r w:rsidR="004546F0" w:rsidRPr="004546F0">
        <w:rPr>
          <w:rFonts w:asciiTheme="minorHAnsi" w:hAnsiTheme="minorHAnsi" w:cstheme="minorHAnsi"/>
          <w:bCs/>
          <w:szCs w:val="24"/>
        </w:rPr>
        <w:t xml:space="preserve">hospital readmission. </w:t>
      </w:r>
      <w:r>
        <w:rPr>
          <w:rFonts w:asciiTheme="minorHAnsi" w:hAnsiTheme="minorHAnsi" w:cstheme="minorHAnsi"/>
          <w:bCs/>
          <w:szCs w:val="24"/>
        </w:rPr>
        <w:t xml:space="preserve"> </w:t>
      </w:r>
    </w:p>
    <w:p w14:paraId="2C9C80D9" w14:textId="62846E2C" w:rsidR="001F647D" w:rsidRPr="00AD7BAE" w:rsidRDefault="00F13692" w:rsidP="00FF3130">
      <w:pPr>
        <w:jc w:val="center"/>
        <w:rPr>
          <w:rFonts w:asciiTheme="minorHAnsi" w:hAnsiTheme="minorHAnsi" w:cstheme="minorHAnsi"/>
          <w:b/>
          <w:szCs w:val="24"/>
        </w:rPr>
      </w:pPr>
      <w:r>
        <w:rPr>
          <w:rFonts w:asciiTheme="minorHAnsi" w:hAnsiTheme="minorHAnsi" w:cstheme="minorHAnsi"/>
          <w:b/>
          <w:szCs w:val="24"/>
        </w:rPr>
        <w:br w:type="page"/>
      </w:r>
      <w:r w:rsidR="00AD7BAE" w:rsidRPr="00AD7BAE">
        <w:rPr>
          <w:rFonts w:asciiTheme="minorHAnsi" w:hAnsiTheme="minorHAnsi" w:cstheme="minorHAnsi"/>
          <w:b/>
          <w:szCs w:val="24"/>
        </w:rPr>
        <w:lastRenderedPageBreak/>
        <w:t>Exhibit 1</w:t>
      </w:r>
    </w:p>
    <w:p w14:paraId="5CDEC94B" w14:textId="358F8F5C" w:rsidR="00AD7BAE" w:rsidRPr="000826B8" w:rsidRDefault="00166B35" w:rsidP="001F647D">
      <w:pPr>
        <w:jc w:val="center"/>
        <w:rPr>
          <w:rFonts w:asciiTheme="minorHAnsi" w:hAnsiTheme="minorHAnsi" w:cstheme="minorHAnsi"/>
          <w:b/>
          <w:szCs w:val="24"/>
        </w:rPr>
      </w:pPr>
      <w:r w:rsidRPr="000826B8">
        <w:rPr>
          <w:rFonts w:asciiTheme="minorHAnsi" w:hAnsiTheme="minorHAnsi" w:cstheme="minorHAnsi"/>
          <w:b/>
          <w:szCs w:val="24"/>
        </w:rPr>
        <w:t>Applicant’s</w:t>
      </w:r>
      <w:r w:rsidR="00AD7BAE" w:rsidRPr="000826B8">
        <w:rPr>
          <w:rFonts w:asciiTheme="minorHAnsi" w:hAnsiTheme="minorHAnsi" w:cstheme="minorHAnsi"/>
          <w:b/>
          <w:szCs w:val="24"/>
        </w:rPr>
        <w:t xml:space="preserve"> Patient Population </w:t>
      </w:r>
    </w:p>
    <w:p w14:paraId="265C54EF" w14:textId="77777777" w:rsidR="000826B8" w:rsidRPr="000826B8" w:rsidRDefault="000826B8" w:rsidP="000826B8">
      <w:pPr>
        <w:numPr>
          <w:ilvl w:val="0"/>
          <w:numId w:val="31"/>
        </w:numPr>
        <w:pBdr>
          <w:top w:val="nil"/>
          <w:left w:val="nil"/>
          <w:bottom w:val="nil"/>
          <w:right w:val="nil"/>
          <w:between w:val="nil"/>
        </w:pBdr>
        <w:spacing w:after="160" w:line="259" w:lineRule="auto"/>
        <w:rPr>
          <w:rFonts w:asciiTheme="minorHAnsi" w:hAnsiTheme="minorHAnsi" w:cstheme="minorHAnsi"/>
          <w:b/>
          <w:color w:val="000000"/>
        </w:rPr>
      </w:pPr>
      <w:r w:rsidRPr="000826B8">
        <w:rPr>
          <w:rFonts w:asciiTheme="minorHAnsi" w:hAnsiTheme="minorHAnsi" w:cstheme="minorHAnsi"/>
          <w:b/>
          <w:color w:val="000000"/>
        </w:rPr>
        <w:t xml:space="preserve">Unique Patients Served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Unique Patients Served "/>
      </w:tblPr>
      <w:tblGrid>
        <w:gridCol w:w="2369"/>
        <w:gridCol w:w="2304"/>
        <w:gridCol w:w="2173"/>
        <w:gridCol w:w="2504"/>
      </w:tblGrid>
      <w:tr w:rsidR="000826B8" w:rsidRPr="000826B8" w14:paraId="2F584626" w14:textId="77777777" w:rsidTr="00E12253">
        <w:trPr>
          <w:cantSplit/>
          <w:tblHeader/>
        </w:trPr>
        <w:tc>
          <w:tcPr>
            <w:tcW w:w="1267" w:type="pct"/>
            <w:shd w:val="clear" w:color="auto" w:fill="E1EBF7" w:themeFill="text2" w:themeFillTint="1A"/>
          </w:tcPr>
          <w:p w14:paraId="3F3316D6" w14:textId="3663393C" w:rsidR="000826B8" w:rsidRPr="000826B8" w:rsidRDefault="00E12253" w:rsidP="00FD2E73">
            <w:pPr>
              <w:spacing w:after="0"/>
              <w:jc w:val="center"/>
              <w:rPr>
                <w:rFonts w:asciiTheme="minorHAnsi" w:hAnsiTheme="minorHAnsi" w:cstheme="minorHAnsi"/>
                <w:b/>
              </w:rPr>
            </w:pPr>
            <w:r>
              <w:rPr>
                <w:rFonts w:asciiTheme="minorHAnsi" w:hAnsiTheme="minorHAnsi" w:cstheme="minorHAnsi"/>
                <w:b/>
              </w:rPr>
              <w:t>n/a</w:t>
            </w:r>
          </w:p>
        </w:tc>
        <w:tc>
          <w:tcPr>
            <w:tcW w:w="1232" w:type="pct"/>
            <w:shd w:val="clear" w:color="auto" w:fill="E1EBF7" w:themeFill="text2" w:themeFillTint="1A"/>
          </w:tcPr>
          <w:p w14:paraId="25FFEA8F" w14:textId="77777777" w:rsidR="000826B8" w:rsidRPr="000826B8" w:rsidRDefault="000826B8" w:rsidP="00FD2E73">
            <w:pPr>
              <w:spacing w:after="0"/>
              <w:jc w:val="center"/>
              <w:rPr>
                <w:rFonts w:asciiTheme="minorHAnsi" w:hAnsiTheme="minorHAnsi" w:cstheme="minorHAnsi"/>
                <w:b/>
              </w:rPr>
            </w:pPr>
            <w:r w:rsidRPr="000826B8">
              <w:rPr>
                <w:rFonts w:asciiTheme="minorHAnsi" w:hAnsiTheme="minorHAnsi" w:cstheme="minorHAnsi"/>
                <w:b/>
              </w:rPr>
              <w:t>FY23</w:t>
            </w:r>
          </w:p>
        </w:tc>
        <w:tc>
          <w:tcPr>
            <w:tcW w:w="1162" w:type="pct"/>
            <w:shd w:val="clear" w:color="auto" w:fill="E1EBF7" w:themeFill="text2" w:themeFillTint="1A"/>
          </w:tcPr>
          <w:p w14:paraId="65D6291E" w14:textId="77777777" w:rsidR="000826B8" w:rsidRPr="000826B8" w:rsidRDefault="000826B8" w:rsidP="00FD2E73">
            <w:pPr>
              <w:spacing w:after="0"/>
              <w:jc w:val="center"/>
              <w:rPr>
                <w:rFonts w:asciiTheme="minorHAnsi" w:hAnsiTheme="minorHAnsi" w:cstheme="minorHAnsi"/>
                <w:b/>
              </w:rPr>
            </w:pPr>
            <w:r w:rsidRPr="000826B8">
              <w:rPr>
                <w:rFonts w:asciiTheme="minorHAnsi" w:hAnsiTheme="minorHAnsi" w:cstheme="minorHAnsi"/>
                <w:b/>
              </w:rPr>
              <w:t>FY24</w:t>
            </w:r>
          </w:p>
        </w:tc>
        <w:tc>
          <w:tcPr>
            <w:tcW w:w="1339" w:type="pct"/>
            <w:shd w:val="clear" w:color="auto" w:fill="E1EBF7" w:themeFill="text2" w:themeFillTint="1A"/>
          </w:tcPr>
          <w:p w14:paraId="63F45470" w14:textId="77777777" w:rsidR="000826B8" w:rsidRPr="000826B8" w:rsidRDefault="000826B8" w:rsidP="00FD2E73">
            <w:pPr>
              <w:spacing w:after="0"/>
              <w:jc w:val="center"/>
              <w:rPr>
                <w:rFonts w:asciiTheme="minorHAnsi" w:hAnsiTheme="minorHAnsi" w:cstheme="minorHAnsi"/>
                <w:b/>
              </w:rPr>
            </w:pPr>
            <w:r w:rsidRPr="000826B8">
              <w:rPr>
                <w:rFonts w:asciiTheme="minorHAnsi" w:hAnsiTheme="minorHAnsi" w:cstheme="minorHAnsi"/>
                <w:b/>
              </w:rPr>
              <w:t>FY25</w:t>
            </w:r>
          </w:p>
        </w:tc>
      </w:tr>
      <w:tr w:rsidR="000826B8" w:rsidRPr="000826B8" w14:paraId="3D970E81" w14:textId="77777777" w:rsidTr="00E12253">
        <w:trPr>
          <w:cantSplit/>
        </w:trPr>
        <w:tc>
          <w:tcPr>
            <w:tcW w:w="1267" w:type="pct"/>
          </w:tcPr>
          <w:p w14:paraId="6887E423" w14:textId="77777777" w:rsidR="000826B8" w:rsidRPr="000826B8" w:rsidRDefault="000826B8" w:rsidP="00FD2E73">
            <w:pPr>
              <w:spacing w:after="0"/>
              <w:rPr>
                <w:rFonts w:asciiTheme="minorHAnsi" w:hAnsiTheme="minorHAnsi" w:cstheme="minorHAnsi"/>
                <w:bCs/>
              </w:rPr>
            </w:pPr>
            <w:r w:rsidRPr="000826B8">
              <w:rPr>
                <w:rFonts w:asciiTheme="minorHAnsi" w:hAnsiTheme="minorHAnsi" w:cstheme="minorHAnsi"/>
                <w:bCs/>
              </w:rPr>
              <w:t xml:space="preserve">Total </w:t>
            </w:r>
          </w:p>
        </w:tc>
        <w:tc>
          <w:tcPr>
            <w:tcW w:w="1232" w:type="pct"/>
          </w:tcPr>
          <w:p w14:paraId="404805BB"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46,119</w:t>
            </w:r>
          </w:p>
        </w:tc>
        <w:tc>
          <w:tcPr>
            <w:tcW w:w="1162" w:type="pct"/>
            <w:vAlign w:val="bottom"/>
          </w:tcPr>
          <w:p w14:paraId="2610A9CE" w14:textId="77777777" w:rsidR="000826B8" w:rsidRPr="000826B8" w:rsidRDefault="000826B8" w:rsidP="00FD2E73">
            <w:pPr>
              <w:spacing w:after="0"/>
              <w:jc w:val="center"/>
              <w:rPr>
                <w:rFonts w:asciiTheme="minorHAnsi" w:hAnsiTheme="minorHAnsi" w:cstheme="minorHAnsi"/>
              </w:rPr>
            </w:pPr>
            <w:r w:rsidRPr="000826B8">
              <w:rPr>
                <w:rFonts w:asciiTheme="minorHAnsi" w:eastAsia="Times New Roman" w:hAnsiTheme="minorHAnsi" w:cstheme="minorHAnsi"/>
                <w:color w:val="000000"/>
              </w:rPr>
              <w:t>53,887</w:t>
            </w:r>
          </w:p>
        </w:tc>
        <w:tc>
          <w:tcPr>
            <w:tcW w:w="1339" w:type="pct"/>
            <w:vAlign w:val="bottom"/>
          </w:tcPr>
          <w:p w14:paraId="684F19A0" w14:textId="77777777" w:rsidR="000826B8" w:rsidRPr="000826B8" w:rsidRDefault="000826B8" w:rsidP="00FD2E73">
            <w:pPr>
              <w:spacing w:after="0"/>
              <w:jc w:val="center"/>
              <w:rPr>
                <w:rFonts w:asciiTheme="minorHAnsi" w:hAnsiTheme="minorHAnsi" w:cstheme="minorHAnsi"/>
              </w:rPr>
            </w:pPr>
            <w:r w:rsidRPr="000826B8">
              <w:rPr>
                <w:rFonts w:asciiTheme="minorHAnsi" w:eastAsia="Times New Roman" w:hAnsiTheme="minorHAnsi" w:cstheme="minorHAnsi"/>
                <w:color w:val="000000"/>
              </w:rPr>
              <w:t>67,400</w:t>
            </w:r>
          </w:p>
        </w:tc>
      </w:tr>
    </w:tbl>
    <w:p w14:paraId="67143C9C" w14:textId="278870DF" w:rsidR="000826B8" w:rsidRPr="00A6135E" w:rsidRDefault="000826B8" w:rsidP="000826B8">
      <w:pPr>
        <w:pBdr>
          <w:top w:val="nil"/>
          <w:left w:val="nil"/>
          <w:bottom w:val="nil"/>
          <w:right w:val="nil"/>
          <w:between w:val="nil"/>
        </w:pBdr>
        <w:spacing w:after="0"/>
        <w:rPr>
          <w:rFonts w:asciiTheme="minorHAnsi" w:hAnsiTheme="minorHAnsi" w:cstheme="minorHAnsi"/>
          <w:bCs/>
          <w:color w:val="000000"/>
          <w:szCs w:val="24"/>
        </w:rPr>
      </w:pPr>
      <w:r w:rsidRPr="00A6135E">
        <w:rPr>
          <w:rFonts w:asciiTheme="minorHAnsi" w:hAnsiTheme="minorHAnsi" w:cstheme="minorHAnsi"/>
          <w:bCs/>
          <w:color w:val="000000"/>
          <w:szCs w:val="24"/>
        </w:rPr>
        <w:t xml:space="preserve">This represents all unique patients who have visited any Blue Cloud ASC location.  This number increased each year in part because Blue Cloud added new locations.  In </w:t>
      </w:r>
      <w:r w:rsidR="004600DF" w:rsidRPr="00A6135E">
        <w:rPr>
          <w:rFonts w:asciiTheme="minorHAnsi" w:hAnsiTheme="minorHAnsi" w:cstheme="minorHAnsi"/>
          <w:bCs/>
          <w:color w:val="000000"/>
          <w:szCs w:val="24"/>
        </w:rPr>
        <w:t>C</w:t>
      </w:r>
      <w:r w:rsidRPr="00A6135E">
        <w:rPr>
          <w:rFonts w:asciiTheme="minorHAnsi" w:hAnsiTheme="minorHAnsi" w:cstheme="minorHAnsi"/>
          <w:bCs/>
          <w:color w:val="000000"/>
          <w:szCs w:val="24"/>
        </w:rPr>
        <w:t xml:space="preserve">Y2024, Blue Cloud added </w:t>
      </w:r>
      <w:r w:rsidR="004600DF" w:rsidRPr="00A6135E">
        <w:rPr>
          <w:rFonts w:asciiTheme="minorHAnsi" w:hAnsiTheme="minorHAnsi" w:cstheme="minorHAnsi"/>
          <w:bCs/>
          <w:color w:val="000000"/>
          <w:szCs w:val="24"/>
        </w:rPr>
        <w:t>5</w:t>
      </w:r>
      <w:r w:rsidRPr="00A6135E">
        <w:rPr>
          <w:rFonts w:asciiTheme="minorHAnsi" w:hAnsiTheme="minorHAnsi" w:cstheme="minorHAnsi"/>
          <w:bCs/>
          <w:color w:val="000000"/>
          <w:szCs w:val="24"/>
        </w:rPr>
        <w:t xml:space="preserve"> new ASCs.  In </w:t>
      </w:r>
      <w:r w:rsidR="004600DF" w:rsidRPr="00A6135E">
        <w:rPr>
          <w:rFonts w:asciiTheme="minorHAnsi" w:hAnsiTheme="minorHAnsi" w:cstheme="minorHAnsi"/>
          <w:bCs/>
          <w:color w:val="000000"/>
          <w:szCs w:val="24"/>
        </w:rPr>
        <w:t>C</w:t>
      </w:r>
      <w:r w:rsidRPr="00A6135E">
        <w:rPr>
          <w:rFonts w:asciiTheme="minorHAnsi" w:hAnsiTheme="minorHAnsi" w:cstheme="minorHAnsi"/>
          <w:bCs/>
          <w:color w:val="000000"/>
          <w:szCs w:val="24"/>
        </w:rPr>
        <w:t xml:space="preserve">Y2025, Blue Cloud added </w:t>
      </w:r>
      <w:r w:rsidR="004600DF" w:rsidRPr="00A6135E">
        <w:rPr>
          <w:rFonts w:asciiTheme="minorHAnsi" w:hAnsiTheme="minorHAnsi" w:cstheme="minorHAnsi"/>
          <w:bCs/>
          <w:color w:val="000000"/>
          <w:szCs w:val="24"/>
        </w:rPr>
        <w:t>5</w:t>
      </w:r>
      <w:r w:rsidRPr="00A6135E">
        <w:rPr>
          <w:rFonts w:asciiTheme="minorHAnsi" w:hAnsiTheme="minorHAnsi" w:cstheme="minorHAnsi"/>
          <w:bCs/>
          <w:color w:val="000000"/>
          <w:szCs w:val="24"/>
        </w:rPr>
        <w:t xml:space="preserve"> new ASCs.</w:t>
      </w:r>
    </w:p>
    <w:p w14:paraId="0E660D08" w14:textId="77777777" w:rsidR="000826B8" w:rsidRPr="000826B8" w:rsidRDefault="000826B8" w:rsidP="000826B8">
      <w:pPr>
        <w:pBdr>
          <w:top w:val="nil"/>
          <w:left w:val="nil"/>
          <w:bottom w:val="nil"/>
          <w:right w:val="nil"/>
          <w:between w:val="nil"/>
        </w:pBdr>
        <w:spacing w:line="259" w:lineRule="auto"/>
        <w:ind w:left="720"/>
        <w:rPr>
          <w:rFonts w:asciiTheme="minorHAnsi" w:hAnsiTheme="minorHAnsi" w:cstheme="minorHAnsi"/>
          <w:b/>
          <w:color w:val="000000"/>
        </w:rPr>
      </w:pPr>
    </w:p>
    <w:p w14:paraId="7C0EB602" w14:textId="77777777" w:rsidR="000826B8" w:rsidRPr="000826B8" w:rsidRDefault="000826B8" w:rsidP="000826B8">
      <w:pPr>
        <w:numPr>
          <w:ilvl w:val="0"/>
          <w:numId w:val="31"/>
        </w:numPr>
        <w:pBdr>
          <w:top w:val="nil"/>
          <w:left w:val="nil"/>
          <w:bottom w:val="nil"/>
          <w:right w:val="nil"/>
          <w:between w:val="nil"/>
        </w:pBdr>
        <w:spacing w:after="160" w:line="259" w:lineRule="auto"/>
        <w:rPr>
          <w:rFonts w:asciiTheme="minorHAnsi" w:hAnsiTheme="minorHAnsi" w:cstheme="minorHAnsi"/>
          <w:b/>
          <w:color w:val="000000"/>
        </w:rPr>
      </w:pPr>
      <w:r w:rsidRPr="000826B8">
        <w:rPr>
          <w:rFonts w:asciiTheme="minorHAnsi" w:hAnsiTheme="minorHAnsi" w:cstheme="minorHAnsi"/>
          <w:b/>
          <w:color w:val="000000"/>
        </w:rPr>
        <w:t xml:space="preserve">Gender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Gender"/>
      </w:tblPr>
      <w:tblGrid>
        <w:gridCol w:w="2355"/>
        <w:gridCol w:w="1237"/>
        <w:gridCol w:w="1064"/>
        <w:gridCol w:w="1105"/>
        <w:gridCol w:w="1109"/>
        <w:gridCol w:w="1240"/>
        <w:gridCol w:w="1240"/>
      </w:tblGrid>
      <w:tr w:rsidR="000826B8" w:rsidRPr="000826B8" w14:paraId="1BEB94BF" w14:textId="77777777" w:rsidTr="00E1361C">
        <w:trPr>
          <w:cantSplit/>
          <w:trHeight w:val="332"/>
          <w:tblHeader/>
        </w:trPr>
        <w:tc>
          <w:tcPr>
            <w:tcW w:w="1259" w:type="pct"/>
            <w:shd w:val="clear" w:color="auto" w:fill="E1EBF7" w:themeFill="text2" w:themeFillTint="1A"/>
          </w:tcPr>
          <w:p w14:paraId="1FB1BB3F" w14:textId="3882198A" w:rsidR="000826B8" w:rsidRPr="000826B8" w:rsidRDefault="00A86C61" w:rsidP="00A86C61">
            <w:pPr>
              <w:spacing w:after="0"/>
              <w:jc w:val="center"/>
              <w:rPr>
                <w:rFonts w:asciiTheme="minorHAnsi" w:hAnsiTheme="minorHAnsi" w:cstheme="minorHAnsi"/>
                <w:b/>
                <w:bCs/>
              </w:rPr>
            </w:pPr>
            <w:r w:rsidRPr="000826B8">
              <w:rPr>
                <w:rFonts w:asciiTheme="minorHAnsi" w:hAnsiTheme="minorHAnsi" w:cstheme="minorHAnsi"/>
                <w:b/>
              </w:rPr>
              <w:t>Gender</w:t>
            </w:r>
          </w:p>
        </w:tc>
        <w:tc>
          <w:tcPr>
            <w:tcW w:w="661" w:type="pct"/>
            <w:shd w:val="clear" w:color="auto" w:fill="E1EBF7" w:themeFill="text2" w:themeFillTint="1A"/>
          </w:tcPr>
          <w:p w14:paraId="00691DA2" w14:textId="4E19D958" w:rsidR="000826B8" w:rsidRPr="000826B8" w:rsidRDefault="00A86C61" w:rsidP="00FD2E73">
            <w:pPr>
              <w:spacing w:after="0"/>
              <w:jc w:val="center"/>
              <w:rPr>
                <w:rFonts w:asciiTheme="minorHAnsi" w:hAnsiTheme="minorHAnsi" w:cstheme="minorHAnsi"/>
                <w:b/>
                <w:bCs/>
              </w:rPr>
            </w:pPr>
            <w:r w:rsidRPr="000826B8">
              <w:rPr>
                <w:rFonts w:asciiTheme="minorHAnsi" w:hAnsiTheme="minorHAnsi" w:cstheme="minorHAnsi"/>
                <w:b/>
              </w:rPr>
              <w:t>FY23</w:t>
            </w:r>
            <w:r>
              <w:rPr>
                <w:rFonts w:asciiTheme="minorHAnsi" w:hAnsiTheme="minorHAnsi" w:cstheme="minorHAnsi"/>
                <w:b/>
              </w:rPr>
              <w:t xml:space="preserve"> </w:t>
            </w:r>
            <w:r w:rsidR="000826B8" w:rsidRPr="000826B8">
              <w:rPr>
                <w:rFonts w:asciiTheme="minorHAnsi" w:hAnsiTheme="minorHAnsi" w:cstheme="minorHAnsi"/>
                <w:b/>
                <w:bCs/>
              </w:rPr>
              <w:t>Number</w:t>
            </w:r>
          </w:p>
        </w:tc>
        <w:tc>
          <w:tcPr>
            <w:tcW w:w="569" w:type="pct"/>
            <w:shd w:val="clear" w:color="auto" w:fill="E1EBF7" w:themeFill="text2" w:themeFillTint="1A"/>
          </w:tcPr>
          <w:p w14:paraId="5BA276BD" w14:textId="225FFB61" w:rsidR="000826B8" w:rsidRPr="000826B8" w:rsidRDefault="00A86C61" w:rsidP="00FD2E73">
            <w:pPr>
              <w:spacing w:after="0"/>
              <w:jc w:val="center"/>
              <w:rPr>
                <w:rFonts w:asciiTheme="minorHAnsi" w:hAnsiTheme="minorHAnsi" w:cstheme="minorHAnsi"/>
                <w:b/>
                <w:bCs/>
              </w:rPr>
            </w:pPr>
            <w:r w:rsidRPr="000826B8">
              <w:rPr>
                <w:rFonts w:asciiTheme="minorHAnsi" w:hAnsiTheme="minorHAnsi" w:cstheme="minorHAnsi"/>
                <w:b/>
              </w:rPr>
              <w:t>FY23</w:t>
            </w:r>
            <w:r>
              <w:rPr>
                <w:rFonts w:asciiTheme="minorHAnsi" w:hAnsiTheme="minorHAnsi" w:cstheme="minorHAnsi"/>
                <w:b/>
              </w:rPr>
              <w:t xml:space="preserve"> </w:t>
            </w:r>
            <w:r w:rsidR="000826B8" w:rsidRPr="000826B8">
              <w:rPr>
                <w:rFonts w:asciiTheme="minorHAnsi" w:hAnsiTheme="minorHAnsi" w:cstheme="minorHAnsi"/>
                <w:b/>
                <w:bCs/>
              </w:rPr>
              <w:t>Percent</w:t>
            </w:r>
          </w:p>
        </w:tc>
        <w:tc>
          <w:tcPr>
            <w:tcW w:w="591" w:type="pct"/>
            <w:shd w:val="clear" w:color="auto" w:fill="E1EBF7" w:themeFill="text2" w:themeFillTint="1A"/>
          </w:tcPr>
          <w:p w14:paraId="02B214EB" w14:textId="2DDA4A71" w:rsidR="000826B8" w:rsidRPr="000826B8" w:rsidRDefault="003F6414" w:rsidP="00FD2E73">
            <w:pPr>
              <w:spacing w:after="0"/>
              <w:jc w:val="center"/>
              <w:rPr>
                <w:rFonts w:asciiTheme="minorHAnsi" w:hAnsiTheme="minorHAnsi" w:cstheme="minorHAnsi"/>
              </w:rPr>
            </w:pPr>
            <w:r w:rsidRPr="000826B8">
              <w:rPr>
                <w:rFonts w:asciiTheme="minorHAnsi" w:hAnsiTheme="minorHAnsi" w:cstheme="minorHAnsi"/>
                <w:b/>
              </w:rPr>
              <w:t>FY24</w:t>
            </w:r>
            <w:r>
              <w:rPr>
                <w:rFonts w:asciiTheme="minorHAnsi" w:hAnsiTheme="minorHAnsi" w:cstheme="minorHAnsi"/>
                <w:b/>
              </w:rPr>
              <w:t xml:space="preserve"> </w:t>
            </w:r>
            <w:r w:rsidR="000826B8" w:rsidRPr="000826B8">
              <w:rPr>
                <w:rFonts w:asciiTheme="minorHAnsi" w:hAnsiTheme="minorHAnsi" w:cstheme="minorHAnsi"/>
                <w:b/>
                <w:bCs/>
              </w:rPr>
              <w:t>Number</w:t>
            </w:r>
          </w:p>
        </w:tc>
        <w:tc>
          <w:tcPr>
            <w:tcW w:w="593" w:type="pct"/>
            <w:shd w:val="clear" w:color="auto" w:fill="E1EBF7" w:themeFill="text2" w:themeFillTint="1A"/>
          </w:tcPr>
          <w:p w14:paraId="04D93E96" w14:textId="3F18A59D" w:rsidR="000826B8" w:rsidRPr="000826B8" w:rsidRDefault="003F6414" w:rsidP="00FD2E73">
            <w:pPr>
              <w:spacing w:after="0"/>
              <w:jc w:val="center"/>
              <w:rPr>
                <w:rFonts w:asciiTheme="minorHAnsi" w:hAnsiTheme="minorHAnsi" w:cstheme="minorHAnsi"/>
              </w:rPr>
            </w:pPr>
            <w:r w:rsidRPr="000826B8">
              <w:rPr>
                <w:rFonts w:asciiTheme="minorHAnsi" w:hAnsiTheme="minorHAnsi" w:cstheme="minorHAnsi"/>
                <w:b/>
              </w:rPr>
              <w:t>FY24</w:t>
            </w:r>
            <w:r>
              <w:rPr>
                <w:rFonts w:asciiTheme="minorHAnsi" w:hAnsiTheme="minorHAnsi" w:cstheme="minorHAnsi"/>
                <w:b/>
              </w:rPr>
              <w:t xml:space="preserve"> </w:t>
            </w:r>
            <w:r w:rsidR="000826B8" w:rsidRPr="000826B8">
              <w:rPr>
                <w:rFonts w:asciiTheme="minorHAnsi" w:hAnsiTheme="minorHAnsi" w:cstheme="minorHAnsi"/>
                <w:b/>
                <w:bCs/>
              </w:rPr>
              <w:t>Percent</w:t>
            </w:r>
          </w:p>
        </w:tc>
        <w:tc>
          <w:tcPr>
            <w:tcW w:w="663" w:type="pct"/>
            <w:shd w:val="clear" w:color="auto" w:fill="E1EBF7" w:themeFill="text2" w:themeFillTint="1A"/>
          </w:tcPr>
          <w:p w14:paraId="1D42B15A" w14:textId="0BF69732" w:rsidR="000826B8" w:rsidRPr="000826B8" w:rsidRDefault="003F6414" w:rsidP="00FD2E73">
            <w:pPr>
              <w:spacing w:after="0"/>
              <w:jc w:val="center"/>
              <w:rPr>
                <w:rFonts w:asciiTheme="minorHAnsi" w:hAnsiTheme="minorHAnsi" w:cstheme="minorHAnsi"/>
              </w:rPr>
            </w:pPr>
            <w:r w:rsidRPr="000826B8">
              <w:rPr>
                <w:rFonts w:asciiTheme="minorHAnsi" w:hAnsiTheme="minorHAnsi" w:cstheme="minorHAnsi"/>
                <w:b/>
              </w:rPr>
              <w:t>FY25</w:t>
            </w:r>
            <w:r>
              <w:rPr>
                <w:rFonts w:asciiTheme="minorHAnsi" w:hAnsiTheme="minorHAnsi" w:cstheme="minorHAnsi"/>
                <w:b/>
              </w:rPr>
              <w:t xml:space="preserve"> </w:t>
            </w:r>
            <w:r w:rsidR="000826B8" w:rsidRPr="000826B8">
              <w:rPr>
                <w:rFonts w:asciiTheme="minorHAnsi" w:hAnsiTheme="minorHAnsi" w:cstheme="minorHAnsi"/>
                <w:b/>
                <w:bCs/>
              </w:rPr>
              <w:t>Number</w:t>
            </w:r>
          </w:p>
        </w:tc>
        <w:tc>
          <w:tcPr>
            <w:tcW w:w="663" w:type="pct"/>
            <w:shd w:val="clear" w:color="auto" w:fill="E1EBF7" w:themeFill="text2" w:themeFillTint="1A"/>
          </w:tcPr>
          <w:p w14:paraId="229A7E4A" w14:textId="0BF2A017" w:rsidR="000826B8" w:rsidRPr="000826B8" w:rsidRDefault="003F6414" w:rsidP="00FD2E73">
            <w:pPr>
              <w:spacing w:after="0"/>
              <w:jc w:val="center"/>
              <w:rPr>
                <w:rFonts w:asciiTheme="minorHAnsi" w:hAnsiTheme="minorHAnsi" w:cstheme="minorHAnsi"/>
              </w:rPr>
            </w:pPr>
            <w:r w:rsidRPr="000826B8">
              <w:rPr>
                <w:rFonts w:asciiTheme="minorHAnsi" w:hAnsiTheme="minorHAnsi" w:cstheme="minorHAnsi"/>
                <w:b/>
              </w:rPr>
              <w:t>FY25</w:t>
            </w:r>
            <w:r>
              <w:rPr>
                <w:rFonts w:asciiTheme="minorHAnsi" w:hAnsiTheme="minorHAnsi" w:cstheme="minorHAnsi"/>
                <w:b/>
              </w:rPr>
              <w:t xml:space="preserve"> </w:t>
            </w:r>
            <w:r w:rsidR="000826B8" w:rsidRPr="000826B8">
              <w:rPr>
                <w:rFonts w:asciiTheme="minorHAnsi" w:hAnsiTheme="minorHAnsi" w:cstheme="minorHAnsi"/>
                <w:b/>
                <w:bCs/>
              </w:rPr>
              <w:t>Percent</w:t>
            </w:r>
          </w:p>
        </w:tc>
      </w:tr>
      <w:tr w:rsidR="000826B8" w:rsidRPr="000826B8" w14:paraId="0001A716" w14:textId="77777777" w:rsidTr="00E1361C">
        <w:trPr>
          <w:cantSplit/>
        </w:trPr>
        <w:tc>
          <w:tcPr>
            <w:tcW w:w="1259" w:type="pct"/>
          </w:tcPr>
          <w:p w14:paraId="37B61387" w14:textId="77777777" w:rsidR="000826B8" w:rsidRPr="000826B8" w:rsidRDefault="000826B8" w:rsidP="00FD2E73">
            <w:pPr>
              <w:spacing w:after="0"/>
              <w:rPr>
                <w:rFonts w:asciiTheme="minorHAnsi" w:hAnsiTheme="minorHAnsi" w:cstheme="minorHAnsi"/>
                <w:bCs/>
              </w:rPr>
            </w:pPr>
            <w:r w:rsidRPr="000826B8">
              <w:rPr>
                <w:rFonts w:asciiTheme="minorHAnsi" w:hAnsiTheme="minorHAnsi" w:cstheme="minorHAnsi"/>
                <w:bCs/>
              </w:rPr>
              <w:t>Female</w:t>
            </w:r>
          </w:p>
        </w:tc>
        <w:tc>
          <w:tcPr>
            <w:tcW w:w="661" w:type="pct"/>
            <w:vAlign w:val="bottom"/>
          </w:tcPr>
          <w:p w14:paraId="5F1803B6"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 xml:space="preserve">  20,904 </w:t>
            </w:r>
          </w:p>
        </w:tc>
        <w:tc>
          <w:tcPr>
            <w:tcW w:w="569" w:type="pct"/>
          </w:tcPr>
          <w:p w14:paraId="37534139"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45%</w:t>
            </w:r>
          </w:p>
        </w:tc>
        <w:tc>
          <w:tcPr>
            <w:tcW w:w="591" w:type="pct"/>
            <w:vAlign w:val="bottom"/>
          </w:tcPr>
          <w:p w14:paraId="0FF9F4F6"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 xml:space="preserve">  24,704 </w:t>
            </w:r>
          </w:p>
        </w:tc>
        <w:tc>
          <w:tcPr>
            <w:tcW w:w="593" w:type="pct"/>
          </w:tcPr>
          <w:p w14:paraId="03373F43"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46%</w:t>
            </w:r>
          </w:p>
        </w:tc>
        <w:tc>
          <w:tcPr>
            <w:tcW w:w="663" w:type="pct"/>
            <w:tcBorders>
              <w:top w:val="single" w:sz="4" w:space="0" w:color="auto"/>
              <w:left w:val="single" w:sz="4" w:space="0" w:color="auto"/>
              <w:bottom w:val="single" w:sz="4" w:space="0" w:color="auto"/>
              <w:right w:val="single" w:sz="4" w:space="0" w:color="auto"/>
            </w:tcBorders>
            <w:vAlign w:val="bottom"/>
          </w:tcPr>
          <w:p w14:paraId="7982A229"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 xml:space="preserve">  28,651 </w:t>
            </w:r>
          </w:p>
        </w:tc>
        <w:tc>
          <w:tcPr>
            <w:tcW w:w="663" w:type="pct"/>
          </w:tcPr>
          <w:p w14:paraId="23940146"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43%</w:t>
            </w:r>
          </w:p>
        </w:tc>
      </w:tr>
      <w:tr w:rsidR="000826B8" w:rsidRPr="000826B8" w14:paraId="783CB92A" w14:textId="77777777" w:rsidTr="00E1361C">
        <w:trPr>
          <w:cantSplit/>
        </w:trPr>
        <w:tc>
          <w:tcPr>
            <w:tcW w:w="1259" w:type="pct"/>
          </w:tcPr>
          <w:p w14:paraId="5A73A380" w14:textId="77777777" w:rsidR="000826B8" w:rsidRPr="000826B8" w:rsidRDefault="000826B8" w:rsidP="00FD2E73">
            <w:pPr>
              <w:spacing w:after="0"/>
              <w:rPr>
                <w:rFonts w:asciiTheme="minorHAnsi" w:hAnsiTheme="minorHAnsi" w:cstheme="minorHAnsi"/>
                <w:bCs/>
              </w:rPr>
            </w:pPr>
            <w:r w:rsidRPr="000826B8">
              <w:rPr>
                <w:rFonts w:asciiTheme="minorHAnsi" w:hAnsiTheme="minorHAnsi" w:cstheme="minorHAnsi"/>
                <w:bCs/>
              </w:rPr>
              <w:t>Male</w:t>
            </w:r>
          </w:p>
        </w:tc>
        <w:tc>
          <w:tcPr>
            <w:tcW w:w="661" w:type="pct"/>
            <w:vAlign w:val="bottom"/>
          </w:tcPr>
          <w:p w14:paraId="21543B4C"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 xml:space="preserve">  23,615 </w:t>
            </w:r>
          </w:p>
        </w:tc>
        <w:tc>
          <w:tcPr>
            <w:tcW w:w="569" w:type="pct"/>
          </w:tcPr>
          <w:p w14:paraId="37739320"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51%</w:t>
            </w:r>
          </w:p>
        </w:tc>
        <w:tc>
          <w:tcPr>
            <w:tcW w:w="591" w:type="pct"/>
            <w:vAlign w:val="bottom"/>
          </w:tcPr>
          <w:p w14:paraId="67DFF529"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 xml:space="preserve">  27,850 </w:t>
            </w:r>
          </w:p>
        </w:tc>
        <w:tc>
          <w:tcPr>
            <w:tcW w:w="593" w:type="pct"/>
          </w:tcPr>
          <w:p w14:paraId="15CD0B20"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52%</w:t>
            </w:r>
          </w:p>
        </w:tc>
        <w:tc>
          <w:tcPr>
            <w:tcW w:w="663" w:type="pct"/>
            <w:tcBorders>
              <w:top w:val="nil"/>
              <w:left w:val="single" w:sz="4" w:space="0" w:color="auto"/>
              <w:bottom w:val="single" w:sz="4" w:space="0" w:color="auto"/>
              <w:right w:val="single" w:sz="4" w:space="0" w:color="auto"/>
            </w:tcBorders>
            <w:vAlign w:val="bottom"/>
          </w:tcPr>
          <w:p w14:paraId="76308D4F"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 xml:space="preserve">  32,966 </w:t>
            </w:r>
          </w:p>
        </w:tc>
        <w:tc>
          <w:tcPr>
            <w:tcW w:w="663" w:type="pct"/>
          </w:tcPr>
          <w:p w14:paraId="3FAA02DD"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49%</w:t>
            </w:r>
          </w:p>
        </w:tc>
      </w:tr>
      <w:tr w:rsidR="000826B8" w:rsidRPr="000826B8" w14:paraId="01BE2BB3" w14:textId="77777777" w:rsidTr="00E1361C">
        <w:trPr>
          <w:cantSplit/>
        </w:trPr>
        <w:tc>
          <w:tcPr>
            <w:tcW w:w="1259" w:type="pct"/>
          </w:tcPr>
          <w:p w14:paraId="4C987B24" w14:textId="77777777" w:rsidR="000826B8" w:rsidRPr="000826B8" w:rsidRDefault="000826B8" w:rsidP="00FD2E73">
            <w:pPr>
              <w:spacing w:after="0"/>
              <w:rPr>
                <w:rFonts w:asciiTheme="minorHAnsi" w:hAnsiTheme="minorHAnsi" w:cstheme="minorHAnsi"/>
                <w:bCs/>
              </w:rPr>
            </w:pPr>
            <w:r w:rsidRPr="000826B8">
              <w:rPr>
                <w:rFonts w:asciiTheme="minorHAnsi" w:hAnsiTheme="minorHAnsi" w:cstheme="minorHAnsi"/>
                <w:bCs/>
              </w:rPr>
              <w:t>Other/Unspecified</w:t>
            </w:r>
          </w:p>
        </w:tc>
        <w:tc>
          <w:tcPr>
            <w:tcW w:w="661" w:type="pct"/>
            <w:vAlign w:val="bottom"/>
          </w:tcPr>
          <w:p w14:paraId="10B8E9B9"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 xml:space="preserve">     1,600 </w:t>
            </w:r>
          </w:p>
        </w:tc>
        <w:tc>
          <w:tcPr>
            <w:tcW w:w="569" w:type="pct"/>
          </w:tcPr>
          <w:p w14:paraId="20EB294A"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4%</w:t>
            </w:r>
          </w:p>
        </w:tc>
        <w:tc>
          <w:tcPr>
            <w:tcW w:w="591" w:type="pct"/>
            <w:vAlign w:val="bottom"/>
          </w:tcPr>
          <w:p w14:paraId="789BAF81"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 xml:space="preserve">     1,333 </w:t>
            </w:r>
          </w:p>
        </w:tc>
        <w:tc>
          <w:tcPr>
            <w:tcW w:w="593" w:type="pct"/>
          </w:tcPr>
          <w:p w14:paraId="07A8EDD7"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2%</w:t>
            </w:r>
          </w:p>
        </w:tc>
        <w:tc>
          <w:tcPr>
            <w:tcW w:w="663" w:type="pct"/>
            <w:tcBorders>
              <w:top w:val="nil"/>
              <w:left w:val="single" w:sz="4" w:space="0" w:color="auto"/>
              <w:bottom w:val="single" w:sz="4" w:space="0" w:color="auto"/>
              <w:right w:val="single" w:sz="4" w:space="0" w:color="auto"/>
            </w:tcBorders>
            <w:vAlign w:val="bottom"/>
          </w:tcPr>
          <w:p w14:paraId="76B8FBE3"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 xml:space="preserve">     5,783 </w:t>
            </w:r>
          </w:p>
        </w:tc>
        <w:tc>
          <w:tcPr>
            <w:tcW w:w="663" w:type="pct"/>
          </w:tcPr>
          <w:p w14:paraId="31A428CE"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8.5%</w:t>
            </w:r>
          </w:p>
        </w:tc>
      </w:tr>
      <w:tr w:rsidR="000826B8" w:rsidRPr="000826B8" w14:paraId="2B973548" w14:textId="77777777" w:rsidTr="00E1361C">
        <w:trPr>
          <w:cantSplit/>
        </w:trPr>
        <w:tc>
          <w:tcPr>
            <w:tcW w:w="1259" w:type="pct"/>
          </w:tcPr>
          <w:p w14:paraId="779F22BA" w14:textId="77777777" w:rsidR="000826B8" w:rsidRPr="000826B8" w:rsidRDefault="000826B8" w:rsidP="00FD2E73">
            <w:pPr>
              <w:spacing w:after="0"/>
              <w:rPr>
                <w:rFonts w:asciiTheme="minorHAnsi" w:hAnsiTheme="minorHAnsi" w:cstheme="minorHAnsi"/>
                <w:bCs/>
              </w:rPr>
            </w:pPr>
            <w:r w:rsidRPr="000826B8">
              <w:rPr>
                <w:rFonts w:asciiTheme="minorHAnsi" w:hAnsiTheme="minorHAnsi" w:cstheme="minorHAnsi"/>
                <w:bCs/>
              </w:rPr>
              <w:t xml:space="preserve">Total </w:t>
            </w:r>
          </w:p>
        </w:tc>
        <w:tc>
          <w:tcPr>
            <w:tcW w:w="661" w:type="pct"/>
          </w:tcPr>
          <w:p w14:paraId="2F043C53"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46,119</w:t>
            </w:r>
          </w:p>
        </w:tc>
        <w:tc>
          <w:tcPr>
            <w:tcW w:w="569" w:type="pct"/>
          </w:tcPr>
          <w:p w14:paraId="508B0535" w14:textId="77777777" w:rsidR="000826B8" w:rsidRPr="000826B8" w:rsidRDefault="000826B8" w:rsidP="00FD2E73">
            <w:pPr>
              <w:spacing w:after="0"/>
              <w:jc w:val="center"/>
              <w:rPr>
                <w:rFonts w:asciiTheme="minorHAnsi" w:hAnsiTheme="minorHAnsi" w:cstheme="minorHAnsi"/>
              </w:rPr>
            </w:pPr>
          </w:p>
        </w:tc>
        <w:tc>
          <w:tcPr>
            <w:tcW w:w="591" w:type="pct"/>
          </w:tcPr>
          <w:p w14:paraId="00539FEB"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53,887</w:t>
            </w:r>
          </w:p>
        </w:tc>
        <w:tc>
          <w:tcPr>
            <w:tcW w:w="593" w:type="pct"/>
          </w:tcPr>
          <w:p w14:paraId="232AAFCC" w14:textId="77777777" w:rsidR="000826B8" w:rsidRPr="000826B8" w:rsidRDefault="000826B8" w:rsidP="00FD2E73">
            <w:pPr>
              <w:spacing w:after="0"/>
              <w:jc w:val="center"/>
              <w:rPr>
                <w:rFonts w:asciiTheme="minorHAnsi" w:hAnsiTheme="minorHAnsi" w:cstheme="minorHAnsi"/>
              </w:rPr>
            </w:pPr>
          </w:p>
        </w:tc>
        <w:tc>
          <w:tcPr>
            <w:tcW w:w="663" w:type="pct"/>
          </w:tcPr>
          <w:p w14:paraId="37A6EC25"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67,400</w:t>
            </w:r>
          </w:p>
        </w:tc>
        <w:tc>
          <w:tcPr>
            <w:tcW w:w="663" w:type="pct"/>
          </w:tcPr>
          <w:p w14:paraId="19BE10CD" w14:textId="77777777" w:rsidR="000826B8" w:rsidRPr="000826B8" w:rsidRDefault="000826B8" w:rsidP="00FD2E73">
            <w:pPr>
              <w:spacing w:after="0"/>
              <w:jc w:val="center"/>
              <w:rPr>
                <w:rFonts w:asciiTheme="minorHAnsi" w:hAnsiTheme="minorHAnsi" w:cstheme="minorHAnsi"/>
              </w:rPr>
            </w:pPr>
          </w:p>
        </w:tc>
      </w:tr>
    </w:tbl>
    <w:p w14:paraId="62E3D675" w14:textId="77777777" w:rsidR="000826B8" w:rsidRPr="000826B8" w:rsidRDefault="000826B8" w:rsidP="000826B8">
      <w:pPr>
        <w:rPr>
          <w:rFonts w:asciiTheme="minorHAnsi" w:hAnsiTheme="minorHAnsi" w:cstheme="minorHAnsi"/>
        </w:rPr>
      </w:pPr>
    </w:p>
    <w:p w14:paraId="59A73566" w14:textId="77777777" w:rsidR="000826B8" w:rsidRPr="000826B8" w:rsidRDefault="000826B8" w:rsidP="000826B8">
      <w:pPr>
        <w:numPr>
          <w:ilvl w:val="0"/>
          <w:numId w:val="31"/>
        </w:numPr>
        <w:pBdr>
          <w:top w:val="nil"/>
          <w:left w:val="nil"/>
          <w:bottom w:val="nil"/>
          <w:right w:val="nil"/>
          <w:between w:val="nil"/>
        </w:pBdr>
        <w:spacing w:after="160" w:line="259" w:lineRule="auto"/>
        <w:rPr>
          <w:rFonts w:asciiTheme="minorHAnsi" w:hAnsiTheme="minorHAnsi" w:cstheme="minorHAnsi"/>
          <w:b/>
          <w:color w:val="000000"/>
        </w:rPr>
      </w:pPr>
      <w:r w:rsidRPr="000826B8">
        <w:rPr>
          <w:rFonts w:asciiTheme="minorHAnsi" w:hAnsiTheme="minorHAnsi" w:cstheme="minorHAnsi"/>
          <w:b/>
          <w:color w:val="000000"/>
        </w:rPr>
        <w:t>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Age"/>
      </w:tblPr>
      <w:tblGrid>
        <w:gridCol w:w="764"/>
        <w:gridCol w:w="1456"/>
        <w:gridCol w:w="1406"/>
        <w:gridCol w:w="1456"/>
        <w:gridCol w:w="1406"/>
        <w:gridCol w:w="1456"/>
        <w:gridCol w:w="1406"/>
      </w:tblGrid>
      <w:tr w:rsidR="000826B8" w:rsidRPr="000826B8" w14:paraId="506BAE50" w14:textId="77777777" w:rsidTr="002C38F9">
        <w:trPr>
          <w:cantSplit/>
          <w:trHeight w:val="269"/>
          <w:tblHeader/>
        </w:trPr>
        <w:tc>
          <w:tcPr>
            <w:tcW w:w="0" w:type="auto"/>
            <w:shd w:val="clear" w:color="auto" w:fill="E1EBF7" w:themeFill="text2" w:themeFillTint="1A"/>
          </w:tcPr>
          <w:p w14:paraId="48F6B4F2" w14:textId="40B075E7" w:rsidR="000826B8" w:rsidRPr="000826B8" w:rsidRDefault="00C10A58" w:rsidP="00DA3CD2">
            <w:pPr>
              <w:spacing w:after="0" w:line="240" w:lineRule="auto"/>
              <w:rPr>
                <w:rFonts w:asciiTheme="minorHAnsi" w:hAnsiTheme="minorHAnsi" w:cstheme="minorHAnsi"/>
                <w:b/>
              </w:rPr>
            </w:pPr>
            <w:r w:rsidRPr="000826B8">
              <w:rPr>
                <w:rFonts w:asciiTheme="minorHAnsi" w:hAnsiTheme="minorHAnsi" w:cstheme="minorHAnsi"/>
                <w:b/>
              </w:rPr>
              <w:t>Age</w:t>
            </w:r>
          </w:p>
        </w:tc>
        <w:tc>
          <w:tcPr>
            <w:tcW w:w="0" w:type="auto"/>
            <w:shd w:val="clear" w:color="auto" w:fill="E1EBF7" w:themeFill="text2" w:themeFillTint="1A"/>
          </w:tcPr>
          <w:p w14:paraId="3B887730" w14:textId="23C1D665" w:rsidR="000826B8" w:rsidRPr="000826B8" w:rsidRDefault="00C10A58" w:rsidP="00DA3CD2">
            <w:pPr>
              <w:spacing w:after="0" w:line="240" w:lineRule="auto"/>
              <w:jc w:val="center"/>
              <w:rPr>
                <w:rFonts w:asciiTheme="minorHAnsi" w:hAnsiTheme="minorHAnsi" w:cstheme="minorHAnsi"/>
              </w:rPr>
            </w:pPr>
            <w:r w:rsidRPr="000826B8">
              <w:rPr>
                <w:rFonts w:asciiTheme="minorHAnsi" w:hAnsiTheme="minorHAnsi" w:cstheme="minorHAnsi"/>
                <w:b/>
              </w:rPr>
              <w:t>FY23</w:t>
            </w:r>
            <w:r>
              <w:rPr>
                <w:rFonts w:asciiTheme="minorHAnsi" w:hAnsiTheme="minorHAnsi" w:cstheme="minorHAnsi"/>
                <w:b/>
              </w:rPr>
              <w:t xml:space="preserve"> </w:t>
            </w:r>
            <w:r w:rsidR="000826B8" w:rsidRPr="000826B8">
              <w:rPr>
                <w:rFonts w:asciiTheme="minorHAnsi" w:hAnsiTheme="minorHAnsi" w:cstheme="minorHAnsi"/>
                <w:b/>
                <w:bCs/>
              </w:rPr>
              <w:t>Number</w:t>
            </w:r>
          </w:p>
        </w:tc>
        <w:tc>
          <w:tcPr>
            <w:tcW w:w="0" w:type="auto"/>
            <w:shd w:val="clear" w:color="auto" w:fill="E1EBF7" w:themeFill="text2" w:themeFillTint="1A"/>
          </w:tcPr>
          <w:p w14:paraId="7D514D04" w14:textId="72F70FAE" w:rsidR="000826B8" w:rsidRPr="000826B8" w:rsidRDefault="00C10A58" w:rsidP="00DA3CD2">
            <w:pPr>
              <w:spacing w:after="0" w:line="240" w:lineRule="auto"/>
              <w:jc w:val="center"/>
              <w:rPr>
                <w:rFonts w:asciiTheme="minorHAnsi" w:hAnsiTheme="minorHAnsi" w:cstheme="minorHAnsi"/>
              </w:rPr>
            </w:pPr>
            <w:r w:rsidRPr="000826B8">
              <w:rPr>
                <w:rFonts w:asciiTheme="minorHAnsi" w:hAnsiTheme="minorHAnsi" w:cstheme="minorHAnsi"/>
                <w:b/>
              </w:rPr>
              <w:t>FY23</w:t>
            </w:r>
            <w:r>
              <w:rPr>
                <w:rFonts w:asciiTheme="minorHAnsi" w:hAnsiTheme="minorHAnsi" w:cstheme="minorHAnsi"/>
                <w:b/>
              </w:rPr>
              <w:t xml:space="preserve"> </w:t>
            </w:r>
            <w:r w:rsidR="000826B8" w:rsidRPr="000826B8">
              <w:rPr>
                <w:rFonts w:asciiTheme="minorHAnsi" w:hAnsiTheme="minorHAnsi" w:cstheme="minorHAnsi"/>
                <w:b/>
                <w:bCs/>
              </w:rPr>
              <w:t>Percent</w:t>
            </w:r>
          </w:p>
        </w:tc>
        <w:tc>
          <w:tcPr>
            <w:tcW w:w="0" w:type="auto"/>
            <w:shd w:val="clear" w:color="auto" w:fill="E1EBF7" w:themeFill="text2" w:themeFillTint="1A"/>
          </w:tcPr>
          <w:p w14:paraId="330497D4" w14:textId="0EF9FA38" w:rsidR="000826B8" w:rsidRPr="000826B8" w:rsidRDefault="00782F62" w:rsidP="00DA3CD2">
            <w:pPr>
              <w:spacing w:after="0" w:line="240" w:lineRule="auto"/>
              <w:jc w:val="center"/>
              <w:rPr>
                <w:rFonts w:asciiTheme="minorHAnsi" w:hAnsiTheme="minorHAnsi" w:cstheme="minorHAnsi"/>
              </w:rPr>
            </w:pPr>
            <w:r w:rsidRPr="000826B8">
              <w:rPr>
                <w:rFonts w:asciiTheme="minorHAnsi" w:hAnsiTheme="minorHAnsi" w:cstheme="minorHAnsi"/>
                <w:b/>
              </w:rPr>
              <w:t>FY24</w:t>
            </w:r>
            <w:r>
              <w:rPr>
                <w:rFonts w:asciiTheme="minorHAnsi" w:hAnsiTheme="minorHAnsi" w:cstheme="minorHAnsi"/>
                <w:b/>
              </w:rPr>
              <w:t xml:space="preserve"> </w:t>
            </w:r>
            <w:r w:rsidR="000826B8" w:rsidRPr="000826B8">
              <w:rPr>
                <w:rFonts w:asciiTheme="minorHAnsi" w:hAnsiTheme="minorHAnsi" w:cstheme="minorHAnsi"/>
                <w:b/>
                <w:bCs/>
              </w:rPr>
              <w:t>Number</w:t>
            </w:r>
          </w:p>
        </w:tc>
        <w:tc>
          <w:tcPr>
            <w:tcW w:w="0" w:type="auto"/>
            <w:shd w:val="clear" w:color="auto" w:fill="E1EBF7" w:themeFill="text2" w:themeFillTint="1A"/>
          </w:tcPr>
          <w:p w14:paraId="52415FC7" w14:textId="6916EEF5" w:rsidR="000826B8" w:rsidRPr="000826B8" w:rsidRDefault="00782F62" w:rsidP="00DA3CD2">
            <w:pPr>
              <w:spacing w:after="0" w:line="240" w:lineRule="auto"/>
              <w:jc w:val="center"/>
              <w:rPr>
                <w:rFonts w:asciiTheme="minorHAnsi" w:hAnsiTheme="minorHAnsi" w:cstheme="minorHAnsi"/>
              </w:rPr>
            </w:pPr>
            <w:r w:rsidRPr="000826B8">
              <w:rPr>
                <w:rFonts w:asciiTheme="minorHAnsi" w:hAnsiTheme="minorHAnsi" w:cstheme="minorHAnsi"/>
                <w:b/>
              </w:rPr>
              <w:t>FY24</w:t>
            </w:r>
            <w:r>
              <w:rPr>
                <w:rFonts w:asciiTheme="minorHAnsi" w:hAnsiTheme="minorHAnsi" w:cstheme="minorHAnsi"/>
                <w:b/>
              </w:rPr>
              <w:t xml:space="preserve"> </w:t>
            </w:r>
            <w:r w:rsidR="000826B8" w:rsidRPr="000826B8">
              <w:rPr>
                <w:rFonts w:asciiTheme="minorHAnsi" w:hAnsiTheme="minorHAnsi" w:cstheme="minorHAnsi"/>
                <w:b/>
                <w:bCs/>
              </w:rPr>
              <w:t>Percent</w:t>
            </w:r>
          </w:p>
        </w:tc>
        <w:tc>
          <w:tcPr>
            <w:tcW w:w="0" w:type="auto"/>
            <w:shd w:val="clear" w:color="auto" w:fill="E1EBF7" w:themeFill="text2" w:themeFillTint="1A"/>
          </w:tcPr>
          <w:p w14:paraId="3104453D" w14:textId="602B29A1" w:rsidR="000826B8" w:rsidRPr="000826B8" w:rsidRDefault="00782F62" w:rsidP="00DA3CD2">
            <w:pPr>
              <w:spacing w:after="0" w:line="240" w:lineRule="auto"/>
              <w:jc w:val="center"/>
              <w:rPr>
                <w:rFonts w:asciiTheme="minorHAnsi" w:hAnsiTheme="minorHAnsi" w:cstheme="minorHAnsi"/>
              </w:rPr>
            </w:pPr>
            <w:r w:rsidRPr="000826B8">
              <w:rPr>
                <w:rFonts w:asciiTheme="minorHAnsi" w:hAnsiTheme="minorHAnsi" w:cstheme="minorHAnsi"/>
                <w:b/>
              </w:rPr>
              <w:t>FY25</w:t>
            </w:r>
            <w:r>
              <w:rPr>
                <w:rFonts w:asciiTheme="minorHAnsi" w:hAnsiTheme="minorHAnsi" w:cstheme="minorHAnsi"/>
                <w:b/>
              </w:rPr>
              <w:t xml:space="preserve"> </w:t>
            </w:r>
            <w:r w:rsidR="000826B8" w:rsidRPr="000826B8">
              <w:rPr>
                <w:rFonts w:asciiTheme="minorHAnsi" w:hAnsiTheme="minorHAnsi" w:cstheme="minorHAnsi"/>
                <w:b/>
                <w:bCs/>
              </w:rPr>
              <w:t>Number</w:t>
            </w:r>
          </w:p>
        </w:tc>
        <w:tc>
          <w:tcPr>
            <w:tcW w:w="0" w:type="auto"/>
            <w:shd w:val="clear" w:color="auto" w:fill="E1EBF7" w:themeFill="text2" w:themeFillTint="1A"/>
          </w:tcPr>
          <w:p w14:paraId="0BE0F6E0" w14:textId="6FEB3036" w:rsidR="000826B8" w:rsidRPr="000826B8" w:rsidRDefault="00782F62" w:rsidP="00DA3CD2">
            <w:pPr>
              <w:spacing w:after="0" w:line="240" w:lineRule="auto"/>
              <w:jc w:val="center"/>
              <w:rPr>
                <w:rFonts w:asciiTheme="minorHAnsi" w:hAnsiTheme="minorHAnsi" w:cstheme="minorHAnsi"/>
              </w:rPr>
            </w:pPr>
            <w:r w:rsidRPr="000826B8">
              <w:rPr>
                <w:rFonts w:asciiTheme="minorHAnsi" w:hAnsiTheme="minorHAnsi" w:cstheme="minorHAnsi"/>
                <w:b/>
              </w:rPr>
              <w:t>FY25</w:t>
            </w:r>
            <w:r>
              <w:rPr>
                <w:rFonts w:asciiTheme="minorHAnsi" w:hAnsiTheme="minorHAnsi" w:cstheme="minorHAnsi"/>
                <w:b/>
              </w:rPr>
              <w:t xml:space="preserve"> </w:t>
            </w:r>
            <w:r w:rsidR="000826B8" w:rsidRPr="000826B8">
              <w:rPr>
                <w:rFonts w:asciiTheme="minorHAnsi" w:hAnsiTheme="minorHAnsi" w:cstheme="minorHAnsi"/>
                <w:b/>
                <w:bCs/>
              </w:rPr>
              <w:t>Percent</w:t>
            </w:r>
          </w:p>
        </w:tc>
      </w:tr>
      <w:tr w:rsidR="000826B8" w:rsidRPr="000826B8" w14:paraId="66737697" w14:textId="77777777" w:rsidTr="002C38F9">
        <w:trPr>
          <w:cantSplit/>
        </w:trPr>
        <w:tc>
          <w:tcPr>
            <w:tcW w:w="0" w:type="auto"/>
          </w:tcPr>
          <w:p w14:paraId="4E0B2314" w14:textId="77777777" w:rsidR="000826B8" w:rsidRPr="000826B8" w:rsidRDefault="000826B8" w:rsidP="00FD2E73">
            <w:pPr>
              <w:spacing w:after="0"/>
              <w:rPr>
                <w:rFonts w:asciiTheme="minorHAnsi" w:hAnsiTheme="minorHAnsi" w:cstheme="minorHAnsi"/>
                <w:bCs/>
              </w:rPr>
            </w:pPr>
            <w:r w:rsidRPr="000826B8">
              <w:rPr>
                <w:rFonts w:asciiTheme="minorHAnsi" w:hAnsiTheme="minorHAnsi" w:cstheme="minorHAnsi"/>
                <w:bCs/>
              </w:rPr>
              <w:t>0-9</w:t>
            </w:r>
          </w:p>
        </w:tc>
        <w:tc>
          <w:tcPr>
            <w:tcW w:w="0" w:type="auto"/>
            <w:vAlign w:val="bottom"/>
          </w:tcPr>
          <w:p w14:paraId="1C4DA550"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 xml:space="preserve">            40,992 </w:t>
            </w:r>
          </w:p>
        </w:tc>
        <w:tc>
          <w:tcPr>
            <w:tcW w:w="0" w:type="auto"/>
          </w:tcPr>
          <w:p w14:paraId="69CBA8E1"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89%</w:t>
            </w:r>
          </w:p>
        </w:tc>
        <w:tc>
          <w:tcPr>
            <w:tcW w:w="0" w:type="auto"/>
            <w:vAlign w:val="bottom"/>
          </w:tcPr>
          <w:p w14:paraId="451AB021"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 xml:space="preserve">            46,705 </w:t>
            </w:r>
          </w:p>
        </w:tc>
        <w:tc>
          <w:tcPr>
            <w:tcW w:w="0" w:type="auto"/>
          </w:tcPr>
          <w:p w14:paraId="2BE3CD83"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87%</w:t>
            </w:r>
          </w:p>
        </w:tc>
        <w:tc>
          <w:tcPr>
            <w:tcW w:w="0" w:type="auto"/>
            <w:vAlign w:val="bottom"/>
          </w:tcPr>
          <w:p w14:paraId="5D4FE72A"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 xml:space="preserve">            57,622 </w:t>
            </w:r>
          </w:p>
        </w:tc>
        <w:tc>
          <w:tcPr>
            <w:tcW w:w="0" w:type="auto"/>
          </w:tcPr>
          <w:p w14:paraId="5D642886"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85%</w:t>
            </w:r>
          </w:p>
        </w:tc>
      </w:tr>
      <w:tr w:rsidR="000826B8" w:rsidRPr="000826B8" w14:paraId="4B01D911" w14:textId="77777777" w:rsidTr="002C38F9">
        <w:trPr>
          <w:cantSplit/>
          <w:trHeight w:val="70"/>
        </w:trPr>
        <w:tc>
          <w:tcPr>
            <w:tcW w:w="0" w:type="auto"/>
          </w:tcPr>
          <w:p w14:paraId="76997DDB" w14:textId="77777777" w:rsidR="000826B8" w:rsidRPr="000826B8" w:rsidRDefault="000826B8" w:rsidP="00FD2E73">
            <w:pPr>
              <w:spacing w:after="0"/>
              <w:rPr>
                <w:rFonts w:asciiTheme="minorHAnsi" w:hAnsiTheme="minorHAnsi" w:cstheme="minorHAnsi"/>
                <w:bCs/>
              </w:rPr>
            </w:pPr>
            <w:r w:rsidRPr="000826B8">
              <w:rPr>
                <w:rFonts w:asciiTheme="minorHAnsi" w:hAnsiTheme="minorHAnsi" w:cstheme="minorHAnsi"/>
                <w:bCs/>
              </w:rPr>
              <w:t>10-17</w:t>
            </w:r>
          </w:p>
        </w:tc>
        <w:tc>
          <w:tcPr>
            <w:tcW w:w="0" w:type="auto"/>
            <w:vAlign w:val="bottom"/>
          </w:tcPr>
          <w:p w14:paraId="797E3630"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 xml:space="preserve">              3,663 </w:t>
            </w:r>
          </w:p>
        </w:tc>
        <w:tc>
          <w:tcPr>
            <w:tcW w:w="0" w:type="auto"/>
          </w:tcPr>
          <w:p w14:paraId="79F1C48C"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8%</w:t>
            </w:r>
          </w:p>
        </w:tc>
        <w:tc>
          <w:tcPr>
            <w:tcW w:w="0" w:type="auto"/>
            <w:vAlign w:val="bottom"/>
          </w:tcPr>
          <w:p w14:paraId="4B0E2B77"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 xml:space="preserve">              5,263 </w:t>
            </w:r>
          </w:p>
        </w:tc>
        <w:tc>
          <w:tcPr>
            <w:tcW w:w="0" w:type="auto"/>
          </w:tcPr>
          <w:p w14:paraId="79A650C4"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9%</w:t>
            </w:r>
          </w:p>
        </w:tc>
        <w:tc>
          <w:tcPr>
            <w:tcW w:w="0" w:type="auto"/>
            <w:vAlign w:val="bottom"/>
          </w:tcPr>
          <w:p w14:paraId="7C75558D"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 xml:space="preserve">              7,201 </w:t>
            </w:r>
          </w:p>
        </w:tc>
        <w:tc>
          <w:tcPr>
            <w:tcW w:w="0" w:type="auto"/>
          </w:tcPr>
          <w:p w14:paraId="3C600739"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11%</w:t>
            </w:r>
          </w:p>
        </w:tc>
      </w:tr>
      <w:tr w:rsidR="000826B8" w:rsidRPr="000826B8" w14:paraId="6E7B9053" w14:textId="77777777" w:rsidTr="002C38F9">
        <w:trPr>
          <w:cantSplit/>
        </w:trPr>
        <w:tc>
          <w:tcPr>
            <w:tcW w:w="0" w:type="auto"/>
          </w:tcPr>
          <w:p w14:paraId="20F14655" w14:textId="77777777" w:rsidR="000826B8" w:rsidRPr="000826B8" w:rsidRDefault="000826B8" w:rsidP="00FD2E73">
            <w:pPr>
              <w:spacing w:after="0"/>
              <w:rPr>
                <w:rFonts w:asciiTheme="minorHAnsi" w:hAnsiTheme="minorHAnsi" w:cstheme="minorHAnsi"/>
                <w:bCs/>
              </w:rPr>
            </w:pPr>
            <w:r w:rsidRPr="000826B8">
              <w:rPr>
                <w:rFonts w:asciiTheme="minorHAnsi" w:hAnsiTheme="minorHAnsi" w:cstheme="minorHAnsi"/>
                <w:bCs/>
              </w:rPr>
              <w:t>18+</w:t>
            </w:r>
          </w:p>
        </w:tc>
        <w:tc>
          <w:tcPr>
            <w:tcW w:w="0" w:type="auto"/>
            <w:vAlign w:val="bottom"/>
          </w:tcPr>
          <w:p w14:paraId="6323E698"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 xml:space="preserve">              1,464 </w:t>
            </w:r>
          </w:p>
        </w:tc>
        <w:tc>
          <w:tcPr>
            <w:tcW w:w="0" w:type="auto"/>
          </w:tcPr>
          <w:p w14:paraId="73524C80"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3%</w:t>
            </w:r>
          </w:p>
        </w:tc>
        <w:tc>
          <w:tcPr>
            <w:tcW w:w="0" w:type="auto"/>
            <w:vAlign w:val="bottom"/>
          </w:tcPr>
          <w:p w14:paraId="374DD14C"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 xml:space="preserve">              1,919 </w:t>
            </w:r>
          </w:p>
        </w:tc>
        <w:tc>
          <w:tcPr>
            <w:tcW w:w="0" w:type="auto"/>
          </w:tcPr>
          <w:p w14:paraId="3F6321C2"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4%</w:t>
            </w:r>
          </w:p>
        </w:tc>
        <w:tc>
          <w:tcPr>
            <w:tcW w:w="0" w:type="auto"/>
            <w:vAlign w:val="bottom"/>
          </w:tcPr>
          <w:p w14:paraId="5912DE73"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 xml:space="preserve">              2,577 </w:t>
            </w:r>
          </w:p>
        </w:tc>
        <w:tc>
          <w:tcPr>
            <w:tcW w:w="0" w:type="auto"/>
          </w:tcPr>
          <w:p w14:paraId="43ECCCDA"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rPr>
              <w:t>4%</w:t>
            </w:r>
          </w:p>
        </w:tc>
      </w:tr>
      <w:tr w:rsidR="000826B8" w:rsidRPr="000826B8" w14:paraId="0EF43654" w14:textId="77777777" w:rsidTr="002C38F9">
        <w:trPr>
          <w:cantSplit/>
        </w:trPr>
        <w:tc>
          <w:tcPr>
            <w:tcW w:w="0" w:type="auto"/>
          </w:tcPr>
          <w:p w14:paraId="155CA4C9" w14:textId="77777777" w:rsidR="000826B8" w:rsidRPr="000826B8" w:rsidRDefault="000826B8" w:rsidP="00FD2E73">
            <w:pPr>
              <w:spacing w:after="0"/>
              <w:rPr>
                <w:rFonts w:asciiTheme="minorHAnsi" w:hAnsiTheme="minorHAnsi" w:cstheme="minorHAnsi"/>
                <w:bCs/>
              </w:rPr>
            </w:pPr>
            <w:r w:rsidRPr="000826B8">
              <w:rPr>
                <w:rFonts w:asciiTheme="minorHAnsi" w:hAnsiTheme="minorHAnsi" w:cstheme="minorHAnsi"/>
                <w:bCs/>
              </w:rPr>
              <w:t xml:space="preserve">Total </w:t>
            </w:r>
          </w:p>
        </w:tc>
        <w:tc>
          <w:tcPr>
            <w:tcW w:w="0" w:type="auto"/>
          </w:tcPr>
          <w:p w14:paraId="1E2A6466" w14:textId="77777777" w:rsidR="000826B8" w:rsidRPr="000826B8" w:rsidRDefault="000826B8" w:rsidP="00FD2E73">
            <w:pPr>
              <w:spacing w:after="0"/>
              <w:jc w:val="right"/>
              <w:rPr>
                <w:rFonts w:asciiTheme="minorHAnsi" w:hAnsiTheme="minorHAnsi" w:cstheme="minorHAnsi"/>
              </w:rPr>
            </w:pPr>
            <w:r w:rsidRPr="000826B8">
              <w:rPr>
                <w:rFonts w:asciiTheme="minorHAnsi" w:hAnsiTheme="minorHAnsi" w:cstheme="minorHAnsi"/>
              </w:rPr>
              <w:t>46,119</w:t>
            </w:r>
          </w:p>
        </w:tc>
        <w:tc>
          <w:tcPr>
            <w:tcW w:w="0" w:type="auto"/>
          </w:tcPr>
          <w:p w14:paraId="5B5A6B6E" w14:textId="61B9677C" w:rsidR="000826B8" w:rsidRPr="000826B8" w:rsidRDefault="000D497B" w:rsidP="00FD2E73">
            <w:pPr>
              <w:spacing w:after="0"/>
              <w:jc w:val="right"/>
              <w:rPr>
                <w:rFonts w:asciiTheme="minorHAnsi" w:hAnsiTheme="minorHAnsi" w:cstheme="minorHAnsi"/>
              </w:rPr>
            </w:pPr>
            <w:r>
              <w:rPr>
                <w:rFonts w:asciiTheme="minorHAnsi" w:hAnsiTheme="minorHAnsi" w:cstheme="minorHAnsi"/>
              </w:rPr>
              <w:t>n/a</w:t>
            </w:r>
          </w:p>
        </w:tc>
        <w:tc>
          <w:tcPr>
            <w:tcW w:w="0" w:type="auto"/>
          </w:tcPr>
          <w:p w14:paraId="36D834A7" w14:textId="77777777" w:rsidR="000826B8" w:rsidRPr="000826B8" w:rsidRDefault="000826B8" w:rsidP="00FD2E73">
            <w:pPr>
              <w:spacing w:after="0"/>
              <w:jc w:val="right"/>
              <w:rPr>
                <w:rFonts w:asciiTheme="minorHAnsi" w:hAnsiTheme="minorHAnsi" w:cstheme="minorHAnsi"/>
              </w:rPr>
            </w:pPr>
            <w:r w:rsidRPr="000826B8">
              <w:rPr>
                <w:rFonts w:asciiTheme="minorHAnsi" w:hAnsiTheme="minorHAnsi" w:cstheme="minorHAnsi"/>
              </w:rPr>
              <w:t>53,887</w:t>
            </w:r>
          </w:p>
        </w:tc>
        <w:tc>
          <w:tcPr>
            <w:tcW w:w="0" w:type="auto"/>
          </w:tcPr>
          <w:p w14:paraId="1F68AE68" w14:textId="37F23BAE" w:rsidR="000826B8" w:rsidRPr="000826B8" w:rsidRDefault="000D497B" w:rsidP="00FD2E73">
            <w:pPr>
              <w:spacing w:after="0"/>
              <w:jc w:val="right"/>
              <w:rPr>
                <w:rFonts w:asciiTheme="minorHAnsi" w:hAnsiTheme="minorHAnsi" w:cstheme="minorHAnsi"/>
              </w:rPr>
            </w:pPr>
            <w:r>
              <w:rPr>
                <w:rFonts w:asciiTheme="minorHAnsi" w:hAnsiTheme="minorHAnsi" w:cstheme="minorHAnsi"/>
              </w:rPr>
              <w:t>n/a</w:t>
            </w:r>
          </w:p>
        </w:tc>
        <w:tc>
          <w:tcPr>
            <w:tcW w:w="0" w:type="auto"/>
          </w:tcPr>
          <w:p w14:paraId="0DF7870E" w14:textId="77777777" w:rsidR="000826B8" w:rsidRPr="000826B8" w:rsidRDefault="000826B8" w:rsidP="00FD2E73">
            <w:pPr>
              <w:spacing w:after="0"/>
              <w:jc w:val="right"/>
              <w:rPr>
                <w:rFonts w:asciiTheme="minorHAnsi" w:hAnsiTheme="minorHAnsi" w:cstheme="minorHAnsi"/>
              </w:rPr>
            </w:pPr>
            <w:r w:rsidRPr="000826B8">
              <w:rPr>
                <w:rFonts w:asciiTheme="minorHAnsi" w:hAnsiTheme="minorHAnsi" w:cstheme="minorHAnsi"/>
              </w:rPr>
              <w:t>67,400</w:t>
            </w:r>
          </w:p>
        </w:tc>
        <w:tc>
          <w:tcPr>
            <w:tcW w:w="0" w:type="auto"/>
          </w:tcPr>
          <w:p w14:paraId="6C04CB32" w14:textId="63660DD8" w:rsidR="000826B8" w:rsidRPr="000826B8" w:rsidRDefault="000D497B" w:rsidP="00FD2E73">
            <w:pPr>
              <w:spacing w:after="0"/>
              <w:jc w:val="center"/>
              <w:rPr>
                <w:rFonts w:asciiTheme="minorHAnsi" w:hAnsiTheme="minorHAnsi" w:cstheme="minorHAnsi"/>
              </w:rPr>
            </w:pPr>
            <w:r>
              <w:rPr>
                <w:rFonts w:asciiTheme="minorHAnsi" w:hAnsiTheme="minorHAnsi" w:cstheme="minorHAnsi"/>
              </w:rPr>
              <w:t>n/a</w:t>
            </w:r>
          </w:p>
        </w:tc>
      </w:tr>
    </w:tbl>
    <w:p w14:paraId="49D4DD0D" w14:textId="77777777" w:rsidR="000826B8" w:rsidRPr="000826B8" w:rsidRDefault="000826B8" w:rsidP="000826B8">
      <w:pPr>
        <w:pBdr>
          <w:top w:val="nil"/>
          <w:left w:val="nil"/>
          <w:bottom w:val="nil"/>
          <w:right w:val="nil"/>
          <w:between w:val="nil"/>
        </w:pBdr>
        <w:spacing w:line="259" w:lineRule="auto"/>
        <w:ind w:left="720"/>
        <w:rPr>
          <w:rFonts w:asciiTheme="minorHAnsi" w:hAnsiTheme="minorHAnsi" w:cstheme="minorHAnsi"/>
          <w:b/>
          <w:color w:val="000000"/>
        </w:rPr>
      </w:pPr>
    </w:p>
    <w:p w14:paraId="06311FD5" w14:textId="77777777" w:rsidR="000826B8" w:rsidRPr="000826B8" w:rsidRDefault="000826B8" w:rsidP="000826B8">
      <w:pPr>
        <w:numPr>
          <w:ilvl w:val="0"/>
          <w:numId w:val="31"/>
        </w:numPr>
        <w:pBdr>
          <w:top w:val="nil"/>
          <w:left w:val="nil"/>
          <w:bottom w:val="nil"/>
          <w:right w:val="nil"/>
          <w:between w:val="nil"/>
        </w:pBdr>
        <w:spacing w:after="160" w:line="259" w:lineRule="auto"/>
        <w:rPr>
          <w:rFonts w:asciiTheme="minorHAnsi" w:hAnsiTheme="minorHAnsi" w:cstheme="minorHAnsi"/>
          <w:b/>
          <w:color w:val="000000"/>
        </w:rPr>
      </w:pPr>
      <w:r w:rsidRPr="000826B8">
        <w:rPr>
          <w:rFonts w:asciiTheme="minorHAnsi" w:hAnsiTheme="minorHAnsi" w:cstheme="minorHAnsi"/>
          <w:b/>
          <w:color w:val="000000"/>
        </w:rPr>
        <w:t xml:space="preserve">Payer Mix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Caption w:val="Payer Mix"/>
      </w:tblPr>
      <w:tblGrid>
        <w:gridCol w:w="4945"/>
        <w:gridCol w:w="1621"/>
        <w:gridCol w:w="1350"/>
        <w:gridCol w:w="1434"/>
      </w:tblGrid>
      <w:tr w:rsidR="000826B8" w:rsidRPr="000826B8" w14:paraId="1B3C7981" w14:textId="77777777" w:rsidTr="00203860">
        <w:trPr>
          <w:cantSplit/>
          <w:trHeight w:val="260"/>
          <w:tblHeader/>
        </w:trPr>
        <w:tc>
          <w:tcPr>
            <w:tcW w:w="2644" w:type="pct"/>
            <w:shd w:val="clear" w:color="auto" w:fill="E1EBF7" w:themeFill="text2" w:themeFillTint="1A"/>
          </w:tcPr>
          <w:p w14:paraId="259ED545" w14:textId="77777777" w:rsidR="000826B8" w:rsidRPr="000826B8" w:rsidRDefault="000826B8" w:rsidP="00FD2E73">
            <w:pPr>
              <w:spacing w:after="0"/>
              <w:jc w:val="center"/>
              <w:rPr>
                <w:rFonts w:asciiTheme="minorHAnsi" w:hAnsiTheme="minorHAnsi" w:cstheme="minorHAnsi"/>
                <w:b/>
              </w:rPr>
            </w:pPr>
            <w:r w:rsidRPr="000826B8">
              <w:rPr>
                <w:rFonts w:asciiTheme="minorHAnsi" w:hAnsiTheme="minorHAnsi" w:cstheme="minorHAnsi"/>
                <w:b/>
              </w:rPr>
              <w:t>Payer Mix</w:t>
            </w:r>
          </w:p>
        </w:tc>
        <w:tc>
          <w:tcPr>
            <w:tcW w:w="867" w:type="pct"/>
            <w:shd w:val="clear" w:color="auto" w:fill="E1EBF7" w:themeFill="text2" w:themeFillTint="1A"/>
          </w:tcPr>
          <w:p w14:paraId="596875F5" w14:textId="74673989" w:rsidR="000826B8" w:rsidRPr="000826B8" w:rsidRDefault="000826B8" w:rsidP="00FD2E73">
            <w:pPr>
              <w:spacing w:after="0"/>
              <w:jc w:val="center"/>
              <w:rPr>
                <w:rFonts w:asciiTheme="minorHAnsi" w:hAnsiTheme="minorHAnsi" w:cstheme="minorHAnsi"/>
                <w:b/>
              </w:rPr>
            </w:pPr>
            <w:r w:rsidRPr="000826B8">
              <w:rPr>
                <w:rFonts w:asciiTheme="minorHAnsi" w:hAnsiTheme="minorHAnsi" w:cstheme="minorHAnsi"/>
                <w:b/>
              </w:rPr>
              <w:t>FY23</w:t>
            </w:r>
            <w:r w:rsidR="00C239A7" w:rsidRPr="000826B8">
              <w:rPr>
                <w:rFonts w:asciiTheme="minorHAnsi" w:hAnsiTheme="minorHAnsi" w:cstheme="minorHAnsi"/>
                <w:b/>
                <w:bCs/>
              </w:rPr>
              <w:t xml:space="preserve"> </w:t>
            </w:r>
            <w:r w:rsidR="00C239A7" w:rsidRPr="000826B8">
              <w:rPr>
                <w:rFonts w:asciiTheme="minorHAnsi" w:hAnsiTheme="minorHAnsi" w:cstheme="minorHAnsi"/>
                <w:b/>
                <w:bCs/>
              </w:rPr>
              <w:t>Percent</w:t>
            </w:r>
          </w:p>
        </w:tc>
        <w:tc>
          <w:tcPr>
            <w:tcW w:w="722" w:type="pct"/>
            <w:shd w:val="clear" w:color="auto" w:fill="E1EBF7" w:themeFill="text2" w:themeFillTint="1A"/>
          </w:tcPr>
          <w:p w14:paraId="17821332" w14:textId="38A94F3C" w:rsidR="000826B8" w:rsidRPr="000826B8" w:rsidRDefault="000826B8" w:rsidP="00FD2E73">
            <w:pPr>
              <w:spacing w:after="0"/>
              <w:jc w:val="center"/>
              <w:rPr>
                <w:rFonts w:asciiTheme="minorHAnsi" w:hAnsiTheme="minorHAnsi" w:cstheme="minorHAnsi"/>
                <w:b/>
              </w:rPr>
            </w:pPr>
            <w:r w:rsidRPr="000826B8">
              <w:rPr>
                <w:rFonts w:asciiTheme="minorHAnsi" w:hAnsiTheme="minorHAnsi" w:cstheme="minorHAnsi"/>
                <w:b/>
              </w:rPr>
              <w:t>FY24</w:t>
            </w:r>
            <w:r w:rsidR="00C239A7" w:rsidRPr="000826B8">
              <w:rPr>
                <w:rFonts w:asciiTheme="minorHAnsi" w:hAnsiTheme="minorHAnsi" w:cstheme="minorHAnsi"/>
                <w:b/>
                <w:bCs/>
              </w:rPr>
              <w:t xml:space="preserve"> </w:t>
            </w:r>
            <w:r w:rsidR="00C239A7" w:rsidRPr="000826B8">
              <w:rPr>
                <w:rFonts w:asciiTheme="minorHAnsi" w:hAnsiTheme="minorHAnsi" w:cstheme="minorHAnsi"/>
                <w:b/>
                <w:bCs/>
              </w:rPr>
              <w:t>Percent</w:t>
            </w:r>
          </w:p>
        </w:tc>
        <w:tc>
          <w:tcPr>
            <w:tcW w:w="767" w:type="pct"/>
            <w:shd w:val="clear" w:color="auto" w:fill="E1EBF7" w:themeFill="text2" w:themeFillTint="1A"/>
          </w:tcPr>
          <w:p w14:paraId="74271ACF" w14:textId="6243F58A" w:rsidR="000826B8" w:rsidRPr="000826B8" w:rsidRDefault="000826B8" w:rsidP="00FD2E73">
            <w:pPr>
              <w:spacing w:after="0"/>
              <w:jc w:val="center"/>
              <w:rPr>
                <w:rFonts w:asciiTheme="minorHAnsi" w:hAnsiTheme="minorHAnsi" w:cstheme="minorHAnsi"/>
                <w:b/>
              </w:rPr>
            </w:pPr>
            <w:r w:rsidRPr="000826B8">
              <w:rPr>
                <w:rFonts w:asciiTheme="minorHAnsi" w:hAnsiTheme="minorHAnsi" w:cstheme="minorHAnsi"/>
                <w:b/>
              </w:rPr>
              <w:t>FY25</w:t>
            </w:r>
            <w:r w:rsidR="00C239A7" w:rsidRPr="000826B8">
              <w:rPr>
                <w:rFonts w:asciiTheme="minorHAnsi" w:hAnsiTheme="minorHAnsi" w:cstheme="minorHAnsi"/>
                <w:b/>
                <w:bCs/>
              </w:rPr>
              <w:t xml:space="preserve"> </w:t>
            </w:r>
            <w:r w:rsidR="00C239A7" w:rsidRPr="000826B8">
              <w:rPr>
                <w:rFonts w:asciiTheme="minorHAnsi" w:hAnsiTheme="minorHAnsi" w:cstheme="minorHAnsi"/>
                <w:b/>
                <w:bCs/>
              </w:rPr>
              <w:t>Percent</w:t>
            </w:r>
          </w:p>
        </w:tc>
      </w:tr>
      <w:tr w:rsidR="000826B8" w:rsidRPr="000826B8" w14:paraId="7787EB93" w14:textId="77777777" w:rsidTr="00203860">
        <w:trPr>
          <w:cantSplit/>
        </w:trPr>
        <w:tc>
          <w:tcPr>
            <w:tcW w:w="2644" w:type="pct"/>
          </w:tcPr>
          <w:p w14:paraId="578548F1" w14:textId="77777777" w:rsidR="000826B8" w:rsidRPr="000826B8" w:rsidRDefault="000826B8" w:rsidP="00FD2E73">
            <w:pPr>
              <w:spacing w:after="0"/>
              <w:rPr>
                <w:rFonts w:asciiTheme="minorHAnsi" w:hAnsiTheme="minorHAnsi" w:cstheme="minorHAnsi"/>
                <w:bCs/>
              </w:rPr>
            </w:pPr>
            <w:proofErr w:type="gramStart"/>
            <w:r w:rsidRPr="000826B8">
              <w:rPr>
                <w:rFonts w:asciiTheme="minorHAnsi" w:hAnsiTheme="minorHAnsi" w:cstheme="minorHAnsi"/>
                <w:bCs/>
              </w:rPr>
              <w:t>Medicaid  /</w:t>
            </w:r>
            <w:proofErr w:type="gramEnd"/>
            <w:r w:rsidRPr="000826B8">
              <w:rPr>
                <w:rFonts w:asciiTheme="minorHAnsi" w:hAnsiTheme="minorHAnsi" w:cstheme="minorHAnsi"/>
                <w:bCs/>
              </w:rPr>
              <w:t xml:space="preserve"> CHIP / Medicaid Managed Care</w:t>
            </w:r>
          </w:p>
        </w:tc>
        <w:tc>
          <w:tcPr>
            <w:tcW w:w="867" w:type="pct"/>
          </w:tcPr>
          <w:p w14:paraId="2F4C1A99"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95.9%</w:t>
            </w:r>
          </w:p>
        </w:tc>
        <w:tc>
          <w:tcPr>
            <w:tcW w:w="722" w:type="pct"/>
          </w:tcPr>
          <w:p w14:paraId="15A51948"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95.4%</w:t>
            </w:r>
          </w:p>
        </w:tc>
        <w:tc>
          <w:tcPr>
            <w:tcW w:w="767" w:type="pct"/>
          </w:tcPr>
          <w:p w14:paraId="79C78D62"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94.0%</w:t>
            </w:r>
          </w:p>
        </w:tc>
      </w:tr>
      <w:tr w:rsidR="000826B8" w:rsidRPr="000826B8" w14:paraId="593DBF75" w14:textId="77777777" w:rsidTr="00203860">
        <w:trPr>
          <w:cantSplit/>
        </w:trPr>
        <w:tc>
          <w:tcPr>
            <w:tcW w:w="2644" w:type="pct"/>
          </w:tcPr>
          <w:p w14:paraId="346553B9" w14:textId="77777777" w:rsidR="000826B8" w:rsidRPr="000826B8" w:rsidRDefault="000826B8" w:rsidP="00FD2E73">
            <w:pPr>
              <w:spacing w:after="0"/>
              <w:rPr>
                <w:rFonts w:asciiTheme="minorHAnsi" w:hAnsiTheme="minorHAnsi" w:cstheme="minorHAnsi"/>
                <w:bCs/>
              </w:rPr>
            </w:pPr>
            <w:r w:rsidRPr="000826B8">
              <w:rPr>
                <w:rFonts w:asciiTheme="minorHAnsi" w:hAnsiTheme="minorHAnsi" w:cstheme="minorHAnsi"/>
                <w:bCs/>
              </w:rPr>
              <w:t>Medicare</w:t>
            </w:r>
          </w:p>
        </w:tc>
        <w:tc>
          <w:tcPr>
            <w:tcW w:w="867" w:type="pct"/>
          </w:tcPr>
          <w:p w14:paraId="2E49BAA6"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0.0%</w:t>
            </w:r>
          </w:p>
        </w:tc>
        <w:tc>
          <w:tcPr>
            <w:tcW w:w="722" w:type="pct"/>
          </w:tcPr>
          <w:p w14:paraId="5D8A2EFF"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0.0%</w:t>
            </w:r>
          </w:p>
        </w:tc>
        <w:tc>
          <w:tcPr>
            <w:tcW w:w="767" w:type="pct"/>
          </w:tcPr>
          <w:p w14:paraId="1939CB6C"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0.0%</w:t>
            </w:r>
          </w:p>
        </w:tc>
      </w:tr>
      <w:tr w:rsidR="000826B8" w:rsidRPr="000826B8" w14:paraId="2476145B" w14:textId="77777777" w:rsidTr="00203860">
        <w:trPr>
          <w:cantSplit/>
        </w:trPr>
        <w:tc>
          <w:tcPr>
            <w:tcW w:w="2644" w:type="pct"/>
          </w:tcPr>
          <w:p w14:paraId="30E6C173" w14:textId="77777777" w:rsidR="000826B8" w:rsidRPr="000826B8" w:rsidRDefault="000826B8" w:rsidP="00FD2E73">
            <w:pPr>
              <w:spacing w:after="0"/>
              <w:rPr>
                <w:rFonts w:asciiTheme="minorHAnsi" w:hAnsiTheme="minorHAnsi" w:cstheme="minorHAnsi"/>
                <w:bCs/>
              </w:rPr>
            </w:pPr>
            <w:r w:rsidRPr="000826B8">
              <w:rPr>
                <w:rFonts w:asciiTheme="minorHAnsi" w:hAnsiTheme="minorHAnsi" w:cstheme="minorHAnsi"/>
                <w:bCs/>
              </w:rPr>
              <w:lastRenderedPageBreak/>
              <w:t xml:space="preserve">Commercial </w:t>
            </w:r>
          </w:p>
        </w:tc>
        <w:tc>
          <w:tcPr>
            <w:tcW w:w="867" w:type="pct"/>
          </w:tcPr>
          <w:p w14:paraId="1F98195E"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4.1%</w:t>
            </w:r>
          </w:p>
        </w:tc>
        <w:tc>
          <w:tcPr>
            <w:tcW w:w="722" w:type="pct"/>
          </w:tcPr>
          <w:p w14:paraId="2911F4A8"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4.5%</w:t>
            </w:r>
          </w:p>
        </w:tc>
        <w:tc>
          <w:tcPr>
            <w:tcW w:w="767" w:type="pct"/>
          </w:tcPr>
          <w:p w14:paraId="30E38BC7"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6.0%</w:t>
            </w:r>
          </w:p>
        </w:tc>
      </w:tr>
      <w:tr w:rsidR="000826B8" w:rsidRPr="000826B8" w14:paraId="601B67EC" w14:textId="77777777" w:rsidTr="00203860">
        <w:trPr>
          <w:cantSplit/>
        </w:trPr>
        <w:tc>
          <w:tcPr>
            <w:tcW w:w="2644" w:type="pct"/>
          </w:tcPr>
          <w:p w14:paraId="60F7B056" w14:textId="77777777" w:rsidR="000826B8" w:rsidRPr="000826B8" w:rsidRDefault="000826B8" w:rsidP="00FD2E73">
            <w:pPr>
              <w:spacing w:after="0"/>
              <w:rPr>
                <w:rFonts w:asciiTheme="minorHAnsi" w:hAnsiTheme="minorHAnsi" w:cstheme="minorHAnsi"/>
                <w:bCs/>
              </w:rPr>
            </w:pPr>
            <w:r w:rsidRPr="000826B8">
              <w:rPr>
                <w:rFonts w:asciiTheme="minorHAnsi" w:hAnsiTheme="minorHAnsi" w:cstheme="minorHAnsi"/>
                <w:bCs/>
              </w:rPr>
              <w:t>Other</w:t>
            </w:r>
          </w:p>
        </w:tc>
        <w:tc>
          <w:tcPr>
            <w:tcW w:w="867" w:type="pct"/>
          </w:tcPr>
          <w:p w14:paraId="1934C5CF"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0.0%</w:t>
            </w:r>
          </w:p>
        </w:tc>
        <w:tc>
          <w:tcPr>
            <w:tcW w:w="722" w:type="pct"/>
          </w:tcPr>
          <w:p w14:paraId="189565A0"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0.0%</w:t>
            </w:r>
          </w:p>
        </w:tc>
        <w:tc>
          <w:tcPr>
            <w:tcW w:w="767" w:type="pct"/>
          </w:tcPr>
          <w:p w14:paraId="36687348" w14:textId="77777777" w:rsidR="000826B8" w:rsidRPr="000826B8" w:rsidRDefault="000826B8" w:rsidP="00FD2E73">
            <w:pPr>
              <w:spacing w:after="0"/>
              <w:jc w:val="center"/>
              <w:rPr>
                <w:rFonts w:asciiTheme="minorHAnsi" w:hAnsiTheme="minorHAnsi" w:cstheme="minorHAnsi"/>
              </w:rPr>
            </w:pPr>
            <w:r w:rsidRPr="000826B8">
              <w:rPr>
                <w:rFonts w:asciiTheme="minorHAnsi" w:hAnsiTheme="minorHAnsi" w:cstheme="minorHAnsi"/>
                <w:color w:val="000000"/>
              </w:rPr>
              <w:t>0.0%</w:t>
            </w:r>
          </w:p>
        </w:tc>
      </w:tr>
    </w:tbl>
    <w:p w14:paraId="166EAF9D" w14:textId="77777777" w:rsidR="000826B8" w:rsidRPr="000826B8" w:rsidRDefault="000826B8" w:rsidP="000826B8">
      <w:pPr>
        <w:pBdr>
          <w:top w:val="nil"/>
          <w:left w:val="nil"/>
          <w:bottom w:val="nil"/>
          <w:right w:val="nil"/>
          <w:between w:val="nil"/>
        </w:pBdr>
        <w:spacing w:line="259" w:lineRule="auto"/>
        <w:rPr>
          <w:rFonts w:asciiTheme="minorHAnsi" w:hAnsiTheme="minorHAnsi" w:cstheme="minorHAnsi"/>
        </w:rPr>
      </w:pPr>
    </w:p>
    <w:p w14:paraId="3F41B244" w14:textId="77777777" w:rsidR="000826B8" w:rsidRPr="000826B8" w:rsidRDefault="000826B8" w:rsidP="000826B8">
      <w:pPr>
        <w:numPr>
          <w:ilvl w:val="0"/>
          <w:numId w:val="31"/>
        </w:numPr>
        <w:pBdr>
          <w:top w:val="nil"/>
          <w:left w:val="nil"/>
          <w:bottom w:val="nil"/>
          <w:right w:val="nil"/>
          <w:between w:val="nil"/>
        </w:pBdr>
        <w:spacing w:after="160" w:line="259" w:lineRule="auto"/>
        <w:rPr>
          <w:rFonts w:asciiTheme="minorHAnsi" w:hAnsiTheme="minorHAnsi" w:cstheme="minorHAnsi"/>
          <w:b/>
          <w:color w:val="000000"/>
        </w:rPr>
      </w:pPr>
      <w:r w:rsidRPr="000826B8">
        <w:rPr>
          <w:rFonts w:asciiTheme="minorHAnsi" w:hAnsiTheme="minorHAnsi" w:cstheme="minorHAnsi"/>
          <w:b/>
          <w:color w:val="000000"/>
        </w:rPr>
        <w:t xml:space="preserve">Behavioral Health Risk Factors </w:t>
      </w:r>
    </w:p>
    <w:p w14:paraId="5660C3C0" w14:textId="77777777" w:rsidR="000826B8" w:rsidRPr="00F74292" w:rsidRDefault="000826B8" w:rsidP="000826B8">
      <w:pPr>
        <w:pBdr>
          <w:top w:val="nil"/>
          <w:left w:val="nil"/>
          <w:bottom w:val="nil"/>
          <w:right w:val="nil"/>
          <w:between w:val="nil"/>
        </w:pBdr>
        <w:spacing w:line="259" w:lineRule="auto"/>
        <w:rPr>
          <w:rFonts w:asciiTheme="minorHAnsi" w:hAnsiTheme="minorHAnsi" w:cstheme="minorHAnsi"/>
          <w:bCs/>
          <w:color w:val="000000"/>
          <w:szCs w:val="24"/>
        </w:rPr>
      </w:pPr>
      <w:r w:rsidRPr="00F74292">
        <w:rPr>
          <w:rFonts w:asciiTheme="minorHAnsi" w:hAnsiTheme="minorHAnsi" w:cstheme="minorHAnsi"/>
          <w:bCs/>
          <w:color w:val="000000"/>
          <w:szCs w:val="24"/>
        </w:rPr>
        <w:t>Blue Cloud began collecting this detailed behavioral health risk factor data in 2024. The data for 2024 is based on a partial year starting in April 2024.  This data will not align with the unique patient data set forth above.</w:t>
      </w:r>
    </w:p>
    <w:tbl>
      <w:tblPr>
        <w:tblW w:w="5908" w:type="dxa"/>
        <w:tblInd w:w="-5" w:type="dxa"/>
        <w:tblLook w:val="04A0" w:firstRow="1" w:lastRow="0" w:firstColumn="1" w:lastColumn="0" w:noHBand="0" w:noVBand="1"/>
        <w:tblCaption w:val="Behavioral Health Risk Factors"/>
      </w:tblPr>
      <w:tblGrid>
        <w:gridCol w:w="1980"/>
        <w:gridCol w:w="1034"/>
        <w:gridCol w:w="1034"/>
        <w:gridCol w:w="1860"/>
      </w:tblGrid>
      <w:tr w:rsidR="000826B8" w:rsidRPr="00F74292" w14:paraId="4791574E" w14:textId="77777777" w:rsidTr="004346EA">
        <w:trPr>
          <w:cantSplit/>
          <w:trHeight w:val="300"/>
          <w:tblHeader/>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40A3BB3" w14:textId="77777777" w:rsidR="000826B8" w:rsidRPr="00F74292" w:rsidRDefault="000826B8" w:rsidP="00FD2E73">
            <w:pPr>
              <w:spacing w:after="0" w:line="240" w:lineRule="auto"/>
              <w:jc w:val="center"/>
              <w:rPr>
                <w:rFonts w:asciiTheme="minorHAnsi" w:eastAsia="Times New Roman" w:hAnsiTheme="minorHAnsi" w:cstheme="minorHAnsi"/>
                <w:b/>
                <w:bCs/>
                <w:color w:val="000000"/>
                <w:szCs w:val="24"/>
              </w:rPr>
            </w:pPr>
            <w:r w:rsidRPr="00F74292">
              <w:rPr>
                <w:rFonts w:asciiTheme="minorHAnsi" w:eastAsia="Times New Roman" w:hAnsiTheme="minorHAnsi" w:cstheme="minorHAnsi"/>
                <w:b/>
                <w:bCs/>
                <w:color w:val="000000"/>
                <w:szCs w:val="24"/>
              </w:rPr>
              <w:t>Patient Type</w:t>
            </w:r>
          </w:p>
        </w:tc>
        <w:tc>
          <w:tcPr>
            <w:tcW w:w="1034" w:type="dxa"/>
            <w:tcBorders>
              <w:top w:val="nil"/>
              <w:left w:val="nil"/>
              <w:bottom w:val="single" w:sz="4" w:space="0" w:color="auto"/>
              <w:right w:val="single" w:sz="4" w:space="0" w:color="auto"/>
            </w:tcBorders>
            <w:noWrap/>
            <w:vAlign w:val="bottom"/>
            <w:hideMark/>
          </w:tcPr>
          <w:p w14:paraId="57A1102D" w14:textId="4129A02D" w:rsidR="000826B8" w:rsidRPr="00F74292" w:rsidRDefault="00C76AE8" w:rsidP="00FD2E73">
            <w:pPr>
              <w:spacing w:after="0" w:line="240" w:lineRule="auto"/>
              <w:jc w:val="center"/>
              <w:rPr>
                <w:rFonts w:asciiTheme="minorHAnsi" w:eastAsia="Times New Roman" w:hAnsiTheme="minorHAnsi" w:cstheme="minorHAnsi"/>
                <w:b/>
                <w:bCs/>
                <w:color w:val="000000"/>
                <w:szCs w:val="24"/>
              </w:rPr>
            </w:pPr>
            <w:r w:rsidRPr="00F74292">
              <w:rPr>
                <w:rFonts w:asciiTheme="minorHAnsi" w:eastAsia="Times New Roman" w:hAnsiTheme="minorHAnsi" w:cstheme="minorHAnsi"/>
                <w:b/>
                <w:bCs/>
                <w:color w:val="000000"/>
                <w:szCs w:val="24"/>
              </w:rPr>
              <w:t xml:space="preserve">Number of </w:t>
            </w:r>
            <w:r w:rsidRPr="00F74292">
              <w:rPr>
                <w:rFonts w:asciiTheme="minorHAnsi" w:eastAsia="Times New Roman" w:hAnsiTheme="minorHAnsi" w:cstheme="minorHAnsi"/>
                <w:b/>
                <w:bCs/>
                <w:color w:val="000000"/>
                <w:szCs w:val="24"/>
              </w:rPr>
              <w:t xml:space="preserve">Patients </w:t>
            </w:r>
            <w:r>
              <w:rPr>
                <w:rFonts w:asciiTheme="minorHAnsi" w:eastAsia="Times New Roman" w:hAnsiTheme="minorHAnsi" w:cstheme="minorHAnsi"/>
                <w:b/>
                <w:bCs/>
                <w:color w:val="000000"/>
                <w:szCs w:val="24"/>
              </w:rPr>
              <w:t>2024</w:t>
            </w:r>
          </w:p>
        </w:tc>
        <w:tc>
          <w:tcPr>
            <w:tcW w:w="1034" w:type="dxa"/>
            <w:tcBorders>
              <w:top w:val="nil"/>
              <w:left w:val="nil"/>
              <w:bottom w:val="single" w:sz="4" w:space="0" w:color="auto"/>
              <w:right w:val="single" w:sz="4" w:space="0" w:color="auto"/>
            </w:tcBorders>
            <w:noWrap/>
            <w:vAlign w:val="bottom"/>
            <w:hideMark/>
          </w:tcPr>
          <w:p w14:paraId="58F6797E" w14:textId="42380921" w:rsidR="000826B8" w:rsidRPr="00F74292" w:rsidRDefault="00C76AE8" w:rsidP="00FD2E73">
            <w:pPr>
              <w:spacing w:after="0" w:line="240" w:lineRule="auto"/>
              <w:jc w:val="center"/>
              <w:rPr>
                <w:rFonts w:asciiTheme="minorHAnsi" w:eastAsia="Times New Roman" w:hAnsiTheme="minorHAnsi" w:cstheme="minorHAnsi"/>
                <w:b/>
                <w:bCs/>
                <w:color w:val="000000"/>
                <w:szCs w:val="24"/>
              </w:rPr>
            </w:pPr>
            <w:r w:rsidRPr="00F74292">
              <w:rPr>
                <w:rFonts w:asciiTheme="minorHAnsi" w:eastAsia="Times New Roman" w:hAnsiTheme="minorHAnsi" w:cstheme="minorHAnsi"/>
                <w:b/>
                <w:bCs/>
                <w:color w:val="000000"/>
                <w:szCs w:val="24"/>
              </w:rPr>
              <w:t xml:space="preserve">Number of </w:t>
            </w:r>
            <w:r w:rsidRPr="00F74292">
              <w:rPr>
                <w:rFonts w:asciiTheme="minorHAnsi" w:eastAsia="Times New Roman" w:hAnsiTheme="minorHAnsi" w:cstheme="minorHAnsi"/>
                <w:b/>
                <w:bCs/>
                <w:color w:val="000000"/>
                <w:szCs w:val="24"/>
              </w:rPr>
              <w:t xml:space="preserve">Patients </w:t>
            </w:r>
            <w:r>
              <w:rPr>
                <w:rFonts w:asciiTheme="minorHAnsi" w:eastAsia="Times New Roman" w:hAnsiTheme="minorHAnsi" w:cstheme="minorHAnsi"/>
                <w:b/>
                <w:bCs/>
                <w:color w:val="000000"/>
                <w:szCs w:val="24"/>
              </w:rPr>
              <w:t>2025</w:t>
            </w:r>
          </w:p>
        </w:tc>
        <w:tc>
          <w:tcPr>
            <w:tcW w:w="1860" w:type="dxa"/>
            <w:tcBorders>
              <w:top w:val="single" w:sz="4" w:space="0" w:color="auto"/>
              <w:left w:val="nil"/>
              <w:bottom w:val="single" w:sz="4" w:space="0" w:color="auto"/>
              <w:right w:val="single" w:sz="4" w:space="0" w:color="auto"/>
            </w:tcBorders>
            <w:noWrap/>
            <w:vAlign w:val="bottom"/>
            <w:hideMark/>
          </w:tcPr>
          <w:p w14:paraId="029FCD3D" w14:textId="33AB516E" w:rsidR="000826B8" w:rsidRPr="00F74292" w:rsidRDefault="00A9558A" w:rsidP="00FD2E73">
            <w:pPr>
              <w:spacing w:after="0" w:line="240" w:lineRule="auto"/>
              <w:jc w:val="center"/>
              <w:rPr>
                <w:rFonts w:asciiTheme="minorHAnsi" w:eastAsia="Times New Roman" w:hAnsiTheme="minorHAnsi" w:cstheme="minorHAnsi"/>
                <w:b/>
                <w:bCs/>
                <w:color w:val="000000"/>
                <w:szCs w:val="24"/>
              </w:rPr>
            </w:pPr>
            <w:r>
              <w:rPr>
                <w:rFonts w:asciiTheme="minorHAnsi" w:eastAsia="Times New Roman" w:hAnsiTheme="minorHAnsi" w:cstheme="minorHAnsi"/>
                <w:b/>
                <w:bCs/>
                <w:color w:val="000000"/>
                <w:szCs w:val="24"/>
              </w:rPr>
              <w:t>Percent</w:t>
            </w:r>
            <w:r w:rsidR="000826B8" w:rsidRPr="00F74292">
              <w:rPr>
                <w:rFonts w:asciiTheme="minorHAnsi" w:eastAsia="Times New Roman" w:hAnsiTheme="minorHAnsi" w:cstheme="minorHAnsi"/>
                <w:b/>
                <w:bCs/>
                <w:color w:val="000000"/>
                <w:szCs w:val="24"/>
              </w:rPr>
              <w:t xml:space="preserve"> of Cases Treated</w:t>
            </w:r>
          </w:p>
        </w:tc>
      </w:tr>
      <w:tr w:rsidR="000826B8" w:rsidRPr="00F74292" w14:paraId="40506C31" w14:textId="77777777" w:rsidTr="000337F3">
        <w:trPr>
          <w:cantSplit/>
          <w:trHeight w:val="300"/>
        </w:trPr>
        <w:tc>
          <w:tcPr>
            <w:tcW w:w="1980" w:type="dxa"/>
            <w:tcBorders>
              <w:top w:val="nil"/>
              <w:left w:val="single" w:sz="4" w:space="0" w:color="auto"/>
              <w:bottom w:val="single" w:sz="4" w:space="0" w:color="auto"/>
              <w:right w:val="single" w:sz="4" w:space="0" w:color="auto"/>
            </w:tcBorders>
            <w:noWrap/>
            <w:vAlign w:val="bottom"/>
            <w:hideMark/>
          </w:tcPr>
          <w:p w14:paraId="2DCF2361" w14:textId="77777777" w:rsidR="000826B8" w:rsidRPr="00F74292" w:rsidRDefault="000826B8" w:rsidP="00FD2E73">
            <w:pPr>
              <w:spacing w:after="0" w:line="240" w:lineRule="auto"/>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Special Needs</w:t>
            </w:r>
          </w:p>
        </w:tc>
        <w:tc>
          <w:tcPr>
            <w:tcW w:w="1034" w:type="dxa"/>
            <w:tcBorders>
              <w:top w:val="nil"/>
              <w:left w:val="nil"/>
              <w:bottom w:val="single" w:sz="4" w:space="0" w:color="auto"/>
              <w:right w:val="single" w:sz="4" w:space="0" w:color="auto"/>
            </w:tcBorders>
            <w:noWrap/>
            <w:vAlign w:val="bottom"/>
            <w:hideMark/>
          </w:tcPr>
          <w:p w14:paraId="7E8D1B1F"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 </w:t>
            </w:r>
          </w:p>
          <w:p w14:paraId="06568121"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7,181</w:t>
            </w:r>
          </w:p>
        </w:tc>
        <w:tc>
          <w:tcPr>
            <w:tcW w:w="1034" w:type="dxa"/>
            <w:tcBorders>
              <w:top w:val="nil"/>
              <w:left w:val="nil"/>
              <w:bottom w:val="single" w:sz="4" w:space="0" w:color="auto"/>
              <w:right w:val="single" w:sz="4" w:space="0" w:color="auto"/>
            </w:tcBorders>
            <w:noWrap/>
            <w:vAlign w:val="bottom"/>
            <w:hideMark/>
          </w:tcPr>
          <w:p w14:paraId="3FA4950C"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12,384</w:t>
            </w:r>
          </w:p>
        </w:tc>
        <w:tc>
          <w:tcPr>
            <w:tcW w:w="1860" w:type="dxa"/>
            <w:tcBorders>
              <w:top w:val="nil"/>
              <w:left w:val="nil"/>
              <w:bottom w:val="single" w:sz="4" w:space="0" w:color="auto"/>
              <w:right w:val="single" w:sz="4" w:space="0" w:color="auto"/>
            </w:tcBorders>
            <w:noWrap/>
            <w:vAlign w:val="bottom"/>
            <w:hideMark/>
          </w:tcPr>
          <w:p w14:paraId="27F6C0D5"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18%</w:t>
            </w:r>
          </w:p>
        </w:tc>
      </w:tr>
      <w:tr w:rsidR="000826B8" w:rsidRPr="00F74292" w14:paraId="20F2D721" w14:textId="77777777" w:rsidTr="000337F3">
        <w:trPr>
          <w:cantSplit/>
          <w:trHeight w:val="300"/>
        </w:trPr>
        <w:tc>
          <w:tcPr>
            <w:tcW w:w="1980" w:type="dxa"/>
            <w:tcBorders>
              <w:top w:val="nil"/>
              <w:left w:val="single" w:sz="4" w:space="0" w:color="auto"/>
              <w:bottom w:val="single" w:sz="4" w:space="0" w:color="auto"/>
              <w:right w:val="single" w:sz="4" w:space="0" w:color="auto"/>
            </w:tcBorders>
            <w:noWrap/>
            <w:vAlign w:val="bottom"/>
            <w:hideMark/>
          </w:tcPr>
          <w:p w14:paraId="68537235" w14:textId="77777777" w:rsidR="000826B8" w:rsidRPr="00F74292" w:rsidRDefault="000826B8" w:rsidP="00FD2E73">
            <w:pPr>
              <w:spacing w:after="0" w:line="240" w:lineRule="auto"/>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Traditional</w:t>
            </w:r>
          </w:p>
        </w:tc>
        <w:tc>
          <w:tcPr>
            <w:tcW w:w="1034" w:type="dxa"/>
            <w:tcBorders>
              <w:top w:val="nil"/>
              <w:left w:val="nil"/>
              <w:bottom w:val="single" w:sz="4" w:space="0" w:color="auto"/>
              <w:right w:val="single" w:sz="4" w:space="0" w:color="auto"/>
            </w:tcBorders>
            <w:noWrap/>
            <w:vAlign w:val="bottom"/>
            <w:hideMark/>
          </w:tcPr>
          <w:p w14:paraId="6451565C"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 </w:t>
            </w:r>
          </w:p>
          <w:p w14:paraId="1F6AF1F9"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33,595</w:t>
            </w:r>
          </w:p>
        </w:tc>
        <w:tc>
          <w:tcPr>
            <w:tcW w:w="1034" w:type="dxa"/>
            <w:tcBorders>
              <w:top w:val="nil"/>
              <w:left w:val="nil"/>
              <w:bottom w:val="single" w:sz="4" w:space="0" w:color="auto"/>
              <w:right w:val="single" w:sz="4" w:space="0" w:color="auto"/>
            </w:tcBorders>
            <w:noWrap/>
            <w:vAlign w:val="bottom"/>
            <w:hideMark/>
          </w:tcPr>
          <w:p w14:paraId="64D19C2C"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55,016</w:t>
            </w:r>
          </w:p>
        </w:tc>
        <w:tc>
          <w:tcPr>
            <w:tcW w:w="1860" w:type="dxa"/>
            <w:tcBorders>
              <w:top w:val="nil"/>
              <w:left w:val="nil"/>
              <w:bottom w:val="single" w:sz="4" w:space="0" w:color="auto"/>
              <w:right w:val="single" w:sz="4" w:space="0" w:color="auto"/>
            </w:tcBorders>
            <w:noWrap/>
            <w:vAlign w:val="bottom"/>
            <w:hideMark/>
          </w:tcPr>
          <w:p w14:paraId="58611F19"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82%</w:t>
            </w:r>
          </w:p>
        </w:tc>
      </w:tr>
    </w:tbl>
    <w:p w14:paraId="1F33C6AF" w14:textId="77777777" w:rsidR="000826B8" w:rsidRPr="000826B8" w:rsidRDefault="000826B8" w:rsidP="000826B8">
      <w:pPr>
        <w:pBdr>
          <w:top w:val="nil"/>
          <w:left w:val="nil"/>
          <w:bottom w:val="nil"/>
          <w:right w:val="nil"/>
          <w:between w:val="nil"/>
        </w:pBdr>
        <w:spacing w:line="259" w:lineRule="auto"/>
        <w:ind w:left="720"/>
        <w:rPr>
          <w:rFonts w:asciiTheme="minorHAnsi" w:hAnsiTheme="minorHAnsi" w:cstheme="minorHAnsi"/>
          <w:b/>
          <w:color w:val="000000"/>
        </w:rPr>
      </w:pPr>
    </w:p>
    <w:tbl>
      <w:tblPr>
        <w:tblW w:w="4798" w:type="pct"/>
        <w:tblLook w:val="04A0" w:firstRow="1" w:lastRow="0" w:firstColumn="1" w:lastColumn="0" w:noHBand="0" w:noVBand="1"/>
        <w:tblCaption w:val="Neuro Muscular Risk Factors"/>
      </w:tblPr>
      <w:tblGrid>
        <w:gridCol w:w="6532"/>
        <w:gridCol w:w="1552"/>
        <w:gridCol w:w="888"/>
      </w:tblGrid>
      <w:tr w:rsidR="000826B8" w:rsidRPr="000826B8" w14:paraId="048A247B" w14:textId="77777777" w:rsidTr="006A4827">
        <w:trPr>
          <w:cantSplit/>
          <w:trHeight w:val="300"/>
          <w:tblHeader/>
        </w:trPr>
        <w:tc>
          <w:tcPr>
            <w:tcW w:w="3639" w:type="pct"/>
            <w:tcBorders>
              <w:top w:val="single" w:sz="4" w:space="0" w:color="auto"/>
              <w:left w:val="single" w:sz="4" w:space="0" w:color="auto"/>
            </w:tcBorders>
            <w:shd w:val="clear" w:color="auto" w:fill="E1EBF7" w:themeFill="text2" w:themeFillTint="1A"/>
            <w:noWrap/>
            <w:vAlign w:val="bottom"/>
            <w:hideMark/>
          </w:tcPr>
          <w:p w14:paraId="2059FC2C" w14:textId="77777777" w:rsidR="000826B8" w:rsidRPr="009C505A" w:rsidRDefault="000826B8" w:rsidP="00FD2E73">
            <w:pPr>
              <w:spacing w:after="0" w:line="240" w:lineRule="auto"/>
              <w:rPr>
                <w:rFonts w:asciiTheme="minorHAnsi" w:eastAsia="Times New Roman" w:hAnsiTheme="minorHAnsi" w:cstheme="minorHAnsi"/>
                <w:b/>
                <w:bCs/>
                <w:color w:val="000000"/>
                <w:szCs w:val="24"/>
              </w:rPr>
            </w:pPr>
            <w:r w:rsidRPr="009C505A">
              <w:rPr>
                <w:rFonts w:asciiTheme="minorHAnsi" w:eastAsia="Times New Roman" w:hAnsiTheme="minorHAnsi" w:cstheme="minorHAnsi"/>
                <w:b/>
                <w:bCs/>
                <w:color w:val="000000"/>
                <w:szCs w:val="24"/>
              </w:rPr>
              <w:t>Neuro Muscular Risk Factors</w:t>
            </w:r>
          </w:p>
        </w:tc>
        <w:tc>
          <w:tcPr>
            <w:tcW w:w="865" w:type="pct"/>
            <w:tcBorders>
              <w:top w:val="single" w:sz="4" w:space="0" w:color="auto"/>
            </w:tcBorders>
            <w:shd w:val="clear" w:color="auto" w:fill="E1EBF7" w:themeFill="text2" w:themeFillTint="1A"/>
            <w:noWrap/>
            <w:vAlign w:val="bottom"/>
            <w:hideMark/>
          </w:tcPr>
          <w:p w14:paraId="372BDA3C" w14:textId="77777777" w:rsidR="000826B8" w:rsidRPr="009C505A" w:rsidRDefault="000826B8" w:rsidP="00FD2E73">
            <w:pPr>
              <w:spacing w:after="0" w:line="240" w:lineRule="auto"/>
              <w:jc w:val="center"/>
              <w:rPr>
                <w:rFonts w:asciiTheme="minorHAnsi" w:eastAsia="Times New Roman" w:hAnsiTheme="minorHAnsi" w:cstheme="minorHAnsi"/>
                <w:b/>
                <w:bCs/>
                <w:color w:val="000000"/>
                <w:szCs w:val="24"/>
              </w:rPr>
            </w:pPr>
            <w:r w:rsidRPr="009C505A">
              <w:rPr>
                <w:rFonts w:asciiTheme="minorHAnsi" w:eastAsia="Times New Roman" w:hAnsiTheme="minorHAnsi" w:cstheme="minorHAnsi"/>
                <w:b/>
                <w:bCs/>
                <w:color w:val="000000"/>
                <w:szCs w:val="24"/>
              </w:rPr>
              <w:t>2024</w:t>
            </w:r>
          </w:p>
        </w:tc>
        <w:tc>
          <w:tcPr>
            <w:tcW w:w="495" w:type="pct"/>
            <w:tcBorders>
              <w:top w:val="single" w:sz="4" w:space="0" w:color="auto"/>
              <w:right w:val="single" w:sz="4" w:space="0" w:color="auto"/>
            </w:tcBorders>
            <w:shd w:val="clear" w:color="auto" w:fill="E1EBF7" w:themeFill="text2" w:themeFillTint="1A"/>
            <w:noWrap/>
            <w:vAlign w:val="bottom"/>
            <w:hideMark/>
          </w:tcPr>
          <w:p w14:paraId="285FF6C1" w14:textId="77777777" w:rsidR="000826B8" w:rsidRPr="009C505A" w:rsidRDefault="000826B8" w:rsidP="00FD2E73">
            <w:pPr>
              <w:spacing w:after="0" w:line="240" w:lineRule="auto"/>
              <w:jc w:val="center"/>
              <w:rPr>
                <w:rFonts w:asciiTheme="minorHAnsi" w:eastAsia="Times New Roman" w:hAnsiTheme="minorHAnsi" w:cstheme="minorHAnsi"/>
                <w:b/>
                <w:bCs/>
                <w:color w:val="000000"/>
                <w:szCs w:val="24"/>
              </w:rPr>
            </w:pPr>
            <w:r w:rsidRPr="009C505A">
              <w:rPr>
                <w:rFonts w:asciiTheme="minorHAnsi" w:eastAsia="Times New Roman" w:hAnsiTheme="minorHAnsi" w:cstheme="minorHAnsi"/>
                <w:b/>
                <w:bCs/>
                <w:color w:val="000000"/>
                <w:szCs w:val="24"/>
              </w:rPr>
              <w:t>2025</w:t>
            </w:r>
          </w:p>
        </w:tc>
      </w:tr>
      <w:tr w:rsidR="000826B8" w:rsidRPr="000826B8" w14:paraId="7078B88E" w14:textId="77777777" w:rsidTr="006A4827">
        <w:trPr>
          <w:cantSplit/>
          <w:trHeight w:val="300"/>
        </w:trPr>
        <w:tc>
          <w:tcPr>
            <w:tcW w:w="3639" w:type="pct"/>
            <w:tcBorders>
              <w:left w:val="single" w:sz="4" w:space="0" w:color="auto"/>
            </w:tcBorders>
            <w:noWrap/>
            <w:vAlign w:val="bottom"/>
            <w:hideMark/>
          </w:tcPr>
          <w:p w14:paraId="42A63868"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t>AANeuroMusc-SeizureHx</w:t>
            </w:r>
            <w:proofErr w:type="spellEnd"/>
          </w:p>
        </w:tc>
        <w:tc>
          <w:tcPr>
            <w:tcW w:w="865" w:type="pct"/>
            <w:noWrap/>
            <w:vAlign w:val="bottom"/>
            <w:hideMark/>
          </w:tcPr>
          <w:p w14:paraId="7DCED0AF"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810</w:t>
            </w:r>
          </w:p>
        </w:tc>
        <w:tc>
          <w:tcPr>
            <w:tcW w:w="495" w:type="pct"/>
            <w:tcBorders>
              <w:right w:val="single" w:sz="4" w:space="0" w:color="auto"/>
            </w:tcBorders>
            <w:noWrap/>
            <w:vAlign w:val="bottom"/>
            <w:hideMark/>
          </w:tcPr>
          <w:p w14:paraId="0228C0CA"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1152</w:t>
            </w:r>
          </w:p>
        </w:tc>
      </w:tr>
      <w:tr w:rsidR="000826B8" w:rsidRPr="000826B8" w14:paraId="40F7C728" w14:textId="77777777" w:rsidTr="006A4827">
        <w:trPr>
          <w:cantSplit/>
          <w:trHeight w:val="300"/>
        </w:trPr>
        <w:tc>
          <w:tcPr>
            <w:tcW w:w="3639" w:type="pct"/>
            <w:tcBorders>
              <w:left w:val="single" w:sz="4" w:space="0" w:color="auto"/>
            </w:tcBorders>
            <w:noWrap/>
            <w:vAlign w:val="bottom"/>
            <w:hideMark/>
          </w:tcPr>
          <w:p w14:paraId="624D221D"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t>AANeuroMusc</w:t>
            </w:r>
            <w:proofErr w:type="spellEnd"/>
            <w:r w:rsidRPr="00F74292">
              <w:rPr>
                <w:rFonts w:asciiTheme="minorHAnsi" w:eastAsia="Times New Roman" w:hAnsiTheme="minorHAnsi" w:cstheme="minorHAnsi"/>
                <w:color w:val="000000"/>
                <w:szCs w:val="24"/>
              </w:rPr>
              <w:t>-CP</w:t>
            </w:r>
          </w:p>
        </w:tc>
        <w:tc>
          <w:tcPr>
            <w:tcW w:w="865" w:type="pct"/>
            <w:noWrap/>
            <w:vAlign w:val="bottom"/>
            <w:hideMark/>
          </w:tcPr>
          <w:p w14:paraId="44228D20"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141</w:t>
            </w:r>
          </w:p>
        </w:tc>
        <w:tc>
          <w:tcPr>
            <w:tcW w:w="495" w:type="pct"/>
            <w:tcBorders>
              <w:right w:val="single" w:sz="4" w:space="0" w:color="auto"/>
            </w:tcBorders>
            <w:noWrap/>
            <w:vAlign w:val="bottom"/>
            <w:hideMark/>
          </w:tcPr>
          <w:p w14:paraId="7C8CCF40"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209</w:t>
            </w:r>
          </w:p>
        </w:tc>
      </w:tr>
      <w:tr w:rsidR="000826B8" w:rsidRPr="000826B8" w14:paraId="25424F1C" w14:textId="77777777" w:rsidTr="006A4827">
        <w:trPr>
          <w:cantSplit/>
          <w:trHeight w:val="300"/>
        </w:trPr>
        <w:tc>
          <w:tcPr>
            <w:tcW w:w="3639" w:type="pct"/>
            <w:tcBorders>
              <w:left w:val="single" w:sz="4" w:space="0" w:color="auto"/>
            </w:tcBorders>
            <w:noWrap/>
            <w:vAlign w:val="bottom"/>
            <w:hideMark/>
          </w:tcPr>
          <w:p w14:paraId="7CA01B93"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t>AANeuroMusc-Paralysis_MuscWeakness</w:t>
            </w:r>
            <w:proofErr w:type="spellEnd"/>
          </w:p>
        </w:tc>
        <w:tc>
          <w:tcPr>
            <w:tcW w:w="865" w:type="pct"/>
            <w:noWrap/>
            <w:vAlign w:val="bottom"/>
            <w:hideMark/>
          </w:tcPr>
          <w:p w14:paraId="254ED2A3"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24</w:t>
            </w:r>
          </w:p>
        </w:tc>
        <w:tc>
          <w:tcPr>
            <w:tcW w:w="495" w:type="pct"/>
            <w:tcBorders>
              <w:right w:val="single" w:sz="4" w:space="0" w:color="auto"/>
            </w:tcBorders>
            <w:noWrap/>
            <w:vAlign w:val="bottom"/>
            <w:hideMark/>
          </w:tcPr>
          <w:p w14:paraId="5BF370FC"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44</w:t>
            </w:r>
          </w:p>
        </w:tc>
      </w:tr>
      <w:tr w:rsidR="000826B8" w:rsidRPr="000826B8" w14:paraId="76EBAB02" w14:textId="77777777" w:rsidTr="006A4827">
        <w:trPr>
          <w:cantSplit/>
          <w:trHeight w:val="300"/>
        </w:trPr>
        <w:tc>
          <w:tcPr>
            <w:tcW w:w="3639" w:type="pct"/>
            <w:tcBorders>
              <w:left w:val="single" w:sz="4" w:space="0" w:color="auto"/>
            </w:tcBorders>
            <w:noWrap/>
            <w:vAlign w:val="bottom"/>
            <w:hideMark/>
          </w:tcPr>
          <w:p w14:paraId="7BE1BDA9"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t>AANeuroMusc-LowMuscleTone</w:t>
            </w:r>
            <w:proofErr w:type="spellEnd"/>
          </w:p>
        </w:tc>
        <w:tc>
          <w:tcPr>
            <w:tcW w:w="865" w:type="pct"/>
            <w:noWrap/>
            <w:vAlign w:val="bottom"/>
            <w:hideMark/>
          </w:tcPr>
          <w:p w14:paraId="1E35EA18"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47</w:t>
            </w:r>
          </w:p>
        </w:tc>
        <w:tc>
          <w:tcPr>
            <w:tcW w:w="495" w:type="pct"/>
            <w:tcBorders>
              <w:right w:val="single" w:sz="4" w:space="0" w:color="auto"/>
            </w:tcBorders>
            <w:noWrap/>
            <w:vAlign w:val="bottom"/>
            <w:hideMark/>
          </w:tcPr>
          <w:p w14:paraId="15624B33"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58</w:t>
            </w:r>
          </w:p>
        </w:tc>
      </w:tr>
      <w:tr w:rsidR="000826B8" w:rsidRPr="000826B8" w14:paraId="511306ED" w14:textId="77777777" w:rsidTr="006A4827">
        <w:trPr>
          <w:cantSplit/>
          <w:trHeight w:val="300"/>
        </w:trPr>
        <w:tc>
          <w:tcPr>
            <w:tcW w:w="3639" w:type="pct"/>
            <w:tcBorders>
              <w:left w:val="single" w:sz="4" w:space="0" w:color="auto"/>
            </w:tcBorders>
            <w:noWrap/>
            <w:vAlign w:val="bottom"/>
            <w:hideMark/>
          </w:tcPr>
          <w:p w14:paraId="4A0C5081"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t>AANeuroMusc-NeuroMuscularDis</w:t>
            </w:r>
            <w:proofErr w:type="spellEnd"/>
          </w:p>
        </w:tc>
        <w:tc>
          <w:tcPr>
            <w:tcW w:w="865" w:type="pct"/>
            <w:noWrap/>
            <w:vAlign w:val="bottom"/>
            <w:hideMark/>
          </w:tcPr>
          <w:p w14:paraId="55794A8A"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16</w:t>
            </w:r>
          </w:p>
        </w:tc>
        <w:tc>
          <w:tcPr>
            <w:tcW w:w="495" w:type="pct"/>
            <w:tcBorders>
              <w:right w:val="single" w:sz="4" w:space="0" w:color="auto"/>
            </w:tcBorders>
            <w:noWrap/>
            <w:vAlign w:val="bottom"/>
            <w:hideMark/>
          </w:tcPr>
          <w:p w14:paraId="292D7CA1"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21</w:t>
            </w:r>
          </w:p>
        </w:tc>
      </w:tr>
      <w:tr w:rsidR="000826B8" w:rsidRPr="000826B8" w14:paraId="01EF003B" w14:textId="77777777" w:rsidTr="006A4827">
        <w:trPr>
          <w:cantSplit/>
          <w:trHeight w:val="300"/>
        </w:trPr>
        <w:tc>
          <w:tcPr>
            <w:tcW w:w="3639" w:type="pct"/>
            <w:tcBorders>
              <w:left w:val="single" w:sz="4" w:space="0" w:color="auto"/>
            </w:tcBorders>
            <w:noWrap/>
            <w:vAlign w:val="bottom"/>
            <w:hideMark/>
          </w:tcPr>
          <w:p w14:paraId="61FD9527"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t>AANeuroMusc</w:t>
            </w:r>
            <w:proofErr w:type="spellEnd"/>
            <w:r w:rsidRPr="00F74292">
              <w:rPr>
                <w:rFonts w:asciiTheme="minorHAnsi" w:eastAsia="Times New Roman" w:hAnsiTheme="minorHAnsi" w:cstheme="minorHAnsi"/>
                <w:color w:val="000000"/>
                <w:szCs w:val="24"/>
              </w:rPr>
              <w:t>-Scoliosis</w:t>
            </w:r>
          </w:p>
        </w:tc>
        <w:tc>
          <w:tcPr>
            <w:tcW w:w="865" w:type="pct"/>
            <w:noWrap/>
            <w:vAlign w:val="bottom"/>
            <w:hideMark/>
          </w:tcPr>
          <w:p w14:paraId="584FD7F3"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13</w:t>
            </w:r>
          </w:p>
        </w:tc>
        <w:tc>
          <w:tcPr>
            <w:tcW w:w="495" w:type="pct"/>
            <w:tcBorders>
              <w:right w:val="single" w:sz="4" w:space="0" w:color="auto"/>
            </w:tcBorders>
            <w:noWrap/>
            <w:vAlign w:val="bottom"/>
            <w:hideMark/>
          </w:tcPr>
          <w:p w14:paraId="0A1C7CDE"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35</w:t>
            </w:r>
          </w:p>
        </w:tc>
      </w:tr>
      <w:tr w:rsidR="000826B8" w:rsidRPr="000826B8" w14:paraId="1DE645EF" w14:textId="77777777" w:rsidTr="006A4827">
        <w:trPr>
          <w:cantSplit/>
          <w:trHeight w:val="315"/>
        </w:trPr>
        <w:tc>
          <w:tcPr>
            <w:tcW w:w="3639" w:type="pct"/>
            <w:tcBorders>
              <w:left w:val="single" w:sz="4" w:space="0" w:color="auto"/>
              <w:bottom w:val="single" w:sz="4" w:space="0" w:color="auto"/>
            </w:tcBorders>
            <w:noWrap/>
            <w:vAlign w:val="bottom"/>
            <w:hideMark/>
          </w:tcPr>
          <w:p w14:paraId="48E89806" w14:textId="77777777" w:rsidR="000826B8" w:rsidRPr="00F74292" w:rsidRDefault="000826B8" w:rsidP="00FD2E73">
            <w:pPr>
              <w:spacing w:after="0" w:line="240" w:lineRule="auto"/>
              <w:rPr>
                <w:rFonts w:asciiTheme="minorHAnsi" w:eastAsia="Times New Roman" w:hAnsiTheme="minorHAnsi" w:cstheme="minorHAnsi"/>
                <w:b/>
                <w:bCs/>
                <w:color w:val="000000"/>
                <w:szCs w:val="24"/>
              </w:rPr>
            </w:pPr>
            <w:r w:rsidRPr="00F74292">
              <w:rPr>
                <w:rFonts w:asciiTheme="minorHAnsi" w:eastAsia="Times New Roman" w:hAnsiTheme="minorHAnsi" w:cstheme="minorHAnsi"/>
                <w:b/>
                <w:bCs/>
                <w:color w:val="000000"/>
                <w:szCs w:val="24"/>
              </w:rPr>
              <w:t>Neuro Muscular Total</w:t>
            </w:r>
          </w:p>
        </w:tc>
        <w:tc>
          <w:tcPr>
            <w:tcW w:w="865" w:type="pct"/>
            <w:tcBorders>
              <w:bottom w:val="single" w:sz="4" w:space="0" w:color="auto"/>
            </w:tcBorders>
            <w:noWrap/>
            <w:vAlign w:val="bottom"/>
            <w:hideMark/>
          </w:tcPr>
          <w:p w14:paraId="1E1CE7B0" w14:textId="77777777" w:rsidR="000826B8" w:rsidRPr="00F74292" w:rsidRDefault="000826B8" w:rsidP="00FD2E73">
            <w:pPr>
              <w:spacing w:after="0" w:line="240" w:lineRule="auto"/>
              <w:jc w:val="center"/>
              <w:rPr>
                <w:rFonts w:asciiTheme="minorHAnsi" w:eastAsia="Times New Roman" w:hAnsiTheme="minorHAnsi" w:cstheme="minorHAnsi"/>
                <w:b/>
                <w:bCs/>
                <w:color w:val="000000"/>
                <w:szCs w:val="24"/>
              </w:rPr>
            </w:pPr>
            <w:r w:rsidRPr="00F74292">
              <w:rPr>
                <w:rFonts w:asciiTheme="minorHAnsi" w:eastAsia="Times New Roman" w:hAnsiTheme="minorHAnsi" w:cstheme="minorHAnsi"/>
                <w:b/>
                <w:bCs/>
                <w:color w:val="000000"/>
                <w:szCs w:val="24"/>
              </w:rPr>
              <w:t>1051</w:t>
            </w:r>
          </w:p>
        </w:tc>
        <w:tc>
          <w:tcPr>
            <w:tcW w:w="495" w:type="pct"/>
            <w:tcBorders>
              <w:bottom w:val="single" w:sz="4" w:space="0" w:color="auto"/>
              <w:right w:val="single" w:sz="4" w:space="0" w:color="auto"/>
            </w:tcBorders>
            <w:noWrap/>
            <w:vAlign w:val="bottom"/>
            <w:hideMark/>
          </w:tcPr>
          <w:p w14:paraId="55F11CAF" w14:textId="77777777" w:rsidR="000826B8" w:rsidRPr="00F74292" w:rsidRDefault="000826B8" w:rsidP="00FD2E73">
            <w:pPr>
              <w:spacing w:after="0" w:line="240" w:lineRule="auto"/>
              <w:jc w:val="center"/>
              <w:rPr>
                <w:rFonts w:asciiTheme="minorHAnsi" w:eastAsia="Times New Roman" w:hAnsiTheme="minorHAnsi" w:cstheme="minorHAnsi"/>
                <w:b/>
                <w:bCs/>
                <w:color w:val="000000"/>
                <w:szCs w:val="24"/>
              </w:rPr>
            </w:pPr>
            <w:r w:rsidRPr="00F74292">
              <w:rPr>
                <w:rFonts w:asciiTheme="minorHAnsi" w:eastAsia="Times New Roman" w:hAnsiTheme="minorHAnsi" w:cstheme="minorHAnsi"/>
                <w:b/>
                <w:bCs/>
                <w:color w:val="000000"/>
                <w:szCs w:val="24"/>
              </w:rPr>
              <w:t>1519</w:t>
            </w:r>
          </w:p>
        </w:tc>
      </w:tr>
    </w:tbl>
    <w:p w14:paraId="4EB9F9D8" w14:textId="77777777" w:rsidR="00A251CC" w:rsidRDefault="00A251CC"/>
    <w:tbl>
      <w:tblPr>
        <w:tblW w:w="4798" w:type="pct"/>
        <w:tblLook w:val="04A0" w:firstRow="1" w:lastRow="0" w:firstColumn="1" w:lastColumn="0" w:noHBand="0" w:noVBand="1"/>
        <w:tblCaption w:val="Psycho Social Risk Factors"/>
      </w:tblPr>
      <w:tblGrid>
        <w:gridCol w:w="6530"/>
        <w:gridCol w:w="1554"/>
        <w:gridCol w:w="888"/>
      </w:tblGrid>
      <w:tr w:rsidR="000826B8" w:rsidRPr="000826B8" w14:paraId="0CBBBB49" w14:textId="77777777" w:rsidTr="00D321FD">
        <w:trPr>
          <w:cantSplit/>
          <w:trHeight w:val="300"/>
          <w:tblHeader/>
        </w:trPr>
        <w:tc>
          <w:tcPr>
            <w:tcW w:w="4505" w:type="pct"/>
            <w:gridSpan w:val="2"/>
            <w:tcBorders>
              <w:left w:val="single" w:sz="4" w:space="0" w:color="auto"/>
            </w:tcBorders>
            <w:shd w:val="clear" w:color="auto" w:fill="E1EBF7" w:themeFill="text2" w:themeFillTint="1A"/>
            <w:noWrap/>
            <w:vAlign w:val="bottom"/>
            <w:hideMark/>
          </w:tcPr>
          <w:p w14:paraId="40E33F00" w14:textId="77777777" w:rsidR="000826B8" w:rsidRPr="009C505A" w:rsidRDefault="000826B8" w:rsidP="00FD2E73">
            <w:pPr>
              <w:spacing w:after="0" w:line="240" w:lineRule="auto"/>
              <w:rPr>
                <w:rFonts w:asciiTheme="minorHAnsi" w:eastAsia="Times New Roman" w:hAnsiTheme="minorHAnsi" w:cstheme="minorHAnsi"/>
                <w:color w:val="000000"/>
                <w:szCs w:val="24"/>
              </w:rPr>
            </w:pPr>
            <w:proofErr w:type="gramStart"/>
            <w:r w:rsidRPr="009C505A">
              <w:rPr>
                <w:rFonts w:asciiTheme="minorHAnsi" w:eastAsia="Times New Roman" w:hAnsiTheme="minorHAnsi" w:cstheme="minorHAnsi"/>
                <w:b/>
                <w:bCs/>
                <w:color w:val="000000"/>
                <w:szCs w:val="24"/>
              </w:rPr>
              <w:t>Psycho Social</w:t>
            </w:r>
            <w:proofErr w:type="gramEnd"/>
            <w:r w:rsidRPr="009C505A">
              <w:rPr>
                <w:rFonts w:asciiTheme="minorHAnsi" w:eastAsia="Times New Roman" w:hAnsiTheme="minorHAnsi" w:cstheme="minorHAnsi"/>
                <w:b/>
                <w:bCs/>
                <w:color w:val="000000"/>
                <w:szCs w:val="24"/>
              </w:rPr>
              <w:t xml:space="preserve"> Risk Factors                                                                                      2024                     </w:t>
            </w:r>
          </w:p>
        </w:tc>
        <w:tc>
          <w:tcPr>
            <w:tcW w:w="495" w:type="pct"/>
            <w:tcBorders>
              <w:right w:val="single" w:sz="4" w:space="0" w:color="auto"/>
            </w:tcBorders>
            <w:shd w:val="clear" w:color="auto" w:fill="E1EBF7" w:themeFill="text2" w:themeFillTint="1A"/>
            <w:noWrap/>
            <w:vAlign w:val="bottom"/>
            <w:hideMark/>
          </w:tcPr>
          <w:p w14:paraId="68F4A71C" w14:textId="77777777" w:rsidR="000826B8" w:rsidRPr="009C505A" w:rsidRDefault="000826B8" w:rsidP="00FD2E73">
            <w:pPr>
              <w:spacing w:after="0" w:line="240" w:lineRule="auto"/>
              <w:jc w:val="center"/>
              <w:rPr>
                <w:rFonts w:asciiTheme="minorHAnsi" w:eastAsia="Times New Roman" w:hAnsiTheme="minorHAnsi" w:cstheme="minorHAnsi"/>
                <w:b/>
                <w:bCs/>
                <w:color w:val="000000"/>
                <w:szCs w:val="24"/>
              </w:rPr>
            </w:pPr>
            <w:r w:rsidRPr="009C505A">
              <w:rPr>
                <w:rFonts w:asciiTheme="minorHAnsi" w:eastAsia="Times New Roman" w:hAnsiTheme="minorHAnsi" w:cstheme="minorHAnsi"/>
                <w:b/>
                <w:bCs/>
                <w:color w:val="000000"/>
                <w:szCs w:val="24"/>
              </w:rPr>
              <w:t>2025</w:t>
            </w:r>
          </w:p>
        </w:tc>
      </w:tr>
      <w:tr w:rsidR="000826B8" w:rsidRPr="000826B8" w14:paraId="2FE6E12E" w14:textId="77777777" w:rsidTr="001700AF">
        <w:trPr>
          <w:cantSplit/>
          <w:trHeight w:val="300"/>
        </w:trPr>
        <w:tc>
          <w:tcPr>
            <w:tcW w:w="3639" w:type="pct"/>
            <w:tcBorders>
              <w:left w:val="single" w:sz="4" w:space="0" w:color="auto"/>
            </w:tcBorders>
            <w:noWrap/>
            <w:vAlign w:val="bottom"/>
            <w:hideMark/>
          </w:tcPr>
          <w:p w14:paraId="190C9865"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t>AAPsychosocial-DevDelay</w:t>
            </w:r>
            <w:proofErr w:type="spellEnd"/>
          </w:p>
        </w:tc>
        <w:tc>
          <w:tcPr>
            <w:tcW w:w="865" w:type="pct"/>
            <w:noWrap/>
            <w:vAlign w:val="bottom"/>
            <w:hideMark/>
          </w:tcPr>
          <w:p w14:paraId="133F0900"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2235</w:t>
            </w:r>
          </w:p>
        </w:tc>
        <w:tc>
          <w:tcPr>
            <w:tcW w:w="495" w:type="pct"/>
            <w:tcBorders>
              <w:right w:val="single" w:sz="4" w:space="0" w:color="auto"/>
            </w:tcBorders>
            <w:noWrap/>
            <w:vAlign w:val="bottom"/>
            <w:hideMark/>
          </w:tcPr>
          <w:p w14:paraId="74490237"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3874</w:t>
            </w:r>
          </w:p>
        </w:tc>
      </w:tr>
      <w:tr w:rsidR="000826B8" w:rsidRPr="000826B8" w14:paraId="3C3D8FCA" w14:textId="77777777" w:rsidTr="001700AF">
        <w:trPr>
          <w:cantSplit/>
          <w:trHeight w:val="300"/>
        </w:trPr>
        <w:tc>
          <w:tcPr>
            <w:tcW w:w="3639" w:type="pct"/>
            <w:tcBorders>
              <w:left w:val="single" w:sz="4" w:space="0" w:color="auto"/>
            </w:tcBorders>
            <w:noWrap/>
            <w:vAlign w:val="bottom"/>
            <w:hideMark/>
          </w:tcPr>
          <w:p w14:paraId="47597C73"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t>AAPsychosocial</w:t>
            </w:r>
            <w:proofErr w:type="spellEnd"/>
            <w:r w:rsidRPr="00F74292">
              <w:rPr>
                <w:rFonts w:asciiTheme="minorHAnsi" w:eastAsia="Times New Roman" w:hAnsiTheme="minorHAnsi" w:cstheme="minorHAnsi"/>
                <w:color w:val="000000"/>
                <w:szCs w:val="24"/>
              </w:rPr>
              <w:t>-ADHD_ADD</w:t>
            </w:r>
          </w:p>
        </w:tc>
        <w:tc>
          <w:tcPr>
            <w:tcW w:w="865" w:type="pct"/>
            <w:noWrap/>
            <w:vAlign w:val="bottom"/>
            <w:hideMark/>
          </w:tcPr>
          <w:p w14:paraId="4F082058"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1486</w:t>
            </w:r>
          </w:p>
        </w:tc>
        <w:tc>
          <w:tcPr>
            <w:tcW w:w="495" w:type="pct"/>
            <w:tcBorders>
              <w:right w:val="single" w:sz="4" w:space="0" w:color="auto"/>
            </w:tcBorders>
            <w:noWrap/>
            <w:vAlign w:val="bottom"/>
            <w:hideMark/>
          </w:tcPr>
          <w:p w14:paraId="05CD9E46"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2470</w:t>
            </w:r>
          </w:p>
        </w:tc>
      </w:tr>
      <w:tr w:rsidR="000826B8" w:rsidRPr="000826B8" w14:paraId="31A3EE0D" w14:textId="77777777" w:rsidTr="001700AF">
        <w:trPr>
          <w:cantSplit/>
          <w:trHeight w:val="300"/>
        </w:trPr>
        <w:tc>
          <w:tcPr>
            <w:tcW w:w="3639" w:type="pct"/>
            <w:tcBorders>
              <w:left w:val="single" w:sz="4" w:space="0" w:color="auto"/>
            </w:tcBorders>
            <w:noWrap/>
            <w:vAlign w:val="bottom"/>
            <w:hideMark/>
          </w:tcPr>
          <w:p w14:paraId="20C2003E"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t>AAPsychosocial</w:t>
            </w:r>
            <w:proofErr w:type="spellEnd"/>
            <w:r w:rsidRPr="00F74292">
              <w:rPr>
                <w:rFonts w:asciiTheme="minorHAnsi" w:eastAsia="Times New Roman" w:hAnsiTheme="minorHAnsi" w:cstheme="minorHAnsi"/>
                <w:color w:val="000000"/>
                <w:szCs w:val="24"/>
              </w:rPr>
              <w:t>-Autism</w:t>
            </w:r>
          </w:p>
        </w:tc>
        <w:tc>
          <w:tcPr>
            <w:tcW w:w="865" w:type="pct"/>
            <w:noWrap/>
            <w:vAlign w:val="bottom"/>
            <w:hideMark/>
          </w:tcPr>
          <w:p w14:paraId="4D90056B"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3966</w:t>
            </w:r>
          </w:p>
        </w:tc>
        <w:tc>
          <w:tcPr>
            <w:tcW w:w="495" w:type="pct"/>
            <w:tcBorders>
              <w:right w:val="single" w:sz="4" w:space="0" w:color="auto"/>
            </w:tcBorders>
            <w:noWrap/>
            <w:vAlign w:val="bottom"/>
            <w:hideMark/>
          </w:tcPr>
          <w:p w14:paraId="292CAADF"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6621</w:t>
            </w:r>
          </w:p>
        </w:tc>
      </w:tr>
      <w:tr w:rsidR="000826B8" w:rsidRPr="000826B8" w14:paraId="4C4EE547" w14:textId="77777777" w:rsidTr="001700AF">
        <w:trPr>
          <w:cantSplit/>
          <w:trHeight w:val="300"/>
        </w:trPr>
        <w:tc>
          <w:tcPr>
            <w:tcW w:w="3639" w:type="pct"/>
            <w:tcBorders>
              <w:left w:val="single" w:sz="4" w:space="0" w:color="auto"/>
            </w:tcBorders>
            <w:noWrap/>
            <w:vAlign w:val="bottom"/>
            <w:hideMark/>
          </w:tcPr>
          <w:p w14:paraId="78F035AC"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t>AAPsychosocial</w:t>
            </w:r>
            <w:proofErr w:type="spellEnd"/>
            <w:r w:rsidRPr="00F74292">
              <w:rPr>
                <w:rFonts w:asciiTheme="minorHAnsi" w:eastAsia="Times New Roman" w:hAnsiTheme="minorHAnsi" w:cstheme="minorHAnsi"/>
                <w:color w:val="000000"/>
                <w:szCs w:val="24"/>
              </w:rPr>
              <w:t>-Aspergers</w:t>
            </w:r>
          </w:p>
        </w:tc>
        <w:tc>
          <w:tcPr>
            <w:tcW w:w="865" w:type="pct"/>
            <w:noWrap/>
            <w:vAlign w:val="bottom"/>
            <w:hideMark/>
          </w:tcPr>
          <w:p w14:paraId="3247F63B"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27</w:t>
            </w:r>
          </w:p>
        </w:tc>
        <w:tc>
          <w:tcPr>
            <w:tcW w:w="495" w:type="pct"/>
            <w:tcBorders>
              <w:right w:val="single" w:sz="4" w:space="0" w:color="auto"/>
            </w:tcBorders>
            <w:noWrap/>
            <w:vAlign w:val="bottom"/>
            <w:hideMark/>
          </w:tcPr>
          <w:p w14:paraId="0DBDFAE5"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19</w:t>
            </w:r>
          </w:p>
        </w:tc>
      </w:tr>
      <w:tr w:rsidR="000826B8" w:rsidRPr="000826B8" w14:paraId="64746A55" w14:textId="77777777" w:rsidTr="001700AF">
        <w:trPr>
          <w:cantSplit/>
          <w:trHeight w:val="300"/>
        </w:trPr>
        <w:tc>
          <w:tcPr>
            <w:tcW w:w="3639" w:type="pct"/>
            <w:tcBorders>
              <w:left w:val="single" w:sz="4" w:space="0" w:color="auto"/>
            </w:tcBorders>
            <w:noWrap/>
            <w:vAlign w:val="bottom"/>
            <w:hideMark/>
          </w:tcPr>
          <w:p w14:paraId="09BEB694"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t>AABirthHX</w:t>
            </w:r>
            <w:proofErr w:type="spellEnd"/>
            <w:r w:rsidRPr="00F74292">
              <w:rPr>
                <w:rFonts w:asciiTheme="minorHAnsi" w:eastAsia="Times New Roman" w:hAnsiTheme="minorHAnsi" w:cstheme="minorHAnsi"/>
                <w:color w:val="000000"/>
                <w:szCs w:val="24"/>
              </w:rPr>
              <w:t>-Syndrome</w:t>
            </w:r>
          </w:p>
        </w:tc>
        <w:tc>
          <w:tcPr>
            <w:tcW w:w="865" w:type="pct"/>
            <w:noWrap/>
            <w:vAlign w:val="bottom"/>
            <w:hideMark/>
          </w:tcPr>
          <w:p w14:paraId="746F00D0"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111</w:t>
            </w:r>
          </w:p>
        </w:tc>
        <w:tc>
          <w:tcPr>
            <w:tcW w:w="495" w:type="pct"/>
            <w:tcBorders>
              <w:right w:val="single" w:sz="4" w:space="0" w:color="auto"/>
            </w:tcBorders>
            <w:noWrap/>
            <w:vAlign w:val="bottom"/>
            <w:hideMark/>
          </w:tcPr>
          <w:p w14:paraId="617F1C7A"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217</w:t>
            </w:r>
          </w:p>
        </w:tc>
      </w:tr>
      <w:tr w:rsidR="000826B8" w:rsidRPr="000826B8" w14:paraId="5C96EFE9" w14:textId="77777777" w:rsidTr="001700AF">
        <w:trPr>
          <w:cantSplit/>
          <w:trHeight w:val="300"/>
        </w:trPr>
        <w:tc>
          <w:tcPr>
            <w:tcW w:w="3639" w:type="pct"/>
            <w:tcBorders>
              <w:left w:val="single" w:sz="4" w:space="0" w:color="auto"/>
            </w:tcBorders>
            <w:noWrap/>
            <w:vAlign w:val="bottom"/>
            <w:hideMark/>
          </w:tcPr>
          <w:p w14:paraId="61201BF0"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t>AABirthHX-GeneticDisorder</w:t>
            </w:r>
            <w:proofErr w:type="spellEnd"/>
          </w:p>
        </w:tc>
        <w:tc>
          <w:tcPr>
            <w:tcW w:w="865" w:type="pct"/>
            <w:noWrap/>
            <w:vAlign w:val="bottom"/>
            <w:hideMark/>
          </w:tcPr>
          <w:p w14:paraId="27DCB6F5"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71</w:t>
            </w:r>
          </w:p>
        </w:tc>
        <w:tc>
          <w:tcPr>
            <w:tcW w:w="495" w:type="pct"/>
            <w:tcBorders>
              <w:right w:val="single" w:sz="4" w:space="0" w:color="auto"/>
            </w:tcBorders>
            <w:noWrap/>
            <w:vAlign w:val="bottom"/>
            <w:hideMark/>
          </w:tcPr>
          <w:p w14:paraId="596396A4"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133</w:t>
            </w:r>
          </w:p>
        </w:tc>
      </w:tr>
      <w:tr w:rsidR="000826B8" w:rsidRPr="000826B8" w14:paraId="28D50832" w14:textId="77777777" w:rsidTr="001700AF">
        <w:trPr>
          <w:cantSplit/>
          <w:trHeight w:val="300"/>
        </w:trPr>
        <w:tc>
          <w:tcPr>
            <w:tcW w:w="3639" w:type="pct"/>
            <w:tcBorders>
              <w:left w:val="single" w:sz="4" w:space="0" w:color="auto"/>
              <w:bottom w:val="single" w:sz="4" w:space="0" w:color="auto"/>
            </w:tcBorders>
            <w:noWrap/>
            <w:vAlign w:val="bottom"/>
            <w:hideMark/>
          </w:tcPr>
          <w:p w14:paraId="257EB1C9" w14:textId="77777777" w:rsidR="000826B8" w:rsidRPr="00F74292" w:rsidRDefault="000826B8" w:rsidP="00FD2E73">
            <w:pPr>
              <w:spacing w:after="0" w:line="240" w:lineRule="auto"/>
              <w:rPr>
                <w:rFonts w:asciiTheme="minorHAnsi" w:eastAsia="Times New Roman" w:hAnsiTheme="minorHAnsi" w:cstheme="minorHAnsi"/>
                <w:b/>
                <w:bCs/>
                <w:color w:val="000000"/>
                <w:szCs w:val="24"/>
              </w:rPr>
            </w:pPr>
            <w:proofErr w:type="gramStart"/>
            <w:r w:rsidRPr="00F74292">
              <w:rPr>
                <w:rFonts w:asciiTheme="minorHAnsi" w:eastAsia="Times New Roman" w:hAnsiTheme="minorHAnsi" w:cstheme="minorHAnsi"/>
                <w:b/>
                <w:bCs/>
                <w:color w:val="000000"/>
                <w:szCs w:val="24"/>
              </w:rPr>
              <w:t>Psycho Social</w:t>
            </w:r>
            <w:proofErr w:type="gramEnd"/>
            <w:r w:rsidRPr="00F74292">
              <w:rPr>
                <w:rFonts w:asciiTheme="minorHAnsi" w:eastAsia="Times New Roman" w:hAnsiTheme="minorHAnsi" w:cstheme="minorHAnsi"/>
                <w:b/>
                <w:bCs/>
                <w:color w:val="000000"/>
                <w:szCs w:val="24"/>
              </w:rPr>
              <w:t xml:space="preserve"> Total</w:t>
            </w:r>
          </w:p>
        </w:tc>
        <w:tc>
          <w:tcPr>
            <w:tcW w:w="865" w:type="pct"/>
            <w:tcBorders>
              <w:bottom w:val="single" w:sz="4" w:space="0" w:color="auto"/>
            </w:tcBorders>
            <w:noWrap/>
            <w:vAlign w:val="bottom"/>
            <w:hideMark/>
          </w:tcPr>
          <w:p w14:paraId="08773454" w14:textId="77777777" w:rsidR="000826B8" w:rsidRPr="00F74292" w:rsidRDefault="000826B8" w:rsidP="00FD2E73">
            <w:pPr>
              <w:spacing w:after="0" w:line="240" w:lineRule="auto"/>
              <w:jc w:val="center"/>
              <w:rPr>
                <w:rFonts w:asciiTheme="minorHAnsi" w:eastAsia="Times New Roman" w:hAnsiTheme="minorHAnsi" w:cstheme="minorHAnsi"/>
                <w:b/>
                <w:bCs/>
                <w:color w:val="000000"/>
                <w:szCs w:val="24"/>
              </w:rPr>
            </w:pPr>
            <w:r w:rsidRPr="00F74292">
              <w:rPr>
                <w:rFonts w:asciiTheme="minorHAnsi" w:eastAsia="Times New Roman" w:hAnsiTheme="minorHAnsi" w:cstheme="minorHAnsi"/>
                <w:b/>
                <w:bCs/>
                <w:color w:val="000000"/>
                <w:szCs w:val="24"/>
              </w:rPr>
              <w:t>7896</w:t>
            </w:r>
          </w:p>
        </w:tc>
        <w:tc>
          <w:tcPr>
            <w:tcW w:w="495" w:type="pct"/>
            <w:tcBorders>
              <w:bottom w:val="single" w:sz="4" w:space="0" w:color="auto"/>
              <w:right w:val="single" w:sz="4" w:space="0" w:color="auto"/>
            </w:tcBorders>
            <w:noWrap/>
            <w:vAlign w:val="bottom"/>
            <w:hideMark/>
          </w:tcPr>
          <w:p w14:paraId="601F38DB" w14:textId="77777777" w:rsidR="000826B8" w:rsidRPr="00F74292" w:rsidRDefault="000826B8" w:rsidP="00FD2E73">
            <w:pPr>
              <w:spacing w:after="0" w:line="240" w:lineRule="auto"/>
              <w:jc w:val="center"/>
              <w:rPr>
                <w:rFonts w:asciiTheme="minorHAnsi" w:eastAsia="Times New Roman" w:hAnsiTheme="minorHAnsi" w:cstheme="minorHAnsi"/>
                <w:b/>
                <w:bCs/>
                <w:color w:val="000000"/>
                <w:szCs w:val="24"/>
              </w:rPr>
            </w:pPr>
            <w:r w:rsidRPr="00F74292">
              <w:rPr>
                <w:rFonts w:asciiTheme="minorHAnsi" w:eastAsia="Times New Roman" w:hAnsiTheme="minorHAnsi" w:cstheme="minorHAnsi"/>
                <w:b/>
                <w:bCs/>
                <w:color w:val="000000"/>
                <w:szCs w:val="24"/>
              </w:rPr>
              <w:t>13334</w:t>
            </w:r>
          </w:p>
        </w:tc>
      </w:tr>
    </w:tbl>
    <w:p w14:paraId="59203254" w14:textId="77777777" w:rsidR="009C505A" w:rsidRDefault="009C505A"/>
    <w:tbl>
      <w:tblPr>
        <w:tblW w:w="4798" w:type="pct"/>
        <w:tblLook w:val="04A0" w:firstRow="1" w:lastRow="0" w:firstColumn="1" w:lastColumn="0" w:noHBand="0" w:noVBand="1"/>
        <w:tblCaption w:val="Neurological Risk Factors "/>
      </w:tblPr>
      <w:tblGrid>
        <w:gridCol w:w="6530"/>
        <w:gridCol w:w="1554"/>
        <w:gridCol w:w="888"/>
      </w:tblGrid>
      <w:tr w:rsidR="000826B8" w:rsidRPr="000826B8" w14:paraId="2AA7AABF" w14:textId="77777777" w:rsidTr="001754FE">
        <w:trPr>
          <w:cantSplit/>
          <w:trHeight w:val="300"/>
          <w:tblHeader/>
        </w:trPr>
        <w:tc>
          <w:tcPr>
            <w:tcW w:w="4505" w:type="pct"/>
            <w:gridSpan w:val="2"/>
            <w:tcBorders>
              <w:left w:val="single" w:sz="4" w:space="0" w:color="auto"/>
            </w:tcBorders>
            <w:shd w:val="clear" w:color="auto" w:fill="E1EBF7" w:themeFill="text2" w:themeFillTint="1A"/>
            <w:noWrap/>
            <w:vAlign w:val="bottom"/>
            <w:hideMark/>
          </w:tcPr>
          <w:p w14:paraId="67F3BC85" w14:textId="77777777" w:rsidR="000826B8" w:rsidRPr="009C505A" w:rsidRDefault="000826B8" w:rsidP="00FD2E73">
            <w:pPr>
              <w:spacing w:after="0" w:line="240" w:lineRule="auto"/>
              <w:rPr>
                <w:rFonts w:asciiTheme="minorHAnsi" w:eastAsia="Times New Roman" w:hAnsiTheme="minorHAnsi" w:cstheme="minorHAnsi"/>
                <w:b/>
                <w:bCs/>
                <w:color w:val="000000"/>
                <w:szCs w:val="24"/>
              </w:rPr>
            </w:pPr>
            <w:r w:rsidRPr="009C505A">
              <w:rPr>
                <w:rFonts w:asciiTheme="minorHAnsi" w:eastAsia="Times New Roman" w:hAnsiTheme="minorHAnsi" w:cstheme="minorHAnsi"/>
                <w:b/>
                <w:bCs/>
                <w:color w:val="000000"/>
                <w:szCs w:val="24"/>
              </w:rPr>
              <w:t>Neurological Risk Factors                                                                                          2024</w:t>
            </w:r>
          </w:p>
        </w:tc>
        <w:tc>
          <w:tcPr>
            <w:tcW w:w="495" w:type="pct"/>
            <w:tcBorders>
              <w:right w:val="single" w:sz="4" w:space="0" w:color="auto"/>
            </w:tcBorders>
            <w:shd w:val="clear" w:color="auto" w:fill="E1EBF7" w:themeFill="text2" w:themeFillTint="1A"/>
            <w:noWrap/>
            <w:vAlign w:val="bottom"/>
            <w:hideMark/>
          </w:tcPr>
          <w:p w14:paraId="0C9426F8" w14:textId="77777777" w:rsidR="000826B8" w:rsidRPr="009C505A" w:rsidRDefault="000826B8" w:rsidP="00FD2E73">
            <w:pPr>
              <w:spacing w:after="0" w:line="240" w:lineRule="auto"/>
              <w:jc w:val="center"/>
              <w:rPr>
                <w:rFonts w:asciiTheme="minorHAnsi" w:eastAsia="Times New Roman" w:hAnsiTheme="minorHAnsi" w:cstheme="minorHAnsi"/>
                <w:b/>
                <w:bCs/>
                <w:color w:val="000000"/>
                <w:szCs w:val="24"/>
              </w:rPr>
            </w:pPr>
            <w:r w:rsidRPr="009C505A">
              <w:rPr>
                <w:rFonts w:asciiTheme="minorHAnsi" w:eastAsia="Times New Roman" w:hAnsiTheme="minorHAnsi" w:cstheme="minorHAnsi"/>
                <w:b/>
                <w:bCs/>
                <w:color w:val="000000"/>
                <w:szCs w:val="24"/>
              </w:rPr>
              <w:t>2025</w:t>
            </w:r>
          </w:p>
        </w:tc>
      </w:tr>
      <w:tr w:rsidR="000826B8" w:rsidRPr="000826B8" w14:paraId="0B9B9D94" w14:textId="77777777" w:rsidTr="001754FE">
        <w:trPr>
          <w:cantSplit/>
          <w:trHeight w:val="300"/>
        </w:trPr>
        <w:tc>
          <w:tcPr>
            <w:tcW w:w="3639" w:type="pct"/>
            <w:tcBorders>
              <w:left w:val="single" w:sz="4" w:space="0" w:color="auto"/>
            </w:tcBorders>
            <w:noWrap/>
            <w:vAlign w:val="bottom"/>
            <w:hideMark/>
          </w:tcPr>
          <w:p w14:paraId="7D4E3321"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t>PreOpNeuroAsleep-EasilyAroused</w:t>
            </w:r>
            <w:proofErr w:type="spellEnd"/>
          </w:p>
        </w:tc>
        <w:tc>
          <w:tcPr>
            <w:tcW w:w="865" w:type="pct"/>
            <w:noWrap/>
            <w:vAlign w:val="bottom"/>
            <w:hideMark/>
          </w:tcPr>
          <w:p w14:paraId="3C0C7FB6"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20</w:t>
            </w:r>
          </w:p>
        </w:tc>
        <w:tc>
          <w:tcPr>
            <w:tcW w:w="495" w:type="pct"/>
            <w:tcBorders>
              <w:right w:val="single" w:sz="4" w:space="0" w:color="auto"/>
            </w:tcBorders>
            <w:noWrap/>
            <w:vAlign w:val="bottom"/>
            <w:hideMark/>
          </w:tcPr>
          <w:p w14:paraId="468C335F"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275</w:t>
            </w:r>
          </w:p>
        </w:tc>
      </w:tr>
      <w:tr w:rsidR="000826B8" w:rsidRPr="000826B8" w14:paraId="12D18149" w14:textId="77777777" w:rsidTr="001754FE">
        <w:trPr>
          <w:cantSplit/>
          <w:trHeight w:val="300"/>
        </w:trPr>
        <w:tc>
          <w:tcPr>
            <w:tcW w:w="3639" w:type="pct"/>
            <w:tcBorders>
              <w:left w:val="single" w:sz="4" w:space="0" w:color="auto"/>
            </w:tcBorders>
            <w:noWrap/>
            <w:vAlign w:val="bottom"/>
            <w:hideMark/>
          </w:tcPr>
          <w:p w14:paraId="6BF8F6FA"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lastRenderedPageBreak/>
              <w:t>PreOpNeuro</w:t>
            </w:r>
            <w:proofErr w:type="spellEnd"/>
            <w:r w:rsidRPr="00F74292">
              <w:rPr>
                <w:rFonts w:asciiTheme="minorHAnsi" w:eastAsia="Times New Roman" w:hAnsiTheme="minorHAnsi" w:cstheme="minorHAnsi"/>
                <w:color w:val="000000"/>
                <w:szCs w:val="24"/>
              </w:rPr>
              <w:t>-Other</w:t>
            </w:r>
          </w:p>
        </w:tc>
        <w:tc>
          <w:tcPr>
            <w:tcW w:w="865" w:type="pct"/>
            <w:noWrap/>
            <w:vAlign w:val="bottom"/>
            <w:hideMark/>
          </w:tcPr>
          <w:p w14:paraId="4927C836"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1769</w:t>
            </w:r>
          </w:p>
        </w:tc>
        <w:tc>
          <w:tcPr>
            <w:tcW w:w="495" w:type="pct"/>
            <w:tcBorders>
              <w:right w:val="single" w:sz="4" w:space="0" w:color="auto"/>
            </w:tcBorders>
            <w:noWrap/>
            <w:vAlign w:val="bottom"/>
            <w:hideMark/>
          </w:tcPr>
          <w:p w14:paraId="16388EF8"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3590</w:t>
            </w:r>
          </w:p>
        </w:tc>
      </w:tr>
      <w:tr w:rsidR="000826B8" w:rsidRPr="000826B8" w14:paraId="6B0D5B6B" w14:textId="77777777" w:rsidTr="001754FE">
        <w:trPr>
          <w:cantSplit/>
          <w:trHeight w:val="300"/>
        </w:trPr>
        <w:tc>
          <w:tcPr>
            <w:tcW w:w="3639" w:type="pct"/>
            <w:tcBorders>
              <w:left w:val="single" w:sz="4" w:space="0" w:color="auto"/>
            </w:tcBorders>
            <w:noWrap/>
            <w:vAlign w:val="bottom"/>
            <w:hideMark/>
          </w:tcPr>
          <w:p w14:paraId="0A59820C"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t>PreOpNeuro-DevelopDelay</w:t>
            </w:r>
            <w:proofErr w:type="spellEnd"/>
          </w:p>
        </w:tc>
        <w:tc>
          <w:tcPr>
            <w:tcW w:w="865" w:type="pct"/>
            <w:noWrap/>
            <w:vAlign w:val="bottom"/>
            <w:hideMark/>
          </w:tcPr>
          <w:p w14:paraId="26DEC680"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1436</w:t>
            </w:r>
          </w:p>
        </w:tc>
        <w:tc>
          <w:tcPr>
            <w:tcW w:w="495" w:type="pct"/>
            <w:tcBorders>
              <w:right w:val="single" w:sz="4" w:space="0" w:color="auto"/>
            </w:tcBorders>
            <w:noWrap/>
            <w:vAlign w:val="bottom"/>
            <w:hideMark/>
          </w:tcPr>
          <w:p w14:paraId="4B71E28F"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2355</w:t>
            </w:r>
          </w:p>
        </w:tc>
      </w:tr>
      <w:tr w:rsidR="000826B8" w:rsidRPr="000826B8" w14:paraId="31BB3203" w14:textId="77777777" w:rsidTr="001754FE">
        <w:trPr>
          <w:cantSplit/>
          <w:trHeight w:val="300"/>
        </w:trPr>
        <w:tc>
          <w:tcPr>
            <w:tcW w:w="3639" w:type="pct"/>
            <w:tcBorders>
              <w:left w:val="single" w:sz="4" w:space="0" w:color="auto"/>
            </w:tcBorders>
            <w:noWrap/>
            <w:vAlign w:val="bottom"/>
            <w:hideMark/>
          </w:tcPr>
          <w:p w14:paraId="7A78FF0B"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t>PreOpNeuro-PsychiatricDiag</w:t>
            </w:r>
            <w:proofErr w:type="spellEnd"/>
          </w:p>
        </w:tc>
        <w:tc>
          <w:tcPr>
            <w:tcW w:w="865" w:type="pct"/>
            <w:noWrap/>
            <w:vAlign w:val="bottom"/>
            <w:hideMark/>
          </w:tcPr>
          <w:p w14:paraId="0EDD4DD9"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643</w:t>
            </w:r>
          </w:p>
        </w:tc>
        <w:tc>
          <w:tcPr>
            <w:tcW w:w="495" w:type="pct"/>
            <w:tcBorders>
              <w:right w:val="single" w:sz="4" w:space="0" w:color="auto"/>
            </w:tcBorders>
            <w:noWrap/>
            <w:vAlign w:val="bottom"/>
            <w:hideMark/>
          </w:tcPr>
          <w:p w14:paraId="5B003341"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475</w:t>
            </w:r>
          </w:p>
        </w:tc>
      </w:tr>
      <w:tr w:rsidR="000826B8" w:rsidRPr="000826B8" w14:paraId="2DDA2A87" w14:textId="77777777" w:rsidTr="001754FE">
        <w:trPr>
          <w:cantSplit/>
          <w:trHeight w:val="300"/>
        </w:trPr>
        <w:tc>
          <w:tcPr>
            <w:tcW w:w="3639" w:type="pct"/>
            <w:tcBorders>
              <w:left w:val="single" w:sz="4" w:space="0" w:color="auto"/>
            </w:tcBorders>
            <w:noWrap/>
            <w:vAlign w:val="bottom"/>
            <w:hideMark/>
          </w:tcPr>
          <w:p w14:paraId="757A580E"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t>PreOpNeuro</w:t>
            </w:r>
            <w:proofErr w:type="spellEnd"/>
            <w:r w:rsidRPr="00F74292">
              <w:rPr>
                <w:rFonts w:asciiTheme="minorHAnsi" w:eastAsia="Times New Roman" w:hAnsiTheme="minorHAnsi" w:cstheme="minorHAnsi"/>
                <w:color w:val="000000"/>
                <w:szCs w:val="24"/>
              </w:rPr>
              <w:t>-Violent</w:t>
            </w:r>
          </w:p>
        </w:tc>
        <w:tc>
          <w:tcPr>
            <w:tcW w:w="865" w:type="pct"/>
            <w:noWrap/>
            <w:vAlign w:val="bottom"/>
            <w:hideMark/>
          </w:tcPr>
          <w:p w14:paraId="71910F6A"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64</w:t>
            </w:r>
          </w:p>
        </w:tc>
        <w:tc>
          <w:tcPr>
            <w:tcW w:w="495" w:type="pct"/>
            <w:tcBorders>
              <w:right w:val="single" w:sz="4" w:space="0" w:color="auto"/>
            </w:tcBorders>
            <w:noWrap/>
            <w:vAlign w:val="bottom"/>
            <w:hideMark/>
          </w:tcPr>
          <w:p w14:paraId="650938F0"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100</w:t>
            </w:r>
          </w:p>
        </w:tc>
      </w:tr>
      <w:tr w:rsidR="000826B8" w:rsidRPr="000826B8" w14:paraId="26E271CB" w14:textId="77777777" w:rsidTr="001754FE">
        <w:trPr>
          <w:cantSplit/>
          <w:trHeight w:val="300"/>
        </w:trPr>
        <w:tc>
          <w:tcPr>
            <w:tcW w:w="3639" w:type="pct"/>
            <w:tcBorders>
              <w:left w:val="single" w:sz="4" w:space="0" w:color="auto"/>
            </w:tcBorders>
            <w:noWrap/>
            <w:vAlign w:val="bottom"/>
            <w:hideMark/>
          </w:tcPr>
          <w:p w14:paraId="259E40A1"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t>PreOpNeuro-BehaviorOutburst</w:t>
            </w:r>
            <w:proofErr w:type="spellEnd"/>
          </w:p>
        </w:tc>
        <w:tc>
          <w:tcPr>
            <w:tcW w:w="865" w:type="pct"/>
            <w:noWrap/>
            <w:vAlign w:val="bottom"/>
            <w:hideMark/>
          </w:tcPr>
          <w:p w14:paraId="4322342F"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217</w:t>
            </w:r>
          </w:p>
        </w:tc>
        <w:tc>
          <w:tcPr>
            <w:tcW w:w="495" w:type="pct"/>
            <w:tcBorders>
              <w:right w:val="single" w:sz="4" w:space="0" w:color="auto"/>
            </w:tcBorders>
            <w:noWrap/>
            <w:vAlign w:val="bottom"/>
            <w:hideMark/>
          </w:tcPr>
          <w:p w14:paraId="1238C4CC"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319</w:t>
            </w:r>
          </w:p>
        </w:tc>
      </w:tr>
      <w:tr w:rsidR="000826B8" w:rsidRPr="000826B8" w14:paraId="5A8D6DC8" w14:textId="77777777" w:rsidTr="001754FE">
        <w:trPr>
          <w:cantSplit/>
          <w:trHeight w:val="315"/>
        </w:trPr>
        <w:tc>
          <w:tcPr>
            <w:tcW w:w="3639" w:type="pct"/>
            <w:tcBorders>
              <w:left w:val="single" w:sz="4" w:space="0" w:color="auto"/>
            </w:tcBorders>
            <w:noWrap/>
            <w:vAlign w:val="bottom"/>
            <w:hideMark/>
          </w:tcPr>
          <w:p w14:paraId="58344E9D"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t>PreOpNeuro-ThreateningBehaviorHarm</w:t>
            </w:r>
            <w:proofErr w:type="spellEnd"/>
          </w:p>
        </w:tc>
        <w:tc>
          <w:tcPr>
            <w:tcW w:w="865" w:type="pct"/>
            <w:noWrap/>
            <w:vAlign w:val="bottom"/>
            <w:hideMark/>
          </w:tcPr>
          <w:p w14:paraId="69B8BD04"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33</w:t>
            </w:r>
          </w:p>
        </w:tc>
        <w:tc>
          <w:tcPr>
            <w:tcW w:w="495" w:type="pct"/>
            <w:tcBorders>
              <w:right w:val="single" w:sz="4" w:space="0" w:color="auto"/>
            </w:tcBorders>
            <w:noWrap/>
            <w:vAlign w:val="bottom"/>
            <w:hideMark/>
          </w:tcPr>
          <w:p w14:paraId="6F383671"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41</w:t>
            </w:r>
          </w:p>
        </w:tc>
      </w:tr>
      <w:tr w:rsidR="000826B8" w:rsidRPr="000826B8" w14:paraId="05CA80BC" w14:textId="77777777" w:rsidTr="001754FE">
        <w:trPr>
          <w:cantSplit/>
          <w:trHeight w:val="300"/>
        </w:trPr>
        <w:tc>
          <w:tcPr>
            <w:tcW w:w="3639" w:type="pct"/>
            <w:tcBorders>
              <w:left w:val="single" w:sz="4" w:space="0" w:color="auto"/>
            </w:tcBorders>
            <w:noWrap/>
            <w:vAlign w:val="bottom"/>
            <w:hideMark/>
          </w:tcPr>
          <w:p w14:paraId="7EB97EAC"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t>PreOpNeuro</w:t>
            </w:r>
            <w:proofErr w:type="spellEnd"/>
            <w:r w:rsidRPr="00F74292">
              <w:rPr>
                <w:rFonts w:asciiTheme="minorHAnsi" w:eastAsia="Times New Roman" w:hAnsiTheme="minorHAnsi" w:cstheme="minorHAnsi"/>
                <w:color w:val="000000"/>
                <w:szCs w:val="24"/>
              </w:rPr>
              <w:t>-Confused</w:t>
            </w:r>
          </w:p>
        </w:tc>
        <w:tc>
          <w:tcPr>
            <w:tcW w:w="865" w:type="pct"/>
            <w:noWrap/>
            <w:vAlign w:val="bottom"/>
            <w:hideMark/>
          </w:tcPr>
          <w:p w14:paraId="2D3D97B4"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12</w:t>
            </w:r>
          </w:p>
        </w:tc>
        <w:tc>
          <w:tcPr>
            <w:tcW w:w="495" w:type="pct"/>
            <w:tcBorders>
              <w:right w:val="single" w:sz="4" w:space="0" w:color="auto"/>
            </w:tcBorders>
            <w:noWrap/>
            <w:vAlign w:val="bottom"/>
            <w:hideMark/>
          </w:tcPr>
          <w:p w14:paraId="2EF19AC0"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11</w:t>
            </w:r>
          </w:p>
        </w:tc>
      </w:tr>
      <w:tr w:rsidR="000826B8" w:rsidRPr="000826B8" w14:paraId="2E4BA1F4" w14:textId="77777777" w:rsidTr="001754FE">
        <w:trPr>
          <w:cantSplit/>
          <w:trHeight w:val="300"/>
        </w:trPr>
        <w:tc>
          <w:tcPr>
            <w:tcW w:w="3639" w:type="pct"/>
            <w:tcBorders>
              <w:left w:val="single" w:sz="4" w:space="0" w:color="auto"/>
            </w:tcBorders>
            <w:noWrap/>
            <w:vAlign w:val="bottom"/>
            <w:hideMark/>
          </w:tcPr>
          <w:p w14:paraId="44B95CA0" w14:textId="77777777" w:rsidR="000826B8" w:rsidRPr="00F74292" w:rsidRDefault="000826B8" w:rsidP="00FD2E73">
            <w:pPr>
              <w:spacing w:after="0" w:line="240" w:lineRule="auto"/>
              <w:rPr>
                <w:rFonts w:asciiTheme="minorHAnsi" w:eastAsia="Times New Roman" w:hAnsiTheme="minorHAnsi" w:cstheme="minorHAnsi"/>
                <w:color w:val="000000"/>
                <w:szCs w:val="24"/>
              </w:rPr>
            </w:pPr>
            <w:proofErr w:type="spellStart"/>
            <w:r w:rsidRPr="00F74292">
              <w:rPr>
                <w:rFonts w:asciiTheme="minorHAnsi" w:eastAsia="Times New Roman" w:hAnsiTheme="minorHAnsi" w:cstheme="minorHAnsi"/>
                <w:color w:val="000000"/>
                <w:szCs w:val="24"/>
              </w:rPr>
              <w:t>PreOpNeuro-HXSeizures</w:t>
            </w:r>
            <w:proofErr w:type="spellEnd"/>
          </w:p>
        </w:tc>
        <w:tc>
          <w:tcPr>
            <w:tcW w:w="865" w:type="pct"/>
            <w:noWrap/>
            <w:vAlign w:val="bottom"/>
            <w:hideMark/>
          </w:tcPr>
          <w:p w14:paraId="16234609"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340</w:t>
            </w:r>
          </w:p>
        </w:tc>
        <w:tc>
          <w:tcPr>
            <w:tcW w:w="495" w:type="pct"/>
            <w:tcBorders>
              <w:right w:val="single" w:sz="4" w:space="0" w:color="auto"/>
            </w:tcBorders>
            <w:noWrap/>
            <w:vAlign w:val="bottom"/>
            <w:hideMark/>
          </w:tcPr>
          <w:p w14:paraId="62428DED" w14:textId="77777777" w:rsidR="000826B8" w:rsidRPr="00F74292" w:rsidRDefault="000826B8" w:rsidP="00FD2E73">
            <w:pPr>
              <w:spacing w:after="0" w:line="240" w:lineRule="auto"/>
              <w:jc w:val="center"/>
              <w:rPr>
                <w:rFonts w:asciiTheme="minorHAnsi" w:eastAsia="Times New Roman" w:hAnsiTheme="minorHAnsi" w:cstheme="minorHAnsi"/>
                <w:color w:val="000000"/>
                <w:szCs w:val="24"/>
              </w:rPr>
            </w:pPr>
            <w:r w:rsidRPr="00F74292">
              <w:rPr>
                <w:rFonts w:asciiTheme="minorHAnsi" w:eastAsia="Times New Roman" w:hAnsiTheme="minorHAnsi" w:cstheme="minorHAnsi"/>
                <w:color w:val="000000"/>
                <w:szCs w:val="24"/>
              </w:rPr>
              <w:t>482</w:t>
            </w:r>
          </w:p>
        </w:tc>
      </w:tr>
      <w:tr w:rsidR="000826B8" w:rsidRPr="000826B8" w14:paraId="7A20C3E0" w14:textId="77777777" w:rsidTr="001754FE">
        <w:trPr>
          <w:cantSplit/>
          <w:trHeight w:val="300"/>
        </w:trPr>
        <w:tc>
          <w:tcPr>
            <w:tcW w:w="3639" w:type="pct"/>
            <w:tcBorders>
              <w:left w:val="single" w:sz="4" w:space="0" w:color="auto"/>
              <w:bottom w:val="single" w:sz="4" w:space="0" w:color="auto"/>
            </w:tcBorders>
            <w:noWrap/>
            <w:vAlign w:val="bottom"/>
            <w:hideMark/>
          </w:tcPr>
          <w:p w14:paraId="2690D3DA" w14:textId="77777777" w:rsidR="000826B8" w:rsidRPr="00F74292" w:rsidRDefault="000826B8" w:rsidP="00FD2E73">
            <w:pPr>
              <w:spacing w:after="0" w:line="240" w:lineRule="auto"/>
              <w:rPr>
                <w:rFonts w:asciiTheme="minorHAnsi" w:eastAsia="Times New Roman" w:hAnsiTheme="minorHAnsi" w:cstheme="minorHAnsi"/>
                <w:b/>
                <w:bCs/>
                <w:color w:val="000000"/>
                <w:szCs w:val="24"/>
              </w:rPr>
            </w:pPr>
            <w:r w:rsidRPr="00F74292">
              <w:rPr>
                <w:rFonts w:asciiTheme="minorHAnsi" w:eastAsia="Times New Roman" w:hAnsiTheme="minorHAnsi" w:cstheme="minorHAnsi"/>
                <w:b/>
                <w:bCs/>
                <w:color w:val="000000"/>
                <w:szCs w:val="24"/>
              </w:rPr>
              <w:t>Neurological Total</w:t>
            </w:r>
          </w:p>
        </w:tc>
        <w:tc>
          <w:tcPr>
            <w:tcW w:w="865" w:type="pct"/>
            <w:tcBorders>
              <w:bottom w:val="single" w:sz="4" w:space="0" w:color="auto"/>
            </w:tcBorders>
            <w:noWrap/>
            <w:vAlign w:val="bottom"/>
            <w:hideMark/>
          </w:tcPr>
          <w:p w14:paraId="1D1C0D3E" w14:textId="77777777" w:rsidR="000826B8" w:rsidRPr="00F74292" w:rsidRDefault="000826B8" w:rsidP="00FD2E73">
            <w:pPr>
              <w:spacing w:after="0" w:line="240" w:lineRule="auto"/>
              <w:jc w:val="center"/>
              <w:rPr>
                <w:rFonts w:asciiTheme="minorHAnsi" w:eastAsia="Times New Roman" w:hAnsiTheme="minorHAnsi" w:cstheme="minorHAnsi"/>
                <w:b/>
                <w:bCs/>
                <w:color w:val="000000"/>
                <w:szCs w:val="24"/>
              </w:rPr>
            </w:pPr>
            <w:r w:rsidRPr="00F74292">
              <w:rPr>
                <w:rFonts w:asciiTheme="minorHAnsi" w:eastAsia="Times New Roman" w:hAnsiTheme="minorHAnsi" w:cstheme="minorHAnsi"/>
                <w:b/>
                <w:bCs/>
                <w:color w:val="000000"/>
                <w:szCs w:val="24"/>
              </w:rPr>
              <w:t>4534</w:t>
            </w:r>
          </w:p>
        </w:tc>
        <w:tc>
          <w:tcPr>
            <w:tcW w:w="495" w:type="pct"/>
            <w:tcBorders>
              <w:bottom w:val="single" w:sz="4" w:space="0" w:color="auto"/>
              <w:right w:val="single" w:sz="4" w:space="0" w:color="auto"/>
            </w:tcBorders>
            <w:noWrap/>
            <w:vAlign w:val="bottom"/>
            <w:hideMark/>
          </w:tcPr>
          <w:p w14:paraId="5834BC18" w14:textId="77777777" w:rsidR="000826B8" w:rsidRPr="00F74292" w:rsidRDefault="000826B8" w:rsidP="00FD2E73">
            <w:pPr>
              <w:spacing w:after="0" w:line="240" w:lineRule="auto"/>
              <w:jc w:val="center"/>
              <w:rPr>
                <w:rFonts w:asciiTheme="minorHAnsi" w:eastAsia="Times New Roman" w:hAnsiTheme="minorHAnsi" w:cstheme="minorHAnsi"/>
                <w:b/>
                <w:bCs/>
                <w:color w:val="000000"/>
                <w:szCs w:val="24"/>
              </w:rPr>
            </w:pPr>
            <w:r w:rsidRPr="00F74292">
              <w:rPr>
                <w:rFonts w:asciiTheme="minorHAnsi" w:eastAsia="Times New Roman" w:hAnsiTheme="minorHAnsi" w:cstheme="minorHAnsi"/>
                <w:b/>
                <w:bCs/>
                <w:color w:val="000000"/>
                <w:szCs w:val="24"/>
              </w:rPr>
              <w:t>7648</w:t>
            </w:r>
          </w:p>
        </w:tc>
      </w:tr>
    </w:tbl>
    <w:p w14:paraId="09B313D1" w14:textId="77777777" w:rsidR="009C7089" w:rsidRDefault="009C7089"/>
    <w:tbl>
      <w:tblPr>
        <w:tblW w:w="4798" w:type="pct"/>
        <w:tblLook w:val="04A0" w:firstRow="1" w:lastRow="0" w:firstColumn="1" w:lastColumn="0" w:noHBand="0" w:noVBand="1"/>
        <w:tblCaption w:val="Total Risk Factors"/>
      </w:tblPr>
      <w:tblGrid>
        <w:gridCol w:w="6531"/>
        <w:gridCol w:w="1552"/>
        <w:gridCol w:w="889"/>
      </w:tblGrid>
      <w:tr w:rsidR="009C7089" w:rsidRPr="00634C6B" w14:paraId="47FD8F88" w14:textId="77777777" w:rsidTr="001754FE">
        <w:trPr>
          <w:cantSplit/>
          <w:trHeight w:val="300"/>
          <w:tblHeader/>
        </w:trPr>
        <w:tc>
          <w:tcPr>
            <w:tcW w:w="3640" w:type="pct"/>
            <w:tcBorders>
              <w:top w:val="single" w:sz="4" w:space="0" w:color="auto"/>
              <w:left w:val="single" w:sz="4" w:space="0" w:color="auto"/>
            </w:tcBorders>
            <w:noWrap/>
            <w:vAlign w:val="bottom"/>
            <w:hideMark/>
          </w:tcPr>
          <w:p w14:paraId="56075C70" w14:textId="2247DCE3" w:rsidR="009C7089" w:rsidRPr="00F74292" w:rsidRDefault="009C7089" w:rsidP="009C7089">
            <w:pPr>
              <w:spacing w:after="0" w:line="240" w:lineRule="auto"/>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 </w:t>
            </w:r>
            <w:r w:rsidRPr="00F74292">
              <w:rPr>
                <w:rFonts w:ascii="Aptos Narrow" w:eastAsia="Times New Roman" w:hAnsi="Aptos Narrow" w:cs="Times New Roman"/>
                <w:b/>
                <w:bCs/>
                <w:color w:val="000000"/>
                <w:szCs w:val="24"/>
              </w:rPr>
              <w:t>Total Risk Factors</w:t>
            </w:r>
          </w:p>
        </w:tc>
        <w:tc>
          <w:tcPr>
            <w:tcW w:w="865" w:type="pct"/>
            <w:tcBorders>
              <w:top w:val="single" w:sz="4" w:space="0" w:color="auto"/>
            </w:tcBorders>
            <w:noWrap/>
            <w:vAlign w:val="bottom"/>
            <w:hideMark/>
          </w:tcPr>
          <w:p w14:paraId="73721C76" w14:textId="4EE653E1" w:rsidR="009C7089" w:rsidRPr="00F74292" w:rsidRDefault="009C7089" w:rsidP="009C7089">
            <w:pPr>
              <w:spacing w:after="0" w:line="240" w:lineRule="auto"/>
              <w:rPr>
                <w:rFonts w:ascii="Aptos Narrow" w:eastAsia="Times New Roman" w:hAnsi="Aptos Narrow" w:cs="Times New Roman"/>
                <w:color w:val="000000"/>
                <w:szCs w:val="24"/>
              </w:rPr>
            </w:pPr>
            <w:r w:rsidRPr="009C505A">
              <w:rPr>
                <w:rFonts w:asciiTheme="minorHAnsi" w:eastAsia="Times New Roman" w:hAnsiTheme="minorHAnsi" w:cstheme="minorHAnsi"/>
                <w:b/>
                <w:bCs/>
                <w:color w:val="000000"/>
                <w:szCs w:val="24"/>
              </w:rPr>
              <w:t>2024</w:t>
            </w:r>
          </w:p>
        </w:tc>
        <w:tc>
          <w:tcPr>
            <w:tcW w:w="495" w:type="pct"/>
            <w:tcBorders>
              <w:top w:val="single" w:sz="4" w:space="0" w:color="auto"/>
              <w:right w:val="single" w:sz="4" w:space="0" w:color="auto"/>
            </w:tcBorders>
            <w:noWrap/>
            <w:vAlign w:val="bottom"/>
            <w:hideMark/>
          </w:tcPr>
          <w:p w14:paraId="7BBACAA8" w14:textId="752CC191" w:rsidR="009C7089" w:rsidRPr="00F74292" w:rsidRDefault="009C7089" w:rsidP="009C7089">
            <w:pPr>
              <w:spacing w:after="0" w:line="240" w:lineRule="auto"/>
              <w:rPr>
                <w:rFonts w:eastAsia="Times New Roman" w:cs="Times New Roman"/>
                <w:szCs w:val="24"/>
              </w:rPr>
            </w:pPr>
            <w:r w:rsidRPr="009C505A">
              <w:rPr>
                <w:rFonts w:asciiTheme="minorHAnsi" w:eastAsia="Times New Roman" w:hAnsiTheme="minorHAnsi" w:cstheme="minorHAnsi"/>
                <w:b/>
                <w:bCs/>
                <w:color w:val="000000"/>
                <w:szCs w:val="24"/>
              </w:rPr>
              <w:t>2025</w:t>
            </w:r>
          </w:p>
        </w:tc>
      </w:tr>
      <w:tr w:rsidR="009C7089" w:rsidRPr="00634C6B" w14:paraId="2E47105D" w14:textId="77777777" w:rsidTr="001754FE">
        <w:trPr>
          <w:cantSplit/>
          <w:trHeight w:val="300"/>
        </w:trPr>
        <w:tc>
          <w:tcPr>
            <w:tcW w:w="3640" w:type="pct"/>
            <w:tcBorders>
              <w:left w:val="single" w:sz="4" w:space="0" w:color="auto"/>
              <w:bottom w:val="single" w:sz="4" w:space="0" w:color="auto"/>
            </w:tcBorders>
            <w:noWrap/>
            <w:vAlign w:val="bottom"/>
            <w:hideMark/>
          </w:tcPr>
          <w:p w14:paraId="65784206" w14:textId="77777777" w:rsidR="009C7089" w:rsidRPr="00F74292" w:rsidRDefault="009C7089" w:rsidP="009C7089">
            <w:pPr>
              <w:spacing w:after="0" w:line="240" w:lineRule="auto"/>
              <w:rPr>
                <w:rFonts w:ascii="Aptos Narrow" w:eastAsia="Times New Roman" w:hAnsi="Aptos Narrow" w:cs="Times New Roman"/>
                <w:b/>
                <w:bCs/>
                <w:color w:val="000000"/>
                <w:szCs w:val="24"/>
              </w:rPr>
            </w:pPr>
            <w:r w:rsidRPr="00F74292">
              <w:rPr>
                <w:rFonts w:ascii="Aptos Narrow" w:eastAsia="Times New Roman" w:hAnsi="Aptos Narrow" w:cs="Times New Roman"/>
                <w:b/>
                <w:bCs/>
                <w:color w:val="000000"/>
                <w:szCs w:val="24"/>
              </w:rPr>
              <w:t>Total Risk Factors</w:t>
            </w:r>
          </w:p>
        </w:tc>
        <w:tc>
          <w:tcPr>
            <w:tcW w:w="865" w:type="pct"/>
            <w:tcBorders>
              <w:bottom w:val="single" w:sz="4" w:space="0" w:color="auto"/>
            </w:tcBorders>
            <w:noWrap/>
            <w:vAlign w:val="bottom"/>
            <w:hideMark/>
          </w:tcPr>
          <w:p w14:paraId="5189D66A" w14:textId="77777777" w:rsidR="009C7089" w:rsidRPr="00F74292" w:rsidRDefault="009C7089" w:rsidP="009C7089">
            <w:pPr>
              <w:spacing w:after="0" w:line="240" w:lineRule="auto"/>
              <w:jc w:val="center"/>
              <w:rPr>
                <w:rFonts w:ascii="Aptos Narrow" w:eastAsia="Times New Roman" w:hAnsi="Aptos Narrow" w:cs="Times New Roman"/>
                <w:b/>
                <w:bCs/>
                <w:color w:val="000000"/>
                <w:szCs w:val="24"/>
              </w:rPr>
            </w:pPr>
            <w:r w:rsidRPr="00F74292">
              <w:rPr>
                <w:rFonts w:ascii="Aptos Narrow" w:eastAsia="Times New Roman" w:hAnsi="Aptos Narrow" w:cs="Times New Roman"/>
                <w:b/>
                <w:bCs/>
                <w:color w:val="000000"/>
                <w:szCs w:val="24"/>
              </w:rPr>
              <w:t>13,481</w:t>
            </w:r>
          </w:p>
        </w:tc>
        <w:tc>
          <w:tcPr>
            <w:tcW w:w="495" w:type="pct"/>
            <w:tcBorders>
              <w:bottom w:val="single" w:sz="4" w:space="0" w:color="auto"/>
              <w:right w:val="single" w:sz="4" w:space="0" w:color="auto"/>
            </w:tcBorders>
            <w:noWrap/>
            <w:vAlign w:val="bottom"/>
            <w:hideMark/>
          </w:tcPr>
          <w:p w14:paraId="2FF3927A" w14:textId="77777777" w:rsidR="009C7089" w:rsidRPr="00F74292" w:rsidRDefault="009C7089" w:rsidP="009C7089">
            <w:pPr>
              <w:spacing w:after="0" w:line="240" w:lineRule="auto"/>
              <w:jc w:val="center"/>
              <w:rPr>
                <w:rFonts w:ascii="Aptos Narrow" w:eastAsia="Times New Roman" w:hAnsi="Aptos Narrow" w:cs="Times New Roman"/>
                <w:b/>
                <w:bCs/>
                <w:color w:val="000000"/>
                <w:szCs w:val="24"/>
              </w:rPr>
            </w:pPr>
            <w:r w:rsidRPr="00F74292">
              <w:rPr>
                <w:rFonts w:ascii="Aptos Narrow" w:eastAsia="Times New Roman" w:hAnsi="Aptos Narrow" w:cs="Times New Roman"/>
                <w:b/>
                <w:bCs/>
                <w:color w:val="000000"/>
                <w:szCs w:val="24"/>
              </w:rPr>
              <w:t>22,501</w:t>
            </w:r>
          </w:p>
        </w:tc>
      </w:tr>
    </w:tbl>
    <w:p w14:paraId="774B828B" w14:textId="77777777" w:rsidR="000826B8" w:rsidRPr="007A42E6" w:rsidRDefault="000826B8" w:rsidP="000826B8">
      <w:pPr>
        <w:pBdr>
          <w:top w:val="nil"/>
          <w:left w:val="nil"/>
          <w:bottom w:val="nil"/>
          <w:right w:val="nil"/>
          <w:between w:val="nil"/>
        </w:pBdr>
        <w:spacing w:line="259" w:lineRule="auto"/>
        <w:rPr>
          <w:b/>
          <w:color w:val="000000"/>
        </w:rPr>
      </w:pPr>
    </w:p>
    <w:tbl>
      <w:tblPr>
        <w:tblW w:w="4630" w:type="dxa"/>
        <w:tblInd w:w="607" w:type="dxa"/>
        <w:tblLook w:val="04A0" w:firstRow="1" w:lastRow="0" w:firstColumn="1" w:lastColumn="0" w:noHBand="0" w:noVBand="1"/>
        <w:tblCaption w:val="Risk factors by unique patients 24-25"/>
      </w:tblPr>
      <w:tblGrid>
        <w:gridCol w:w="1580"/>
        <w:gridCol w:w="1525"/>
        <w:gridCol w:w="1525"/>
      </w:tblGrid>
      <w:tr w:rsidR="000826B8" w:rsidRPr="00634C6B" w14:paraId="297CA108" w14:textId="77777777" w:rsidTr="002A460B">
        <w:trPr>
          <w:cantSplit/>
          <w:trHeight w:val="300"/>
          <w:tblHeader/>
        </w:trPr>
        <w:tc>
          <w:tcPr>
            <w:tcW w:w="1580" w:type="dxa"/>
            <w:tcBorders>
              <w:top w:val="single" w:sz="4" w:space="0" w:color="auto"/>
              <w:left w:val="single" w:sz="4" w:space="0" w:color="auto"/>
              <w:bottom w:val="single" w:sz="4" w:space="0" w:color="auto"/>
              <w:right w:val="single" w:sz="4" w:space="0" w:color="auto"/>
            </w:tcBorders>
            <w:shd w:val="clear" w:color="auto" w:fill="E1EBF7" w:themeFill="text2" w:themeFillTint="1A"/>
            <w:noWrap/>
            <w:vAlign w:val="bottom"/>
            <w:hideMark/>
          </w:tcPr>
          <w:p w14:paraId="56E5D074" w14:textId="7DEDD8F0" w:rsidR="000826B8" w:rsidRPr="00F74292" w:rsidRDefault="001754FE" w:rsidP="00FD2E73">
            <w:pPr>
              <w:spacing w:after="0" w:line="240" w:lineRule="auto"/>
              <w:jc w:val="center"/>
              <w:rPr>
                <w:rFonts w:ascii="Aptos Narrow" w:eastAsia="Times New Roman" w:hAnsi="Aptos Narrow" w:cs="Times New Roman"/>
                <w:b/>
                <w:bCs/>
                <w:color w:val="000000"/>
                <w:szCs w:val="24"/>
              </w:rPr>
            </w:pPr>
            <w:r>
              <w:rPr>
                <w:rFonts w:ascii="Aptos Narrow" w:eastAsia="Times New Roman" w:hAnsi="Aptos Narrow" w:cs="Times New Roman"/>
                <w:b/>
                <w:bCs/>
                <w:color w:val="000000"/>
                <w:szCs w:val="24"/>
              </w:rPr>
              <w:t>Number</w:t>
            </w:r>
            <w:r w:rsidRPr="00F74292">
              <w:rPr>
                <w:rFonts w:ascii="Aptos Narrow" w:eastAsia="Times New Roman" w:hAnsi="Aptos Narrow" w:cs="Times New Roman"/>
                <w:b/>
                <w:bCs/>
                <w:color w:val="000000"/>
                <w:szCs w:val="24"/>
              </w:rPr>
              <w:t xml:space="preserve"> of Risk Factors</w:t>
            </w:r>
          </w:p>
        </w:tc>
        <w:tc>
          <w:tcPr>
            <w:tcW w:w="1525"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bottom"/>
          </w:tcPr>
          <w:p w14:paraId="497ACF5A" w14:textId="29C73FEC" w:rsidR="000826B8" w:rsidRPr="00F74292" w:rsidRDefault="00C15428" w:rsidP="00FD2E73">
            <w:pPr>
              <w:spacing w:after="0" w:line="240" w:lineRule="auto"/>
              <w:jc w:val="center"/>
              <w:rPr>
                <w:rFonts w:ascii="Aptos Narrow" w:eastAsia="Times New Roman" w:hAnsi="Aptos Narrow" w:cs="Times New Roman"/>
                <w:b/>
                <w:bCs/>
                <w:color w:val="000000"/>
                <w:szCs w:val="24"/>
              </w:rPr>
            </w:pPr>
            <w:r w:rsidRPr="00F74292">
              <w:rPr>
                <w:rFonts w:ascii="Aptos Narrow" w:eastAsia="Times New Roman" w:hAnsi="Aptos Narrow" w:cs="Times New Roman"/>
                <w:b/>
                <w:bCs/>
                <w:color w:val="000000"/>
                <w:szCs w:val="24"/>
              </w:rPr>
              <w:t>Unique patients</w:t>
            </w:r>
            <w:r w:rsidRPr="00F74292">
              <w:rPr>
                <w:rFonts w:ascii="Aptos Narrow" w:eastAsia="Times New Roman" w:hAnsi="Aptos Narrow" w:cs="Times New Roman"/>
                <w:b/>
                <w:bCs/>
                <w:color w:val="000000"/>
                <w:szCs w:val="24"/>
              </w:rPr>
              <w:t xml:space="preserve"> </w:t>
            </w:r>
            <w:r w:rsidR="000826B8" w:rsidRPr="00F74292">
              <w:rPr>
                <w:rFonts w:ascii="Aptos Narrow" w:eastAsia="Times New Roman" w:hAnsi="Aptos Narrow" w:cs="Times New Roman"/>
                <w:b/>
                <w:bCs/>
                <w:color w:val="000000"/>
                <w:szCs w:val="24"/>
              </w:rPr>
              <w:t>2024</w:t>
            </w:r>
          </w:p>
        </w:tc>
        <w:tc>
          <w:tcPr>
            <w:tcW w:w="1525"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bottom"/>
          </w:tcPr>
          <w:p w14:paraId="0771880A" w14:textId="0AA1F824" w:rsidR="000826B8" w:rsidRPr="00F74292" w:rsidRDefault="00C15428" w:rsidP="00FD2E73">
            <w:pPr>
              <w:spacing w:after="0" w:line="240" w:lineRule="auto"/>
              <w:jc w:val="center"/>
              <w:rPr>
                <w:rFonts w:ascii="Aptos Narrow" w:eastAsia="Times New Roman" w:hAnsi="Aptos Narrow" w:cs="Times New Roman"/>
                <w:b/>
                <w:bCs/>
                <w:color w:val="000000"/>
                <w:szCs w:val="24"/>
              </w:rPr>
            </w:pPr>
            <w:r w:rsidRPr="00F74292">
              <w:rPr>
                <w:rFonts w:ascii="Aptos Narrow" w:eastAsia="Times New Roman" w:hAnsi="Aptos Narrow" w:cs="Times New Roman"/>
                <w:b/>
                <w:bCs/>
                <w:color w:val="000000"/>
                <w:szCs w:val="24"/>
              </w:rPr>
              <w:t>Unique patients</w:t>
            </w:r>
            <w:r w:rsidRPr="00F74292">
              <w:rPr>
                <w:rFonts w:ascii="Aptos Narrow" w:eastAsia="Times New Roman" w:hAnsi="Aptos Narrow" w:cs="Times New Roman"/>
                <w:b/>
                <w:bCs/>
                <w:color w:val="000000"/>
                <w:szCs w:val="24"/>
              </w:rPr>
              <w:t xml:space="preserve"> </w:t>
            </w:r>
            <w:r w:rsidR="000826B8" w:rsidRPr="00F74292">
              <w:rPr>
                <w:rFonts w:ascii="Aptos Narrow" w:eastAsia="Times New Roman" w:hAnsi="Aptos Narrow" w:cs="Times New Roman"/>
                <w:b/>
                <w:bCs/>
                <w:color w:val="000000"/>
                <w:szCs w:val="24"/>
              </w:rPr>
              <w:t>2025</w:t>
            </w:r>
          </w:p>
        </w:tc>
      </w:tr>
      <w:tr w:rsidR="000826B8" w:rsidRPr="00634C6B" w14:paraId="3E99AAB5" w14:textId="77777777" w:rsidTr="00B40383">
        <w:trPr>
          <w:cantSplit/>
          <w:trHeight w:val="300"/>
        </w:trPr>
        <w:tc>
          <w:tcPr>
            <w:tcW w:w="1580" w:type="dxa"/>
            <w:tcBorders>
              <w:top w:val="single" w:sz="4" w:space="0" w:color="auto"/>
              <w:left w:val="single" w:sz="4" w:space="0" w:color="auto"/>
              <w:bottom w:val="single" w:sz="4" w:space="0" w:color="auto"/>
              <w:right w:val="single" w:sz="4" w:space="0" w:color="auto"/>
            </w:tcBorders>
            <w:noWrap/>
            <w:vAlign w:val="bottom"/>
            <w:hideMark/>
          </w:tcPr>
          <w:p w14:paraId="2D3A68A1"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0</w:t>
            </w:r>
          </w:p>
        </w:tc>
        <w:tc>
          <w:tcPr>
            <w:tcW w:w="1525" w:type="dxa"/>
            <w:tcBorders>
              <w:top w:val="single" w:sz="4" w:space="0" w:color="auto"/>
              <w:left w:val="single" w:sz="4" w:space="0" w:color="auto"/>
              <w:bottom w:val="single" w:sz="4" w:space="0" w:color="auto"/>
              <w:right w:val="single" w:sz="4" w:space="0" w:color="auto"/>
            </w:tcBorders>
            <w:vAlign w:val="bottom"/>
          </w:tcPr>
          <w:p w14:paraId="34CCAF39"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33,595</w:t>
            </w:r>
          </w:p>
        </w:tc>
        <w:tc>
          <w:tcPr>
            <w:tcW w:w="1525" w:type="dxa"/>
            <w:tcBorders>
              <w:top w:val="single" w:sz="4" w:space="0" w:color="auto"/>
              <w:left w:val="single" w:sz="4" w:space="0" w:color="auto"/>
              <w:bottom w:val="single" w:sz="4" w:space="0" w:color="auto"/>
              <w:right w:val="single" w:sz="4" w:space="0" w:color="auto"/>
            </w:tcBorders>
            <w:vAlign w:val="bottom"/>
          </w:tcPr>
          <w:p w14:paraId="2B6AE32B"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hAnsi="Aptos Narrow"/>
                <w:color w:val="000000"/>
                <w:szCs w:val="24"/>
              </w:rPr>
              <w:t>41503</w:t>
            </w:r>
          </w:p>
        </w:tc>
      </w:tr>
      <w:tr w:rsidR="000826B8" w:rsidRPr="00634C6B" w14:paraId="7DAEDB0F" w14:textId="77777777" w:rsidTr="00B40383">
        <w:trPr>
          <w:cantSplit/>
          <w:trHeight w:val="300"/>
        </w:trPr>
        <w:tc>
          <w:tcPr>
            <w:tcW w:w="1580" w:type="dxa"/>
            <w:tcBorders>
              <w:top w:val="single" w:sz="4" w:space="0" w:color="auto"/>
              <w:left w:val="single" w:sz="4" w:space="0" w:color="auto"/>
              <w:bottom w:val="single" w:sz="4" w:space="0" w:color="auto"/>
              <w:right w:val="single" w:sz="4" w:space="0" w:color="auto"/>
            </w:tcBorders>
            <w:noWrap/>
            <w:vAlign w:val="bottom"/>
            <w:hideMark/>
          </w:tcPr>
          <w:p w14:paraId="2836C389"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1</w:t>
            </w:r>
          </w:p>
        </w:tc>
        <w:tc>
          <w:tcPr>
            <w:tcW w:w="1525" w:type="dxa"/>
            <w:tcBorders>
              <w:top w:val="single" w:sz="4" w:space="0" w:color="auto"/>
              <w:left w:val="single" w:sz="4" w:space="0" w:color="auto"/>
              <w:bottom w:val="single" w:sz="4" w:space="0" w:color="auto"/>
              <w:right w:val="single" w:sz="4" w:space="0" w:color="auto"/>
            </w:tcBorders>
            <w:vAlign w:val="bottom"/>
          </w:tcPr>
          <w:p w14:paraId="57F83A2E"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3,625</w:t>
            </w:r>
          </w:p>
        </w:tc>
        <w:tc>
          <w:tcPr>
            <w:tcW w:w="1525" w:type="dxa"/>
            <w:tcBorders>
              <w:top w:val="single" w:sz="4" w:space="0" w:color="auto"/>
              <w:left w:val="single" w:sz="4" w:space="0" w:color="auto"/>
              <w:bottom w:val="single" w:sz="4" w:space="0" w:color="auto"/>
              <w:right w:val="single" w:sz="4" w:space="0" w:color="auto"/>
            </w:tcBorders>
            <w:vAlign w:val="bottom"/>
          </w:tcPr>
          <w:p w14:paraId="68DCE7A0"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hAnsi="Aptos Narrow"/>
                <w:color w:val="000000"/>
                <w:szCs w:val="24"/>
              </w:rPr>
              <w:t>6278</w:t>
            </w:r>
          </w:p>
        </w:tc>
      </w:tr>
      <w:tr w:rsidR="000826B8" w:rsidRPr="00634C6B" w14:paraId="31157C9E" w14:textId="77777777" w:rsidTr="00B40383">
        <w:trPr>
          <w:cantSplit/>
          <w:trHeight w:val="300"/>
        </w:trPr>
        <w:tc>
          <w:tcPr>
            <w:tcW w:w="1580" w:type="dxa"/>
            <w:tcBorders>
              <w:top w:val="single" w:sz="4" w:space="0" w:color="auto"/>
              <w:left w:val="single" w:sz="4" w:space="0" w:color="auto"/>
              <w:bottom w:val="single" w:sz="4" w:space="0" w:color="auto"/>
              <w:right w:val="single" w:sz="4" w:space="0" w:color="auto"/>
            </w:tcBorders>
            <w:noWrap/>
            <w:vAlign w:val="bottom"/>
            <w:hideMark/>
          </w:tcPr>
          <w:p w14:paraId="3816CAE8"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2</w:t>
            </w:r>
          </w:p>
        </w:tc>
        <w:tc>
          <w:tcPr>
            <w:tcW w:w="1525" w:type="dxa"/>
            <w:tcBorders>
              <w:top w:val="single" w:sz="4" w:space="0" w:color="auto"/>
              <w:left w:val="single" w:sz="4" w:space="0" w:color="auto"/>
              <w:bottom w:val="single" w:sz="4" w:space="0" w:color="auto"/>
              <w:right w:val="single" w:sz="4" w:space="0" w:color="auto"/>
            </w:tcBorders>
            <w:vAlign w:val="bottom"/>
          </w:tcPr>
          <w:p w14:paraId="5D72F4E1"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1,893</w:t>
            </w:r>
          </w:p>
        </w:tc>
        <w:tc>
          <w:tcPr>
            <w:tcW w:w="1525" w:type="dxa"/>
            <w:tcBorders>
              <w:top w:val="single" w:sz="4" w:space="0" w:color="auto"/>
              <w:left w:val="single" w:sz="4" w:space="0" w:color="auto"/>
              <w:bottom w:val="single" w:sz="4" w:space="0" w:color="auto"/>
              <w:right w:val="single" w:sz="4" w:space="0" w:color="auto"/>
            </w:tcBorders>
            <w:vAlign w:val="bottom"/>
          </w:tcPr>
          <w:p w14:paraId="1E294A56"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hAnsi="Aptos Narrow"/>
                <w:color w:val="000000"/>
                <w:szCs w:val="24"/>
              </w:rPr>
              <w:t>3481</w:t>
            </w:r>
          </w:p>
        </w:tc>
      </w:tr>
      <w:tr w:rsidR="000826B8" w:rsidRPr="00634C6B" w14:paraId="6219A41A" w14:textId="77777777" w:rsidTr="00B40383">
        <w:trPr>
          <w:cantSplit/>
          <w:trHeight w:val="300"/>
        </w:trPr>
        <w:tc>
          <w:tcPr>
            <w:tcW w:w="1580" w:type="dxa"/>
            <w:tcBorders>
              <w:top w:val="single" w:sz="4" w:space="0" w:color="auto"/>
              <w:left w:val="single" w:sz="4" w:space="0" w:color="auto"/>
              <w:bottom w:val="single" w:sz="4" w:space="0" w:color="auto"/>
              <w:right w:val="single" w:sz="4" w:space="0" w:color="auto"/>
            </w:tcBorders>
            <w:noWrap/>
            <w:vAlign w:val="bottom"/>
            <w:hideMark/>
          </w:tcPr>
          <w:p w14:paraId="205A75CB"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3</w:t>
            </w:r>
          </w:p>
        </w:tc>
        <w:tc>
          <w:tcPr>
            <w:tcW w:w="1525" w:type="dxa"/>
            <w:tcBorders>
              <w:top w:val="single" w:sz="4" w:space="0" w:color="auto"/>
              <w:left w:val="single" w:sz="4" w:space="0" w:color="auto"/>
              <w:bottom w:val="single" w:sz="4" w:space="0" w:color="auto"/>
              <w:right w:val="single" w:sz="4" w:space="0" w:color="auto"/>
            </w:tcBorders>
            <w:vAlign w:val="bottom"/>
          </w:tcPr>
          <w:p w14:paraId="4965AFA8"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942</w:t>
            </w:r>
          </w:p>
        </w:tc>
        <w:tc>
          <w:tcPr>
            <w:tcW w:w="1525" w:type="dxa"/>
            <w:tcBorders>
              <w:top w:val="single" w:sz="4" w:space="0" w:color="auto"/>
              <w:left w:val="single" w:sz="4" w:space="0" w:color="auto"/>
              <w:bottom w:val="single" w:sz="4" w:space="0" w:color="auto"/>
              <w:right w:val="single" w:sz="4" w:space="0" w:color="auto"/>
            </w:tcBorders>
            <w:vAlign w:val="bottom"/>
          </w:tcPr>
          <w:p w14:paraId="5D10A1BC"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hAnsi="Aptos Narrow"/>
                <w:color w:val="000000"/>
                <w:szCs w:val="24"/>
              </w:rPr>
              <w:t>1691</w:t>
            </w:r>
          </w:p>
        </w:tc>
      </w:tr>
      <w:tr w:rsidR="000826B8" w:rsidRPr="00634C6B" w14:paraId="1D3D9DA2" w14:textId="77777777" w:rsidTr="00B40383">
        <w:trPr>
          <w:cantSplit/>
          <w:trHeight w:val="300"/>
        </w:trPr>
        <w:tc>
          <w:tcPr>
            <w:tcW w:w="1580" w:type="dxa"/>
            <w:tcBorders>
              <w:top w:val="single" w:sz="4" w:space="0" w:color="auto"/>
              <w:left w:val="single" w:sz="4" w:space="0" w:color="auto"/>
              <w:bottom w:val="single" w:sz="4" w:space="0" w:color="auto"/>
              <w:right w:val="single" w:sz="4" w:space="0" w:color="auto"/>
            </w:tcBorders>
            <w:noWrap/>
            <w:vAlign w:val="bottom"/>
            <w:hideMark/>
          </w:tcPr>
          <w:p w14:paraId="0CB96E7D"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4</w:t>
            </w:r>
          </w:p>
        </w:tc>
        <w:tc>
          <w:tcPr>
            <w:tcW w:w="1525" w:type="dxa"/>
            <w:tcBorders>
              <w:top w:val="single" w:sz="4" w:space="0" w:color="auto"/>
              <w:left w:val="single" w:sz="4" w:space="0" w:color="auto"/>
              <w:bottom w:val="single" w:sz="4" w:space="0" w:color="auto"/>
              <w:right w:val="single" w:sz="4" w:space="0" w:color="auto"/>
            </w:tcBorders>
            <w:vAlign w:val="bottom"/>
          </w:tcPr>
          <w:p w14:paraId="40D05A3F"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476</w:t>
            </w:r>
          </w:p>
        </w:tc>
        <w:tc>
          <w:tcPr>
            <w:tcW w:w="1525" w:type="dxa"/>
            <w:tcBorders>
              <w:top w:val="single" w:sz="4" w:space="0" w:color="auto"/>
              <w:left w:val="single" w:sz="4" w:space="0" w:color="auto"/>
              <w:bottom w:val="single" w:sz="4" w:space="0" w:color="auto"/>
              <w:right w:val="single" w:sz="4" w:space="0" w:color="auto"/>
            </w:tcBorders>
            <w:vAlign w:val="bottom"/>
          </w:tcPr>
          <w:p w14:paraId="1422FC81"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hAnsi="Aptos Narrow"/>
                <w:color w:val="000000"/>
                <w:szCs w:val="24"/>
              </w:rPr>
              <w:t>629</w:t>
            </w:r>
          </w:p>
        </w:tc>
      </w:tr>
      <w:tr w:rsidR="000826B8" w:rsidRPr="00634C6B" w14:paraId="5A91BC7B" w14:textId="77777777" w:rsidTr="00B40383">
        <w:trPr>
          <w:cantSplit/>
          <w:trHeight w:val="315"/>
        </w:trPr>
        <w:tc>
          <w:tcPr>
            <w:tcW w:w="1580" w:type="dxa"/>
            <w:tcBorders>
              <w:top w:val="single" w:sz="4" w:space="0" w:color="auto"/>
              <w:left w:val="single" w:sz="4" w:space="0" w:color="auto"/>
              <w:bottom w:val="single" w:sz="4" w:space="0" w:color="auto"/>
              <w:right w:val="single" w:sz="4" w:space="0" w:color="auto"/>
            </w:tcBorders>
            <w:noWrap/>
            <w:vAlign w:val="bottom"/>
            <w:hideMark/>
          </w:tcPr>
          <w:p w14:paraId="5FD50F3D"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5</w:t>
            </w:r>
          </w:p>
        </w:tc>
        <w:tc>
          <w:tcPr>
            <w:tcW w:w="1525" w:type="dxa"/>
            <w:tcBorders>
              <w:top w:val="single" w:sz="4" w:space="0" w:color="auto"/>
              <w:left w:val="single" w:sz="4" w:space="0" w:color="auto"/>
              <w:bottom w:val="single" w:sz="4" w:space="0" w:color="auto"/>
              <w:right w:val="single" w:sz="4" w:space="0" w:color="auto"/>
            </w:tcBorders>
            <w:vAlign w:val="bottom"/>
          </w:tcPr>
          <w:p w14:paraId="0BB68AA1"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161</w:t>
            </w:r>
          </w:p>
        </w:tc>
        <w:tc>
          <w:tcPr>
            <w:tcW w:w="1525" w:type="dxa"/>
            <w:tcBorders>
              <w:top w:val="single" w:sz="4" w:space="0" w:color="auto"/>
              <w:left w:val="single" w:sz="4" w:space="0" w:color="auto"/>
              <w:bottom w:val="single" w:sz="4" w:space="0" w:color="auto"/>
              <w:right w:val="single" w:sz="4" w:space="0" w:color="auto"/>
            </w:tcBorders>
            <w:vAlign w:val="bottom"/>
          </w:tcPr>
          <w:p w14:paraId="74F0F271"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hAnsi="Aptos Narrow"/>
                <w:color w:val="000000"/>
                <w:szCs w:val="24"/>
              </w:rPr>
              <w:t>206</w:t>
            </w:r>
          </w:p>
        </w:tc>
      </w:tr>
      <w:tr w:rsidR="000826B8" w:rsidRPr="00634C6B" w14:paraId="32791646" w14:textId="77777777" w:rsidTr="00B40383">
        <w:trPr>
          <w:cantSplit/>
          <w:trHeight w:val="300"/>
        </w:trPr>
        <w:tc>
          <w:tcPr>
            <w:tcW w:w="1580" w:type="dxa"/>
            <w:tcBorders>
              <w:top w:val="single" w:sz="4" w:space="0" w:color="auto"/>
              <w:left w:val="single" w:sz="4" w:space="0" w:color="auto"/>
              <w:bottom w:val="single" w:sz="4" w:space="0" w:color="auto"/>
              <w:right w:val="single" w:sz="4" w:space="0" w:color="auto"/>
            </w:tcBorders>
            <w:noWrap/>
            <w:vAlign w:val="bottom"/>
            <w:hideMark/>
          </w:tcPr>
          <w:p w14:paraId="23F89606"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6</w:t>
            </w:r>
          </w:p>
        </w:tc>
        <w:tc>
          <w:tcPr>
            <w:tcW w:w="1525" w:type="dxa"/>
            <w:tcBorders>
              <w:top w:val="single" w:sz="4" w:space="0" w:color="auto"/>
              <w:left w:val="single" w:sz="4" w:space="0" w:color="auto"/>
              <w:bottom w:val="single" w:sz="4" w:space="0" w:color="auto"/>
              <w:right w:val="single" w:sz="4" w:space="0" w:color="auto"/>
            </w:tcBorders>
            <w:vAlign w:val="bottom"/>
          </w:tcPr>
          <w:p w14:paraId="12A027C5"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59</w:t>
            </w:r>
          </w:p>
        </w:tc>
        <w:tc>
          <w:tcPr>
            <w:tcW w:w="1525" w:type="dxa"/>
            <w:tcBorders>
              <w:top w:val="single" w:sz="4" w:space="0" w:color="auto"/>
              <w:left w:val="single" w:sz="4" w:space="0" w:color="auto"/>
              <w:bottom w:val="single" w:sz="4" w:space="0" w:color="auto"/>
              <w:right w:val="single" w:sz="4" w:space="0" w:color="auto"/>
            </w:tcBorders>
            <w:vAlign w:val="bottom"/>
          </w:tcPr>
          <w:p w14:paraId="25225DE6"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hAnsi="Aptos Narrow"/>
                <w:color w:val="000000"/>
                <w:szCs w:val="24"/>
              </w:rPr>
              <w:t>73</w:t>
            </w:r>
          </w:p>
        </w:tc>
      </w:tr>
      <w:tr w:rsidR="000826B8" w:rsidRPr="00634C6B" w14:paraId="196338DD" w14:textId="77777777" w:rsidTr="00B40383">
        <w:trPr>
          <w:cantSplit/>
          <w:trHeight w:val="300"/>
        </w:trPr>
        <w:tc>
          <w:tcPr>
            <w:tcW w:w="1580" w:type="dxa"/>
            <w:tcBorders>
              <w:top w:val="single" w:sz="4" w:space="0" w:color="auto"/>
              <w:left w:val="single" w:sz="4" w:space="0" w:color="auto"/>
              <w:bottom w:val="single" w:sz="4" w:space="0" w:color="auto"/>
              <w:right w:val="single" w:sz="4" w:space="0" w:color="auto"/>
            </w:tcBorders>
            <w:noWrap/>
            <w:vAlign w:val="bottom"/>
            <w:hideMark/>
          </w:tcPr>
          <w:p w14:paraId="6A584D79"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7</w:t>
            </w:r>
          </w:p>
        </w:tc>
        <w:tc>
          <w:tcPr>
            <w:tcW w:w="1525" w:type="dxa"/>
            <w:tcBorders>
              <w:top w:val="single" w:sz="4" w:space="0" w:color="auto"/>
              <w:left w:val="single" w:sz="4" w:space="0" w:color="auto"/>
              <w:bottom w:val="single" w:sz="4" w:space="0" w:color="auto"/>
              <w:right w:val="single" w:sz="4" w:space="0" w:color="auto"/>
            </w:tcBorders>
            <w:vAlign w:val="bottom"/>
          </w:tcPr>
          <w:p w14:paraId="58A11730"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20</w:t>
            </w:r>
          </w:p>
        </w:tc>
        <w:tc>
          <w:tcPr>
            <w:tcW w:w="1525" w:type="dxa"/>
            <w:tcBorders>
              <w:top w:val="single" w:sz="4" w:space="0" w:color="auto"/>
              <w:left w:val="single" w:sz="4" w:space="0" w:color="auto"/>
              <w:bottom w:val="single" w:sz="4" w:space="0" w:color="auto"/>
              <w:right w:val="single" w:sz="4" w:space="0" w:color="auto"/>
            </w:tcBorders>
            <w:vAlign w:val="bottom"/>
          </w:tcPr>
          <w:p w14:paraId="37036C6C"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hAnsi="Aptos Narrow"/>
                <w:color w:val="000000"/>
                <w:szCs w:val="24"/>
              </w:rPr>
              <w:t>14</w:t>
            </w:r>
          </w:p>
        </w:tc>
      </w:tr>
      <w:tr w:rsidR="000826B8" w:rsidRPr="00634C6B" w14:paraId="06A13711" w14:textId="77777777" w:rsidTr="00B40383">
        <w:trPr>
          <w:cantSplit/>
          <w:trHeight w:val="300"/>
        </w:trPr>
        <w:tc>
          <w:tcPr>
            <w:tcW w:w="1580" w:type="dxa"/>
            <w:tcBorders>
              <w:top w:val="single" w:sz="4" w:space="0" w:color="auto"/>
              <w:left w:val="single" w:sz="4" w:space="0" w:color="auto"/>
              <w:bottom w:val="single" w:sz="4" w:space="0" w:color="auto"/>
              <w:right w:val="single" w:sz="4" w:space="0" w:color="auto"/>
            </w:tcBorders>
            <w:noWrap/>
            <w:vAlign w:val="bottom"/>
            <w:hideMark/>
          </w:tcPr>
          <w:p w14:paraId="0E8930A8"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8</w:t>
            </w:r>
          </w:p>
        </w:tc>
        <w:tc>
          <w:tcPr>
            <w:tcW w:w="1525" w:type="dxa"/>
            <w:tcBorders>
              <w:top w:val="single" w:sz="4" w:space="0" w:color="auto"/>
              <w:left w:val="single" w:sz="4" w:space="0" w:color="auto"/>
              <w:bottom w:val="single" w:sz="4" w:space="0" w:color="auto"/>
              <w:right w:val="single" w:sz="4" w:space="0" w:color="auto"/>
            </w:tcBorders>
            <w:vAlign w:val="bottom"/>
          </w:tcPr>
          <w:p w14:paraId="401C639D"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4</w:t>
            </w:r>
          </w:p>
        </w:tc>
        <w:tc>
          <w:tcPr>
            <w:tcW w:w="1525" w:type="dxa"/>
            <w:tcBorders>
              <w:top w:val="single" w:sz="4" w:space="0" w:color="auto"/>
              <w:left w:val="single" w:sz="4" w:space="0" w:color="auto"/>
              <w:bottom w:val="single" w:sz="4" w:space="0" w:color="auto"/>
              <w:right w:val="single" w:sz="4" w:space="0" w:color="auto"/>
            </w:tcBorders>
            <w:vAlign w:val="bottom"/>
          </w:tcPr>
          <w:p w14:paraId="1C265BEC"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hAnsi="Aptos Narrow"/>
                <w:color w:val="000000"/>
                <w:szCs w:val="24"/>
              </w:rPr>
              <w:t>4</w:t>
            </w:r>
          </w:p>
        </w:tc>
      </w:tr>
      <w:tr w:rsidR="000826B8" w:rsidRPr="00634C6B" w14:paraId="753BAC24" w14:textId="77777777" w:rsidTr="00B40383">
        <w:trPr>
          <w:cantSplit/>
          <w:trHeight w:val="300"/>
        </w:trPr>
        <w:tc>
          <w:tcPr>
            <w:tcW w:w="1580" w:type="dxa"/>
            <w:tcBorders>
              <w:top w:val="single" w:sz="4" w:space="0" w:color="auto"/>
              <w:left w:val="single" w:sz="4" w:space="0" w:color="auto"/>
              <w:bottom w:val="single" w:sz="4" w:space="0" w:color="auto"/>
              <w:right w:val="single" w:sz="4" w:space="0" w:color="auto"/>
            </w:tcBorders>
            <w:noWrap/>
            <w:vAlign w:val="bottom"/>
            <w:hideMark/>
          </w:tcPr>
          <w:p w14:paraId="71CA41D8"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9</w:t>
            </w:r>
          </w:p>
        </w:tc>
        <w:tc>
          <w:tcPr>
            <w:tcW w:w="1525" w:type="dxa"/>
            <w:tcBorders>
              <w:top w:val="single" w:sz="4" w:space="0" w:color="auto"/>
              <w:left w:val="single" w:sz="4" w:space="0" w:color="auto"/>
              <w:bottom w:val="single" w:sz="4" w:space="0" w:color="auto"/>
              <w:right w:val="single" w:sz="4" w:space="0" w:color="auto"/>
            </w:tcBorders>
            <w:vAlign w:val="bottom"/>
          </w:tcPr>
          <w:p w14:paraId="774CDDEC"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1</w:t>
            </w:r>
          </w:p>
        </w:tc>
        <w:tc>
          <w:tcPr>
            <w:tcW w:w="1525" w:type="dxa"/>
            <w:tcBorders>
              <w:top w:val="single" w:sz="4" w:space="0" w:color="auto"/>
              <w:left w:val="single" w:sz="4" w:space="0" w:color="auto"/>
              <w:bottom w:val="single" w:sz="4" w:space="0" w:color="auto"/>
              <w:right w:val="single" w:sz="4" w:space="0" w:color="auto"/>
            </w:tcBorders>
            <w:vAlign w:val="bottom"/>
          </w:tcPr>
          <w:p w14:paraId="5AEA9AA6"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hAnsi="Aptos Narrow"/>
                <w:color w:val="000000"/>
                <w:szCs w:val="24"/>
              </w:rPr>
              <w:t>6</w:t>
            </w:r>
          </w:p>
        </w:tc>
      </w:tr>
      <w:tr w:rsidR="000826B8" w:rsidRPr="00634C6B" w14:paraId="43FB8FB0" w14:textId="77777777" w:rsidTr="00B40383">
        <w:trPr>
          <w:cantSplit/>
          <w:trHeight w:val="300"/>
        </w:trPr>
        <w:tc>
          <w:tcPr>
            <w:tcW w:w="1580" w:type="dxa"/>
            <w:tcBorders>
              <w:top w:val="single" w:sz="4" w:space="0" w:color="auto"/>
              <w:left w:val="single" w:sz="4" w:space="0" w:color="auto"/>
              <w:bottom w:val="single" w:sz="4" w:space="0" w:color="auto"/>
              <w:right w:val="single" w:sz="4" w:space="0" w:color="auto"/>
            </w:tcBorders>
            <w:noWrap/>
            <w:vAlign w:val="bottom"/>
            <w:hideMark/>
          </w:tcPr>
          <w:p w14:paraId="0D47D91E"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10</w:t>
            </w:r>
          </w:p>
        </w:tc>
        <w:tc>
          <w:tcPr>
            <w:tcW w:w="1525" w:type="dxa"/>
            <w:tcBorders>
              <w:top w:val="single" w:sz="4" w:space="0" w:color="auto"/>
              <w:left w:val="single" w:sz="4" w:space="0" w:color="auto"/>
              <w:bottom w:val="single" w:sz="4" w:space="0" w:color="auto"/>
              <w:right w:val="single" w:sz="4" w:space="0" w:color="auto"/>
            </w:tcBorders>
            <w:vAlign w:val="bottom"/>
          </w:tcPr>
          <w:p w14:paraId="18610714"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0 </w:t>
            </w:r>
          </w:p>
        </w:tc>
        <w:tc>
          <w:tcPr>
            <w:tcW w:w="1525" w:type="dxa"/>
            <w:tcBorders>
              <w:top w:val="single" w:sz="4" w:space="0" w:color="auto"/>
              <w:left w:val="single" w:sz="4" w:space="0" w:color="auto"/>
              <w:bottom w:val="single" w:sz="4" w:space="0" w:color="auto"/>
              <w:right w:val="single" w:sz="4" w:space="0" w:color="auto"/>
            </w:tcBorders>
            <w:vAlign w:val="bottom"/>
          </w:tcPr>
          <w:p w14:paraId="5D594010"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hAnsi="Aptos Narrow"/>
                <w:color w:val="000000"/>
                <w:szCs w:val="24"/>
              </w:rPr>
              <w:t>2</w:t>
            </w:r>
          </w:p>
        </w:tc>
      </w:tr>
      <w:tr w:rsidR="000826B8" w:rsidRPr="00634C6B" w14:paraId="4BD7C001" w14:textId="77777777" w:rsidTr="00B40383">
        <w:trPr>
          <w:cantSplit/>
          <w:trHeight w:val="300"/>
        </w:trPr>
        <w:tc>
          <w:tcPr>
            <w:tcW w:w="1580" w:type="dxa"/>
            <w:tcBorders>
              <w:top w:val="single" w:sz="4" w:space="0" w:color="auto"/>
              <w:left w:val="single" w:sz="4" w:space="0" w:color="auto"/>
              <w:bottom w:val="single" w:sz="4" w:space="0" w:color="auto"/>
              <w:right w:val="single" w:sz="4" w:space="0" w:color="auto"/>
            </w:tcBorders>
            <w:noWrap/>
            <w:vAlign w:val="bottom"/>
          </w:tcPr>
          <w:p w14:paraId="24C41FAB"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 xml:space="preserve">Total </w:t>
            </w:r>
          </w:p>
        </w:tc>
        <w:tc>
          <w:tcPr>
            <w:tcW w:w="1525" w:type="dxa"/>
            <w:tcBorders>
              <w:top w:val="single" w:sz="4" w:space="0" w:color="auto"/>
              <w:left w:val="single" w:sz="4" w:space="0" w:color="auto"/>
              <w:bottom w:val="single" w:sz="4" w:space="0" w:color="auto"/>
              <w:right w:val="single" w:sz="4" w:space="0" w:color="auto"/>
            </w:tcBorders>
            <w:vAlign w:val="bottom"/>
          </w:tcPr>
          <w:p w14:paraId="12FF969A"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40,776</w:t>
            </w:r>
          </w:p>
        </w:tc>
        <w:tc>
          <w:tcPr>
            <w:tcW w:w="1525" w:type="dxa"/>
            <w:tcBorders>
              <w:top w:val="single" w:sz="4" w:space="0" w:color="auto"/>
              <w:left w:val="single" w:sz="4" w:space="0" w:color="auto"/>
              <w:bottom w:val="single" w:sz="4" w:space="0" w:color="auto"/>
              <w:right w:val="single" w:sz="4" w:space="0" w:color="auto"/>
            </w:tcBorders>
            <w:vAlign w:val="bottom"/>
          </w:tcPr>
          <w:p w14:paraId="72413D40" w14:textId="77777777" w:rsidR="000826B8" w:rsidRPr="00F74292" w:rsidRDefault="000826B8" w:rsidP="00FD2E73">
            <w:pPr>
              <w:spacing w:after="0" w:line="240" w:lineRule="auto"/>
              <w:jc w:val="center"/>
              <w:rPr>
                <w:rFonts w:ascii="Aptos Narrow" w:eastAsia="Times New Roman" w:hAnsi="Aptos Narrow" w:cs="Times New Roman"/>
                <w:color w:val="000000"/>
                <w:szCs w:val="24"/>
              </w:rPr>
            </w:pPr>
            <w:r w:rsidRPr="00F74292">
              <w:rPr>
                <w:rFonts w:ascii="Aptos Narrow" w:eastAsia="Times New Roman" w:hAnsi="Aptos Narrow" w:cs="Times New Roman"/>
                <w:color w:val="000000"/>
                <w:szCs w:val="24"/>
              </w:rPr>
              <w:t>53,887</w:t>
            </w:r>
          </w:p>
        </w:tc>
      </w:tr>
    </w:tbl>
    <w:p w14:paraId="2EEDB4AA" w14:textId="77777777" w:rsidR="000826B8" w:rsidRPr="000826B8" w:rsidRDefault="000826B8" w:rsidP="000826B8">
      <w:pPr>
        <w:pBdr>
          <w:top w:val="nil"/>
          <w:left w:val="nil"/>
          <w:bottom w:val="nil"/>
          <w:right w:val="nil"/>
          <w:between w:val="nil"/>
        </w:pBdr>
        <w:spacing w:line="259" w:lineRule="auto"/>
        <w:rPr>
          <w:rFonts w:asciiTheme="minorHAnsi" w:hAnsiTheme="minorHAnsi" w:cstheme="minorHAnsi"/>
          <w:bCs/>
          <w:color w:val="000000"/>
          <w:sz w:val="20"/>
          <w:szCs w:val="20"/>
        </w:rPr>
      </w:pPr>
    </w:p>
    <w:p w14:paraId="7038B07A" w14:textId="77777777" w:rsidR="000826B8" w:rsidRPr="000826B8" w:rsidRDefault="000826B8" w:rsidP="000826B8">
      <w:pPr>
        <w:numPr>
          <w:ilvl w:val="0"/>
          <w:numId w:val="31"/>
        </w:numPr>
        <w:pBdr>
          <w:top w:val="nil"/>
          <w:left w:val="nil"/>
          <w:bottom w:val="nil"/>
          <w:right w:val="nil"/>
          <w:between w:val="nil"/>
        </w:pBdr>
        <w:spacing w:after="160" w:line="259" w:lineRule="auto"/>
        <w:rPr>
          <w:rFonts w:asciiTheme="minorHAnsi" w:hAnsiTheme="minorHAnsi" w:cstheme="minorHAnsi"/>
          <w:b/>
          <w:color w:val="000000"/>
        </w:rPr>
      </w:pPr>
      <w:r w:rsidRPr="000826B8">
        <w:rPr>
          <w:rFonts w:asciiTheme="minorHAnsi" w:hAnsiTheme="minorHAnsi" w:cstheme="minorHAnsi"/>
          <w:b/>
          <w:color w:val="000000"/>
        </w:rPr>
        <w:t xml:space="preserve"> Mostly Frequently Treated Professional Procedure Codes at Blue Cloud’s ASCs</w:t>
      </w:r>
    </w:p>
    <w:tbl>
      <w:tblPr>
        <w:tblW w:w="5580" w:type="pct"/>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ostly Frequently Treated Professional Procedure Codes at Blue Cloud’s ASCs"/>
      </w:tblPr>
      <w:tblGrid>
        <w:gridCol w:w="1058"/>
        <w:gridCol w:w="4041"/>
        <w:gridCol w:w="732"/>
        <w:gridCol w:w="1046"/>
        <w:gridCol w:w="733"/>
        <w:gridCol w:w="1046"/>
        <w:gridCol w:w="733"/>
        <w:gridCol w:w="1046"/>
      </w:tblGrid>
      <w:tr w:rsidR="000826B8" w:rsidRPr="005161CD" w14:paraId="07572A7A" w14:textId="77777777" w:rsidTr="0027492A">
        <w:trPr>
          <w:cantSplit/>
          <w:trHeight w:val="302"/>
          <w:tblHeader/>
        </w:trPr>
        <w:tc>
          <w:tcPr>
            <w:tcW w:w="507" w:type="pct"/>
            <w:shd w:val="clear" w:color="auto" w:fill="E1EBF7" w:themeFill="text2" w:themeFillTint="1A"/>
            <w:noWrap/>
            <w:vAlign w:val="bottom"/>
            <w:hideMark/>
          </w:tcPr>
          <w:p w14:paraId="4A548B2B" w14:textId="77777777" w:rsidR="000826B8" w:rsidRPr="005161CD" w:rsidRDefault="000826B8" w:rsidP="00FD2E73">
            <w:pPr>
              <w:spacing w:after="0" w:line="240" w:lineRule="auto"/>
              <w:jc w:val="center"/>
              <w:rPr>
                <w:rFonts w:ascii="Aptos Narrow" w:eastAsia="Times New Roman" w:hAnsi="Aptos Narrow" w:cs="Times New Roman"/>
                <w:b/>
                <w:bCs/>
                <w:color w:val="000000"/>
                <w:szCs w:val="24"/>
              </w:rPr>
            </w:pPr>
            <w:r w:rsidRPr="005161CD">
              <w:rPr>
                <w:rFonts w:ascii="Aptos Narrow" w:eastAsia="Times New Roman" w:hAnsi="Aptos Narrow" w:cs="Times New Roman"/>
                <w:b/>
                <w:bCs/>
                <w:color w:val="000000"/>
                <w:szCs w:val="24"/>
              </w:rPr>
              <w:t>Procedure Code</w:t>
            </w:r>
          </w:p>
        </w:tc>
        <w:tc>
          <w:tcPr>
            <w:tcW w:w="1936" w:type="pct"/>
            <w:shd w:val="clear" w:color="auto" w:fill="E1EBF7" w:themeFill="text2" w:themeFillTint="1A"/>
            <w:noWrap/>
            <w:vAlign w:val="bottom"/>
            <w:hideMark/>
          </w:tcPr>
          <w:p w14:paraId="286BCD02" w14:textId="77777777" w:rsidR="000826B8" w:rsidRPr="005161CD" w:rsidRDefault="000826B8" w:rsidP="00FD2E73">
            <w:pPr>
              <w:spacing w:after="0" w:line="240" w:lineRule="auto"/>
              <w:jc w:val="center"/>
              <w:rPr>
                <w:rFonts w:ascii="Aptos Narrow" w:eastAsia="Times New Roman" w:hAnsi="Aptos Narrow" w:cs="Times New Roman"/>
                <w:b/>
                <w:bCs/>
                <w:color w:val="000000"/>
                <w:szCs w:val="24"/>
              </w:rPr>
            </w:pPr>
            <w:r w:rsidRPr="005161CD">
              <w:rPr>
                <w:rFonts w:ascii="Aptos Narrow" w:eastAsia="Times New Roman" w:hAnsi="Aptos Narrow" w:cs="Times New Roman"/>
                <w:b/>
                <w:bCs/>
                <w:color w:val="000000"/>
                <w:szCs w:val="24"/>
              </w:rPr>
              <w:t>Procedure Description</w:t>
            </w:r>
          </w:p>
        </w:tc>
        <w:tc>
          <w:tcPr>
            <w:tcW w:w="351" w:type="pct"/>
            <w:shd w:val="clear" w:color="auto" w:fill="E1EBF7" w:themeFill="text2" w:themeFillTint="1A"/>
            <w:noWrap/>
            <w:vAlign w:val="bottom"/>
            <w:hideMark/>
          </w:tcPr>
          <w:p w14:paraId="4AA49E24" w14:textId="22CEED96" w:rsidR="000826B8" w:rsidRPr="005161CD" w:rsidRDefault="00AF462E" w:rsidP="00FD2E73">
            <w:pPr>
              <w:spacing w:after="0" w:line="240" w:lineRule="auto"/>
              <w:jc w:val="center"/>
              <w:rPr>
                <w:rFonts w:ascii="Aptos Narrow" w:eastAsia="Times New Roman" w:hAnsi="Aptos Narrow" w:cs="Times New Roman"/>
                <w:b/>
                <w:bCs/>
                <w:color w:val="000000"/>
                <w:szCs w:val="24"/>
              </w:rPr>
            </w:pPr>
            <w:r w:rsidRPr="005161CD">
              <w:rPr>
                <w:rFonts w:ascii="Aptos Narrow" w:eastAsia="Times New Roman" w:hAnsi="Aptos Narrow" w:cs="Times New Roman"/>
                <w:b/>
                <w:bCs/>
                <w:color w:val="000000"/>
                <w:szCs w:val="24"/>
              </w:rPr>
              <w:t>2023</w:t>
            </w:r>
            <w:r w:rsidR="000826B8" w:rsidRPr="005161CD">
              <w:rPr>
                <w:rFonts w:ascii="Aptos Narrow" w:eastAsia="Times New Roman" w:hAnsi="Aptos Narrow" w:cs="Times New Roman"/>
                <w:b/>
                <w:bCs/>
                <w:color w:val="000000"/>
                <w:szCs w:val="24"/>
              </w:rPr>
              <w:t>Total</w:t>
            </w:r>
          </w:p>
        </w:tc>
        <w:tc>
          <w:tcPr>
            <w:tcW w:w="501" w:type="pct"/>
            <w:shd w:val="clear" w:color="auto" w:fill="E1EBF7" w:themeFill="text2" w:themeFillTint="1A"/>
            <w:noWrap/>
            <w:vAlign w:val="bottom"/>
            <w:hideMark/>
          </w:tcPr>
          <w:p w14:paraId="2853B1CE" w14:textId="524D90B1" w:rsidR="000826B8" w:rsidRPr="005161CD" w:rsidRDefault="00AF462E" w:rsidP="00FD2E73">
            <w:pPr>
              <w:spacing w:after="0" w:line="240" w:lineRule="auto"/>
              <w:jc w:val="center"/>
              <w:rPr>
                <w:rFonts w:ascii="Aptos Narrow" w:eastAsia="Times New Roman" w:hAnsi="Aptos Narrow" w:cs="Times New Roman"/>
                <w:b/>
                <w:bCs/>
                <w:color w:val="000000"/>
                <w:szCs w:val="24"/>
              </w:rPr>
            </w:pPr>
            <w:r w:rsidRPr="005161CD">
              <w:rPr>
                <w:rFonts w:ascii="Aptos Narrow" w:eastAsia="Times New Roman" w:hAnsi="Aptos Narrow" w:cs="Times New Roman"/>
                <w:b/>
                <w:bCs/>
                <w:color w:val="000000"/>
                <w:szCs w:val="24"/>
              </w:rPr>
              <w:t>2023</w:t>
            </w:r>
            <w:r>
              <w:rPr>
                <w:rFonts w:ascii="Aptos Narrow" w:eastAsia="Times New Roman" w:hAnsi="Aptos Narrow" w:cs="Times New Roman"/>
                <w:b/>
                <w:bCs/>
                <w:color w:val="000000"/>
                <w:szCs w:val="24"/>
              </w:rPr>
              <w:t xml:space="preserve"> </w:t>
            </w:r>
            <w:r w:rsidR="000826B8" w:rsidRPr="005161CD">
              <w:rPr>
                <w:rFonts w:ascii="Aptos Narrow" w:eastAsia="Times New Roman" w:hAnsi="Aptos Narrow" w:cs="Times New Roman"/>
                <w:b/>
                <w:bCs/>
                <w:color w:val="000000"/>
                <w:szCs w:val="24"/>
              </w:rPr>
              <w:t>Frequency</w:t>
            </w:r>
          </w:p>
        </w:tc>
        <w:tc>
          <w:tcPr>
            <w:tcW w:w="351" w:type="pct"/>
            <w:shd w:val="clear" w:color="auto" w:fill="E1EBF7" w:themeFill="text2" w:themeFillTint="1A"/>
            <w:noWrap/>
            <w:vAlign w:val="bottom"/>
            <w:hideMark/>
          </w:tcPr>
          <w:p w14:paraId="2DD906CD" w14:textId="556275F4" w:rsidR="000826B8" w:rsidRPr="005161CD" w:rsidRDefault="00AF462E" w:rsidP="00FD2E73">
            <w:pPr>
              <w:spacing w:after="0" w:line="240" w:lineRule="auto"/>
              <w:jc w:val="center"/>
              <w:rPr>
                <w:rFonts w:ascii="Aptos Narrow" w:eastAsia="Times New Roman" w:hAnsi="Aptos Narrow" w:cs="Times New Roman"/>
                <w:b/>
                <w:bCs/>
                <w:color w:val="000000"/>
                <w:szCs w:val="24"/>
              </w:rPr>
            </w:pPr>
            <w:r w:rsidRPr="005161CD">
              <w:rPr>
                <w:rFonts w:ascii="Aptos Narrow" w:eastAsia="Times New Roman" w:hAnsi="Aptos Narrow" w:cs="Times New Roman"/>
                <w:b/>
                <w:bCs/>
                <w:color w:val="000000"/>
                <w:szCs w:val="24"/>
              </w:rPr>
              <w:t>2024</w:t>
            </w:r>
            <w:r w:rsidR="000826B8" w:rsidRPr="005161CD">
              <w:rPr>
                <w:rFonts w:ascii="Aptos Narrow" w:eastAsia="Times New Roman" w:hAnsi="Aptos Narrow" w:cs="Times New Roman"/>
                <w:b/>
                <w:bCs/>
                <w:color w:val="000000"/>
                <w:szCs w:val="24"/>
              </w:rPr>
              <w:t>Total</w:t>
            </w:r>
          </w:p>
        </w:tc>
        <w:tc>
          <w:tcPr>
            <w:tcW w:w="501" w:type="pct"/>
            <w:shd w:val="clear" w:color="auto" w:fill="E1EBF7" w:themeFill="text2" w:themeFillTint="1A"/>
            <w:noWrap/>
            <w:vAlign w:val="bottom"/>
            <w:hideMark/>
          </w:tcPr>
          <w:p w14:paraId="79E6AD94" w14:textId="128E2DE4" w:rsidR="000826B8" w:rsidRPr="005161CD" w:rsidRDefault="00AF462E" w:rsidP="00FD2E73">
            <w:pPr>
              <w:spacing w:after="0" w:line="240" w:lineRule="auto"/>
              <w:jc w:val="center"/>
              <w:rPr>
                <w:rFonts w:ascii="Aptos Narrow" w:eastAsia="Times New Roman" w:hAnsi="Aptos Narrow" w:cs="Times New Roman"/>
                <w:b/>
                <w:bCs/>
                <w:color w:val="000000"/>
                <w:szCs w:val="24"/>
              </w:rPr>
            </w:pPr>
            <w:r w:rsidRPr="005161CD">
              <w:rPr>
                <w:rFonts w:ascii="Aptos Narrow" w:eastAsia="Times New Roman" w:hAnsi="Aptos Narrow" w:cs="Times New Roman"/>
                <w:b/>
                <w:bCs/>
                <w:color w:val="000000"/>
                <w:szCs w:val="24"/>
              </w:rPr>
              <w:t>2024</w:t>
            </w:r>
            <w:r>
              <w:rPr>
                <w:rFonts w:ascii="Aptos Narrow" w:eastAsia="Times New Roman" w:hAnsi="Aptos Narrow" w:cs="Times New Roman"/>
                <w:b/>
                <w:bCs/>
                <w:color w:val="000000"/>
                <w:szCs w:val="24"/>
              </w:rPr>
              <w:t xml:space="preserve"> </w:t>
            </w:r>
            <w:r w:rsidR="000826B8" w:rsidRPr="005161CD">
              <w:rPr>
                <w:rFonts w:ascii="Aptos Narrow" w:eastAsia="Times New Roman" w:hAnsi="Aptos Narrow" w:cs="Times New Roman"/>
                <w:b/>
                <w:bCs/>
                <w:color w:val="000000"/>
                <w:szCs w:val="24"/>
              </w:rPr>
              <w:t>Frequency</w:t>
            </w:r>
          </w:p>
        </w:tc>
        <w:tc>
          <w:tcPr>
            <w:tcW w:w="351" w:type="pct"/>
            <w:shd w:val="clear" w:color="auto" w:fill="E1EBF7" w:themeFill="text2" w:themeFillTint="1A"/>
            <w:noWrap/>
            <w:vAlign w:val="bottom"/>
            <w:hideMark/>
          </w:tcPr>
          <w:p w14:paraId="219DEF11" w14:textId="791FE722" w:rsidR="000826B8" w:rsidRPr="005161CD" w:rsidRDefault="00AF462E" w:rsidP="00FD2E73">
            <w:pPr>
              <w:spacing w:after="0" w:line="240" w:lineRule="auto"/>
              <w:jc w:val="center"/>
              <w:rPr>
                <w:rFonts w:ascii="Aptos Narrow" w:eastAsia="Times New Roman" w:hAnsi="Aptos Narrow" w:cs="Times New Roman"/>
                <w:b/>
                <w:bCs/>
                <w:color w:val="000000"/>
                <w:szCs w:val="24"/>
              </w:rPr>
            </w:pPr>
            <w:r w:rsidRPr="005161CD">
              <w:rPr>
                <w:rFonts w:ascii="Aptos Narrow" w:eastAsia="Times New Roman" w:hAnsi="Aptos Narrow" w:cs="Times New Roman"/>
                <w:b/>
                <w:bCs/>
                <w:color w:val="000000"/>
                <w:szCs w:val="24"/>
              </w:rPr>
              <w:t>2025</w:t>
            </w:r>
            <w:r w:rsidR="000826B8" w:rsidRPr="005161CD">
              <w:rPr>
                <w:rFonts w:ascii="Aptos Narrow" w:eastAsia="Times New Roman" w:hAnsi="Aptos Narrow" w:cs="Times New Roman"/>
                <w:b/>
                <w:bCs/>
                <w:color w:val="000000"/>
                <w:szCs w:val="24"/>
              </w:rPr>
              <w:t>Total</w:t>
            </w:r>
          </w:p>
        </w:tc>
        <w:tc>
          <w:tcPr>
            <w:tcW w:w="501" w:type="pct"/>
            <w:shd w:val="clear" w:color="auto" w:fill="E1EBF7" w:themeFill="text2" w:themeFillTint="1A"/>
            <w:noWrap/>
            <w:vAlign w:val="bottom"/>
            <w:hideMark/>
          </w:tcPr>
          <w:p w14:paraId="42E93305" w14:textId="6D2EDFED" w:rsidR="000826B8" w:rsidRPr="005161CD" w:rsidRDefault="00AF462E" w:rsidP="00FD2E73">
            <w:pPr>
              <w:spacing w:after="0" w:line="240" w:lineRule="auto"/>
              <w:jc w:val="center"/>
              <w:rPr>
                <w:rFonts w:ascii="Aptos Narrow" w:eastAsia="Times New Roman" w:hAnsi="Aptos Narrow" w:cs="Times New Roman"/>
                <w:b/>
                <w:bCs/>
                <w:color w:val="000000"/>
                <w:szCs w:val="24"/>
              </w:rPr>
            </w:pPr>
            <w:r w:rsidRPr="005161CD">
              <w:rPr>
                <w:rFonts w:ascii="Aptos Narrow" w:eastAsia="Times New Roman" w:hAnsi="Aptos Narrow" w:cs="Times New Roman"/>
                <w:b/>
                <w:bCs/>
                <w:color w:val="000000"/>
                <w:szCs w:val="24"/>
              </w:rPr>
              <w:t>2025</w:t>
            </w:r>
            <w:r>
              <w:rPr>
                <w:rFonts w:ascii="Aptos Narrow" w:eastAsia="Times New Roman" w:hAnsi="Aptos Narrow" w:cs="Times New Roman"/>
                <w:b/>
                <w:bCs/>
                <w:color w:val="000000"/>
                <w:szCs w:val="24"/>
              </w:rPr>
              <w:t xml:space="preserve"> </w:t>
            </w:r>
            <w:r w:rsidR="000826B8" w:rsidRPr="005161CD">
              <w:rPr>
                <w:rFonts w:ascii="Aptos Narrow" w:eastAsia="Times New Roman" w:hAnsi="Aptos Narrow" w:cs="Times New Roman"/>
                <w:b/>
                <w:bCs/>
                <w:color w:val="000000"/>
                <w:szCs w:val="24"/>
              </w:rPr>
              <w:t>Frequency</w:t>
            </w:r>
          </w:p>
        </w:tc>
      </w:tr>
      <w:tr w:rsidR="000826B8" w:rsidRPr="005161CD" w14:paraId="6E24EBF7" w14:textId="77777777" w:rsidTr="0027492A">
        <w:trPr>
          <w:cantSplit/>
          <w:trHeight w:val="302"/>
        </w:trPr>
        <w:tc>
          <w:tcPr>
            <w:tcW w:w="507" w:type="pct"/>
            <w:noWrap/>
            <w:vAlign w:val="bottom"/>
            <w:hideMark/>
          </w:tcPr>
          <w:p w14:paraId="36052DC3" w14:textId="77777777" w:rsidR="000826B8" w:rsidRPr="005161CD" w:rsidRDefault="000826B8" w:rsidP="00FD2E73">
            <w:pPr>
              <w:spacing w:after="0" w:line="240" w:lineRule="auto"/>
              <w:jc w:val="center"/>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D2930 </w:t>
            </w:r>
          </w:p>
        </w:tc>
        <w:tc>
          <w:tcPr>
            <w:tcW w:w="1936" w:type="pct"/>
            <w:noWrap/>
            <w:vAlign w:val="bottom"/>
            <w:hideMark/>
          </w:tcPr>
          <w:p w14:paraId="7FB96874" w14:textId="77777777" w:rsidR="000826B8" w:rsidRPr="005161CD" w:rsidRDefault="000826B8" w:rsidP="00FD2E73">
            <w:pPr>
              <w:spacing w:after="0" w:line="240" w:lineRule="auto"/>
              <w:jc w:val="center"/>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prefabricated stainless steel crown - primary tooth </w:t>
            </w:r>
          </w:p>
        </w:tc>
        <w:tc>
          <w:tcPr>
            <w:tcW w:w="351" w:type="pct"/>
            <w:noWrap/>
            <w:vAlign w:val="bottom"/>
            <w:hideMark/>
          </w:tcPr>
          <w:p w14:paraId="06E92973"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246,750 </w:t>
            </w:r>
          </w:p>
        </w:tc>
        <w:tc>
          <w:tcPr>
            <w:tcW w:w="501" w:type="pct"/>
            <w:noWrap/>
            <w:vAlign w:val="bottom"/>
            <w:hideMark/>
          </w:tcPr>
          <w:p w14:paraId="39E7C545"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5.4 </w:t>
            </w:r>
          </w:p>
        </w:tc>
        <w:tc>
          <w:tcPr>
            <w:tcW w:w="351" w:type="pct"/>
            <w:noWrap/>
            <w:vAlign w:val="bottom"/>
            <w:hideMark/>
          </w:tcPr>
          <w:p w14:paraId="0B87AD27"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294,902 </w:t>
            </w:r>
          </w:p>
        </w:tc>
        <w:tc>
          <w:tcPr>
            <w:tcW w:w="501" w:type="pct"/>
            <w:noWrap/>
            <w:vAlign w:val="bottom"/>
            <w:hideMark/>
          </w:tcPr>
          <w:p w14:paraId="6F0A76C6"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5.5 </w:t>
            </w:r>
          </w:p>
        </w:tc>
        <w:tc>
          <w:tcPr>
            <w:tcW w:w="351" w:type="pct"/>
            <w:noWrap/>
            <w:vAlign w:val="bottom"/>
            <w:hideMark/>
          </w:tcPr>
          <w:p w14:paraId="7F7B8050"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320,635 </w:t>
            </w:r>
          </w:p>
        </w:tc>
        <w:tc>
          <w:tcPr>
            <w:tcW w:w="501" w:type="pct"/>
            <w:noWrap/>
            <w:vAlign w:val="bottom"/>
            <w:hideMark/>
          </w:tcPr>
          <w:p w14:paraId="3FF67CF7"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4.9 </w:t>
            </w:r>
          </w:p>
        </w:tc>
      </w:tr>
      <w:tr w:rsidR="000826B8" w:rsidRPr="005161CD" w14:paraId="3BFE7FEA" w14:textId="77777777" w:rsidTr="0027492A">
        <w:trPr>
          <w:cantSplit/>
          <w:trHeight w:val="302"/>
        </w:trPr>
        <w:tc>
          <w:tcPr>
            <w:tcW w:w="507" w:type="pct"/>
            <w:noWrap/>
            <w:vAlign w:val="bottom"/>
            <w:hideMark/>
          </w:tcPr>
          <w:p w14:paraId="197D5393" w14:textId="77777777" w:rsidR="000826B8" w:rsidRPr="005161CD" w:rsidRDefault="000826B8" w:rsidP="00FD2E73">
            <w:pPr>
              <w:spacing w:after="0" w:line="240" w:lineRule="auto"/>
              <w:jc w:val="center"/>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D7140 </w:t>
            </w:r>
          </w:p>
        </w:tc>
        <w:tc>
          <w:tcPr>
            <w:tcW w:w="1936" w:type="pct"/>
            <w:noWrap/>
            <w:vAlign w:val="bottom"/>
            <w:hideMark/>
          </w:tcPr>
          <w:p w14:paraId="77FBF728" w14:textId="77777777" w:rsidR="000826B8" w:rsidRPr="005161CD" w:rsidRDefault="000826B8" w:rsidP="00FD2E73">
            <w:pPr>
              <w:spacing w:after="0" w:line="240" w:lineRule="auto"/>
              <w:jc w:val="center"/>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extraction, erupted tooth or exposed root (elevation and/or forceps removal) </w:t>
            </w:r>
          </w:p>
        </w:tc>
        <w:tc>
          <w:tcPr>
            <w:tcW w:w="351" w:type="pct"/>
            <w:noWrap/>
            <w:vAlign w:val="bottom"/>
            <w:hideMark/>
          </w:tcPr>
          <w:p w14:paraId="1845A1AF"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140,854 </w:t>
            </w:r>
          </w:p>
        </w:tc>
        <w:tc>
          <w:tcPr>
            <w:tcW w:w="501" w:type="pct"/>
            <w:noWrap/>
            <w:vAlign w:val="bottom"/>
            <w:hideMark/>
          </w:tcPr>
          <w:p w14:paraId="42587CA2"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3.1 </w:t>
            </w:r>
          </w:p>
        </w:tc>
        <w:tc>
          <w:tcPr>
            <w:tcW w:w="351" w:type="pct"/>
            <w:noWrap/>
            <w:vAlign w:val="bottom"/>
            <w:hideMark/>
          </w:tcPr>
          <w:p w14:paraId="57B22652"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163,369 </w:t>
            </w:r>
          </w:p>
        </w:tc>
        <w:tc>
          <w:tcPr>
            <w:tcW w:w="501" w:type="pct"/>
            <w:noWrap/>
            <w:vAlign w:val="bottom"/>
            <w:hideMark/>
          </w:tcPr>
          <w:p w14:paraId="6874FEF7"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3.0 </w:t>
            </w:r>
          </w:p>
        </w:tc>
        <w:tc>
          <w:tcPr>
            <w:tcW w:w="351" w:type="pct"/>
            <w:noWrap/>
            <w:vAlign w:val="bottom"/>
            <w:hideMark/>
          </w:tcPr>
          <w:p w14:paraId="6B662823"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169,795 </w:t>
            </w:r>
          </w:p>
        </w:tc>
        <w:tc>
          <w:tcPr>
            <w:tcW w:w="501" w:type="pct"/>
            <w:noWrap/>
            <w:vAlign w:val="bottom"/>
            <w:hideMark/>
          </w:tcPr>
          <w:p w14:paraId="491EC1D2"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2.6 </w:t>
            </w:r>
          </w:p>
        </w:tc>
      </w:tr>
      <w:tr w:rsidR="000826B8" w:rsidRPr="005161CD" w14:paraId="63D41A47" w14:textId="77777777" w:rsidTr="0027492A">
        <w:trPr>
          <w:cantSplit/>
          <w:trHeight w:val="302"/>
        </w:trPr>
        <w:tc>
          <w:tcPr>
            <w:tcW w:w="507" w:type="pct"/>
            <w:noWrap/>
            <w:vAlign w:val="bottom"/>
            <w:hideMark/>
          </w:tcPr>
          <w:p w14:paraId="2D7DF9B1" w14:textId="77777777" w:rsidR="000826B8" w:rsidRPr="005161CD" w:rsidRDefault="000826B8" w:rsidP="00FD2E73">
            <w:pPr>
              <w:spacing w:after="0" w:line="240" w:lineRule="auto"/>
              <w:jc w:val="center"/>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lastRenderedPageBreak/>
              <w:t xml:space="preserve"> D1351 </w:t>
            </w:r>
          </w:p>
        </w:tc>
        <w:tc>
          <w:tcPr>
            <w:tcW w:w="1936" w:type="pct"/>
            <w:noWrap/>
            <w:vAlign w:val="bottom"/>
            <w:hideMark/>
          </w:tcPr>
          <w:p w14:paraId="54E0D24B" w14:textId="77777777" w:rsidR="000826B8" w:rsidRPr="005161CD" w:rsidRDefault="000826B8" w:rsidP="00FD2E73">
            <w:pPr>
              <w:spacing w:after="0" w:line="240" w:lineRule="auto"/>
              <w:jc w:val="center"/>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sealant - per tooth </w:t>
            </w:r>
          </w:p>
        </w:tc>
        <w:tc>
          <w:tcPr>
            <w:tcW w:w="351" w:type="pct"/>
            <w:noWrap/>
            <w:vAlign w:val="bottom"/>
            <w:hideMark/>
          </w:tcPr>
          <w:p w14:paraId="4FF05CAA"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85,659 </w:t>
            </w:r>
          </w:p>
        </w:tc>
        <w:tc>
          <w:tcPr>
            <w:tcW w:w="501" w:type="pct"/>
            <w:noWrap/>
            <w:vAlign w:val="bottom"/>
            <w:hideMark/>
          </w:tcPr>
          <w:p w14:paraId="531FC24B"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1.9 </w:t>
            </w:r>
          </w:p>
        </w:tc>
        <w:tc>
          <w:tcPr>
            <w:tcW w:w="351" w:type="pct"/>
            <w:noWrap/>
            <w:vAlign w:val="bottom"/>
            <w:hideMark/>
          </w:tcPr>
          <w:p w14:paraId="046D9D9A"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106,196 </w:t>
            </w:r>
          </w:p>
        </w:tc>
        <w:tc>
          <w:tcPr>
            <w:tcW w:w="501" w:type="pct"/>
            <w:noWrap/>
            <w:vAlign w:val="bottom"/>
            <w:hideMark/>
          </w:tcPr>
          <w:p w14:paraId="7C43D510"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2.0 </w:t>
            </w:r>
          </w:p>
        </w:tc>
        <w:tc>
          <w:tcPr>
            <w:tcW w:w="351" w:type="pct"/>
            <w:noWrap/>
            <w:vAlign w:val="bottom"/>
            <w:hideMark/>
          </w:tcPr>
          <w:p w14:paraId="5151C8E3"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124,656 </w:t>
            </w:r>
          </w:p>
        </w:tc>
        <w:tc>
          <w:tcPr>
            <w:tcW w:w="501" w:type="pct"/>
            <w:noWrap/>
            <w:vAlign w:val="bottom"/>
            <w:hideMark/>
          </w:tcPr>
          <w:p w14:paraId="499492E4"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1.9 </w:t>
            </w:r>
          </w:p>
        </w:tc>
      </w:tr>
      <w:tr w:rsidR="000826B8" w:rsidRPr="005161CD" w14:paraId="400CD3DC" w14:textId="77777777" w:rsidTr="0027492A">
        <w:trPr>
          <w:cantSplit/>
          <w:trHeight w:val="302"/>
        </w:trPr>
        <w:tc>
          <w:tcPr>
            <w:tcW w:w="507" w:type="pct"/>
            <w:noWrap/>
            <w:vAlign w:val="bottom"/>
            <w:hideMark/>
          </w:tcPr>
          <w:p w14:paraId="5B0113BF" w14:textId="77777777" w:rsidR="000826B8" w:rsidRPr="005161CD" w:rsidRDefault="000826B8" w:rsidP="00FD2E73">
            <w:pPr>
              <w:spacing w:after="0" w:line="240" w:lineRule="auto"/>
              <w:jc w:val="center"/>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D3220 </w:t>
            </w:r>
          </w:p>
        </w:tc>
        <w:tc>
          <w:tcPr>
            <w:tcW w:w="1936" w:type="pct"/>
            <w:noWrap/>
            <w:vAlign w:val="bottom"/>
            <w:hideMark/>
          </w:tcPr>
          <w:p w14:paraId="535F6D30" w14:textId="77777777" w:rsidR="000826B8" w:rsidRPr="005161CD" w:rsidRDefault="000826B8" w:rsidP="00FD2E73">
            <w:pPr>
              <w:spacing w:after="0" w:line="240" w:lineRule="auto"/>
              <w:jc w:val="center"/>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therapeutic pulpotomy (excluding final restoration) </w:t>
            </w:r>
          </w:p>
        </w:tc>
        <w:tc>
          <w:tcPr>
            <w:tcW w:w="351" w:type="pct"/>
            <w:noWrap/>
            <w:vAlign w:val="bottom"/>
            <w:hideMark/>
          </w:tcPr>
          <w:p w14:paraId="0EECAC5F"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44,581 </w:t>
            </w:r>
          </w:p>
        </w:tc>
        <w:tc>
          <w:tcPr>
            <w:tcW w:w="501" w:type="pct"/>
            <w:noWrap/>
            <w:vAlign w:val="bottom"/>
            <w:hideMark/>
          </w:tcPr>
          <w:p w14:paraId="289D7B80"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1.0 </w:t>
            </w:r>
          </w:p>
        </w:tc>
        <w:tc>
          <w:tcPr>
            <w:tcW w:w="351" w:type="pct"/>
            <w:noWrap/>
            <w:vAlign w:val="bottom"/>
            <w:hideMark/>
          </w:tcPr>
          <w:p w14:paraId="3C979FD0"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45,046 </w:t>
            </w:r>
          </w:p>
        </w:tc>
        <w:tc>
          <w:tcPr>
            <w:tcW w:w="501" w:type="pct"/>
            <w:noWrap/>
            <w:vAlign w:val="bottom"/>
            <w:hideMark/>
          </w:tcPr>
          <w:p w14:paraId="1FDABEE3"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0.8 </w:t>
            </w:r>
          </w:p>
        </w:tc>
        <w:tc>
          <w:tcPr>
            <w:tcW w:w="351" w:type="pct"/>
            <w:noWrap/>
            <w:vAlign w:val="bottom"/>
            <w:hideMark/>
          </w:tcPr>
          <w:p w14:paraId="25D9D984"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48,608 </w:t>
            </w:r>
          </w:p>
        </w:tc>
        <w:tc>
          <w:tcPr>
            <w:tcW w:w="501" w:type="pct"/>
            <w:noWrap/>
            <w:vAlign w:val="bottom"/>
            <w:hideMark/>
          </w:tcPr>
          <w:p w14:paraId="317A68A2"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0.7 </w:t>
            </w:r>
          </w:p>
        </w:tc>
      </w:tr>
      <w:tr w:rsidR="000826B8" w:rsidRPr="005161CD" w14:paraId="32A52528" w14:textId="77777777" w:rsidTr="0027492A">
        <w:trPr>
          <w:cantSplit/>
          <w:trHeight w:val="302"/>
        </w:trPr>
        <w:tc>
          <w:tcPr>
            <w:tcW w:w="507" w:type="pct"/>
            <w:noWrap/>
            <w:vAlign w:val="bottom"/>
            <w:hideMark/>
          </w:tcPr>
          <w:p w14:paraId="472883ED" w14:textId="77777777" w:rsidR="000826B8" w:rsidRPr="005161CD" w:rsidRDefault="000826B8" w:rsidP="00FD2E73">
            <w:pPr>
              <w:spacing w:after="0" w:line="240" w:lineRule="auto"/>
              <w:jc w:val="center"/>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D2934 </w:t>
            </w:r>
          </w:p>
        </w:tc>
        <w:tc>
          <w:tcPr>
            <w:tcW w:w="1936" w:type="pct"/>
            <w:noWrap/>
            <w:vAlign w:val="bottom"/>
            <w:hideMark/>
          </w:tcPr>
          <w:p w14:paraId="7859EF3D" w14:textId="77777777" w:rsidR="000826B8" w:rsidRPr="005161CD" w:rsidRDefault="000826B8" w:rsidP="00FD2E73">
            <w:pPr>
              <w:spacing w:after="0" w:line="240" w:lineRule="auto"/>
              <w:jc w:val="center"/>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prefabricated esthetic coated stainless steel crown - primary tooth </w:t>
            </w:r>
          </w:p>
        </w:tc>
        <w:tc>
          <w:tcPr>
            <w:tcW w:w="351" w:type="pct"/>
            <w:noWrap/>
            <w:vAlign w:val="bottom"/>
            <w:hideMark/>
          </w:tcPr>
          <w:p w14:paraId="2D3BF6B1"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36,109 </w:t>
            </w:r>
          </w:p>
        </w:tc>
        <w:tc>
          <w:tcPr>
            <w:tcW w:w="501" w:type="pct"/>
            <w:noWrap/>
            <w:vAlign w:val="bottom"/>
            <w:hideMark/>
          </w:tcPr>
          <w:p w14:paraId="70739DC5"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0.8 </w:t>
            </w:r>
          </w:p>
        </w:tc>
        <w:tc>
          <w:tcPr>
            <w:tcW w:w="351" w:type="pct"/>
            <w:noWrap/>
            <w:vAlign w:val="bottom"/>
            <w:hideMark/>
          </w:tcPr>
          <w:p w14:paraId="1E78749F"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40,623 </w:t>
            </w:r>
          </w:p>
        </w:tc>
        <w:tc>
          <w:tcPr>
            <w:tcW w:w="501" w:type="pct"/>
            <w:noWrap/>
            <w:vAlign w:val="bottom"/>
            <w:hideMark/>
          </w:tcPr>
          <w:p w14:paraId="0E1EBA87"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0.8 </w:t>
            </w:r>
          </w:p>
        </w:tc>
        <w:tc>
          <w:tcPr>
            <w:tcW w:w="351" w:type="pct"/>
            <w:noWrap/>
            <w:vAlign w:val="bottom"/>
            <w:hideMark/>
          </w:tcPr>
          <w:p w14:paraId="4BE67A73"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32,945 </w:t>
            </w:r>
          </w:p>
        </w:tc>
        <w:tc>
          <w:tcPr>
            <w:tcW w:w="501" w:type="pct"/>
            <w:noWrap/>
            <w:vAlign w:val="bottom"/>
            <w:hideMark/>
          </w:tcPr>
          <w:p w14:paraId="63F46A76"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0.5 </w:t>
            </w:r>
          </w:p>
        </w:tc>
      </w:tr>
      <w:tr w:rsidR="000826B8" w:rsidRPr="005161CD" w14:paraId="23ABFAE0" w14:textId="77777777" w:rsidTr="0027492A">
        <w:trPr>
          <w:cantSplit/>
          <w:trHeight w:val="302"/>
        </w:trPr>
        <w:tc>
          <w:tcPr>
            <w:tcW w:w="507" w:type="pct"/>
            <w:noWrap/>
            <w:vAlign w:val="bottom"/>
            <w:hideMark/>
          </w:tcPr>
          <w:p w14:paraId="048F45C7" w14:textId="77777777" w:rsidR="000826B8" w:rsidRPr="005161CD" w:rsidRDefault="000826B8" w:rsidP="00FD2E73">
            <w:pPr>
              <w:spacing w:after="0" w:line="240" w:lineRule="auto"/>
              <w:jc w:val="center"/>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D2391 </w:t>
            </w:r>
          </w:p>
        </w:tc>
        <w:tc>
          <w:tcPr>
            <w:tcW w:w="1936" w:type="pct"/>
            <w:noWrap/>
            <w:vAlign w:val="bottom"/>
            <w:hideMark/>
          </w:tcPr>
          <w:p w14:paraId="07749965" w14:textId="77777777" w:rsidR="000826B8" w:rsidRPr="005161CD" w:rsidRDefault="000826B8" w:rsidP="00FD2E73">
            <w:pPr>
              <w:spacing w:after="0" w:line="240" w:lineRule="auto"/>
              <w:jc w:val="center"/>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resin-based composite - one surface, posterior </w:t>
            </w:r>
          </w:p>
        </w:tc>
        <w:tc>
          <w:tcPr>
            <w:tcW w:w="351" w:type="pct"/>
            <w:noWrap/>
            <w:vAlign w:val="bottom"/>
            <w:hideMark/>
          </w:tcPr>
          <w:p w14:paraId="1F2D70B7"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31,183 </w:t>
            </w:r>
          </w:p>
        </w:tc>
        <w:tc>
          <w:tcPr>
            <w:tcW w:w="501" w:type="pct"/>
            <w:noWrap/>
            <w:vAlign w:val="bottom"/>
            <w:hideMark/>
          </w:tcPr>
          <w:p w14:paraId="2D49D8B9"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0.7 </w:t>
            </w:r>
          </w:p>
        </w:tc>
        <w:tc>
          <w:tcPr>
            <w:tcW w:w="351" w:type="pct"/>
            <w:noWrap/>
            <w:vAlign w:val="bottom"/>
            <w:hideMark/>
          </w:tcPr>
          <w:p w14:paraId="050C0C8C"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35,868 </w:t>
            </w:r>
          </w:p>
        </w:tc>
        <w:tc>
          <w:tcPr>
            <w:tcW w:w="501" w:type="pct"/>
            <w:noWrap/>
            <w:vAlign w:val="bottom"/>
            <w:hideMark/>
          </w:tcPr>
          <w:p w14:paraId="3A4A1A72"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0.7 </w:t>
            </w:r>
          </w:p>
        </w:tc>
        <w:tc>
          <w:tcPr>
            <w:tcW w:w="351" w:type="pct"/>
            <w:noWrap/>
            <w:vAlign w:val="bottom"/>
            <w:hideMark/>
          </w:tcPr>
          <w:p w14:paraId="47E55B1C"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43,228 </w:t>
            </w:r>
          </w:p>
        </w:tc>
        <w:tc>
          <w:tcPr>
            <w:tcW w:w="501" w:type="pct"/>
            <w:noWrap/>
            <w:vAlign w:val="bottom"/>
            <w:hideMark/>
          </w:tcPr>
          <w:p w14:paraId="44E516E4"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0.7 </w:t>
            </w:r>
          </w:p>
        </w:tc>
      </w:tr>
      <w:tr w:rsidR="000826B8" w:rsidRPr="005161CD" w14:paraId="6097B922" w14:textId="77777777" w:rsidTr="0027492A">
        <w:trPr>
          <w:cantSplit/>
          <w:trHeight w:val="302"/>
        </w:trPr>
        <w:tc>
          <w:tcPr>
            <w:tcW w:w="507" w:type="pct"/>
            <w:noWrap/>
            <w:vAlign w:val="bottom"/>
            <w:hideMark/>
          </w:tcPr>
          <w:p w14:paraId="17C4393F" w14:textId="77777777" w:rsidR="000826B8" w:rsidRPr="005161CD" w:rsidRDefault="000826B8" w:rsidP="00FD2E73">
            <w:pPr>
              <w:spacing w:after="0" w:line="240" w:lineRule="auto"/>
              <w:jc w:val="center"/>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D2392 </w:t>
            </w:r>
          </w:p>
        </w:tc>
        <w:tc>
          <w:tcPr>
            <w:tcW w:w="1936" w:type="pct"/>
            <w:noWrap/>
            <w:vAlign w:val="bottom"/>
            <w:hideMark/>
          </w:tcPr>
          <w:p w14:paraId="5DD4DF81" w14:textId="77777777" w:rsidR="000826B8" w:rsidRPr="005161CD" w:rsidRDefault="000826B8" w:rsidP="00FD2E73">
            <w:pPr>
              <w:spacing w:after="0" w:line="240" w:lineRule="auto"/>
              <w:jc w:val="center"/>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resin-based composite - two surfaces, posterior </w:t>
            </w:r>
          </w:p>
        </w:tc>
        <w:tc>
          <w:tcPr>
            <w:tcW w:w="351" w:type="pct"/>
            <w:noWrap/>
            <w:vAlign w:val="bottom"/>
            <w:hideMark/>
          </w:tcPr>
          <w:p w14:paraId="4A8F4BDA"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26,026 </w:t>
            </w:r>
          </w:p>
        </w:tc>
        <w:tc>
          <w:tcPr>
            <w:tcW w:w="501" w:type="pct"/>
            <w:noWrap/>
            <w:vAlign w:val="bottom"/>
            <w:hideMark/>
          </w:tcPr>
          <w:p w14:paraId="765DCAED"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0.6 </w:t>
            </w:r>
          </w:p>
        </w:tc>
        <w:tc>
          <w:tcPr>
            <w:tcW w:w="351" w:type="pct"/>
            <w:noWrap/>
            <w:vAlign w:val="bottom"/>
            <w:hideMark/>
          </w:tcPr>
          <w:p w14:paraId="073ED30C"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31,862 </w:t>
            </w:r>
          </w:p>
        </w:tc>
        <w:tc>
          <w:tcPr>
            <w:tcW w:w="501" w:type="pct"/>
            <w:noWrap/>
            <w:vAlign w:val="bottom"/>
            <w:hideMark/>
          </w:tcPr>
          <w:p w14:paraId="10332B09"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0.6 </w:t>
            </w:r>
          </w:p>
        </w:tc>
        <w:tc>
          <w:tcPr>
            <w:tcW w:w="351" w:type="pct"/>
            <w:noWrap/>
            <w:vAlign w:val="bottom"/>
            <w:hideMark/>
          </w:tcPr>
          <w:p w14:paraId="1606AA2D"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36,733 </w:t>
            </w:r>
          </w:p>
        </w:tc>
        <w:tc>
          <w:tcPr>
            <w:tcW w:w="501" w:type="pct"/>
            <w:noWrap/>
            <w:vAlign w:val="bottom"/>
            <w:hideMark/>
          </w:tcPr>
          <w:p w14:paraId="18BB32C7" w14:textId="77777777" w:rsidR="000826B8" w:rsidRPr="005161CD" w:rsidRDefault="000826B8" w:rsidP="00FD2E73">
            <w:pPr>
              <w:spacing w:after="0" w:line="240" w:lineRule="auto"/>
              <w:rPr>
                <w:rFonts w:ascii="Aptos Narrow" w:eastAsia="Times New Roman" w:hAnsi="Aptos Narrow" w:cs="Times New Roman"/>
                <w:color w:val="000000"/>
                <w:szCs w:val="24"/>
              </w:rPr>
            </w:pPr>
            <w:r w:rsidRPr="005161CD">
              <w:rPr>
                <w:rFonts w:ascii="Aptos Narrow" w:eastAsia="Times New Roman" w:hAnsi="Aptos Narrow" w:cs="Times New Roman"/>
                <w:color w:val="000000"/>
                <w:szCs w:val="24"/>
              </w:rPr>
              <w:t xml:space="preserve">              0.6 </w:t>
            </w:r>
          </w:p>
        </w:tc>
      </w:tr>
    </w:tbl>
    <w:p w14:paraId="37A63A13" w14:textId="77777777" w:rsidR="000826B8" w:rsidRPr="005161CD" w:rsidRDefault="000826B8" w:rsidP="000826B8">
      <w:pPr>
        <w:pBdr>
          <w:top w:val="nil"/>
          <w:left w:val="nil"/>
          <w:bottom w:val="nil"/>
          <w:right w:val="nil"/>
          <w:between w:val="nil"/>
        </w:pBdr>
        <w:spacing w:line="259" w:lineRule="auto"/>
        <w:rPr>
          <w:rFonts w:asciiTheme="minorHAnsi" w:hAnsiTheme="minorHAnsi" w:cstheme="minorHAnsi"/>
          <w:bCs/>
          <w:color w:val="000000"/>
          <w:szCs w:val="24"/>
        </w:rPr>
      </w:pPr>
      <w:r w:rsidRPr="005161CD">
        <w:rPr>
          <w:rFonts w:asciiTheme="minorHAnsi" w:hAnsiTheme="minorHAnsi" w:cstheme="minorHAnsi"/>
          <w:bCs/>
          <w:color w:val="000000"/>
          <w:szCs w:val="24"/>
        </w:rPr>
        <w:t xml:space="preserve">These procedure codes represent the most frequently treated High Acuity Dental Surgeries that affiliated dentists provide at the ASCs.  The total represents the number of procedures done in that year.  The frequency represents the number of that procedure per unique patient.  For example, in 2025 a unique patient received on average 4.9 crowns and 2.6 teeth extractions.  </w:t>
      </w:r>
    </w:p>
    <w:p w14:paraId="2A49A70A" w14:textId="77777777" w:rsidR="004600DF" w:rsidRDefault="004600DF">
      <w:pPr>
        <w:rPr>
          <w:rFonts w:asciiTheme="minorHAnsi" w:hAnsiTheme="minorHAnsi" w:cstheme="minorHAnsi"/>
          <w:b/>
          <w:szCs w:val="24"/>
        </w:rPr>
      </w:pPr>
      <w:r>
        <w:rPr>
          <w:rFonts w:asciiTheme="minorHAnsi" w:hAnsiTheme="minorHAnsi" w:cstheme="minorHAnsi"/>
          <w:b/>
          <w:szCs w:val="24"/>
        </w:rPr>
        <w:br w:type="page"/>
      </w:r>
    </w:p>
    <w:p w14:paraId="253B5931" w14:textId="415D105D" w:rsidR="00AD7BAE" w:rsidRPr="00AD7BAE" w:rsidRDefault="00AD7BAE" w:rsidP="001F647D">
      <w:pPr>
        <w:jc w:val="center"/>
        <w:rPr>
          <w:rFonts w:asciiTheme="minorHAnsi" w:hAnsiTheme="minorHAnsi" w:cstheme="minorHAnsi"/>
          <w:b/>
          <w:szCs w:val="24"/>
        </w:rPr>
      </w:pPr>
      <w:r w:rsidRPr="00AD7BAE">
        <w:rPr>
          <w:rFonts w:asciiTheme="minorHAnsi" w:hAnsiTheme="minorHAnsi" w:cstheme="minorHAnsi"/>
          <w:b/>
          <w:szCs w:val="24"/>
        </w:rPr>
        <w:lastRenderedPageBreak/>
        <w:t xml:space="preserve">Exhibit 2 </w:t>
      </w:r>
    </w:p>
    <w:p w14:paraId="54DD6FE8" w14:textId="24098A52" w:rsidR="00AD7BAE" w:rsidRPr="00AD7BAE" w:rsidRDefault="00AD7BAE" w:rsidP="001F647D">
      <w:pPr>
        <w:jc w:val="center"/>
        <w:rPr>
          <w:rFonts w:asciiTheme="minorHAnsi" w:hAnsiTheme="minorHAnsi" w:cstheme="minorHAnsi"/>
          <w:b/>
          <w:szCs w:val="24"/>
        </w:rPr>
      </w:pPr>
      <w:r w:rsidRPr="00AD7BAE">
        <w:rPr>
          <w:rFonts w:asciiTheme="minorHAnsi" w:hAnsiTheme="minorHAnsi" w:cstheme="minorHAnsi"/>
          <w:b/>
          <w:szCs w:val="24"/>
        </w:rPr>
        <w:t xml:space="preserve">Chartis Methodology </w:t>
      </w:r>
    </w:p>
    <w:p w14:paraId="25E448DC" w14:textId="77777777" w:rsidR="005066DA" w:rsidRDefault="000826B8" w:rsidP="000826B8">
      <w:pPr>
        <w:autoSpaceDE w:val="0"/>
        <w:autoSpaceDN w:val="0"/>
        <w:adjustRightInd w:val="0"/>
        <w:jc w:val="both"/>
        <w:rPr>
          <w:rFonts w:asciiTheme="minorHAnsi" w:hAnsiTheme="minorHAnsi" w:cstheme="minorHAnsi"/>
          <w:szCs w:val="24"/>
        </w:rPr>
      </w:pPr>
      <w:r>
        <w:rPr>
          <w:rFonts w:asciiTheme="minorHAnsi" w:hAnsiTheme="minorHAnsi" w:cstheme="minorHAnsi"/>
          <w:szCs w:val="24"/>
        </w:rPr>
        <w:t>Chartis’s methodology</w:t>
      </w:r>
      <w:r w:rsidRPr="0077220E">
        <w:rPr>
          <w:rFonts w:asciiTheme="minorHAnsi" w:hAnsiTheme="minorHAnsi" w:cstheme="minorHAnsi"/>
          <w:szCs w:val="24"/>
        </w:rPr>
        <w:t xml:space="preserve"> estimates expected procedure volume through a three-stage approach that combines population data with </w:t>
      </w:r>
      <w:r>
        <w:rPr>
          <w:rFonts w:asciiTheme="minorHAnsi" w:hAnsiTheme="minorHAnsi" w:cstheme="minorHAnsi"/>
          <w:szCs w:val="24"/>
        </w:rPr>
        <w:t>market-based incidence rates to derive</w:t>
      </w:r>
      <w:r w:rsidRPr="0077220E">
        <w:rPr>
          <w:rFonts w:asciiTheme="minorHAnsi" w:hAnsiTheme="minorHAnsi" w:cstheme="minorHAnsi"/>
          <w:szCs w:val="24"/>
        </w:rPr>
        <w:t xml:space="preserve"> utilization</w:t>
      </w:r>
      <w:r>
        <w:rPr>
          <w:rFonts w:asciiTheme="minorHAnsi" w:hAnsiTheme="minorHAnsi" w:cstheme="minorHAnsi"/>
          <w:szCs w:val="24"/>
        </w:rPr>
        <w:t>.</w:t>
      </w:r>
      <w:r w:rsidRPr="0077220E">
        <w:rPr>
          <w:rFonts w:asciiTheme="minorHAnsi" w:hAnsiTheme="minorHAnsi" w:cstheme="minorHAnsi"/>
          <w:szCs w:val="24"/>
        </w:rPr>
        <w:t xml:space="preserve"> </w:t>
      </w:r>
    </w:p>
    <w:p w14:paraId="57F87606" w14:textId="76CDB216" w:rsidR="000826B8" w:rsidRPr="0077220E" w:rsidRDefault="005066DA" w:rsidP="000826B8">
      <w:pPr>
        <w:autoSpaceDE w:val="0"/>
        <w:autoSpaceDN w:val="0"/>
        <w:adjustRightInd w:val="0"/>
        <w:jc w:val="both"/>
        <w:rPr>
          <w:rFonts w:asciiTheme="minorHAnsi" w:hAnsiTheme="minorHAnsi" w:cstheme="minorHAnsi"/>
          <w:szCs w:val="24"/>
        </w:rPr>
      </w:pPr>
      <w:r>
        <w:rPr>
          <w:rFonts w:asciiTheme="minorHAnsi" w:hAnsiTheme="minorHAnsi" w:cstheme="minorHAnsi"/>
          <w:szCs w:val="24"/>
        </w:rPr>
        <w:t>First, t</w:t>
      </w:r>
      <w:r w:rsidR="000826B8" w:rsidRPr="0077220E">
        <w:rPr>
          <w:rFonts w:asciiTheme="minorHAnsi" w:hAnsiTheme="minorHAnsi" w:cstheme="minorHAnsi"/>
          <w:szCs w:val="24"/>
        </w:rPr>
        <w:t xml:space="preserve">he process begins by establishing a base population, segmented by </w:t>
      </w:r>
      <w:r w:rsidR="00986AC2">
        <w:rPr>
          <w:rFonts w:asciiTheme="minorHAnsi" w:hAnsiTheme="minorHAnsi" w:cstheme="minorHAnsi"/>
          <w:szCs w:val="24"/>
        </w:rPr>
        <w:t xml:space="preserve">county, </w:t>
      </w:r>
      <w:r w:rsidR="000826B8" w:rsidRPr="0077220E">
        <w:rPr>
          <w:rFonts w:asciiTheme="minorHAnsi" w:hAnsiTheme="minorHAnsi" w:cstheme="minorHAnsi"/>
          <w:szCs w:val="24"/>
        </w:rPr>
        <w:t xml:space="preserve">age, gender, and payer, using PUMS (Public Use Microdata Sample) data. </w:t>
      </w:r>
    </w:p>
    <w:p w14:paraId="71D4B1DF" w14:textId="43237605" w:rsidR="000826B8" w:rsidRPr="0077220E" w:rsidRDefault="000826B8" w:rsidP="000826B8">
      <w:pPr>
        <w:autoSpaceDE w:val="0"/>
        <w:autoSpaceDN w:val="0"/>
        <w:adjustRightInd w:val="0"/>
        <w:jc w:val="both"/>
        <w:rPr>
          <w:rFonts w:asciiTheme="minorHAnsi" w:hAnsiTheme="minorHAnsi" w:cstheme="minorHAnsi"/>
          <w:szCs w:val="24"/>
        </w:rPr>
      </w:pPr>
      <w:r w:rsidRPr="0077220E">
        <w:rPr>
          <w:rFonts w:asciiTheme="minorHAnsi" w:hAnsiTheme="minorHAnsi" w:cstheme="minorHAnsi"/>
          <w:szCs w:val="24"/>
        </w:rPr>
        <w:t xml:space="preserve">Next, base utilization rates are derived from Komodo closed claims data, calculated by procedure, age, gender, payer, and regional setting (urban vs. rural). These rates undergo quality adjustments: the model prioritizes payer-specific regional rates where sufficient data exists (member months greater than </w:t>
      </w:r>
      <w:r w:rsidR="006C0DC8">
        <w:rPr>
          <w:rFonts w:asciiTheme="minorHAnsi" w:hAnsiTheme="minorHAnsi" w:cstheme="minorHAnsi"/>
          <w:szCs w:val="24"/>
        </w:rPr>
        <w:t>25</w:t>
      </w:r>
      <w:r w:rsidRPr="0077220E">
        <w:rPr>
          <w:rFonts w:asciiTheme="minorHAnsi" w:hAnsiTheme="minorHAnsi" w:cstheme="minorHAnsi"/>
          <w:szCs w:val="24"/>
        </w:rPr>
        <w:t>), falls back to all-payer regional rates otherwise, and caps outliers at the 90th percentile to prevent skewing.</w:t>
      </w:r>
      <w:r w:rsidR="005066DA">
        <w:rPr>
          <w:rFonts w:asciiTheme="minorHAnsi" w:hAnsiTheme="minorHAnsi" w:cstheme="minorHAnsi"/>
          <w:szCs w:val="24"/>
        </w:rPr>
        <w:t xml:space="preserve">   </w:t>
      </w:r>
      <w:proofErr w:type="gramStart"/>
      <w:r w:rsidR="008B38DF">
        <w:rPr>
          <w:rFonts w:asciiTheme="minorHAnsi" w:hAnsiTheme="minorHAnsi" w:cstheme="minorHAnsi"/>
          <w:szCs w:val="24"/>
        </w:rPr>
        <w:t>Komodo</w:t>
      </w:r>
      <w:r w:rsidR="005066DA">
        <w:rPr>
          <w:rFonts w:asciiTheme="minorHAnsi" w:hAnsiTheme="minorHAnsi" w:cstheme="minorHAnsi"/>
          <w:szCs w:val="24"/>
        </w:rPr>
        <w:t xml:space="preserve"> </w:t>
      </w:r>
      <w:r w:rsidR="00B173A3">
        <w:rPr>
          <w:rFonts w:asciiTheme="minorHAnsi" w:hAnsiTheme="minorHAnsi" w:cstheme="minorHAnsi"/>
          <w:szCs w:val="24"/>
        </w:rPr>
        <w:t xml:space="preserve"> was</w:t>
      </w:r>
      <w:proofErr w:type="gramEnd"/>
      <w:r w:rsidR="00B173A3">
        <w:rPr>
          <w:rFonts w:asciiTheme="minorHAnsi" w:hAnsiTheme="minorHAnsi" w:cstheme="minorHAnsi"/>
          <w:szCs w:val="24"/>
        </w:rPr>
        <w:t xml:space="preserve"> selected because it</w:t>
      </w:r>
      <w:r w:rsidR="008B38DF">
        <w:rPr>
          <w:rFonts w:asciiTheme="minorHAnsi" w:hAnsiTheme="minorHAnsi" w:cstheme="minorHAnsi"/>
          <w:szCs w:val="24"/>
        </w:rPr>
        <w:t xml:space="preserve"> is estimated to include ~80</w:t>
      </w:r>
      <w:r w:rsidR="00A9558A" w:rsidRPr="00A9558A">
        <w:rPr>
          <w:rFonts w:asciiTheme="minorHAnsi" w:hAnsiTheme="minorHAnsi" w:cstheme="minorHAnsi"/>
          <w:szCs w:val="24"/>
        </w:rPr>
        <w:t xml:space="preserve"> </w:t>
      </w:r>
      <w:r w:rsidR="00A9558A">
        <w:rPr>
          <w:rFonts w:asciiTheme="minorHAnsi" w:hAnsiTheme="minorHAnsi" w:cstheme="minorHAnsi"/>
          <w:szCs w:val="24"/>
        </w:rPr>
        <w:t>percent</w:t>
      </w:r>
      <w:r w:rsidR="008B38DF">
        <w:rPr>
          <w:rFonts w:asciiTheme="minorHAnsi" w:hAnsiTheme="minorHAnsi" w:cstheme="minorHAnsi"/>
          <w:szCs w:val="24"/>
        </w:rPr>
        <w:t xml:space="preserve"> of outpatient claims in Massachusetts. </w:t>
      </w:r>
    </w:p>
    <w:p w14:paraId="78C34B38" w14:textId="76D96E05" w:rsidR="005066DA" w:rsidRDefault="000826B8" w:rsidP="000826B8">
      <w:pPr>
        <w:autoSpaceDE w:val="0"/>
        <w:autoSpaceDN w:val="0"/>
        <w:adjustRightInd w:val="0"/>
        <w:jc w:val="both"/>
        <w:rPr>
          <w:rFonts w:asciiTheme="minorHAnsi" w:hAnsiTheme="minorHAnsi" w:cstheme="minorHAnsi"/>
          <w:szCs w:val="24"/>
        </w:rPr>
      </w:pPr>
      <w:r w:rsidRPr="0077220E">
        <w:rPr>
          <w:rFonts w:asciiTheme="minorHAnsi" w:hAnsiTheme="minorHAnsi" w:cstheme="minorHAnsi"/>
          <w:szCs w:val="24"/>
        </w:rPr>
        <w:t>Finally, the adjusted population and adjusted</w:t>
      </w:r>
      <w:r w:rsidR="00B173A3">
        <w:rPr>
          <w:rFonts w:asciiTheme="minorHAnsi" w:hAnsiTheme="minorHAnsi" w:cstheme="minorHAnsi"/>
          <w:szCs w:val="24"/>
        </w:rPr>
        <w:t xml:space="preserve"> utilization</w:t>
      </w:r>
      <w:r w:rsidRPr="0077220E">
        <w:rPr>
          <w:rFonts w:asciiTheme="minorHAnsi" w:hAnsiTheme="minorHAnsi" w:cstheme="minorHAnsi"/>
          <w:szCs w:val="24"/>
        </w:rPr>
        <w:t xml:space="preserve"> rates are combined to generate expected volume at the </w:t>
      </w:r>
      <w:r w:rsidR="00B173A3">
        <w:rPr>
          <w:rFonts w:asciiTheme="minorHAnsi" w:hAnsiTheme="minorHAnsi" w:cstheme="minorHAnsi"/>
          <w:szCs w:val="24"/>
        </w:rPr>
        <w:t>S</w:t>
      </w:r>
      <w:r w:rsidR="00820C1F">
        <w:rPr>
          <w:rFonts w:asciiTheme="minorHAnsi" w:hAnsiTheme="minorHAnsi" w:cstheme="minorHAnsi"/>
          <w:szCs w:val="24"/>
        </w:rPr>
        <w:t xml:space="preserve">ite of </w:t>
      </w:r>
      <w:r w:rsidR="00B173A3">
        <w:rPr>
          <w:rFonts w:asciiTheme="minorHAnsi" w:hAnsiTheme="minorHAnsi" w:cstheme="minorHAnsi"/>
          <w:szCs w:val="24"/>
        </w:rPr>
        <w:t>C</w:t>
      </w:r>
      <w:r w:rsidR="00820C1F">
        <w:rPr>
          <w:rFonts w:asciiTheme="minorHAnsi" w:hAnsiTheme="minorHAnsi" w:cstheme="minorHAnsi"/>
          <w:szCs w:val="24"/>
        </w:rPr>
        <w:t xml:space="preserve">are (HOPD, ASC, Office), </w:t>
      </w:r>
      <w:r w:rsidRPr="0077220E">
        <w:rPr>
          <w:rFonts w:asciiTheme="minorHAnsi" w:hAnsiTheme="minorHAnsi" w:cstheme="minorHAnsi"/>
          <w:szCs w:val="24"/>
        </w:rPr>
        <w:t>county and CPT code level. These volumes are then distributed across zip codes</w:t>
      </w:r>
      <w:r w:rsidR="00F74B60">
        <w:rPr>
          <w:rFonts w:asciiTheme="minorHAnsi" w:hAnsiTheme="minorHAnsi" w:cstheme="minorHAnsi"/>
          <w:szCs w:val="24"/>
        </w:rPr>
        <w:t xml:space="preserve"> </w:t>
      </w:r>
      <w:r w:rsidRPr="0077220E">
        <w:rPr>
          <w:rFonts w:asciiTheme="minorHAnsi" w:hAnsiTheme="minorHAnsi" w:cstheme="minorHAnsi"/>
          <w:szCs w:val="24"/>
        </w:rPr>
        <w:t>and projected forward five years using ESRI population trend data, providing a granular, forward-looking view of market demand.</w:t>
      </w:r>
      <w:r w:rsidR="00F74B60">
        <w:rPr>
          <w:rFonts w:asciiTheme="minorHAnsi" w:hAnsiTheme="minorHAnsi" w:cstheme="minorHAnsi"/>
          <w:szCs w:val="24"/>
        </w:rPr>
        <w:t xml:space="preserve"> </w:t>
      </w:r>
    </w:p>
    <w:p w14:paraId="07B8B538" w14:textId="7D9E9CBE" w:rsidR="000826B8" w:rsidRDefault="00B173A3" w:rsidP="000826B8">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In addition, </w:t>
      </w:r>
      <w:r w:rsidR="008A78A6">
        <w:rPr>
          <w:rFonts w:asciiTheme="minorHAnsi" w:hAnsiTheme="minorHAnsi" w:cstheme="minorHAnsi"/>
          <w:szCs w:val="24"/>
        </w:rPr>
        <w:t>the utilization distribution a</w:t>
      </w:r>
      <w:r w:rsidR="00D54079">
        <w:rPr>
          <w:rFonts w:asciiTheme="minorHAnsi" w:hAnsiTheme="minorHAnsi" w:cstheme="minorHAnsi"/>
          <w:szCs w:val="24"/>
        </w:rPr>
        <w:t xml:space="preserve">cross </w:t>
      </w:r>
      <w:r w:rsidR="00F74B60">
        <w:rPr>
          <w:rFonts w:asciiTheme="minorHAnsi" w:hAnsiTheme="minorHAnsi" w:cstheme="minorHAnsi"/>
          <w:szCs w:val="24"/>
        </w:rPr>
        <w:t xml:space="preserve">race/ ethnicity </w:t>
      </w:r>
      <w:r w:rsidR="00D54079">
        <w:rPr>
          <w:rFonts w:asciiTheme="minorHAnsi" w:hAnsiTheme="minorHAnsi" w:cstheme="minorHAnsi"/>
          <w:szCs w:val="24"/>
        </w:rPr>
        <w:t>categories</w:t>
      </w:r>
      <w:r w:rsidR="008A78A6">
        <w:rPr>
          <w:rFonts w:asciiTheme="minorHAnsi" w:hAnsiTheme="minorHAnsi" w:cstheme="minorHAnsi"/>
          <w:szCs w:val="24"/>
        </w:rPr>
        <w:t xml:space="preserve"> was calculated</w:t>
      </w:r>
      <w:r w:rsidR="00D54079">
        <w:rPr>
          <w:rFonts w:asciiTheme="minorHAnsi" w:hAnsiTheme="minorHAnsi" w:cstheme="minorHAnsi"/>
          <w:szCs w:val="24"/>
        </w:rPr>
        <w:t xml:space="preserve"> </w:t>
      </w:r>
      <w:r w:rsidR="00052FFC">
        <w:rPr>
          <w:rFonts w:asciiTheme="minorHAnsi" w:hAnsiTheme="minorHAnsi" w:cstheme="minorHAnsi"/>
          <w:szCs w:val="24"/>
        </w:rPr>
        <w:t xml:space="preserve">with sensitivity to payer and </w:t>
      </w:r>
      <w:r>
        <w:rPr>
          <w:rFonts w:asciiTheme="minorHAnsi" w:hAnsiTheme="minorHAnsi" w:cstheme="minorHAnsi"/>
          <w:szCs w:val="24"/>
        </w:rPr>
        <w:t>S</w:t>
      </w:r>
      <w:r w:rsidR="00052FFC">
        <w:rPr>
          <w:rFonts w:asciiTheme="minorHAnsi" w:hAnsiTheme="minorHAnsi" w:cstheme="minorHAnsi"/>
          <w:szCs w:val="24"/>
        </w:rPr>
        <w:t xml:space="preserve">ite of </w:t>
      </w:r>
      <w:r>
        <w:rPr>
          <w:rFonts w:asciiTheme="minorHAnsi" w:hAnsiTheme="minorHAnsi" w:cstheme="minorHAnsi"/>
          <w:szCs w:val="24"/>
        </w:rPr>
        <w:t>C</w:t>
      </w:r>
      <w:r w:rsidR="00052FFC">
        <w:rPr>
          <w:rFonts w:asciiTheme="minorHAnsi" w:hAnsiTheme="minorHAnsi" w:cstheme="minorHAnsi"/>
          <w:szCs w:val="24"/>
        </w:rPr>
        <w:t>are.</w:t>
      </w:r>
      <w:r w:rsidR="008A78A6">
        <w:rPr>
          <w:rFonts w:asciiTheme="minorHAnsi" w:hAnsiTheme="minorHAnsi" w:cstheme="minorHAnsi"/>
          <w:szCs w:val="24"/>
        </w:rPr>
        <w:t xml:space="preserve"> </w:t>
      </w:r>
      <w:r w:rsidR="008A78A6" w:rsidRPr="008A78A6">
        <w:rPr>
          <w:rFonts w:asciiTheme="minorHAnsi" w:hAnsiTheme="minorHAnsi" w:cstheme="minorHAnsi"/>
          <w:szCs w:val="24"/>
        </w:rPr>
        <w:t>These results reflect the underlying distribution seen in Komodo claims data, which has race/ ethnicity values available for 76.5</w:t>
      </w:r>
      <w:r w:rsidR="00A9558A" w:rsidRPr="00A9558A">
        <w:rPr>
          <w:rFonts w:asciiTheme="minorHAnsi" w:hAnsiTheme="minorHAnsi" w:cstheme="minorHAnsi"/>
          <w:szCs w:val="24"/>
        </w:rPr>
        <w:t xml:space="preserve"> </w:t>
      </w:r>
      <w:r w:rsidR="00A9558A">
        <w:rPr>
          <w:rFonts w:asciiTheme="minorHAnsi" w:hAnsiTheme="minorHAnsi" w:cstheme="minorHAnsi"/>
          <w:szCs w:val="24"/>
        </w:rPr>
        <w:t>percent</w:t>
      </w:r>
      <w:r w:rsidR="008A78A6" w:rsidRPr="008A78A6">
        <w:rPr>
          <w:rFonts w:asciiTheme="minorHAnsi" w:hAnsiTheme="minorHAnsi" w:cstheme="minorHAnsi"/>
          <w:szCs w:val="24"/>
        </w:rPr>
        <w:t xml:space="preserve"> of claims. </w:t>
      </w:r>
    </w:p>
    <w:p w14:paraId="2A2C1EE2" w14:textId="77777777" w:rsidR="000826B8" w:rsidRDefault="000826B8">
      <w:pPr>
        <w:rPr>
          <w:rFonts w:asciiTheme="minorHAnsi" w:hAnsiTheme="minorHAnsi" w:cstheme="minorHAnsi"/>
          <w:b/>
          <w:szCs w:val="24"/>
        </w:rPr>
      </w:pPr>
      <w:r>
        <w:rPr>
          <w:rFonts w:asciiTheme="minorHAnsi" w:hAnsiTheme="minorHAnsi" w:cstheme="minorHAnsi"/>
          <w:b/>
          <w:szCs w:val="24"/>
        </w:rPr>
        <w:br w:type="page"/>
      </w:r>
    </w:p>
    <w:p w14:paraId="33B5E842" w14:textId="651322D4" w:rsidR="00AD7BAE" w:rsidRPr="00AD7BAE" w:rsidRDefault="00AD7BAE" w:rsidP="001F647D">
      <w:pPr>
        <w:jc w:val="center"/>
        <w:rPr>
          <w:rFonts w:asciiTheme="minorHAnsi" w:hAnsiTheme="minorHAnsi" w:cstheme="minorHAnsi"/>
          <w:b/>
          <w:szCs w:val="24"/>
        </w:rPr>
      </w:pPr>
      <w:r w:rsidRPr="00AD7BAE">
        <w:rPr>
          <w:rFonts w:asciiTheme="minorHAnsi" w:hAnsiTheme="minorHAnsi" w:cstheme="minorHAnsi"/>
          <w:b/>
          <w:szCs w:val="24"/>
        </w:rPr>
        <w:lastRenderedPageBreak/>
        <w:t xml:space="preserve">Exhibit 3 </w:t>
      </w:r>
    </w:p>
    <w:p w14:paraId="5DA23B54" w14:textId="45D8661E" w:rsidR="004D37D9" w:rsidRDefault="00AD7BAE" w:rsidP="004D37D9">
      <w:pPr>
        <w:jc w:val="center"/>
        <w:rPr>
          <w:rFonts w:asciiTheme="minorHAnsi" w:hAnsiTheme="minorHAnsi" w:cstheme="minorHAnsi"/>
          <w:b/>
          <w:szCs w:val="24"/>
        </w:rPr>
      </w:pPr>
      <w:r w:rsidRPr="00AD7BAE">
        <w:rPr>
          <w:rFonts w:asciiTheme="minorHAnsi" w:hAnsiTheme="minorHAnsi" w:cstheme="minorHAnsi"/>
          <w:b/>
          <w:szCs w:val="24"/>
        </w:rPr>
        <w:t>Applicant’s PSA</w:t>
      </w:r>
      <w:r w:rsidR="004D37D9">
        <w:rPr>
          <w:rFonts w:asciiTheme="minorHAnsi" w:hAnsiTheme="minorHAnsi" w:cstheme="minorHAnsi"/>
          <w:b/>
          <w:szCs w:val="24"/>
        </w:rPr>
        <w:t xml:space="preserve"> and Pediatric Population</w:t>
      </w:r>
    </w:p>
    <w:p w14:paraId="1B34F85C" w14:textId="5CA91547" w:rsidR="004D37D9" w:rsidRPr="005161CD" w:rsidRDefault="004D37D9" w:rsidP="004D37D9">
      <w:pPr>
        <w:rPr>
          <w:rFonts w:asciiTheme="minorHAnsi" w:hAnsiTheme="minorHAnsi" w:cstheme="minorHAnsi"/>
          <w:b/>
        </w:rPr>
      </w:pPr>
      <w:r w:rsidRPr="005161CD">
        <w:rPr>
          <w:rFonts w:asciiTheme="minorHAnsi" w:hAnsiTheme="minorHAnsi" w:cstheme="minorHAnsi"/>
          <w:b/>
          <w:bCs/>
        </w:rPr>
        <w:t>Service Area and Pediatric Population (0 to 21)</w:t>
      </w:r>
    </w:p>
    <w:p w14:paraId="14BDD436" w14:textId="141AA493" w:rsidR="00134A17" w:rsidRPr="00B87202" w:rsidRDefault="00134A17" w:rsidP="007526F5">
      <w:pPr>
        <w:pStyle w:val="NoSpacing"/>
        <w:rPr>
          <w:rFonts w:ascii="Segoe UI" w:eastAsia="Times New Roman" w:hAnsi="Segoe UI" w:cs="Segoe UI"/>
          <w:b/>
          <w:bCs/>
          <w:color w:val="000000"/>
          <w:szCs w:val="24"/>
        </w:rPr>
      </w:pPr>
      <w:r w:rsidRPr="00B87202">
        <w:rPr>
          <w:rFonts w:ascii="Segoe UI" w:eastAsia="Times New Roman" w:hAnsi="Segoe UI" w:cs="Segoe UI"/>
          <w:b/>
          <w:bCs/>
          <w:color w:val="000000"/>
          <w:szCs w:val="24"/>
        </w:rPr>
        <w:t xml:space="preserve">List of Cities and Towns </w:t>
      </w:r>
      <w:proofErr w:type="gramStart"/>
      <w:r w:rsidRPr="00B87202">
        <w:rPr>
          <w:rFonts w:ascii="Segoe UI" w:eastAsia="Times New Roman" w:hAnsi="Segoe UI" w:cs="Segoe UI"/>
          <w:b/>
          <w:bCs/>
          <w:color w:val="000000"/>
          <w:szCs w:val="24"/>
        </w:rPr>
        <w:t>in</w:t>
      </w:r>
      <w:proofErr w:type="gramEnd"/>
      <w:r w:rsidRPr="00B87202">
        <w:rPr>
          <w:rFonts w:ascii="Segoe UI" w:eastAsia="Times New Roman" w:hAnsi="Segoe UI" w:cs="Segoe UI"/>
          <w:b/>
          <w:bCs/>
          <w:color w:val="000000"/>
          <w:szCs w:val="24"/>
        </w:rPr>
        <w:t xml:space="preserve"> the </w:t>
      </w:r>
      <w:r w:rsidR="00654D7E" w:rsidRPr="00B87202">
        <w:rPr>
          <w:rFonts w:ascii="Segoe UI" w:eastAsia="Times New Roman" w:hAnsi="Segoe UI" w:cs="Segoe UI"/>
          <w:b/>
          <w:bCs/>
          <w:color w:val="000000"/>
          <w:szCs w:val="24"/>
        </w:rPr>
        <w:t>PSA by</w:t>
      </w:r>
      <w:r w:rsidRPr="00B87202">
        <w:rPr>
          <w:rFonts w:ascii="Segoe UI" w:eastAsia="Times New Roman" w:hAnsi="Segoe UI" w:cs="Segoe UI"/>
          <w:b/>
          <w:bCs/>
          <w:color w:val="000000"/>
          <w:szCs w:val="24"/>
        </w:rPr>
        <w:t xml:space="preserve"> the First Three Digits of their Zip Code</w:t>
      </w:r>
    </w:p>
    <w:p w14:paraId="6F8F71D0" w14:textId="157F9D8E" w:rsidR="007526F5" w:rsidRPr="00B87202" w:rsidRDefault="007526F5" w:rsidP="007526F5">
      <w:pPr>
        <w:pStyle w:val="NoSpacing"/>
        <w:numPr>
          <w:ilvl w:val="0"/>
          <w:numId w:val="29"/>
        </w:numPr>
        <w:rPr>
          <w:rFonts w:ascii="Segoe UI" w:eastAsia="Times New Roman" w:hAnsi="Segoe UI" w:cs="Segoe UI"/>
          <w:color w:val="000000"/>
          <w:szCs w:val="24"/>
        </w:rPr>
      </w:pPr>
      <w:r w:rsidRPr="00B87202">
        <w:rPr>
          <w:rFonts w:ascii="Segoe UI" w:eastAsia="Times New Roman" w:hAnsi="Segoe UI" w:cs="Segoe UI"/>
          <w:color w:val="000000"/>
          <w:szCs w:val="24"/>
        </w:rPr>
        <w:t xml:space="preserve">This represents the market areas within a 45-min radius around Stoneham, MA. </w:t>
      </w:r>
    </w:p>
    <w:p w14:paraId="4724834A" w14:textId="77777777" w:rsidR="007526F5" w:rsidRPr="007526F5" w:rsidRDefault="007526F5" w:rsidP="007526F5">
      <w:pPr>
        <w:pStyle w:val="NoSpacing"/>
        <w:rPr>
          <w:rFonts w:ascii="Segoe UI" w:eastAsia="Times New Roman" w:hAnsi="Segoe UI" w:cs="Segoe UI"/>
          <w:color w:val="000000"/>
          <w:sz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ist of Cities and Towns in the PSA by the First Three Digits of their Zip Code"/>
      </w:tblPr>
      <w:tblGrid>
        <w:gridCol w:w="1756"/>
        <w:gridCol w:w="1967"/>
        <w:gridCol w:w="1800"/>
        <w:gridCol w:w="1980"/>
        <w:gridCol w:w="2160"/>
      </w:tblGrid>
      <w:tr w:rsidR="00134A17" w:rsidRPr="00FE4AE0" w14:paraId="6564683D" w14:textId="77777777" w:rsidTr="002A4E50">
        <w:trPr>
          <w:cantSplit/>
          <w:trHeight w:val="330"/>
          <w:tblHeader/>
        </w:trPr>
        <w:tc>
          <w:tcPr>
            <w:tcW w:w="1756" w:type="dxa"/>
            <w:shd w:val="clear" w:color="auto" w:fill="DBE5F1" w:themeFill="accent1" w:themeFillTint="33"/>
            <w:noWrap/>
            <w:hideMark/>
          </w:tcPr>
          <w:p w14:paraId="5182D802" w14:textId="77777777" w:rsidR="00134A17" w:rsidRPr="00B87202" w:rsidRDefault="00134A17" w:rsidP="004743C3">
            <w:pPr>
              <w:spacing w:after="0" w:line="240" w:lineRule="auto"/>
              <w:rPr>
                <w:rFonts w:ascii="Segoe UI" w:eastAsia="Times New Roman" w:hAnsi="Segoe UI" w:cs="Segoe UI"/>
                <w:b/>
                <w:bCs/>
                <w:color w:val="000000"/>
                <w:szCs w:val="24"/>
              </w:rPr>
            </w:pPr>
            <w:r w:rsidRPr="00B87202">
              <w:rPr>
                <w:rFonts w:ascii="Segoe UI" w:eastAsia="Times New Roman" w:hAnsi="Segoe UI" w:cs="Segoe UI"/>
                <w:b/>
                <w:bCs/>
                <w:color w:val="000000"/>
                <w:szCs w:val="24"/>
              </w:rPr>
              <w:t>017</w:t>
            </w:r>
          </w:p>
        </w:tc>
        <w:tc>
          <w:tcPr>
            <w:tcW w:w="1967" w:type="dxa"/>
            <w:shd w:val="clear" w:color="auto" w:fill="DBE5F1" w:themeFill="accent1" w:themeFillTint="33"/>
            <w:noWrap/>
            <w:hideMark/>
          </w:tcPr>
          <w:p w14:paraId="23A5AE01" w14:textId="77777777" w:rsidR="00134A17" w:rsidRPr="00B87202" w:rsidRDefault="00134A17" w:rsidP="004743C3">
            <w:pPr>
              <w:spacing w:after="0" w:line="240" w:lineRule="auto"/>
              <w:rPr>
                <w:rFonts w:ascii="Segoe UI" w:eastAsia="Times New Roman" w:hAnsi="Segoe UI" w:cs="Segoe UI"/>
                <w:b/>
                <w:bCs/>
                <w:color w:val="000000"/>
                <w:szCs w:val="24"/>
              </w:rPr>
            </w:pPr>
            <w:r w:rsidRPr="00B87202">
              <w:rPr>
                <w:rFonts w:ascii="Segoe UI" w:eastAsia="Times New Roman" w:hAnsi="Segoe UI" w:cs="Segoe UI"/>
                <w:b/>
                <w:bCs/>
                <w:color w:val="000000"/>
                <w:szCs w:val="24"/>
              </w:rPr>
              <w:t>018</w:t>
            </w:r>
          </w:p>
        </w:tc>
        <w:tc>
          <w:tcPr>
            <w:tcW w:w="1800" w:type="dxa"/>
            <w:shd w:val="clear" w:color="auto" w:fill="DBE5F1" w:themeFill="accent1" w:themeFillTint="33"/>
            <w:noWrap/>
            <w:hideMark/>
          </w:tcPr>
          <w:p w14:paraId="261117B5" w14:textId="77777777" w:rsidR="00134A17" w:rsidRPr="00B87202" w:rsidRDefault="00134A17" w:rsidP="004743C3">
            <w:pPr>
              <w:spacing w:after="0" w:line="240" w:lineRule="auto"/>
              <w:rPr>
                <w:rFonts w:ascii="Segoe UI" w:eastAsia="Times New Roman" w:hAnsi="Segoe UI" w:cs="Segoe UI"/>
                <w:b/>
                <w:bCs/>
                <w:color w:val="000000"/>
                <w:szCs w:val="24"/>
              </w:rPr>
            </w:pPr>
            <w:r w:rsidRPr="00B87202">
              <w:rPr>
                <w:rFonts w:ascii="Segoe UI" w:eastAsia="Times New Roman" w:hAnsi="Segoe UI" w:cs="Segoe UI"/>
                <w:b/>
                <w:bCs/>
                <w:color w:val="000000"/>
                <w:szCs w:val="24"/>
              </w:rPr>
              <w:t>019</w:t>
            </w:r>
          </w:p>
        </w:tc>
        <w:tc>
          <w:tcPr>
            <w:tcW w:w="1980" w:type="dxa"/>
            <w:shd w:val="clear" w:color="auto" w:fill="DBE5F1" w:themeFill="accent1" w:themeFillTint="33"/>
            <w:noWrap/>
            <w:hideMark/>
          </w:tcPr>
          <w:p w14:paraId="78C74F32" w14:textId="77777777" w:rsidR="00134A17" w:rsidRPr="00B87202" w:rsidRDefault="00134A17" w:rsidP="004743C3">
            <w:pPr>
              <w:spacing w:after="0" w:line="240" w:lineRule="auto"/>
              <w:rPr>
                <w:rFonts w:ascii="Segoe UI" w:eastAsia="Times New Roman" w:hAnsi="Segoe UI" w:cs="Segoe UI"/>
                <w:b/>
                <w:bCs/>
                <w:color w:val="000000"/>
                <w:szCs w:val="24"/>
              </w:rPr>
            </w:pPr>
            <w:r w:rsidRPr="00B87202">
              <w:rPr>
                <w:rFonts w:ascii="Segoe UI" w:eastAsia="Times New Roman" w:hAnsi="Segoe UI" w:cs="Segoe UI"/>
                <w:b/>
                <w:bCs/>
                <w:color w:val="000000"/>
                <w:szCs w:val="24"/>
              </w:rPr>
              <w:t>021</w:t>
            </w:r>
          </w:p>
        </w:tc>
        <w:tc>
          <w:tcPr>
            <w:tcW w:w="2160" w:type="dxa"/>
            <w:shd w:val="clear" w:color="auto" w:fill="DBE5F1" w:themeFill="accent1" w:themeFillTint="33"/>
            <w:noWrap/>
            <w:hideMark/>
          </w:tcPr>
          <w:p w14:paraId="11362635" w14:textId="77777777" w:rsidR="00134A17" w:rsidRPr="00B87202" w:rsidRDefault="00134A17" w:rsidP="004743C3">
            <w:pPr>
              <w:spacing w:after="0" w:line="240" w:lineRule="auto"/>
              <w:rPr>
                <w:rFonts w:ascii="Segoe UI" w:eastAsia="Times New Roman" w:hAnsi="Segoe UI" w:cs="Segoe UI"/>
                <w:b/>
                <w:bCs/>
                <w:color w:val="000000"/>
                <w:szCs w:val="24"/>
              </w:rPr>
            </w:pPr>
            <w:r w:rsidRPr="00B87202">
              <w:rPr>
                <w:rFonts w:ascii="Segoe UI" w:eastAsia="Times New Roman" w:hAnsi="Segoe UI" w:cs="Segoe UI"/>
                <w:b/>
                <w:bCs/>
                <w:color w:val="000000"/>
                <w:szCs w:val="24"/>
              </w:rPr>
              <w:t>024</w:t>
            </w:r>
          </w:p>
        </w:tc>
      </w:tr>
      <w:tr w:rsidR="00134A17" w:rsidRPr="00FE4AE0" w14:paraId="7FA81708" w14:textId="77777777" w:rsidTr="002A4E50">
        <w:trPr>
          <w:cantSplit/>
          <w:trHeight w:val="330"/>
        </w:trPr>
        <w:tc>
          <w:tcPr>
            <w:tcW w:w="1756" w:type="dxa"/>
            <w:noWrap/>
            <w:vAlign w:val="bottom"/>
            <w:hideMark/>
          </w:tcPr>
          <w:p w14:paraId="57FFD3B6"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Acton</w:t>
            </w:r>
          </w:p>
        </w:tc>
        <w:tc>
          <w:tcPr>
            <w:tcW w:w="1967" w:type="dxa"/>
            <w:noWrap/>
            <w:vAlign w:val="bottom"/>
            <w:hideMark/>
          </w:tcPr>
          <w:p w14:paraId="0C69C802"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Andover</w:t>
            </w:r>
          </w:p>
        </w:tc>
        <w:tc>
          <w:tcPr>
            <w:tcW w:w="1800" w:type="dxa"/>
            <w:noWrap/>
            <w:vAlign w:val="bottom"/>
            <w:hideMark/>
          </w:tcPr>
          <w:p w14:paraId="512AB4DD"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Amesbury</w:t>
            </w:r>
          </w:p>
        </w:tc>
        <w:tc>
          <w:tcPr>
            <w:tcW w:w="1980" w:type="dxa"/>
            <w:noWrap/>
            <w:vAlign w:val="bottom"/>
            <w:hideMark/>
          </w:tcPr>
          <w:p w14:paraId="6E696EB4"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Allston</w:t>
            </w:r>
          </w:p>
        </w:tc>
        <w:tc>
          <w:tcPr>
            <w:tcW w:w="2160" w:type="dxa"/>
            <w:noWrap/>
            <w:vAlign w:val="bottom"/>
            <w:hideMark/>
          </w:tcPr>
          <w:p w14:paraId="5DC8E939"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Arlington</w:t>
            </w:r>
          </w:p>
        </w:tc>
      </w:tr>
      <w:tr w:rsidR="00134A17" w:rsidRPr="00FE4AE0" w14:paraId="4BDED1A9" w14:textId="77777777" w:rsidTr="002A4E50">
        <w:trPr>
          <w:cantSplit/>
          <w:trHeight w:val="330"/>
        </w:trPr>
        <w:tc>
          <w:tcPr>
            <w:tcW w:w="1756" w:type="dxa"/>
            <w:noWrap/>
            <w:vAlign w:val="bottom"/>
            <w:hideMark/>
          </w:tcPr>
          <w:p w14:paraId="6E887A40"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Ashland</w:t>
            </w:r>
          </w:p>
        </w:tc>
        <w:tc>
          <w:tcPr>
            <w:tcW w:w="1967" w:type="dxa"/>
            <w:noWrap/>
            <w:vAlign w:val="bottom"/>
            <w:hideMark/>
          </w:tcPr>
          <w:p w14:paraId="04C6DC45"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Billerica</w:t>
            </w:r>
          </w:p>
        </w:tc>
        <w:tc>
          <w:tcPr>
            <w:tcW w:w="1800" w:type="dxa"/>
            <w:noWrap/>
            <w:vAlign w:val="bottom"/>
            <w:hideMark/>
          </w:tcPr>
          <w:p w14:paraId="5BFCEFA6"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Beverly</w:t>
            </w:r>
          </w:p>
        </w:tc>
        <w:tc>
          <w:tcPr>
            <w:tcW w:w="1980" w:type="dxa"/>
            <w:noWrap/>
            <w:vAlign w:val="bottom"/>
            <w:hideMark/>
          </w:tcPr>
          <w:p w14:paraId="11829012"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Boston</w:t>
            </w:r>
          </w:p>
        </w:tc>
        <w:tc>
          <w:tcPr>
            <w:tcW w:w="2160" w:type="dxa"/>
            <w:noWrap/>
            <w:vAlign w:val="bottom"/>
            <w:hideMark/>
          </w:tcPr>
          <w:p w14:paraId="58DDB111"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Arlington Heights</w:t>
            </w:r>
          </w:p>
        </w:tc>
      </w:tr>
      <w:tr w:rsidR="00134A17" w:rsidRPr="00FE4AE0" w14:paraId="5B40C2CF" w14:textId="77777777" w:rsidTr="002A4E50">
        <w:trPr>
          <w:cantSplit/>
          <w:trHeight w:val="330"/>
        </w:trPr>
        <w:tc>
          <w:tcPr>
            <w:tcW w:w="1756" w:type="dxa"/>
            <w:noWrap/>
            <w:vAlign w:val="bottom"/>
            <w:hideMark/>
          </w:tcPr>
          <w:p w14:paraId="3E1E1D3B"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Bedford</w:t>
            </w:r>
          </w:p>
        </w:tc>
        <w:tc>
          <w:tcPr>
            <w:tcW w:w="1967" w:type="dxa"/>
            <w:noWrap/>
            <w:vAlign w:val="bottom"/>
            <w:hideMark/>
          </w:tcPr>
          <w:p w14:paraId="24543C4C"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Burlington</w:t>
            </w:r>
          </w:p>
        </w:tc>
        <w:tc>
          <w:tcPr>
            <w:tcW w:w="1800" w:type="dxa"/>
            <w:noWrap/>
            <w:vAlign w:val="bottom"/>
            <w:hideMark/>
          </w:tcPr>
          <w:p w14:paraId="4E99FD9C"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Boxford</w:t>
            </w:r>
          </w:p>
        </w:tc>
        <w:tc>
          <w:tcPr>
            <w:tcW w:w="1980" w:type="dxa"/>
            <w:noWrap/>
            <w:vAlign w:val="bottom"/>
            <w:hideMark/>
          </w:tcPr>
          <w:p w14:paraId="04A326E3"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Braintree</w:t>
            </w:r>
          </w:p>
        </w:tc>
        <w:tc>
          <w:tcPr>
            <w:tcW w:w="2160" w:type="dxa"/>
            <w:noWrap/>
            <w:vAlign w:val="bottom"/>
            <w:hideMark/>
          </w:tcPr>
          <w:p w14:paraId="02178472"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Auburndale</w:t>
            </w:r>
          </w:p>
        </w:tc>
      </w:tr>
      <w:tr w:rsidR="00134A17" w:rsidRPr="00FE4AE0" w14:paraId="6F5C4CFE" w14:textId="77777777" w:rsidTr="002A4E50">
        <w:trPr>
          <w:cantSplit/>
          <w:trHeight w:val="330"/>
        </w:trPr>
        <w:tc>
          <w:tcPr>
            <w:tcW w:w="1756" w:type="dxa"/>
            <w:noWrap/>
            <w:vAlign w:val="bottom"/>
            <w:hideMark/>
          </w:tcPr>
          <w:p w14:paraId="5E7E5E49"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Bolton</w:t>
            </w:r>
          </w:p>
        </w:tc>
        <w:tc>
          <w:tcPr>
            <w:tcW w:w="1967" w:type="dxa"/>
            <w:noWrap/>
            <w:vAlign w:val="bottom"/>
            <w:hideMark/>
          </w:tcPr>
          <w:p w14:paraId="30F3F442"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Chelmsford</w:t>
            </w:r>
          </w:p>
        </w:tc>
        <w:tc>
          <w:tcPr>
            <w:tcW w:w="1800" w:type="dxa"/>
            <w:noWrap/>
            <w:vAlign w:val="bottom"/>
            <w:hideMark/>
          </w:tcPr>
          <w:p w14:paraId="19EE445F"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Byfield</w:t>
            </w:r>
          </w:p>
        </w:tc>
        <w:tc>
          <w:tcPr>
            <w:tcW w:w="1980" w:type="dxa"/>
            <w:noWrap/>
            <w:vAlign w:val="bottom"/>
            <w:hideMark/>
          </w:tcPr>
          <w:p w14:paraId="64C1B36C"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Brighton</w:t>
            </w:r>
          </w:p>
        </w:tc>
        <w:tc>
          <w:tcPr>
            <w:tcW w:w="2160" w:type="dxa"/>
            <w:noWrap/>
            <w:vAlign w:val="bottom"/>
            <w:hideMark/>
          </w:tcPr>
          <w:p w14:paraId="760D17F0"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Babson Park</w:t>
            </w:r>
          </w:p>
        </w:tc>
      </w:tr>
      <w:tr w:rsidR="00134A17" w:rsidRPr="00FE4AE0" w14:paraId="3DED632B" w14:textId="77777777" w:rsidTr="002A4E50">
        <w:trPr>
          <w:cantSplit/>
          <w:trHeight w:val="330"/>
        </w:trPr>
        <w:tc>
          <w:tcPr>
            <w:tcW w:w="1756" w:type="dxa"/>
            <w:noWrap/>
            <w:vAlign w:val="bottom"/>
            <w:hideMark/>
          </w:tcPr>
          <w:p w14:paraId="4302A163"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Boxborough</w:t>
            </w:r>
          </w:p>
        </w:tc>
        <w:tc>
          <w:tcPr>
            <w:tcW w:w="1967" w:type="dxa"/>
            <w:noWrap/>
            <w:vAlign w:val="bottom"/>
            <w:hideMark/>
          </w:tcPr>
          <w:p w14:paraId="56F62935"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Dracut</w:t>
            </w:r>
          </w:p>
        </w:tc>
        <w:tc>
          <w:tcPr>
            <w:tcW w:w="1800" w:type="dxa"/>
            <w:noWrap/>
            <w:vAlign w:val="bottom"/>
            <w:hideMark/>
          </w:tcPr>
          <w:p w14:paraId="3C97B2B7"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Danvers</w:t>
            </w:r>
          </w:p>
        </w:tc>
        <w:tc>
          <w:tcPr>
            <w:tcW w:w="1980" w:type="dxa"/>
            <w:noWrap/>
            <w:vAlign w:val="bottom"/>
            <w:hideMark/>
          </w:tcPr>
          <w:p w14:paraId="22AFF5DE"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Cambridge</w:t>
            </w:r>
          </w:p>
        </w:tc>
        <w:tc>
          <w:tcPr>
            <w:tcW w:w="2160" w:type="dxa"/>
            <w:noWrap/>
            <w:vAlign w:val="bottom"/>
            <w:hideMark/>
          </w:tcPr>
          <w:p w14:paraId="537801E4"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Belmont</w:t>
            </w:r>
          </w:p>
        </w:tc>
      </w:tr>
      <w:tr w:rsidR="00134A17" w:rsidRPr="00FE4AE0" w14:paraId="36D28509" w14:textId="77777777" w:rsidTr="002A4E50">
        <w:trPr>
          <w:cantSplit/>
          <w:trHeight w:val="330"/>
        </w:trPr>
        <w:tc>
          <w:tcPr>
            <w:tcW w:w="1756" w:type="dxa"/>
            <w:noWrap/>
            <w:vAlign w:val="bottom"/>
            <w:hideMark/>
          </w:tcPr>
          <w:p w14:paraId="57022C35"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Carlisle</w:t>
            </w:r>
          </w:p>
        </w:tc>
        <w:tc>
          <w:tcPr>
            <w:tcW w:w="1967" w:type="dxa"/>
            <w:noWrap/>
            <w:vAlign w:val="bottom"/>
            <w:hideMark/>
          </w:tcPr>
          <w:p w14:paraId="0966C0F4"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Dunstable</w:t>
            </w:r>
          </w:p>
        </w:tc>
        <w:tc>
          <w:tcPr>
            <w:tcW w:w="1800" w:type="dxa"/>
            <w:noWrap/>
            <w:vAlign w:val="bottom"/>
            <w:hideMark/>
          </w:tcPr>
          <w:p w14:paraId="4604FFFF"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Essex</w:t>
            </w:r>
          </w:p>
        </w:tc>
        <w:tc>
          <w:tcPr>
            <w:tcW w:w="1980" w:type="dxa"/>
            <w:noWrap/>
            <w:vAlign w:val="bottom"/>
            <w:hideMark/>
          </w:tcPr>
          <w:p w14:paraId="48DDABAF"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Charlestown</w:t>
            </w:r>
          </w:p>
        </w:tc>
        <w:tc>
          <w:tcPr>
            <w:tcW w:w="2160" w:type="dxa"/>
            <w:noWrap/>
            <w:vAlign w:val="bottom"/>
            <w:hideMark/>
          </w:tcPr>
          <w:p w14:paraId="7B102E70"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Brookline</w:t>
            </w:r>
          </w:p>
        </w:tc>
      </w:tr>
      <w:tr w:rsidR="00134A17" w:rsidRPr="00FE4AE0" w14:paraId="5EFA7C15" w14:textId="77777777" w:rsidTr="002A4E50">
        <w:trPr>
          <w:cantSplit/>
          <w:trHeight w:val="330"/>
        </w:trPr>
        <w:tc>
          <w:tcPr>
            <w:tcW w:w="1756" w:type="dxa"/>
            <w:noWrap/>
            <w:vAlign w:val="bottom"/>
            <w:hideMark/>
          </w:tcPr>
          <w:p w14:paraId="454677F8"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Concord</w:t>
            </w:r>
          </w:p>
        </w:tc>
        <w:tc>
          <w:tcPr>
            <w:tcW w:w="1967" w:type="dxa"/>
            <w:noWrap/>
            <w:vAlign w:val="bottom"/>
            <w:hideMark/>
          </w:tcPr>
          <w:p w14:paraId="3B754CCC"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Georgetown</w:t>
            </w:r>
          </w:p>
        </w:tc>
        <w:tc>
          <w:tcPr>
            <w:tcW w:w="1800" w:type="dxa"/>
            <w:noWrap/>
            <w:vAlign w:val="bottom"/>
            <w:hideMark/>
          </w:tcPr>
          <w:p w14:paraId="1E0FF093"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Gloucester</w:t>
            </w:r>
          </w:p>
        </w:tc>
        <w:tc>
          <w:tcPr>
            <w:tcW w:w="1980" w:type="dxa"/>
            <w:noWrap/>
            <w:vAlign w:val="bottom"/>
            <w:hideMark/>
          </w:tcPr>
          <w:p w14:paraId="648CEF4C"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Chelsea</w:t>
            </w:r>
          </w:p>
        </w:tc>
        <w:tc>
          <w:tcPr>
            <w:tcW w:w="2160" w:type="dxa"/>
            <w:noWrap/>
            <w:vAlign w:val="bottom"/>
            <w:hideMark/>
          </w:tcPr>
          <w:p w14:paraId="0DC523C9"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Brookline Village</w:t>
            </w:r>
          </w:p>
        </w:tc>
      </w:tr>
      <w:tr w:rsidR="00134A17" w:rsidRPr="00FE4AE0" w14:paraId="157A4A01" w14:textId="77777777" w:rsidTr="002A4E50">
        <w:trPr>
          <w:cantSplit/>
          <w:trHeight w:val="330"/>
        </w:trPr>
        <w:tc>
          <w:tcPr>
            <w:tcW w:w="1756" w:type="dxa"/>
            <w:noWrap/>
            <w:vAlign w:val="bottom"/>
            <w:hideMark/>
          </w:tcPr>
          <w:p w14:paraId="4A7715F5" w14:textId="77777777" w:rsidR="00134A17" w:rsidRPr="00B87202" w:rsidRDefault="00134A17" w:rsidP="004743C3">
            <w:pPr>
              <w:spacing w:after="0" w:line="240" w:lineRule="auto"/>
              <w:rPr>
                <w:rFonts w:ascii="Segoe UI" w:eastAsia="Times New Roman" w:hAnsi="Segoe UI" w:cs="Segoe UI"/>
                <w:color w:val="000000"/>
                <w:szCs w:val="24"/>
              </w:rPr>
            </w:pPr>
            <w:proofErr w:type="spellStart"/>
            <w:r w:rsidRPr="00B87202">
              <w:rPr>
                <w:rFonts w:ascii="Segoe UI" w:eastAsia="Times New Roman" w:hAnsi="Segoe UI" w:cs="Segoe UI"/>
                <w:color w:val="000000"/>
                <w:szCs w:val="24"/>
              </w:rPr>
              <w:t>Fayville</w:t>
            </w:r>
            <w:proofErr w:type="spellEnd"/>
          </w:p>
        </w:tc>
        <w:tc>
          <w:tcPr>
            <w:tcW w:w="1967" w:type="dxa"/>
            <w:noWrap/>
            <w:vAlign w:val="bottom"/>
            <w:hideMark/>
          </w:tcPr>
          <w:p w14:paraId="55923A29"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Groveland</w:t>
            </w:r>
          </w:p>
        </w:tc>
        <w:tc>
          <w:tcPr>
            <w:tcW w:w="1800" w:type="dxa"/>
            <w:noWrap/>
            <w:vAlign w:val="bottom"/>
            <w:hideMark/>
          </w:tcPr>
          <w:p w14:paraId="65CE0EC9"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Hamilton</w:t>
            </w:r>
          </w:p>
        </w:tc>
        <w:tc>
          <w:tcPr>
            <w:tcW w:w="1980" w:type="dxa"/>
            <w:noWrap/>
            <w:vAlign w:val="bottom"/>
            <w:hideMark/>
          </w:tcPr>
          <w:p w14:paraId="2D1A1155"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Dorchester</w:t>
            </w:r>
          </w:p>
        </w:tc>
        <w:tc>
          <w:tcPr>
            <w:tcW w:w="2160" w:type="dxa"/>
            <w:noWrap/>
            <w:vAlign w:val="bottom"/>
            <w:hideMark/>
          </w:tcPr>
          <w:p w14:paraId="5C17BB53"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Chestnut Hill</w:t>
            </w:r>
          </w:p>
        </w:tc>
      </w:tr>
      <w:tr w:rsidR="00134A17" w:rsidRPr="00FE4AE0" w14:paraId="3A6D5C1D" w14:textId="77777777" w:rsidTr="002A4E50">
        <w:trPr>
          <w:cantSplit/>
          <w:trHeight w:val="330"/>
        </w:trPr>
        <w:tc>
          <w:tcPr>
            <w:tcW w:w="1756" w:type="dxa"/>
            <w:noWrap/>
            <w:vAlign w:val="bottom"/>
            <w:hideMark/>
          </w:tcPr>
          <w:p w14:paraId="0F75BC97"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Framingham</w:t>
            </w:r>
          </w:p>
        </w:tc>
        <w:tc>
          <w:tcPr>
            <w:tcW w:w="1967" w:type="dxa"/>
            <w:noWrap/>
            <w:vAlign w:val="bottom"/>
            <w:hideMark/>
          </w:tcPr>
          <w:p w14:paraId="32D0B77C"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Haverhill</w:t>
            </w:r>
          </w:p>
        </w:tc>
        <w:tc>
          <w:tcPr>
            <w:tcW w:w="1800" w:type="dxa"/>
            <w:noWrap/>
            <w:vAlign w:val="bottom"/>
            <w:hideMark/>
          </w:tcPr>
          <w:p w14:paraId="0C1BE698"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Hathorne</w:t>
            </w:r>
          </w:p>
        </w:tc>
        <w:tc>
          <w:tcPr>
            <w:tcW w:w="1980" w:type="dxa"/>
            <w:noWrap/>
            <w:vAlign w:val="bottom"/>
            <w:hideMark/>
          </w:tcPr>
          <w:p w14:paraId="256A00D4"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Dorchester Center</w:t>
            </w:r>
          </w:p>
        </w:tc>
        <w:tc>
          <w:tcPr>
            <w:tcW w:w="2160" w:type="dxa"/>
            <w:noWrap/>
            <w:vAlign w:val="bottom"/>
            <w:hideMark/>
          </w:tcPr>
          <w:p w14:paraId="6EAE93EA"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Lexington</w:t>
            </w:r>
          </w:p>
        </w:tc>
      </w:tr>
      <w:tr w:rsidR="00134A17" w:rsidRPr="00FE4AE0" w14:paraId="02D82B9A" w14:textId="77777777" w:rsidTr="002A4E50">
        <w:trPr>
          <w:cantSplit/>
          <w:trHeight w:val="330"/>
        </w:trPr>
        <w:tc>
          <w:tcPr>
            <w:tcW w:w="1756" w:type="dxa"/>
            <w:noWrap/>
            <w:vAlign w:val="bottom"/>
            <w:hideMark/>
          </w:tcPr>
          <w:p w14:paraId="107391CA"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Hanscom AFB</w:t>
            </w:r>
          </w:p>
        </w:tc>
        <w:tc>
          <w:tcPr>
            <w:tcW w:w="1967" w:type="dxa"/>
            <w:noWrap/>
            <w:vAlign w:val="bottom"/>
            <w:hideMark/>
          </w:tcPr>
          <w:p w14:paraId="3CACB046"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Lawrence</w:t>
            </w:r>
          </w:p>
        </w:tc>
        <w:tc>
          <w:tcPr>
            <w:tcW w:w="1800" w:type="dxa"/>
            <w:noWrap/>
            <w:vAlign w:val="bottom"/>
            <w:hideMark/>
          </w:tcPr>
          <w:p w14:paraId="47F3489E"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Ipswich</w:t>
            </w:r>
          </w:p>
        </w:tc>
        <w:tc>
          <w:tcPr>
            <w:tcW w:w="1980" w:type="dxa"/>
            <w:noWrap/>
            <w:vAlign w:val="bottom"/>
            <w:hideMark/>
          </w:tcPr>
          <w:p w14:paraId="5B35B169"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East Boston</w:t>
            </w:r>
          </w:p>
        </w:tc>
        <w:tc>
          <w:tcPr>
            <w:tcW w:w="2160" w:type="dxa"/>
            <w:noWrap/>
            <w:vAlign w:val="bottom"/>
            <w:hideMark/>
          </w:tcPr>
          <w:p w14:paraId="35E3E515"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Needham</w:t>
            </w:r>
          </w:p>
        </w:tc>
      </w:tr>
      <w:tr w:rsidR="00134A17" w:rsidRPr="00FE4AE0" w14:paraId="1CE8A82D" w14:textId="77777777" w:rsidTr="002A4E50">
        <w:trPr>
          <w:cantSplit/>
          <w:trHeight w:val="330"/>
        </w:trPr>
        <w:tc>
          <w:tcPr>
            <w:tcW w:w="1756" w:type="dxa"/>
            <w:noWrap/>
            <w:vAlign w:val="bottom"/>
            <w:hideMark/>
          </w:tcPr>
          <w:p w14:paraId="3A0D65AC"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Holliston</w:t>
            </w:r>
          </w:p>
        </w:tc>
        <w:tc>
          <w:tcPr>
            <w:tcW w:w="1967" w:type="dxa"/>
            <w:noWrap/>
            <w:vAlign w:val="bottom"/>
            <w:hideMark/>
          </w:tcPr>
          <w:p w14:paraId="2F025034"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Lowell</w:t>
            </w:r>
          </w:p>
        </w:tc>
        <w:tc>
          <w:tcPr>
            <w:tcW w:w="1800" w:type="dxa"/>
            <w:noWrap/>
            <w:vAlign w:val="bottom"/>
            <w:hideMark/>
          </w:tcPr>
          <w:p w14:paraId="06CBA7C5"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Lynn</w:t>
            </w:r>
          </w:p>
        </w:tc>
        <w:tc>
          <w:tcPr>
            <w:tcW w:w="1980" w:type="dxa"/>
            <w:noWrap/>
            <w:vAlign w:val="bottom"/>
            <w:hideMark/>
          </w:tcPr>
          <w:p w14:paraId="4DEFF1FA"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East Weymouth</w:t>
            </w:r>
          </w:p>
        </w:tc>
        <w:tc>
          <w:tcPr>
            <w:tcW w:w="2160" w:type="dxa"/>
            <w:noWrap/>
            <w:vAlign w:val="bottom"/>
            <w:hideMark/>
          </w:tcPr>
          <w:p w14:paraId="0922F39E"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Needham Heights</w:t>
            </w:r>
          </w:p>
        </w:tc>
      </w:tr>
      <w:tr w:rsidR="00134A17" w:rsidRPr="00FE4AE0" w14:paraId="2AA46DBD" w14:textId="77777777" w:rsidTr="002A4E50">
        <w:trPr>
          <w:cantSplit/>
          <w:trHeight w:val="330"/>
        </w:trPr>
        <w:tc>
          <w:tcPr>
            <w:tcW w:w="1756" w:type="dxa"/>
            <w:noWrap/>
            <w:vAlign w:val="bottom"/>
            <w:hideMark/>
          </w:tcPr>
          <w:p w14:paraId="24888D88"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Hopedale</w:t>
            </w:r>
          </w:p>
        </w:tc>
        <w:tc>
          <w:tcPr>
            <w:tcW w:w="1967" w:type="dxa"/>
            <w:noWrap/>
            <w:vAlign w:val="bottom"/>
            <w:hideMark/>
          </w:tcPr>
          <w:p w14:paraId="25AA6350"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Merrimac</w:t>
            </w:r>
          </w:p>
        </w:tc>
        <w:tc>
          <w:tcPr>
            <w:tcW w:w="1800" w:type="dxa"/>
            <w:noWrap/>
            <w:vAlign w:val="bottom"/>
            <w:hideMark/>
          </w:tcPr>
          <w:p w14:paraId="14B0C3CA"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Lynnfield</w:t>
            </w:r>
          </w:p>
        </w:tc>
        <w:tc>
          <w:tcPr>
            <w:tcW w:w="1980" w:type="dxa"/>
            <w:noWrap/>
            <w:vAlign w:val="bottom"/>
            <w:hideMark/>
          </w:tcPr>
          <w:p w14:paraId="5C53DA0C"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Everett</w:t>
            </w:r>
          </w:p>
        </w:tc>
        <w:tc>
          <w:tcPr>
            <w:tcW w:w="2160" w:type="dxa"/>
            <w:noWrap/>
            <w:vAlign w:val="bottom"/>
            <w:hideMark/>
          </w:tcPr>
          <w:p w14:paraId="17E0EB02"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New Town</w:t>
            </w:r>
          </w:p>
        </w:tc>
      </w:tr>
      <w:tr w:rsidR="00134A17" w:rsidRPr="00FE4AE0" w14:paraId="77133B60" w14:textId="77777777" w:rsidTr="002A4E50">
        <w:trPr>
          <w:cantSplit/>
          <w:trHeight w:val="330"/>
        </w:trPr>
        <w:tc>
          <w:tcPr>
            <w:tcW w:w="1756" w:type="dxa"/>
            <w:noWrap/>
            <w:vAlign w:val="bottom"/>
            <w:hideMark/>
          </w:tcPr>
          <w:p w14:paraId="0112C67A"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Hopkinton</w:t>
            </w:r>
          </w:p>
        </w:tc>
        <w:tc>
          <w:tcPr>
            <w:tcW w:w="1967" w:type="dxa"/>
            <w:noWrap/>
            <w:vAlign w:val="bottom"/>
            <w:hideMark/>
          </w:tcPr>
          <w:p w14:paraId="4854EF7E"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Methuen</w:t>
            </w:r>
          </w:p>
        </w:tc>
        <w:tc>
          <w:tcPr>
            <w:tcW w:w="1800" w:type="dxa"/>
            <w:noWrap/>
            <w:vAlign w:val="bottom"/>
            <w:hideMark/>
          </w:tcPr>
          <w:p w14:paraId="7D747EF3"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Manchester</w:t>
            </w:r>
          </w:p>
        </w:tc>
        <w:tc>
          <w:tcPr>
            <w:tcW w:w="1980" w:type="dxa"/>
            <w:noWrap/>
            <w:vAlign w:val="bottom"/>
            <w:hideMark/>
          </w:tcPr>
          <w:p w14:paraId="79373532"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Hyde Park</w:t>
            </w:r>
          </w:p>
        </w:tc>
        <w:tc>
          <w:tcPr>
            <w:tcW w:w="2160" w:type="dxa"/>
            <w:noWrap/>
            <w:vAlign w:val="bottom"/>
            <w:hideMark/>
          </w:tcPr>
          <w:p w14:paraId="5600C85B"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Newton</w:t>
            </w:r>
          </w:p>
        </w:tc>
      </w:tr>
      <w:tr w:rsidR="00134A17" w:rsidRPr="00FE4AE0" w14:paraId="17BD5FC9" w14:textId="77777777" w:rsidTr="002A4E50">
        <w:trPr>
          <w:cantSplit/>
          <w:trHeight w:val="330"/>
        </w:trPr>
        <w:tc>
          <w:tcPr>
            <w:tcW w:w="1756" w:type="dxa"/>
            <w:noWrap/>
            <w:vAlign w:val="bottom"/>
            <w:hideMark/>
          </w:tcPr>
          <w:p w14:paraId="37D9B66E"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Hudson</w:t>
            </w:r>
          </w:p>
        </w:tc>
        <w:tc>
          <w:tcPr>
            <w:tcW w:w="1967" w:type="dxa"/>
            <w:noWrap/>
            <w:vAlign w:val="bottom"/>
            <w:hideMark/>
          </w:tcPr>
          <w:p w14:paraId="36386ACF"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North Andover</w:t>
            </w:r>
          </w:p>
        </w:tc>
        <w:tc>
          <w:tcPr>
            <w:tcW w:w="1800" w:type="dxa"/>
            <w:noWrap/>
            <w:vAlign w:val="bottom"/>
            <w:hideMark/>
          </w:tcPr>
          <w:p w14:paraId="2D6660AA"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Marblehead</w:t>
            </w:r>
          </w:p>
        </w:tc>
        <w:tc>
          <w:tcPr>
            <w:tcW w:w="1980" w:type="dxa"/>
            <w:noWrap/>
            <w:vAlign w:val="bottom"/>
            <w:hideMark/>
          </w:tcPr>
          <w:p w14:paraId="4B972EF3"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Jamaica Plain</w:t>
            </w:r>
          </w:p>
        </w:tc>
        <w:tc>
          <w:tcPr>
            <w:tcW w:w="2160" w:type="dxa"/>
            <w:noWrap/>
            <w:vAlign w:val="bottom"/>
            <w:hideMark/>
          </w:tcPr>
          <w:p w14:paraId="01F10E47"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Newton Center</w:t>
            </w:r>
          </w:p>
        </w:tc>
      </w:tr>
      <w:tr w:rsidR="00134A17" w:rsidRPr="00FE4AE0" w14:paraId="0F3EEE77" w14:textId="77777777" w:rsidTr="002A4E50">
        <w:trPr>
          <w:cantSplit/>
          <w:trHeight w:val="330"/>
        </w:trPr>
        <w:tc>
          <w:tcPr>
            <w:tcW w:w="1756" w:type="dxa"/>
            <w:noWrap/>
            <w:vAlign w:val="bottom"/>
            <w:hideMark/>
          </w:tcPr>
          <w:p w14:paraId="57105905"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Lincoln</w:t>
            </w:r>
          </w:p>
        </w:tc>
        <w:tc>
          <w:tcPr>
            <w:tcW w:w="1967" w:type="dxa"/>
            <w:noWrap/>
            <w:vAlign w:val="bottom"/>
            <w:hideMark/>
          </w:tcPr>
          <w:p w14:paraId="2933EBBC"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North Billerica</w:t>
            </w:r>
          </w:p>
        </w:tc>
        <w:tc>
          <w:tcPr>
            <w:tcW w:w="1800" w:type="dxa"/>
            <w:noWrap/>
            <w:vAlign w:val="bottom"/>
            <w:hideMark/>
          </w:tcPr>
          <w:p w14:paraId="47E759BF"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Middleton</w:t>
            </w:r>
          </w:p>
        </w:tc>
        <w:tc>
          <w:tcPr>
            <w:tcW w:w="1980" w:type="dxa"/>
            <w:noWrap/>
            <w:vAlign w:val="bottom"/>
            <w:hideMark/>
          </w:tcPr>
          <w:p w14:paraId="116AD50C"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Malden</w:t>
            </w:r>
          </w:p>
        </w:tc>
        <w:tc>
          <w:tcPr>
            <w:tcW w:w="2160" w:type="dxa"/>
            <w:noWrap/>
            <w:vAlign w:val="bottom"/>
            <w:hideMark/>
          </w:tcPr>
          <w:p w14:paraId="4A7BECF9"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Newton Highlands</w:t>
            </w:r>
          </w:p>
        </w:tc>
      </w:tr>
      <w:tr w:rsidR="00134A17" w:rsidRPr="00FE4AE0" w14:paraId="69B8F318" w14:textId="77777777" w:rsidTr="002A4E50">
        <w:trPr>
          <w:cantSplit/>
          <w:trHeight w:val="330"/>
        </w:trPr>
        <w:tc>
          <w:tcPr>
            <w:tcW w:w="1756" w:type="dxa"/>
            <w:noWrap/>
            <w:vAlign w:val="bottom"/>
            <w:hideMark/>
          </w:tcPr>
          <w:p w14:paraId="7C4F152E"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Marlborough</w:t>
            </w:r>
          </w:p>
        </w:tc>
        <w:tc>
          <w:tcPr>
            <w:tcW w:w="1967" w:type="dxa"/>
            <w:noWrap/>
            <w:vAlign w:val="bottom"/>
            <w:hideMark/>
          </w:tcPr>
          <w:p w14:paraId="00EC90A2"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North Chelmsford</w:t>
            </w:r>
          </w:p>
        </w:tc>
        <w:tc>
          <w:tcPr>
            <w:tcW w:w="1800" w:type="dxa"/>
            <w:noWrap/>
            <w:vAlign w:val="bottom"/>
            <w:hideMark/>
          </w:tcPr>
          <w:p w14:paraId="0E754157"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Nahant</w:t>
            </w:r>
          </w:p>
        </w:tc>
        <w:tc>
          <w:tcPr>
            <w:tcW w:w="1980" w:type="dxa"/>
            <w:noWrap/>
            <w:vAlign w:val="bottom"/>
            <w:hideMark/>
          </w:tcPr>
          <w:p w14:paraId="435859B5"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Mattapan</w:t>
            </w:r>
          </w:p>
        </w:tc>
        <w:tc>
          <w:tcPr>
            <w:tcW w:w="2160" w:type="dxa"/>
            <w:noWrap/>
            <w:vAlign w:val="bottom"/>
            <w:hideMark/>
          </w:tcPr>
          <w:p w14:paraId="2F765573"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Newton Lower Falls</w:t>
            </w:r>
          </w:p>
        </w:tc>
      </w:tr>
      <w:tr w:rsidR="00134A17" w:rsidRPr="00FE4AE0" w14:paraId="3D289690" w14:textId="77777777" w:rsidTr="002A4E50">
        <w:trPr>
          <w:cantSplit/>
          <w:trHeight w:val="330"/>
        </w:trPr>
        <w:tc>
          <w:tcPr>
            <w:tcW w:w="1756" w:type="dxa"/>
            <w:noWrap/>
            <w:vAlign w:val="bottom"/>
            <w:hideMark/>
          </w:tcPr>
          <w:p w14:paraId="7752C325"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Maynard</w:t>
            </w:r>
          </w:p>
        </w:tc>
        <w:tc>
          <w:tcPr>
            <w:tcW w:w="1967" w:type="dxa"/>
            <w:noWrap/>
            <w:vAlign w:val="bottom"/>
            <w:hideMark/>
          </w:tcPr>
          <w:p w14:paraId="3D156411"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North Reading</w:t>
            </w:r>
          </w:p>
        </w:tc>
        <w:tc>
          <w:tcPr>
            <w:tcW w:w="1800" w:type="dxa"/>
            <w:noWrap/>
            <w:vAlign w:val="bottom"/>
            <w:hideMark/>
          </w:tcPr>
          <w:p w14:paraId="78ACC34E"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Newbury</w:t>
            </w:r>
          </w:p>
        </w:tc>
        <w:tc>
          <w:tcPr>
            <w:tcW w:w="1980" w:type="dxa"/>
            <w:noWrap/>
            <w:vAlign w:val="bottom"/>
            <w:hideMark/>
          </w:tcPr>
          <w:p w14:paraId="16CD6D17"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Medford</w:t>
            </w:r>
          </w:p>
        </w:tc>
        <w:tc>
          <w:tcPr>
            <w:tcW w:w="2160" w:type="dxa"/>
            <w:noWrap/>
            <w:vAlign w:val="bottom"/>
            <w:hideMark/>
          </w:tcPr>
          <w:p w14:paraId="61DED89B"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Newton Upper Falls</w:t>
            </w:r>
          </w:p>
        </w:tc>
      </w:tr>
      <w:tr w:rsidR="00134A17" w:rsidRPr="00FE4AE0" w14:paraId="70F05750" w14:textId="77777777" w:rsidTr="002A4E50">
        <w:trPr>
          <w:cantSplit/>
          <w:trHeight w:val="330"/>
        </w:trPr>
        <w:tc>
          <w:tcPr>
            <w:tcW w:w="1756" w:type="dxa"/>
            <w:noWrap/>
            <w:vAlign w:val="bottom"/>
            <w:hideMark/>
          </w:tcPr>
          <w:p w14:paraId="5924ED80"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Mendon</w:t>
            </w:r>
          </w:p>
        </w:tc>
        <w:tc>
          <w:tcPr>
            <w:tcW w:w="1967" w:type="dxa"/>
            <w:noWrap/>
            <w:vAlign w:val="bottom"/>
            <w:hideMark/>
          </w:tcPr>
          <w:p w14:paraId="78B82382"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Nutting Lake</w:t>
            </w:r>
          </w:p>
        </w:tc>
        <w:tc>
          <w:tcPr>
            <w:tcW w:w="1800" w:type="dxa"/>
            <w:noWrap/>
            <w:vAlign w:val="bottom"/>
            <w:hideMark/>
          </w:tcPr>
          <w:p w14:paraId="4B373487"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Newburyport</w:t>
            </w:r>
          </w:p>
        </w:tc>
        <w:tc>
          <w:tcPr>
            <w:tcW w:w="1980" w:type="dxa"/>
            <w:noWrap/>
            <w:vAlign w:val="bottom"/>
            <w:hideMark/>
          </w:tcPr>
          <w:p w14:paraId="1FE6F417"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Melrose</w:t>
            </w:r>
          </w:p>
        </w:tc>
        <w:tc>
          <w:tcPr>
            <w:tcW w:w="2160" w:type="dxa"/>
            <w:noWrap/>
            <w:vAlign w:val="bottom"/>
            <w:hideMark/>
          </w:tcPr>
          <w:p w14:paraId="7A2ED00C"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Newtonville</w:t>
            </w:r>
          </w:p>
        </w:tc>
      </w:tr>
      <w:tr w:rsidR="00134A17" w:rsidRPr="00FE4AE0" w14:paraId="7CABA1C5" w14:textId="77777777" w:rsidTr="002A4E50">
        <w:trPr>
          <w:cantSplit/>
          <w:trHeight w:val="330"/>
        </w:trPr>
        <w:tc>
          <w:tcPr>
            <w:tcW w:w="1756" w:type="dxa"/>
            <w:noWrap/>
            <w:vAlign w:val="bottom"/>
            <w:hideMark/>
          </w:tcPr>
          <w:p w14:paraId="4F529B1D"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Milford</w:t>
            </w:r>
          </w:p>
        </w:tc>
        <w:tc>
          <w:tcPr>
            <w:tcW w:w="1967" w:type="dxa"/>
            <w:noWrap/>
            <w:vAlign w:val="bottom"/>
            <w:hideMark/>
          </w:tcPr>
          <w:p w14:paraId="2F157589"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Pinehurst</w:t>
            </w:r>
          </w:p>
        </w:tc>
        <w:tc>
          <w:tcPr>
            <w:tcW w:w="1800" w:type="dxa"/>
            <w:noWrap/>
            <w:vAlign w:val="bottom"/>
            <w:hideMark/>
          </w:tcPr>
          <w:p w14:paraId="654AE5FA"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Peabody</w:t>
            </w:r>
          </w:p>
        </w:tc>
        <w:tc>
          <w:tcPr>
            <w:tcW w:w="1980" w:type="dxa"/>
            <w:noWrap/>
            <w:vAlign w:val="bottom"/>
            <w:hideMark/>
          </w:tcPr>
          <w:p w14:paraId="0565A687"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Milton</w:t>
            </w:r>
          </w:p>
        </w:tc>
        <w:tc>
          <w:tcPr>
            <w:tcW w:w="2160" w:type="dxa"/>
            <w:noWrap/>
            <w:vAlign w:val="bottom"/>
            <w:hideMark/>
          </w:tcPr>
          <w:p w14:paraId="27B24271" w14:textId="77777777" w:rsidR="00134A17" w:rsidRPr="00B87202" w:rsidRDefault="00134A17" w:rsidP="004743C3">
            <w:pPr>
              <w:spacing w:after="0" w:line="240" w:lineRule="auto"/>
              <w:rPr>
                <w:rFonts w:ascii="Segoe UI" w:eastAsia="Times New Roman" w:hAnsi="Segoe UI" w:cs="Segoe UI"/>
                <w:color w:val="000000"/>
                <w:szCs w:val="24"/>
              </w:rPr>
            </w:pPr>
            <w:proofErr w:type="spellStart"/>
            <w:r w:rsidRPr="00B87202">
              <w:rPr>
                <w:rFonts w:ascii="Segoe UI" w:eastAsia="Times New Roman" w:hAnsi="Segoe UI" w:cs="Segoe UI"/>
                <w:color w:val="000000"/>
                <w:szCs w:val="24"/>
              </w:rPr>
              <w:t>Nonantum</w:t>
            </w:r>
            <w:proofErr w:type="spellEnd"/>
          </w:p>
        </w:tc>
      </w:tr>
      <w:tr w:rsidR="00134A17" w:rsidRPr="00FE4AE0" w14:paraId="321F6006" w14:textId="77777777" w:rsidTr="002A4E50">
        <w:trPr>
          <w:cantSplit/>
          <w:trHeight w:val="330"/>
        </w:trPr>
        <w:tc>
          <w:tcPr>
            <w:tcW w:w="1756" w:type="dxa"/>
            <w:noWrap/>
            <w:vAlign w:val="bottom"/>
            <w:hideMark/>
          </w:tcPr>
          <w:p w14:paraId="5F69EFA9"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Natick</w:t>
            </w:r>
          </w:p>
        </w:tc>
        <w:tc>
          <w:tcPr>
            <w:tcW w:w="1967" w:type="dxa"/>
            <w:noWrap/>
            <w:vAlign w:val="bottom"/>
            <w:hideMark/>
          </w:tcPr>
          <w:p w14:paraId="7E1C1236"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Reading</w:t>
            </w:r>
          </w:p>
        </w:tc>
        <w:tc>
          <w:tcPr>
            <w:tcW w:w="1800" w:type="dxa"/>
            <w:noWrap/>
            <w:vAlign w:val="bottom"/>
            <w:hideMark/>
          </w:tcPr>
          <w:p w14:paraId="15F3B06F"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Prides Crossing</w:t>
            </w:r>
          </w:p>
        </w:tc>
        <w:tc>
          <w:tcPr>
            <w:tcW w:w="1980" w:type="dxa"/>
            <w:noWrap/>
            <w:vAlign w:val="bottom"/>
            <w:hideMark/>
          </w:tcPr>
          <w:p w14:paraId="40C44DE4"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Milton Village</w:t>
            </w:r>
          </w:p>
        </w:tc>
        <w:tc>
          <w:tcPr>
            <w:tcW w:w="2160" w:type="dxa"/>
            <w:noWrap/>
            <w:vAlign w:val="bottom"/>
            <w:hideMark/>
          </w:tcPr>
          <w:p w14:paraId="45ED0D2D"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North Waltham</w:t>
            </w:r>
          </w:p>
        </w:tc>
      </w:tr>
      <w:tr w:rsidR="00134A17" w:rsidRPr="00FE4AE0" w14:paraId="2627A476" w14:textId="77777777" w:rsidTr="002A4E50">
        <w:trPr>
          <w:cantSplit/>
          <w:trHeight w:val="330"/>
        </w:trPr>
        <w:tc>
          <w:tcPr>
            <w:tcW w:w="1756" w:type="dxa"/>
            <w:noWrap/>
            <w:vAlign w:val="bottom"/>
            <w:hideMark/>
          </w:tcPr>
          <w:p w14:paraId="78B39680"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Sherborn</w:t>
            </w:r>
          </w:p>
        </w:tc>
        <w:tc>
          <w:tcPr>
            <w:tcW w:w="1967" w:type="dxa"/>
            <w:noWrap/>
            <w:vAlign w:val="bottom"/>
            <w:hideMark/>
          </w:tcPr>
          <w:p w14:paraId="1CA1A1EA"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Tewksbury</w:t>
            </w:r>
          </w:p>
        </w:tc>
        <w:tc>
          <w:tcPr>
            <w:tcW w:w="1800" w:type="dxa"/>
            <w:noWrap/>
            <w:vAlign w:val="bottom"/>
            <w:hideMark/>
          </w:tcPr>
          <w:p w14:paraId="7FCD59C2"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Rockport</w:t>
            </w:r>
          </w:p>
        </w:tc>
        <w:tc>
          <w:tcPr>
            <w:tcW w:w="1980" w:type="dxa"/>
            <w:noWrap/>
            <w:vAlign w:val="bottom"/>
            <w:hideMark/>
          </w:tcPr>
          <w:p w14:paraId="03F959D2"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North Weymouth</w:t>
            </w:r>
          </w:p>
        </w:tc>
        <w:tc>
          <w:tcPr>
            <w:tcW w:w="2160" w:type="dxa"/>
            <w:noWrap/>
            <w:vAlign w:val="bottom"/>
            <w:hideMark/>
          </w:tcPr>
          <w:p w14:paraId="0FF787F6"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Waban</w:t>
            </w:r>
          </w:p>
        </w:tc>
      </w:tr>
      <w:tr w:rsidR="00134A17" w:rsidRPr="00FE4AE0" w14:paraId="75DB1219" w14:textId="77777777" w:rsidTr="002A4E50">
        <w:trPr>
          <w:cantSplit/>
          <w:trHeight w:val="330"/>
        </w:trPr>
        <w:tc>
          <w:tcPr>
            <w:tcW w:w="1756" w:type="dxa"/>
            <w:noWrap/>
            <w:vAlign w:val="bottom"/>
            <w:hideMark/>
          </w:tcPr>
          <w:p w14:paraId="59DD1044"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Southborough</w:t>
            </w:r>
          </w:p>
        </w:tc>
        <w:tc>
          <w:tcPr>
            <w:tcW w:w="1967" w:type="dxa"/>
            <w:noWrap/>
            <w:vAlign w:val="bottom"/>
            <w:hideMark/>
          </w:tcPr>
          <w:p w14:paraId="10C5F2E6"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Tyngsboro</w:t>
            </w:r>
          </w:p>
        </w:tc>
        <w:tc>
          <w:tcPr>
            <w:tcW w:w="1800" w:type="dxa"/>
            <w:noWrap/>
            <w:vAlign w:val="bottom"/>
            <w:hideMark/>
          </w:tcPr>
          <w:p w14:paraId="15040E24"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Rowley</w:t>
            </w:r>
          </w:p>
        </w:tc>
        <w:tc>
          <w:tcPr>
            <w:tcW w:w="1980" w:type="dxa"/>
            <w:noWrap/>
            <w:vAlign w:val="bottom"/>
            <w:hideMark/>
          </w:tcPr>
          <w:p w14:paraId="579F317A"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Quincy</w:t>
            </w:r>
          </w:p>
        </w:tc>
        <w:tc>
          <w:tcPr>
            <w:tcW w:w="2160" w:type="dxa"/>
            <w:noWrap/>
            <w:vAlign w:val="bottom"/>
            <w:hideMark/>
          </w:tcPr>
          <w:p w14:paraId="1139EA38"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Waltham</w:t>
            </w:r>
          </w:p>
        </w:tc>
      </w:tr>
      <w:tr w:rsidR="00134A17" w:rsidRPr="00FE4AE0" w14:paraId="79E1056A" w14:textId="77777777" w:rsidTr="002A4E50">
        <w:trPr>
          <w:cantSplit/>
          <w:trHeight w:val="330"/>
        </w:trPr>
        <w:tc>
          <w:tcPr>
            <w:tcW w:w="1756" w:type="dxa"/>
            <w:noWrap/>
            <w:vAlign w:val="bottom"/>
            <w:hideMark/>
          </w:tcPr>
          <w:p w14:paraId="70524C47"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Stow</w:t>
            </w:r>
          </w:p>
        </w:tc>
        <w:tc>
          <w:tcPr>
            <w:tcW w:w="1967" w:type="dxa"/>
            <w:noWrap/>
            <w:vAlign w:val="bottom"/>
            <w:hideMark/>
          </w:tcPr>
          <w:p w14:paraId="20454218"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Wakefield</w:t>
            </w:r>
          </w:p>
        </w:tc>
        <w:tc>
          <w:tcPr>
            <w:tcW w:w="1800" w:type="dxa"/>
            <w:noWrap/>
            <w:vAlign w:val="bottom"/>
            <w:hideMark/>
          </w:tcPr>
          <w:p w14:paraId="1C0567C4"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Salem</w:t>
            </w:r>
          </w:p>
        </w:tc>
        <w:tc>
          <w:tcPr>
            <w:tcW w:w="1980" w:type="dxa"/>
            <w:noWrap/>
            <w:vAlign w:val="bottom"/>
            <w:hideMark/>
          </w:tcPr>
          <w:p w14:paraId="166A83E7" w14:textId="77777777" w:rsidR="00134A17" w:rsidRPr="00B87202" w:rsidRDefault="00134A17" w:rsidP="004743C3">
            <w:pPr>
              <w:spacing w:after="0" w:line="240" w:lineRule="auto"/>
              <w:rPr>
                <w:rFonts w:ascii="Segoe UI" w:eastAsia="Times New Roman" w:hAnsi="Segoe UI" w:cs="Segoe UI"/>
                <w:color w:val="000000"/>
                <w:szCs w:val="24"/>
              </w:rPr>
            </w:pPr>
            <w:proofErr w:type="spellStart"/>
            <w:r w:rsidRPr="00B87202">
              <w:rPr>
                <w:rFonts w:ascii="Segoe UI" w:eastAsia="Times New Roman" w:hAnsi="Segoe UI" w:cs="Segoe UI"/>
                <w:color w:val="000000"/>
                <w:szCs w:val="24"/>
              </w:rPr>
              <w:t>Readville</w:t>
            </w:r>
            <w:proofErr w:type="spellEnd"/>
          </w:p>
        </w:tc>
        <w:tc>
          <w:tcPr>
            <w:tcW w:w="2160" w:type="dxa"/>
            <w:noWrap/>
            <w:vAlign w:val="bottom"/>
            <w:hideMark/>
          </w:tcPr>
          <w:p w14:paraId="0F52E327"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Watertown</w:t>
            </w:r>
          </w:p>
        </w:tc>
      </w:tr>
      <w:tr w:rsidR="00134A17" w:rsidRPr="00FE4AE0" w14:paraId="114BF772" w14:textId="77777777" w:rsidTr="002A4E50">
        <w:trPr>
          <w:cantSplit/>
          <w:trHeight w:val="330"/>
        </w:trPr>
        <w:tc>
          <w:tcPr>
            <w:tcW w:w="1756" w:type="dxa"/>
            <w:noWrap/>
            <w:vAlign w:val="bottom"/>
            <w:hideMark/>
          </w:tcPr>
          <w:p w14:paraId="4899A0D4"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lastRenderedPageBreak/>
              <w:t>Sudbury</w:t>
            </w:r>
          </w:p>
        </w:tc>
        <w:tc>
          <w:tcPr>
            <w:tcW w:w="1967" w:type="dxa"/>
            <w:noWrap/>
            <w:vAlign w:val="bottom"/>
            <w:hideMark/>
          </w:tcPr>
          <w:p w14:paraId="48BBBF74"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West Boxford</w:t>
            </w:r>
          </w:p>
        </w:tc>
        <w:tc>
          <w:tcPr>
            <w:tcW w:w="1800" w:type="dxa"/>
            <w:noWrap/>
            <w:vAlign w:val="bottom"/>
            <w:hideMark/>
          </w:tcPr>
          <w:p w14:paraId="65ACA832"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Salisbury</w:t>
            </w:r>
          </w:p>
        </w:tc>
        <w:tc>
          <w:tcPr>
            <w:tcW w:w="1980" w:type="dxa"/>
            <w:noWrap/>
            <w:vAlign w:val="bottom"/>
            <w:hideMark/>
          </w:tcPr>
          <w:p w14:paraId="2BBD64F3"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Revere</w:t>
            </w:r>
          </w:p>
        </w:tc>
        <w:tc>
          <w:tcPr>
            <w:tcW w:w="2160" w:type="dxa"/>
            <w:noWrap/>
            <w:vAlign w:val="bottom"/>
            <w:hideMark/>
          </w:tcPr>
          <w:p w14:paraId="1BD68F81"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Waverley</w:t>
            </w:r>
          </w:p>
        </w:tc>
      </w:tr>
      <w:tr w:rsidR="00134A17" w:rsidRPr="00FE4AE0" w14:paraId="00713BB7" w14:textId="77777777" w:rsidTr="002A4E50">
        <w:trPr>
          <w:cantSplit/>
          <w:trHeight w:val="330"/>
        </w:trPr>
        <w:tc>
          <w:tcPr>
            <w:tcW w:w="1756" w:type="dxa"/>
            <w:noWrap/>
            <w:vAlign w:val="bottom"/>
            <w:hideMark/>
          </w:tcPr>
          <w:p w14:paraId="2A609101"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Wayland</w:t>
            </w:r>
          </w:p>
        </w:tc>
        <w:tc>
          <w:tcPr>
            <w:tcW w:w="1967" w:type="dxa"/>
            <w:noWrap/>
            <w:vAlign w:val="bottom"/>
            <w:hideMark/>
          </w:tcPr>
          <w:p w14:paraId="55A79CDE"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Westford</w:t>
            </w:r>
          </w:p>
        </w:tc>
        <w:tc>
          <w:tcPr>
            <w:tcW w:w="1800" w:type="dxa"/>
            <w:noWrap/>
            <w:vAlign w:val="bottom"/>
            <w:hideMark/>
          </w:tcPr>
          <w:p w14:paraId="1A39D1C2"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Saugus</w:t>
            </w:r>
          </w:p>
        </w:tc>
        <w:tc>
          <w:tcPr>
            <w:tcW w:w="1980" w:type="dxa"/>
            <w:noWrap/>
            <w:vAlign w:val="bottom"/>
            <w:hideMark/>
          </w:tcPr>
          <w:p w14:paraId="3730C28A"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Roslindale</w:t>
            </w:r>
          </w:p>
        </w:tc>
        <w:tc>
          <w:tcPr>
            <w:tcW w:w="2160" w:type="dxa"/>
            <w:noWrap/>
            <w:vAlign w:val="bottom"/>
            <w:hideMark/>
          </w:tcPr>
          <w:p w14:paraId="64A3F169"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Wellesley</w:t>
            </w:r>
          </w:p>
        </w:tc>
      </w:tr>
      <w:tr w:rsidR="00134A17" w:rsidRPr="00FE4AE0" w14:paraId="4C16C801" w14:textId="77777777" w:rsidTr="002A4E50">
        <w:trPr>
          <w:cantSplit/>
          <w:trHeight w:val="330"/>
        </w:trPr>
        <w:tc>
          <w:tcPr>
            <w:tcW w:w="1756" w:type="dxa"/>
            <w:noWrap/>
            <w:vAlign w:val="bottom"/>
            <w:hideMark/>
          </w:tcPr>
          <w:p w14:paraId="130C848B"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Woodville</w:t>
            </w:r>
          </w:p>
        </w:tc>
        <w:tc>
          <w:tcPr>
            <w:tcW w:w="1967" w:type="dxa"/>
            <w:noWrap/>
            <w:vAlign w:val="bottom"/>
            <w:hideMark/>
          </w:tcPr>
          <w:p w14:paraId="624590A7"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Wilmington</w:t>
            </w:r>
          </w:p>
        </w:tc>
        <w:tc>
          <w:tcPr>
            <w:tcW w:w="1800" w:type="dxa"/>
            <w:noWrap/>
            <w:vAlign w:val="bottom"/>
            <w:hideMark/>
          </w:tcPr>
          <w:p w14:paraId="21CB38F0"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South Hamilton</w:t>
            </w:r>
          </w:p>
        </w:tc>
        <w:tc>
          <w:tcPr>
            <w:tcW w:w="1980" w:type="dxa"/>
            <w:noWrap/>
            <w:vAlign w:val="bottom"/>
            <w:hideMark/>
          </w:tcPr>
          <w:p w14:paraId="0C541E51"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Roxbury</w:t>
            </w:r>
          </w:p>
        </w:tc>
        <w:tc>
          <w:tcPr>
            <w:tcW w:w="2160" w:type="dxa"/>
            <w:noWrap/>
            <w:vAlign w:val="bottom"/>
            <w:hideMark/>
          </w:tcPr>
          <w:p w14:paraId="121BB5B6"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Wellesley Hills</w:t>
            </w:r>
          </w:p>
        </w:tc>
      </w:tr>
      <w:tr w:rsidR="00134A17" w:rsidRPr="00FE4AE0" w14:paraId="32211CBD" w14:textId="77777777" w:rsidTr="002A4E50">
        <w:trPr>
          <w:cantSplit/>
          <w:trHeight w:val="330"/>
        </w:trPr>
        <w:tc>
          <w:tcPr>
            <w:tcW w:w="1756" w:type="dxa"/>
            <w:noWrap/>
            <w:vAlign w:val="bottom"/>
            <w:hideMark/>
          </w:tcPr>
          <w:p w14:paraId="2103B3BE" w14:textId="551C6D79" w:rsidR="00134A17" w:rsidRPr="00B87202" w:rsidRDefault="002A4E50" w:rsidP="004743C3">
            <w:pPr>
              <w:spacing w:after="0" w:line="240" w:lineRule="auto"/>
              <w:rPr>
                <w:rFonts w:ascii="Segoe UI" w:eastAsia="Times New Roman" w:hAnsi="Segoe UI" w:cs="Segoe UI"/>
                <w:color w:val="000000"/>
                <w:szCs w:val="24"/>
              </w:rPr>
            </w:pPr>
            <w:r>
              <w:rPr>
                <w:rFonts w:ascii="Segoe UI" w:eastAsia="Times New Roman" w:hAnsi="Segoe UI" w:cs="Segoe UI"/>
                <w:color w:val="000000"/>
                <w:szCs w:val="24"/>
              </w:rPr>
              <w:t>n/a</w:t>
            </w:r>
          </w:p>
        </w:tc>
        <w:tc>
          <w:tcPr>
            <w:tcW w:w="1967" w:type="dxa"/>
            <w:noWrap/>
            <w:vAlign w:val="bottom"/>
            <w:hideMark/>
          </w:tcPr>
          <w:p w14:paraId="261350A6"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Winchester</w:t>
            </w:r>
          </w:p>
        </w:tc>
        <w:tc>
          <w:tcPr>
            <w:tcW w:w="1800" w:type="dxa"/>
            <w:noWrap/>
            <w:vAlign w:val="bottom"/>
            <w:hideMark/>
          </w:tcPr>
          <w:p w14:paraId="4E09B4DD"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Swampscott</w:t>
            </w:r>
          </w:p>
        </w:tc>
        <w:tc>
          <w:tcPr>
            <w:tcW w:w="1980" w:type="dxa"/>
            <w:noWrap/>
            <w:vAlign w:val="bottom"/>
            <w:hideMark/>
          </w:tcPr>
          <w:p w14:paraId="656C63D7"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Roxbury Crossing</w:t>
            </w:r>
          </w:p>
        </w:tc>
        <w:tc>
          <w:tcPr>
            <w:tcW w:w="2160" w:type="dxa"/>
            <w:noWrap/>
            <w:vAlign w:val="bottom"/>
            <w:hideMark/>
          </w:tcPr>
          <w:p w14:paraId="0A3F1BFB" w14:textId="77777777" w:rsidR="00134A17" w:rsidRPr="00B87202" w:rsidRDefault="00134A17" w:rsidP="004743C3">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West Newton</w:t>
            </w:r>
          </w:p>
        </w:tc>
      </w:tr>
      <w:tr w:rsidR="002A4E50" w:rsidRPr="00FE4AE0" w14:paraId="596C29BA" w14:textId="77777777" w:rsidTr="002A4E50">
        <w:trPr>
          <w:cantSplit/>
          <w:trHeight w:val="330"/>
        </w:trPr>
        <w:tc>
          <w:tcPr>
            <w:tcW w:w="1756" w:type="dxa"/>
            <w:noWrap/>
            <w:hideMark/>
          </w:tcPr>
          <w:p w14:paraId="3B584D1C" w14:textId="17BA085A" w:rsidR="002A4E50" w:rsidRPr="00B87202" w:rsidRDefault="002A4E50" w:rsidP="002A4E50">
            <w:pPr>
              <w:spacing w:after="0" w:line="240" w:lineRule="auto"/>
              <w:rPr>
                <w:rFonts w:ascii="Segoe UI" w:eastAsia="Times New Roman" w:hAnsi="Segoe UI" w:cs="Segoe UI"/>
                <w:color w:val="000000"/>
                <w:szCs w:val="24"/>
              </w:rPr>
            </w:pPr>
            <w:r w:rsidRPr="00E10ED9">
              <w:rPr>
                <w:rFonts w:ascii="Segoe UI" w:eastAsia="Times New Roman" w:hAnsi="Segoe UI" w:cs="Segoe UI"/>
                <w:color w:val="000000"/>
                <w:szCs w:val="24"/>
              </w:rPr>
              <w:t>n/a</w:t>
            </w:r>
          </w:p>
        </w:tc>
        <w:tc>
          <w:tcPr>
            <w:tcW w:w="1967" w:type="dxa"/>
            <w:noWrap/>
            <w:vAlign w:val="bottom"/>
            <w:hideMark/>
          </w:tcPr>
          <w:p w14:paraId="45930BD4" w14:textId="77777777" w:rsidR="002A4E50" w:rsidRPr="00B87202" w:rsidRDefault="002A4E50" w:rsidP="002A4E50">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Woburn</w:t>
            </w:r>
          </w:p>
        </w:tc>
        <w:tc>
          <w:tcPr>
            <w:tcW w:w="1800" w:type="dxa"/>
            <w:noWrap/>
            <w:vAlign w:val="bottom"/>
            <w:hideMark/>
          </w:tcPr>
          <w:p w14:paraId="3539A9FE" w14:textId="77777777" w:rsidR="002A4E50" w:rsidRPr="00B87202" w:rsidRDefault="002A4E50" w:rsidP="002A4E50">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Topsfield</w:t>
            </w:r>
          </w:p>
        </w:tc>
        <w:tc>
          <w:tcPr>
            <w:tcW w:w="1980" w:type="dxa"/>
            <w:noWrap/>
            <w:vAlign w:val="bottom"/>
            <w:hideMark/>
          </w:tcPr>
          <w:p w14:paraId="003B5749" w14:textId="77777777" w:rsidR="002A4E50" w:rsidRPr="00B87202" w:rsidRDefault="002A4E50" w:rsidP="002A4E50">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Somerville</w:t>
            </w:r>
          </w:p>
        </w:tc>
        <w:tc>
          <w:tcPr>
            <w:tcW w:w="2160" w:type="dxa"/>
            <w:noWrap/>
            <w:vAlign w:val="bottom"/>
            <w:hideMark/>
          </w:tcPr>
          <w:p w14:paraId="7F902F1B" w14:textId="77777777" w:rsidR="002A4E50" w:rsidRPr="00B87202" w:rsidRDefault="002A4E50" w:rsidP="002A4E50">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Weston</w:t>
            </w:r>
          </w:p>
        </w:tc>
      </w:tr>
      <w:tr w:rsidR="002A4E50" w:rsidRPr="00FE4AE0" w14:paraId="4E6D03BD" w14:textId="77777777" w:rsidTr="002A4E50">
        <w:trPr>
          <w:cantSplit/>
          <w:trHeight w:val="330"/>
        </w:trPr>
        <w:tc>
          <w:tcPr>
            <w:tcW w:w="1756" w:type="dxa"/>
            <w:noWrap/>
            <w:hideMark/>
          </w:tcPr>
          <w:p w14:paraId="2589A3A8" w14:textId="56DF1147" w:rsidR="002A4E50" w:rsidRPr="00B87202" w:rsidRDefault="002A4E50" w:rsidP="002A4E50">
            <w:pPr>
              <w:spacing w:after="0" w:line="240" w:lineRule="auto"/>
              <w:rPr>
                <w:rFonts w:ascii="Segoe UI" w:eastAsia="Times New Roman" w:hAnsi="Segoe UI" w:cs="Segoe UI"/>
                <w:color w:val="000000"/>
                <w:szCs w:val="24"/>
              </w:rPr>
            </w:pPr>
            <w:r w:rsidRPr="00E10ED9">
              <w:rPr>
                <w:rFonts w:ascii="Segoe UI" w:eastAsia="Times New Roman" w:hAnsi="Segoe UI" w:cs="Segoe UI"/>
                <w:color w:val="000000"/>
                <w:szCs w:val="24"/>
              </w:rPr>
              <w:t>n/a</w:t>
            </w:r>
          </w:p>
        </w:tc>
        <w:tc>
          <w:tcPr>
            <w:tcW w:w="1967" w:type="dxa"/>
            <w:noWrap/>
            <w:hideMark/>
          </w:tcPr>
          <w:p w14:paraId="2C582AC4" w14:textId="6A4FF43E" w:rsidR="002A4E50" w:rsidRPr="00B87202" w:rsidRDefault="002A4E50" w:rsidP="002A4E50">
            <w:pPr>
              <w:spacing w:after="0" w:line="240" w:lineRule="auto"/>
              <w:rPr>
                <w:rFonts w:ascii="Segoe UI" w:eastAsia="Times New Roman" w:hAnsi="Segoe UI" w:cs="Segoe UI"/>
                <w:color w:val="000000"/>
                <w:szCs w:val="24"/>
              </w:rPr>
            </w:pPr>
            <w:r w:rsidRPr="00E76672">
              <w:rPr>
                <w:rFonts w:ascii="Segoe UI" w:eastAsia="Times New Roman" w:hAnsi="Segoe UI" w:cs="Segoe UI"/>
                <w:color w:val="000000"/>
                <w:szCs w:val="24"/>
              </w:rPr>
              <w:t>n/a</w:t>
            </w:r>
          </w:p>
        </w:tc>
        <w:tc>
          <w:tcPr>
            <w:tcW w:w="1800" w:type="dxa"/>
            <w:noWrap/>
            <w:vAlign w:val="bottom"/>
            <w:hideMark/>
          </w:tcPr>
          <w:p w14:paraId="4D6D66A9" w14:textId="77777777" w:rsidR="002A4E50" w:rsidRPr="00B87202" w:rsidRDefault="002A4E50" w:rsidP="002A4E50">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Wenham</w:t>
            </w:r>
          </w:p>
        </w:tc>
        <w:tc>
          <w:tcPr>
            <w:tcW w:w="1980" w:type="dxa"/>
            <w:noWrap/>
            <w:vAlign w:val="bottom"/>
            <w:hideMark/>
          </w:tcPr>
          <w:p w14:paraId="790849D7" w14:textId="77777777" w:rsidR="002A4E50" w:rsidRPr="00B87202" w:rsidRDefault="002A4E50" w:rsidP="002A4E50">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South Boston</w:t>
            </w:r>
          </w:p>
        </w:tc>
        <w:tc>
          <w:tcPr>
            <w:tcW w:w="2160" w:type="dxa"/>
            <w:noWrap/>
            <w:hideMark/>
          </w:tcPr>
          <w:p w14:paraId="4E05C540" w14:textId="6D238BC7" w:rsidR="002A4E50" w:rsidRPr="00B87202" w:rsidRDefault="002A4E50" w:rsidP="002A4E50">
            <w:pPr>
              <w:spacing w:after="0" w:line="240" w:lineRule="auto"/>
              <w:rPr>
                <w:rFonts w:ascii="Segoe UI" w:eastAsia="Times New Roman" w:hAnsi="Segoe UI" w:cs="Segoe UI"/>
                <w:color w:val="000000"/>
                <w:szCs w:val="24"/>
              </w:rPr>
            </w:pPr>
            <w:r w:rsidRPr="002415DB">
              <w:rPr>
                <w:rFonts w:ascii="Segoe UI" w:eastAsia="Times New Roman" w:hAnsi="Segoe UI" w:cs="Segoe UI"/>
                <w:color w:val="000000"/>
                <w:szCs w:val="24"/>
              </w:rPr>
              <w:t>n/a</w:t>
            </w:r>
          </w:p>
        </w:tc>
      </w:tr>
      <w:tr w:rsidR="002A4E50" w:rsidRPr="00FE4AE0" w14:paraId="63E66FE3" w14:textId="77777777" w:rsidTr="002A4E50">
        <w:trPr>
          <w:cantSplit/>
          <w:trHeight w:val="330"/>
        </w:trPr>
        <w:tc>
          <w:tcPr>
            <w:tcW w:w="1756" w:type="dxa"/>
            <w:noWrap/>
            <w:hideMark/>
          </w:tcPr>
          <w:p w14:paraId="47353B2F" w14:textId="46A6AD8E" w:rsidR="002A4E50" w:rsidRPr="00B87202" w:rsidRDefault="002A4E50" w:rsidP="002A4E50">
            <w:pPr>
              <w:spacing w:after="0" w:line="240" w:lineRule="auto"/>
              <w:rPr>
                <w:rFonts w:ascii="Segoe UI" w:eastAsia="Times New Roman" w:hAnsi="Segoe UI" w:cs="Segoe UI"/>
                <w:color w:val="000000"/>
                <w:szCs w:val="24"/>
              </w:rPr>
            </w:pPr>
            <w:r w:rsidRPr="00E10ED9">
              <w:rPr>
                <w:rFonts w:ascii="Segoe UI" w:eastAsia="Times New Roman" w:hAnsi="Segoe UI" w:cs="Segoe UI"/>
                <w:color w:val="000000"/>
                <w:szCs w:val="24"/>
              </w:rPr>
              <w:t>n/a</w:t>
            </w:r>
          </w:p>
        </w:tc>
        <w:tc>
          <w:tcPr>
            <w:tcW w:w="1967" w:type="dxa"/>
            <w:noWrap/>
            <w:hideMark/>
          </w:tcPr>
          <w:p w14:paraId="602C4586" w14:textId="1859ECC8" w:rsidR="002A4E50" w:rsidRPr="00B87202" w:rsidRDefault="002A4E50" w:rsidP="002A4E50">
            <w:pPr>
              <w:spacing w:after="0" w:line="240" w:lineRule="auto"/>
              <w:rPr>
                <w:rFonts w:ascii="Segoe UI" w:eastAsia="Times New Roman" w:hAnsi="Segoe UI" w:cs="Segoe UI"/>
                <w:color w:val="000000"/>
                <w:szCs w:val="24"/>
              </w:rPr>
            </w:pPr>
            <w:r w:rsidRPr="00E76672">
              <w:rPr>
                <w:rFonts w:ascii="Segoe UI" w:eastAsia="Times New Roman" w:hAnsi="Segoe UI" w:cs="Segoe UI"/>
                <w:color w:val="000000"/>
                <w:szCs w:val="24"/>
              </w:rPr>
              <w:t>n/a</w:t>
            </w:r>
          </w:p>
        </w:tc>
        <w:tc>
          <w:tcPr>
            <w:tcW w:w="1800" w:type="dxa"/>
            <w:noWrap/>
            <w:vAlign w:val="bottom"/>
            <w:hideMark/>
          </w:tcPr>
          <w:p w14:paraId="1D742283" w14:textId="77777777" w:rsidR="002A4E50" w:rsidRPr="00B87202" w:rsidRDefault="002A4E50" w:rsidP="002A4E50">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West Newbury</w:t>
            </w:r>
          </w:p>
        </w:tc>
        <w:tc>
          <w:tcPr>
            <w:tcW w:w="1980" w:type="dxa"/>
            <w:noWrap/>
            <w:vAlign w:val="bottom"/>
            <w:hideMark/>
          </w:tcPr>
          <w:p w14:paraId="0B5CC699" w14:textId="77777777" w:rsidR="002A4E50" w:rsidRPr="00B87202" w:rsidRDefault="002A4E50" w:rsidP="002A4E50">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South Weymouth</w:t>
            </w:r>
          </w:p>
        </w:tc>
        <w:tc>
          <w:tcPr>
            <w:tcW w:w="2160" w:type="dxa"/>
            <w:noWrap/>
            <w:hideMark/>
          </w:tcPr>
          <w:p w14:paraId="013B883E" w14:textId="07B63BEB" w:rsidR="002A4E50" w:rsidRPr="00B87202" w:rsidRDefault="002A4E50" w:rsidP="002A4E50">
            <w:pPr>
              <w:spacing w:after="0" w:line="240" w:lineRule="auto"/>
              <w:rPr>
                <w:rFonts w:ascii="Segoe UI" w:eastAsia="Times New Roman" w:hAnsi="Segoe UI" w:cs="Segoe UI"/>
                <w:color w:val="000000"/>
                <w:szCs w:val="24"/>
              </w:rPr>
            </w:pPr>
            <w:r w:rsidRPr="002415DB">
              <w:rPr>
                <w:rFonts w:ascii="Segoe UI" w:eastAsia="Times New Roman" w:hAnsi="Segoe UI" w:cs="Segoe UI"/>
                <w:color w:val="000000"/>
                <w:szCs w:val="24"/>
              </w:rPr>
              <w:t>n/a</w:t>
            </w:r>
          </w:p>
        </w:tc>
      </w:tr>
      <w:tr w:rsidR="002A4E50" w:rsidRPr="00FE4AE0" w14:paraId="0B06CA2B" w14:textId="77777777" w:rsidTr="002A4E50">
        <w:trPr>
          <w:cantSplit/>
          <w:trHeight w:val="330"/>
        </w:trPr>
        <w:tc>
          <w:tcPr>
            <w:tcW w:w="1756" w:type="dxa"/>
            <w:noWrap/>
            <w:hideMark/>
          </w:tcPr>
          <w:p w14:paraId="1A5F4E9B" w14:textId="035CF57C" w:rsidR="002A4E50" w:rsidRPr="00B87202" w:rsidRDefault="002A4E50" w:rsidP="002A4E50">
            <w:pPr>
              <w:spacing w:after="0" w:line="240" w:lineRule="auto"/>
              <w:rPr>
                <w:rFonts w:ascii="Segoe UI" w:eastAsia="Times New Roman" w:hAnsi="Segoe UI" w:cs="Segoe UI"/>
                <w:color w:val="000000"/>
                <w:szCs w:val="24"/>
              </w:rPr>
            </w:pPr>
            <w:r w:rsidRPr="00E10ED9">
              <w:rPr>
                <w:rFonts w:ascii="Segoe UI" w:eastAsia="Times New Roman" w:hAnsi="Segoe UI" w:cs="Segoe UI"/>
                <w:color w:val="000000"/>
                <w:szCs w:val="24"/>
              </w:rPr>
              <w:t>n/a</w:t>
            </w:r>
          </w:p>
        </w:tc>
        <w:tc>
          <w:tcPr>
            <w:tcW w:w="1967" w:type="dxa"/>
            <w:noWrap/>
            <w:hideMark/>
          </w:tcPr>
          <w:p w14:paraId="555747E8" w14:textId="4CDD6A9B" w:rsidR="002A4E50" w:rsidRPr="00B87202" w:rsidRDefault="002A4E50" w:rsidP="002A4E50">
            <w:pPr>
              <w:spacing w:after="0" w:line="240" w:lineRule="auto"/>
              <w:rPr>
                <w:rFonts w:ascii="Segoe UI" w:eastAsia="Times New Roman" w:hAnsi="Segoe UI" w:cs="Segoe UI"/>
                <w:color w:val="000000"/>
                <w:szCs w:val="24"/>
              </w:rPr>
            </w:pPr>
            <w:r w:rsidRPr="00E76672">
              <w:rPr>
                <w:rFonts w:ascii="Segoe UI" w:eastAsia="Times New Roman" w:hAnsi="Segoe UI" w:cs="Segoe UI"/>
                <w:color w:val="000000"/>
                <w:szCs w:val="24"/>
              </w:rPr>
              <w:t>n/a</w:t>
            </w:r>
          </w:p>
        </w:tc>
        <w:tc>
          <w:tcPr>
            <w:tcW w:w="1800" w:type="dxa"/>
            <w:noWrap/>
            <w:hideMark/>
          </w:tcPr>
          <w:p w14:paraId="106E6095" w14:textId="2384F4C5" w:rsidR="002A4E50" w:rsidRPr="00B87202" w:rsidRDefault="002A4E50" w:rsidP="002A4E50">
            <w:pPr>
              <w:spacing w:after="0" w:line="240" w:lineRule="auto"/>
              <w:rPr>
                <w:rFonts w:ascii="Segoe UI" w:eastAsia="Times New Roman" w:hAnsi="Segoe UI" w:cs="Segoe UI"/>
                <w:color w:val="000000"/>
                <w:szCs w:val="24"/>
              </w:rPr>
            </w:pPr>
            <w:r w:rsidRPr="00E5219C">
              <w:rPr>
                <w:rFonts w:ascii="Segoe UI" w:eastAsia="Times New Roman" w:hAnsi="Segoe UI" w:cs="Segoe UI"/>
                <w:color w:val="000000"/>
                <w:szCs w:val="24"/>
              </w:rPr>
              <w:t>n/a</w:t>
            </w:r>
          </w:p>
        </w:tc>
        <w:tc>
          <w:tcPr>
            <w:tcW w:w="1980" w:type="dxa"/>
            <w:noWrap/>
            <w:vAlign w:val="bottom"/>
            <w:hideMark/>
          </w:tcPr>
          <w:p w14:paraId="757BEAAC" w14:textId="77777777" w:rsidR="002A4E50" w:rsidRPr="00B87202" w:rsidRDefault="002A4E50" w:rsidP="002A4E50">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Stoneham</w:t>
            </w:r>
          </w:p>
        </w:tc>
        <w:tc>
          <w:tcPr>
            <w:tcW w:w="2160" w:type="dxa"/>
            <w:noWrap/>
            <w:hideMark/>
          </w:tcPr>
          <w:p w14:paraId="2DE6D1AE" w14:textId="75256C20" w:rsidR="002A4E50" w:rsidRPr="00B87202" w:rsidRDefault="002A4E50" w:rsidP="002A4E50">
            <w:pPr>
              <w:spacing w:after="0" w:line="240" w:lineRule="auto"/>
              <w:rPr>
                <w:rFonts w:ascii="Segoe UI" w:eastAsia="Times New Roman" w:hAnsi="Segoe UI" w:cs="Segoe UI"/>
                <w:color w:val="000000"/>
                <w:szCs w:val="24"/>
              </w:rPr>
            </w:pPr>
            <w:r w:rsidRPr="002415DB">
              <w:rPr>
                <w:rFonts w:ascii="Segoe UI" w:eastAsia="Times New Roman" w:hAnsi="Segoe UI" w:cs="Segoe UI"/>
                <w:color w:val="000000"/>
                <w:szCs w:val="24"/>
              </w:rPr>
              <w:t>n/a</w:t>
            </w:r>
          </w:p>
        </w:tc>
      </w:tr>
      <w:tr w:rsidR="002A4E50" w:rsidRPr="00FE4AE0" w14:paraId="083ACE3D" w14:textId="77777777" w:rsidTr="002A4E50">
        <w:trPr>
          <w:cantSplit/>
          <w:trHeight w:val="330"/>
        </w:trPr>
        <w:tc>
          <w:tcPr>
            <w:tcW w:w="1756" w:type="dxa"/>
            <w:noWrap/>
            <w:hideMark/>
          </w:tcPr>
          <w:p w14:paraId="1E8691D0" w14:textId="204241CF" w:rsidR="002A4E50" w:rsidRPr="00B87202" w:rsidRDefault="002A4E50" w:rsidP="002A4E50">
            <w:pPr>
              <w:spacing w:after="0" w:line="240" w:lineRule="auto"/>
              <w:rPr>
                <w:rFonts w:ascii="Segoe UI" w:eastAsia="Times New Roman" w:hAnsi="Segoe UI" w:cs="Segoe UI"/>
                <w:color w:val="000000"/>
                <w:szCs w:val="24"/>
              </w:rPr>
            </w:pPr>
            <w:r w:rsidRPr="00E10ED9">
              <w:rPr>
                <w:rFonts w:ascii="Segoe UI" w:eastAsia="Times New Roman" w:hAnsi="Segoe UI" w:cs="Segoe UI"/>
                <w:color w:val="000000"/>
                <w:szCs w:val="24"/>
              </w:rPr>
              <w:t>n/a</w:t>
            </w:r>
          </w:p>
        </w:tc>
        <w:tc>
          <w:tcPr>
            <w:tcW w:w="1967" w:type="dxa"/>
            <w:noWrap/>
            <w:hideMark/>
          </w:tcPr>
          <w:p w14:paraId="2B94A943" w14:textId="654F8DC1" w:rsidR="002A4E50" w:rsidRPr="00B87202" w:rsidRDefault="002A4E50" w:rsidP="002A4E50">
            <w:pPr>
              <w:spacing w:after="0" w:line="240" w:lineRule="auto"/>
              <w:rPr>
                <w:rFonts w:ascii="Segoe UI" w:eastAsia="Times New Roman" w:hAnsi="Segoe UI" w:cs="Segoe UI"/>
                <w:color w:val="000000"/>
                <w:szCs w:val="24"/>
              </w:rPr>
            </w:pPr>
            <w:r w:rsidRPr="00E76672">
              <w:rPr>
                <w:rFonts w:ascii="Segoe UI" w:eastAsia="Times New Roman" w:hAnsi="Segoe UI" w:cs="Segoe UI"/>
                <w:color w:val="000000"/>
                <w:szCs w:val="24"/>
              </w:rPr>
              <w:t>n/a</w:t>
            </w:r>
          </w:p>
        </w:tc>
        <w:tc>
          <w:tcPr>
            <w:tcW w:w="1800" w:type="dxa"/>
            <w:noWrap/>
            <w:hideMark/>
          </w:tcPr>
          <w:p w14:paraId="012E3ADF" w14:textId="3EAEE523" w:rsidR="002A4E50" w:rsidRPr="00B87202" w:rsidRDefault="002A4E50" w:rsidP="002A4E50">
            <w:pPr>
              <w:spacing w:after="0" w:line="240" w:lineRule="auto"/>
              <w:rPr>
                <w:rFonts w:ascii="Segoe UI" w:eastAsia="Times New Roman" w:hAnsi="Segoe UI" w:cs="Segoe UI"/>
                <w:color w:val="000000"/>
                <w:szCs w:val="24"/>
              </w:rPr>
            </w:pPr>
            <w:r w:rsidRPr="00E5219C">
              <w:rPr>
                <w:rFonts w:ascii="Segoe UI" w:eastAsia="Times New Roman" w:hAnsi="Segoe UI" w:cs="Segoe UI"/>
                <w:color w:val="000000"/>
                <w:szCs w:val="24"/>
              </w:rPr>
              <w:t>n/a</w:t>
            </w:r>
          </w:p>
        </w:tc>
        <w:tc>
          <w:tcPr>
            <w:tcW w:w="1980" w:type="dxa"/>
            <w:noWrap/>
            <w:vAlign w:val="bottom"/>
            <w:hideMark/>
          </w:tcPr>
          <w:p w14:paraId="65953415" w14:textId="77777777" w:rsidR="002A4E50" w:rsidRPr="00B87202" w:rsidRDefault="002A4E50" w:rsidP="002A4E50">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West Medford</w:t>
            </w:r>
          </w:p>
        </w:tc>
        <w:tc>
          <w:tcPr>
            <w:tcW w:w="2160" w:type="dxa"/>
            <w:noWrap/>
            <w:hideMark/>
          </w:tcPr>
          <w:p w14:paraId="27FBF6E1" w14:textId="37B20BF3" w:rsidR="002A4E50" w:rsidRPr="00B87202" w:rsidRDefault="002A4E50" w:rsidP="002A4E50">
            <w:pPr>
              <w:spacing w:after="0" w:line="240" w:lineRule="auto"/>
              <w:rPr>
                <w:rFonts w:ascii="Segoe UI" w:eastAsia="Times New Roman" w:hAnsi="Segoe UI" w:cs="Segoe UI"/>
                <w:color w:val="000000"/>
                <w:szCs w:val="24"/>
              </w:rPr>
            </w:pPr>
            <w:r w:rsidRPr="002415DB">
              <w:rPr>
                <w:rFonts w:ascii="Segoe UI" w:eastAsia="Times New Roman" w:hAnsi="Segoe UI" w:cs="Segoe UI"/>
                <w:color w:val="000000"/>
                <w:szCs w:val="24"/>
              </w:rPr>
              <w:t>n/a</w:t>
            </w:r>
          </w:p>
        </w:tc>
      </w:tr>
      <w:tr w:rsidR="002A4E50" w:rsidRPr="00FE4AE0" w14:paraId="510EA8F7" w14:textId="77777777" w:rsidTr="002A4E50">
        <w:trPr>
          <w:cantSplit/>
          <w:trHeight w:val="330"/>
        </w:trPr>
        <w:tc>
          <w:tcPr>
            <w:tcW w:w="1756" w:type="dxa"/>
            <w:noWrap/>
            <w:hideMark/>
          </w:tcPr>
          <w:p w14:paraId="5306ABFD" w14:textId="28E358AC" w:rsidR="002A4E50" w:rsidRPr="00B87202" w:rsidRDefault="002A4E50" w:rsidP="002A4E50">
            <w:pPr>
              <w:spacing w:after="0" w:line="240" w:lineRule="auto"/>
              <w:rPr>
                <w:rFonts w:ascii="Segoe UI" w:eastAsia="Times New Roman" w:hAnsi="Segoe UI" w:cs="Segoe UI"/>
                <w:color w:val="000000"/>
                <w:szCs w:val="24"/>
              </w:rPr>
            </w:pPr>
            <w:r w:rsidRPr="00E10ED9">
              <w:rPr>
                <w:rFonts w:ascii="Segoe UI" w:eastAsia="Times New Roman" w:hAnsi="Segoe UI" w:cs="Segoe UI"/>
                <w:color w:val="000000"/>
                <w:szCs w:val="24"/>
              </w:rPr>
              <w:t>n/a</w:t>
            </w:r>
          </w:p>
        </w:tc>
        <w:tc>
          <w:tcPr>
            <w:tcW w:w="1967" w:type="dxa"/>
            <w:noWrap/>
            <w:hideMark/>
          </w:tcPr>
          <w:p w14:paraId="4200DABB" w14:textId="37FE0FF6" w:rsidR="002A4E50" w:rsidRPr="00B87202" w:rsidRDefault="002A4E50" w:rsidP="002A4E50">
            <w:pPr>
              <w:spacing w:after="0" w:line="240" w:lineRule="auto"/>
              <w:rPr>
                <w:rFonts w:ascii="Segoe UI" w:eastAsia="Times New Roman" w:hAnsi="Segoe UI" w:cs="Segoe UI"/>
                <w:color w:val="000000"/>
                <w:szCs w:val="24"/>
              </w:rPr>
            </w:pPr>
            <w:r w:rsidRPr="00E76672">
              <w:rPr>
                <w:rFonts w:ascii="Segoe UI" w:eastAsia="Times New Roman" w:hAnsi="Segoe UI" w:cs="Segoe UI"/>
                <w:color w:val="000000"/>
                <w:szCs w:val="24"/>
              </w:rPr>
              <w:t>n/a</w:t>
            </w:r>
          </w:p>
        </w:tc>
        <w:tc>
          <w:tcPr>
            <w:tcW w:w="1800" w:type="dxa"/>
            <w:noWrap/>
            <w:hideMark/>
          </w:tcPr>
          <w:p w14:paraId="35D41F43" w14:textId="569932B3" w:rsidR="002A4E50" w:rsidRPr="00B87202" w:rsidRDefault="002A4E50" w:rsidP="002A4E50">
            <w:pPr>
              <w:spacing w:after="0" w:line="240" w:lineRule="auto"/>
              <w:rPr>
                <w:rFonts w:ascii="Segoe UI" w:eastAsia="Times New Roman" w:hAnsi="Segoe UI" w:cs="Segoe UI"/>
                <w:color w:val="000000"/>
                <w:szCs w:val="24"/>
              </w:rPr>
            </w:pPr>
            <w:r w:rsidRPr="00E5219C">
              <w:rPr>
                <w:rFonts w:ascii="Segoe UI" w:eastAsia="Times New Roman" w:hAnsi="Segoe UI" w:cs="Segoe UI"/>
                <w:color w:val="000000"/>
                <w:szCs w:val="24"/>
              </w:rPr>
              <w:t>n/a</w:t>
            </w:r>
          </w:p>
        </w:tc>
        <w:tc>
          <w:tcPr>
            <w:tcW w:w="1980" w:type="dxa"/>
            <w:noWrap/>
            <w:vAlign w:val="bottom"/>
            <w:hideMark/>
          </w:tcPr>
          <w:p w14:paraId="25C01353" w14:textId="77777777" w:rsidR="002A4E50" w:rsidRPr="00B87202" w:rsidRDefault="002A4E50" w:rsidP="002A4E50">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West Roxbury</w:t>
            </w:r>
          </w:p>
        </w:tc>
        <w:tc>
          <w:tcPr>
            <w:tcW w:w="2160" w:type="dxa"/>
            <w:noWrap/>
            <w:hideMark/>
          </w:tcPr>
          <w:p w14:paraId="54B223A7" w14:textId="44813AB9" w:rsidR="002A4E50" w:rsidRPr="00B87202" w:rsidRDefault="002A4E50" w:rsidP="002A4E50">
            <w:pPr>
              <w:spacing w:after="0" w:line="240" w:lineRule="auto"/>
              <w:rPr>
                <w:rFonts w:ascii="Segoe UI" w:eastAsia="Times New Roman" w:hAnsi="Segoe UI" w:cs="Segoe UI"/>
                <w:color w:val="000000"/>
                <w:szCs w:val="24"/>
              </w:rPr>
            </w:pPr>
            <w:r w:rsidRPr="002415DB">
              <w:rPr>
                <w:rFonts w:ascii="Segoe UI" w:eastAsia="Times New Roman" w:hAnsi="Segoe UI" w:cs="Segoe UI"/>
                <w:color w:val="000000"/>
                <w:szCs w:val="24"/>
              </w:rPr>
              <w:t>n/a</w:t>
            </w:r>
          </w:p>
        </w:tc>
      </w:tr>
      <w:tr w:rsidR="002A4E50" w:rsidRPr="00FE4AE0" w14:paraId="45C657EE" w14:textId="77777777" w:rsidTr="002A4E50">
        <w:trPr>
          <w:cantSplit/>
          <w:trHeight w:val="330"/>
        </w:trPr>
        <w:tc>
          <w:tcPr>
            <w:tcW w:w="1756" w:type="dxa"/>
            <w:noWrap/>
            <w:hideMark/>
          </w:tcPr>
          <w:p w14:paraId="3A74E9C4" w14:textId="34CD9A59" w:rsidR="002A4E50" w:rsidRPr="00B87202" w:rsidRDefault="002A4E50" w:rsidP="002A4E50">
            <w:pPr>
              <w:spacing w:after="0" w:line="240" w:lineRule="auto"/>
              <w:rPr>
                <w:rFonts w:ascii="Segoe UI" w:eastAsia="Times New Roman" w:hAnsi="Segoe UI" w:cs="Segoe UI"/>
                <w:color w:val="000000"/>
                <w:szCs w:val="24"/>
              </w:rPr>
            </w:pPr>
            <w:r w:rsidRPr="00E10ED9">
              <w:rPr>
                <w:rFonts w:ascii="Segoe UI" w:eastAsia="Times New Roman" w:hAnsi="Segoe UI" w:cs="Segoe UI"/>
                <w:color w:val="000000"/>
                <w:szCs w:val="24"/>
              </w:rPr>
              <w:t>n/a</w:t>
            </w:r>
          </w:p>
        </w:tc>
        <w:tc>
          <w:tcPr>
            <w:tcW w:w="1967" w:type="dxa"/>
            <w:noWrap/>
            <w:hideMark/>
          </w:tcPr>
          <w:p w14:paraId="3238DC78" w14:textId="28B72AF5" w:rsidR="002A4E50" w:rsidRPr="00B87202" w:rsidRDefault="002A4E50" w:rsidP="002A4E50">
            <w:pPr>
              <w:spacing w:after="0" w:line="240" w:lineRule="auto"/>
              <w:rPr>
                <w:rFonts w:ascii="Segoe UI" w:eastAsia="Times New Roman" w:hAnsi="Segoe UI" w:cs="Segoe UI"/>
                <w:color w:val="000000"/>
                <w:szCs w:val="24"/>
              </w:rPr>
            </w:pPr>
            <w:r w:rsidRPr="00E76672">
              <w:rPr>
                <w:rFonts w:ascii="Segoe UI" w:eastAsia="Times New Roman" w:hAnsi="Segoe UI" w:cs="Segoe UI"/>
                <w:color w:val="000000"/>
                <w:szCs w:val="24"/>
              </w:rPr>
              <w:t>n/a</w:t>
            </w:r>
          </w:p>
        </w:tc>
        <w:tc>
          <w:tcPr>
            <w:tcW w:w="1800" w:type="dxa"/>
            <w:noWrap/>
            <w:hideMark/>
          </w:tcPr>
          <w:p w14:paraId="4A6EC062" w14:textId="4E3AE5B4" w:rsidR="002A4E50" w:rsidRPr="00B87202" w:rsidRDefault="002A4E50" w:rsidP="002A4E50">
            <w:pPr>
              <w:spacing w:after="0" w:line="240" w:lineRule="auto"/>
              <w:rPr>
                <w:rFonts w:ascii="Segoe UI" w:eastAsia="Times New Roman" w:hAnsi="Segoe UI" w:cs="Segoe UI"/>
                <w:color w:val="000000"/>
                <w:szCs w:val="24"/>
              </w:rPr>
            </w:pPr>
            <w:r w:rsidRPr="00E5219C">
              <w:rPr>
                <w:rFonts w:ascii="Segoe UI" w:eastAsia="Times New Roman" w:hAnsi="Segoe UI" w:cs="Segoe UI"/>
                <w:color w:val="000000"/>
                <w:szCs w:val="24"/>
              </w:rPr>
              <w:t>n/a</w:t>
            </w:r>
          </w:p>
        </w:tc>
        <w:tc>
          <w:tcPr>
            <w:tcW w:w="1980" w:type="dxa"/>
            <w:noWrap/>
            <w:vAlign w:val="bottom"/>
            <w:hideMark/>
          </w:tcPr>
          <w:p w14:paraId="15D752CF" w14:textId="77777777" w:rsidR="002A4E50" w:rsidRPr="00B87202" w:rsidRDefault="002A4E50" w:rsidP="002A4E50">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Weymouth</w:t>
            </w:r>
          </w:p>
        </w:tc>
        <w:tc>
          <w:tcPr>
            <w:tcW w:w="2160" w:type="dxa"/>
            <w:noWrap/>
            <w:hideMark/>
          </w:tcPr>
          <w:p w14:paraId="00909590" w14:textId="2CB6B60E" w:rsidR="002A4E50" w:rsidRPr="00B87202" w:rsidRDefault="002A4E50" w:rsidP="002A4E50">
            <w:pPr>
              <w:spacing w:after="0" w:line="240" w:lineRule="auto"/>
              <w:rPr>
                <w:rFonts w:ascii="Segoe UI" w:eastAsia="Times New Roman" w:hAnsi="Segoe UI" w:cs="Segoe UI"/>
                <w:color w:val="000000"/>
                <w:szCs w:val="24"/>
              </w:rPr>
            </w:pPr>
            <w:r w:rsidRPr="002415DB">
              <w:rPr>
                <w:rFonts w:ascii="Segoe UI" w:eastAsia="Times New Roman" w:hAnsi="Segoe UI" w:cs="Segoe UI"/>
                <w:color w:val="000000"/>
                <w:szCs w:val="24"/>
              </w:rPr>
              <w:t>n/a</w:t>
            </w:r>
          </w:p>
        </w:tc>
      </w:tr>
      <w:tr w:rsidR="002A4E50" w:rsidRPr="00FE4AE0" w14:paraId="632D38D3" w14:textId="77777777" w:rsidTr="002A4E50">
        <w:trPr>
          <w:cantSplit/>
          <w:trHeight w:val="330"/>
        </w:trPr>
        <w:tc>
          <w:tcPr>
            <w:tcW w:w="1756" w:type="dxa"/>
            <w:noWrap/>
            <w:hideMark/>
          </w:tcPr>
          <w:p w14:paraId="65281C27" w14:textId="4EA71655" w:rsidR="002A4E50" w:rsidRPr="00B87202" w:rsidRDefault="002A4E50" w:rsidP="002A4E50">
            <w:pPr>
              <w:spacing w:after="0" w:line="240" w:lineRule="auto"/>
              <w:rPr>
                <w:rFonts w:ascii="Segoe UI" w:eastAsia="Times New Roman" w:hAnsi="Segoe UI" w:cs="Segoe UI"/>
                <w:color w:val="000000"/>
                <w:szCs w:val="24"/>
              </w:rPr>
            </w:pPr>
            <w:r w:rsidRPr="00E10ED9">
              <w:rPr>
                <w:rFonts w:ascii="Segoe UI" w:eastAsia="Times New Roman" w:hAnsi="Segoe UI" w:cs="Segoe UI"/>
                <w:color w:val="000000"/>
                <w:szCs w:val="24"/>
              </w:rPr>
              <w:t>n/a</w:t>
            </w:r>
          </w:p>
        </w:tc>
        <w:tc>
          <w:tcPr>
            <w:tcW w:w="1967" w:type="dxa"/>
            <w:noWrap/>
            <w:hideMark/>
          </w:tcPr>
          <w:p w14:paraId="4ECCEF8A" w14:textId="15F7C3A3" w:rsidR="002A4E50" w:rsidRPr="00B87202" w:rsidRDefault="002A4E50" w:rsidP="002A4E50">
            <w:pPr>
              <w:spacing w:after="0" w:line="240" w:lineRule="auto"/>
              <w:rPr>
                <w:rFonts w:ascii="Segoe UI" w:eastAsia="Times New Roman" w:hAnsi="Segoe UI" w:cs="Segoe UI"/>
                <w:color w:val="000000"/>
                <w:szCs w:val="24"/>
              </w:rPr>
            </w:pPr>
            <w:r w:rsidRPr="00E76672">
              <w:rPr>
                <w:rFonts w:ascii="Segoe UI" w:eastAsia="Times New Roman" w:hAnsi="Segoe UI" w:cs="Segoe UI"/>
                <w:color w:val="000000"/>
                <w:szCs w:val="24"/>
              </w:rPr>
              <w:t>n/a</w:t>
            </w:r>
          </w:p>
        </w:tc>
        <w:tc>
          <w:tcPr>
            <w:tcW w:w="1800" w:type="dxa"/>
            <w:noWrap/>
            <w:hideMark/>
          </w:tcPr>
          <w:p w14:paraId="270E6623" w14:textId="448AFAB7" w:rsidR="002A4E50" w:rsidRPr="00B87202" w:rsidRDefault="002A4E50" w:rsidP="002A4E50">
            <w:pPr>
              <w:spacing w:after="0" w:line="240" w:lineRule="auto"/>
              <w:rPr>
                <w:rFonts w:ascii="Segoe UI" w:eastAsia="Times New Roman" w:hAnsi="Segoe UI" w:cs="Segoe UI"/>
                <w:color w:val="000000"/>
                <w:szCs w:val="24"/>
              </w:rPr>
            </w:pPr>
            <w:r w:rsidRPr="00E5219C">
              <w:rPr>
                <w:rFonts w:ascii="Segoe UI" w:eastAsia="Times New Roman" w:hAnsi="Segoe UI" w:cs="Segoe UI"/>
                <w:color w:val="000000"/>
                <w:szCs w:val="24"/>
              </w:rPr>
              <w:t>n/a</w:t>
            </w:r>
          </w:p>
        </w:tc>
        <w:tc>
          <w:tcPr>
            <w:tcW w:w="1980" w:type="dxa"/>
            <w:noWrap/>
            <w:vAlign w:val="bottom"/>
            <w:hideMark/>
          </w:tcPr>
          <w:p w14:paraId="6E7120DB" w14:textId="77777777" w:rsidR="002A4E50" w:rsidRPr="00B87202" w:rsidRDefault="002A4E50" w:rsidP="002A4E50">
            <w:pPr>
              <w:spacing w:after="0" w:line="240" w:lineRule="auto"/>
              <w:rPr>
                <w:rFonts w:ascii="Segoe UI" w:eastAsia="Times New Roman" w:hAnsi="Segoe UI" w:cs="Segoe UI"/>
                <w:color w:val="000000"/>
                <w:szCs w:val="24"/>
              </w:rPr>
            </w:pPr>
            <w:r w:rsidRPr="00B87202">
              <w:rPr>
                <w:rFonts w:ascii="Segoe UI" w:eastAsia="Times New Roman" w:hAnsi="Segoe UI" w:cs="Segoe UI"/>
                <w:color w:val="000000"/>
                <w:szCs w:val="24"/>
              </w:rPr>
              <w:t>Winthrop</w:t>
            </w:r>
          </w:p>
        </w:tc>
        <w:tc>
          <w:tcPr>
            <w:tcW w:w="2160" w:type="dxa"/>
            <w:noWrap/>
            <w:hideMark/>
          </w:tcPr>
          <w:p w14:paraId="05067117" w14:textId="787311AC" w:rsidR="002A4E50" w:rsidRPr="00B87202" w:rsidRDefault="002A4E50" w:rsidP="002A4E50">
            <w:pPr>
              <w:spacing w:after="0" w:line="240" w:lineRule="auto"/>
              <w:rPr>
                <w:rFonts w:ascii="Segoe UI" w:eastAsia="Times New Roman" w:hAnsi="Segoe UI" w:cs="Segoe UI"/>
                <w:color w:val="000000"/>
                <w:szCs w:val="24"/>
              </w:rPr>
            </w:pPr>
            <w:r w:rsidRPr="002415DB">
              <w:rPr>
                <w:rFonts w:ascii="Segoe UI" w:eastAsia="Times New Roman" w:hAnsi="Segoe UI" w:cs="Segoe UI"/>
                <w:color w:val="000000"/>
                <w:szCs w:val="24"/>
              </w:rPr>
              <w:t>n/a</w:t>
            </w:r>
          </w:p>
        </w:tc>
      </w:tr>
    </w:tbl>
    <w:p w14:paraId="58E9DCB4" w14:textId="77777777" w:rsidR="00134A17" w:rsidRPr="00B87202" w:rsidRDefault="00134A17" w:rsidP="00134A17">
      <w:pPr>
        <w:rPr>
          <w:rFonts w:asciiTheme="minorHAnsi" w:hAnsiTheme="minorHAnsi" w:cstheme="minorHAnsi"/>
          <w:bCs/>
          <w:szCs w:val="24"/>
        </w:rPr>
      </w:pPr>
      <w:r w:rsidRPr="00B87202">
        <w:rPr>
          <w:rFonts w:asciiTheme="minorHAnsi" w:hAnsiTheme="minorHAnsi" w:cstheme="minorHAnsi"/>
          <w:bCs/>
          <w:szCs w:val="24"/>
        </w:rPr>
        <w:t>Source: ESRI Data 2025</w:t>
      </w:r>
    </w:p>
    <w:p w14:paraId="70731C65" w14:textId="5E1B2397" w:rsidR="00AD7BAE" w:rsidRPr="000826B8" w:rsidRDefault="000826B8" w:rsidP="000826B8">
      <w:pPr>
        <w:rPr>
          <w:rFonts w:asciiTheme="minorHAnsi" w:hAnsiTheme="minorHAnsi" w:cstheme="minorHAnsi"/>
          <w:b/>
          <w:szCs w:val="24"/>
        </w:rPr>
      </w:pPr>
      <w:r w:rsidRPr="000826B8">
        <w:rPr>
          <w:rFonts w:asciiTheme="minorHAnsi" w:hAnsiTheme="minorHAnsi" w:cstheme="minorHAnsi"/>
          <w:b/>
          <w:szCs w:val="24"/>
        </w:rPr>
        <w:t>Population by Age, 2025</w:t>
      </w:r>
    </w:p>
    <w:tbl>
      <w:tblPr>
        <w:tblStyle w:val="TableGrid"/>
        <w:tblW w:w="0" w:type="auto"/>
        <w:tblLook w:val="04A0" w:firstRow="1" w:lastRow="0" w:firstColumn="1" w:lastColumn="0" w:noHBand="0" w:noVBand="1"/>
        <w:tblCaption w:val="Population by Age, 2025"/>
      </w:tblPr>
      <w:tblGrid>
        <w:gridCol w:w="1075"/>
        <w:gridCol w:w="2665"/>
        <w:gridCol w:w="1870"/>
        <w:gridCol w:w="1870"/>
        <w:gridCol w:w="1870"/>
      </w:tblGrid>
      <w:tr w:rsidR="000826B8" w14:paraId="1905190D" w14:textId="77777777" w:rsidTr="00A56C88">
        <w:trPr>
          <w:cantSplit/>
          <w:tblHeader/>
        </w:trPr>
        <w:tc>
          <w:tcPr>
            <w:tcW w:w="1075" w:type="dxa"/>
            <w:shd w:val="clear" w:color="auto" w:fill="DBE5F1" w:themeFill="accent1" w:themeFillTint="33"/>
          </w:tcPr>
          <w:p w14:paraId="32E234E3" w14:textId="27D1BAA1" w:rsidR="000826B8" w:rsidRPr="000826B8" w:rsidRDefault="000826B8" w:rsidP="000826B8">
            <w:pPr>
              <w:jc w:val="center"/>
              <w:rPr>
                <w:rFonts w:asciiTheme="minorHAnsi" w:hAnsiTheme="minorHAnsi" w:cstheme="minorHAnsi"/>
                <w:b/>
                <w:szCs w:val="24"/>
              </w:rPr>
            </w:pPr>
            <w:r w:rsidRPr="000826B8">
              <w:rPr>
                <w:rFonts w:asciiTheme="minorHAnsi" w:hAnsiTheme="minorHAnsi" w:cstheme="minorHAnsi"/>
                <w:b/>
                <w:szCs w:val="24"/>
              </w:rPr>
              <w:t>State</w:t>
            </w:r>
          </w:p>
        </w:tc>
        <w:tc>
          <w:tcPr>
            <w:tcW w:w="2665" w:type="dxa"/>
            <w:shd w:val="clear" w:color="auto" w:fill="DBE5F1" w:themeFill="accent1" w:themeFillTint="33"/>
          </w:tcPr>
          <w:p w14:paraId="2B13B9EA" w14:textId="7B5EF33D" w:rsidR="000826B8" w:rsidRPr="000826B8" w:rsidRDefault="000826B8" w:rsidP="000826B8">
            <w:pPr>
              <w:jc w:val="center"/>
              <w:rPr>
                <w:rFonts w:asciiTheme="minorHAnsi" w:hAnsiTheme="minorHAnsi" w:cstheme="minorHAnsi"/>
                <w:b/>
                <w:szCs w:val="24"/>
              </w:rPr>
            </w:pPr>
            <w:r w:rsidRPr="000826B8">
              <w:rPr>
                <w:rFonts w:asciiTheme="minorHAnsi" w:hAnsiTheme="minorHAnsi" w:cstheme="minorHAnsi"/>
                <w:b/>
                <w:szCs w:val="24"/>
              </w:rPr>
              <w:t>Age</w:t>
            </w:r>
          </w:p>
        </w:tc>
        <w:tc>
          <w:tcPr>
            <w:tcW w:w="1870" w:type="dxa"/>
            <w:shd w:val="clear" w:color="auto" w:fill="DBE5F1" w:themeFill="accent1" w:themeFillTint="33"/>
          </w:tcPr>
          <w:p w14:paraId="2ED00A7E" w14:textId="36BA86D4" w:rsidR="000826B8" w:rsidRPr="000826B8" w:rsidRDefault="000826B8" w:rsidP="000826B8">
            <w:pPr>
              <w:jc w:val="center"/>
              <w:rPr>
                <w:rFonts w:asciiTheme="minorHAnsi" w:hAnsiTheme="minorHAnsi" w:cstheme="minorHAnsi"/>
                <w:b/>
                <w:szCs w:val="24"/>
              </w:rPr>
            </w:pPr>
            <w:r w:rsidRPr="000826B8">
              <w:rPr>
                <w:rFonts w:asciiTheme="minorHAnsi" w:hAnsiTheme="minorHAnsi" w:cstheme="minorHAnsi"/>
                <w:b/>
                <w:szCs w:val="24"/>
              </w:rPr>
              <w:t>0-10</w:t>
            </w:r>
          </w:p>
        </w:tc>
        <w:tc>
          <w:tcPr>
            <w:tcW w:w="1870" w:type="dxa"/>
            <w:shd w:val="clear" w:color="auto" w:fill="DBE5F1" w:themeFill="accent1" w:themeFillTint="33"/>
          </w:tcPr>
          <w:p w14:paraId="7E2F5E5C" w14:textId="75A10254" w:rsidR="000826B8" w:rsidRPr="000826B8" w:rsidRDefault="000826B8" w:rsidP="000826B8">
            <w:pPr>
              <w:jc w:val="center"/>
              <w:rPr>
                <w:rFonts w:asciiTheme="minorHAnsi" w:hAnsiTheme="minorHAnsi" w:cstheme="minorHAnsi"/>
                <w:b/>
                <w:szCs w:val="24"/>
              </w:rPr>
            </w:pPr>
            <w:r w:rsidRPr="000826B8">
              <w:rPr>
                <w:rFonts w:asciiTheme="minorHAnsi" w:hAnsiTheme="minorHAnsi" w:cstheme="minorHAnsi"/>
                <w:b/>
                <w:szCs w:val="24"/>
              </w:rPr>
              <w:t>11 -21</w:t>
            </w:r>
          </w:p>
        </w:tc>
        <w:tc>
          <w:tcPr>
            <w:tcW w:w="1870" w:type="dxa"/>
            <w:shd w:val="clear" w:color="auto" w:fill="DBE5F1" w:themeFill="accent1" w:themeFillTint="33"/>
          </w:tcPr>
          <w:p w14:paraId="7A43E069" w14:textId="3F56CD2E" w:rsidR="000826B8" w:rsidRPr="000826B8" w:rsidRDefault="000826B8" w:rsidP="000826B8">
            <w:pPr>
              <w:jc w:val="center"/>
              <w:rPr>
                <w:rFonts w:asciiTheme="minorHAnsi" w:hAnsiTheme="minorHAnsi" w:cstheme="minorHAnsi"/>
                <w:b/>
                <w:szCs w:val="24"/>
              </w:rPr>
            </w:pPr>
            <w:r w:rsidRPr="000826B8">
              <w:rPr>
                <w:rFonts w:asciiTheme="minorHAnsi" w:hAnsiTheme="minorHAnsi" w:cstheme="minorHAnsi"/>
                <w:b/>
                <w:szCs w:val="24"/>
              </w:rPr>
              <w:t>Total</w:t>
            </w:r>
          </w:p>
        </w:tc>
      </w:tr>
      <w:tr w:rsidR="000826B8" w14:paraId="1205F975" w14:textId="77777777" w:rsidTr="00A56C88">
        <w:trPr>
          <w:cantSplit/>
        </w:trPr>
        <w:tc>
          <w:tcPr>
            <w:tcW w:w="1075" w:type="dxa"/>
          </w:tcPr>
          <w:p w14:paraId="739ED9C4" w14:textId="2238CDF4" w:rsidR="000826B8" w:rsidRDefault="000826B8" w:rsidP="000826B8">
            <w:pPr>
              <w:rPr>
                <w:rFonts w:asciiTheme="minorHAnsi" w:hAnsiTheme="minorHAnsi" w:cstheme="minorHAnsi"/>
                <w:bCs/>
                <w:szCs w:val="24"/>
              </w:rPr>
            </w:pPr>
            <w:r>
              <w:rPr>
                <w:rFonts w:asciiTheme="minorHAnsi" w:hAnsiTheme="minorHAnsi" w:cstheme="minorHAnsi"/>
                <w:bCs/>
                <w:szCs w:val="24"/>
              </w:rPr>
              <w:t>MA</w:t>
            </w:r>
          </w:p>
        </w:tc>
        <w:tc>
          <w:tcPr>
            <w:tcW w:w="2665" w:type="dxa"/>
          </w:tcPr>
          <w:p w14:paraId="3015306F" w14:textId="4EC9046F" w:rsidR="000826B8" w:rsidRDefault="000826B8" w:rsidP="000826B8">
            <w:pPr>
              <w:rPr>
                <w:rFonts w:asciiTheme="minorHAnsi" w:hAnsiTheme="minorHAnsi" w:cstheme="minorHAnsi"/>
                <w:bCs/>
                <w:szCs w:val="24"/>
              </w:rPr>
            </w:pPr>
            <w:r>
              <w:rPr>
                <w:rFonts w:asciiTheme="minorHAnsi" w:hAnsiTheme="minorHAnsi" w:cstheme="minorHAnsi"/>
                <w:bCs/>
                <w:szCs w:val="24"/>
              </w:rPr>
              <w:t xml:space="preserve">Primary Service Area </w:t>
            </w:r>
          </w:p>
        </w:tc>
        <w:tc>
          <w:tcPr>
            <w:tcW w:w="1870" w:type="dxa"/>
          </w:tcPr>
          <w:p w14:paraId="37EFF275" w14:textId="545F1151" w:rsidR="000826B8" w:rsidRDefault="000826B8" w:rsidP="000826B8">
            <w:pPr>
              <w:rPr>
                <w:rFonts w:asciiTheme="minorHAnsi" w:hAnsiTheme="minorHAnsi" w:cstheme="minorHAnsi"/>
                <w:bCs/>
                <w:szCs w:val="24"/>
              </w:rPr>
            </w:pPr>
            <w:r>
              <w:rPr>
                <w:rFonts w:asciiTheme="minorHAnsi" w:hAnsiTheme="minorHAnsi" w:cstheme="minorHAnsi"/>
                <w:bCs/>
                <w:szCs w:val="24"/>
              </w:rPr>
              <w:t>389,229</w:t>
            </w:r>
          </w:p>
        </w:tc>
        <w:tc>
          <w:tcPr>
            <w:tcW w:w="1870" w:type="dxa"/>
          </w:tcPr>
          <w:p w14:paraId="0B354E12" w14:textId="74C37E82" w:rsidR="000826B8" w:rsidRDefault="000826B8" w:rsidP="000826B8">
            <w:pPr>
              <w:rPr>
                <w:rFonts w:asciiTheme="minorHAnsi" w:hAnsiTheme="minorHAnsi" w:cstheme="minorHAnsi"/>
                <w:bCs/>
                <w:szCs w:val="24"/>
              </w:rPr>
            </w:pPr>
            <w:r>
              <w:rPr>
                <w:rFonts w:asciiTheme="minorHAnsi" w:hAnsiTheme="minorHAnsi" w:cstheme="minorHAnsi"/>
                <w:bCs/>
                <w:szCs w:val="24"/>
              </w:rPr>
              <w:t>480,174</w:t>
            </w:r>
          </w:p>
        </w:tc>
        <w:tc>
          <w:tcPr>
            <w:tcW w:w="1870" w:type="dxa"/>
          </w:tcPr>
          <w:p w14:paraId="1700BAAB" w14:textId="4CE56CA2" w:rsidR="000826B8" w:rsidRDefault="000826B8" w:rsidP="000826B8">
            <w:pPr>
              <w:rPr>
                <w:rFonts w:asciiTheme="minorHAnsi" w:hAnsiTheme="minorHAnsi" w:cstheme="minorHAnsi"/>
                <w:bCs/>
                <w:szCs w:val="24"/>
              </w:rPr>
            </w:pPr>
            <w:r>
              <w:rPr>
                <w:rFonts w:asciiTheme="minorHAnsi" w:hAnsiTheme="minorHAnsi" w:cstheme="minorHAnsi"/>
                <w:bCs/>
                <w:szCs w:val="24"/>
              </w:rPr>
              <w:t>869,403</w:t>
            </w:r>
          </w:p>
        </w:tc>
      </w:tr>
      <w:tr w:rsidR="000826B8" w14:paraId="55EAAD1E" w14:textId="77777777" w:rsidTr="00A56C88">
        <w:trPr>
          <w:cantSplit/>
        </w:trPr>
        <w:tc>
          <w:tcPr>
            <w:tcW w:w="1075" w:type="dxa"/>
          </w:tcPr>
          <w:p w14:paraId="0A3FADFC" w14:textId="1AEBCE11" w:rsidR="000826B8" w:rsidRDefault="005C13AA" w:rsidP="000826B8">
            <w:pPr>
              <w:rPr>
                <w:rFonts w:asciiTheme="minorHAnsi" w:hAnsiTheme="minorHAnsi" w:cstheme="minorHAnsi"/>
                <w:bCs/>
                <w:szCs w:val="24"/>
              </w:rPr>
            </w:pPr>
            <w:r>
              <w:rPr>
                <w:rFonts w:asciiTheme="minorHAnsi" w:hAnsiTheme="minorHAnsi" w:cstheme="minorHAnsi"/>
                <w:bCs/>
                <w:szCs w:val="24"/>
              </w:rPr>
              <w:t>n/a</w:t>
            </w:r>
          </w:p>
        </w:tc>
        <w:tc>
          <w:tcPr>
            <w:tcW w:w="2665" w:type="dxa"/>
          </w:tcPr>
          <w:p w14:paraId="48026407" w14:textId="5FC1F598" w:rsidR="000826B8" w:rsidRDefault="000826B8" w:rsidP="000826B8">
            <w:pPr>
              <w:rPr>
                <w:rFonts w:asciiTheme="minorHAnsi" w:hAnsiTheme="minorHAnsi" w:cstheme="minorHAnsi"/>
                <w:bCs/>
                <w:szCs w:val="24"/>
              </w:rPr>
            </w:pPr>
            <w:r>
              <w:rPr>
                <w:rFonts w:asciiTheme="minorHAnsi" w:hAnsiTheme="minorHAnsi" w:cstheme="minorHAnsi"/>
                <w:bCs/>
                <w:szCs w:val="24"/>
              </w:rPr>
              <w:t>Other</w:t>
            </w:r>
          </w:p>
        </w:tc>
        <w:tc>
          <w:tcPr>
            <w:tcW w:w="1870" w:type="dxa"/>
          </w:tcPr>
          <w:p w14:paraId="1EC44553" w14:textId="3DBFC87E" w:rsidR="000826B8" w:rsidRDefault="000826B8" w:rsidP="000826B8">
            <w:pPr>
              <w:rPr>
                <w:rFonts w:asciiTheme="minorHAnsi" w:hAnsiTheme="minorHAnsi" w:cstheme="minorHAnsi"/>
                <w:bCs/>
                <w:szCs w:val="24"/>
              </w:rPr>
            </w:pPr>
            <w:r>
              <w:rPr>
                <w:rFonts w:asciiTheme="minorHAnsi" w:hAnsiTheme="minorHAnsi" w:cstheme="minorHAnsi"/>
                <w:bCs/>
                <w:szCs w:val="24"/>
              </w:rPr>
              <w:t>375,290</w:t>
            </w:r>
          </w:p>
        </w:tc>
        <w:tc>
          <w:tcPr>
            <w:tcW w:w="1870" w:type="dxa"/>
          </w:tcPr>
          <w:p w14:paraId="6AA44064" w14:textId="3414B4BC" w:rsidR="000826B8" w:rsidRDefault="000826B8" w:rsidP="000826B8">
            <w:pPr>
              <w:rPr>
                <w:rFonts w:asciiTheme="minorHAnsi" w:hAnsiTheme="minorHAnsi" w:cstheme="minorHAnsi"/>
                <w:bCs/>
                <w:szCs w:val="24"/>
              </w:rPr>
            </w:pPr>
            <w:r>
              <w:rPr>
                <w:rFonts w:asciiTheme="minorHAnsi" w:hAnsiTheme="minorHAnsi" w:cstheme="minorHAnsi"/>
                <w:bCs/>
                <w:szCs w:val="24"/>
              </w:rPr>
              <w:t>479,539</w:t>
            </w:r>
          </w:p>
        </w:tc>
        <w:tc>
          <w:tcPr>
            <w:tcW w:w="1870" w:type="dxa"/>
          </w:tcPr>
          <w:p w14:paraId="3A4721DB" w14:textId="479FD293" w:rsidR="000826B8" w:rsidRDefault="000826B8" w:rsidP="000826B8">
            <w:pPr>
              <w:rPr>
                <w:rFonts w:asciiTheme="minorHAnsi" w:hAnsiTheme="minorHAnsi" w:cstheme="minorHAnsi"/>
                <w:bCs/>
                <w:szCs w:val="24"/>
              </w:rPr>
            </w:pPr>
            <w:r>
              <w:rPr>
                <w:rFonts w:asciiTheme="minorHAnsi" w:hAnsiTheme="minorHAnsi" w:cstheme="minorHAnsi"/>
                <w:bCs/>
                <w:szCs w:val="24"/>
              </w:rPr>
              <w:t>854,829</w:t>
            </w:r>
          </w:p>
        </w:tc>
      </w:tr>
      <w:tr w:rsidR="000826B8" w14:paraId="5D7F9B06" w14:textId="77777777" w:rsidTr="00A56C88">
        <w:trPr>
          <w:cantSplit/>
        </w:trPr>
        <w:tc>
          <w:tcPr>
            <w:tcW w:w="1075" w:type="dxa"/>
          </w:tcPr>
          <w:p w14:paraId="4579D36A" w14:textId="5B67642B" w:rsidR="000826B8" w:rsidRDefault="000826B8" w:rsidP="000826B8">
            <w:pPr>
              <w:rPr>
                <w:rFonts w:asciiTheme="minorHAnsi" w:hAnsiTheme="minorHAnsi" w:cstheme="minorHAnsi"/>
                <w:bCs/>
                <w:szCs w:val="24"/>
              </w:rPr>
            </w:pPr>
            <w:r>
              <w:rPr>
                <w:rFonts w:asciiTheme="minorHAnsi" w:hAnsiTheme="minorHAnsi" w:cstheme="minorHAnsi"/>
                <w:bCs/>
                <w:szCs w:val="24"/>
              </w:rPr>
              <w:t>Total</w:t>
            </w:r>
          </w:p>
        </w:tc>
        <w:tc>
          <w:tcPr>
            <w:tcW w:w="2665" w:type="dxa"/>
          </w:tcPr>
          <w:p w14:paraId="6DB06179" w14:textId="405701DF" w:rsidR="000826B8" w:rsidRDefault="005C13AA" w:rsidP="000826B8">
            <w:pPr>
              <w:rPr>
                <w:rFonts w:asciiTheme="minorHAnsi" w:hAnsiTheme="minorHAnsi" w:cstheme="minorHAnsi"/>
                <w:bCs/>
                <w:szCs w:val="24"/>
              </w:rPr>
            </w:pPr>
            <w:r>
              <w:rPr>
                <w:rFonts w:asciiTheme="minorHAnsi" w:hAnsiTheme="minorHAnsi" w:cstheme="minorHAnsi"/>
                <w:bCs/>
                <w:szCs w:val="24"/>
              </w:rPr>
              <w:t>n/a</w:t>
            </w:r>
          </w:p>
        </w:tc>
        <w:tc>
          <w:tcPr>
            <w:tcW w:w="1870" w:type="dxa"/>
          </w:tcPr>
          <w:p w14:paraId="2298423D" w14:textId="432BDC13" w:rsidR="000826B8" w:rsidRDefault="004D37D9" w:rsidP="000826B8">
            <w:pPr>
              <w:rPr>
                <w:rFonts w:asciiTheme="minorHAnsi" w:hAnsiTheme="minorHAnsi" w:cstheme="minorHAnsi"/>
                <w:bCs/>
                <w:szCs w:val="24"/>
              </w:rPr>
            </w:pPr>
            <w:r>
              <w:rPr>
                <w:rFonts w:asciiTheme="minorHAnsi" w:hAnsiTheme="minorHAnsi" w:cstheme="minorHAnsi"/>
                <w:bCs/>
                <w:szCs w:val="24"/>
              </w:rPr>
              <w:t>764,519</w:t>
            </w:r>
          </w:p>
        </w:tc>
        <w:tc>
          <w:tcPr>
            <w:tcW w:w="1870" w:type="dxa"/>
          </w:tcPr>
          <w:p w14:paraId="4631EB90" w14:textId="1201C31E" w:rsidR="000826B8" w:rsidRDefault="004D37D9" w:rsidP="000826B8">
            <w:pPr>
              <w:rPr>
                <w:rFonts w:asciiTheme="minorHAnsi" w:hAnsiTheme="minorHAnsi" w:cstheme="minorHAnsi"/>
                <w:bCs/>
                <w:szCs w:val="24"/>
              </w:rPr>
            </w:pPr>
            <w:r>
              <w:rPr>
                <w:rFonts w:asciiTheme="minorHAnsi" w:hAnsiTheme="minorHAnsi" w:cstheme="minorHAnsi"/>
                <w:bCs/>
                <w:szCs w:val="24"/>
              </w:rPr>
              <w:t>959,713</w:t>
            </w:r>
          </w:p>
        </w:tc>
        <w:tc>
          <w:tcPr>
            <w:tcW w:w="1870" w:type="dxa"/>
          </w:tcPr>
          <w:p w14:paraId="0426BF25" w14:textId="00E03A33" w:rsidR="000826B8" w:rsidRDefault="004D37D9" w:rsidP="000826B8">
            <w:pPr>
              <w:rPr>
                <w:rFonts w:asciiTheme="minorHAnsi" w:hAnsiTheme="minorHAnsi" w:cstheme="minorHAnsi"/>
                <w:bCs/>
                <w:szCs w:val="24"/>
              </w:rPr>
            </w:pPr>
            <w:r>
              <w:rPr>
                <w:rFonts w:asciiTheme="minorHAnsi" w:hAnsiTheme="minorHAnsi" w:cstheme="minorHAnsi"/>
                <w:bCs/>
                <w:szCs w:val="24"/>
              </w:rPr>
              <w:t>1,724,232</w:t>
            </w:r>
          </w:p>
        </w:tc>
      </w:tr>
    </w:tbl>
    <w:p w14:paraId="12E2B977" w14:textId="3E157740" w:rsidR="00703C15" w:rsidRDefault="004D37D9" w:rsidP="004D37D9">
      <w:pPr>
        <w:rPr>
          <w:rFonts w:asciiTheme="minorHAnsi" w:hAnsiTheme="minorHAnsi" w:cstheme="minorHAnsi"/>
          <w:bCs/>
          <w:szCs w:val="24"/>
        </w:rPr>
      </w:pPr>
      <w:r w:rsidRPr="004D37D9">
        <w:rPr>
          <w:rFonts w:asciiTheme="minorHAnsi" w:hAnsiTheme="minorHAnsi" w:cstheme="minorHAnsi"/>
          <w:bCs/>
          <w:szCs w:val="24"/>
        </w:rPr>
        <w:t>Source: ESRI Data 2025.</w:t>
      </w:r>
    </w:p>
    <w:p w14:paraId="7B732B4E" w14:textId="429F4C46" w:rsidR="001170F0" w:rsidRPr="00B173A3" w:rsidRDefault="001170F0" w:rsidP="001170F0">
      <w:pPr>
        <w:rPr>
          <w:rFonts w:asciiTheme="minorHAnsi" w:hAnsiTheme="minorHAnsi" w:cstheme="minorHAnsi"/>
          <w:b/>
          <w:szCs w:val="24"/>
        </w:rPr>
      </w:pPr>
      <w:r w:rsidRPr="00B173A3">
        <w:rPr>
          <w:rFonts w:asciiTheme="minorHAnsi" w:hAnsiTheme="minorHAnsi" w:cstheme="minorHAnsi"/>
          <w:b/>
          <w:szCs w:val="24"/>
        </w:rPr>
        <w:t>Population by Gender, 202</w:t>
      </w:r>
      <w:r w:rsidR="007526F5">
        <w:rPr>
          <w:rFonts w:asciiTheme="minorHAnsi" w:hAnsiTheme="minorHAnsi" w:cstheme="minorHAnsi"/>
          <w:b/>
          <w:szCs w:val="24"/>
        </w:rPr>
        <w:t>5</w:t>
      </w:r>
    </w:p>
    <w:tbl>
      <w:tblPr>
        <w:tblStyle w:val="TableGrid"/>
        <w:tblW w:w="3882" w:type="dxa"/>
        <w:tblLook w:val="04A0" w:firstRow="1" w:lastRow="0" w:firstColumn="1" w:lastColumn="0" w:noHBand="0" w:noVBand="1"/>
        <w:tblCaption w:val="Population by Gender, 2025"/>
      </w:tblPr>
      <w:tblGrid>
        <w:gridCol w:w="1600"/>
        <w:gridCol w:w="1335"/>
        <w:gridCol w:w="1040"/>
      </w:tblGrid>
      <w:tr w:rsidR="001170F0" w:rsidRPr="00B87202" w14:paraId="73744A69" w14:textId="77777777" w:rsidTr="00553656">
        <w:trPr>
          <w:cantSplit/>
          <w:trHeight w:val="330"/>
          <w:tblHeader/>
        </w:trPr>
        <w:tc>
          <w:tcPr>
            <w:tcW w:w="1600" w:type="dxa"/>
            <w:shd w:val="clear" w:color="auto" w:fill="DBE5F1" w:themeFill="accent1" w:themeFillTint="33"/>
            <w:noWrap/>
            <w:hideMark/>
          </w:tcPr>
          <w:p w14:paraId="0C513A90" w14:textId="77777777" w:rsidR="001170F0" w:rsidRPr="00B87202" w:rsidRDefault="001170F0" w:rsidP="00076319">
            <w:pPr>
              <w:rPr>
                <w:rFonts w:eastAsia="Times New Roman" w:cs="Times New Roman"/>
                <w:b/>
                <w:bCs/>
                <w:szCs w:val="24"/>
              </w:rPr>
            </w:pPr>
            <w:r w:rsidRPr="00B87202">
              <w:rPr>
                <w:rFonts w:ascii="Segoe UI" w:eastAsia="Times New Roman" w:hAnsi="Segoe UI" w:cs="Segoe UI"/>
                <w:b/>
                <w:bCs/>
                <w:color w:val="000000"/>
                <w:szCs w:val="24"/>
              </w:rPr>
              <w:t>Gender</w:t>
            </w:r>
          </w:p>
        </w:tc>
        <w:tc>
          <w:tcPr>
            <w:tcW w:w="1242" w:type="dxa"/>
            <w:shd w:val="clear" w:color="auto" w:fill="DBE5F1" w:themeFill="accent1" w:themeFillTint="33"/>
            <w:noWrap/>
            <w:hideMark/>
          </w:tcPr>
          <w:p w14:paraId="23405718" w14:textId="77777777" w:rsidR="001170F0" w:rsidRPr="00B87202" w:rsidRDefault="001170F0" w:rsidP="00076319">
            <w:pPr>
              <w:rPr>
                <w:rFonts w:ascii="Segoe UI" w:eastAsia="Times New Roman" w:hAnsi="Segoe UI" w:cs="Segoe UI"/>
                <w:b/>
                <w:bCs/>
                <w:color w:val="000000"/>
                <w:szCs w:val="24"/>
              </w:rPr>
            </w:pPr>
            <w:r w:rsidRPr="00B87202">
              <w:rPr>
                <w:rFonts w:ascii="Segoe UI" w:eastAsia="Times New Roman" w:hAnsi="Segoe UI" w:cs="Segoe UI"/>
                <w:b/>
                <w:bCs/>
                <w:color w:val="000000"/>
                <w:szCs w:val="24"/>
              </w:rPr>
              <w:t>Statewide</w:t>
            </w:r>
          </w:p>
        </w:tc>
        <w:tc>
          <w:tcPr>
            <w:tcW w:w="1040" w:type="dxa"/>
            <w:shd w:val="clear" w:color="auto" w:fill="DBE5F1" w:themeFill="accent1" w:themeFillTint="33"/>
            <w:noWrap/>
            <w:hideMark/>
          </w:tcPr>
          <w:p w14:paraId="7659F0B5" w14:textId="77777777" w:rsidR="001170F0" w:rsidRPr="00B87202" w:rsidRDefault="001170F0" w:rsidP="00076319">
            <w:pPr>
              <w:rPr>
                <w:rFonts w:ascii="Segoe UI" w:eastAsia="Times New Roman" w:hAnsi="Segoe UI" w:cs="Segoe UI"/>
                <w:b/>
                <w:bCs/>
                <w:color w:val="000000"/>
                <w:szCs w:val="24"/>
              </w:rPr>
            </w:pPr>
            <w:r w:rsidRPr="00B87202">
              <w:rPr>
                <w:rFonts w:ascii="Segoe UI" w:eastAsia="Times New Roman" w:hAnsi="Segoe UI" w:cs="Segoe UI"/>
                <w:b/>
                <w:bCs/>
                <w:color w:val="000000"/>
                <w:szCs w:val="24"/>
              </w:rPr>
              <w:t>PSA</w:t>
            </w:r>
          </w:p>
        </w:tc>
      </w:tr>
      <w:tr w:rsidR="001170F0" w:rsidRPr="00B87202" w14:paraId="26A9A182" w14:textId="77777777" w:rsidTr="00553656">
        <w:trPr>
          <w:cantSplit/>
          <w:trHeight w:val="330"/>
        </w:trPr>
        <w:tc>
          <w:tcPr>
            <w:tcW w:w="1600" w:type="dxa"/>
            <w:noWrap/>
            <w:hideMark/>
          </w:tcPr>
          <w:p w14:paraId="4F578552" w14:textId="77777777" w:rsidR="001170F0" w:rsidRPr="00B87202" w:rsidRDefault="001170F0" w:rsidP="00076319">
            <w:pPr>
              <w:rPr>
                <w:rFonts w:ascii="Segoe UI" w:eastAsia="Times New Roman" w:hAnsi="Segoe UI" w:cs="Segoe UI"/>
                <w:color w:val="000000"/>
                <w:szCs w:val="24"/>
              </w:rPr>
            </w:pPr>
            <w:r w:rsidRPr="00B87202">
              <w:rPr>
                <w:rFonts w:ascii="Segoe UI" w:eastAsia="Times New Roman" w:hAnsi="Segoe UI" w:cs="Segoe UI"/>
                <w:color w:val="000000"/>
                <w:szCs w:val="24"/>
              </w:rPr>
              <w:t>Female</w:t>
            </w:r>
          </w:p>
        </w:tc>
        <w:tc>
          <w:tcPr>
            <w:tcW w:w="1242" w:type="dxa"/>
            <w:noWrap/>
            <w:hideMark/>
          </w:tcPr>
          <w:p w14:paraId="6BA27945" w14:textId="77777777" w:rsidR="001170F0" w:rsidRPr="00B87202" w:rsidRDefault="001170F0" w:rsidP="00076319">
            <w:pPr>
              <w:jc w:val="right"/>
              <w:rPr>
                <w:rFonts w:ascii="Segoe UI" w:eastAsia="Times New Roman" w:hAnsi="Segoe UI" w:cs="Segoe UI"/>
                <w:color w:val="000000"/>
                <w:szCs w:val="24"/>
              </w:rPr>
            </w:pPr>
            <w:r w:rsidRPr="00B87202">
              <w:rPr>
                <w:rFonts w:ascii="Segoe UI" w:eastAsia="Times New Roman" w:hAnsi="Segoe UI" w:cs="Segoe UI"/>
                <w:color w:val="000000"/>
                <w:szCs w:val="24"/>
              </w:rPr>
              <w:t>51%</w:t>
            </w:r>
          </w:p>
        </w:tc>
        <w:tc>
          <w:tcPr>
            <w:tcW w:w="1040" w:type="dxa"/>
            <w:noWrap/>
            <w:hideMark/>
          </w:tcPr>
          <w:p w14:paraId="53134E24" w14:textId="77777777" w:rsidR="001170F0" w:rsidRPr="00B87202" w:rsidRDefault="001170F0" w:rsidP="00076319">
            <w:pPr>
              <w:jc w:val="right"/>
              <w:rPr>
                <w:rFonts w:ascii="Segoe UI" w:eastAsia="Times New Roman" w:hAnsi="Segoe UI" w:cs="Segoe UI"/>
                <w:color w:val="000000"/>
                <w:szCs w:val="24"/>
              </w:rPr>
            </w:pPr>
            <w:r w:rsidRPr="00B87202">
              <w:rPr>
                <w:rFonts w:ascii="Segoe UI" w:eastAsia="Times New Roman" w:hAnsi="Segoe UI" w:cs="Segoe UI"/>
                <w:color w:val="000000"/>
                <w:szCs w:val="24"/>
              </w:rPr>
              <w:t>51%</w:t>
            </w:r>
          </w:p>
        </w:tc>
      </w:tr>
      <w:tr w:rsidR="001170F0" w:rsidRPr="00B87202" w14:paraId="601EC58B" w14:textId="77777777" w:rsidTr="00553656">
        <w:trPr>
          <w:cantSplit/>
          <w:trHeight w:val="330"/>
        </w:trPr>
        <w:tc>
          <w:tcPr>
            <w:tcW w:w="1600" w:type="dxa"/>
            <w:noWrap/>
            <w:hideMark/>
          </w:tcPr>
          <w:p w14:paraId="54A5B751" w14:textId="77777777" w:rsidR="001170F0" w:rsidRPr="00B87202" w:rsidRDefault="001170F0" w:rsidP="00076319">
            <w:pPr>
              <w:rPr>
                <w:rFonts w:ascii="Segoe UI" w:eastAsia="Times New Roman" w:hAnsi="Segoe UI" w:cs="Segoe UI"/>
                <w:color w:val="000000"/>
                <w:szCs w:val="24"/>
              </w:rPr>
            </w:pPr>
            <w:r w:rsidRPr="00B87202">
              <w:rPr>
                <w:rFonts w:ascii="Segoe UI" w:eastAsia="Times New Roman" w:hAnsi="Segoe UI" w:cs="Segoe UI"/>
                <w:color w:val="000000"/>
                <w:szCs w:val="24"/>
              </w:rPr>
              <w:t>Male</w:t>
            </w:r>
          </w:p>
        </w:tc>
        <w:tc>
          <w:tcPr>
            <w:tcW w:w="1242" w:type="dxa"/>
            <w:noWrap/>
            <w:hideMark/>
          </w:tcPr>
          <w:p w14:paraId="74767604" w14:textId="77777777" w:rsidR="001170F0" w:rsidRPr="00B87202" w:rsidRDefault="001170F0" w:rsidP="00076319">
            <w:pPr>
              <w:jc w:val="right"/>
              <w:rPr>
                <w:rFonts w:ascii="Segoe UI" w:eastAsia="Times New Roman" w:hAnsi="Segoe UI" w:cs="Segoe UI"/>
                <w:color w:val="000000"/>
                <w:szCs w:val="24"/>
              </w:rPr>
            </w:pPr>
            <w:r w:rsidRPr="00B87202">
              <w:rPr>
                <w:rFonts w:ascii="Segoe UI" w:eastAsia="Times New Roman" w:hAnsi="Segoe UI" w:cs="Segoe UI"/>
                <w:color w:val="000000"/>
                <w:szCs w:val="24"/>
              </w:rPr>
              <w:t>49%</w:t>
            </w:r>
          </w:p>
        </w:tc>
        <w:tc>
          <w:tcPr>
            <w:tcW w:w="1040" w:type="dxa"/>
            <w:noWrap/>
            <w:hideMark/>
          </w:tcPr>
          <w:p w14:paraId="7F9A5E40" w14:textId="77777777" w:rsidR="001170F0" w:rsidRPr="00B87202" w:rsidRDefault="001170F0" w:rsidP="00076319">
            <w:pPr>
              <w:jc w:val="right"/>
              <w:rPr>
                <w:rFonts w:ascii="Segoe UI" w:eastAsia="Times New Roman" w:hAnsi="Segoe UI" w:cs="Segoe UI"/>
                <w:color w:val="000000"/>
                <w:szCs w:val="24"/>
              </w:rPr>
            </w:pPr>
            <w:r w:rsidRPr="00B87202">
              <w:rPr>
                <w:rFonts w:ascii="Segoe UI" w:eastAsia="Times New Roman" w:hAnsi="Segoe UI" w:cs="Segoe UI"/>
                <w:color w:val="000000"/>
                <w:szCs w:val="24"/>
              </w:rPr>
              <w:t>49%</w:t>
            </w:r>
          </w:p>
        </w:tc>
      </w:tr>
    </w:tbl>
    <w:p w14:paraId="178D4EEC" w14:textId="77777777" w:rsidR="001170F0" w:rsidRPr="00B87202" w:rsidRDefault="001170F0" w:rsidP="001170F0">
      <w:pPr>
        <w:rPr>
          <w:rFonts w:asciiTheme="minorHAnsi" w:hAnsiTheme="minorHAnsi" w:cstheme="minorHAnsi"/>
          <w:bCs/>
          <w:szCs w:val="24"/>
        </w:rPr>
      </w:pPr>
      <w:r w:rsidRPr="00B87202">
        <w:rPr>
          <w:rFonts w:asciiTheme="minorHAnsi" w:hAnsiTheme="minorHAnsi" w:cstheme="minorHAnsi"/>
          <w:bCs/>
          <w:szCs w:val="24"/>
        </w:rPr>
        <w:t>Source: ESRI Data 2025.</w:t>
      </w:r>
    </w:p>
    <w:p w14:paraId="425FE7CE" w14:textId="05576A83" w:rsidR="00460229" w:rsidRPr="00B173A3" w:rsidRDefault="00460229" w:rsidP="00460229">
      <w:pPr>
        <w:rPr>
          <w:rFonts w:asciiTheme="minorHAnsi" w:hAnsiTheme="minorHAnsi" w:cstheme="minorHAnsi"/>
          <w:b/>
          <w:szCs w:val="24"/>
        </w:rPr>
      </w:pPr>
      <w:r w:rsidRPr="00B173A3">
        <w:rPr>
          <w:rFonts w:asciiTheme="minorHAnsi" w:hAnsiTheme="minorHAnsi" w:cstheme="minorHAnsi"/>
          <w:b/>
          <w:szCs w:val="24"/>
        </w:rPr>
        <w:t>Population by Race/ Ethnicity, 202</w:t>
      </w:r>
      <w:r w:rsidR="007526F5">
        <w:rPr>
          <w:rFonts w:asciiTheme="minorHAnsi" w:hAnsiTheme="minorHAnsi" w:cstheme="minorHAnsi"/>
          <w:b/>
          <w:szCs w:val="24"/>
        </w:rPr>
        <w:t>5</w:t>
      </w:r>
    </w:p>
    <w:tbl>
      <w:tblPr>
        <w:tblStyle w:val="TableGrid"/>
        <w:tblW w:w="4257" w:type="dxa"/>
        <w:tblLook w:val="04A0" w:firstRow="1" w:lastRow="0" w:firstColumn="1" w:lastColumn="0" w:noHBand="0" w:noVBand="1"/>
        <w:tblCaption w:val="Population by Race/ Ethnicity, 2025"/>
      </w:tblPr>
      <w:tblGrid>
        <w:gridCol w:w="1975"/>
        <w:gridCol w:w="1335"/>
        <w:gridCol w:w="1040"/>
      </w:tblGrid>
      <w:tr w:rsidR="00460229" w:rsidRPr="00B87202" w14:paraId="7331C4FB" w14:textId="77777777" w:rsidTr="005F2354">
        <w:trPr>
          <w:cantSplit/>
          <w:trHeight w:val="330"/>
          <w:tblHeader/>
        </w:trPr>
        <w:tc>
          <w:tcPr>
            <w:tcW w:w="1975" w:type="dxa"/>
            <w:shd w:val="clear" w:color="auto" w:fill="DBE5F1" w:themeFill="accent1" w:themeFillTint="33"/>
            <w:noWrap/>
            <w:hideMark/>
          </w:tcPr>
          <w:p w14:paraId="744CA937" w14:textId="7DCB9877" w:rsidR="00460229" w:rsidRPr="00B87202" w:rsidRDefault="00163917" w:rsidP="008E6B30">
            <w:pPr>
              <w:rPr>
                <w:rFonts w:eastAsia="Times New Roman" w:cs="Times New Roman"/>
                <w:b/>
                <w:bCs/>
                <w:szCs w:val="24"/>
              </w:rPr>
            </w:pPr>
            <w:r w:rsidRPr="00B87202">
              <w:rPr>
                <w:rFonts w:ascii="Segoe UI" w:eastAsia="Times New Roman" w:hAnsi="Segoe UI" w:cs="Segoe UI"/>
                <w:b/>
                <w:bCs/>
                <w:color w:val="000000"/>
                <w:szCs w:val="24"/>
              </w:rPr>
              <w:t>Race/ Ethnicity</w:t>
            </w:r>
          </w:p>
        </w:tc>
        <w:tc>
          <w:tcPr>
            <w:tcW w:w="1242" w:type="dxa"/>
            <w:shd w:val="clear" w:color="auto" w:fill="DBE5F1" w:themeFill="accent1" w:themeFillTint="33"/>
            <w:noWrap/>
            <w:hideMark/>
          </w:tcPr>
          <w:p w14:paraId="3C04ABF3" w14:textId="77777777" w:rsidR="00460229" w:rsidRPr="00B87202" w:rsidRDefault="00460229" w:rsidP="008E6B30">
            <w:pPr>
              <w:rPr>
                <w:rFonts w:ascii="Segoe UI" w:eastAsia="Times New Roman" w:hAnsi="Segoe UI" w:cs="Segoe UI"/>
                <w:b/>
                <w:bCs/>
                <w:color w:val="000000"/>
                <w:szCs w:val="24"/>
              </w:rPr>
            </w:pPr>
            <w:r w:rsidRPr="00B87202">
              <w:rPr>
                <w:rFonts w:ascii="Segoe UI" w:eastAsia="Times New Roman" w:hAnsi="Segoe UI" w:cs="Segoe UI"/>
                <w:b/>
                <w:bCs/>
                <w:color w:val="000000"/>
                <w:szCs w:val="24"/>
              </w:rPr>
              <w:t>Statewide</w:t>
            </w:r>
          </w:p>
        </w:tc>
        <w:tc>
          <w:tcPr>
            <w:tcW w:w="1040" w:type="dxa"/>
            <w:shd w:val="clear" w:color="auto" w:fill="DBE5F1" w:themeFill="accent1" w:themeFillTint="33"/>
            <w:noWrap/>
            <w:hideMark/>
          </w:tcPr>
          <w:p w14:paraId="1A45649E" w14:textId="77777777" w:rsidR="00460229" w:rsidRPr="00B87202" w:rsidRDefault="00460229" w:rsidP="008E6B30">
            <w:pPr>
              <w:rPr>
                <w:rFonts w:ascii="Segoe UI" w:eastAsia="Times New Roman" w:hAnsi="Segoe UI" w:cs="Segoe UI"/>
                <w:b/>
                <w:bCs/>
                <w:color w:val="000000"/>
                <w:szCs w:val="24"/>
              </w:rPr>
            </w:pPr>
            <w:r w:rsidRPr="00B87202">
              <w:rPr>
                <w:rFonts w:ascii="Segoe UI" w:eastAsia="Times New Roman" w:hAnsi="Segoe UI" w:cs="Segoe UI"/>
                <w:b/>
                <w:bCs/>
                <w:color w:val="000000"/>
                <w:szCs w:val="24"/>
              </w:rPr>
              <w:t>PSA</w:t>
            </w:r>
          </w:p>
        </w:tc>
      </w:tr>
      <w:tr w:rsidR="001170F0" w:rsidRPr="00B87202" w14:paraId="370A63CC" w14:textId="77777777" w:rsidTr="005F2354">
        <w:trPr>
          <w:cantSplit/>
          <w:trHeight w:val="330"/>
        </w:trPr>
        <w:tc>
          <w:tcPr>
            <w:tcW w:w="1975" w:type="dxa"/>
            <w:noWrap/>
            <w:hideMark/>
          </w:tcPr>
          <w:p w14:paraId="575ECB3E" w14:textId="78018EC7" w:rsidR="001170F0" w:rsidRPr="00B87202" w:rsidRDefault="001170F0" w:rsidP="001170F0">
            <w:pPr>
              <w:rPr>
                <w:rFonts w:ascii="Segoe UI" w:eastAsia="Times New Roman" w:hAnsi="Segoe UI" w:cs="Segoe UI"/>
                <w:color w:val="000000"/>
                <w:szCs w:val="24"/>
              </w:rPr>
            </w:pPr>
            <w:r w:rsidRPr="00B87202">
              <w:rPr>
                <w:rFonts w:ascii="Segoe UI" w:eastAsia="Times New Roman" w:hAnsi="Segoe UI" w:cs="Segoe UI"/>
                <w:color w:val="000000"/>
                <w:szCs w:val="24"/>
              </w:rPr>
              <w:t>White</w:t>
            </w:r>
          </w:p>
        </w:tc>
        <w:tc>
          <w:tcPr>
            <w:tcW w:w="1242" w:type="dxa"/>
            <w:noWrap/>
            <w:hideMark/>
          </w:tcPr>
          <w:p w14:paraId="6AA7DF50" w14:textId="6C587C76" w:rsidR="001170F0" w:rsidRPr="00B87202" w:rsidRDefault="001170F0" w:rsidP="001170F0">
            <w:pPr>
              <w:jc w:val="right"/>
              <w:rPr>
                <w:rFonts w:ascii="Segoe UI" w:eastAsia="Times New Roman" w:hAnsi="Segoe UI" w:cs="Segoe UI"/>
                <w:color w:val="000000"/>
                <w:szCs w:val="24"/>
              </w:rPr>
            </w:pPr>
            <w:r w:rsidRPr="00B87202">
              <w:rPr>
                <w:rFonts w:ascii="Segoe UI" w:eastAsia="Times New Roman" w:hAnsi="Segoe UI" w:cs="Segoe UI"/>
                <w:color w:val="000000"/>
                <w:szCs w:val="24"/>
              </w:rPr>
              <w:t>65%</w:t>
            </w:r>
          </w:p>
        </w:tc>
        <w:tc>
          <w:tcPr>
            <w:tcW w:w="1040" w:type="dxa"/>
            <w:noWrap/>
            <w:hideMark/>
          </w:tcPr>
          <w:p w14:paraId="452EFF71" w14:textId="2B02B8F3" w:rsidR="001170F0" w:rsidRPr="00B87202" w:rsidRDefault="001170F0" w:rsidP="001170F0">
            <w:pPr>
              <w:jc w:val="right"/>
              <w:rPr>
                <w:rFonts w:ascii="Segoe UI" w:eastAsia="Times New Roman" w:hAnsi="Segoe UI" w:cs="Segoe UI"/>
                <w:color w:val="000000"/>
                <w:szCs w:val="24"/>
              </w:rPr>
            </w:pPr>
            <w:r w:rsidRPr="00B87202">
              <w:rPr>
                <w:rFonts w:ascii="Segoe UI" w:eastAsia="Times New Roman" w:hAnsi="Segoe UI" w:cs="Segoe UI"/>
                <w:color w:val="000000"/>
                <w:szCs w:val="24"/>
              </w:rPr>
              <w:t>59%</w:t>
            </w:r>
          </w:p>
        </w:tc>
      </w:tr>
      <w:tr w:rsidR="001170F0" w:rsidRPr="00B87202" w14:paraId="43E443FD" w14:textId="77777777" w:rsidTr="005F2354">
        <w:trPr>
          <w:cantSplit/>
          <w:trHeight w:val="330"/>
        </w:trPr>
        <w:tc>
          <w:tcPr>
            <w:tcW w:w="1975" w:type="dxa"/>
            <w:noWrap/>
            <w:hideMark/>
          </w:tcPr>
          <w:p w14:paraId="24A36978" w14:textId="23565F93" w:rsidR="001170F0" w:rsidRPr="00B87202" w:rsidRDefault="001170F0" w:rsidP="001170F0">
            <w:pPr>
              <w:rPr>
                <w:rFonts w:ascii="Segoe UI" w:eastAsia="Times New Roman" w:hAnsi="Segoe UI" w:cs="Segoe UI"/>
                <w:color w:val="000000"/>
                <w:szCs w:val="24"/>
              </w:rPr>
            </w:pPr>
            <w:r w:rsidRPr="00B87202">
              <w:rPr>
                <w:rFonts w:ascii="Segoe UI" w:eastAsia="Times New Roman" w:hAnsi="Segoe UI" w:cs="Segoe UI"/>
                <w:color w:val="000000"/>
                <w:szCs w:val="24"/>
              </w:rPr>
              <w:t>Hispanic</w:t>
            </w:r>
          </w:p>
        </w:tc>
        <w:tc>
          <w:tcPr>
            <w:tcW w:w="1242" w:type="dxa"/>
            <w:noWrap/>
            <w:hideMark/>
          </w:tcPr>
          <w:p w14:paraId="2C11EAB3" w14:textId="28C062CC" w:rsidR="001170F0" w:rsidRPr="00B87202" w:rsidRDefault="001170F0" w:rsidP="001170F0">
            <w:pPr>
              <w:jc w:val="right"/>
              <w:rPr>
                <w:rFonts w:ascii="Segoe UI" w:eastAsia="Times New Roman" w:hAnsi="Segoe UI" w:cs="Segoe UI"/>
                <w:color w:val="000000"/>
                <w:szCs w:val="24"/>
              </w:rPr>
            </w:pPr>
            <w:r w:rsidRPr="00B87202">
              <w:rPr>
                <w:rFonts w:ascii="Segoe UI" w:eastAsia="Times New Roman" w:hAnsi="Segoe UI" w:cs="Segoe UI"/>
                <w:color w:val="000000"/>
                <w:szCs w:val="24"/>
              </w:rPr>
              <w:t>14%</w:t>
            </w:r>
          </w:p>
        </w:tc>
        <w:tc>
          <w:tcPr>
            <w:tcW w:w="1040" w:type="dxa"/>
            <w:noWrap/>
            <w:hideMark/>
          </w:tcPr>
          <w:p w14:paraId="4665A128" w14:textId="27D56BAC" w:rsidR="001170F0" w:rsidRPr="00B87202" w:rsidRDefault="001170F0" w:rsidP="001170F0">
            <w:pPr>
              <w:jc w:val="right"/>
              <w:rPr>
                <w:rFonts w:ascii="Segoe UI" w:eastAsia="Times New Roman" w:hAnsi="Segoe UI" w:cs="Segoe UI"/>
                <w:color w:val="000000"/>
                <w:szCs w:val="24"/>
              </w:rPr>
            </w:pPr>
            <w:r w:rsidRPr="00B87202">
              <w:rPr>
                <w:rFonts w:ascii="Segoe UI" w:eastAsia="Times New Roman" w:hAnsi="Segoe UI" w:cs="Segoe UI"/>
                <w:color w:val="000000"/>
                <w:szCs w:val="24"/>
              </w:rPr>
              <w:t>16%</w:t>
            </w:r>
          </w:p>
        </w:tc>
      </w:tr>
      <w:tr w:rsidR="001170F0" w:rsidRPr="00B87202" w14:paraId="2DB40CA7" w14:textId="77777777" w:rsidTr="005F2354">
        <w:trPr>
          <w:cantSplit/>
          <w:trHeight w:val="330"/>
        </w:trPr>
        <w:tc>
          <w:tcPr>
            <w:tcW w:w="1975" w:type="dxa"/>
            <w:noWrap/>
            <w:hideMark/>
          </w:tcPr>
          <w:p w14:paraId="27110D30" w14:textId="07D6734E" w:rsidR="001170F0" w:rsidRPr="00B87202" w:rsidRDefault="001170F0" w:rsidP="001170F0">
            <w:pPr>
              <w:rPr>
                <w:rFonts w:ascii="Segoe UI" w:eastAsia="Times New Roman" w:hAnsi="Segoe UI" w:cs="Segoe UI"/>
                <w:color w:val="000000"/>
                <w:szCs w:val="24"/>
              </w:rPr>
            </w:pPr>
            <w:r w:rsidRPr="00B87202">
              <w:rPr>
                <w:rFonts w:ascii="Segoe UI" w:eastAsia="Times New Roman" w:hAnsi="Segoe UI" w:cs="Segoe UI"/>
                <w:color w:val="000000"/>
                <w:szCs w:val="24"/>
              </w:rPr>
              <w:t>Asian</w:t>
            </w:r>
          </w:p>
        </w:tc>
        <w:tc>
          <w:tcPr>
            <w:tcW w:w="1242" w:type="dxa"/>
            <w:noWrap/>
            <w:hideMark/>
          </w:tcPr>
          <w:p w14:paraId="5433C0D4" w14:textId="7EC42F11" w:rsidR="001170F0" w:rsidRPr="00B87202" w:rsidRDefault="001170F0" w:rsidP="001170F0">
            <w:pPr>
              <w:jc w:val="right"/>
              <w:rPr>
                <w:rFonts w:ascii="Segoe UI" w:eastAsia="Times New Roman" w:hAnsi="Segoe UI" w:cs="Segoe UI"/>
                <w:color w:val="000000"/>
                <w:szCs w:val="24"/>
              </w:rPr>
            </w:pPr>
            <w:r w:rsidRPr="00B87202">
              <w:rPr>
                <w:rFonts w:ascii="Segoe UI" w:eastAsia="Times New Roman" w:hAnsi="Segoe UI" w:cs="Segoe UI"/>
                <w:color w:val="000000"/>
                <w:szCs w:val="24"/>
              </w:rPr>
              <w:t>8%</w:t>
            </w:r>
          </w:p>
        </w:tc>
        <w:tc>
          <w:tcPr>
            <w:tcW w:w="1040" w:type="dxa"/>
            <w:noWrap/>
            <w:hideMark/>
          </w:tcPr>
          <w:p w14:paraId="60796F6A" w14:textId="1AC93269" w:rsidR="001170F0" w:rsidRPr="00B87202" w:rsidRDefault="001170F0" w:rsidP="001170F0">
            <w:pPr>
              <w:jc w:val="right"/>
              <w:rPr>
                <w:rFonts w:ascii="Segoe UI" w:eastAsia="Times New Roman" w:hAnsi="Segoe UI" w:cs="Segoe UI"/>
                <w:color w:val="000000"/>
                <w:szCs w:val="24"/>
              </w:rPr>
            </w:pPr>
            <w:r w:rsidRPr="00B87202">
              <w:rPr>
                <w:rFonts w:ascii="Segoe UI" w:eastAsia="Times New Roman" w:hAnsi="Segoe UI" w:cs="Segoe UI"/>
                <w:color w:val="000000"/>
                <w:szCs w:val="24"/>
              </w:rPr>
              <w:t>12%</w:t>
            </w:r>
          </w:p>
        </w:tc>
      </w:tr>
      <w:tr w:rsidR="001170F0" w:rsidRPr="00B87202" w14:paraId="63863BF1" w14:textId="77777777" w:rsidTr="005F2354">
        <w:trPr>
          <w:cantSplit/>
          <w:trHeight w:val="330"/>
        </w:trPr>
        <w:tc>
          <w:tcPr>
            <w:tcW w:w="1975" w:type="dxa"/>
            <w:noWrap/>
            <w:hideMark/>
          </w:tcPr>
          <w:p w14:paraId="6F561FA8" w14:textId="56831BF2" w:rsidR="001170F0" w:rsidRPr="00B87202" w:rsidRDefault="001170F0" w:rsidP="001170F0">
            <w:pPr>
              <w:rPr>
                <w:rFonts w:ascii="Segoe UI" w:eastAsia="Times New Roman" w:hAnsi="Segoe UI" w:cs="Segoe UI"/>
                <w:color w:val="000000"/>
                <w:szCs w:val="24"/>
              </w:rPr>
            </w:pPr>
            <w:r w:rsidRPr="00B87202">
              <w:rPr>
                <w:rFonts w:ascii="Segoe UI" w:eastAsia="Times New Roman" w:hAnsi="Segoe UI" w:cs="Segoe UI"/>
                <w:color w:val="000000"/>
                <w:szCs w:val="24"/>
              </w:rPr>
              <w:t>Black</w:t>
            </w:r>
          </w:p>
        </w:tc>
        <w:tc>
          <w:tcPr>
            <w:tcW w:w="1242" w:type="dxa"/>
            <w:noWrap/>
            <w:hideMark/>
          </w:tcPr>
          <w:p w14:paraId="56096AB0" w14:textId="77777777" w:rsidR="001170F0" w:rsidRPr="00B87202" w:rsidRDefault="001170F0" w:rsidP="001170F0">
            <w:pPr>
              <w:jc w:val="right"/>
              <w:rPr>
                <w:rFonts w:ascii="Segoe UI" w:eastAsia="Times New Roman" w:hAnsi="Segoe UI" w:cs="Segoe UI"/>
                <w:color w:val="000000"/>
                <w:szCs w:val="24"/>
              </w:rPr>
            </w:pPr>
            <w:r w:rsidRPr="00B87202">
              <w:rPr>
                <w:rFonts w:ascii="Segoe UI" w:eastAsia="Times New Roman" w:hAnsi="Segoe UI" w:cs="Segoe UI"/>
                <w:color w:val="000000"/>
                <w:szCs w:val="24"/>
              </w:rPr>
              <w:t>7%</w:t>
            </w:r>
          </w:p>
        </w:tc>
        <w:tc>
          <w:tcPr>
            <w:tcW w:w="1040" w:type="dxa"/>
            <w:noWrap/>
            <w:hideMark/>
          </w:tcPr>
          <w:p w14:paraId="424EC91D" w14:textId="274DB975" w:rsidR="001170F0" w:rsidRPr="00B87202" w:rsidRDefault="001170F0" w:rsidP="001170F0">
            <w:pPr>
              <w:jc w:val="right"/>
              <w:rPr>
                <w:rFonts w:ascii="Segoe UI" w:eastAsia="Times New Roman" w:hAnsi="Segoe UI" w:cs="Segoe UI"/>
                <w:color w:val="000000"/>
                <w:szCs w:val="24"/>
              </w:rPr>
            </w:pPr>
            <w:r w:rsidRPr="00B87202">
              <w:rPr>
                <w:rFonts w:ascii="Segoe UI" w:eastAsia="Times New Roman" w:hAnsi="Segoe UI" w:cs="Segoe UI"/>
                <w:color w:val="000000"/>
                <w:szCs w:val="24"/>
              </w:rPr>
              <w:t>7%</w:t>
            </w:r>
          </w:p>
        </w:tc>
      </w:tr>
      <w:tr w:rsidR="001170F0" w:rsidRPr="00B87202" w14:paraId="11827596" w14:textId="77777777" w:rsidTr="005F2354">
        <w:trPr>
          <w:cantSplit/>
          <w:trHeight w:val="330"/>
        </w:trPr>
        <w:tc>
          <w:tcPr>
            <w:tcW w:w="1975" w:type="dxa"/>
            <w:noWrap/>
            <w:hideMark/>
          </w:tcPr>
          <w:p w14:paraId="2FB687A9" w14:textId="223D04A7" w:rsidR="001170F0" w:rsidRPr="00B87202" w:rsidRDefault="001170F0" w:rsidP="001170F0">
            <w:pPr>
              <w:rPr>
                <w:rFonts w:ascii="Segoe UI" w:eastAsia="Times New Roman" w:hAnsi="Segoe UI" w:cs="Segoe UI"/>
                <w:color w:val="000000"/>
                <w:szCs w:val="24"/>
              </w:rPr>
            </w:pPr>
            <w:r w:rsidRPr="00B87202">
              <w:rPr>
                <w:rFonts w:ascii="Segoe UI" w:eastAsia="Times New Roman" w:hAnsi="Segoe UI" w:cs="Segoe UI"/>
                <w:color w:val="000000"/>
                <w:szCs w:val="24"/>
              </w:rPr>
              <w:t>Multiple</w:t>
            </w:r>
          </w:p>
        </w:tc>
        <w:tc>
          <w:tcPr>
            <w:tcW w:w="1242" w:type="dxa"/>
            <w:noWrap/>
            <w:hideMark/>
          </w:tcPr>
          <w:p w14:paraId="087F2295" w14:textId="74DD8E65" w:rsidR="001170F0" w:rsidRPr="00B87202" w:rsidRDefault="001170F0" w:rsidP="001170F0">
            <w:pPr>
              <w:jc w:val="right"/>
              <w:rPr>
                <w:rFonts w:ascii="Segoe UI" w:eastAsia="Times New Roman" w:hAnsi="Segoe UI" w:cs="Segoe UI"/>
                <w:color w:val="000000"/>
                <w:szCs w:val="24"/>
              </w:rPr>
            </w:pPr>
            <w:r w:rsidRPr="00B87202">
              <w:rPr>
                <w:rFonts w:ascii="Segoe UI" w:eastAsia="Times New Roman" w:hAnsi="Segoe UI" w:cs="Segoe UI"/>
                <w:color w:val="000000"/>
                <w:szCs w:val="24"/>
              </w:rPr>
              <w:t>5%</w:t>
            </w:r>
          </w:p>
        </w:tc>
        <w:tc>
          <w:tcPr>
            <w:tcW w:w="1040" w:type="dxa"/>
            <w:noWrap/>
            <w:hideMark/>
          </w:tcPr>
          <w:p w14:paraId="105E6CD9" w14:textId="1C35EFB4" w:rsidR="001170F0" w:rsidRPr="00B87202" w:rsidRDefault="001170F0" w:rsidP="001170F0">
            <w:pPr>
              <w:jc w:val="right"/>
              <w:rPr>
                <w:rFonts w:ascii="Segoe UI" w:eastAsia="Times New Roman" w:hAnsi="Segoe UI" w:cs="Segoe UI"/>
                <w:color w:val="000000"/>
                <w:szCs w:val="24"/>
              </w:rPr>
            </w:pPr>
            <w:r w:rsidRPr="00B87202">
              <w:rPr>
                <w:rFonts w:ascii="Segoe UI" w:eastAsia="Times New Roman" w:hAnsi="Segoe UI" w:cs="Segoe UI"/>
                <w:color w:val="000000"/>
                <w:szCs w:val="24"/>
              </w:rPr>
              <w:t>5%</w:t>
            </w:r>
          </w:p>
        </w:tc>
      </w:tr>
      <w:tr w:rsidR="001170F0" w:rsidRPr="00B87202" w14:paraId="72AF5977" w14:textId="77777777" w:rsidTr="005F2354">
        <w:trPr>
          <w:cantSplit/>
          <w:trHeight w:val="330"/>
        </w:trPr>
        <w:tc>
          <w:tcPr>
            <w:tcW w:w="1975" w:type="dxa"/>
            <w:noWrap/>
            <w:hideMark/>
          </w:tcPr>
          <w:p w14:paraId="54E5AA2C" w14:textId="7B561213" w:rsidR="001170F0" w:rsidRPr="00B87202" w:rsidRDefault="001170F0" w:rsidP="001170F0">
            <w:pPr>
              <w:rPr>
                <w:rFonts w:ascii="Segoe UI" w:eastAsia="Times New Roman" w:hAnsi="Segoe UI" w:cs="Segoe UI"/>
                <w:color w:val="000000"/>
                <w:szCs w:val="24"/>
              </w:rPr>
            </w:pPr>
            <w:r w:rsidRPr="00B87202">
              <w:rPr>
                <w:rFonts w:ascii="Segoe UI" w:eastAsia="Times New Roman" w:hAnsi="Segoe UI" w:cs="Segoe UI"/>
                <w:color w:val="000000"/>
                <w:szCs w:val="24"/>
              </w:rPr>
              <w:lastRenderedPageBreak/>
              <w:t>Other</w:t>
            </w:r>
          </w:p>
        </w:tc>
        <w:tc>
          <w:tcPr>
            <w:tcW w:w="1242" w:type="dxa"/>
            <w:noWrap/>
            <w:hideMark/>
          </w:tcPr>
          <w:p w14:paraId="09BE3A0C" w14:textId="77777777" w:rsidR="001170F0" w:rsidRPr="00B87202" w:rsidRDefault="001170F0" w:rsidP="001170F0">
            <w:pPr>
              <w:jc w:val="right"/>
              <w:rPr>
                <w:rFonts w:ascii="Segoe UI" w:eastAsia="Times New Roman" w:hAnsi="Segoe UI" w:cs="Segoe UI"/>
                <w:color w:val="000000"/>
                <w:szCs w:val="24"/>
              </w:rPr>
            </w:pPr>
            <w:r w:rsidRPr="00B87202">
              <w:rPr>
                <w:rFonts w:ascii="Segoe UI" w:eastAsia="Times New Roman" w:hAnsi="Segoe UI" w:cs="Segoe UI"/>
                <w:color w:val="000000"/>
                <w:szCs w:val="24"/>
              </w:rPr>
              <w:t>1%</w:t>
            </w:r>
          </w:p>
        </w:tc>
        <w:tc>
          <w:tcPr>
            <w:tcW w:w="1040" w:type="dxa"/>
            <w:noWrap/>
            <w:hideMark/>
          </w:tcPr>
          <w:p w14:paraId="61C58C97" w14:textId="77777777" w:rsidR="001170F0" w:rsidRPr="00B87202" w:rsidRDefault="001170F0" w:rsidP="001170F0">
            <w:pPr>
              <w:jc w:val="right"/>
              <w:rPr>
                <w:rFonts w:ascii="Segoe UI" w:eastAsia="Times New Roman" w:hAnsi="Segoe UI" w:cs="Segoe UI"/>
                <w:color w:val="000000"/>
                <w:szCs w:val="24"/>
              </w:rPr>
            </w:pPr>
            <w:r w:rsidRPr="00B87202">
              <w:rPr>
                <w:rFonts w:ascii="Segoe UI" w:eastAsia="Times New Roman" w:hAnsi="Segoe UI" w:cs="Segoe UI"/>
                <w:color w:val="000000"/>
                <w:szCs w:val="24"/>
              </w:rPr>
              <w:t>1%</w:t>
            </w:r>
          </w:p>
        </w:tc>
      </w:tr>
      <w:tr w:rsidR="001170F0" w:rsidRPr="00B87202" w14:paraId="10213EB7" w14:textId="77777777" w:rsidTr="005F2354">
        <w:trPr>
          <w:cantSplit/>
          <w:trHeight w:val="330"/>
        </w:trPr>
        <w:tc>
          <w:tcPr>
            <w:tcW w:w="1975" w:type="dxa"/>
            <w:noWrap/>
            <w:hideMark/>
          </w:tcPr>
          <w:p w14:paraId="4C08178D" w14:textId="1AA48C06" w:rsidR="001170F0" w:rsidRPr="00B87202" w:rsidRDefault="001170F0" w:rsidP="001170F0">
            <w:pPr>
              <w:rPr>
                <w:rFonts w:ascii="Segoe UI" w:eastAsia="Times New Roman" w:hAnsi="Segoe UI" w:cs="Segoe UI"/>
                <w:color w:val="000000"/>
                <w:szCs w:val="24"/>
              </w:rPr>
            </w:pPr>
            <w:r w:rsidRPr="00B87202">
              <w:rPr>
                <w:rFonts w:ascii="Segoe UI" w:eastAsia="Times New Roman" w:hAnsi="Segoe UI" w:cs="Segoe UI"/>
                <w:color w:val="000000"/>
                <w:szCs w:val="24"/>
              </w:rPr>
              <w:t>American Indian</w:t>
            </w:r>
          </w:p>
        </w:tc>
        <w:tc>
          <w:tcPr>
            <w:tcW w:w="1242" w:type="dxa"/>
            <w:noWrap/>
            <w:hideMark/>
          </w:tcPr>
          <w:p w14:paraId="6D7C56A9" w14:textId="1C906402" w:rsidR="001170F0" w:rsidRPr="00B87202" w:rsidRDefault="001170F0" w:rsidP="001170F0">
            <w:pPr>
              <w:jc w:val="right"/>
              <w:rPr>
                <w:rFonts w:ascii="Segoe UI" w:eastAsia="Times New Roman" w:hAnsi="Segoe UI" w:cs="Segoe UI"/>
                <w:color w:val="000000"/>
                <w:szCs w:val="24"/>
              </w:rPr>
            </w:pPr>
            <w:r w:rsidRPr="00B87202">
              <w:rPr>
                <w:rFonts w:ascii="Segoe UI" w:eastAsia="Times New Roman" w:hAnsi="Segoe UI" w:cs="Segoe UI"/>
                <w:color w:val="000000"/>
                <w:szCs w:val="24"/>
              </w:rPr>
              <w:t>0%</w:t>
            </w:r>
          </w:p>
        </w:tc>
        <w:tc>
          <w:tcPr>
            <w:tcW w:w="1040" w:type="dxa"/>
            <w:noWrap/>
            <w:hideMark/>
          </w:tcPr>
          <w:p w14:paraId="56157473" w14:textId="27484FBE" w:rsidR="001170F0" w:rsidRPr="00B87202" w:rsidRDefault="001170F0" w:rsidP="001170F0">
            <w:pPr>
              <w:jc w:val="right"/>
              <w:rPr>
                <w:rFonts w:ascii="Segoe UI" w:eastAsia="Times New Roman" w:hAnsi="Segoe UI" w:cs="Segoe UI"/>
                <w:color w:val="000000"/>
                <w:szCs w:val="24"/>
              </w:rPr>
            </w:pPr>
            <w:r w:rsidRPr="00B87202">
              <w:rPr>
                <w:rFonts w:ascii="Segoe UI" w:eastAsia="Times New Roman" w:hAnsi="Segoe UI" w:cs="Segoe UI"/>
                <w:color w:val="000000"/>
                <w:szCs w:val="24"/>
              </w:rPr>
              <w:t>0%</w:t>
            </w:r>
          </w:p>
        </w:tc>
      </w:tr>
      <w:tr w:rsidR="001170F0" w:rsidRPr="00B87202" w14:paraId="3F1C1FC8" w14:textId="77777777" w:rsidTr="005F2354">
        <w:trPr>
          <w:cantSplit/>
          <w:trHeight w:val="330"/>
        </w:trPr>
        <w:tc>
          <w:tcPr>
            <w:tcW w:w="1975" w:type="dxa"/>
            <w:noWrap/>
            <w:hideMark/>
          </w:tcPr>
          <w:p w14:paraId="666FAB46" w14:textId="4ED05A66" w:rsidR="001170F0" w:rsidRPr="00B87202" w:rsidRDefault="001170F0" w:rsidP="001170F0">
            <w:pPr>
              <w:rPr>
                <w:rFonts w:ascii="Segoe UI" w:eastAsia="Times New Roman" w:hAnsi="Segoe UI" w:cs="Segoe UI"/>
                <w:color w:val="000000"/>
                <w:szCs w:val="24"/>
              </w:rPr>
            </w:pPr>
            <w:r w:rsidRPr="00B87202">
              <w:rPr>
                <w:rFonts w:ascii="Segoe UI" w:eastAsia="Times New Roman" w:hAnsi="Segoe UI" w:cs="Segoe UI"/>
                <w:color w:val="000000"/>
                <w:szCs w:val="24"/>
              </w:rPr>
              <w:t>Pacific Islander</w:t>
            </w:r>
          </w:p>
        </w:tc>
        <w:tc>
          <w:tcPr>
            <w:tcW w:w="1242" w:type="dxa"/>
            <w:noWrap/>
            <w:hideMark/>
          </w:tcPr>
          <w:p w14:paraId="650A907E" w14:textId="026BFC86" w:rsidR="001170F0" w:rsidRPr="00B87202" w:rsidRDefault="001170F0" w:rsidP="001170F0">
            <w:pPr>
              <w:jc w:val="right"/>
              <w:rPr>
                <w:rFonts w:ascii="Segoe UI" w:eastAsia="Times New Roman" w:hAnsi="Segoe UI" w:cs="Segoe UI"/>
                <w:color w:val="000000"/>
                <w:szCs w:val="24"/>
              </w:rPr>
            </w:pPr>
            <w:r w:rsidRPr="00B87202">
              <w:rPr>
                <w:rFonts w:ascii="Segoe UI" w:eastAsia="Times New Roman" w:hAnsi="Segoe UI" w:cs="Segoe UI"/>
                <w:color w:val="000000"/>
                <w:szCs w:val="24"/>
              </w:rPr>
              <w:t>0%</w:t>
            </w:r>
          </w:p>
        </w:tc>
        <w:tc>
          <w:tcPr>
            <w:tcW w:w="1040" w:type="dxa"/>
            <w:noWrap/>
            <w:hideMark/>
          </w:tcPr>
          <w:p w14:paraId="61561979" w14:textId="36BE7268" w:rsidR="001170F0" w:rsidRPr="00B87202" w:rsidRDefault="001170F0" w:rsidP="001170F0">
            <w:pPr>
              <w:jc w:val="right"/>
              <w:rPr>
                <w:rFonts w:ascii="Segoe UI" w:eastAsia="Times New Roman" w:hAnsi="Segoe UI" w:cs="Segoe UI"/>
                <w:color w:val="000000"/>
                <w:szCs w:val="24"/>
              </w:rPr>
            </w:pPr>
            <w:r w:rsidRPr="00B87202">
              <w:rPr>
                <w:rFonts w:ascii="Segoe UI" w:eastAsia="Times New Roman" w:hAnsi="Segoe UI" w:cs="Segoe UI"/>
                <w:color w:val="000000"/>
                <w:szCs w:val="24"/>
              </w:rPr>
              <w:t>0%</w:t>
            </w:r>
          </w:p>
        </w:tc>
      </w:tr>
    </w:tbl>
    <w:p w14:paraId="34FC19EB" w14:textId="5F8EFF4B" w:rsidR="00460229" w:rsidRPr="00B87202" w:rsidRDefault="00460229" w:rsidP="00460229">
      <w:pPr>
        <w:rPr>
          <w:rFonts w:asciiTheme="minorHAnsi" w:hAnsiTheme="minorHAnsi" w:cstheme="minorHAnsi"/>
          <w:bCs/>
          <w:szCs w:val="24"/>
        </w:rPr>
      </w:pPr>
      <w:r w:rsidRPr="00B87202">
        <w:rPr>
          <w:rFonts w:asciiTheme="minorHAnsi" w:hAnsiTheme="minorHAnsi" w:cstheme="minorHAnsi"/>
          <w:bCs/>
          <w:szCs w:val="24"/>
        </w:rPr>
        <w:t xml:space="preserve">Source: ESRI Data </w:t>
      </w:r>
      <w:r w:rsidR="001170F0" w:rsidRPr="00B87202">
        <w:rPr>
          <w:rFonts w:asciiTheme="minorHAnsi" w:hAnsiTheme="minorHAnsi" w:cstheme="minorHAnsi"/>
          <w:bCs/>
          <w:szCs w:val="24"/>
        </w:rPr>
        <w:t>2025</w:t>
      </w:r>
    </w:p>
    <w:p w14:paraId="24D5CFC3" w14:textId="77777777" w:rsidR="00E45E85" w:rsidRDefault="00E45E85">
      <w:pPr>
        <w:rPr>
          <w:rFonts w:asciiTheme="minorHAnsi" w:hAnsiTheme="minorHAnsi" w:cstheme="minorHAnsi"/>
          <w:b/>
          <w:szCs w:val="24"/>
        </w:rPr>
      </w:pPr>
      <w:r>
        <w:rPr>
          <w:rFonts w:asciiTheme="minorHAnsi" w:hAnsiTheme="minorHAnsi" w:cstheme="minorHAnsi"/>
          <w:b/>
          <w:szCs w:val="24"/>
        </w:rPr>
        <w:br w:type="page"/>
      </w:r>
    </w:p>
    <w:p w14:paraId="5D0C7136" w14:textId="29A472D3" w:rsidR="004D37D9" w:rsidRDefault="004D37D9" w:rsidP="00E45E85">
      <w:pPr>
        <w:jc w:val="center"/>
        <w:rPr>
          <w:rFonts w:asciiTheme="minorHAnsi" w:hAnsiTheme="minorHAnsi" w:cstheme="minorHAnsi"/>
          <w:b/>
          <w:szCs w:val="24"/>
        </w:rPr>
      </w:pPr>
      <w:r w:rsidRPr="004D37D9">
        <w:rPr>
          <w:rFonts w:asciiTheme="minorHAnsi" w:hAnsiTheme="minorHAnsi" w:cstheme="minorHAnsi"/>
          <w:b/>
          <w:szCs w:val="24"/>
        </w:rPr>
        <w:lastRenderedPageBreak/>
        <w:t>Exhibit 4</w:t>
      </w:r>
    </w:p>
    <w:p w14:paraId="76D0C8B0" w14:textId="0AAB2772" w:rsidR="004D37D9" w:rsidRDefault="004D37D9" w:rsidP="004D37D9">
      <w:pPr>
        <w:jc w:val="center"/>
        <w:rPr>
          <w:rFonts w:asciiTheme="minorHAnsi" w:hAnsiTheme="minorHAnsi" w:cstheme="minorHAnsi"/>
          <w:b/>
          <w:szCs w:val="24"/>
        </w:rPr>
      </w:pPr>
      <w:r>
        <w:rPr>
          <w:rFonts w:asciiTheme="minorHAnsi" w:hAnsiTheme="minorHAnsi" w:cstheme="minorHAnsi"/>
          <w:b/>
          <w:szCs w:val="24"/>
        </w:rPr>
        <w:t>Patient Panel Demographics by Utilization</w:t>
      </w:r>
    </w:p>
    <w:p w14:paraId="672BFC3D" w14:textId="77777777" w:rsidR="003243FE" w:rsidRDefault="003243FE" w:rsidP="004D37D9">
      <w:pPr>
        <w:pStyle w:val="ListParagraph"/>
        <w:numPr>
          <w:ilvl w:val="0"/>
          <w:numId w:val="32"/>
        </w:numPr>
        <w:rPr>
          <w:rFonts w:cstheme="minorHAnsi"/>
          <w:b/>
          <w:sz w:val="24"/>
          <w:szCs w:val="28"/>
        </w:rPr>
      </w:pPr>
      <w:r>
        <w:rPr>
          <w:rFonts w:cstheme="minorHAnsi"/>
          <w:b/>
          <w:sz w:val="24"/>
          <w:szCs w:val="28"/>
        </w:rPr>
        <w:t xml:space="preserve">Statewide Demand </w:t>
      </w:r>
    </w:p>
    <w:p w14:paraId="14FB211E" w14:textId="77777777" w:rsidR="003243FE" w:rsidRDefault="003243FE" w:rsidP="003243FE">
      <w:pPr>
        <w:pStyle w:val="ListParagraph"/>
        <w:rPr>
          <w:rFonts w:cstheme="minorHAnsi"/>
          <w:b/>
          <w:sz w:val="24"/>
          <w:szCs w:val="28"/>
        </w:rPr>
      </w:pPr>
    </w:p>
    <w:p w14:paraId="722A5808" w14:textId="5653C7FC" w:rsidR="004D37D9" w:rsidRDefault="004D37D9" w:rsidP="003243FE">
      <w:pPr>
        <w:pStyle w:val="ListParagraph"/>
        <w:numPr>
          <w:ilvl w:val="1"/>
          <w:numId w:val="32"/>
        </w:numPr>
        <w:rPr>
          <w:rFonts w:cstheme="minorHAnsi"/>
          <w:b/>
          <w:sz w:val="24"/>
          <w:szCs w:val="28"/>
        </w:rPr>
      </w:pPr>
      <w:r w:rsidRPr="004D37D9">
        <w:rPr>
          <w:rFonts w:cstheme="minorHAnsi"/>
          <w:b/>
          <w:sz w:val="24"/>
          <w:szCs w:val="28"/>
        </w:rPr>
        <w:t>Distribution by Setting and Age Group</w:t>
      </w:r>
    </w:p>
    <w:p w14:paraId="670A02D1" w14:textId="77777777" w:rsidR="004D37D9" w:rsidRDefault="004D37D9" w:rsidP="004D37D9">
      <w:pPr>
        <w:rPr>
          <w:rFonts w:cstheme="minorHAnsi"/>
          <w:b/>
          <w:szCs w:val="28"/>
        </w:rPr>
      </w:pPr>
    </w:p>
    <w:tbl>
      <w:tblPr>
        <w:tblStyle w:val="TableGrid"/>
        <w:tblW w:w="0" w:type="auto"/>
        <w:tblLook w:val="04A0" w:firstRow="1" w:lastRow="0" w:firstColumn="1" w:lastColumn="0" w:noHBand="0" w:noVBand="1"/>
        <w:tblCaption w:val="Distribution by Setting and Age Group"/>
      </w:tblPr>
      <w:tblGrid>
        <w:gridCol w:w="2337"/>
        <w:gridCol w:w="2337"/>
        <w:gridCol w:w="2338"/>
        <w:gridCol w:w="2338"/>
      </w:tblGrid>
      <w:tr w:rsidR="004D37D9" w:rsidRPr="004D37D9" w14:paraId="6F7D89BA" w14:textId="77777777" w:rsidTr="00562AB1">
        <w:trPr>
          <w:cantSplit/>
          <w:tblHeader/>
        </w:trPr>
        <w:tc>
          <w:tcPr>
            <w:tcW w:w="2337" w:type="dxa"/>
            <w:shd w:val="clear" w:color="auto" w:fill="DBE5F1" w:themeFill="accent1" w:themeFillTint="33"/>
          </w:tcPr>
          <w:p w14:paraId="74DB7711" w14:textId="0DC1578B" w:rsidR="004D37D9" w:rsidRPr="004D37D9" w:rsidRDefault="004D37D9" w:rsidP="004D37D9">
            <w:pPr>
              <w:jc w:val="center"/>
              <w:rPr>
                <w:rFonts w:asciiTheme="minorHAnsi" w:hAnsiTheme="minorHAnsi" w:cstheme="minorHAnsi"/>
                <w:b/>
                <w:szCs w:val="28"/>
              </w:rPr>
            </w:pPr>
            <w:r w:rsidRPr="004D37D9">
              <w:rPr>
                <w:rFonts w:asciiTheme="minorHAnsi" w:hAnsiTheme="minorHAnsi" w:cstheme="minorHAnsi"/>
                <w:b/>
                <w:szCs w:val="28"/>
              </w:rPr>
              <w:t>Setting</w:t>
            </w:r>
          </w:p>
        </w:tc>
        <w:tc>
          <w:tcPr>
            <w:tcW w:w="2337" w:type="dxa"/>
            <w:shd w:val="clear" w:color="auto" w:fill="DBE5F1" w:themeFill="accent1" w:themeFillTint="33"/>
          </w:tcPr>
          <w:p w14:paraId="2273CDC0" w14:textId="7F9EDF08" w:rsidR="004D37D9" w:rsidRPr="004D37D9" w:rsidRDefault="004D37D9" w:rsidP="004D37D9">
            <w:pPr>
              <w:jc w:val="center"/>
              <w:rPr>
                <w:rFonts w:asciiTheme="minorHAnsi" w:hAnsiTheme="minorHAnsi" w:cstheme="minorHAnsi"/>
                <w:b/>
                <w:szCs w:val="28"/>
              </w:rPr>
            </w:pPr>
            <w:r w:rsidRPr="004D37D9">
              <w:rPr>
                <w:rFonts w:asciiTheme="minorHAnsi" w:hAnsiTheme="minorHAnsi" w:cstheme="minorHAnsi"/>
                <w:b/>
                <w:szCs w:val="28"/>
              </w:rPr>
              <w:t>0-10</w:t>
            </w:r>
          </w:p>
        </w:tc>
        <w:tc>
          <w:tcPr>
            <w:tcW w:w="2338" w:type="dxa"/>
            <w:shd w:val="clear" w:color="auto" w:fill="DBE5F1" w:themeFill="accent1" w:themeFillTint="33"/>
          </w:tcPr>
          <w:p w14:paraId="4FA8FAEB" w14:textId="08434F91" w:rsidR="004D37D9" w:rsidRPr="004D37D9" w:rsidRDefault="004D37D9" w:rsidP="004D37D9">
            <w:pPr>
              <w:jc w:val="center"/>
              <w:rPr>
                <w:rFonts w:asciiTheme="minorHAnsi" w:hAnsiTheme="minorHAnsi" w:cstheme="minorHAnsi"/>
                <w:b/>
                <w:szCs w:val="28"/>
              </w:rPr>
            </w:pPr>
            <w:r w:rsidRPr="004D37D9">
              <w:rPr>
                <w:rFonts w:asciiTheme="minorHAnsi" w:hAnsiTheme="minorHAnsi" w:cstheme="minorHAnsi"/>
                <w:b/>
                <w:szCs w:val="28"/>
              </w:rPr>
              <w:t>11-21</w:t>
            </w:r>
          </w:p>
        </w:tc>
        <w:tc>
          <w:tcPr>
            <w:tcW w:w="2338" w:type="dxa"/>
            <w:shd w:val="clear" w:color="auto" w:fill="DBE5F1" w:themeFill="accent1" w:themeFillTint="33"/>
          </w:tcPr>
          <w:p w14:paraId="20AEDDBE" w14:textId="2FA87E16" w:rsidR="004D37D9" w:rsidRPr="004D37D9" w:rsidRDefault="004D37D9" w:rsidP="004D37D9">
            <w:pPr>
              <w:jc w:val="center"/>
              <w:rPr>
                <w:rFonts w:asciiTheme="minorHAnsi" w:hAnsiTheme="minorHAnsi" w:cstheme="minorHAnsi"/>
                <w:b/>
                <w:szCs w:val="28"/>
              </w:rPr>
            </w:pPr>
            <w:r w:rsidRPr="004D37D9">
              <w:rPr>
                <w:rFonts w:asciiTheme="minorHAnsi" w:hAnsiTheme="minorHAnsi" w:cstheme="minorHAnsi"/>
                <w:b/>
                <w:szCs w:val="28"/>
              </w:rPr>
              <w:t>Grand Total</w:t>
            </w:r>
          </w:p>
        </w:tc>
      </w:tr>
      <w:tr w:rsidR="004D37D9" w:rsidRPr="004D37D9" w14:paraId="6FAC0CFB" w14:textId="77777777" w:rsidTr="00562AB1">
        <w:trPr>
          <w:cantSplit/>
        </w:trPr>
        <w:tc>
          <w:tcPr>
            <w:tcW w:w="2337" w:type="dxa"/>
          </w:tcPr>
          <w:p w14:paraId="3E199E41" w14:textId="6D72D2A3" w:rsidR="004D37D9" w:rsidRPr="004D37D9" w:rsidRDefault="004D37D9" w:rsidP="004D37D9">
            <w:pPr>
              <w:rPr>
                <w:rFonts w:asciiTheme="minorHAnsi" w:hAnsiTheme="minorHAnsi" w:cstheme="minorHAnsi"/>
                <w:bCs/>
                <w:szCs w:val="28"/>
              </w:rPr>
            </w:pPr>
            <w:r w:rsidRPr="004D37D9">
              <w:rPr>
                <w:rFonts w:asciiTheme="minorHAnsi" w:hAnsiTheme="minorHAnsi" w:cstheme="minorHAnsi"/>
                <w:bCs/>
                <w:szCs w:val="28"/>
              </w:rPr>
              <w:t>ASC</w:t>
            </w:r>
          </w:p>
        </w:tc>
        <w:tc>
          <w:tcPr>
            <w:tcW w:w="2337" w:type="dxa"/>
          </w:tcPr>
          <w:p w14:paraId="77D8FCDA" w14:textId="09360E1D" w:rsidR="004D37D9" w:rsidRPr="004D37D9" w:rsidRDefault="004D37D9" w:rsidP="004D37D9">
            <w:pPr>
              <w:rPr>
                <w:rFonts w:asciiTheme="minorHAnsi" w:hAnsiTheme="minorHAnsi" w:cstheme="minorHAnsi"/>
                <w:bCs/>
                <w:szCs w:val="28"/>
              </w:rPr>
            </w:pPr>
            <w:r w:rsidRPr="004D37D9">
              <w:rPr>
                <w:rFonts w:asciiTheme="minorHAnsi" w:hAnsiTheme="minorHAnsi" w:cstheme="minorHAnsi"/>
                <w:bCs/>
                <w:szCs w:val="28"/>
              </w:rPr>
              <w:t>93%</w:t>
            </w:r>
          </w:p>
        </w:tc>
        <w:tc>
          <w:tcPr>
            <w:tcW w:w="2338" w:type="dxa"/>
          </w:tcPr>
          <w:p w14:paraId="5A691DD9" w14:textId="6721AB3E" w:rsidR="004D37D9" w:rsidRPr="004D37D9" w:rsidRDefault="004D37D9" w:rsidP="004D37D9">
            <w:pPr>
              <w:rPr>
                <w:rFonts w:asciiTheme="minorHAnsi" w:hAnsiTheme="minorHAnsi" w:cstheme="minorHAnsi"/>
                <w:bCs/>
                <w:szCs w:val="28"/>
              </w:rPr>
            </w:pPr>
            <w:r w:rsidRPr="004D37D9">
              <w:rPr>
                <w:rFonts w:asciiTheme="minorHAnsi" w:hAnsiTheme="minorHAnsi" w:cstheme="minorHAnsi"/>
                <w:bCs/>
                <w:szCs w:val="28"/>
              </w:rPr>
              <w:t>7%</w:t>
            </w:r>
          </w:p>
        </w:tc>
        <w:tc>
          <w:tcPr>
            <w:tcW w:w="2338" w:type="dxa"/>
          </w:tcPr>
          <w:p w14:paraId="0DAAE1FB" w14:textId="273264A2" w:rsidR="004D37D9" w:rsidRPr="004D37D9" w:rsidRDefault="004D37D9" w:rsidP="004D37D9">
            <w:pPr>
              <w:rPr>
                <w:rFonts w:asciiTheme="minorHAnsi" w:hAnsiTheme="minorHAnsi" w:cstheme="minorHAnsi"/>
                <w:bCs/>
                <w:szCs w:val="28"/>
              </w:rPr>
            </w:pPr>
            <w:r w:rsidRPr="004D37D9">
              <w:rPr>
                <w:rFonts w:asciiTheme="minorHAnsi" w:hAnsiTheme="minorHAnsi" w:cstheme="minorHAnsi"/>
                <w:bCs/>
                <w:szCs w:val="28"/>
              </w:rPr>
              <w:t>100%</w:t>
            </w:r>
          </w:p>
        </w:tc>
      </w:tr>
      <w:tr w:rsidR="004D37D9" w:rsidRPr="004D37D9" w14:paraId="433EAC95" w14:textId="77777777" w:rsidTr="00562AB1">
        <w:trPr>
          <w:cantSplit/>
        </w:trPr>
        <w:tc>
          <w:tcPr>
            <w:tcW w:w="2337" w:type="dxa"/>
          </w:tcPr>
          <w:p w14:paraId="367AFF3B" w14:textId="125925B7" w:rsidR="004D37D9" w:rsidRPr="004D37D9" w:rsidRDefault="004D37D9" w:rsidP="004D37D9">
            <w:pPr>
              <w:rPr>
                <w:rFonts w:asciiTheme="minorHAnsi" w:hAnsiTheme="minorHAnsi" w:cstheme="minorHAnsi"/>
                <w:bCs/>
                <w:szCs w:val="28"/>
              </w:rPr>
            </w:pPr>
            <w:r w:rsidRPr="004D37D9">
              <w:rPr>
                <w:rFonts w:asciiTheme="minorHAnsi" w:hAnsiTheme="minorHAnsi" w:cstheme="minorHAnsi"/>
                <w:bCs/>
                <w:szCs w:val="28"/>
              </w:rPr>
              <w:t>HOPD</w:t>
            </w:r>
          </w:p>
        </w:tc>
        <w:tc>
          <w:tcPr>
            <w:tcW w:w="2337" w:type="dxa"/>
          </w:tcPr>
          <w:p w14:paraId="279E52A0" w14:textId="5900C634" w:rsidR="004D37D9" w:rsidRPr="004D37D9" w:rsidRDefault="004D37D9" w:rsidP="004D37D9">
            <w:pPr>
              <w:rPr>
                <w:rFonts w:asciiTheme="minorHAnsi" w:hAnsiTheme="minorHAnsi" w:cstheme="minorHAnsi"/>
                <w:bCs/>
                <w:szCs w:val="28"/>
              </w:rPr>
            </w:pPr>
            <w:r w:rsidRPr="004D37D9">
              <w:rPr>
                <w:rFonts w:asciiTheme="minorHAnsi" w:hAnsiTheme="minorHAnsi" w:cstheme="minorHAnsi"/>
                <w:bCs/>
                <w:szCs w:val="28"/>
              </w:rPr>
              <w:t>81%</w:t>
            </w:r>
          </w:p>
        </w:tc>
        <w:tc>
          <w:tcPr>
            <w:tcW w:w="2338" w:type="dxa"/>
          </w:tcPr>
          <w:p w14:paraId="7FD495F1" w14:textId="1CDC6CE4" w:rsidR="004D37D9" w:rsidRPr="004D37D9" w:rsidRDefault="004D37D9" w:rsidP="004D37D9">
            <w:pPr>
              <w:rPr>
                <w:rFonts w:asciiTheme="minorHAnsi" w:hAnsiTheme="minorHAnsi" w:cstheme="minorHAnsi"/>
                <w:bCs/>
                <w:szCs w:val="28"/>
              </w:rPr>
            </w:pPr>
            <w:r w:rsidRPr="004D37D9">
              <w:rPr>
                <w:rFonts w:asciiTheme="minorHAnsi" w:hAnsiTheme="minorHAnsi" w:cstheme="minorHAnsi"/>
                <w:bCs/>
                <w:szCs w:val="28"/>
              </w:rPr>
              <w:t>19%</w:t>
            </w:r>
          </w:p>
        </w:tc>
        <w:tc>
          <w:tcPr>
            <w:tcW w:w="2338" w:type="dxa"/>
          </w:tcPr>
          <w:p w14:paraId="19894C3E" w14:textId="41783937" w:rsidR="004D37D9" w:rsidRPr="004D37D9" w:rsidRDefault="004D37D9" w:rsidP="004D37D9">
            <w:pPr>
              <w:rPr>
                <w:rFonts w:asciiTheme="minorHAnsi" w:hAnsiTheme="minorHAnsi" w:cstheme="minorHAnsi"/>
                <w:bCs/>
                <w:szCs w:val="28"/>
              </w:rPr>
            </w:pPr>
            <w:r w:rsidRPr="004D37D9">
              <w:rPr>
                <w:rFonts w:asciiTheme="minorHAnsi" w:hAnsiTheme="minorHAnsi" w:cstheme="minorHAnsi"/>
                <w:bCs/>
                <w:szCs w:val="28"/>
              </w:rPr>
              <w:t>100%</w:t>
            </w:r>
          </w:p>
        </w:tc>
      </w:tr>
      <w:tr w:rsidR="004D37D9" w:rsidRPr="004D37D9" w14:paraId="34702E88" w14:textId="77777777" w:rsidTr="00562AB1">
        <w:trPr>
          <w:cantSplit/>
        </w:trPr>
        <w:tc>
          <w:tcPr>
            <w:tcW w:w="2337" w:type="dxa"/>
          </w:tcPr>
          <w:p w14:paraId="315553B3" w14:textId="312D43A6" w:rsidR="004D37D9" w:rsidRPr="004D37D9" w:rsidRDefault="004D37D9" w:rsidP="004D37D9">
            <w:pPr>
              <w:rPr>
                <w:rFonts w:asciiTheme="minorHAnsi" w:hAnsiTheme="minorHAnsi" w:cstheme="minorHAnsi"/>
                <w:bCs/>
                <w:szCs w:val="28"/>
              </w:rPr>
            </w:pPr>
            <w:r w:rsidRPr="004D37D9">
              <w:rPr>
                <w:rFonts w:asciiTheme="minorHAnsi" w:hAnsiTheme="minorHAnsi" w:cstheme="minorHAnsi"/>
                <w:bCs/>
                <w:szCs w:val="28"/>
              </w:rPr>
              <w:t>Office</w:t>
            </w:r>
          </w:p>
        </w:tc>
        <w:tc>
          <w:tcPr>
            <w:tcW w:w="2337" w:type="dxa"/>
          </w:tcPr>
          <w:p w14:paraId="3178D3B8" w14:textId="279D20F1" w:rsidR="004D37D9" w:rsidRPr="004D37D9" w:rsidRDefault="004D37D9" w:rsidP="004D37D9">
            <w:pPr>
              <w:rPr>
                <w:rFonts w:asciiTheme="minorHAnsi" w:hAnsiTheme="minorHAnsi" w:cstheme="minorHAnsi"/>
                <w:bCs/>
                <w:szCs w:val="28"/>
              </w:rPr>
            </w:pPr>
            <w:r w:rsidRPr="004D37D9">
              <w:rPr>
                <w:rFonts w:asciiTheme="minorHAnsi" w:hAnsiTheme="minorHAnsi" w:cstheme="minorHAnsi"/>
                <w:bCs/>
                <w:szCs w:val="28"/>
              </w:rPr>
              <w:t>29%</w:t>
            </w:r>
          </w:p>
        </w:tc>
        <w:tc>
          <w:tcPr>
            <w:tcW w:w="2338" w:type="dxa"/>
          </w:tcPr>
          <w:p w14:paraId="035EFD95" w14:textId="09EFEF50" w:rsidR="004D37D9" w:rsidRPr="004D37D9" w:rsidRDefault="004D37D9" w:rsidP="004D37D9">
            <w:pPr>
              <w:rPr>
                <w:rFonts w:asciiTheme="minorHAnsi" w:hAnsiTheme="minorHAnsi" w:cstheme="minorHAnsi"/>
                <w:bCs/>
                <w:szCs w:val="28"/>
              </w:rPr>
            </w:pPr>
            <w:r w:rsidRPr="004D37D9">
              <w:rPr>
                <w:rFonts w:asciiTheme="minorHAnsi" w:hAnsiTheme="minorHAnsi" w:cstheme="minorHAnsi"/>
                <w:bCs/>
                <w:szCs w:val="28"/>
              </w:rPr>
              <w:t>71%</w:t>
            </w:r>
          </w:p>
        </w:tc>
        <w:tc>
          <w:tcPr>
            <w:tcW w:w="2338" w:type="dxa"/>
          </w:tcPr>
          <w:p w14:paraId="6E32F865" w14:textId="5C3FEDB1" w:rsidR="004D37D9" w:rsidRPr="004D37D9" w:rsidRDefault="004D37D9" w:rsidP="004D37D9">
            <w:pPr>
              <w:rPr>
                <w:rFonts w:asciiTheme="minorHAnsi" w:hAnsiTheme="minorHAnsi" w:cstheme="minorHAnsi"/>
                <w:bCs/>
                <w:szCs w:val="28"/>
              </w:rPr>
            </w:pPr>
            <w:r w:rsidRPr="004D37D9">
              <w:rPr>
                <w:rFonts w:asciiTheme="minorHAnsi" w:hAnsiTheme="minorHAnsi" w:cstheme="minorHAnsi"/>
                <w:bCs/>
                <w:szCs w:val="28"/>
              </w:rPr>
              <w:t>100%</w:t>
            </w:r>
          </w:p>
        </w:tc>
      </w:tr>
    </w:tbl>
    <w:p w14:paraId="0ECAE94A" w14:textId="77777777" w:rsidR="004D37D9" w:rsidRPr="004D37D9" w:rsidRDefault="004D37D9" w:rsidP="004D37D9">
      <w:pPr>
        <w:pStyle w:val="ListParagraph"/>
        <w:rPr>
          <w:rFonts w:cstheme="minorHAnsi"/>
          <w:b/>
          <w:sz w:val="24"/>
          <w:szCs w:val="28"/>
        </w:rPr>
      </w:pPr>
    </w:p>
    <w:p w14:paraId="202A80DD" w14:textId="4520B1D3" w:rsidR="004D37D9" w:rsidRDefault="004D37D9" w:rsidP="003243FE">
      <w:pPr>
        <w:pStyle w:val="ListParagraph"/>
        <w:numPr>
          <w:ilvl w:val="1"/>
          <w:numId w:val="32"/>
        </w:numPr>
        <w:rPr>
          <w:rFonts w:cstheme="minorHAnsi"/>
          <w:b/>
          <w:sz w:val="24"/>
          <w:szCs w:val="28"/>
        </w:rPr>
      </w:pPr>
      <w:r w:rsidRPr="004D37D9">
        <w:rPr>
          <w:rFonts w:cstheme="minorHAnsi"/>
          <w:b/>
          <w:sz w:val="24"/>
          <w:szCs w:val="28"/>
        </w:rPr>
        <w:t>Distribution by Setting and Payor</w:t>
      </w:r>
    </w:p>
    <w:p w14:paraId="6743FE9E" w14:textId="77777777" w:rsidR="00D43958" w:rsidRPr="004D37D9" w:rsidRDefault="00D43958" w:rsidP="00D43958">
      <w:pPr>
        <w:pStyle w:val="ListParagraph"/>
        <w:rPr>
          <w:rFonts w:cstheme="minorHAnsi"/>
          <w:b/>
          <w:sz w:val="24"/>
          <w:szCs w:val="28"/>
        </w:rPr>
      </w:pPr>
    </w:p>
    <w:tbl>
      <w:tblPr>
        <w:tblStyle w:val="TableGrid"/>
        <w:tblW w:w="0" w:type="auto"/>
        <w:tblLook w:val="04A0" w:firstRow="1" w:lastRow="0" w:firstColumn="1" w:lastColumn="0" w:noHBand="0" w:noVBand="1"/>
        <w:tblCaption w:val="Distribution by Setting and Payor"/>
      </w:tblPr>
      <w:tblGrid>
        <w:gridCol w:w="2337"/>
        <w:gridCol w:w="2337"/>
        <w:gridCol w:w="2338"/>
        <w:gridCol w:w="2338"/>
      </w:tblGrid>
      <w:tr w:rsidR="004D37D9" w:rsidRPr="004D37D9" w14:paraId="5A7EEA30" w14:textId="77777777" w:rsidTr="00DF5892">
        <w:trPr>
          <w:cantSplit/>
          <w:tblHeader/>
        </w:trPr>
        <w:tc>
          <w:tcPr>
            <w:tcW w:w="2337" w:type="dxa"/>
            <w:shd w:val="clear" w:color="auto" w:fill="DBE5F1" w:themeFill="accent1" w:themeFillTint="33"/>
          </w:tcPr>
          <w:p w14:paraId="015B5166" w14:textId="77777777" w:rsidR="004D37D9" w:rsidRPr="004D37D9" w:rsidRDefault="004D37D9" w:rsidP="00FD2E73">
            <w:pPr>
              <w:jc w:val="center"/>
              <w:rPr>
                <w:rFonts w:asciiTheme="minorHAnsi" w:hAnsiTheme="minorHAnsi" w:cstheme="minorHAnsi"/>
                <w:b/>
                <w:szCs w:val="28"/>
              </w:rPr>
            </w:pPr>
            <w:r w:rsidRPr="004D37D9">
              <w:rPr>
                <w:rFonts w:asciiTheme="minorHAnsi" w:hAnsiTheme="minorHAnsi" w:cstheme="minorHAnsi"/>
                <w:b/>
                <w:szCs w:val="28"/>
              </w:rPr>
              <w:t>Setting</w:t>
            </w:r>
          </w:p>
        </w:tc>
        <w:tc>
          <w:tcPr>
            <w:tcW w:w="2337" w:type="dxa"/>
            <w:shd w:val="clear" w:color="auto" w:fill="DBE5F1" w:themeFill="accent1" w:themeFillTint="33"/>
          </w:tcPr>
          <w:p w14:paraId="274E58D3" w14:textId="74C701D0" w:rsidR="004D37D9" w:rsidRPr="004D37D9" w:rsidRDefault="004D37D9" w:rsidP="00FD2E73">
            <w:pPr>
              <w:jc w:val="center"/>
              <w:rPr>
                <w:rFonts w:asciiTheme="minorHAnsi" w:hAnsiTheme="minorHAnsi" w:cstheme="minorHAnsi"/>
                <w:b/>
                <w:szCs w:val="28"/>
              </w:rPr>
            </w:pPr>
            <w:r>
              <w:rPr>
                <w:rFonts w:asciiTheme="minorHAnsi" w:hAnsiTheme="minorHAnsi" w:cstheme="minorHAnsi"/>
                <w:b/>
                <w:szCs w:val="28"/>
              </w:rPr>
              <w:t xml:space="preserve">Commercial </w:t>
            </w:r>
          </w:p>
        </w:tc>
        <w:tc>
          <w:tcPr>
            <w:tcW w:w="2338" w:type="dxa"/>
            <w:shd w:val="clear" w:color="auto" w:fill="DBE5F1" w:themeFill="accent1" w:themeFillTint="33"/>
          </w:tcPr>
          <w:p w14:paraId="03B254EC" w14:textId="2604E7EA" w:rsidR="004D37D9" w:rsidRPr="004D37D9" w:rsidRDefault="004D37D9" w:rsidP="00FD2E73">
            <w:pPr>
              <w:jc w:val="center"/>
              <w:rPr>
                <w:rFonts w:asciiTheme="minorHAnsi" w:hAnsiTheme="minorHAnsi" w:cstheme="minorHAnsi"/>
                <w:b/>
                <w:szCs w:val="28"/>
              </w:rPr>
            </w:pPr>
            <w:r>
              <w:rPr>
                <w:rFonts w:asciiTheme="minorHAnsi" w:hAnsiTheme="minorHAnsi" w:cstheme="minorHAnsi"/>
                <w:b/>
                <w:szCs w:val="28"/>
              </w:rPr>
              <w:t>MassHealth</w:t>
            </w:r>
          </w:p>
        </w:tc>
        <w:tc>
          <w:tcPr>
            <w:tcW w:w="2338" w:type="dxa"/>
            <w:shd w:val="clear" w:color="auto" w:fill="DBE5F1" w:themeFill="accent1" w:themeFillTint="33"/>
          </w:tcPr>
          <w:p w14:paraId="6B709E89" w14:textId="77777777" w:rsidR="004D37D9" w:rsidRPr="004D37D9" w:rsidRDefault="004D37D9" w:rsidP="00FD2E73">
            <w:pPr>
              <w:jc w:val="center"/>
              <w:rPr>
                <w:rFonts w:asciiTheme="minorHAnsi" w:hAnsiTheme="minorHAnsi" w:cstheme="minorHAnsi"/>
                <w:b/>
                <w:szCs w:val="28"/>
              </w:rPr>
            </w:pPr>
            <w:r w:rsidRPr="004D37D9">
              <w:rPr>
                <w:rFonts w:asciiTheme="minorHAnsi" w:hAnsiTheme="minorHAnsi" w:cstheme="minorHAnsi"/>
                <w:b/>
                <w:szCs w:val="28"/>
              </w:rPr>
              <w:t>Grand Total</w:t>
            </w:r>
          </w:p>
        </w:tc>
      </w:tr>
      <w:tr w:rsidR="004D37D9" w:rsidRPr="004D37D9" w14:paraId="15A430CE" w14:textId="77777777" w:rsidTr="00DF5892">
        <w:trPr>
          <w:cantSplit/>
        </w:trPr>
        <w:tc>
          <w:tcPr>
            <w:tcW w:w="2337" w:type="dxa"/>
          </w:tcPr>
          <w:p w14:paraId="51EB11C5" w14:textId="77777777" w:rsidR="004D37D9" w:rsidRPr="004D37D9" w:rsidRDefault="004D37D9" w:rsidP="00FD2E73">
            <w:pPr>
              <w:rPr>
                <w:rFonts w:asciiTheme="minorHAnsi" w:hAnsiTheme="minorHAnsi" w:cstheme="minorHAnsi"/>
                <w:bCs/>
                <w:szCs w:val="28"/>
              </w:rPr>
            </w:pPr>
            <w:r w:rsidRPr="004D37D9">
              <w:rPr>
                <w:rFonts w:asciiTheme="minorHAnsi" w:hAnsiTheme="minorHAnsi" w:cstheme="minorHAnsi"/>
                <w:bCs/>
                <w:szCs w:val="28"/>
              </w:rPr>
              <w:t>ASC</w:t>
            </w:r>
          </w:p>
        </w:tc>
        <w:tc>
          <w:tcPr>
            <w:tcW w:w="2337" w:type="dxa"/>
          </w:tcPr>
          <w:p w14:paraId="4215A6B5" w14:textId="61BA4E5D" w:rsidR="004D37D9" w:rsidRPr="004D37D9" w:rsidRDefault="004D37D9" w:rsidP="00FD2E73">
            <w:pPr>
              <w:rPr>
                <w:rFonts w:asciiTheme="minorHAnsi" w:hAnsiTheme="minorHAnsi" w:cstheme="minorHAnsi"/>
                <w:bCs/>
                <w:szCs w:val="28"/>
              </w:rPr>
            </w:pPr>
            <w:r w:rsidRPr="004D37D9">
              <w:rPr>
                <w:rFonts w:asciiTheme="minorHAnsi" w:hAnsiTheme="minorHAnsi" w:cstheme="minorHAnsi"/>
                <w:bCs/>
                <w:szCs w:val="28"/>
              </w:rPr>
              <w:t>9</w:t>
            </w:r>
            <w:r>
              <w:rPr>
                <w:rFonts w:asciiTheme="minorHAnsi" w:hAnsiTheme="minorHAnsi" w:cstheme="minorHAnsi"/>
                <w:bCs/>
                <w:szCs w:val="28"/>
              </w:rPr>
              <w:t>5</w:t>
            </w:r>
            <w:r w:rsidRPr="004D37D9">
              <w:rPr>
                <w:rFonts w:asciiTheme="minorHAnsi" w:hAnsiTheme="minorHAnsi" w:cstheme="minorHAnsi"/>
                <w:bCs/>
                <w:szCs w:val="28"/>
              </w:rPr>
              <w:t>%</w:t>
            </w:r>
          </w:p>
        </w:tc>
        <w:tc>
          <w:tcPr>
            <w:tcW w:w="2338" w:type="dxa"/>
          </w:tcPr>
          <w:p w14:paraId="53A9360F" w14:textId="56C1069E" w:rsidR="004D37D9" w:rsidRPr="004D37D9" w:rsidRDefault="004D37D9" w:rsidP="00FD2E73">
            <w:pPr>
              <w:rPr>
                <w:rFonts w:asciiTheme="minorHAnsi" w:hAnsiTheme="minorHAnsi" w:cstheme="minorHAnsi"/>
                <w:bCs/>
                <w:szCs w:val="28"/>
              </w:rPr>
            </w:pPr>
            <w:r>
              <w:rPr>
                <w:rFonts w:asciiTheme="minorHAnsi" w:hAnsiTheme="minorHAnsi" w:cstheme="minorHAnsi"/>
                <w:bCs/>
                <w:szCs w:val="28"/>
              </w:rPr>
              <w:t>5</w:t>
            </w:r>
            <w:r w:rsidRPr="004D37D9">
              <w:rPr>
                <w:rFonts w:asciiTheme="minorHAnsi" w:hAnsiTheme="minorHAnsi" w:cstheme="minorHAnsi"/>
                <w:bCs/>
                <w:szCs w:val="28"/>
              </w:rPr>
              <w:t>%</w:t>
            </w:r>
          </w:p>
        </w:tc>
        <w:tc>
          <w:tcPr>
            <w:tcW w:w="2338" w:type="dxa"/>
          </w:tcPr>
          <w:p w14:paraId="1D8BC228" w14:textId="77777777" w:rsidR="004D37D9" w:rsidRPr="004D37D9" w:rsidRDefault="004D37D9" w:rsidP="00FD2E73">
            <w:pPr>
              <w:rPr>
                <w:rFonts w:asciiTheme="minorHAnsi" w:hAnsiTheme="minorHAnsi" w:cstheme="minorHAnsi"/>
                <w:bCs/>
                <w:szCs w:val="28"/>
              </w:rPr>
            </w:pPr>
            <w:r w:rsidRPr="004D37D9">
              <w:rPr>
                <w:rFonts w:asciiTheme="minorHAnsi" w:hAnsiTheme="minorHAnsi" w:cstheme="minorHAnsi"/>
                <w:bCs/>
                <w:szCs w:val="28"/>
              </w:rPr>
              <w:t>100%</w:t>
            </w:r>
          </w:p>
        </w:tc>
      </w:tr>
      <w:tr w:rsidR="004D37D9" w:rsidRPr="004D37D9" w14:paraId="7B96E4DD" w14:textId="77777777" w:rsidTr="00DF5892">
        <w:trPr>
          <w:cantSplit/>
        </w:trPr>
        <w:tc>
          <w:tcPr>
            <w:tcW w:w="2337" w:type="dxa"/>
          </w:tcPr>
          <w:p w14:paraId="56F1121F" w14:textId="77777777" w:rsidR="004D37D9" w:rsidRPr="004D37D9" w:rsidRDefault="004D37D9" w:rsidP="00FD2E73">
            <w:pPr>
              <w:rPr>
                <w:rFonts w:asciiTheme="minorHAnsi" w:hAnsiTheme="minorHAnsi" w:cstheme="minorHAnsi"/>
                <w:bCs/>
                <w:szCs w:val="28"/>
              </w:rPr>
            </w:pPr>
            <w:r w:rsidRPr="004D37D9">
              <w:rPr>
                <w:rFonts w:asciiTheme="minorHAnsi" w:hAnsiTheme="minorHAnsi" w:cstheme="minorHAnsi"/>
                <w:bCs/>
                <w:szCs w:val="28"/>
              </w:rPr>
              <w:t>HOPD</w:t>
            </w:r>
          </w:p>
        </w:tc>
        <w:tc>
          <w:tcPr>
            <w:tcW w:w="2337" w:type="dxa"/>
          </w:tcPr>
          <w:p w14:paraId="79510D72" w14:textId="793411A1" w:rsidR="004D37D9" w:rsidRPr="004D37D9" w:rsidRDefault="004D37D9" w:rsidP="00FD2E73">
            <w:pPr>
              <w:rPr>
                <w:rFonts w:asciiTheme="minorHAnsi" w:hAnsiTheme="minorHAnsi" w:cstheme="minorHAnsi"/>
                <w:bCs/>
                <w:szCs w:val="28"/>
              </w:rPr>
            </w:pPr>
            <w:r>
              <w:rPr>
                <w:rFonts w:asciiTheme="minorHAnsi" w:hAnsiTheme="minorHAnsi" w:cstheme="minorHAnsi"/>
                <w:bCs/>
                <w:szCs w:val="28"/>
              </w:rPr>
              <w:t>31</w:t>
            </w:r>
            <w:r w:rsidRPr="004D37D9">
              <w:rPr>
                <w:rFonts w:asciiTheme="minorHAnsi" w:hAnsiTheme="minorHAnsi" w:cstheme="minorHAnsi"/>
                <w:bCs/>
                <w:szCs w:val="28"/>
              </w:rPr>
              <w:t>%</w:t>
            </w:r>
          </w:p>
        </w:tc>
        <w:tc>
          <w:tcPr>
            <w:tcW w:w="2338" w:type="dxa"/>
          </w:tcPr>
          <w:p w14:paraId="357DB49E" w14:textId="1234EF7E" w:rsidR="004D37D9" w:rsidRPr="004D37D9" w:rsidRDefault="004D37D9" w:rsidP="00FD2E73">
            <w:pPr>
              <w:rPr>
                <w:rFonts w:asciiTheme="minorHAnsi" w:hAnsiTheme="minorHAnsi" w:cstheme="minorHAnsi"/>
                <w:bCs/>
                <w:szCs w:val="28"/>
              </w:rPr>
            </w:pPr>
            <w:r>
              <w:rPr>
                <w:rFonts w:asciiTheme="minorHAnsi" w:hAnsiTheme="minorHAnsi" w:cstheme="minorHAnsi"/>
                <w:bCs/>
                <w:szCs w:val="28"/>
              </w:rPr>
              <w:t>69</w:t>
            </w:r>
            <w:r w:rsidRPr="004D37D9">
              <w:rPr>
                <w:rFonts w:asciiTheme="minorHAnsi" w:hAnsiTheme="minorHAnsi" w:cstheme="minorHAnsi"/>
                <w:bCs/>
                <w:szCs w:val="28"/>
              </w:rPr>
              <w:t>%</w:t>
            </w:r>
          </w:p>
        </w:tc>
        <w:tc>
          <w:tcPr>
            <w:tcW w:w="2338" w:type="dxa"/>
          </w:tcPr>
          <w:p w14:paraId="3286E1F3" w14:textId="77777777" w:rsidR="004D37D9" w:rsidRPr="004D37D9" w:rsidRDefault="004D37D9" w:rsidP="00FD2E73">
            <w:pPr>
              <w:rPr>
                <w:rFonts w:asciiTheme="minorHAnsi" w:hAnsiTheme="minorHAnsi" w:cstheme="minorHAnsi"/>
                <w:bCs/>
                <w:szCs w:val="28"/>
              </w:rPr>
            </w:pPr>
            <w:r w:rsidRPr="004D37D9">
              <w:rPr>
                <w:rFonts w:asciiTheme="minorHAnsi" w:hAnsiTheme="minorHAnsi" w:cstheme="minorHAnsi"/>
                <w:bCs/>
                <w:szCs w:val="28"/>
              </w:rPr>
              <w:t>100%</w:t>
            </w:r>
          </w:p>
        </w:tc>
      </w:tr>
      <w:tr w:rsidR="004D37D9" w:rsidRPr="004D37D9" w14:paraId="7211CE40" w14:textId="77777777" w:rsidTr="00DF5892">
        <w:trPr>
          <w:cantSplit/>
        </w:trPr>
        <w:tc>
          <w:tcPr>
            <w:tcW w:w="2337" w:type="dxa"/>
          </w:tcPr>
          <w:p w14:paraId="66D6FE53" w14:textId="77777777" w:rsidR="004D37D9" w:rsidRPr="004D37D9" w:rsidRDefault="004D37D9" w:rsidP="00FD2E73">
            <w:pPr>
              <w:rPr>
                <w:rFonts w:asciiTheme="minorHAnsi" w:hAnsiTheme="minorHAnsi" w:cstheme="minorHAnsi"/>
                <w:bCs/>
                <w:szCs w:val="28"/>
              </w:rPr>
            </w:pPr>
            <w:r w:rsidRPr="004D37D9">
              <w:rPr>
                <w:rFonts w:asciiTheme="minorHAnsi" w:hAnsiTheme="minorHAnsi" w:cstheme="minorHAnsi"/>
                <w:bCs/>
                <w:szCs w:val="28"/>
              </w:rPr>
              <w:t>Office</w:t>
            </w:r>
          </w:p>
        </w:tc>
        <w:tc>
          <w:tcPr>
            <w:tcW w:w="2337" w:type="dxa"/>
          </w:tcPr>
          <w:p w14:paraId="60E7A2B9" w14:textId="6E4C379F" w:rsidR="004D37D9" w:rsidRPr="004D37D9" w:rsidRDefault="004D37D9" w:rsidP="00FD2E73">
            <w:pPr>
              <w:rPr>
                <w:rFonts w:asciiTheme="minorHAnsi" w:hAnsiTheme="minorHAnsi" w:cstheme="minorHAnsi"/>
                <w:bCs/>
                <w:szCs w:val="28"/>
              </w:rPr>
            </w:pPr>
            <w:r>
              <w:rPr>
                <w:rFonts w:asciiTheme="minorHAnsi" w:hAnsiTheme="minorHAnsi" w:cstheme="minorHAnsi"/>
                <w:bCs/>
                <w:szCs w:val="28"/>
              </w:rPr>
              <w:t>66</w:t>
            </w:r>
            <w:r w:rsidRPr="004D37D9">
              <w:rPr>
                <w:rFonts w:asciiTheme="minorHAnsi" w:hAnsiTheme="minorHAnsi" w:cstheme="minorHAnsi"/>
                <w:bCs/>
                <w:szCs w:val="28"/>
              </w:rPr>
              <w:t>%</w:t>
            </w:r>
          </w:p>
        </w:tc>
        <w:tc>
          <w:tcPr>
            <w:tcW w:w="2338" w:type="dxa"/>
          </w:tcPr>
          <w:p w14:paraId="315A749D" w14:textId="22E5F3DA" w:rsidR="004D37D9" w:rsidRPr="004D37D9" w:rsidRDefault="00D43958" w:rsidP="00FD2E73">
            <w:pPr>
              <w:rPr>
                <w:rFonts w:asciiTheme="minorHAnsi" w:hAnsiTheme="minorHAnsi" w:cstheme="minorHAnsi"/>
                <w:bCs/>
                <w:szCs w:val="28"/>
              </w:rPr>
            </w:pPr>
            <w:r>
              <w:rPr>
                <w:rFonts w:asciiTheme="minorHAnsi" w:hAnsiTheme="minorHAnsi" w:cstheme="minorHAnsi"/>
                <w:bCs/>
                <w:szCs w:val="28"/>
              </w:rPr>
              <w:t>34</w:t>
            </w:r>
            <w:r w:rsidR="004D37D9" w:rsidRPr="004D37D9">
              <w:rPr>
                <w:rFonts w:asciiTheme="minorHAnsi" w:hAnsiTheme="minorHAnsi" w:cstheme="minorHAnsi"/>
                <w:bCs/>
                <w:szCs w:val="28"/>
              </w:rPr>
              <w:t>%</w:t>
            </w:r>
          </w:p>
        </w:tc>
        <w:tc>
          <w:tcPr>
            <w:tcW w:w="2338" w:type="dxa"/>
          </w:tcPr>
          <w:p w14:paraId="763889F7" w14:textId="77777777" w:rsidR="004D37D9" w:rsidRPr="004D37D9" w:rsidRDefault="004D37D9" w:rsidP="00FD2E73">
            <w:pPr>
              <w:rPr>
                <w:rFonts w:asciiTheme="minorHAnsi" w:hAnsiTheme="minorHAnsi" w:cstheme="minorHAnsi"/>
                <w:bCs/>
                <w:szCs w:val="28"/>
              </w:rPr>
            </w:pPr>
            <w:r w:rsidRPr="004D37D9">
              <w:rPr>
                <w:rFonts w:asciiTheme="minorHAnsi" w:hAnsiTheme="minorHAnsi" w:cstheme="minorHAnsi"/>
                <w:bCs/>
                <w:szCs w:val="28"/>
              </w:rPr>
              <w:t>100%</w:t>
            </w:r>
          </w:p>
        </w:tc>
      </w:tr>
    </w:tbl>
    <w:p w14:paraId="6CA4C825" w14:textId="77777777" w:rsidR="003243FE" w:rsidRDefault="003243FE" w:rsidP="003243FE">
      <w:pPr>
        <w:pStyle w:val="ListParagraph"/>
        <w:ind w:left="1440"/>
        <w:rPr>
          <w:rFonts w:cstheme="minorHAnsi"/>
          <w:b/>
          <w:sz w:val="24"/>
          <w:szCs w:val="28"/>
        </w:rPr>
      </w:pPr>
    </w:p>
    <w:p w14:paraId="0BAEE9B7" w14:textId="5B13533C" w:rsidR="00C64528" w:rsidRPr="00780614" w:rsidRDefault="00134A17" w:rsidP="005F14F4">
      <w:pPr>
        <w:pStyle w:val="ListParagraph"/>
        <w:numPr>
          <w:ilvl w:val="1"/>
          <w:numId w:val="32"/>
        </w:numPr>
        <w:rPr>
          <w:rFonts w:cstheme="minorHAnsi"/>
          <w:b/>
          <w:sz w:val="24"/>
          <w:szCs w:val="28"/>
        </w:rPr>
      </w:pPr>
      <w:r w:rsidRPr="00780614">
        <w:rPr>
          <w:rFonts w:cstheme="minorHAnsi"/>
          <w:b/>
          <w:sz w:val="24"/>
          <w:szCs w:val="28"/>
        </w:rPr>
        <w:t xml:space="preserve">Demand of the </w:t>
      </w:r>
      <w:r w:rsidR="005F14F4" w:rsidRPr="00780614">
        <w:rPr>
          <w:rFonts w:cstheme="minorHAnsi"/>
          <w:b/>
          <w:sz w:val="24"/>
          <w:szCs w:val="28"/>
        </w:rPr>
        <w:t xml:space="preserve">Top 20 </w:t>
      </w:r>
      <w:r w:rsidR="00C64528" w:rsidRPr="00780614">
        <w:rPr>
          <w:rFonts w:cstheme="minorHAnsi"/>
          <w:b/>
          <w:sz w:val="24"/>
          <w:szCs w:val="28"/>
        </w:rPr>
        <w:t>ZIP Code</w:t>
      </w:r>
      <w:r w:rsidR="005F14F4" w:rsidRPr="00780614">
        <w:rPr>
          <w:rFonts w:cstheme="minorHAnsi"/>
          <w:b/>
          <w:sz w:val="24"/>
          <w:szCs w:val="28"/>
        </w:rPr>
        <w:t>s</w:t>
      </w:r>
      <w:r w:rsidR="007526F5" w:rsidRPr="00780614">
        <w:rPr>
          <w:rFonts w:cstheme="minorHAnsi"/>
          <w:b/>
          <w:sz w:val="24"/>
          <w:szCs w:val="28"/>
        </w:rPr>
        <w:t xml:space="preserve"> in the PSA</w:t>
      </w:r>
      <w:r w:rsidR="00C64528" w:rsidRPr="00780614">
        <w:rPr>
          <w:rFonts w:cstheme="minorHAnsi"/>
          <w:b/>
          <w:sz w:val="24"/>
          <w:szCs w:val="28"/>
        </w:rPr>
        <w:t xml:space="preserve"> </w:t>
      </w:r>
      <w:r w:rsidR="00263EA7" w:rsidRPr="00780614">
        <w:rPr>
          <w:rFonts w:cstheme="minorHAnsi"/>
          <w:b/>
          <w:sz w:val="24"/>
          <w:szCs w:val="28"/>
        </w:rPr>
        <w:t xml:space="preserve">By Care Setting </w:t>
      </w:r>
    </w:p>
    <w:p w14:paraId="6434FC17" w14:textId="77777777" w:rsidR="00780614" w:rsidRPr="00780614" w:rsidRDefault="00780614" w:rsidP="00780614">
      <w:pPr>
        <w:pStyle w:val="ListParagraph"/>
        <w:ind w:left="1440"/>
        <w:rPr>
          <w:rFonts w:cstheme="minorHAnsi"/>
          <w:b/>
          <w:sz w:val="24"/>
          <w:szCs w:val="28"/>
        </w:rPr>
      </w:pPr>
    </w:p>
    <w:tbl>
      <w:tblPr>
        <w:tblW w:w="8375" w:type="dxa"/>
        <w:tblInd w:w="1327" w:type="dxa"/>
        <w:tblLook w:val="04A0" w:firstRow="1" w:lastRow="0" w:firstColumn="1" w:lastColumn="0" w:noHBand="0" w:noVBand="1"/>
        <w:tblCaption w:val="Demand of the Top 20 ZIP Codes in the PSA By Care Setting"/>
      </w:tblPr>
      <w:tblGrid>
        <w:gridCol w:w="987"/>
        <w:gridCol w:w="2074"/>
        <w:gridCol w:w="913"/>
        <w:gridCol w:w="1063"/>
        <w:gridCol w:w="1063"/>
        <w:gridCol w:w="1063"/>
        <w:gridCol w:w="1212"/>
      </w:tblGrid>
      <w:tr w:rsidR="00C64528" w:rsidRPr="00B87202" w14:paraId="4B9D91BC" w14:textId="77777777" w:rsidTr="0060254E">
        <w:trPr>
          <w:cantSplit/>
          <w:trHeight w:val="243"/>
          <w:tblHeader/>
        </w:trPr>
        <w:tc>
          <w:tcPr>
            <w:tcW w:w="987"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5048C1CF" w14:textId="648C48B9" w:rsidR="00C64528" w:rsidRPr="00B87202" w:rsidRDefault="007A03FE" w:rsidP="00FD2E73">
            <w:pPr>
              <w:spacing w:after="0" w:line="240" w:lineRule="auto"/>
              <w:rPr>
                <w:rFonts w:ascii="Arial" w:eastAsia="Times New Roman" w:hAnsi="Arial" w:cs="Arial"/>
                <w:b/>
                <w:bCs/>
                <w:color w:val="000000"/>
                <w:szCs w:val="24"/>
              </w:rPr>
            </w:pPr>
            <w:r w:rsidRPr="00B87202">
              <w:rPr>
                <w:rFonts w:ascii="Arial" w:eastAsia="Times New Roman" w:hAnsi="Arial" w:cs="Arial"/>
                <w:b/>
                <w:bCs/>
                <w:color w:val="000000"/>
                <w:szCs w:val="24"/>
              </w:rPr>
              <w:t>Zip</w:t>
            </w:r>
          </w:p>
        </w:tc>
        <w:tc>
          <w:tcPr>
            <w:tcW w:w="2074" w:type="dxa"/>
            <w:tcBorders>
              <w:top w:val="single" w:sz="4" w:space="0" w:color="auto"/>
              <w:left w:val="nil"/>
              <w:bottom w:val="single" w:sz="4" w:space="0" w:color="auto"/>
              <w:right w:val="single" w:sz="4" w:space="0" w:color="auto"/>
            </w:tcBorders>
            <w:shd w:val="clear" w:color="000000" w:fill="DAE9F8"/>
            <w:noWrap/>
            <w:vAlign w:val="bottom"/>
            <w:hideMark/>
          </w:tcPr>
          <w:p w14:paraId="1240021C" w14:textId="3CE16AE4" w:rsidR="00C64528" w:rsidRPr="00B87202" w:rsidRDefault="007A03FE" w:rsidP="00FD2E73">
            <w:pPr>
              <w:spacing w:after="0" w:line="240" w:lineRule="auto"/>
              <w:rPr>
                <w:rFonts w:ascii="Arial" w:eastAsia="Times New Roman" w:hAnsi="Arial" w:cs="Arial"/>
                <w:b/>
                <w:bCs/>
                <w:color w:val="000000"/>
                <w:szCs w:val="24"/>
              </w:rPr>
            </w:pPr>
            <w:r w:rsidRPr="00B87202">
              <w:rPr>
                <w:rFonts w:ascii="Arial" w:eastAsia="Times New Roman" w:hAnsi="Arial" w:cs="Arial"/>
                <w:b/>
                <w:bCs/>
                <w:color w:val="000000"/>
                <w:szCs w:val="24"/>
              </w:rPr>
              <w:t>Town</w:t>
            </w:r>
          </w:p>
        </w:tc>
        <w:tc>
          <w:tcPr>
            <w:tcW w:w="913" w:type="dxa"/>
            <w:tcBorders>
              <w:top w:val="single" w:sz="4" w:space="0" w:color="auto"/>
              <w:left w:val="nil"/>
              <w:bottom w:val="single" w:sz="4" w:space="0" w:color="auto"/>
              <w:right w:val="single" w:sz="4" w:space="0" w:color="auto"/>
            </w:tcBorders>
            <w:shd w:val="clear" w:color="000000" w:fill="DAE9F8"/>
            <w:noWrap/>
            <w:vAlign w:val="bottom"/>
            <w:hideMark/>
          </w:tcPr>
          <w:p w14:paraId="3C9DB2D4" w14:textId="77777777" w:rsidR="00C64528" w:rsidRPr="00B87202" w:rsidRDefault="00C64528" w:rsidP="00FD2E73">
            <w:pPr>
              <w:spacing w:after="0" w:line="240" w:lineRule="auto"/>
              <w:jc w:val="center"/>
              <w:rPr>
                <w:rFonts w:ascii="Arial" w:eastAsia="Times New Roman" w:hAnsi="Arial" w:cs="Arial"/>
                <w:b/>
                <w:bCs/>
                <w:color w:val="000000"/>
                <w:szCs w:val="24"/>
              </w:rPr>
            </w:pPr>
            <w:r w:rsidRPr="00B87202">
              <w:rPr>
                <w:rFonts w:ascii="Arial" w:eastAsia="Times New Roman" w:hAnsi="Arial" w:cs="Arial"/>
                <w:b/>
                <w:bCs/>
                <w:color w:val="000000"/>
                <w:szCs w:val="24"/>
              </w:rPr>
              <w:t>ASC</w:t>
            </w:r>
          </w:p>
        </w:tc>
        <w:tc>
          <w:tcPr>
            <w:tcW w:w="1063" w:type="dxa"/>
            <w:tcBorders>
              <w:top w:val="single" w:sz="4" w:space="0" w:color="auto"/>
              <w:left w:val="nil"/>
              <w:bottom w:val="single" w:sz="4" w:space="0" w:color="auto"/>
              <w:right w:val="single" w:sz="4" w:space="0" w:color="auto"/>
            </w:tcBorders>
            <w:shd w:val="clear" w:color="000000" w:fill="DAE9F8"/>
            <w:noWrap/>
            <w:vAlign w:val="bottom"/>
            <w:hideMark/>
          </w:tcPr>
          <w:p w14:paraId="08E253DF" w14:textId="77777777" w:rsidR="00C64528" w:rsidRPr="00B87202" w:rsidRDefault="00C64528" w:rsidP="00FD2E73">
            <w:pPr>
              <w:spacing w:after="0" w:line="240" w:lineRule="auto"/>
              <w:jc w:val="center"/>
              <w:rPr>
                <w:rFonts w:ascii="Arial" w:eastAsia="Times New Roman" w:hAnsi="Arial" w:cs="Arial"/>
                <w:b/>
                <w:bCs/>
                <w:color w:val="000000"/>
                <w:szCs w:val="24"/>
              </w:rPr>
            </w:pPr>
            <w:r w:rsidRPr="00B87202">
              <w:rPr>
                <w:rFonts w:ascii="Arial" w:eastAsia="Times New Roman" w:hAnsi="Arial" w:cs="Arial"/>
                <w:b/>
                <w:bCs/>
                <w:color w:val="000000"/>
                <w:szCs w:val="24"/>
              </w:rPr>
              <w:t>HOPD</w:t>
            </w:r>
          </w:p>
        </w:tc>
        <w:tc>
          <w:tcPr>
            <w:tcW w:w="1063" w:type="dxa"/>
            <w:tcBorders>
              <w:top w:val="single" w:sz="4" w:space="0" w:color="auto"/>
              <w:left w:val="nil"/>
              <w:bottom w:val="single" w:sz="4" w:space="0" w:color="auto"/>
              <w:right w:val="single" w:sz="4" w:space="0" w:color="auto"/>
            </w:tcBorders>
            <w:shd w:val="clear" w:color="000000" w:fill="DAE9F8"/>
            <w:noWrap/>
            <w:vAlign w:val="bottom"/>
            <w:hideMark/>
          </w:tcPr>
          <w:p w14:paraId="6DB85838" w14:textId="41F4B81B" w:rsidR="00C64528" w:rsidRPr="00B87202" w:rsidRDefault="007A03FE" w:rsidP="00FD2E73">
            <w:pPr>
              <w:spacing w:after="0" w:line="240" w:lineRule="auto"/>
              <w:jc w:val="center"/>
              <w:rPr>
                <w:rFonts w:ascii="Arial" w:eastAsia="Times New Roman" w:hAnsi="Arial" w:cs="Arial"/>
                <w:b/>
                <w:bCs/>
                <w:color w:val="000000"/>
                <w:szCs w:val="24"/>
              </w:rPr>
            </w:pPr>
            <w:r w:rsidRPr="00B87202">
              <w:rPr>
                <w:rFonts w:ascii="Arial" w:eastAsia="Times New Roman" w:hAnsi="Arial" w:cs="Arial"/>
                <w:b/>
                <w:bCs/>
                <w:color w:val="000000"/>
                <w:szCs w:val="24"/>
              </w:rPr>
              <w:t>Office</w:t>
            </w:r>
          </w:p>
        </w:tc>
        <w:tc>
          <w:tcPr>
            <w:tcW w:w="1063" w:type="dxa"/>
            <w:tcBorders>
              <w:top w:val="single" w:sz="4" w:space="0" w:color="auto"/>
              <w:left w:val="nil"/>
              <w:bottom w:val="single" w:sz="4" w:space="0" w:color="auto"/>
              <w:right w:val="single" w:sz="4" w:space="0" w:color="auto"/>
            </w:tcBorders>
            <w:shd w:val="clear" w:color="000000" w:fill="DAE9F8"/>
            <w:noWrap/>
            <w:vAlign w:val="bottom"/>
            <w:hideMark/>
          </w:tcPr>
          <w:p w14:paraId="541D3DC0" w14:textId="30518ED2" w:rsidR="00C64528" w:rsidRPr="00B87202" w:rsidRDefault="007A03FE" w:rsidP="00FD2E73">
            <w:pPr>
              <w:spacing w:after="0" w:line="240" w:lineRule="auto"/>
              <w:jc w:val="center"/>
              <w:rPr>
                <w:rFonts w:ascii="Arial" w:eastAsia="Times New Roman" w:hAnsi="Arial" w:cs="Arial"/>
                <w:b/>
                <w:bCs/>
                <w:color w:val="000000"/>
                <w:szCs w:val="24"/>
              </w:rPr>
            </w:pPr>
            <w:r w:rsidRPr="00B87202">
              <w:rPr>
                <w:rFonts w:ascii="Arial" w:eastAsia="Times New Roman" w:hAnsi="Arial" w:cs="Arial"/>
                <w:b/>
                <w:bCs/>
                <w:color w:val="000000"/>
                <w:szCs w:val="24"/>
              </w:rPr>
              <w:t>Total</w:t>
            </w:r>
          </w:p>
        </w:tc>
        <w:tc>
          <w:tcPr>
            <w:tcW w:w="1212" w:type="dxa"/>
            <w:tcBorders>
              <w:top w:val="single" w:sz="4" w:space="0" w:color="auto"/>
              <w:left w:val="nil"/>
              <w:bottom w:val="single" w:sz="4" w:space="0" w:color="auto"/>
              <w:right w:val="single" w:sz="4" w:space="0" w:color="auto"/>
            </w:tcBorders>
            <w:shd w:val="clear" w:color="000000" w:fill="DAE9F8"/>
            <w:noWrap/>
            <w:vAlign w:val="bottom"/>
            <w:hideMark/>
          </w:tcPr>
          <w:p w14:paraId="00D6CDB0" w14:textId="259512E8" w:rsidR="00C64528" w:rsidRPr="00B87202" w:rsidRDefault="007A03FE" w:rsidP="0056638A">
            <w:pPr>
              <w:spacing w:after="0" w:line="240" w:lineRule="auto"/>
              <w:ind w:right="-30"/>
              <w:jc w:val="center"/>
              <w:rPr>
                <w:rFonts w:ascii="Arial" w:eastAsia="Times New Roman" w:hAnsi="Arial" w:cs="Arial"/>
                <w:b/>
                <w:bCs/>
                <w:color w:val="000000"/>
                <w:szCs w:val="24"/>
              </w:rPr>
            </w:pPr>
            <w:r w:rsidRPr="00B87202">
              <w:rPr>
                <w:rFonts w:ascii="Arial" w:eastAsia="Times New Roman" w:hAnsi="Arial" w:cs="Arial"/>
                <w:b/>
                <w:bCs/>
                <w:color w:val="000000"/>
                <w:szCs w:val="24"/>
              </w:rPr>
              <w:t xml:space="preserve">Pop </w:t>
            </w:r>
            <w:r w:rsidR="00C64528" w:rsidRPr="00B87202">
              <w:rPr>
                <w:rFonts w:ascii="Arial" w:eastAsia="Times New Roman" w:hAnsi="Arial" w:cs="Arial"/>
                <w:b/>
                <w:bCs/>
                <w:color w:val="000000"/>
                <w:szCs w:val="24"/>
              </w:rPr>
              <w:t>0-21</w:t>
            </w:r>
          </w:p>
        </w:tc>
      </w:tr>
      <w:tr w:rsidR="00C64528" w:rsidRPr="00B87202" w14:paraId="31A530A5"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76ECA6FF"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02151</w:t>
            </w:r>
          </w:p>
        </w:tc>
        <w:tc>
          <w:tcPr>
            <w:tcW w:w="2074" w:type="dxa"/>
            <w:tcBorders>
              <w:top w:val="nil"/>
              <w:left w:val="nil"/>
              <w:bottom w:val="single" w:sz="4" w:space="0" w:color="auto"/>
              <w:right w:val="single" w:sz="4" w:space="0" w:color="auto"/>
            </w:tcBorders>
            <w:noWrap/>
            <w:hideMark/>
          </w:tcPr>
          <w:p w14:paraId="6FCF77CD"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Revere</w:t>
            </w:r>
          </w:p>
        </w:tc>
        <w:tc>
          <w:tcPr>
            <w:tcW w:w="913" w:type="dxa"/>
            <w:tcBorders>
              <w:top w:val="nil"/>
              <w:left w:val="nil"/>
              <w:bottom w:val="single" w:sz="4" w:space="0" w:color="auto"/>
              <w:right w:val="single" w:sz="4" w:space="0" w:color="auto"/>
            </w:tcBorders>
            <w:noWrap/>
            <w:vAlign w:val="center"/>
            <w:hideMark/>
          </w:tcPr>
          <w:p w14:paraId="0533D45C"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92</w:t>
            </w:r>
          </w:p>
        </w:tc>
        <w:tc>
          <w:tcPr>
            <w:tcW w:w="1063" w:type="dxa"/>
            <w:tcBorders>
              <w:top w:val="nil"/>
              <w:left w:val="nil"/>
              <w:bottom w:val="single" w:sz="4" w:space="0" w:color="auto"/>
              <w:right w:val="single" w:sz="4" w:space="0" w:color="auto"/>
            </w:tcBorders>
            <w:noWrap/>
            <w:vAlign w:val="center"/>
            <w:hideMark/>
          </w:tcPr>
          <w:p w14:paraId="30667BA7"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921</w:t>
            </w:r>
          </w:p>
        </w:tc>
        <w:tc>
          <w:tcPr>
            <w:tcW w:w="1063" w:type="dxa"/>
            <w:tcBorders>
              <w:top w:val="nil"/>
              <w:left w:val="nil"/>
              <w:bottom w:val="single" w:sz="4" w:space="0" w:color="auto"/>
              <w:right w:val="single" w:sz="4" w:space="0" w:color="auto"/>
            </w:tcBorders>
            <w:noWrap/>
            <w:vAlign w:val="center"/>
            <w:hideMark/>
          </w:tcPr>
          <w:p w14:paraId="66A29247"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1,152</w:t>
            </w:r>
          </w:p>
        </w:tc>
        <w:tc>
          <w:tcPr>
            <w:tcW w:w="1063" w:type="dxa"/>
            <w:tcBorders>
              <w:top w:val="nil"/>
              <w:left w:val="nil"/>
              <w:bottom w:val="single" w:sz="4" w:space="0" w:color="auto"/>
              <w:right w:val="single" w:sz="4" w:space="0" w:color="auto"/>
            </w:tcBorders>
            <w:noWrap/>
            <w:vAlign w:val="bottom"/>
            <w:hideMark/>
          </w:tcPr>
          <w:p w14:paraId="05D29B1E"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2,165</w:t>
            </w:r>
          </w:p>
        </w:tc>
        <w:tc>
          <w:tcPr>
            <w:tcW w:w="1212" w:type="dxa"/>
            <w:tcBorders>
              <w:top w:val="nil"/>
              <w:left w:val="nil"/>
              <w:bottom w:val="single" w:sz="4" w:space="0" w:color="auto"/>
              <w:right w:val="single" w:sz="4" w:space="0" w:color="auto"/>
            </w:tcBorders>
            <w:noWrap/>
            <w:vAlign w:val="bottom"/>
            <w:hideMark/>
          </w:tcPr>
          <w:p w14:paraId="7B9581E5"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14,811</w:t>
            </w:r>
          </w:p>
        </w:tc>
      </w:tr>
      <w:tr w:rsidR="00C64528" w:rsidRPr="00B87202" w14:paraId="0821C4CE"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2947E68F"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02148</w:t>
            </w:r>
          </w:p>
        </w:tc>
        <w:tc>
          <w:tcPr>
            <w:tcW w:w="2074" w:type="dxa"/>
            <w:tcBorders>
              <w:top w:val="nil"/>
              <w:left w:val="nil"/>
              <w:bottom w:val="single" w:sz="4" w:space="0" w:color="auto"/>
              <w:right w:val="single" w:sz="4" w:space="0" w:color="auto"/>
            </w:tcBorders>
            <w:noWrap/>
            <w:hideMark/>
          </w:tcPr>
          <w:p w14:paraId="4664D3C4"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Malden</w:t>
            </w:r>
          </w:p>
        </w:tc>
        <w:tc>
          <w:tcPr>
            <w:tcW w:w="913" w:type="dxa"/>
            <w:tcBorders>
              <w:top w:val="nil"/>
              <w:left w:val="nil"/>
              <w:bottom w:val="single" w:sz="4" w:space="0" w:color="auto"/>
              <w:right w:val="single" w:sz="4" w:space="0" w:color="auto"/>
            </w:tcBorders>
            <w:noWrap/>
            <w:vAlign w:val="center"/>
            <w:hideMark/>
          </w:tcPr>
          <w:p w14:paraId="251CDB8C"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113</w:t>
            </w:r>
          </w:p>
        </w:tc>
        <w:tc>
          <w:tcPr>
            <w:tcW w:w="1063" w:type="dxa"/>
            <w:tcBorders>
              <w:top w:val="nil"/>
              <w:left w:val="nil"/>
              <w:bottom w:val="single" w:sz="4" w:space="0" w:color="auto"/>
              <w:right w:val="single" w:sz="4" w:space="0" w:color="auto"/>
            </w:tcBorders>
            <w:noWrap/>
            <w:vAlign w:val="center"/>
            <w:hideMark/>
          </w:tcPr>
          <w:p w14:paraId="5F1F5F6D"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755</w:t>
            </w:r>
          </w:p>
        </w:tc>
        <w:tc>
          <w:tcPr>
            <w:tcW w:w="1063" w:type="dxa"/>
            <w:tcBorders>
              <w:top w:val="nil"/>
              <w:left w:val="nil"/>
              <w:bottom w:val="single" w:sz="4" w:space="0" w:color="auto"/>
              <w:right w:val="single" w:sz="4" w:space="0" w:color="auto"/>
            </w:tcBorders>
            <w:noWrap/>
            <w:vAlign w:val="center"/>
            <w:hideMark/>
          </w:tcPr>
          <w:p w14:paraId="519CC312"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1,182</w:t>
            </w:r>
          </w:p>
        </w:tc>
        <w:tc>
          <w:tcPr>
            <w:tcW w:w="1063" w:type="dxa"/>
            <w:tcBorders>
              <w:top w:val="nil"/>
              <w:left w:val="nil"/>
              <w:bottom w:val="single" w:sz="4" w:space="0" w:color="auto"/>
              <w:right w:val="single" w:sz="4" w:space="0" w:color="auto"/>
            </w:tcBorders>
            <w:noWrap/>
            <w:vAlign w:val="bottom"/>
            <w:hideMark/>
          </w:tcPr>
          <w:p w14:paraId="05F467A7"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2,050</w:t>
            </w:r>
          </w:p>
        </w:tc>
        <w:tc>
          <w:tcPr>
            <w:tcW w:w="1212" w:type="dxa"/>
            <w:tcBorders>
              <w:top w:val="nil"/>
              <w:left w:val="nil"/>
              <w:bottom w:val="single" w:sz="4" w:space="0" w:color="auto"/>
              <w:right w:val="single" w:sz="4" w:space="0" w:color="auto"/>
            </w:tcBorders>
            <w:noWrap/>
            <w:vAlign w:val="bottom"/>
            <w:hideMark/>
          </w:tcPr>
          <w:p w14:paraId="0C392A8B"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14,117</w:t>
            </w:r>
          </w:p>
        </w:tc>
      </w:tr>
      <w:tr w:rsidR="00C64528" w:rsidRPr="00B87202" w14:paraId="61DCC957"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1287D00E"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02169</w:t>
            </w:r>
          </w:p>
        </w:tc>
        <w:tc>
          <w:tcPr>
            <w:tcW w:w="2074" w:type="dxa"/>
            <w:tcBorders>
              <w:top w:val="nil"/>
              <w:left w:val="nil"/>
              <w:bottom w:val="single" w:sz="4" w:space="0" w:color="auto"/>
              <w:right w:val="single" w:sz="4" w:space="0" w:color="auto"/>
            </w:tcBorders>
            <w:noWrap/>
            <w:hideMark/>
          </w:tcPr>
          <w:p w14:paraId="7F456BEB"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Quincy</w:t>
            </w:r>
          </w:p>
        </w:tc>
        <w:tc>
          <w:tcPr>
            <w:tcW w:w="913" w:type="dxa"/>
            <w:tcBorders>
              <w:top w:val="nil"/>
              <w:left w:val="nil"/>
              <w:bottom w:val="single" w:sz="4" w:space="0" w:color="auto"/>
              <w:right w:val="single" w:sz="4" w:space="0" w:color="auto"/>
            </w:tcBorders>
            <w:noWrap/>
            <w:vAlign w:val="center"/>
            <w:hideMark/>
          </w:tcPr>
          <w:p w14:paraId="254A1779"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108</w:t>
            </w:r>
          </w:p>
        </w:tc>
        <w:tc>
          <w:tcPr>
            <w:tcW w:w="1063" w:type="dxa"/>
            <w:tcBorders>
              <w:top w:val="nil"/>
              <w:left w:val="nil"/>
              <w:bottom w:val="single" w:sz="4" w:space="0" w:color="auto"/>
              <w:right w:val="single" w:sz="4" w:space="0" w:color="auto"/>
            </w:tcBorders>
            <w:noWrap/>
            <w:vAlign w:val="center"/>
            <w:hideMark/>
          </w:tcPr>
          <w:p w14:paraId="26735599"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667</w:t>
            </w:r>
          </w:p>
        </w:tc>
        <w:tc>
          <w:tcPr>
            <w:tcW w:w="1063" w:type="dxa"/>
            <w:tcBorders>
              <w:top w:val="nil"/>
              <w:left w:val="nil"/>
              <w:bottom w:val="single" w:sz="4" w:space="0" w:color="auto"/>
              <w:right w:val="single" w:sz="4" w:space="0" w:color="auto"/>
            </w:tcBorders>
            <w:noWrap/>
            <w:vAlign w:val="center"/>
            <w:hideMark/>
          </w:tcPr>
          <w:p w14:paraId="31A7A3DA"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1,095</w:t>
            </w:r>
          </w:p>
        </w:tc>
        <w:tc>
          <w:tcPr>
            <w:tcW w:w="1063" w:type="dxa"/>
            <w:tcBorders>
              <w:top w:val="nil"/>
              <w:left w:val="nil"/>
              <w:bottom w:val="single" w:sz="4" w:space="0" w:color="auto"/>
              <w:right w:val="single" w:sz="4" w:space="0" w:color="auto"/>
            </w:tcBorders>
            <w:noWrap/>
            <w:vAlign w:val="bottom"/>
            <w:hideMark/>
          </w:tcPr>
          <w:p w14:paraId="0745B0CD"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1,869</w:t>
            </w:r>
          </w:p>
        </w:tc>
        <w:tc>
          <w:tcPr>
            <w:tcW w:w="1212" w:type="dxa"/>
            <w:tcBorders>
              <w:top w:val="nil"/>
              <w:left w:val="nil"/>
              <w:bottom w:val="single" w:sz="4" w:space="0" w:color="auto"/>
              <w:right w:val="single" w:sz="4" w:space="0" w:color="auto"/>
            </w:tcBorders>
            <w:noWrap/>
            <w:vAlign w:val="bottom"/>
            <w:hideMark/>
          </w:tcPr>
          <w:p w14:paraId="179C4A58"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11,738</w:t>
            </w:r>
          </w:p>
        </w:tc>
      </w:tr>
      <w:tr w:rsidR="00C64528" w:rsidRPr="00B87202" w14:paraId="6E621183"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6E24F15C"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02155</w:t>
            </w:r>
          </w:p>
        </w:tc>
        <w:tc>
          <w:tcPr>
            <w:tcW w:w="2074" w:type="dxa"/>
            <w:tcBorders>
              <w:top w:val="nil"/>
              <w:left w:val="nil"/>
              <w:bottom w:val="single" w:sz="4" w:space="0" w:color="auto"/>
              <w:right w:val="single" w:sz="4" w:space="0" w:color="auto"/>
            </w:tcBorders>
            <w:noWrap/>
            <w:hideMark/>
          </w:tcPr>
          <w:p w14:paraId="1A4C3FB3"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Medford</w:t>
            </w:r>
          </w:p>
        </w:tc>
        <w:tc>
          <w:tcPr>
            <w:tcW w:w="913" w:type="dxa"/>
            <w:tcBorders>
              <w:top w:val="nil"/>
              <w:left w:val="nil"/>
              <w:bottom w:val="single" w:sz="4" w:space="0" w:color="auto"/>
              <w:right w:val="single" w:sz="4" w:space="0" w:color="auto"/>
            </w:tcBorders>
            <w:noWrap/>
            <w:vAlign w:val="center"/>
            <w:hideMark/>
          </w:tcPr>
          <w:p w14:paraId="7A347171"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102</w:t>
            </w:r>
          </w:p>
        </w:tc>
        <w:tc>
          <w:tcPr>
            <w:tcW w:w="1063" w:type="dxa"/>
            <w:tcBorders>
              <w:top w:val="nil"/>
              <w:left w:val="nil"/>
              <w:bottom w:val="single" w:sz="4" w:space="0" w:color="auto"/>
              <w:right w:val="single" w:sz="4" w:space="0" w:color="auto"/>
            </w:tcBorders>
            <w:noWrap/>
            <w:vAlign w:val="center"/>
            <w:hideMark/>
          </w:tcPr>
          <w:p w14:paraId="48F0FDD4"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679</w:t>
            </w:r>
          </w:p>
        </w:tc>
        <w:tc>
          <w:tcPr>
            <w:tcW w:w="1063" w:type="dxa"/>
            <w:tcBorders>
              <w:top w:val="nil"/>
              <w:left w:val="nil"/>
              <w:bottom w:val="single" w:sz="4" w:space="0" w:color="auto"/>
              <w:right w:val="single" w:sz="4" w:space="0" w:color="auto"/>
            </w:tcBorders>
            <w:noWrap/>
            <w:vAlign w:val="center"/>
            <w:hideMark/>
          </w:tcPr>
          <w:p w14:paraId="60467891"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1,063</w:t>
            </w:r>
          </w:p>
        </w:tc>
        <w:tc>
          <w:tcPr>
            <w:tcW w:w="1063" w:type="dxa"/>
            <w:tcBorders>
              <w:top w:val="nil"/>
              <w:left w:val="nil"/>
              <w:bottom w:val="single" w:sz="4" w:space="0" w:color="auto"/>
              <w:right w:val="single" w:sz="4" w:space="0" w:color="auto"/>
            </w:tcBorders>
            <w:noWrap/>
            <w:vAlign w:val="bottom"/>
            <w:hideMark/>
          </w:tcPr>
          <w:p w14:paraId="0A8C489E"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1,844</w:t>
            </w:r>
          </w:p>
        </w:tc>
        <w:tc>
          <w:tcPr>
            <w:tcW w:w="1212" w:type="dxa"/>
            <w:tcBorders>
              <w:top w:val="nil"/>
              <w:left w:val="nil"/>
              <w:bottom w:val="single" w:sz="4" w:space="0" w:color="auto"/>
              <w:right w:val="single" w:sz="4" w:space="0" w:color="auto"/>
            </w:tcBorders>
            <w:noWrap/>
            <w:vAlign w:val="bottom"/>
            <w:hideMark/>
          </w:tcPr>
          <w:p w14:paraId="42CA8521"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12,327</w:t>
            </w:r>
          </w:p>
        </w:tc>
      </w:tr>
      <w:tr w:rsidR="00C64528" w:rsidRPr="00B87202" w14:paraId="700EFA6F"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4346B637"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01960</w:t>
            </w:r>
          </w:p>
        </w:tc>
        <w:tc>
          <w:tcPr>
            <w:tcW w:w="2074" w:type="dxa"/>
            <w:tcBorders>
              <w:top w:val="nil"/>
              <w:left w:val="nil"/>
              <w:bottom w:val="single" w:sz="4" w:space="0" w:color="auto"/>
              <w:right w:val="single" w:sz="4" w:space="0" w:color="auto"/>
            </w:tcBorders>
            <w:noWrap/>
            <w:hideMark/>
          </w:tcPr>
          <w:p w14:paraId="0AC93DEA"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Peabody</w:t>
            </w:r>
          </w:p>
        </w:tc>
        <w:tc>
          <w:tcPr>
            <w:tcW w:w="913" w:type="dxa"/>
            <w:tcBorders>
              <w:top w:val="nil"/>
              <w:left w:val="nil"/>
              <w:bottom w:val="single" w:sz="4" w:space="0" w:color="auto"/>
              <w:right w:val="single" w:sz="4" w:space="0" w:color="auto"/>
            </w:tcBorders>
            <w:noWrap/>
            <w:vAlign w:val="center"/>
            <w:hideMark/>
          </w:tcPr>
          <w:p w14:paraId="6558FCFE"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75</w:t>
            </w:r>
          </w:p>
        </w:tc>
        <w:tc>
          <w:tcPr>
            <w:tcW w:w="1063" w:type="dxa"/>
            <w:tcBorders>
              <w:top w:val="nil"/>
              <w:left w:val="nil"/>
              <w:bottom w:val="single" w:sz="4" w:space="0" w:color="auto"/>
              <w:right w:val="single" w:sz="4" w:space="0" w:color="auto"/>
            </w:tcBorders>
            <w:noWrap/>
            <w:vAlign w:val="center"/>
            <w:hideMark/>
          </w:tcPr>
          <w:p w14:paraId="21EE84F3"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740</w:t>
            </w:r>
          </w:p>
        </w:tc>
        <w:tc>
          <w:tcPr>
            <w:tcW w:w="1063" w:type="dxa"/>
            <w:tcBorders>
              <w:top w:val="nil"/>
              <w:left w:val="nil"/>
              <w:bottom w:val="single" w:sz="4" w:space="0" w:color="auto"/>
              <w:right w:val="single" w:sz="4" w:space="0" w:color="auto"/>
            </w:tcBorders>
            <w:noWrap/>
            <w:vAlign w:val="center"/>
            <w:hideMark/>
          </w:tcPr>
          <w:p w14:paraId="566F2E99"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951</w:t>
            </w:r>
          </w:p>
        </w:tc>
        <w:tc>
          <w:tcPr>
            <w:tcW w:w="1063" w:type="dxa"/>
            <w:tcBorders>
              <w:top w:val="nil"/>
              <w:left w:val="nil"/>
              <w:bottom w:val="single" w:sz="4" w:space="0" w:color="auto"/>
              <w:right w:val="single" w:sz="4" w:space="0" w:color="auto"/>
            </w:tcBorders>
            <w:noWrap/>
            <w:vAlign w:val="bottom"/>
            <w:hideMark/>
          </w:tcPr>
          <w:p w14:paraId="025B9900"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1,766</w:t>
            </w:r>
          </w:p>
        </w:tc>
        <w:tc>
          <w:tcPr>
            <w:tcW w:w="1212" w:type="dxa"/>
            <w:tcBorders>
              <w:top w:val="nil"/>
              <w:left w:val="nil"/>
              <w:bottom w:val="single" w:sz="4" w:space="0" w:color="auto"/>
              <w:right w:val="single" w:sz="4" w:space="0" w:color="auto"/>
            </w:tcBorders>
            <w:noWrap/>
            <w:vAlign w:val="bottom"/>
            <w:hideMark/>
          </w:tcPr>
          <w:p w14:paraId="0F093A51"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11,280</w:t>
            </w:r>
          </w:p>
        </w:tc>
      </w:tr>
      <w:tr w:rsidR="00C64528" w:rsidRPr="00B87202" w14:paraId="310851F1"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09AA7056"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01844</w:t>
            </w:r>
          </w:p>
        </w:tc>
        <w:tc>
          <w:tcPr>
            <w:tcW w:w="2074" w:type="dxa"/>
            <w:tcBorders>
              <w:top w:val="nil"/>
              <w:left w:val="nil"/>
              <w:bottom w:val="single" w:sz="4" w:space="0" w:color="auto"/>
              <w:right w:val="single" w:sz="4" w:space="0" w:color="auto"/>
            </w:tcBorders>
            <w:noWrap/>
            <w:hideMark/>
          </w:tcPr>
          <w:p w14:paraId="6AA43808"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Methuen</w:t>
            </w:r>
          </w:p>
        </w:tc>
        <w:tc>
          <w:tcPr>
            <w:tcW w:w="913" w:type="dxa"/>
            <w:tcBorders>
              <w:top w:val="nil"/>
              <w:left w:val="nil"/>
              <w:bottom w:val="single" w:sz="4" w:space="0" w:color="auto"/>
              <w:right w:val="single" w:sz="4" w:space="0" w:color="auto"/>
            </w:tcBorders>
            <w:noWrap/>
            <w:vAlign w:val="center"/>
            <w:hideMark/>
          </w:tcPr>
          <w:p w14:paraId="39066BDD"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75</w:t>
            </w:r>
          </w:p>
        </w:tc>
        <w:tc>
          <w:tcPr>
            <w:tcW w:w="1063" w:type="dxa"/>
            <w:tcBorders>
              <w:top w:val="nil"/>
              <w:left w:val="nil"/>
              <w:bottom w:val="single" w:sz="4" w:space="0" w:color="auto"/>
              <w:right w:val="single" w:sz="4" w:space="0" w:color="auto"/>
            </w:tcBorders>
            <w:noWrap/>
            <w:vAlign w:val="center"/>
            <w:hideMark/>
          </w:tcPr>
          <w:p w14:paraId="4664D8C6"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740</w:t>
            </w:r>
          </w:p>
        </w:tc>
        <w:tc>
          <w:tcPr>
            <w:tcW w:w="1063" w:type="dxa"/>
            <w:tcBorders>
              <w:top w:val="nil"/>
              <w:left w:val="nil"/>
              <w:bottom w:val="single" w:sz="4" w:space="0" w:color="auto"/>
              <w:right w:val="single" w:sz="4" w:space="0" w:color="auto"/>
            </w:tcBorders>
            <w:noWrap/>
            <w:vAlign w:val="center"/>
            <w:hideMark/>
          </w:tcPr>
          <w:p w14:paraId="25DCF574"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951</w:t>
            </w:r>
          </w:p>
        </w:tc>
        <w:tc>
          <w:tcPr>
            <w:tcW w:w="1063" w:type="dxa"/>
            <w:tcBorders>
              <w:top w:val="nil"/>
              <w:left w:val="nil"/>
              <w:bottom w:val="single" w:sz="4" w:space="0" w:color="auto"/>
              <w:right w:val="single" w:sz="4" w:space="0" w:color="auto"/>
            </w:tcBorders>
            <w:noWrap/>
            <w:vAlign w:val="bottom"/>
            <w:hideMark/>
          </w:tcPr>
          <w:p w14:paraId="28C12E98"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1,766</w:t>
            </w:r>
          </w:p>
        </w:tc>
        <w:tc>
          <w:tcPr>
            <w:tcW w:w="1212" w:type="dxa"/>
            <w:tcBorders>
              <w:top w:val="nil"/>
              <w:left w:val="nil"/>
              <w:bottom w:val="single" w:sz="4" w:space="0" w:color="auto"/>
              <w:right w:val="single" w:sz="4" w:space="0" w:color="auto"/>
            </w:tcBorders>
            <w:noWrap/>
            <w:vAlign w:val="bottom"/>
            <w:hideMark/>
          </w:tcPr>
          <w:p w14:paraId="162553B0"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13,315</w:t>
            </w:r>
          </w:p>
        </w:tc>
      </w:tr>
      <w:tr w:rsidR="00C64528" w:rsidRPr="00B87202" w14:paraId="3C4CCDC2"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273C5D93"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01841</w:t>
            </w:r>
          </w:p>
        </w:tc>
        <w:tc>
          <w:tcPr>
            <w:tcW w:w="2074" w:type="dxa"/>
            <w:tcBorders>
              <w:top w:val="nil"/>
              <w:left w:val="nil"/>
              <w:bottom w:val="single" w:sz="4" w:space="0" w:color="auto"/>
              <w:right w:val="single" w:sz="4" w:space="0" w:color="auto"/>
            </w:tcBorders>
            <w:noWrap/>
            <w:hideMark/>
          </w:tcPr>
          <w:p w14:paraId="51DE8DC5"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Lawrence</w:t>
            </w:r>
          </w:p>
        </w:tc>
        <w:tc>
          <w:tcPr>
            <w:tcW w:w="913" w:type="dxa"/>
            <w:tcBorders>
              <w:top w:val="nil"/>
              <w:left w:val="nil"/>
              <w:bottom w:val="single" w:sz="4" w:space="0" w:color="auto"/>
              <w:right w:val="single" w:sz="4" w:space="0" w:color="auto"/>
            </w:tcBorders>
            <w:noWrap/>
            <w:vAlign w:val="center"/>
            <w:hideMark/>
          </w:tcPr>
          <w:p w14:paraId="61F18F56"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75</w:t>
            </w:r>
          </w:p>
        </w:tc>
        <w:tc>
          <w:tcPr>
            <w:tcW w:w="1063" w:type="dxa"/>
            <w:tcBorders>
              <w:top w:val="nil"/>
              <w:left w:val="nil"/>
              <w:bottom w:val="single" w:sz="4" w:space="0" w:color="auto"/>
              <w:right w:val="single" w:sz="4" w:space="0" w:color="auto"/>
            </w:tcBorders>
            <w:noWrap/>
            <w:vAlign w:val="center"/>
            <w:hideMark/>
          </w:tcPr>
          <w:p w14:paraId="0B14CF1B"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735</w:t>
            </w:r>
          </w:p>
        </w:tc>
        <w:tc>
          <w:tcPr>
            <w:tcW w:w="1063" w:type="dxa"/>
            <w:tcBorders>
              <w:top w:val="nil"/>
              <w:left w:val="nil"/>
              <w:bottom w:val="single" w:sz="4" w:space="0" w:color="auto"/>
              <w:right w:val="single" w:sz="4" w:space="0" w:color="auto"/>
            </w:tcBorders>
            <w:noWrap/>
            <w:vAlign w:val="center"/>
            <w:hideMark/>
          </w:tcPr>
          <w:p w14:paraId="3859F1C3"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945</w:t>
            </w:r>
          </w:p>
        </w:tc>
        <w:tc>
          <w:tcPr>
            <w:tcW w:w="1063" w:type="dxa"/>
            <w:tcBorders>
              <w:top w:val="nil"/>
              <w:left w:val="nil"/>
              <w:bottom w:val="single" w:sz="4" w:space="0" w:color="auto"/>
              <w:right w:val="single" w:sz="4" w:space="0" w:color="auto"/>
            </w:tcBorders>
            <w:noWrap/>
            <w:vAlign w:val="bottom"/>
            <w:hideMark/>
          </w:tcPr>
          <w:p w14:paraId="6D9C8D18"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1,755</w:t>
            </w:r>
          </w:p>
        </w:tc>
        <w:tc>
          <w:tcPr>
            <w:tcW w:w="1212" w:type="dxa"/>
            <w:tcBorders>
              <w:top w:val="nil"/>
              <w:left w:val="nil"/>
              <w:bottom w:val="single" w:sz="4" w:space="0" w:color="auto"/>
              <w:right w:val="single" w:sz="4" w:space="0" w:color="auto"/>
            </w:tcBorders>
            <w:noWrap/>
            <w:vAlign w:val="bottom"/>
            <w:hideMark/>
          </w:tcPr>
          <w:p w14:paraId="29DDC7F5"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17,111</w:t>
            </w:r>
          </w:p>
        </w:tc>
      </w:tr>
      <w:tr w:rsidR="00C64528" w:rsidRPr="00B87202" w14:paraId="690AD58D"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697E5774"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02124</w:t>
            </w:r>
          </w:p>
        </w:tc>
        <w:tc>
          <w:tcPr>
            <w:tcW w:w="2074" w:type="dxa"/>
            <w:tcBorders>
              <w:top w:val="nil"/>
              <w:left w:val="nil"/>
              <w:bottom w:val="single" w:sz="4" w:space="0" w:color="auto"/>
              <w:right w:val="single" w:sz="4" w:space="0" w:color="auto"/>
            </w:tcBorders>
            <w:noWrap/>
            <w:hideMark/>
          </w:tcPr>
          <w:p w14:paraId="2EEDDE06"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Dorchester Center</w:t>
            </w:r>
          </w:p>
        </w:tc>
        <w:tc>
          <w:tcPr>
            <w:tcW w:w="913" w:type="dxa"/>
            <w:tcBorders>
              <w:top w:val="nil"/>
              <w:left w:val="nil"/>
              <w:bottom w:val="single" w:sz="4" w:space="0" w:color="auto"/>
              <w:right w:val="single" w:sz="4" w:space="0" w:color="auto"/>
            </w:tcBorders>
            <w:noWrap/>
            <w:vAlign w:val="center"/>
            <w:hideMark/>
          </w:tcPr>
          <w:p w14:paraId="766B60B2"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73</w:t>
            </w:r>
          </w:p>
        </w:tc>
        <w:tc>
          <w:tcPr>
            <w:tcW w:w="1063" w:type="dxa"/>
            <w:tcBorders>
              <w:top w:val="nil"/>
              <w:left w:val="nil"/>
              <w:bottom w:val="single" w:sz="4" w:space="0" w:color="auto"/>
              <w:right w:val="single" w:sz="4" w:space="0" w:color="auto"/>
            </w:tcBorders>
            <w:noWrap/>
            <w:vAlign w:val="center"/>
            <w:hideMark/>
          </w:tcPr>
          <w:p w14:paraId="106988AC"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736</w:t>
            </w:r>
          </w:p>
        </w:tc>
        <w:tc>
          <w:tcPr>
            <w:tcW w:w="1063" w:type="dxa"/>
            <w:tcBorders>
              <w:top w:val="nil"/>
              <w:left w:val="nil"/>
              <w:bottom w:val="single" w:sz="4" w:space="0" w:color="auto"/>
              <w:right w:val="single" w:sz="4" w:space="0" w:color="auto"/>
            </w:tcBorders>
            <w:noWrap/>
            <w:vAlign w:val="center"/>
            <w:hideMark/>
          </w:tcPr>
          <w:p w14:paraId="3BACF9A3"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920</w:t>
            </w:r>
          </w:p>
        </w:tc>
        <w:tc>
          <w:tcPr>
            <w:tcW w:w="1063" w:type="dxa"/>
            <w:tcBorders>
              <w:top w:val="nil"/>
              <w:left w:val="nil"/>
              <w:bottom w:val="single" w:sz="4" w:space="0" w:color="auto"/>
              <w:right w:val="single" w:sz="4" w:space="0" w:color="auto"/>
            </w:tcBorders>
            <w:noWrap/>
            <w:vAlign w:val="bottom"/>
            <w:hideMark/>
          </w:tcPr>
          <w:p w14:paraId="75F1C32B"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1,728</w:t>
            </w:r>
          </w:p>
        </w:tc>
        <w:tc>
          <w:tcPr>
            <w:tcW w:w="1212" w:type="dxa"/>
            <w:tcBorders>
              <w:top w:val="nil"/>
              <w:left w:val="nil"/>
              <w:bottom w:val="single" w:sz="4" w:space="0" w:color="auto"/>
              <w:right w:val="single" w:sz="4" w:space="0" w:color="auto"/>
            </w:tcBorders>
            <w:noWrap/>
            <w:vAlign w:val="bottom"/>
            <w:hideMark/>
          </w:tcPr>
          <w:p w14:paraId="56D94A79"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13,278</w:t>
            </w:r>
          </w:p>
        </w:tc>
      </w:tr>
      <w:tr w:rsidR="00C64528" w:rsidRPr="00B87202" w14:paraId="0105A3F7"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5FAF7B01"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01902</w:t>
            </w:r>
          </w:p>
        </w:tc>
        <w:tc>
          <w:tcPr>
            <w:tcW w:w="2074" w:type="dxa"/>
            <w:tcBorders>
              <w:top w:val="nil"/>
              <w:left w:val="nil"/>
              <w:bottom w:val="single" w:sz="4" w:space="0" w:color="auto"/>
              <w:right w:val="single" w:sz="4" w:space="0" w:color="auto"/>
            </w:tcBorders>
            <w:noWrap/>
            <w:hideMark/>
          </w:tcPr>
          <w:p w14:paraId="6A0ECE12"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Lynn</w:t>
            </w:r>
          </w:p>
        </w:tc>
        <w:tc>
          <w:tcPr>
            <w:tcW w:w="913" w:type="dxa"/>
            <w:tcBorders>
              <w:top w:val="nil"/>
              <w:left w:val="nil"/>
              <w:bottom w:val="single" w:sz="4" w:space="0" w:color="auto"/>
              <w:right w:val="single" w:sz="4" w:space="0" w:color="auto"/>
            </w:tcBorders>
            <w:noWrap/>
            <w:vAlign w:val="center"/>
            <w:hideMark/>
          </w:tcPr>
          <w:p w14:paraId="55047A47"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71</w:t>
            </w:r>
          </w:p>
        </w:tc>
        <w:tc>
          <w:tcPr>
            <w:tcW w:w="1063" w:type="dxa"/>
            <w:tcBorders>
              <w:top w:val="nil"/>
              <w:left w:val="nil"/>
              <w:bottom w:val="single" w:sz="4" w:space="0" w:color="auto"/>
              <w:right w:val="single" w:sz="4" w:space="0" w:color="auto"/>
            </w:tcBorders>
            <w:noWrap/>
            <w:vAlign w:val="center"/>
            <w:hideMark/>
          </w:tcPr>
          <w:p w14:paraId="27D3EBA8"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698</w:t>
            </w:r>
          </w:p>
        </w:tc>
        <w:tc>
          <w:tcPr>
            <w:tcW w:w="1063" w:type="dxa"/>
            <w:tcBorders>
              <w:top w:val="nil"/>
              <w:left w:val="nil"/>
              <w:bottom w:val="single" w:sz="4" w:space="0" w:color="auto"/>
              <w:right w:val="single" w:sz="4" w:space="0" w:color="auto"/>
            </w:tcBorders>
            <w:noWrap/>
            <w:vAlign w:val="center"/>
            <w:hideMark/>
          </w:tcPr>
          <w:p w14:paraId="08045B29"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897</w:t>
            </w:r>
          </w:p>
        </w:tc>
        <w:tc>
          <w:tcPr>
            <w:tcW w:w="1063" w:type="dxa"/>
            <w:tcBorders>
              <w:top w:val="nil"/>
              <w:left w:val="nil"/>
              <w:bottom w:val="single" w:sz="4" w:space="0" w:color="auto"/>
              <w:right w:val="single" w:sz="4" w:space="0" w:color="auto"/>
            </w:tcBorders>
            <w:noWrap/>
            <w:vAlign w:val="bottom"/>
            <w:hideMark/>
          </w:tcPr>
          <w:p w14:paraId="2A29E02E"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1,666</w:t>
            </w:r>
          </w:p>
        </w:tc>
        <w:tc>
          <w:tcPr>
            <w:tcW w:w="1212" w:type="dxa"/>
            <w:tcBorders>
              <w:top w:val="nil"/>
              <w:left w:val="nil"/>
              <w:bottom w:val="single" w:sz="4" w:space="0" w:color="auto"/>
              <w:right w:val="single" w:sz="4" w:space="0" w:color="auto"/>
            </w:tcBorders>
            <w:noWrap/>
            <w:vAlign w:val="bottom"/>
            <w:hideMark/>
          </w:tcPr>
          <w:p w14:paraId="238A059A"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15,417</w:t>
            </w:r>
          </w:p>
        </w:tc>
      </w:tr>
      <w:tr w:rsidR="00C64528" w:rsidRPr="00B87202" w14:paraId="5057D145"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506FE4FD"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02135</w:t>
            </w:r>
          </w:p>
        </w:tc>
        <w:tc>
          <w:tcPr>
            <w:tcW w:w="2074" w:type="dxa"/>
            <w:tcBorders>
              <w:top w:val="nil"/>
              <w:left w:val="nil"/>
              <w:bottom w:val="single" w:sz="4" w:space="0" w:color="auto"/>
              <w:right w:val="single" w:sz="4" w:space="0" w:color="auto"/>
            </w:tcBorders>
            <w:noWrap/>
            <w:hideMark/>
          </w:tcPr>
          <w:p w14:paraId="6FB0A8D5"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Brighton</w:t>
            </w:r>
          </w:p>
        </w:tc>
        <w:tc>
          <w:tcPr>
            <w:tcW w:w="913" w:type="dxa"/>
            <w:tcBorders>
              <w:top w:val="nil"/>
              <w:left w:val="nil"/>
              <w:bottom w:val="single" w:sz="4" w:space="0" w:color="auto"/>
              <w:right w:val="single" w:sz="4" w:space="0" w:color="auto"/>
            </w:tcBorders>
            <w:noWrap/>
            <w:vAlign w:val="center"/>
            <w:hideMark/>
          </w:tcPr>
          <w:p w14:paraId="6749E066"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70</w:t>
            </w:r>
          </w:p>
        </w:tc>
        <w:tc>
          <w:tcPr>
            <w:tcW w:w="1063" w:type="dxa"/>
            <w:tcBorders>
              <w:top w:val="nil"/>
              <w:left w:val="nil"/>
              <w:bottom w:val="single" w:sz="4" w:space="0" w:color="auto"/>
              <w:right w:val="single" w:sz="4" w:space="0" w:color="auto"/>
            </w:tcBorders>
            <w:noWrap/>
            <w:vAlign w:val="center"/>
            <w:hideMark/>
          </w:tcPr>
          <w:p w14:paraId="18328DFC"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704</w:t>
            </w:r>
          </w:p>
        </w:tc>
        <w:tc>
          <w:tcPr>
            <w:tcW w:w="1063" w:type="dxa"/>
            <w:tcBorders>
              <w:top w:val="nil"/>
              <w:left w:val="nil"/>
              <w:bottom w:val="single" w:sz="4" w:space="0" w:color="auto"/>
              <w:right w:val="single" w:sz="4" w:space="0" w:color="auto"/>
            </w:tcBorders>
            <w:noWrap/>
            <w:vAlign w:val="center"/>
            <w:hideMark/>
          </w:tcPr>
          <w:p w14:paraId="667DC9B9"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880</w:t>
            </w:r>
          </w:p>
        </w:tc>
        <w:tc>
          <w:tcPr>
            <w:tcW w:w="1063" w:type="dxa"/>
            <w:tcBorders>
              <w:top w:val="nil"/>
              <w:left w:val="nil"/>
              <w:bottom w:val="single" w:sz="4" w:space="0" w:color="auto"/>
              <w:right w:val="single" w:sz="4" w:space="0" w:color="auto"/>
            </w:tcBorders>
            <w:noWrap/>
            <w:vAlign w:val="bottom"/>
            <w:hideMark/>
          </w:tcPr>
          <w:p w14:paraId="02B09B7F"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1,655</w:t>
            </w:r>
          </w:p>
        </w:tc>
        <w:tc>
          <w:tcPr>
            <w:tcW w:w="1212" w:type="dxa"/>
            <w:tcBorders>
              <w:top w:val="nil"/>
              <w:left w:val="nil"/>
              <w:bottom w:val="single" w:sz="4" w:space="0" w:color="auto"/>
              <w:right w:val="single" w:sz="4" w:space="0" w:color="auto"/>
            </w:tcBorders>
            <w:noWrap/>
            <w:vAlign w:val="bottom"/>
            <w:hideMark/>
          </w:tcPr>
          <w:p w14:paraId="4C4A1015"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6,407</w:t>
            </w:r>
          </w:p>
        </w:tc>
      </w:tr>
      <w:tr w:rsidR="00C64528" w:rsidRPr="00B87202" w14:paraId="018B6970"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5404142A"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02149</w:t>
            </w:r>
          </w:p>
        </w:tc>
        <w:tc>
          <w:tcPr>
            <w:tcW w:w="2074" w:type="dxa"/>
            <w:tcBorders>
              <w:top w:val="nil"/>
              <w:left w:val="nil"/>
              <w:bottom w:val="single" w:sz="4" w:space="0" w:color="auto"/>
              <w:right w:val="single" w:sz="4" w:space="0" w:color="auto"/>
            </w:tcBorders>
            <w:noWrap/>
            <w:hideMark/>
          </w:tcPr>
          <w:p w14:paraId="3B866FC4"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Everett</w:t>
            </w:r>
          </w:p>
        </w:tc>
        <w:tc>
          <w:tcPr>
            <w:tcW w:w="913" w:type="dxa"/>
            <w:tcBorders>
              <w:top w:val="nil"/>
              <w:left w:val="nil"/>
              <w:bottom w:val="single" w:sz="4" w:space="0" w:color="auto"/>
              <w:right w:val="single" w:sz="4" w:space="0" w:color="auto"/>
            </w:tcBorders>
            <w:noWrap/>
            <w:vAlign w:val="center"/>
            <w:hideMark/>
          </w:tcPr>
          <w:p w14:paraId="2F7A8A3F"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87</w:t>
            </w:r>
          </w:p>
        </w:tc>
        <w:tc>
          <w:tcPr>
            <w:tcW w:w="1063" w:type="dxa"/>
            <w:tcBorders>
              <w:top w:val="nil"/>
              <w:left w:val="nil"/>
              <w:bottom w:val="single" w:sz="4" w:space="0" w:color="auto"/>
              <w:right w:val="single" w:sz="4" w:space="0" w:color="auto"/>
            </w:tcBorders>
            <w:noWrap/>
            <w:vAlign w:val="center"/>
            <w:hideMark/>
          </w:tcPr>
          <w:p w14:paraId="0B1656C6"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580</w:t>
            </w:r>
          </w:p>
        </w:tc>
        <w:tc>
          <w:tcPr>
            <w:tcW w:w="1063" w:type="dxa"/>
            <w:tcBorders>
              <w:top w:val="nil"/>
              <w:left w:val="nil"/>
              <w:bottom w:val="single" w:sz="4" w:space="0" w:color="auto"/>
              <w:right w:val="single" w:sz="4" w:space="0" w:color="auto"/>
            </w:tcBorders>
            <w:noWrap/>
            <w:vAlign w:val="center"/>
            <w:hideMark/>
          </w:tcPr>
          <w:p w14:paraId="730BB322"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909</w:t>
            </w:r>
          </w:p>
        </w:tc>
        <w:tc>
          <w:tcPr>
            <w:tcW w:w="1063" w:type="dxa"/>
            <w:tcBorders>
              <w:top w:val="nil"/>
              <w:left w:val="nil"/>
              <w:bottom w:val="single" w:sz="4" w:space="0" w:color="auto"/>
              <w:right w:val="single" w:sz="4" w:space="0" w:color="auto"/>
            </w:tcBorders>
            <w:noWrap/>
            <w:vAlign w:val="bottom"/>
            <w:hideMark/>
          </w:tcPr>
          <w:p w14:paraId="22E40AF3"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1,576</w:t>
            </w:r>
          </w:p>
        </w:tc>
        <w:tc>
          <w:tcPr>
            <w:tcW w:w="1212" w:type="dxa"/>
            <w:tcBorders>
              <w:top w:val="nil"/>
              <w:left w:val="nil"/>
              <w:bottom w:val="single" w:sz="4" w:space="0" w:color="auto"/>
              <w:right w:val="single" w:sz="4" w:space="0" w:color="auto"/>
            </w:tcBorders>
            <w:noWrap/>
            <w:vAlign w:val="bottom"/>
            <w:hideMark/>
          </w:tcPr>
          <w:p w14:paraId="2184DFD3"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13,351</w:t>
            </w:r>
          </w:p>
        </w:tc>
      </w:tr>
      <w:tr w:rsidR="00C64528" w:rsidRPr="00B87202" w14:paraId="20B9B648"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5C58A19D"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02128</w:t>
            </w:r>
          </w:p>
        </w:tc>
        <w:tc>
          <w:tcPr>
            <w:tcW w:w="2074" w:type="dxa"/>
            <w:tcBorders>
              <w:top w:val="nil"/>
              <w:left w:val="nil"/>
              <w:bottom w:val="single" w:sz="4" w:space="0" w:color="auto"/>
              <w:right w:val="single" w:sz="4" w:space="0" w:color="auto"/>
            </w:tcBorders>
            <w:noWrap/>
            <w:hideMark/>
          </w:tcPr>
          <w:p w14:paraId="4F3CD927"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East Boston</w:t>
            </w:r>
          </w:p>
        </w:tc>
        <w:tc>
          <w:tcPr>
            <w:tcW w:w="913" w:type="dxa"/>
            <w:tcBorders>
              <w:top w:val="nil"/>
              <w:left w:val="nil"/>
              <w:bottom w:val="single" w:sz="4" w:space="0" w:color="auto"/>
              <w:right w:val="single" w:sz="4" w:space="0" w:color="auto"/>
            </w:tcBorders>
            <w:noWrap/>
            <w:vAlign w:val="center"/>
            <w:hideMark/>
          </w:tcPr>
          <w:p w14:paraId="6C639FA8"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65</w:t>
            </w:r>
          </w:p>
        </w:tc>
        <w:tc>
          <w:tcPr>
            <w:tcW w:w="1063" w:type="dxa"/>
            <w:tcBorders>
              <w:top w:val="nil"/>
              <w:left w:val="nil"/>
              <w:bottom w:val="single" w:sz="4" w:space="0" w:color="auto"/>
              <w:right w:val="single" w:sz="4" w:space="0" w:color="auto"/>
            </w:tcBorders>
            <w:noWrap/>
            <w:vAlign w:val="center"/>
            <w:hideMark/>
          </w:tcPr>
          <w:p w14:paraId="44F0DEDA"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653</w:t>
            </w:r>
          </w:p>
        </w:tc>
        <w:tc>
          <w:tcPr>
            <w:tcW w:w="1063" w:type="dxa"/>
            <w:tcBorders>
              <w:top w:val="nil"/>
              <w:left w:val="nil"/>
              <w:bottom w:val="single" w:sz="4" w:space="0" w:color="auto"/>
              <w:right w:val="single" w:sz="4" w:space="0" w:color="auto"/>
            </w:tcBorders>
            <w:noWrap/>
            <w:vAlign w:val="center"/>
            <w:hideMark/>
          </w:tcPr>
          <w:p w14:paraId="67A21D8C"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816</w:t>
            </w:r>
          </w:p>
        </w:tc>
        <w:tc>
          <w:tcPr>
            <w:tcW w:w="1063" w:type="dxa"/>
            <w:tcBorders>
              <w:top w:val="nil"/>
              <w:left w:val="nil"/>
              <w:bottom w:val="single" w:sz="4" w:space="0" w:color="auto"/>
              <w:right w:val="single" w:sz="4" w:space="0" w:color="auto"/>
            </w:tcBorders>
            <w:noWrap/>
            <w:vAlign w:val="bottom"/>
            <w:hideMark/>
          </w:tcPr>
          <w:p w14:paraId="51546138"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1,533</w:t>
            </w:r>
          </w:p>
        </w:tc>
        <w:tc>
          <w:tcPr>
            <w:tcW w:w="1212" w:type="dxa"/>
            <w:tcBorders>
              <w:top w:val="nil"/>
              <w:left w:val="nil"/>
              <w:bottom w:val="single" w:sz="4" w:space="0" w:color="auto"/>
              <w:right w:val="single" w:sz="4" w:space="0" w:color="auto"/>
            </w:tcBorders>
            <w:noWrap/>
            <w:vAlign w:val="bottom"/>
            <w:hideMark/>
          </w:tcPr>
          <w:p w14:paraId="2D22879F"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9,872</w:t>
            </w:r>
          </w:p>
        </w:tc>
      </w:tr>
      <w:tr w:rsidR="00C64528" w:rsidRPr="00B87202" w14:paraId="16E3F99F"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0F92A1A1"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01970</w:t>
            </w:r>
          </w:p>
        </w:tc>
        <w:tc>
          <w:tcPr>
            <w:tcW w:w="2074" w:type="dxa"/>
            <w:tcBorders>
              <w:top w:val="nil"/>
              <w:left w:val="nil"/>
              <w:bottom w:val="single" w:sz="4" w:space="0" w:color="auto"/>
              <w:right w:val="single" w:sz="4" w:space="0" w:color="auto"/>
            </w:tcBorders>
            <w:noWrap/>
            <w:hideMark/>
          </w:tcPr>
          <w:p w14:paraId="074F5D2E"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Salem</w:t>
            </w:r>
          </w:p>
        </w:tc>
        <w:tc>
          <w:tcPr>
            <w:tcW w:w="913" w:type="dxa"/>
            <w:tcBorders>
              <w:top w:val="nil"/>
              <w:left w:val="nil"/>
              <w:bottom w:val="single" w:sz="4" w:space="0" w:color="auto"/>
              <w:right w:val="single" w:sz="4" w:space="0" w:color="auto"/>
            </w:tcBorders>
            <w:noWrap/>
            <w:vAlign w:val="center"/>
            <w:hideMark/>
          </w:tcPr>
          <w:p w14:paraId="0AB67053"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62</w:t>
            </w:r>
          </w:p>
        </w:tc>
        <w:tc>
          <w:tcPr>
            <w:tcW w:w="1063" w:type="dxa"/>
            <w:tcBorders>
              <w:top w:val="nil"/>
              <w:left w:val="nil"/>
              <w:bottom w:val="single" w:sz="4" w:space="0" w:color="auto"/>
              <w:right w:val="single" w:sz="4" w:space="0" w:color="auto"/>
            </w:tcBorders>
            <w:noWrap/>
            <w:vAlign w:val="center"/>
            <w:hideMark/>
          </w:tcPr>
          <w:p w14:paraId="13FFE5FD"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611</w:t>
            </w:r>
          </w:p>
        </w:tc>
        <w:tc>
          <w:tcPr>
            <w:tcW w:w="1063" w:type="dxa"/>
            <w:tcBorders>
              <w:top w:val="nil"/>
              <w:left w:val="nil"/>
              <w:bottom w:val="single" w:sz="4" w:space="0" w:color="auto"/>
              <w:right w:val="single" w:sz="4" w:space="0" w:color="auto"/>
            </w:tcBorders>
            <w:noWrap/>
            <w:vAlign w:val="center"/>
            <w:hideMark/>
          </w:tcPr>
          <w:p w14:paraId="5B26D979"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786</w:t>
            </w:r>
          </w:p>
        </w:tc>
        <w:tc>
          <w:tcPr>
            <w:tcW w:w="1063" w:type="dxa"/>
            <w:tcBorders>
              <w:top w:val="nil"/>
              <w:left w:val="nil"/>
              <w:bottom w:val="single" w:sz="4" w:space="0" w:color="auto"/>
              <w:right w:val="single" w:sz="4" w:space="0" w:color="auto"/>
            </w:tcBorders>
            <w:noWrap/>
            <w:vAlign w:val="bottom"/>
            <w:hideMark/>
          </w:tcPr>
          <w:p w14:paraId="7C71EA7E"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1,459</w:t>
            </w:r>
          </w:p>
        </w:tc>
        <w:tc>
          <w:tcPr>
            <w:tcW w:w="1212" w:type="dxa"/>
            <w:tcBorders>
              <w:top w:val="nil"/>
              <w:left w:val="nil"/>
              <w:bottom w:val="single" w:sz="4" w:space="0" w:color="auto"/>
              <w:right w:val="single" w:sz="4" w:space="0" w:color="auto"/>
            </w:tcBorders>
            <w:noWrap/>
            <w:vAlign w:val="bottom"/>
            <w:hideMark/>
          </w:tcPr>
          <w:p w14:paraId="393DE76C"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10,133</w:t>
            </w:r>
          </w:p>
        </w:tc>
      </w:tr>
      <w:tr w:rsidR="00C64528" w:rsidRPr="00B87202" w14:paraId="690E6826"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42EC0501"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02150</w:t>
            </w:r>
          </w:p>
        </w:tc>
        <w:tc>
          <w:tcPr>
            <w:tcW w:w="2074" w:type="dxa"/>
            <w:tcBorders>
              <w:top w:val="nil"/>
              <w:left w:val="nil"/>
              <w:bottom w:val="single" w:sz="4" w:space="0" w:color="auto"/>
              <w:right w:val="single" w:sz="4" w:space="0" w:color="auto"/>
            </w:tcBorders>
            <w:noWrap/>
            <w:hideMark/>
          </w:tcPr>
          <w:p w14:paraId="7388D2B3"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Chelsea</w:t>
            </w:r>
          </w:p>
        </w:tc>
        <w:tc>
          <w:tcPr>
            <w:tcW w:w="913" w:type="dxa"/>
            <w:tcBorders>
              <w:top w:val="nil"/>
              <w:left w:val="nil"/>
              <w:bottom w:val="single" w:sz="4" w:space="0" w:color="auto"/>
              <w:right w:val="single" w:sz="4" w:space="0" w:color="auto"/>
            </w:tcBorders>
            <w:noWrap/>
            <w:vAlign w:val="center"/>
            <w:hideMark/>
          </w:tcPr>
          <w:p w14:paraId="630806F9"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62</w:t>
            </w:r>
          </w:p>
        </w:tc>
        <w:tc>
          <w:tcPr>
            <w:tcW w:w="1063" w:type="dxa"/>
            <w:tcBorders>
              <w:top w:val="nil"/>
              <w:left w:val="nil"/>
              <w:bottom w:val="single" w:sz="4" w:space="0" w:color="auto"/>
              <w:right w:val="single" w:sz="4" w:space="0" w:color="auto"/>
            </w:tcBorders>
            <w:noWrap/>
            <w:vAlign w:val="center"/>
            <w:hideMark/>
          </w:tcPr>
          <w:p w14:paraId="460078AA"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619</w:t>
            </w:r>
          </w:p>
        </w:tc>
        <w:tc>
          <w:tcPr>
            <w:tcW w:w="1063" w:type="dxa"/>
            <w:tcBorders>
              <w:top w:val="nil"/>
              <w:left w:val="nil"/>
              <w:bottom w:val="single" w:sz="4" w:space="0" w:color="auto"/>
              <w:right w:val="single" w:sz="4" w:space="0" w:color="auto"/>
            </w:tcBorders>
            <w:noWrap/>
            <w:vAlign w:val="center"/>
            <w:hideMark/>
          </w:tcPr>
          <w:p w14:paraId="1B21F56A"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773</w:t>
            </w:r>
          </w:p>
        </w:tc>
        <w:tc>
          <w:tcPr>
            <w:tcW w:w="1063" w:type="dxa"/>
            <w:tcBorders>
              <w:top w:val="nil"/>
              <w:left w:val="nil"/>
              <w:bottom w:val="single" w:sz="4" w:space="0" w:color="auto"/>
              <w:right w:val="single" w:sz="4" w:space="0" w:color="auto"/>
            </w:tcBorders>
            <w:noWrap/>
            <w:vAlign w:val="bottom"/>
            <w:hideMark/>
          </w:tcPr>
          <w:p w14:paraId="00D0AD51"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1,453</w:t>
            </w:r>
          </w:p>
        </w:tc>
        <w:tc>
          <w:tcPr>
            <w:tcW w:w="1212" w:type="dxa"/>
            <w:tcBorders>
              <w:top w:val="nil"/>
              <w:left w:val="nil"/>
              <w:bottom w:val="single" w:sz="4" w:space="0" w:color="auto"/>
              <w:right w:val="single" w:sz="4" w:space="0" w:color="auto"/>
            </w:tcBorders>
            <w:noWrap/>
            <w:vAlign w:val="bottom"/>
            <w:hideMark/>
          </w:tcPr>
          <w:p w14:paraId="6095ACAE"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11,402</w:t>
            </w:r>
          </w:p>
        </w:tc>
      </w:tr>
      <w:tr w:rsidR="00C64528" w:rsidRPr="00B87202" w14:paraId="7FEA1880"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68BE7669"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01915</w:t>
            </w:r>
          </w:p>
        </w:tc>
        <w:tc>
          <w:tcPr>
            <w:tcW w:w="2074" w:type="dxa"/>
            <w:tcBorders>
              <w:top w:val="nil"/>
              <w:left w:val="nil"/>
              <w:bottom w:val="single" w:sz="4" w:space="0" w:color="auto"/>
              <w:right w:val="single" w:sz="4" w:space="0" w:color="auto"/>
            </w:tcBorders>
            <w:noWrap/>
            <w:hideMark/>
          </w:tcPr>
          <w:p w14:paraId="6DD1769B"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Beverly</w:t>
            </w:r>
          </w:p>
        </w:tc>
        <w:tc>
          <w:tcPr>
            <w:tcW w:w="913" w:type="dxa"/>
            <w:tcBorders>
              <w:top w:val="nil"/>
              <w:left w:val="nil"/>
              <w:bottom w:val="single" w:sz="4" w:space="0" w:color="auto"/>
              <w:right w:val="single" w:sz="4" w:space="0" w:color="auto"/>
            </w:tcBorders>
            <w:noWrap/>
            <w:vAlign w:val="center"/>
            <w:hideMark/>
          </w:tcPr>
          <w:p w14:paraId="17BFF7B2"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59</w:t>
            </w:r>
          </w:p>
        </w:tc>
        <w:tc>
          <w:tcPr>
            <w:tcW w:w="1063" w:type="dxa"/>
            <w:tcBorders>
              <w:top w:val="nil"/>
              <w:left w:val="nil"/>
              <w:bottom w:val="single" w:sz="4" w:space="0" w:color="auto"/>
              <w:right w:val="single" w:sz="4" w:space="0" w:color="auto"/>
            </w:tcBorders>
            <w:noWrap/>
            <w:vAlign w:val="center"/>
            <w:hideMark/>
          </w:tcPr>
          <w:p w14:paraId="3A8E23FB"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577</w:t>
            </w:r>
          </w:p>
        </w:tc>
        <w:tc>
          <w:tcPr>
            <w:tcW w:w="1063" w:type="dxa"/>
            <w:tcBorders>
              <w:top w:val="nil"/>
              <w:left w:val="nil"/>
              <w:bottom w:val="single" w:sz="4" w:space="0" w:color="auto"/>
              <w:right w:val="single" w:sz="4" w:space="0" w:color="auto"/>
            </w:tcBorders>
            <w:noWrap/>
            <w:vAlign w:val="center"/>
            <w:hideMark/>
          </w:tcPr>
          <w:p w14:paraId="7A07367C"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741</w:t>
            </w:r>
          </w:p>
        </w:tc>
        <w:tc>
          <w:tcPr>
            <w:tcW w:w="1063" w:type="dxa"/>
            <w:tcBorders>
              <w:top w:val="nil"/>
              <w:left w:val="nil"/>
              <w:bottom w:val="single" w:sz="4" w:space="0" w:color="auto"/>
              <w:right w:val="single" w:sz="4" w:space="0" w:color="auto"/>
            </w:tcBorders>
            <w:noWrap/>
            <w:vAlign w:val="bottom"/>
            <w:hideMark/>
          </w:tcPr>
          <w:p w14:paraId="01C23F3E"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1,376</w:t>
            </w:r>
          </w:p>
        </w:tc>
        <w:tc>
          <w:tcPr>
            <w:tcW w:w="1212" w:type="dxa"/>
            <w:tcBorders>
              <w:top w:val="nil"/>
              <w:left w:val="nil"/>
              <w:bottom w:val="single" w:sz="4" w:space="0" w:color="auto"/>
              <w:right w:val="single" w:sz="4" w:space="0" w:color="auto"/>
            </w:tcBorders>
            <w:noWrap/>
            <w:vAlign w:val="bottom"/>
            <w:hideMark/>
          </w:tcPr>
          <w:p w14:paraId="1400DB4F"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11,266</w:t>
            </w:r>
          </w:p>
        </w:tc>
      </w:tr>
      <w:tr w:rsidR="00C64528" w:rsidRPr="00B87202" w14:paraId="41AFDCF0"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52BADD30"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02127</w:t>
            </w:r>
          </w:p>
        </w:tc>
        <w:tc>
          <w:tcPr>
            <w:tcW w:w="2074" w:type="dxa"/>
            <w:tcBorders>
              <w:top w:val="nil"/>
              <w:left w:val="nil"/>
              <w:bottom w:val="single" w:sz="4" w:space="0" w:color="auto"/>
              <w:right w:val="single" w:sz="4" w:space="0" w:color="auto"/>
            </w:tcBorders>
            <w:noWrap/>
            <w:hideMark/>
          </w:tcPr>
          <w:p w14:paraId="65C4497C"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South Boston</w:t>
            </w:r>
          </w:p>
        </w:tc>
        <w:tc>
          <w:tcPr>
            <w:tcW w:w="913" w:type="dxa"/>
            <w:tcBorders>
              <w:top w:val="nil"/>
              <w:left w:val="nil"/>
              <w:bottom w:val="single" w:sz="4" w:space="0" w:color="auto"/>
              <w:right w:val="single" w:sz="4" w:space="0" w:color="auto"/>
            </w:tcBorders>
            <w:noWrap/>
            <w:vAlign w:val="center"/>
            <w:hideMark/>
          </w:tcPr>
          <w:p w14:paraId="36440C17"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57</w:t>
            </w:r>
          </w:p>
        </w:tc>
        <w:tc>
          <w:tcPr>
            <w:tcW w:w="1063" w:type="dxa"/>
            <w:tcBorders>
              <w:top w:val="nil"/>
              <w:left w:val="nil"/>
              <w:bottom w:val="single" w:sz="4" w:space="0" w:color="auto"/>
              <w:right w:val="single" w:sz="4" w:space="0" w:color="auto"/>
            </w:tcBorders>
            <w:noWrap/>
            <w:vAlign w:val="center"/>
            <w:hideMark/>
          </w:tcPr>
          <w:p w14:paraId="6B90935D"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571</w:t>
            </w:r>
          </w:p>
        </w:tc>
        <w:tc>
          <w:tcPr>
            <w:tcW w:w="1063" w:type="dxa"/>
            <w:tcBorders>
              <w:top w:val="nil"/>
              <w:left w:val="nil"/>
              <w:bottom w:val="single" w:sz="4" w:space="0" w:color="auto"/>
              <w:right w:val="single" w:sz="4" w:space="0" w:color="auto"/>
            </w:tcBorders>
            <w:noWrap/>
            <w:vAlign w:val="center"/>
            <w:hideMark/>
          </w:tcPr>
          <w:p w14:paraId="24723BCA"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714</w:t>
            </w:r>
          </w:p>
        </w:tc>
        <w:tc>
          <w:tcPr>
            <w:tcW w:w="1063" w:type="dxa"/>
            <w:tcBorders>
              <w:top w:val="nil"/>
              <w:left w:val="nil"/>
              <w:bottom w:val="single" w:sz="4" w:space="0" w:color="auto"/>
              <w:right w:val="single" w:sz="4" w:space="0" w:color="auto"/>
            </w:tcBorders>
            <w:noWrap/>
            <w:vAlign w:val="bottom"/>
            <w:hideMark/>
          </w:tcPr>
          <w:p w14:paraId="4D6C8887"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1,343</w:t>
            </w:r>
          </w:p>
        </w:tc>
        <w:tc>
          <w:tcPr>
            <w:tcW w:w="1212" w:type="dxa"/>
            <w:tcBorders>
              <w:top w:val="nil"/>
              <w:left w:val="nil"/>
              <w:bottom w:val="single" w:sz="4" w:space="0" w:color="auto"/>
              <w:right w:val="single" w:sz="4" w:space="0" w:color="auto"/>
            </w:tcBorders>
            <w:noWrap/>
            <w:vAlign w:val="bottom"/>
            <w:hideMark/>
          </w:tcPr>
          <w:p w14:paraId="57BE7C35"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5,351</w:t>
            </w:r>
          </w:p>
        </w:tc>
      </w:tr>
      <w:tr w:rsidR="00C64528" w:rsidRPr="00B87202" w14:paraId="36C34EC0"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12BBBB4E"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01752</w:t>
            </w:r>
          </w:p>
        </w:tc>
        <w:tc>
          <w:tcPr>
            <w:tcW w:w="2074" w:type="dxa"/>
            <w:tcBorders>
              <w:top w:val="nil"/>
              <w:left w:val="nil"/>
              <w:bottom w:val="single" w:sz="4" w:space="0" w:color="auto"/>
              <w:right w:val="single" w:sz="4" w:space="0" w:color="auto"/>
            </w:tcBorders>
            <w:noWrap/>
            <w:hideMark/>
          </w:tcPr>
          <w:p w14:paraId="470D6A30"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Marlborough</w:t>
            </w:r>
          </w:p>
        </w:tc>
        <w:tc>
          <w:tcPr>
            <w:tcW w:w="913" w:type="dxa"/>
            <w:tcBorders>
              <w:top w:val="nil"/>
              <w:left w:val="nil"/>
              <w:bottom w:val="single" w:sz="4" w:space="0" w:color="auto"/>
              <w:right w:val="single" w:sz="4" w:space="0" w:color="auto"/>
            </w:tcBorders>
            <w:noWrap/>
            <w:vAlign w:val="center"/>
            <w:hideMark/>
          </w:tcPr>
          <w:p w14:paraId="68AF9EE2"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72</w:t>
            </w:r>
          </w:p>
        </w:tc>
        <w:tc>
          <w:tcPr>
            <w:tcW w:w="1063" w:type="dxa"/>
            <w:tcBorders>
              <w:top w:val="nil"/>
              <w:left w:val="nil"/>
              <w:bottom w:val="single" w:sz="4" w:space="0" w:color="auto"/>
              <w:right w:val="single" w:sz="4" w:space="0" w:color="auto"/>
            </w:tcBorders>
            <w:noWrap/>
            <w:vAlign w:val="center"/>
            <w:hideMark/>
          </w:tcPr>
          <w:p w14:paraId="346F3013"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482</w:t>
            </w:r>
          </w:p>
        </w:tc>
        <w:tc>
          <w:tcPr>
            <w:tcW w:w="1063" w:type="dxa"/>
            <w:tcBorders>
              <w:top w:val="nil"/>
              <w:left w:val="nil"/>
              <w:bottom w:val="single" w:sz="4" w:space="0" w:color="auto"/>
              <w:right w:val="single" w:sz="4" w:space="0" w:color="auto"/>
            </w:tcBorders>
            <w:noWrap/>
            <w:vAlign w:val="center"/>
            <w:hideMark/>
          </w:tcPr>
          <w:p w14:paraId="289418ED"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754</w:t>
            </w:r>
          </w:p>
        </w:tc>
        <w:tc>
          <w:tcPr>
            <w:tcW w:w="1063" w:type="dxa"/>
            <w:tcBorders>
              <w:top w:val="nil"/>
              <w:left w:val="nil"/>
              <w:bottom w:val="single" w:sz="4" w:space="0" w:color="auto"/>
              <w:right w:val="single" w:sz="4" w:space="0" w:color="auto"/>
            </w:tcBorders>
            <w:noWrap/>
            <w:vAlign w:val="bottom"/>
            <w:hideMark/>
          </w:tcPr>
          <w:p w14:paraId="548D15A3"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1,308</w:t>
            </w:r>
          </w:p>
        </w:tc>
        <w:tc>
          <w:tcPr>
            <w:tcW w:w="1212" w:type="dxa"/>
            <w:tcBorders>
              <w:top w:val="nil"/>
              <w:left w:val="nil"/>
              <w:bottom w:val="single" w:sz="4" w:space="0" w:color="auto"/>
              <w:right w:val="single" w:sz="4" w:space="0" w:color="auto"/>
            </w:tcBorders>
            <w:noWrap/>
            <w:vAlign w:val="bottom"/>
            <w:hideMark/>
          </w:tcPr>
          <w:p w14:paraId="4383EA60"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10,044</w:t>
            </w:r>
          </w:p>
        </w:tc>
      </w:tr>
      <w:tr w:rsidR="00C64528" w:rsidRPr="00B87202" w14:paraId="3F0B5961"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7DB0E879"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01801</w:t>
            </w:r>
          </w:p>
        </w:tc>
        <w:tc>
          <w:tcPr>
            <w:tcW w:w="2074" w:type="dxa"/>
            <w:tcBorders>
              <w:top w:val="nil"/>
              <w:left w:val="nil"/>
              <w:bottom w:val="single" w:sz="4" w:space="0" w:color="auto"/>
              <w:right w:val="single" w:sz="4" w:space="0" w:color="auto"/>
            </w:tcBorders>
            <w:noWrap/>
            <w:hideMark/>
          </w:tcPr>
          <w:p w14:paraId="06D36A2A"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Woburn</w:t>
            </w:r>
          </w:p>
        </w:tc>
        <w:tc>
          <w:tcPr>
            <w:tcW w:w="913" w:type="dxa"/>
            <w:tcBorders>
              <w:top w:val="nil"/>
              <w:left w:val="nil"/>
              <w:bottom w:val="single" w:sz="4" w:space="0" w:color="auto"/>
              <w:right w:val="single" w:sz="4" w:space="0" w:color="auto"/>
            </w:tcBorders>
            <w:noWrap/>
            <w:vAlign w:val="center"/>
            <w:hideMark/>
          </w:tcPr>
          <w:p w14:paraId="779C78A3"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72</w:t>
            </w:r>
          </w:p>
        </w:tc>
        <w:tc>
          <w:tcPr>
            <w:tcW w:w="1063" w:type="dxa"/>
            <w:tcBorders>
              <w:top w:val="nil"/>
              <w:left w:val="nil"/>
              <w:bottom w:val="single" w:sz="4" w:space="0" w:color="auto"/>
              <w:right w:val="single" w:sz="4" w:space="0" w:color="auto"/>
            </w:tcBorders>
            <w:noWrap/>
            <w:vAlign w:val="center"/>
            <w:hideMark/>
          </w:tcPr>
          <w:p w14:paraId="48CD0BF0"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479</w:t>
            </w:r>
          </w:p>
        </w:tc>
        <w:tc>
          <w:tcPr>
            <w:tcW w:w="1063" w:type="dxa"/>
            <w:tcBorders>
              <w:top w:val="nil"/>
              <w:left w:val="nil"/>
              <w:bottom w:val="single" w:sz="4" w:space="0" w:color="auto"/>
              <w:right w:val="single" w:sz="4" w:space="0" w:color="auto"/>
            </w:tcBorders>
            <w:noWrap/>
            <w:vAlign w:val="center"/>
            <w:hideMark/>
          </w:tcPr>
          <w:p w14:paraId="7D4FC070"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750</w:t>
            </w:r>
          </w:p>
        </w:tc>
        <w:tc>
          <w:tcPr>
            <w:tcW w:w="1063" w:type="dxa"/>
            <w:tcBorders>
              <w:top w:val="nil"/>
              <w:left w:val="nil"/>
              <w:bottom w:val="single" w:sz="4" w:space="0" w:color="auto"/>
              <w:right w:val="single" w:sz="4" w:space="0" w:color="auto"/>
            </w:tcBorders>
            <w:noWrap/>
            <w:vAlign w:val="bottom"/>
            <w:hideMark/>
          </w:tcPr>
          <w:p w14:paraId="7796891D"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1,301</w:t>
            </w:r>
          </w:p>
        </w:tc>
        <w:tc>
          <w:tcPr>
            <w:tcW w:w="1212" w:type="dxa"/>
            <w:tcBorders>
              <w:top w:val="nil"/>
              <w:left w:val="nil"/>
              <w:bottom w:val="single" w:sz="4" w:space="0" w:color="auto"/>
              <w:right w:val="single" w:sz="4" w:space="0" w:color="auto"/>
            </w:tcBorders>
            <w:noWrap/>
            <w:vAlign w:val="bottom"/>
            <w:hideMark/>
          </w:tcPr>
          <w:p w14:paraId="65170443"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9,130</w:t>
            </w:r>
          </w:p>
        </w:tc>
      </w:tr>
      <w:tr w:rsidR="00C64528" w:rsidRPr="00B87202" w14:paraId="57F32036"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3170AC51"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02130</w:t>
            </w:r>
          </w:p>
        </w:tc>
        <w:tc>
          <w:tcPr>
            <w:tcW w:w="2074" w:type="dxa"/>
            <w:tcBorders>
              <w:top w:val="nil"/>
              <w:left w:val="nil"/>
              <w:bottom w:val="single" w:sz="4" w:space="0" w:color="auto"/>
              <w:right w:val="single" w:sz="4" w:space="0" w:color="auto"/>
            </w:tcBorders>
            <w:noWrap/>
            <w:hideMark/>
          </w:tcPr>
          <w:p w14:paraId="4A8F5D3E"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Jamaica Plain</w:t>
            </w:r>
          </w:p>
        </w:tc>
        <w:tc>
          <w:tcPr>
            <w:tcW w:w="913" w:type="dxa"/>
            <w:tcBorders>
              <w:top w:val="nil"/>
              <w:left w:val="nil"/>
              <w:bottom w:val="single" w:sz="4" w:space="0" w:color="auto"/>
              <w:right w:val="single" w:sz="4" w:space="0" w:color="auto"/>
            </w:tcBorders>
            <w:noWrap/>
            <w:vAlign w:val="center"/>
            <w:hideMark/>
          </w:tcPr>
          <w:p w14:paraId="78F8E7BD"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55</w:t>
            </w:r>
          </w:p>
        </w:tc>
        <w:tc>
          <w:tcPr>
            <w:tcW w:w="1063" w:type="dxa"/>
            <w:tcBorders>
              <w:top w:val="nil"/>
              <w:left w:val="nil"/>
              <w:bottom w:val="single" w:sz="4" w:space="0" w:color="auto"/>
              <w:right w:val="single" w:sz="4" w:space="0" w:color="auto"/>
            </w:tcBorders>
            <w:noWrap/>
            <w:vAlign w:val="center"/>
            <w:hideMark/>
          </w:tcPr>
          <w:p w14:paraId="7FDF4427"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549</w:t>
            </w:r>
          </w:p>
        </w:tc>
        <w:tc>
          <w:tcPr>
            <w:tcW w:w="1063" w:type="dxa"/>
            <w:tcBorders>
              <w:top w:val="nil"/>
              <w:left w:val="nil"/>
              <w:bottom w:val="single" w:sz="4" w:space="0" w:color="auto"/>
              <w:right w:val="single" w:sz="4" w:space="0" w:color="auto"/>
            </w:tcBorders>
            <w:noWrap/>
            <w:vAlign w:val="center"/>
            <w:hideMark/>
          </w:tcPr>
          <w:p w14:paraId="33468E2B"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687</w:t>
            </w:r>
          </w:p>
        </w:tc>
        <w:tc>
          <w:tcPr>
            <w:tcW w:w="1063" w:type="dxa"/>
            <w:tcBorders>
              <w:top w:val="nil"/>
              <w:left w:val="nil"/>
              <w:bottom w:val="single" w:sz="4" w:space="0" w:color="auto"/>
              <w:right w:val="single" w:sz="4" w:space="0" w:color="auto"/>
            </w:tcBorders>
            <w:noWrap/>
            <w:vAlign w:val="bottom"/>
            <w:hideMark/>
          </w:tcPr>
          <w:p w14:paraId="34C8E728"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1,290</w:t>
            </w:r>
          </w:p>
        </w:tc>
        <w:tc>
          <w:tcPr>
            <w:tcW w:w="1212" w:type="dxa"/>
            <w:tcBorders>
              <w:top w:val="nil"/>
              <w:left w:val="nil"/>
              <w:bottom w:val="single" w:sz="4" w:space="0" w:color="auto"/>
              <w:right w:val="single" w:sz="4" w:space="0" w:color="auto"/>
            </w:tcBorders>
            <w:noWrap/>
            <w:vAlign w:val="bottom"/>
            <w:hideMark/>
          </w:tcPr>
          <w:p w14:paraId="1A58B3B6"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6,365</w:t>
            </w:r>
          </w:p>
        </w:tc>
      </w:tr>
      <w:tr w:rsidR="00C64528" w:rsidRPr="00B87202" w14:paraId="1CE731A5"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2527A251"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lastRenderedPageBreak/>
              <w:t>01702</w:t>
            </w:r>
          </w:p>
        </w:tc>
        <w:tc>
          <w:tcPr>
            <w:tcW w:w="2074" w:type="dxa"/>
            <w:tcBorders>
              <w:top w:val="nil"/>
              <w:left w:val="nil"/>
              <w:bottom w:val="single" w:sz="4" w:space="0" w:color="auto"/>
              <w:right w:val="single" w:sz="4" w:space="0" w:color="auto"/>
            </w:tcBorders>
            <w:noWrap/>
            <w:hideMark/>
          </w:tcPr>
          <w:p w14:paraId="7C8ACA13"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Framingham</w:t>
            </w:r>
          </w:p>
        </w:tc>
        <w:tc>
          <w:tcPr>
            <w:tcW w:w="913" w:type="dxa"/>
            <w:tcBorders>
              <w:top w:val="nil"/>
              <w:left w:val="nil"/>
              <w:bottom w:val="single" w:sz="4" w:space="0" w:color="auto"/>
              <w:right w:val="single" w:sz="4" w:space="0" w:color="auto"/>
            </w:tcBorders>
            <w:noWrap/>
            <w:vAlign w:val="center"/>
            <w:hideMark/>
          </w:tcPr>
          <w:p w14:paraId="73773422"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70</w:t>
            </w:r>
          </w:p>
        </w:tc>
        <w:tc>
          <w:tcPr>
            <w:tcW w:w="1063" w:type="dxa"/>
            <w:tcBorders>
              <w:top w:val="nil"/>
              <w:left w:val="nil"/>
              <w:bottom w:val="single" w:sz="4" w:space="0" w:color="auto"/>
              <w:right w:val="single" w:sz="4" w:space="0" w:color="auto"/>
            </w:tcBorders>
            <w:noWrap/>
            <w:vAlign w:val="center"/>
            <w:hideMark/>
          </w:tcPr>
          <w:p w14:paraId="3F17F8A8"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466</w:t>
            </w:r>
          </w:p>
        </w:tc>
        <w:tc>
          <w:tcPr>
            <w:tcW w:w="1063" w:type="dxa"/>
            <w:tcBorders>
              <w:top w:val="nil"/>
              <w:left w:val="nil"/>
              <w:bottom w:val="single" w:sz="4" w:space="0" w:color="auto"/>
              <w:right w:val="single" w:sz="4" w:space="0" w:color="auto"/>
            </w:tcBorders>
            <w:noWrap/>
            <w:vAlign w:val="center"/>
            <w:hideMark/>
          </w:tcPr>
          <w:p w14:paraId="15AB2C10"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730</w:t>
            </w:r>
          </w:p>
        </w:tc>
        <w:tc>
          <w:tcPr>
            <w:tcW w:w="1063" w:type="dxa"/>
            <w:tcBorders>
              <w:top w:val="nil"/>
              <w:left w:val="nil"/>
              <w:bottom w:val="single" w:sz="4" w:space="0" w:color="auto"/>
              <w:right w:val="single" w:sz="4" w:space="0" w:color="auto"/>
            </w:tcBorders>
            <w:noWrap/>
            <w:vAlign w:val="bottom"/>
            <w:hideMark/>
          </w:tcPr>
          <w:p w14:paraId="62C60BEC"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1,266</w:t>
            </w:r>
          </w:p>
        </w:tc>
        <w:tc>
          <w:tcPr>
            <w:tcW w:w="1212" w:type="dxa"/>
            <w:tcBorders>
              <w:top w:val="nil"/>
              <w:left w:val="nil"/>
              <w:bottom w:val="single" w:sz="4" w:space="0" w:color="auto"/>
              <w:right w:val="single" w:sz="4" w:space="0" w:color="auto"/>
            </w:tcBorders>
            <w:noWrap/>
            <w:vAlign w:val="bottom"/>
            <w:hideMark/>
          </w:tcPr>
          <w:p w14:paraId="62C439B8"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11,444</w:t>
            </w:r>
          </w:p>
        </w:tc>
      </w:tr>
      <w:tr w:rsidR="00C64528" w:rsidRPr="00B87202" w14:paraId="63622B9A" w14:textId="77777777" w:rsidTr="0060254E">
        <w:trPr>
          <w:cantSplit/>
          <w:trHeight w:val="243"/>
        </w:trPr>
        <w:tc>
          <w:tcPr>
            <w:tcW w:w="987" w:type="dxa"/>
            <w:tcBorders>
              <w:top w:val="nil"/>
              <w:left w:val="single" w:sz="4" w:space="0" w:color="auto"/>
              <w:bottom w:val="single" w:sz="4" w:space="0" w:color="auto"/>
              <w:right w:val="single" w:sz="4" w:space="0" w:color="auto"/>
            </w:tcBorders>
            <w:noWrap/>
            <w:hideMark/>
          </w:tcPr>
          <w:p w14:paraId="6C684CB2" w14:textId="77777777"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Other</w:t>
            </w:r>
          </w:p>
        </w:tc>
        <w:tc>
          <w:tcPr>
            <w:tcW w:w="2074" w:type="dxa"/>
            <w:tcBorders>
              <w:top w:val="nil"/>
              <w:left w:val="nil"/>
              <w:bottom w:val="single" w:sz="4" w:space="0" w:color="auto"/>
              <w:right w:val="single" w:sz="4" w:space="0" w:color="auto"/>
            </w:tcBorders>
            <w:noWrap/>
            <w:hideMark/>
          </w:tcPr>
          <w:p w14:paraId="78534CFC" w14:textId="2FC68FF8" w:rsidR="00C64528" w:rsidRPr="00B87202" w:rsidRDefault="00C64528" w:rsidP="00FD2E73">
            <w:pPr>
              <w:spacing w:after="0" w:line="240" w:lineRule="auto"/>
              <w:rPr>
                <w:rFonts w:ascii="Arial" w:eastAsia="Times New Roman" w:hAnsi="Arial" w:cs="Arial"/>
                <w:color w:val="000000"/>
                <w:szCs w:val="24"/>
              </w:rPr>
            </w:pPr>
            <w:r w:rsidRPr="00B87202">
              <w:rPr>
                <w:rFonts w:ascii="Arial" w:eastAsia="Times New Roman" w:hAnsi="Arial" w:cs="Arial"/>
                <w:color w:val="000000"/>
                <w:szCs w:val="24"/>
              </w:rPr>
              <w:t> </w:t>
            </w:r>
            <w:r w:rsidR="0060254E">
              <w:rPr>
                <w:rFonts w:ascii="Arial" w:eastAsia="Times New Roman" w:hAnsi="Arial" w:cs="Arial"/>
                <w:color w:val="000000"/>
                <w:szCs w:val="24"/>
              </w:rPr>
              <w:t>n/a</w:t>
            </w:r>
          </w:p>
        </w:tc>
        <w:tc>
          <w:tcPr>
            <w:tcW w:w="913" w:type="dxa"/>
            <w:tcBorders>
              <w:top w:val="nil"/>
              <w:left w:val="nil"/>
              <w:bottom w:val="single" w:sz="4" w:space="0" w:color="auto"/>
              <w:right w:val="single" w:sz="4" w:space="0" w:color="auto"/>
            </w:tcBorders>
            <w:noWrap/>
            <w:vAlign w:val="center"/>
            <w:hideMark/>
          </w:tcPr>
          <w:p w14:paraId="2EBD575C"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4,133</w:t>
            </w:r>
          </w:p>
        </w:tc>
        <w:tc>
          <w:tcPr>
            <w:tcW w:w="1063" w:type="dxa"/>
            <w:tcBorders>
              <w:top w:val="nil"/>
              <w:left w:val="nil"/>
              <w:bottom w:val="single" w:sz="4" w:space="0" w:color="auto"/>
              <w:right w:val="single" w:sz="4" w:space="0" w:color="auto"/>
            </w:tcBorders>
            <w:noWrap/>
            <w:vAlign w:val="center"/>
            <w:hideMark/>
          </w:tcPr>
          <w:p w14:paraId="30CD28FC"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31,922</w:t>
            </w:r>
          </w:p>
        </w:tc>
        <w:tc>
          <w:tcPr>
            <w:tcW w:w="1063" w:type="dxa"/>
            <w:tcBorders>
              <w:top w:val="nil"/>
              <w:left w:val="nil"/>
              <w:bottom w:val="single" w:sz="4" w:space="0" w:color="auto"/>
              <w:right w:val="single" w:sz="4" w:space="0" w:color="auto"/>
            </w:tcBorders>
            <w:noWrap/>
            <w:vAlign w:val="center"/>
            <w:hideMark/>
          </w:tcPr>
          <w:p w14:paraId="49AA06BD"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46,058</w:t>
            </w:r>
          </w:p>
        </w:tc>
        <w:tc>
          <w:tcPr>
            <w:tcW w:w="1063" w:type="dxa"/>
            <w:tcBorders>
              <w:top w:val="nil"/>
              <w:left w:val="nil"/>
              <w:bottom w:val="single" w:sz="4" w:space="0" w:color="auto"/>
              <w:right w:val="single" w:sz="4" w:space="0" w:color="auto"/>
            </w:tcBorders>
            <w:noWrap/>
            <w:vAlign w:val="center"/>
            <w:hideMark/>
          </w:tcPr>
          <w:p w14:paraId="1AD16D89"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82,113</w:t>
            </w:r>
          </w:p>
        </w:tc>
        <w:tc>
          <w:tcPr>
            <w:tcW w:w="1212" w:type="dxa"/>
            <w:tcBorders>
              <w:top w:val="nil"/>
              <w:left w:val="nil"/>
              <w:bottom w:val="single" w:sz="4" w:space="0" w:color="auto"/>
              <w:right w:val="single" w:sz="4" w:space="0" w:color="auto"/>
            </w:tcBorders>
            <w:noWrap/>
            <w:vAlign w:val="center"/>
            <w:hideMark/>
          </w:tcPr>
          <w:p w14:paraId="6F63D152" w14:textId="77777777" w:rsidR="00C64528" w:rsidRPr="00B87202" w:rsidRDefault="00C64528" w:rsidP="00FD2E73">
            <w:pPr>
              <w:spacing w:after="0" w:line="240" w:lineRule="auto"/>
              <w:jc w:val="right"/>
              <w:rPr>
                <w:rFonts w:ascii="Arial" w:eastAsia="Times New Roman" w:hAnsi="Arial" w:cs="Arial"/>
                <w:color w:val="000000"/>
                <w:szCs w:val="24"/>
              </w:rPr>
            </w:pPr>
            <w:r w:rsidRPr="00B87202">
              <w:rPr>
                <w:rFonts w:ascii="Arial" w:eastAsia="Times New Roman" w:hAnsi="Arial" w:cs="Arial"/>
                <w:color w:val="000000"/>
                <w:szCs w:val="24"/>
              </w:rPr>
              <w:t>641,244</w:t>
            </w:r>
          </w:p>
        </w:tc>
      </w:tr>
    </w:tbl>
    <w:p w14:paraId="217B4E35" w14:textId="089F3047" w:rsidR="003243FE" w:rsidRPr="003243FE" w:rsidRDefault="003243FE" w:rsidP="003243FE">
      <w:pPr>
        <w:rPr>
          <w:rFonts w:asciiTheme="minorHAnsi" w:hAnsiTheme="minorHAnsi" w:cstheme="minorHAnsi"/>
          <w:bCs/>
          <w:szCs w:val="28"/>
        </w:rPr>
      </w:pPr>
      <w:r w:rsidRPr="003243FE">
        <w:rPr>
          <w:rFonts w:asciiTheme="minorHAnsi" w:hAnsiTheme="minorHAnsi" w:cstheme="minorHAnsi"/>
          <w:bCs/>
          <w:szCs w:val="28"/>
        </w:rPr>
        <w:t>Source: Utilization rates via 2024 Komodo closed claims. Population data via PUMS and ESRI demographic data.</w:t>
      </w:r>
    </w:p>
    <w:p w14:paraId="6B38FF23" w14:textId="4208ED05" w:rsidR="00E45E85" w:rsidRDefault="002344DC" w:rsidP="00D43958">
      <w:pPr>
        <w:pStyle w:val="ListParagraph"/>
        <w:numPr>
          <w:ilvl w:val="0"/>
          <w:numId w:val="32"/>
        </w:numPr>
        <w:rPr>
          <w:rFonts w:cstheme="minorHAnsi"/>
          <w:b/>
          <w:sz w:val="24"/>
          <w:szCs w:val="28"/>
        </w:rPr>
      </w:pPr>
      <w:r>
        <w:rPr>
          <w:rFonts w:cstheme="minorHAnsi"/>
          <w:b/>
          <w:sz w:val="24"/>
          <w:szCs w:val="28"/>
        </w:rPr>
        <w:t>Category 1</w:t>
      </w:r>
      <w:r w:rsidR="00E45E85">
        <w:rPr>
          <w:rFonts w:cstheme="minorHAnsi"/>
          <w:b/>
          <w:sz w:val="24"/>
          <w:szCs w:val="28"/>
        </w:rPr>
        <w:t xml:space="preserve"> (Statewide)</w:t>
      </w:r>
    </w:p>
    <w:p w14:paraId="26C09778" w14:textId="77777777" w:rsidR="00E45E85" w:rsidRDefault="00E45E85" w:rsidP="00E45E85">
      <w:pPr>
        <w:pStyle w:val="ListParagraph"/>
        <w:rPr>
          <w:rFonts w:cstheme="minorHAnsi"/>
          <w:b/>
          <w:sz w:val="24"/>
          <w:szCs w:val="28"/>
        </w:rPr>
      </w:pPr>
    </w:p>
    <w:p w14:paraId="17CD50E3" w14:textId="0CDA4D88" w:rsidR="004D37D9" w:rsidRDefault="00D43958" w:rsidP="00E45E85">
      <w:pPr>
        <w:pStyle w:val="ListParagraph"/>
        <w:numPr>
          <w:ilvl w:val="1"/>
          <w:numId w:val="32"/>
        </w:numPr>
        <w:rPr>
          <w:rFonts w:cstheme="minorHAnsi"/>
          <w:b/>
          <w:sz w:val="24"/>
          <w:szCs w:val="28"/>
        </w:rPr>
      </w:pPr>
      <w:r w:rsidRPr="00D43958">
        <w:rPr>
          <w:rFonts w:cstheme="minorHAnsi"/>
          <w:b/>
          <w:sz w:val="24"/>
          <w:szCs w:val="28"/>
        </w:rPr>
        <w:t xml:space="preserve">CY </w:t>
      </w:r>
      <w:r w:rsidR="004F4988" w:rsidRPr="00D43958">
        <w:rPr>
          <w:rFonts w:cstheme="minorHAnsi"/>
          <w:b/>
          <w:sz w:val="24"/>
          <w:szCs w:val="28"/>
        </w:rPr>
        <w:t xml:space="preserve">2024 </w:t>
      </w:r>
      <w:r w:rsidR="004F4988">
        <w:rPr>
          <w:rFonts w:cstheme="minorHAnsi"/>
          <w:b/>
          <w:sz w:val="24"/>
          <w:szCs w:val="28"/>
        </w:rPr>
        <w:t>Volume</w:t>
      </w:r>
      <w:r>
        <w:rPr>
          <w:rFonts w:cstheme="minorHAnsi"/>
          <w:b/>
          <w:sz w:val="24"/>
          <w:szCs w:val="28"/>
        </w:rPr>
        <w:t xml:space="preserve"> </w:t>
      </w:r>
      <w:r w:rsidRPr="00D43958">
        <w:rPr>
          <w:rFonts w:cstheme="minorHAnsi"/>
          <w:b/>
          <w:sz w:val="24"/>
          <w:szCs w:val="28"/>
        </w:rPr>
        <w:t>by Setting Age Group and Payor</w:t>
      </w:r>
      <w:r w:rsidR="002344DC">
        <w:rPr>
          <w:rFonts w:cstheme="minorHAnsi"/>
          <w:b/>
          <w:sz w:val="24"/>
          <w:szCs w:val="28"/>
        </w:rPr>
        <w:t xml:space="preserve">  </w:t>
      </w:r>
    </w:p>
    <w:p w14:paraId="4A7BB3B8" w14:textId="77777777" w:rsidR="00E45E85" w:rsidRPr="00D43958" w:rsidRDefault="00E45E85" w:rsidP="00E45E85">
      <w:pPr>
        <w:pStyle w:val="ListParagraph"/>
        <w:ind w:left="1440"/>
        <w:rPr>
          <w:rFonts w:cstheme="minorHAnsi"/>
          <w:b/>
          <w:sz w:val="24"/>
          <w:szCs w:val="28"/>
        </w:rPr>
      </w:pPr>
    </w:p>
    <w:tbl>
      <w:tblPr>
        <w:tblStyle w:val="TableGrid"/>
        <w:tblW w:w="4197" w:type="pct"/>
        <w:tblInd w:w="-113" w:type="dxa"/>
        <w:tblLook w:val="04A0" w:firstRow="1" w:lastRow="0" w:firstColumn="1" w:lastColumn="0" w:noHBand="0" w:noVBand="1"/>
        <w:tblCaption w:val="CY 2024 Volume by Setting Age Group and Payor  "/>
      </w:tblPr>
      <w:tblGrid>
        <w:gridCol w:w="1225"/>
        <w:gridCol w:w="930"/>
        <w:gridCol w:w="1459"/>
        <w:gridCol w:w="1406"/>
        <w:gridCol w:w="1591"/>
        <w:gridCol w:w="1237"/>
      </w:tblGrid>
      <w:tr w:rsidR="002F56B2" w:rsidRPr="004F4988" w14:paraId="521DF403" w14:textId="5AF7C84D" w:rsidTr="002F56B2">
        <w:trPr>
          <w:cantSplit/>
          <w:tblHeader/>
        </w:trPr>
        <w:tc>
          <w:tcPr>
            <w:tcW w:w="796" w:type="pct"/>
            <w:shd w:val="clear" w:color="auto" w:fill="DBE5F1" w:themeFill="accent1" w:themeFillTint="33"/>
          </w:tcPr>
          <w:p w14:paraId="176A7C07" w14:textId="796D68A5" w:rsidR="002F56B2" w:rsidRPr="004F4988" w:rsidRDefault="002F56B2" w:rsidP="00C72E98">
            <w:pPr>
              <w:jc w:val="center"/>
              <w:rPr>
                <w:rFonts w:asciiTheme="minorHAnsi" w:hAnsiTheme="minorHAnsi" w:cstheme="minorHAnsi"/>
                <w:b/>
                <w:szCs w:val="24"/>
              </w:rPr>
            </w:pPr>
            <w:r w:rsidRPr="004F4988">
              <w:rPr>
                <w:rFonts w:asciiTheme="minorHAnsi" w:hAnsiTheme="minorHAnsi" w:cstheme="minorHAnsi"/>
                <w:b/>
                <w:szCs w:val="24"/>
              </w:rPr>
              <w:t>Setting</w:t>
            </w:r>
          </w:p>
        </w:tc>
        <w:tc>
          <w:tcPr>
            <w:tcW w:w="608" w:type="pct"/>
            <w:shd w:val="clear" w:color="auto" w:fill="DBE5F1" w:themeFill="accent1" w:themeFillTint="33"/>
          </w:tcPr>
          <w:p w14:paraId="6B24C7AC" w14:textId="75CA594A" w:rsidR="002F56B2" w:rsidRPr="004F4988" w:rsidRDefault="002F56B2" w:rsidP="00C72E98">
            <w:pPr>
              <w:jc w:val="center"/>
              <w:rPr>
                <w:rFonts w:asciiTheme="minorHAnsi" w:hAnsiTheme="minorHAnsi" w:cstheme="minorHAnsi"/>
                <w:b/>
                <w:szCs w:val="24"/>
              </w:rPr>
            </w:pPr>
            <w:r w:rsidRPr="004F4988">
              <w:rPr>
                <w:rFonts w:asciiTheme="minorHAnsi" w:hAnsiTheme="minorHAnsi" w:cstheme="minorHAnsi"/>
                <w:b/>
                <w:szCs w:val="24"/>
              </w:rPr>
              <w:t>Age Group</w:t>
            </w:r>
          </w:p>
        </w:tc>
        <w:tc>
          <w:tcPr>
            <w:tcW w:w="944" w:type="pct"/>
            <w:shd w:val="clear" w:color="auto" w:fill="DBE5F1" w:themeFill="accent1" w:themeFillTint="33"/>
          </w:tcPr>
          <w:p w14:paraId="2664BCDA" w14:textId="77777777" w:rsidR="002F56B2" w:rsidRPr="004F4988" w:rsidRDefault="002F56B2" w:rsidP="00C72E98">
            <w:pPr>
              <w:jc w:val="center"/>
              <w:rPr>
                <w:rFonts w:asciiTheme="minorHAnsi" w:hAnsiTheme="minorHAnsi" w:cstheme="minorHAnsi"/>
                <w:b/>
                <w:szCs w:val="24"/>
              </w:rPr>
            </w:pPr>
            <w:r w:rsidRPr="004F4988">
              <w:rPr>
                <w:rFonts w:asciiTheme="minorHAnsi" w:hAnsiTheme="minorHAnsi" w:cstheme="minorHAnsi"/>
                <w:b/>
                <w:szCs w:val="24"/>
              </w:rPr>
              <w:t>Commercial</w:t>
            </w:r>
          </w:p>
        </w:tc>
        <w:tc>
          <w:tcPr>
            <w:tcW w:w="821" w:type="pct"/>
            <w:shd w:val="clear" w:color="auto" w:fill="DBE5F1" w:themeFill="accent1" w:themeFillTint="33"/>
          </w:tcPr>
          <w:p w14:paraId="47B589BF" w14:textId="2DC0086A" w:rsidR="002F56B2" w:rsidRPr="004F4988" w:rsidRDefault="002F56B2" w:rsidP="00C72E98">
            <w:pPr>
              <w:jc w:val="center"/>
              <w:rPr>
                <w:rFonts w:asciiTheme="minorHAnsi" w:hAnsiTheme="minorHAnsi" w:cstheme="minorHAnsi"/>
                <w:b/>
                <w:szCs w:val="24"/>
              </w:rPr>
            </w:pPr>
            <w:r w:rsidRPr="004F4988">
              <w:rPr>
                <w:rFonts w:asciiTheme="minorHAnsi" w:hAnsiTheme="minorHAnsi" w:cstheme="minorHAnsi"/>
                <w:b/>
                <w:szCs w:val="24"/>
              </w:rPr>
              <w:t>Commercial</w:t>
            </w:r>
          </w:p>
        </w:tc>
        <w:tc>
          <w:tcPr>
            <w:tcW w:w="1028" w:type="pct"/>
            <w:shd w:val="clear" w:color="auto" w:fill="DBE5F1" w:themeFill="accent1" w:themeFillTint="33"/>
          </w:tcPr>
          <w:p w14:paraId="622A8A71" w14:textId="77777777" w:rsidR="002F56B2" w:rsidRPr="004F4988" w:rsidRDefault="002F56B2" w:rsidP="00C72E98">
            <w:pPr>
              <w:jc w:val="center"/>
              <w:rPr>
                <w:rFonts w:asciiTheme="minorHAnsi" w:hAnsiTheme="minorHAnsi" w:cstheme="minorHAnsi"/>
                <w:b/>
                <w:szCs w:val="24"/>
              </w:rPr>
            </w:pPr>
            <w:r w:rsidRPr="004F4988">
              <w:rPr>
                <w:rFonts w:asciiTheme="minorHAnsi" w:hAnsiTheme="minorHAnsi" w:cstheme="minorHAnsi"/>
                <w:b/>
                <w:szCs w:val="24"/>
              </w:rPr>
              <w:t>Medicaid</w:t>
            </w:r>
          </w:p>
        </w:tc>
        <w:tc>
          <w:tcPr>
            <w:tcW w:w="803" w:type="pct"/>
            <w:shd w:val="clear" w:color="auto" w:fill="DBE5F1" w:themeFill="accent1" w:themeFillTint="33"/>
          </w:tcPr>
          <w:p w14:paraId="6ECC12A1" w14:textId="08C31373" w:rsidR="002F56B2" w:rsidRPr="004F4988" w:rsidRDefault="002F56B2" w:rsidP="00C72E98">
            <w:pPr>
              <w:jc w:val="center"/>
              <w:rPr>
                <w:rFonts w:asciiTheme="minorHAnsi" w:hAnsiTheme="minorHAnsi" w:cstheme="minorHAnsi"/>
                <w:b/>
                <w:szCs w:val="24"/>
              </w:rPr>
            </w:pPr>
            <w:r w:rsidRPr="004F4988">
              <w:rPr>
                <w:rFonts w:asciiTheme="minorHAnsi" w:hAnsiTheme="minorHAnsi" w:cstheme="minorHAnsi"/>
                <w:b/>
                <w:szCs w:val="24"/>
              </w:rPr>
              <w:t>Medicaid</w:t>
            </w:r>
          </w:p>
        </w:tc>
      </w:tr>
      <w:tr w:rsidR="00C72E98" w:rsidRPr="004F4988" w14:paraId="2F0B5592" w14:textId="25F39078" w:rsidTr="002F56B2">
        <w:trPr>
          <w:cantSplit/>
        </w:trPr>
        <w:tc>
          <w:tcPr>
            <w:tcW w:w="796" w:type="pct"/>
          </w:tcPr>
          <w:p w14:paraId="6226F652" w14:textId="790B2A01" w:rsidR="00C72E98" w:rsidRPr="004F4988" w:rsidRDefault="00C72E98" w:rsidP="004D37D9">
            <w:pPr>
              <w:rPr>
                <w:rFonts w:asciiTheme="minorHAnsi" w:hAnsiTheme="minorHAnsi" w:cstheme="minorHAnsi"/>
                <w:b/>
                <w:szCs w:val="24"/>
              </w:rPr>
            </w:pPr>
            <w:r w:rsidRPr="004F4988">
              <w:rPr>
                <w:rFonts w:asciiTheme="minorHAnsi" w:hAnsiTheme="minorHAnsi" w:cstheme="minorHAnsi"/>
                <w:b/>
                <w:szCs w:val="24"/>
              </w:rPr>
              <w:t>ASC</w:t>
            </w:r>
          </w:p>
        </w:tc>
        <w:tc>
          <w:tcPr>
            <w:tcW w:w="608" w:type="pct"/>
          </w:tcPr>
          <w:p w14:paraId="0BC4A2D3" w14:textId="79AE1892" w:rsidR="00C72E98" w:rsidRPr="004F4988" w:rsidRDefault="00C72E98" w:rsidP="004D37D9">
            <w:pPr>
              <w:rPr>
                <w:rFonts w:asciiTheme="minorHAnsi" w:hAnsiTheme="minorHAnsi" w:cstheme="minorHAnsi"/>
                <w:bCs/>
                <w:szCs w:val="24"/>
              </w:rPr>
            </w:pPr>
            <w:r w:rsidRPr="004F4988">
              <w:rPr>
                <w:rFonts w:asciiTheme="minorHAnsi" w:hAnsiTheme="minorHAnsi" w:cstheme="minorHAnsi"/>
                <w:bCs/>
                <w:szCs w:val="24"/>
              </w:rPr>
              <w:t>0-10</w:t>
            </w:r>
          </w:p>
        </w:tc>
        <w:tc>
          <w:tcPr>
            <w:tcW w:w="944" w:type="pct"/>
          </w:tcPr>
          <w:p w14:paraId="11A735DF" w14:textId="1AF377D1" w:rsidR="00C72E98" w:rsidRPr="004F4988" w:rsidRDefault="00C72E98" w:rsidP="00C72E98">
            <w:pPr>
              <w:jc w:val="right"/>
              <w:rPr>
                <w:rFonts w:asciiTheme="minorHAnsi" w:hAnsiTheme="minorHAnsi" w:cstheme="minorHAnsi"/>
                <w:bCs/>
                <w:szCs w:val="24"/>
              </w:rPr>
            </w:pPr>
            <w:r w:rsidRPr="004F4988">
              <w:rPr>
                <w:rFonts w:asciiTheme="minorHAnsi" w:hAnsiTheme="minorHAnsi" w:cstheme="minorHAnsi"/>
                <w:bCs/>
                <w:szCs w:val="24"/>
              </w:rPr>
              <w:t>9,444</w:t>
            </w:r>
          </w:p>
        </w:tc>
        <w:tc>
          <w:tcPr>
            <w:tcW w:w="821" w:type="pct"/>
          </w:tcPr>
          <w:p w14:paraId="2996A217" w14:textId="374919D1" w:rsidR="00C72E98" w:rsidRPr="004F4988" w:rsidRDefault="00C72E98" w:rsidP="00C72E98">
            <w:pPr>
              <w:jc w:val="right"/>
              <w:rPr>
                <w:rFonts w:asciiTheme="minorHAnsi" w:hAnsiTheme="minorHAnsi" w:cstheme="minorHAnsi"/>
                <w:bCs/>
                <w:szCs w:val="24"/>
              </w:rPr>
            </w:pPr>
            <w:r w:rsidRPr="004F4988">
              <w:rPr>
                <w:rFonts w:asciiTheme="minorHAnsi" w:hAnsiTheme="minorHAnsi" w:cstheme="minorHAnsi"/>
                <w:bCs/>
                <w:szCs w:val="24"/>
              </w:rPr>
              <w:t>8.3%</w:t>
            </w:r>
          </w:p>
        </w:tc>
        <w:tc>
          <w:tcPr>
            <w:tcW w:w="1028" w:type="pct"/>
          </w:tcPr>
          <w:p w14:paraId="56CA6ED9" w14:textId="1A722F8B" w:rsidR="00C72E98" w:rsidRPr="004F4988" w:rsidRDefault="00C72E98" w:rsidP="00C72E98">
            <w:pPr>
              <w:jc w:val="right"/>
              <w:rPr>
                <w:rFonts w:asciiTheme="minorHAnsi" w:hAnsiTheme="minorHAnsi" w:cstheme="minorHAnsi"/>
                <w:bCs/>
                <w:szCs w:val="24"/>
              </w:rPr>
            </w:pPr>
            <w:r w:rsidRPr="004F4988">
              <w:rPr>
                <w:rFonts w:asciiTheme="minorHAnsi" w:hAnsiTheme="minorHAnsi" w:cstheme="minorHAnsi"/>
                <w:bCs/>
                <w:szCs w:val="24"/>
              </w:rPr>
              <w:t>495</w:t>
            </w:r>
          </w:p>
        </w:tc>
        <w:tc>
          <w:tcPr>
            <w:tcW w:w="803" w:type="pct"/>
          </w:tcPr>
          <w:p w14:paraId="0BFA0751" w14:textId="4E01CC90" w:rsidR="00C72E98" w:rsidRPr="004F4988" w:rsidRDefault="00C72E98" w:rsidP="00C72E98">
            <w:pPr>
              <w:jc w:val="right"/>
              <w:rPr>
                <w:rFonts w:asciiTheme="minorHAnsi" w:hAnsiTheme="minorHAnsi" w:cstheme="minorHAnsi"/>
                <w:bCs/>
                <w:szCs w:val="24"/>
              </w:rPr>
            </w:pPr>
            <w:r w:rsidRPr="004F4988">
              <w:rPr>
                <w:rFonts w:asciiTheme="minorHAnsi" w:hAnsiTheme="minorHAnsi" w:cstheme="minorHAnsi"/>
                <w:bCs/>
                <w:szCs w:val="24"/>
              </w:rPr>
              <w:t>.5%</w:t>
            </w:r>
          </w:p>
        </w:tc>
      </w:tr>
      <w:tr w:rsidR="00C72E98" w:rsidRPr="004F4988" w14:paraId="5ABACB1D" w14:textId="11F758FD" w:rsidTr="002F56B2">
        <w:trPr>
          <w:cantSplit/>
        </w:trPr>
        <w:tc>
          <w:tcPr>
            <w:tcW w:w="796" w:type="pct"/>
          </w:tcPr>
          <w:p w14:paraId="60DE9A9A" w14:textId="36BF94E1" w:rsidR="0056638A" w:rsidRPr="004F4988" w:rsidRDefault="0056638A" w:rsidP="004D37D9">
            <w:pPr>
              <w:rPr>
                <w:rFonts w:asciiTheme="minorHAnsi" w:hAnsiTheme="minorHAnsi" w:cstheme="minorHAnsi"/>
                <w:b/>
                <w:szCs w:val="24"/>
              </w:rPr>
            </w:pPr>
            <w:r>
              <w:rPr>
                <w:rFonts w:asciiTheme="minorHAnsi" w:hAnsiTheme="minorHAnsi" w:cstheme="minorHAnsi"/>
                <w:b/>
                <w:szCs w:val="24"/>
              </w:rPr>
              <w:t>n/a</w:t>
            </w:r>
          </w:p>
        </w:tc>
        <w:tc>
          <w:tcPr>
            <w:tcW w:w="608" w:type="pct"/>
          </w:tcPr>
          <w:p w14:paraId="56DDFA9C" w14:textId="18BF8B4D" w:rsidR="00C72E98" w:rsidRPr="004F4988" w:rsidRDefault="00C72E98" w:rsidP="004D37D9">
            <w:pPr>
              <w:rPr>
                <w:rFonts w:asciiTheme="minorHAnsi" w:hAnsiTheme="minorHAnsi" w:cstheme="minorHAnsi"/>
                <w:bCs/>
                <w:szCs w:val="24"/>
              </w:rPr>
            </w:pPr>
            <w:r w:rsidRPr="004F4988">
              <w:rPr>
                <w:rFonts w:asciiTheme="minorHAnsi" w:hAnsiTheme="minorHAnsi" w:cstheme="minorHAnsi"/>
                <w:bCs/>
                <w:szCs w:val="24"/>
              </w:rPr>
              <w:t>11-21</w:t>
            </w:r>
          </w:p>
        </w:tc>
        <w:tc>
          <w:tcPr>
            <w:tcW w:w="944" w:type="pct"/>
          </w:tcPr>
          <w:p w14:paraId="1CE40565" w14:textId="5B2ABDA1" w:rsidR="00C72E98" w:rsidRPr="004F4988" w:rsidRDefault="00C72E98" w:rsidP="00C72E98">
            <w:pPr>
              <w:jc w:val="right"/>
              <w:rPr>
                <w:rFonts w:asciiTheme="minorHAnsi" w:hAnsiTheme="minorHAnsi" w:cstheme="minorHAnsi"/>
                <w:bCs/>
                <w:szCs w:val="24"/>
              </w:rPr>
            </w:pPr>
            <w:r w:rsidRPr="004F4988">
              <w:rPr>
                <w:rFonts w:asciiTheme="minorHAnsi" w:hAnsiTheme="minorHAnsi" w:cstheme="minorHAnsi"/>
                <w:bCs/>
                <w:szCs w:val="24"/>
              </w:rPr>
              <w:t>679</w:t>
            </w:r>
          </w:p>
        </w:tc>
        <w:tc>
          <w:tcPr>
            <w:tcW w:w="821" w:type="pct"/>
          </w:tcPr>
          <w:p w14:paraId="16665AFE" w14:textId="50BF53C1" w:rsidR="00C72E98" w:rsidRPr="004F4988" w:rsidRDefault="00C72E98" w:rsidP="00C72E98">
            <w:pPr>
              <w:jc w:val="right"/>
              <w:rPr>
                <w:rFonts w:asciiTheme="minorHAnsi" w:hAnsiTheme="minorHAnsi" w:cstheme="minorHAnsi"/>
                <w:bCs/>
                <w:szCs w:val="24"/>
              </w:rPr>
            </w:pPr>
            <w:r w:rsidRPr="004F4988">
              <w:rPr>
                <w:rFonts w:asciiTheme="minorHAnsi" w:hAnsiTheme="minorHAnsi" w:cstheme="minorHAnsi"/>
                <w:bCs/>
                <w:szCs w:val="24"/>
              </w:rPr>
              <w:t>.6%</w:t>
            </w:r>
          </w:p>
        </w:tc>
        <w:tc>
          <w:tcPr>
            <w:tcW w:w="1028" w:type="pct"/>
          </w:tcPr>
          <w:p w14:paraId="72AFBB8B" w14:textId="12D527D9" w:rsidR="00C72E98" w:rsidRPr="004F4988" w:rsidRDefault="00C72E98" w:rsidP="00C72E98">
            <w:pPr>
              <w:jc w:val="right"/>
              <w:rPr>
                <w:rFonts w:asciiTheme="minorHAnsi" w:hAnsiTheme="minorHAnsi" w:cstheme="minorHAnsi"/>
                <w:bCs/>
                <w:szCs w:val="24"/>
              </w:rPr>
            </w:pPr>
            <w:r w:rsidRPr="004F4988">
              <w:rPr>
                <w:rFonts w:asciiTheme="minorHAnsi" w:hAnsiTheme="minorHAnsi" w:cstheme="minorHAnsi"/>
                <w:bCs/>
                <w:szCs w:val="24"/>
              </w:rPr>
              <w:t>33</w:t>
            </w:r>
          </w:p>
        </w:tc>
        <w:tc>
          <w:tcPr>
            <w:tcW w:w="803" w:type="pct"/>
          </w:tcPr>
          <w:p w14:paraId="591D9BFA" w14:textId="3C26B5BC" w:rsidR="00C72E98" w:rsidRPr="004F4988" w:rsidRDefault="00C72E98" w:rsidP="00C72E98">
            <w:pPr>
              <w:jc w:val="right"/>
              <w:rPr>
                <w:rFonts w:asciiTheme="minorHAnsi" w:hAnsiTheme="minorHAnsi" w:cstheme="minorHAnsi"/>
                <w:bCs/>
                <w:szCs w:val="24"/>
              </w:rPr>
            </w:pPr>
            <w:r w:rsidRPr="004F4988">
              <w:rPr>
                <w:rFonts w:asciiTheme="minorHAnsi" w:hAnsiTheme="minorHAnsi" w:cstheme="minorHAnsi"/>
                <w:bCs/>
                <w:szCs w:val="24"/>
              </w:rPr>
              <w:t>.03%</w:t>
            </w:r>
          </w:p>
        </w:tc>
      </w:tr>
      <w:tr w:rsidR="00C72E98" w:rsidRPr="004F4988" w14:paraId="07722433" w14:textId="5FF5BD41" w:rsidTr="002F56B2">
        <w:trPr>
          <w:cantSplit/>
        </w:trPr>
        <w:tc>
          <w:tcPr>
            <w:tcW w:w="796" w:type="pct"/>
            <w:shd w:val="clear" w:color="auto" w:fill="DBE5F1" w:themeFill="accent1" w:themeFillTint="33"/>
          </w:tcPr>
          <w:p w14:paraId="4B0F0F0C" w14:textId="47E13B32" w:rsidR="00C72E98" w:rsidRPr="004F4988" w:rsidRDefault="0056638A" w:rsidP="004D37D9">
            <w:pPr>
              <w:rPr>
                <w:rFonts w:asciiTheme="minorHAnsi" w:hAnsiTheme="minorHAnsi" w:cstheme="minorHAnsi"/>
                <w:b/>
                <w:szCs w:val="24"/>
              </w:rPr>
            </w:pPr>
            <w:r>
              <w:rPr>
                <w:rFonts w:asciiTheme="minorHAnsi" w:hAnsiTheme="minorHAnsi" w:cstheme="minorHAnsi"/>
                <w:b/>
                <w:szCs w:val="24"/>
              </w:rPr>
              <w:t>n/a</w:t>
            </w:r>
          </w:p>
        </w:tc>
        <w:tc>
          <w:tcPr>
            <w:tcW w:w="608" w:type="pct"/>
            <w:shd w:val="clear" w:color="auto" w:fill="DBE5F1" w:themeFill="accent1" w:themeFillTint="33"/>
          </w:tcPr>
          <w:p w14:paraId="1BC10E56" w14:textId="671872CE" w:rsidR="00C72E98" w:rsidRPr="004F4988" w:rsidRDefault="00C72E98" w:rsidP="004D37D9">
            <w:pPr>
              <w:rPr>
                <w:rFonts w:asciiTheme="minorHAnsi" w:hAnsiTheme="minorHAnsi" w:cstheme="minorHAnsi"/>
                <w:b/>
                <w:szCs w:val="24"/>
              </w:rPr>
            </w:pPr>
            <w:r w:rsidRPr="004F4988">
              <w:rPr>
                <w:rFonts w:asciiTheme="minorHAnsi" w:hAnsiTheme="minorHAnsi" w:cstheme="minorHAnsi"/>
                <w:b/>
                <w:szCs w:val="24"/>
              </w:rPr>
              <w:t>Total</w:t>
            </w:r>
          </w:p>
        </w:tc>
        <w:tc>
          <w:tcPr>
            <w:tcW w:w="944" w:type="pct"/>
            <w:shd w:val="clear" w:color="auto" w:fill="DBE5F1" w:themeFill="accent1" w:themeFillTint="33"/>
          </w:tcPr>
          <w:p w14:paraId="584FBDF3" w14:textId="00988678" w:rsidR="00C72E98" w:rsidRPr="004F4988" w:rsidRDefault="00C72E98" w:rsidP="00C72E98">
            <w:pPr>
              <w:jc w:val="right"/>
              <w:rPr>
                <w:rFonts w:asciiTheme="minorHAnsi" w:hAnsiTheme="minorHAnsi" w:cstheme="minorHAnsi"/>
                <w:b/>
                <w:szCs w:val="24"/>
              </w:rPr>
            </w:pPr>
            <w:r w:rsidRPr="004F4988">
              <w:rPr>
                <w:rFonts w:asciiTheme="minorHAnsi" w:hAnsiTheme="minorHAnsi" w:cstheme="minorHAnsi"/>
                <w:b/>
                <w:szCs w:val="24"/>
              </w:rPr>
              <w:t>10,12</w:t>
            </w:r>
            <w:r w:rsidR="007C1B55" w:rsidRPr="004F4988">
              <w:rPr>
                <w:rFonts w:asciiTheme="minorHAnsi" w:hAnsiTheme="minorHAnsi" w:cstheme="minorHAnsi"/>
                <w:b/>
                <w:szCs w:val="24"/>
              </w:rPr>
              <w:t>3</w:t>
            </w:r>
          </w:p>
        </w:tc>
        <w:tc>
          <w:tcPr>
            <w:tcW w:w="821" w:type="pct"/>
            <w:shd w:val="clear" w:color="auto" w:fill="DBE5F1" w:themeFill="accent1" w:themeFillTint="33"/>
          </w:tcPr>
          <w:p w14:paraId="55F2EF09" w14:textId="5C764341" w:rsidR="00C72E98" w:rsidRPr="004F4988" w:rsidRDefault="00C72E98" w:rsidP="00C72E98">
            <w:pPr>
              <w:jc w:val="right"/>
              <w:rPr>
                <w:rFonts w:asciiTheme="minorHAnsi" w:hAnsiTheme="minorHAnsi" w:cstheme="minorHAnsi"/>
                <w:b/>
                <w:szCs w:val="24"/>
              </w:rPr>
            </w:pPr>
            <w:r w:rsidRPr="004F4988">
              <w:rPr>
                <w:rFonts w:asciiTheme="minorHAnsi" w:hAnsiTheme="minorHAnsi" w:cstheme="minorHAnsi"/>
                <w:b/>
                <w:szCs w:val="24"/>
              </w:rPr>
              <w:t>8.9%</w:t>
            </w:r>
          </w:p>
        </w:tc>
        <w:tc>
          <w:tcPr>
            <w:tcW w:w="1028" w:type="pct"/>
            <w:shd w:val="clear" w:color="auto" w:fill="DBE5F1" w:themeFill="accent1" w:themeFillTint="33"/>
          </w:tcPr>
          <w:p w14:paraId="063702C6" w14:textId="6FBD8DB9" w:rsidR="00C72E98" w:rsidRPr="004F4988" w:rsidRDefault="00C72E98" w:rsidP="00C72E98">
            <w:pPr>
              <w:jc w:val="right"/>
              <w:rPr>
                <w:rFonts w:asciiTheme="minorHAnsi" w:hAnsiTheme="minorHAnsi" w:cstheme="minorHAnsi"/>
                <w:b/>
                <w:szCs w:val="24"/>
              </w:rPr>
            </w:pPr>
            <w:r w:rsidRPr="004F4988">
              <w:rPr>
                <w:rFonts w:asciiTheme="minorHAnsi" w:hAnsiTheme="minorHAnsi" w:cstheme="minorHAnsi"/>
                <w:b/>
                <w:szCs w:val="24"/>
              </w:rPr>
              <w:t>528</w:t>
            </w:r>
          </w:p>
        </w:tc>
        <w:tc>
          <w:tcPr>
            <w:tcW w:w="803" w:type="pct"/>
            <w:shd w:val="clear" w:color="auto" w:fill="DBE5F1" w:themeFill="accent1" w:themeFillTint="33"/>
          </w:tcPr>
          <w:p w14:paraId="716A54FB" w14:textId="50414A08" w:rsidR="00C72E98" w:rsidRPr="004F4988" w:rsidRDefault="00C72E98" w:rsidP="00C72E98">
            <w:pPr>
              <w:jc w:val="right"/>
              <w:rPr>
                <w:rFonts w:asciiTheme="minorHAnsi" w:hAnsiTheme="minorHAnsi" w:cstheme="minorHAnsi"/>
                <w:b/>
                <w:szCs w:val="24"/>
              </w:rPr>
            </w:pPr>
            <w:r w:rsidRPr="004F4988">
              <w:rPr>
                <w:rFonts w:asciiTheme="minorHAnsi" w:hAnsiTheme="minorHAnsi" w:cstheme="minorHAnsi"/>
                <w:b/>
                <w:szCs w:val="24"/>
              </w:rPr>
              <w:t>.</w:t>
            </w:r>
            <w:r w:rsidR="00791DF3" w:rsidRPr="004F4988">
              <w:rPr>
                <w:rFonts w:asciiTheme="minorHAnsi" w:hAnsiTheme="minorHAnsi" w:cstheme="minorHAnsi"/>
                <w:b/>
                <w:szCs w:val="24"/>
              </w:rPr>
              <w:t>6</w:t>
            </w:r>
            <w:r w:rsidRPr="004F4988">
              <w:rPr>
                <w:rFonts w:asciiTheme="minorHAnsi" w:hAnsiTheme="minorHAnsi" w:cstheme="minorHAnsi"/>
                <w:b/>
                <w:szCs w:val="24"/>
              </w:rPr>
              <w:t>%</w:t>
            </w:r>
          </w:p>
        </w:tc>
      </w:tr>
      <w:tr w:rsidR="00C72E98" w:rsidRPr="004F4988" w14:paraId="72DB7CD0" w14:textId="174B1061" w:rsidTr="002F56B2">
        <w:trPr>
          <w:cantSplit/>
        </w:trPr>
        <w:tc>
          <w:tcPr>
            <w:tcW w:w="796" w:type="pct"/>
          </w:tcPr>
          <w:p w14:paraId="40E369D5" w14:textId="5363CCC8" w:rsidR="00C72E98" w:rsidRPr="004F4988" w:rsidRDefault="00C72E98" w:rsidP="00D43958">
            <w:pPr>
              <w:rPr>
                <w:rFonts w:asciiTheme="minorHAnsi" w:hAnsiTheme="minorHAnsi" w:cstheme="minorHAnsi"/>
                <w:b/>
                <w:szCs w:val="24"/>
              </w:rPr>
            </w:pPr>
            <w:r w:rsidRPr="004F4988">
              <w:rPr>
                <w:rFonts w:asciiTheme="minorHAnsi" w:hAnsiTheme="minorHAnsi" w:cstheme="minorHAnsi"/>
                <w:b/>
                <w:szCs w:val="24"/>
              </w:rPr>
              <w:t>HOPD</w:t>
            </w:r>
          </w:p>
        </w:tc>
        <w:tc>
          <w:tcPr>
            <w:tcW w:w="608" w:type="pct"/>
          </w:tcPr>
          <w:p w14:paraId="6F5FD7C8" w14:textId="52937AC5" w:rsidR="00C72E98" w:rsidRPr="004F4988" w:rsidRDefault="00C72E98" w:rsidP="00D43958">
            <w:pPr>
              <w:rPr>
                <w:rFonts w:asciiTheme="minorHAnsi" w:hAnsiTheme="minorHAnsi" w:cstheme="minorHAnsi"/>
                <w:bCs/>
                <w:szCs w:val="24"/>
              </w:rPr>
            </w:pPr>
            <w:r w:rsidRPr="004F4988">
              <w:rPr>
                <w:rFonts w:asciiTheme="minorHAnsi" w:hAnsiTheme="minorHAnsi" w:cstheme="minorHAnsi"/>
                <w:bCs/>
                <w:szCs w:val="24"/>
              </w:rPr>
              <w:t>0-10</w:t>
            </w:r>
          </w:p>
        </w:tc>
        <w:tc>
          <w:tcPr>
            <w:tcW w:w="944" w:type="pct"/>
          </w:tcPr>
          <w:p w14:paraId="4AE617D4" w14:textId="656FEAB7" w:rsidR="00C72E98" w:rsidRPr="004F4988" w:rsidRDefault="00C72E98" w:rsidP="00C72E98">
            <w:pPr>
              <w:jc w:val="right"/>
              <w:rPr>
                <w:rFonts w:asciiTheme="minorHAnsi" w:hAnsiTheme="minorHAnsi" w:cstheme="minorHAnsi"/>
                <w:bCs/>
                <w:szCs w:val="24"/>
              </w:rPr>
            </w:pPr>
            <w:r w:rsidRPr="004F4988">
              <w:rPr>
                <w:rFonts w:asciiTheme="minorHAnsi" w:hAnsiTheme="minorHAnsi" w:cstheme="minorHAnsi"/>
                <w:bCs/>
                <w:szCs w:val="24"/>
              </w:rPr>
              <w:t>20,927</w:t>
            </w:r>
          </w:p>
        </w:tc>
        <w:tc>
          <w:tcPr>
            <w:tcW w:w="821" w:type="pct"/>
          </w:tcPr>
          <w:p w14:paraId="358888FA" w14:textId="3EA4A824" w:rsidR="00C72E98" w:rsidRPr="004F4988" w:rsidRDefault="00C72E98" w:rsidP="00C72E98">
            <w:pPr>
              <w:jc w:val="right"/>
              <w:rPr>
                <w:rFonts w:asciiTheme="minorHAnsi" w:hAnsiTheme="minorHAnsi" w:cstheme="minorHAnsi"/>
                <w:bCs/>
                <w:szCs w:val="24"/>
              </w:rPr>
            </w:pPr>
            <w:r w:rsidRPr="004F4988">
              <w:rPr>
                <w:rFonts w:asciiTheme="minorHAnsi" w:hAnsiTheme="minorHAnsi" w:cstheme="minorHAnsi"/>
                <w:bCs/>
                <w:szCs w:val="24"/>
              </w:rPr>
              <w:t>18.3%</w:t>
            </w:r>
          </w:p>
        </w:tc>
        <w:tc>
          <w:tcPr>
            <w:tcW w:w="1028" w:type="pct"/>
          </w:tcPr>
          <w:p w14:paraId="782D09BD" w14:textId="63C91DC9" w:rsidR="00C72E98" w:rsidRPr="004F4988" w:rsidRDefault="00C72E98" w:rsidP="00C72E98">
            <w:pPr>
              <w:jc w:val="right"/>
              <w:rPr>
                <w:rFonts w:asciiTheme="minorHAnsi" w:hAnsiTheme="minorHAnsi" w:cstheme="minorHAnsi"/>
                <w:bCs/>
                <w:szCs w:val="24"/>
              </w:rPr>
            </w:pPr>
            <w:r w:rsidRPr="004F4988">
              <w:rPr>
                <w:rFonts w:asciiTheme="minorHAnsi" w:hAnsiTheme="minorHAnsi" w:cstheme="minorHAnsi"/>
                <w:bCs/>
                <w:szCs w:val="24"/>
              </w:rPr>
              <w:t>50,998</w:t>
            </w:r>
          </w:p>
        </w:tc>
        <w:tc>
          <w:tcPr>
            <w:tcW w:w="803" w:type="pct"/>
          </w:tcPr>
          <w:p w14:paraId="35C021FF" w14:textId="71A1F699" w:rsidR="00C72E98" w:rsidRPr="004F4988" w:rsidRDefault="00C72E98" w:rsidP="00C72E98">
            <w:pPr>
              <w:jc w:val="right"/>
              <w:rPr>
                <w:rFonts w:asciiTheme="minorHAnsi" w:hAnsiTheme="minorHAnsi" w:cstheme="minorHAnsi"/>
                <w:bCs/>
                <w:szCs w:val="24"/>
              </w:rPr>
            </w:pPr>
            <w:r w:rsidRPr="004F4988">
              <w:rPr>
                <w:rFonts w:asciiTheme="minorHAnsi" w:hAnsiTheme="minorHAnsi" w:cstheme="minorHAnsi"/>
                <w:bCs/>
                <w:szCs w:val="24"/>
              </w:rPr>
              <w:t>50%</w:t>
            </w:r>
          </w:p>
        </w:tc>
      </w:tr>
      <w:tr w:rsidR="0056638A" w:rsidRPr="004F4988" w14:paraId="43BD7E51" w14:textId="26E4F56D" w:rsidTr="002F56B2">
        <w:trPr>
          <w:cantSplit/>
        </w:trPr>
        <w:tc>
          <w:tcPr>
            <w:tcW w:w="796" w:type="pct"/>
          </w:tcPr>
          <w:p w14:paraId="695019CB" w14:textId="615E34AD" w:rsidR="0056638A" w:rsidRPr="004F4988" w:rsidRDefault="0056638A" w:rsidP="0056638A">
            <w:pPr>
              <w:rPr>
                <w:rFonts w:asciiTheme="minorHAnsi" w:hAnsiTheme="minorHAnsi" w:cstheme="minorHAnsi"/>
                <w:b/>
                <w:szCs w:val="24"/>
              </w:rPr>
            </w:pPr>
            <w:r w:rsidRPr="0051614B">
              <w:rPr>
                <w:rFonts w:asciiTheme="minorHAnsi" w:hAnsiTheme="minorHAnsi" w:cstheme="minorHAnsi"/>
                <w:b/>
                <w:szCs w:val="24"/>
              </w:rPr>
              <w:t>n/a</w:t>
            </w:r>
          </w:p>
        </w:tc>
        <w:tc>
          <w:tcPr>
            <w:tcW w:w="608" w:type="pct"/>
          </w:tcPr>
          <w:p w14:paraId="40FA5FAE" w14:textId="7ED9CAE1" w:rsidR="0056638A" w:rsidRPr="004F4988" w:rsidRDefault="0056638A" w:rsidP="0056638A">
            <w:pPr>
              <w:rPr>
                <w:rFonts w:asciiTheme="minorHAnsi" w:hAnsiTheme="minorHAnsi" w:cstheme="minorHAnsi"/>
                <w:bCs/>
                <w:szCs w:val="24"/>
              </w:rPr>
            </w:pPr>
            <w:r w:rsidRPr="004F4988">
              <w:rPr>
                <w:rFonts w:asciiTheme="minorHAnsi" w:hAnsiTheme="minorHAnsi" w:cstheme="minorHAnsi"/>
                <w:bCs/>
                <w:szCs w:val="24"/>
              </w:rPr>
              <w:t>11-21</w:t>
            </w:r>
          </w:p>
        </w:tc>
        <w:tc>
          <w:tcPr>
            <w:tcW w:w="944" w:type="pct"/>
          </w:tcPr>
          <w:p w14:paraId="6035755E" w14:textId="7DABDDFE" w:rsidR="0056638A" w:rsidRPr="004F4988" w:rsidRDefault="0056638A" w:rsidP="0056638A">
            <w:pPr>
              <w:jc w:val="right"/>
              <w:rPr>
                <w:rFonts w:asciiTheme="minorHAnsi" w:hAnsiTheme="minorHAnsi" w:cstheme="minorHAnsi"/>
                <w:bCs/>
                <w:szCs w:val="24"/>
              </w:rPr>
            </w:pPr>
            <w:r w:rsidRPr="004F4988">
              <w:rPr>
                <w:rFonts w:asciiTheme="minorHAnsi" w:hAnsiTheme="minorHAnsi" w:cstheme="minorHAnsi"/>
                <w:bCs/>
                <w:szCs w:val="24"/>
              </w:rPr>
              <w:t>6,371</w:t>
            </w:r>
          </w:p>
        </w:tc>
        <w:tc>
          <w:tcPr>
            <w:tcW w:w="821" w:type="pct"/>
          </w:tcPr>
          <w:p w14:paraId="41273A39" w14:textId="357A432B" w:rsidR="0056638A" w:rsidRPr="004F4988" w:rsidRDefault="0056638A" w:rsidP="0056638A">
            <w:pPr>
              <w:jc w:val="right"/>
              <w:rPr>
                <w:rFonts w:asciiTheme="minorHAnsi" w:hAnsiTheme="minorHAnsi" w:cstheme="minorHAnsi"/>
                <w:bCs/>
                <w:szCs w:val="24"/>
              </w:rPr>
            </w:pPr>
            <w:r w:rsidRPr="004F4988">
              <w:rPr>
                <w:rFonts w:asciiTheme="minorHAnsi" w:hAnsiTheme="minorHAnsi" w:cstheme="minorHAnsi"/>
                <w:bCs/>
                <w:szCs w:val="24"/>
              </w:rPr>
              <w:t>5.6%</w:t>
            </w:r>
          </w:p>
        </w:tc>
        <w:tc>
          <w:tcPr>
            <w:tcW w:w="1028" w:type="pct"/>
          </w:tcPr>
          <w:p w14:paraId="7DE48B35" w14:textId="51FBBA4F" w:rsidR="0056638A" w:rsidRPr="004F4988" w:rsidRDefault="0056638A" w:rsidP="0056638A">
            <w:pPr>
              <w:jc w:val="right"/>
              <w:rPr>
                <w:rFonts w:asciiTheme="minorHAnsi" w:hAnsiTheme="minorHAnsi" w:cstheme="minorHAnsi"/>
                <w:bCs/>
                <w:szCs w:val="24"/>
              </w:rPr>
            </w:pPr>
            <w:r w:rsidRPr="004F4988">
              <w:rPr>
                <w:rFonts w:asciiTheme="minorHAnsi" w:hAnsiTheme="minorHAnsi" w:cstheme="minorHAnsi"/>
                <w:bCs/>
                <w:szCs w:val="24"/>
              </w:rPr>
              <w:t>10,537</w:t>
            </w:r>
          </w:p>
        </w:tc>
        <w:tc>
          <w:tcPr>
            <w:tcW w:w="803" w:type="pct"/>
          </w:tcPr>
          <w:p w14:paraId="38A81C82" w14:textId="6A1AEC62" w:rsidR="0056638A" w:rsidRPr="004F4988" w:rsidRDefault="0056638A" w:rsidP="0056638A">
            <w:pPr>
              <w:jc w:val="right"/>
              <w:rPr>
                <w:rFonts w:asciiTheme="minorHAnsi" w:hAnsiTheme="minorHAnsi" w:cstheme="minorHAnsi"/>
                <w:bCs/>
                <w:szCs w:val="24"/>
              </w:rPr>
            </w:pPr>
            <w:r w:rsidRPr="004F4988">
              <w:rPr>
                <w:rFonts w:asciiTheme="minorHAnsi" w:hAnsiTheme="minorHAnsi" w:cstheme="minorHAnsi"/>
                <w:bCs/>
                <w:szCs w:val="24"/>
              </w:rPr>
              <w:t>10.4%</w:t>
            </w:r>
          </w:p>
        </w:tc>
      </w:tr>
      <w:tr w:rsidR="0056638A" w:rsidRPr="004F4988" w14:paraId="616362F0" w14:textId="245A6CC3" w:rsidTr="002F56B2">
        <w:trPr>
          <w:cantSplit/>
        </w:trPr>
        <w:tc>
          <w:tcPr>
            <w:tcW w:w="796" w:type="pct"/>
            <w:shd w:val="clear" w:color="auto" w:fill="DBE5F1" w:themeFill="accent1" w:themeFillTint="33"/>
          </w:tcPr>
          <w:p w14:paraId="56471A58" w14:textId="7617C55C" w:rsidR="0056638A" w:rsidRPr="004F4988" w:rsidRDefault="0056638A" w:rsidP="0056638A">
            <w:pPr>
              <w:rPr>
                <w:rFonts w:asciiTheme="minorHAnsi" w:hAnsiTheme="minorHAnsi" w:cstheme="minorHAnsi"/>
                <w:b/>
                <w:szCs w:val="24"/>
              </w:rPr>
            </w:pPr>
            <w:r w:rsidRPr="0051614B">
              <w:rPr>
                <w:rFonts w:asciiTheme="minorHAnsi" w:hAnsiTheme="minorHAnsi" w:cstheme="minorHAnsi"/>
                <w:b/>
                <w:szCs w:val="24"/>
              </w:rPr>
              <w:t>n/a</w:t>
            </w:r>
          </w:p>
        </w:tc>
        <w:tc>
          <w:tcPr>
            <w:tcW w:w="608" w:type="pct"/>
            <w:shd w:val="clear" w:color="auto" w:fill="DBE5F1" w:themeFill="accent1" w:themeFillTint="33"/>
          </w:tcPr>
          <w:p w14:paraId="00CA8ADF" w14:textId="3CD77105" w:rsidR="0056638A" w:rsidRPr="004F4988" w:rsidRDefault="0056638A" w:rsidP="0056638A">
            <w:pPr>
              <w:rPr>
                <w:rFonts w:asciiTheme="minorHAnsi" w:hAnsiTheme="minorHAnsi" w:cstheme="minorHAnsi"/>
                <w:b/>
                <w:szCs w:val="24"/>
              </w:rPr>
            </w:pPr>
            <w:r w:rsidRPr="004F4988">
              <w:rPr>
                <w:rFonts w:asciiTheme="minorHAnsi" w:hAnsiTheme="minorHAnsi" w:cstheme="minorHAnsi"/>
                <w:b/>
                <w:szCs w:val="24"/>
              </w:rPr>
              <w:t>Total</w:t>
            </w:r>
          </w:p>
        </w:tc>
        <w:tc>
          <w:tcPr>
            <w:tcW w:w="944" w:type="pct"/>
            <w:shd w:val="clear" w:color="auto" w:fill="DBE5F1" w:themeFill="accent1" w:themeFillTint="33"/>
          </w:tcPr>
          <w:p w14:paraId="753E4BE0" w14:textId="6532352B" w:rsidR="0056638A" w:rsidRPr="004F4988" w:rsidRDefault="0056638A" w:rsidP="0056638A">
            <w:pPr>
              <w:jc w:val="right"/>
              <w:rPr>
                <w:rFonts w:asciiTheme="minorHAnsi" w:hAnsiTheme="minorHAnsi" w:cstheme="minorHAnsi"/>
                <w:b/>
                <w:szCs w:val="24"/>
              </w:rPr>
            </w:pPr>
            <w:r w:rsidRPr="004F4988">
              <w:rPr>
                <w:rFonts w:asciiTheme="minorHAnsi" w:hAnsiTheme="minorHAnsi" w:cstheme="minorHAnsi"/>
                <w:b/>
                <w:szCs w:val="24"/>
              </w:rPr>
              <w:t>27,298</w:t>
            </w:r>
          </w:p>
        </w:tc>
        <w:tc>
          <w:tcPr>
            <w:tcW w:w="821" w:type="pct"/>
            <w:shd w:val="clear" w:color="auto" w:fill="DBE5F1" w:themeFill="accent1" w:themeFillTint="33"/>
          </w:tcPr>
          <w:p w14:paraId="0035C35E" w14:textId="57AD1947" w:rsidR="0056638A" w:rsidRPr="004F4988" w:rsidRDefault="0056638A" w:rsidP="0056638A">
            <w:pPr>
              <w:jc w:val="right"/>
              <w:rPr>
                <w:rFonts w:asciiTheme="minorHAnsi" w:hAnsiTheme="minorHAnsi" w:cstheme="minorHAnsi"/>
                <w:b/>
                <w:szCs w:val="24"/>
              </w:rPr>
            </w:pPr>
            <w:r w:rsidRPr="004F4988">
              <w:rPr>
                <w:rFonts w:asciiTheme="minorHAnsi" w:hAnsiTheme="minorHAnsi" w:cstheme="minorHAnsi"/>
                <w:b/>
                <w:szCs w:val="24"/>
              </w:rPr>
              <w:t>23.9%</w:t>
            </w:r>
          </w:p>
        </w:tc>
        <w:tc>
          <w:tcPr>
            <w:tcW w:w="1028" w:type="pct"/>
            <w:shd w:val="clear" w:color="auto" w:fill="DBE5F1" w:themeFill="accent1" w:themeFillTint="33"/>
          </w:tcPr>
          <w:p w14:paraId="71F1B96C" w14:textId="3E1E9E45" w:rsidR="0056638A" w:rsidRPr="004F4988" w:rsidRDefault="0056638A" w:rsidP="0056638A">
            <w:pPr>
              <w:jc w:val="right"/>
              <w:rPr>
                <w:rFonts w:asciiTheme="minorHAnsi" w:hAnsiTheme="minorHAnsi" w:cstheme="minorHAnsi"/>
                <w:b/>
                <w:szCs w:val="24"/>
              </w:rPr>
            </w:pPr>
            <w:r w:rsidRPr="004F4988">
              <w:rPr>
                <w:rFonts w:asciiTheme="minorHAnsi" w:hAnsiTheme="minorHAnsi" w:cstheme="minorHAnsi"/>
                <w:b/>
                <w:szCs w:val="24"/>
              </w:rPr>
              <w:t>61,535</w:t>
            </w:r>
          </w:p>
        </w:tc>
        <w:tc>
          <w:tcPr>
            <w:tcW w:w="803" w:type="pct"/>
            <w:shd w:val="clear" w:color="auto" w:fill="DBE5F1" w:themeFill="accent1" w:themeFillTint="33"/>
          </w:tcPr>
          <w:p w14:paraId="3C0B3DE5" w14:textId="46FBB484" w:rsidR="0056638A" w:rsidRPr="004F4988" w:rsidRDefault="0056638A" w:rsidP="0056638A">
            <w:pPr>
              <w:jc w:val="right"/>
              <w:rPr>
                <w:rFonts w:asciiTheme="minorHAnsi" w:hAnsiTheme="minorHAnsi" w:cstheme="minorHAnsi"/>
                <w:b/>
                <w:szCs w:val="24"/>
              </w:rPr>
            </w:pPr>
            <w:r w:rsidRPr="004F4988">
              <w:rPr>
                <w:rFonts w:asciiTheme="minorHAnsi" w:hAnsiTheme="minorHAnsi" w:cstheme="minorHAnsi"/>
                <w:b/>
                <w:szCs w:val="24"/>
              </w:rPr>
              <w:t>60.4%</w:t>
            </w:r>
          </w:p>
        </w:tc>
      </w:tr>
      <w:tr w:rsidR="00C72E98" w:rsidRPr="004F4988" w14:paraId="6D16A520" w14:textId="165257DB" w:rsidTr="002F56B2">
        <w:trPr>
          <w:cantSplit/>
        </w:trPr>
        <w:tc>
          <w:tcPr>
            <w:tcW w:w="796" w:type="pct"/>
          </w:tcPr>
          <w:p w14:paraId="091A1701" w14:textId="2B4486B9" w:rsidR="00C72E98" w:rsidRPr="004F4988" w:rsidRDefault="00C72E98" w:rsidP="00D43958">
            <w:pPr>
              <w:rPr>
                <w:rFonts w:asciiTheme="minorHAnsi" w:hAnsiTheme="minorHAnsi" w:cstheme="minorHAnsi"/>
                <w:b/>
                <w:szCs w:val="24"/>
              </w:rPr>
            </w:pPr>
            <w:r w:rsidRPr="004F4988">
              <w:rPr>
                <w:rFonts w:asciiTheme="minorHAnsi" w:hAnsiTheme="minorHAnsi" w:cstheme="minorHAnsi"/>
                <w:b/>
                <w:szCs w:val="24"/>
              </w:rPr>
              <w:t>Office</w:t>
            </w:r>
          </w:p>
        </w:tc>
        <w:tc>
          <w:tcPr>
            <w:tcW w:w="608" w:type="pct"/>
          </w:tcPr>
          <w:p w14:paraId="48F13849" w14:textId="1DE61DF9" w:rsidR="00C72E98" w:rsidRPr="004F4988" w:rsidRDefault="00C72E98" w:rsidP="00D43958">
            <w:pPr>
              <w:rPr>
                <w:rFonts w:asciiTheme="minorHAnsi" w:hAnsiTheme="minorHAnsi" w:cstheme="minorHAnsi"/>
                <w:bCs/>
                <w:szCs w:val="24"/>
              </w:rPr>
            </w:pPr>
            <w:r w:rsidRPr="004F4988">
              <w:rPr>
                <w:rFonts w:asciiTheme="minorHAnsi" w:hAnsiTheme="minorHAnsi" w:cstheme="minorHAnsi"/>
                <w:bCs/>
                <w:szCs w:val="24"/>
              </w:rPr>
              <w:t>0-10</w:t>
            </w:r>
          </w:p>
        </w:tc>
        <w:tc>
          <w:tcPr>
            <w:tcW w:w="944" w:type="pct"/>
          </w:tcPr>
          <w:p w14:paraId="690927D3" w14:textId="605E5EE4" w:rsidR="00C72E98" w:rsidRPr="004F4988" w:rsidRDefault="00C72E98" w:rsidP="00C72E98">
            <w:pPr>
              <w:jc w:val="right"/>
              <w:rPr>
                <w:rFonts w:asciiTheme="minorHAnsi" w:hAnsiTheme="minorHAnsi" w:cstheme="minorHAnsi"/>
                <w:bCs/>
                <w:szCs w:val="24"/>
              </w:rPr>
            </w:pPr>
            <w:r w:rsidRPr="004F4988">
              <w:rPr>
                <w:rFonts w:asciiTheme="minorHAnsi" w:hAnsiTheme="minorHAnsi" w:cstheme="minorHAnsi"/>
                <w:bCs/>
                <w:szCs w:val="24"/>
              </w:rPr>
              <w:t>21,923</w:t>
            </w:r>
          </w:p>
        </w:tc>
        <w:tc>
          <w:tcPr>
            <w:tcW w:w="821" w:type="pct"/>
          </w:tcPr>
          <w:p w14:paraId="43A9C568" w14:textId="5E31AD57" w:rsidR="00C72E98" w:rsidRPr="004F4988" w:rsidRDefault="00C72E98" w:rsidP="00C72E98">
            <w:pPr>
              <w:jc w:val="right"/>
              <w:rPr>
                <w:rFonts w:asciiTheme="minorHAnsi" w:hAnsiTheme="minorHAnsi" w:cstheme="minorHAnsi"/>
                <w:bCs/>
                <w:szCs w:val="24"/>
              </w:rPr>
            </w:pPr>
            <w:r w:rsidRPr="004F4988">
              <w:rPr>
                <w:rFonts w:asciiTheme="minorHAnsi" w:hAnsiTheme="minorHAnsi" w:cstheme="minorHAnsi"/>
                <w:bCs/>
                <w:szCs w:val="24"/>
              </w:rPr>
              <w:t>19.3%</w:t>
            </w:r>
          </w:p>
        </w:tc>
        <w:tc>
          <w:tcPr>
            <w:tcW w:w="1028" w:type="pct"/>
          </w:tcPr>
          <w:p w14:paraId="1F49CBA8" w14:textId="299491CA" w:rsidR="00C72E98" w:rsidRPr="004F4988" w:rsidRDefault="00C72E98" w:rsidP="00C72E98">
            <w:pPr>
              <w:jc w:val="right"/>
              <w:rPr>
                <w:rFonts w:asciiTheme="minorHAnsi" w:hAnsiTheme="minorHAnsi" w:cstheme="minorHAnsi"/>
                <w:bCs/>
                <w:szCs w:val="24"/>
              </w:rPr>
            </w:pPr>
            <w:r w:rsidRPr="004F4988">
              <w:rPr>
                <w:rFonts w:asciiTheme="minorHAnsi" w:hAnsiTheme="minorHAnsi" w:cstheme="minorHAnsi"/>
                <w:bCs/>
                <w:szCs w:val="24"/>
              </w:rPr>
              <w:t>11,369</w:t>
            </w:r>
          </w:p>
        </w:tc>
        <w:tc>
          <w:tcPr>
            <w:tcW w:w="803" w:type="pct"/>
          </w:tcPr>
          <w:p w14:paraId="700121FB" w14:textId="1CFA5D47" w:rsidR="00C72E98" w:rsidRPr="004F4988" w:rsidRDefault="00791DF3" w:rsidP="00C72E98">
            <w:pPr>
              <w:jc w:val="right"/>
              <w:rPr>
                <w:rFonts w:asciiTheme="minorHAnsi" w:hAnsiTheme="minorHAnsi" w:cstheme="minorHAnsi"/>
                <w:bCs/>
                <w:szCs w:val="24"/>
              </w:rPr>
            </w:pPr>
            <w:r w:rsidRPr="004F4988">
              <w:rPr>
                <w:rFonts w:asciiTheme="minorHAnsi" w:hAnsiTheme="minorHAnsi" w:cstheme="minorHAnsi"/>
                <w:bCs/>
                <w:szCs w:val="24"/>
              </w:rPr>
              <w:t>11.2%</w:t>
            </w:r>
          </w:p>
        </w:tc>
      </w:tr>
      <w:tr w:rsidR="0056638A" w:rsidRPr="004F4988" w14:paraId="761545E6" w14:textId="76818793" w:rsidTr="002F56B2">
        <w:trPr>
          <w:cantSplit/>
        </w:trPr>
        <w:tc>
          <w:tcPr>
            <w:tcW w:w="796" w:type="pct"/>
          </w:tcPr>
          <w:p w14:paraId="3B485732" w14:textId="198F397A" w:rsidR="0056638A" w:rsidRPr="004F4988" w:rsidRDefault="0056638A" w:rsidP="0056638A">
            <w:pPr>
              <w:rPr>
                <w:rFonts w:asciiTheme="minorHAnsi" w:hAnsiTheme="minorHAnsi" w:cstheme="minorHAnsi"/>
                <w:b/>
                <w:szCs w:val="24"/>
              </w:rPr>
            </w:pPr>
            <w:r w:rsidRPr="00BA04B7">
              <w:rPr>
                <w:rFonts w:asciiTheme="minorHAnsi" w:hAnsiTheme="minorHAnsi" w:cstheme="minorHAnsi"/>
                <w:b/>
                <w:szCs w:val="24"/>
              </w:rPr>
              <w:t>n/a</w:t>
            </w:r>
          </w:p>
        </w:tc>
        <w:tc>
          <w:tcPr>
            <w:tcW w:w="608" w:type="pct"/>
          </w:tcPr>
          <w:p w14:paraId="6146000A" w14:textId="29277BB9" w:rsidR="0056638A" w:rsidRPr="004F4988" w:rsidRDefault="0056638A" w:rsidP="0056638A">
            <w:pPr>
              <w:rPr>
                <w:rFonts w:asciiTheme="minorHAnsi" w:hAnsiTheme="minorHAnsi" w:cstheme="minorHAnsi"/>
                <w:bCs/>
                <w:szCs w:val="24"/>
              </w:rPr>
            </w:pPr>
            <w:r w:rsidRPr="004F4988">
              <w:rPr>
                <w:rFonts w:asciiTheme="minorHAnsi" w:hAnsiTheme="minorHAnsi" w:cstheme="minorHAnsi"/>
                <w:bCs/>
                <w:szCs w:val="24"/>
              </w:rPr>
              <w:t>11-21</w:t>
            </w:r>
          </w:p>
        </w:tc>
        <w:tc>
          <w:tcPr>
            <w:tcW w:w="944" w:type="pct"/>
          </w:tcPr>
          <w:p w14:paraId="557C6888" w14:textId="777AC0EF" w:rsidR="0056638A" w:rsidRPr="004F4988" w:rsidRDefault="0056638A" w:rsidP="0056638A">
            <w:pPr>
              <w:jc w:val="right"/>
              <w:rPr>
                <w:rFonts w:asciiTheme="minorHAnsi" w:hAnsiTheme="minorHAnsi" w:cstheme="minorHAnsi"/>
                <w:bCs/>
                <w:szCs w:val="24"/>
              </w:rPr>
            </w:pPr>
            <w:r w:rsidRPr="004F4988">
              <w:rPr>
                <w:rFonts w:asciiTheme="minorHAnsi" w:hAnsiTheme="minorHAnsi" w:cstheme="minorHAnsi"/>
                <w:bCs/>
                <w:szCs w:val="24"/>
              </w:rPr>
              <w:t>54,539</w:t>
            </w:r>
          </w:p>
        </w:tc>
        <w:tc>
          <w:tcPr>
            <w:tcW w:w="821" w:type="pct"/>
          </w:tcPr>
          <w:p w14:paraId="1C933DC0" w14:textId="755447EE" w:rsidR="0056638A" w:rsidRPr="004F4988" w:rsidRDefault="0056638A" w:rsidP="0056638A">
            <w:pPr>
              <w:jc w:val="right"/>
              <w:rPr>
                <w:rFonts w:asciiTheme="minorHAnsi" w:hAnsiTheme="minorHAnsi" w:cstheme="minorHAnsi"/>
                <w:bCs/>
                <w:szCs w:val="24"/>
              </w:rPr>
            </w:pPr>
            <w:r w:rsidRPr="004F4988">
              <w:rPr>
                <w:rFonts w:asciiTheme="minorHAnsi" w:hAnsiTheme="minorHAnsi" w:cstheme="minorHAnsi"/>
                <w:bCs/>
                <w:szCs w:val="24"/>
              </w:rPr>
              <w:t>47.9%</w:t>
            </w:r>
          </w:p>
        </w:tc>
        <w:tc>
          <w:tcPr>
            <w:tcW w:w="1028" w:type="pct"/>
          </w:tcPr>
          <w:p w14:paraId="20C30EA3" w14:textId="6306F288" w:rsidR="0056638A" w:rsidRPr="004F4988" w:rsidRDefault="0056638A" w:rsidP="0056638A">
            <w:pPr>
              <w:jc w:val="right"/>
              <w:rPr>
                <w:rFonts w:asciiTheme="minorHAnsi" w:hAnsiTheme="minorHAnsi" w:cstheme="minorHAnsi"/>
                <w:bCs/>
                <w:szCs w:val="24"/>
              </w:rPr>
            </w:pPr>
            <w:r w:rsidRPr="004F4988">
              <w:rPr>
                <w:rFonts w:asciiTheme="minorHAnsi" w:hAnsiTheme="minorHAnsi" w:cstheme="minorHAnsi"/>
                <w:bCs/>
                <w:szCs w:val="24"/>
              </w:rPr>
              <w:t>28,282</w:t>
            </w:r>
          </w:p>
        </w:tc>
        <w:tc>
          <w:tcPr>
            <w:tcW w:w="803" w:type="pct"/>
          </w:tcPr>
          <w:p w14:paraId="623B1A19" w14:textId="6B94C101" w:rsidR="0056638A" w:rsidRPr="004F4988" w:rsidRDefault="0056638A" w:rsidP="0056638A">
            <w:pPr>
              <w:jc w:val="right"/>
              <w:rPr>
                <w:rFonts w:asciiTheme="minorHAnsi" w:hAnsiTheme="minorHAnsi" w:cstheme="minorHAnsi"/>
                <w:bCs/>
                <w:szCs w:val="24"/>
              </w:rPr>
            </w:pPr>
            <w:r w:rsidRPr="004F4988">
              <w:rPr>
                <w:rFonts w:asciiTheme="minorHAnsi" w:hAnsiTheme="minorHAnsi" w:cstheme="minorHAnsi"/>
                <w:bCs/>
                <w:szCs w:val="24"/>
              </w:rPr>
              <w:t>27.8%</w:t>
            </w:r>
          </w:p>
        </w:tc>
      </w:tr>
      <w:tr w:rsidR="0056638A" w:rsidRPr="004F4988" w14:paraId="1C6D367B" w14:textId="10650920" w:rsidTr="002F56B2">
        <w:trPr>
          <w:cantSplit/>
        </w:trPr>
        <w:tc>
          <w:tcPr>
            <w:tcW w:w="796" w:type="pct"/>
            <w:shd w:val="clear" w:color="auto" w:fill="DBE5F1" w:themeFill="accent1" w:themeFillTint="33"/>
          </w:tcPr>
          <w:p w14:paraId="065F6642" w14:textId="269CCFAB" w:rsidR="0056638A" w:rsidRPr="004F4988" w:rsidRDefault="0056638A" w:rsidP="0056638A">
            <w:pPr>
              <w:rPr>
                <w:rFonts w:asciiTheme="minorHAnsi" w:hAnsiTheme="minorHAnsi" w:cstheme="minorHAnsi"/>
                <w:b/>
                <w:szCs w:val="24"/>
              </w:rPr>
            </w:pPr>
            <w:r w:rsidRPr="00BA04B7">
              <w:rPr>
                <w:rFonts w:asciiTheme="minorHAnsi" w:hAnsiTheme="minorHAnsi" w:cstheme="minorHAnsi"/>
                <w:b/>
                <w:szCs w:val="24"/>
              </w:rPr>
              <w:t>n/a</w:t>
            </w:r>
          </w:p>
        </w:tc>
        <w:tc>
          <w:tcPr>
            <w:tcW w:w="608" w:type="pct"/>
            <w:shd w:val="clear" w:color="auto" w:fill="DBE5F1" w:themeFill="accent1" w:themeFillTint="33"/>
          </w:tcPr>
          <w:p w14:paraId="14E2AB3A" w14:textId="24CFD5E4" w:rsidR="0056638A" w:rsidRPr="004F4988" w:rsidRDefault="0056638A" w:rsidP="0056638A">
            <w:pPr>
              <w:rPr>
                <w:rFonts w:asciiTheme="minorHAnsi" w:hAnsiTheme="minorHAnsi" w:cstheme="minorHAnsi"/>
                <w:b/>
                <w:szCs w:val="24"/>
              </w:rPr>
            </w:pPr>
            <w:r w:rsidRPr="004F4988">
              <w:rPr>
                <w:rFonts w:asciiTheme="minorHAnsi" w:hAnsiTheme="minorHAnsi" w:cstheme="minorHAnsi"/>
                <w:b/>
                <w:szCs w:val="24"/>
              </w:rPr>
              <w:t>Total</w:t>
            </w:r>
          </w:p>
        </w:tc>
        <w:tc>
          <w:tcPr>
            <w:tcW w:w="944" w:type="pct"/>
            <w:shd w:val="clear" w:color="auto" w:fill="DBE5F1" w:themeFill="accent1" w:themeFillTint="33"/>
          </w:tcPr>
          <w:p w14:paraId="56CF7ADA" w14:textId="19B7DD03" w:rsidR="0056638A" w:rsidRPr="004F4988" w:rsidRDefault="0056638A" w:rsidP="0056638A">
            <w:pPr>
              <w:jc w:val="right"/>
              <w:rPr>
                <w:rFonts w:asciiTheme="minorHAnsi" w:hAnsiTheme="minorHAnsi" w:cstheme="minorHAnsi"/>
                <w:b/>
                <w:szCs w:val="24"/>
              </w:rPr>
            </w:pPr>
            <w:r w:rsidRPr="004F4988">
              <w:rPr>
                <w:rFonts w:asciiTheme="minorHAnsi" w:hAnsiTheme="minorHAnsi" w:cstheme="minorHAnsi"/>
                <w:b/>
                <w:szCs w:val="24"/>
              </w:rPr>
              <w:t>76,462</w:t>
            </w:r>
          </w:p>
        </w:tc>
        <w:tc>
          <w:tcPr>
            <w:tcW w:w="821" w:type="pct"/>
            <w:shd w:val="clear" w:color="auto" w:fill="DBE5F1" w:themeFill="accent1" w:themeFillTint="33"/>
          </w:tcPr>
          <w:p w14:paraId="48CE9096" w14:textId="6C1A19CD" w:rsidR="0056638A" w:rsidRPr="004F4988" w:rsidRDefault="0056638A" w:rsidP="0056638A">
            <w:pPr>
              <w:jc w:val="right"/>
              <w:rPr>
                <w:rFonts w:asciiTheme="minorHAnsi" w:hAnsiTheme="minorHAnsi" w:cstheme="minorHAnsi"/>
                <w:b/>
                <w:szCs w:val="24"/>
              </w:rPr>
            </w:pPr>
            <w:r w:rsidRPr="004F4988">
              <w:rPr>
                <w:rFonts w:asciiTheme="minorHAnsi" w:hAnsiTheme="minorHAnsi" w:cstheme="minorHAnsi"/>
                <w:b/>
                <w:szCs w:val="24"/>
              </w:rPr>
              <w:t>67.2%</w:t>
            </w:r>
          </w:p>
        </w:tc>
        <w:tc>
          <w:tcPr>
            <w:tcW w:w="1028" w:type="pct"/>
            <w:shd w:val="clear" w:color="auto" w:fill="DBE5F1" w:themeFill="accent1" w:themeFillTint="33"/>
          </w:tcPr>
          <w:p w14:paraId="70A8F288" w14:textId="57B4A945" w:rsidR="0056638A" w:rsidRPr="004F4988" w:rsidRDefault="0056638A" w:rsidP="0056638A">
            <w:pPr>
              <w:jc w:val="right"/>
              <w:rPr>
                <w:rFonts w:asciiTheme="minorHAnsi" w:hAnsiTheme="minorHAnsi" w:cstheme="minorHAnsi"/>
                <w:b/>
                <w:szCs w:val="24"/>
              </w:rPr>
            </w:pPr>
            <w:r w:rsidRPr="004F4988">
              <w:rPr>
                <w:rFonts w:asciiTheme="minorHAnsi" w:hAnsiTheme="minorHAnsi" w:cstheme="minorHAnsi"/>
                <w:b/>
                <w:szCs w:val="24"/>
              </w:rPr>
              <w:t>39,651</w:t>
            </w:r>
          </w:p>
        </w:tc>
        <w:tc>
          <w:tcPr>
            <w:tcW w:w="803" w:type="pct"/>
            <w:shd w:val="clear" w:color="auto" w:fill="DBE5F1" w:themeFill="accent1" w:themeFillTint="33"/>
          </w:tcPr>
          <w:p w14:paraId="0F1BD483" w14:textId="7CB27AC3" w:rsidR="0056638A" w:rsidRPr="004F4988" w:rsidRDefault="0056638A" w:rsidP="0056638A">
            <w:pPr>
              <w:jc w:val="right"/>
              <w:rPr>
                <w:rFonts w:asciiTheme="minorHAnsi" w:hAnsiTheme="minorHAnsi" w:cstheme="minorHAnsi"/>
                <w:b/>
                <w:szCs w:val="24"/>
              </w:rPr>
            </w:pPr>
            <w:r w:rsidRPr="004F4988">
              <w:rPr>
                <w:rFonts w:asciiTheme="minorHAnsi" w:hAnsiTheme="minorHAnsi" w:cstheme="minorHAnsi"/>
                <w:b/>
                <w:szCs w:val="24"/>
              </w:rPr>
              <w:t>39%</w:t>
            </w:r>
          </w:p>
        </w:tc>
      </w:tr>
      <w:tr w:rsidR="00C72E98" w:rsidRPr="004F4988" w14:paraId="5CCB5C7B" w14:textId="39B46ECC" w:rsidTr="002F56B2">
        <w:trPr>
          <w:cantSplit/>
        </w:trPr>
        <w:tc>
          <w:tcPr>
            <w:tcW w:w="796" w:type="pct"/>
          </w:tcPr>
          <w:p w14:paraId="0195E531" w14:textId="046CCB8C" w:rsidR="00C72E98" w:rsidRPr="004F4988" w:rsidRDefault="00C72E98" w:rsidP="00D43958">
            <w:pPr>
              <w:rPr>
                <w:rFonts w:asciiTheme="minorHAnsi" w:hAnsiTheme="minorHAnsi" w:cstheme="minorHAnsi"/>
                <w:b/>
                <w:szCs w:val="24"/>
              </w:rPr>
            </w:pPr>
            <w:r w:rsidRPr="004F4988">
              <w:rPr>
                <w:rFonts w:asciiTheme="minorHAnsi" w:hAnsiTheme="minorHAnsi" w:cstheme="minorHAnsi"/>
                <w:b/>
                <w:szCs w:val="24"/>
              </w:rPr>
              <w:t>Grand Total</w:t>
            </w:r>
          </w:p>
        </w:tc>
        <w:tc>
          <w:tcPr>
            <w:tcW w:w="608" w:type="pct"/>
          </w:tcPr>
          <w:p w14:paraId="6E8641F8" w14:textId="6E1655F0" w:rsidR="00C72E98" w:rsidRPr="004F4988" w:rsidRDefault="0056638A" w:rsidP="00D43958">
            <w:pPr>
              <w:rPr>
                <w:rFonts w:asciiTheme="minorHAnsi" w:hAnsiTheme="minorHAnsi" w:cstheme="minorHAnsi"/>
                <w:b/>
                <w:szCs w:val="24"/>
              </w:rPr>
            </w:pPr>
            <w:r>
              <w:rPr>
                <w:rFonts w:asciiTheme="minorHAnsi" w:hAnsiTheme="minorHAnsi" w:cstheme="minorHAnsi"/>
                <w:b/>
                <w:szCs w:val="24"/>
              </w:rPr>
              <w:t>n/a</w:t>
            </w:r>
          </w:p>
        </w:tc>
        <w:tc>
          <w:tcPr>
            <w:tcW w:w="944" w:type="pct"/>
          </w:tcPr>
          <w:p w14:paraId="2F9DB7A3" w14:textId="1EE930BA" w:rsidR="00C72E98" w:rsidRPr="004F4988" w:rsidRDefault="00C72E98" w:rsidP="00C72E98">
            <w:pPr>
              <w:jc w:val="right"/>
              <w:rPr>
                <w:rFonts w:asciiTheme="minorHAnsi" w:hAnsiTheme="minorHAnsi" w:cstheme="minorHAnsi"/>
                <w:b/>
                <w:szCs w:val="24"/>
              </w:rPr>
            </w:pPr>
            <w:r w:rsidRPr="004F4988">
              <w:rPr>
                <w:rFonts w:asciiTheme="minorHAnsi" w:hAnsiTheme="minorHAnsi" w:cstheme="minorHAnsi"/>
                <w:b/>
                <w:szCs w:val="24"/>
              </w:rPr>
              <w:t>113,88</w:t>
            </w:r>
            <w:r w:rsidR="009D3CC7" w:rsidRPr="004F4988">
              <w:rPr>
                <w:rFonts w:asciiTheme="minorHAnsi" w:hAnsiTheme="minorHAnsi" w:cstheme="minorHAnsi"/>
                <w:b/>
                <w:szCs w:val="24"/>
              </w:rPr>
              <w:t>3</w:t>
            </w:r>
          </w:p>
        </w:tc>
        <w:tc>
          <w:tcPr>
            <w:tcW w:w="821" w:type="pct"/>
          </w:tcPr>
          <w:p w14:paraId="4F4529CB" w14:textId="69EBC282" w:rsidR="00C72E98" w:rsidRPr="004F4988" w:rsidRDefault="0056638A" w:rsidP="00C72E98">
            <w:pPr>
              <w:jc w:val="right"/>
              <w:rPr>
                <w:rFonts w:asciiTheme="minorHAnsi" w:hAnsiTheme="minorHAnsi" w:cstheme="minorHAnsi"/>
                <w:b/>
                <w:szCs w:val="24"/>
              </w:rPr>
            </w:pPr>
            <w:r>
              <w:rPr>
                <w:rFonts w:asciiTheme="minorHAnsi" w:hAnsiTheme="minorHAnsi" w:cstheme="minorHAnsi"/>
                <w:b/>
                <w:szCs w:val="24"/>
              </w:rPr>
              <w:t>n/a</w:t>
            </w:r>
          </w:p>
        </w:tc>
        <w:tc>
          <w:tcPr>
            <w:tcW w:w="1028" w:type="pct"/>
          </w:tcPr>
          <w:p w14:paraId="509AC6D9" w14:textId="26EA8E44" w:rsidR="00C72E98" w:rsidRPr="004F4988" w:rsidRDefault="00C72E98" w:rsidP="00C72E98">
            <w:pPr>
              <w:jc w:val="right"/>
              <w:rPr>
                <w:rFonts w:asciiTheme="minorHAnsi" w:hAnsiTheme="minorHAnsi" w:cstheme="minorHAnsi"/>
                <w:b/>
                <w:szCs w:val="24"/>
              </w:rPr>
            </w:pPr>
            <w:r w:rsidRPr="004F4988">
              <w:rPr>
                <w:rFonts w:asciiTheme="minorHAnsi" w:hAnsiTheme="minorHAnsi" w:cstheme="minorHAnsi"/>
                <w:b/>
                <w:szCs w:val="24"/>
              </w:rPr>
              <w:t>101,71</w:t>
            </w:r>
            <w:r w:rsidR="009D3CC7" w:rsidRPr="004F4988">
              <w:rPr>
                <w:rFonts w:asciiTheme="minorHAnsi" w:hAnsiTheme="minorHAnsi" w:cstheme="minorHAnsi"/>
                <w:b/>
                <w:szCs w:val="24"/>
              </w:rPr>
              <w:t>4</w:t>
            </w:r>
          </w:p>
        </w:tc>
        <w:tc>
          <w:tcPr>
            <w:tcW w:w="803" w:type="pct"/>
          </w:tcPr>
          <w:p w14:paraId="5A0B4D58" w14:textId="1491EBD7" w:rsidR="00C72E98" w:rsidRPr="004F4988" w:rsidRDefault="0056638A" w:rsidP="00C72E98">
            <w:pPr>
              <w:jc w:val="right"/>
              <w:rPr>
                <w:rFonts w:asciiTheme="minorHAnsi" w:hAnsiTheme="minorHAnsi" w:cstheme="minorHAnsi"/>
                <w:b/>
                <w:szCs w:val="24"/>
              </w:rPr>
            </w:pPr>
            <w:r>
              <w:rPr>
                <w:rFonts w:asciiTheme="minorHAnsi" w:hAnsiTheme="minorHAnsi" w:cstheme="minorHAnsi"/>
                <w:b/>
                <w:szCs w:val="24"/>
              </w:rPr>
              <w:t>n/a</w:t>
            </w:r>
          </w:p>
        </w:tc>
      </w:tr>
    </w:tbl>
    <w:p w14:paraId="04AC70E8" w14:textId="77777777" w:rsidR="00D56CA2" w:rsidRPr="004F4988" w:rsidRDefault="00D56CA2" w:rsidP="00D56CA2">
      <w:pPr>
        <w:rPr>
          <w:rFonts w:asciiTheme="minorHAnsi" w:hAnsiTheme="minorHAnsi" w:cstheme="minorHAnsi"/>
          <w:bCs/>
          <w:szCs w:val="24"/>
        </w:rPr>
      </w:pPr>
      <w:r w:rsidRPr="004F4988">
        <w:rPr>
          <w:rFonts w:asciiTheme="minorHAnsi" w:hAnsiTheme="minorHAnsi" w:cstheme="minorHAnsi"/>
          <w:bCs/>
          <w:szCs w:val="24"/>
        </w:rPr>
        <w:t>Source: Komodo Claims Data 2024</w:t>
      </w:r>
    </w:p>
    <w:p w14:paraId="37FA974C" w14:textId="0879EF95" w:rsidR="00E45E85" w:rsidRDefault="00E45E85" w:rsidP="00E45E85">
      <w:pPr>
        <w:pStyle w:val="ListParagraph"/>
        <w:numPr>
          <w:ilvl w:val="1"/>
          <w:numId w:val="32"/>
        </w:numPr>
        <w:rPr>
          <w:rFonts w:cstheme="minorHAnsi"/>
          <w:b/>
          <w:sz w:val="24"/>
          <w:szCs w:val="28"/>
        </w:rPr>
      </w:pPr>
      <w:r w:rsidRPr="00E45E85">
        <w:rPr>
          <w:rFonts w:cstheme="minorHAnsi"/>
          <w:b/>
          <w:sz w:val="24"/>
          <w:szCs w:val="28"/>
        </w:rPr>
        <w:t xml:space="preserve">Gender by Care Setting and Payor </w:t>
      </w:r>
    </w:p>
    <w:p w14:paraId="61948DEE" w14:textId="77777777" w:rsidR="00E45E85" w:rsidRDefault="00E45E85" w:rsidP="00E45E85">
      <w:pPr>
        <w:pStyle w:val="ListParagraph"/>
        <w:rPr>
          <w:rFonts w:cstheme="minorHAnsi"/>
          <w:b/>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Gender by Care Setting and Payor "/>
      </w:tblPr>
      <w:tblGrid>
        <w:gridCol w:w="1296"/>
        <w:gridCol w:w="2053"/>
        <w:gridCol w:w="2055"/>
        <w:gridCol w:w="1926"/>
        <w:gridCol w:w="2020"/>
      </w:tblGrid>
      <w:tr w:rsidR="00E45E85" w:rsidRPr="00E763FA" w14:paraId="4B6D33B5" w14:textId="77777777" w:rsidTr="00355BBB">
        <w:trPr>
          <w:cantSplit/>
          <w:trHeight w:val="343"/>
          <w:tblHeader/>
        </w:trPr>
        <w:tc>
          <w:tcPr>
            <w:tcW w:w="693" w:type="pct"/>
            <w:shd w:val="clear" w:color="auto" w:fill="DBE5F1" w:themeFill="accent1" w:themeFillTint="33"/>
            <w:noWrap/>
            <w:vAlign w:val="bottom"/>
            <w:hideMark/>
          </w:tcPr>
          <w:p w14:paraId="490E85D2" w14:textId="5306530A" w:rsidR="00E45E85" w:rsidRPr="00E763FA" w:rsidRDefault="00355BBB" w:rsidP="00076319">
            <w:pPr>
              <w:spacing w:after="0" w:line="240" w:lineRule="auto"/>
              <w:rPr>
                <w:rFonts w:asciiTheme="minorHAnsi" w:eastAsia="Times New Roman" w:hAnsiTheme="minorHAnsi" w:cstheme="minorHAnsi"/>
                <w:b/>
                <w:bCs/>
                <w:color w:val="000000"/>
                <w:szCs w:val="24"/>
              </w:rPr>
            </w:pPr>
            <w:r>
              <w:rPr>
                <w:rFonts w:asciiTheme="minorHAnsi" w:hAnsiTheme="minorHAnsi" w:cstheme="minorHAnsi"/>
                <w:b/>
                <w:szCs w:val="24"/>
              </w:rPr>
              <w:t>n/a</w:t>
            </w:r>
          </w:p>
        </w:tc>
        <w:tc>
          <w:tcPr>
            <w:tcW w:w="1098" w:type="pct"/>
            <w:shd w:val="clear" w:color="auto" w:fill="DBE5F1" w:themeFill="accent1" w:themeFillTint="33"/>
            <w:noWrap/>
            <w:vAlign w:val="bottom"/>
            <w:hideMark/>
          </w:tcPr>
          <w:p w14:paraId="5DACDDA2" w14:textId="6835BA97" w:rsidR="00E45E85" w:rsidRPr="00E45E85" w:rsidRDefault="00355BBB" w:rsidP="00076319">
            <w:pPr>
              <w:spacing w:after="0" w:line="240" w:lineRule="auto"/>
              <w:jc w:val="center"/>
              <w:rPr>
                <w:rFonts w:asciiTheme="minorHAnsi" w:eastAsia="Times New Roman" w:hAnsiTheme="minorHAnsi" w:cstheme="minorHAnsi"/>
                <w:b/>
                <w:bCs/>
                <w:color w:val="000000"/>
                <w:szCs w:val="24"/>
              </w:rPr>
            </w:pPr>
            <w:r w:rsidRPr="00E763FA">
              <w:rPr>
                <w:rFonts w:asciiTheme="minorHAnsi" w:eastAsia="Times New Roman" w:hAnsiTheme="minorHAnsi" w:cstheme="minorHAnsi"/>
                <w:b/>
                <w:bCs/>
                <w:color w:val="000000"/>
                <w:szCs w:val="24"/>
              </w:rPr>
              <w:t>Commercial</w:t>
            </w:r>
            <w:r>
              <w:rPr>
                <w:rFonts w:asciiTheme="minorHAnsi" w:eastAsia="Times New Roman" w:hAnsiTheme="minorHAnsi" w:cstheme="minorHAnsi"/>
                <w:b/>
                <w:bCs/>
                <w:color w:val="000000"/>
                <w:szCs w:val="24"/>
              </w:rPr>
              <w:t xml:space="preserve"> </w:t>
            </w:r>
            <w:r w:rsidR="00E45E85">
              <w:rPr>
                <w:rFonts w:asciiTheme="minorHAnsi" w:eastAsia="Times New Roman" w:hAnsiTheme="minorHAnsi" w:cstheme="minorHAnsi"/>
                <w:b/>
                <w:bCs/>
                <w:color w:val="000000"/>
                <w:szCs w:val="24"/>
              </w:rPr>
              <w:t>HOPD</w:t>
            </w:r>
          </w:p>
        </w:tc>
        <w:tc>
          <w:tcPr>
            <w:tcW w:w="1099" w:type="pct"/>
            <w:shd w:val="clear" w:color="auto" w:fill="DBE5F1" w:themeFill="accent1" w:themeFillTint="33"/>
            <w:noWrap/>
            <w:vAlign w:val="bottom"/>
            <w:hideMark/>
          </w:tcPr>
          <w:p w14:paraId="4BBF7B4C" w14:textId="00B5B72A" w:rsidR="00E45E85" w:rsidRPr="00E45E85" w:rsidRDefault="00355BBB" w:rsidP="00076319">
            <w:pPr>
              <w:spacing w:after="0" w:line="240" w:lineRule="auto"/>
              <w:jc w:val="center"/>
              <w:rPr>
                <w:rFonts w:asciiTheme="minorHAnsi" w:eastAsia="Times New Roman" w:hAnsiTheme="minorHAnsi" w:cstheme="minorHAnsi"/>
                <w:b/>
                <w:bCs/>
                <w:color w:val="000000"/>
                <w:szCs w:val="24"/>
              </w:rPr>
            </w:pPr>
            <w:r w:rsidRPr="00E763FA">
              <w:rPr>
                <w:rFonts w:asciiTheme="minorHAnsi" w:eastAsia="Times New Roman" w:hAnsiTheme="minorHAnsi" w:cstheme="minorHAnsi"/>
                <w:b/>
                <w:bCs/>
                <w:color w:val="000000"/>
                <w:szCs w:val="24"/>
              </w:rPr>
              <w:t>Commercial</w:t>
            </w:r>
            <w:r>
              <w:rPr>
                <w:rFonts w:asciiTheme="minorHAnsi" w:eastAsia="Times New Roman" w:hAnsiTheme="minorHAnsi" w:cstheme="minorHAnsi"/>
                <w:b/>
                <w:bCs/>
                <w:color w:val="000000"/>
                <w:szCs w:val="24"/>
              </w:rPr>
              <w:t xml:space="preserve"> </w:t>
            </w:r>
            <w:r w:rsidR="00E45E85">
              <w:rPr>
                <w:rFonts w:asciiTheme="minorHAnsi" w:eastAsia="Times New Roman" w:hAnsiTheme="minorHAnsi" w:cstheme="minorHAnsi"/>
                <w:b/>
                <w:bCs/>
                <w:color w:val="000000"/>
                <w:szCs w:val="24"/>
              </w:rPr>
              <w:t>Office</w:t>
            </w:r>
          </w:p>
        </w:tc>
        <w:tc>
          <w:tcPr>
            <w:tcW w:w="1030" w:type="pct"/>
            <w:shd w:val="clear" w:color="auto" w:fill="DBE5F1" w:themeFill="accent1" w:themeFillTint="33"/>
            <w:noWrap/>
            <w:vAlign w:val="bottom"/>
            <w:hideMark/>
          </w:tcPr>
          <w:p w14:paraId="0BE9FE96" w14:textId="649842FC" w:rsidR="00E45E85" w:rsidRPr="00E45E85" w:rsidRDefault="00355BBB" w:rsidP="00076319">
            <w:pPr>
              <w:spacing w:after="0" w:line="240" w:lineRule="auto"/>
              <w:jc w:val="center"/>
              <w:rPr>
                <w:rFonts w:asciiTheme="minorHAnsi" w:eastAsia="Times New Roman" w:hAnsiTheme="minorHAnsi" w:cstheme="minorHAnsi"/>
                <w:b/>
                <w:bCs/>
                <w:color w:val="000000"/>
                <w:szCs w:val="24"/>
              </w:rPr>
            </w:pPr>
            <w:r w:rsidRPr="00E763FA">
              <w:rPr>
                <w:rFonts w:asciiTheme="minorHAnsi" w:eastAsia="Times New Roman" w:hAnsiTheme="minorHAnsi" w:cstheme="minorHAnsi"/>
                <w:b/>
                <w:bCs/>
                <w:color w:val="000000"/>
                <w:szCs w:val="24"/>
              </w:rPr>
              <w:t>Medicaid</w:t>
            </w:r>
            <w:r w:rsidRPr="00E45E85">
              <w:rPr>
                <w:rFonts w:asciiTheme="minorHAnsi" w:eastAsia="Times New Roman" w:hAnsiTheme="minorHAnsi" w:cstheme="minorHAnsi"/>
                <w:b/>
                <w:bCs/>
                <w:color w:val="000000"/>
                <w:szCs w:val="24"/>
              </w:rPr>
              <w:t xml:space="preserve"> </w:t>
            </w:r>
            <w:r w:rsidR="00E45E85" w:rsidRPr="00E45E85">
              <w:rPr>
                <w:rFonts w:asciiTheme="minorHAnsi" w:eastAsia="Times New Roman" w:hAnsiTheme="minorHAnsi" w:cstheme="minorHAnsi"/>
                <w:b/>
                <w:bCs/>
                <w:color w:val="000000"/>
                <w:szCs w:val="24"/>
              </w:rPr>
              <w:t>HOPD</w:t>
            </w:r>
          </w:p>
        </w:tc>
        <w:tc>
          <w:tcPr>
            <w:tcW w:w="1081" w:type="pct"/>
            <w:shd w:val="clear" w:color="auto" w:fill="DBE5F1" w:themeFill="accent1" w:themeFillTint="33"/>
            <w:noWrap/>
            <w:vAlign w:val="bottom"/>
            <w:hideMark/>
          </w:tcPr>
          <w:p w14:paraId="2AD86A27" w14:textId="797C5FEE" w:rsidR="00E45E85" w:rsidRPr="00E45E85" w:rsidRDefault="00355BBB" w:rsidP="00076319">
            <w:pPr>
              <w:spacing w:after="0" w:line="240" w:lineRule="auto"/>
              <w:jc w:val="center"/>
              <w:rPr>
                <w:rFonts w:asciiTheme="minorHAnsi" w:eastAsia="Times New Roman" w:hAnsiTheme="minorHAnsi" w:cstheme="minorHAnsi"/>
                <w:b/>
                <w:bCs/>
                <w:color w:val="000000"/>
                <w:szCs w:val="24"/>
              </w:rPr>
            </w:pPr>
            <w:r w:rsidRPr="00E763FA">
              <w:rPr>
                <w:rFonts w:asciiTheme="minorHAnsi" w:eastAsia="Times New Roman" w:hAnsiTheme="minorHAnsi" w:cstheme="minorHAnsi"/>
                <w:b/>
                <w:bCs/>
                <w:color w:val="000000"/>
                <w:szCs w:val="24"/>
              </w:rPr>
              <w:t>Medicaid</w:t>
            </w:r>
            <w:r w:rsidRPr="00E45E85">
              <w:rPr>
                <w:rFonts w:asciiTheme="minorHAnsi" w:eastAsia="Times New Roman" w:hAnsiTheme="minorHAnsi" w:cstheme="minorHAnsi"/>
                <w:b/>
                <w:bCs/>
                <w:color w:val="000000"/>
                <w:szCs w:val="24"/>
              </w:rPr>
              <w:t xml:space="preserve"> </w:t>
            </w:r>
            <w:r w:rsidR="00E45E85" w:rsidRPr="00E45E85">
              <w:rPr>
                <w:rFonts w:asciiTheme="minorHAnsi" w:eastAsia="Times New Roman" w:hAnsiTheme="minorHAnsi" w:cstheme="minorHAnsi"/>
                <w:b/>
                <w:bCs/>
                <w:color w:val="000000"/>
                <w:szCs w:val="24"/>
              </w:rPr>
              <w:t>Office</w:t>
            </w:r>
          </w:p>
        </w:tc>
      </w:tr>
      <w:tr w:rsidR="00E45E85" w:rsidRPr="00E763FA" w14:paraId="63B35BE0" w14:textId="77777777" w:rsidTr="00355BBB">
        <w:trPr>
          <w:cantSplit/>
          <w:trHeight w:val="343"/>
        </w:trPr>
        <w:tc>
          <w:tcPr>
            <w:tcW w:w="693" w:type="pct"/>
            <w:noWrap/>
            <w:hideMark/>
          </w:tcPr>
          <w:p w14:paraId="376582EB" w14:textId="2815E8F1" w:rsidR="00E45E85" w:rsidRPr="00E763FA" w:rsidRDefault="00E45E85" w:rsidP="00076319">
            <w:pPr>
              <w:spacing w:after="0" w:line="240" w:lineRule="auto"/>
              <w:rPr>
                <w:rFonts w:asciiTheme="minorHAnsi" w:eastAsia="Times New Roman" w:hAnsiTheme="minorHAnsi" w:cstheme="minorHAnsi"/>
                <w:b/>
                <w:bCs/>
                <w:color w:val="000000"/>
                <w:szCs w:val="24"/>
              </w:rPr>
            </w:pPr>
            <w:r>
              <w:rPr>
                <w:rFonts w:asciiTheme="minorHAnsi" w:eastAsia="Times New Roman" w:hAnsiTheme="minorHAnsi" w:cstheme="minorHAnsi"/>
                <w:b/>
                <w:bCs/>
                <w:color w:val="000000"/>
                <w:szCs w:val="24"/>
              </w:rPr>
              <w:t>Male</w:t>
            </w:r>
          </w:p>
        </w:tc>
        <w:tc>
          <w:tcPr>
            <w:tcW w:w="1098" w:type="pct"/>
            <w:noWrap/>
            <w:vAlign w:val="center"/>
          </w:tcPr>
          <w:p w14:paraId="08658ED5" w14:textId="11115C99" w:rsidR="00E45E85" w:rsidRPr="00E763FA" w:rsidRDefault="00E45E85" w:rsidP="00076319">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51%</w:t>
            </w:r>
          </w:p>
        </w:tc>
        <w:tc>
          <w:tcPr>
            <w:tcW w:w="1099" w:type="pct"/>
            <w:noWrap/>
            <w:vAlign w:val="center"/>
          </w:tcPr>
          <w:p w14:paraId="3B2534DB" w14:textId="3850ED40" w:rsidR="00E45E85" w:rsidRPr="00E763FA" w:rsidRDefault="00E45E85" w:rsidP="00076319">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47%</w:t>
            </w:r>
          </w:p>
        </w:tc>
        <w:tc>
          <w:tcPr>
            <w:tcW w:w="1030" w:type="pct"/>
            <w:noWrap/>
            <w:vAlign w:val="center"/>
          </w:tcPr>
          <w:p w14:paraId="1D69873C" w14:textId="2394C42C" w:rsidR="00E45E85" w:rsidRPr="00E763FA" w:rsidRDefault="00E45E85" w:rsidP="00076319">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55%</w:t>
            </w:r>
          </w:p>
        </w:tc>
        <w:tc>
          <w:tcPr>
            <w:tcW w:w="1081" w:type="pct"/>
            <w:noWrap/>
            <w:vAlign w:val="center"/>
          </w:tcPr>
          <w:p w14:paraId="7475BBD2" w14:textId="25F52B5C" w:rsidR="00E45E85" w:rsidRPr="00E763FA" w:rsidRDefault="00E45E85" w:rsidP="00076319">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48%</w:t>
            </w:r>
          </w:p>
        </w:tc>
      </w:tr>
      <w:tr w:rsidR="00E45E85" w:rsidRPr="00E763FA" w14:paraId="565A05A3" w14:textId="77777777" w:rsidTr="00355BBB">
        <w:trPr>
          <w:cantSplit/>
          <w:trHeight w:val="343"/>
        </w:trPr>
        <w:tc>
          <w:tcPr>
            <w:tcW w:w="693" w:type="pct"/>
            <w:noWrap/>
            <w:hideMark/>
          </w:tcPr>
          <w:p w14:paraId="512CC689" w14:textId="78FDB8F8" w:rsidR="00E45E85" w:rsidRPr="00E763FA" w:rsidRDefault="00E45E85" w:rsidP="00076319">
            <w:pPr>
              <w:spacing w:after="0" w:line="240" w:lineRule="auto"/>
              <w:rPr>
                <w:rFonts w:asciiTheme="minorHAnsi" w:eastAsia="Times New Roman" w:hAnsiTheme="minorHAnsi" w:cstheme="minorHAnsi"/>
                <w:b/>
                <w:bCs/>
                <w:color w:val="000000"/>
                <w:szCs w:val="24"/>
              </w:rPr>
            </w:pPr>
            <w:r>
              <w:rPr>
                <w:rFonts w:asciiTheme="minorHAnsi" w:eastAsia="Times New Roman" w:hAnsiTheme="minorHAnsi" w:cstheme="minorHAnsi"/>
                <w:b/>
                <w:bCs/>
                <w:color w:val="000000"/>
                <w:szCs w:val="24"/>
              </w:rPr>
              <w:t>Female</w:t>
            </w:r>
          </w:p>
        </w:tc>
        <w:tc>
          <w:tcPr>
            <w:tcW w:w="1098" w:type="pct"/>
            <w:noWrap/>
            <w:vAlign w:val="center"/>
          </w:tcPr>
          <w:p w14:paraId="6DE63204" w14:textId="465C1057" w:rsidR="00E45E85" w:rsidRPr="00E763FA" w:rsidRDefault="00E45E85" w:rsidP="00076319">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49%</w:t>
            </w:r>
          </w:p>
        </w:tc>
        <w:tc>
          <w:tcPr>
            <w:tcW w:w="1099" w:type="pct"/>
            <w:noWrap/>
            <w:vAlign w:val="center"/>
          </w:tcPr>
          <w:p w14:paraId="3319B113" w14:textId="0D9C8397" w:rsidR="00E45E85" w:rsidRPr="00E763FA" w:rsidRDefault="00E45E85" w:rsidP="00076319">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53%</w:t>
            </w:r>
          </w:p>
        </w:tc>
        <w:tc>
          <w:tcPr>
            <w:tcW w:w="1030" w:type="pct"/>
            <w:noWrap/>
            <w:vAlign w:val="center"/>
          </w:tcPr>
          <w:p w14:paraId="7BAAF5D9" w14:textId="2CC94A0B" w:rsidR="00E45E85" w:rsidRPr="00E763FA" w:rsidRDefault="00E45E85" w:rsidP="00076319">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45%</w:t>
            </w:r>
          </w:p>
        </w:tc>
        <w:tc>
          <w:tcPr>
            <w:tcW w:w="1081" w:type="pct"/>
            <w:noWrap/>
            <w:vAlign w:val="center"/>
          </w:tcPr>
          <w:p w14:paraId="68A67EC4" w14:textId="24B80DFE" w:rsidR="00E45E85" w:rsidRPr="00E763FA" w:rsidRDefault="00E45E85" w:rsidP="00076319">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52%</w:t>
            </w:r>
          </w:p>
        </w:tc>
      </w:tr>
    </w:tbl>
    <w:p w14:paraId="55E663C1" w14:textId="77777777" w:rsidR="00E10A43" w:rsidRPr="004F4988" w:rsidRDefault="00E10A43" w:rsidP="00E10A43">
      <w:pPr>
        <w:pStyle w:val="NoSpacing"/>
        <w:rPr>
          <w:rFonts w:asciiTheme="minorHAnsi" w:hAnsiTheme="minorHAnsi" w:cstheme="minorHAnsi"/>
          <w:bCs/>
          <w:szCs w:val="24"/>
        </w:rPr>
      </w:pPr>
      <w:r w:rsidRPr="004F4988">
        <w:rPr>
          <w:rFonts w:asciiTheme="minorHAnsi" w:hAnsiTheme="minorHAnsi" w:cstheme="minorHAnsi"/>
          <w:bCs/>
          <w:szCs w:val="24"/>
        </w:rPr>
        <w:t>ASC excluded due to volume &lt;11</w:t>
      </w:r>
    </w:p>
    <w:p w14:paraId="028DD289" w14:textId="77777777" w:rsidR="00E10A43" w:rsidRPr="004F4988" w:rsidRDefault="00E10A43" w:rsidP="00E10A43">
      <w:pPr>
        <w:pStyle w:val="NoSpacing"/>
        <w:rPr>
          <w:rFonts w:asciiTheme="minorHAnsi" w:hAnsiTheme="minorHAnsi" w:cstheme="minorHAnsi"/>
          <w:bCs/>
          <w:szCs w:val="24"/>
        </w:rPr>
      </w:pPr>
      <w:r w:rsidRPr="004F4988">
        <w:rPr>
          <w:rFonts w:asciiTheme="minorHAnsi" w:hAnsiTheme="minorHAnsi" w:cstheme="minorHAnsi"/>
          <w:bCs/>
          <w:szCs w:val="24"/>
        </w:rPr>
        <w:t>Source: Komodo Claims Data 2024</w:t>
      </w:r>
    </w:p>
    <w:p w14:paraId="6084F422" w14:textId="77777777" w:rsidR="00E45E85" w:rsidRDefault="00E45E85" w:rsidP="00E45E85">
      <w:pPr>
        <w:pStyle w:val="ListParagraph"/>
        <w:ind w:left="1440"/>
        <w:rPr>
          <w:rFonts w:cstheme="minorHAnsi"/>
          <w:b/>
          <w:szCs w:val="24"/>
        </w:rPr>
      </w:pPr>
    </w:p>
    <w:p w14:paraId="1E53FE94" w14:textId="5820AFAA" w:rsidR="00E45E85" w:rsidRPr="00E45E85" w:rsidRDefault="00E45E85" w:rsidP="00E45E85">
      <w:pPr>
        <w:pStyle w:val="ListParagraph"/>
        <w:numPr>
          <w:ilvl w:val="1"/>
          <w:numId w:val="32"/>
        </w:numPr>
        <w:rPr>
          <w:rFonts w:cstheme="minorHAnsi"/>
          <w:b/>
          <w:sz w:val="24"/>
          <w:szCs w:val="28"/>
        </w:rPr>
      </w:pPr>
      <w:r w:rsidRPr="00E45E85">
        <w:rPr>
          <w:rFonts w:cstheme="minorHAnsi"/>
          <w:b/>
          <w:sz w:val="24"/>
          <w:szCs w:val="28"/>
        </w:rPr>
        <w:t xml:space="preserve">Race/Ethnicity by Care Setting and Payor </w:t>
      </w:r>
    </w:p>
    <w:p w14:paraId="0D60A032" w14:textId="77777777" w:rsidR="00E45E85" w:rsidRDefault="00E45E85" w:rsidP="00E45E85">
      <w:pPr>
        <w:pStyle w:val="ListParagraph"/>
        <w:ind w:left="1440"/>
        <w:rPr>
          <w:rFonts w:cstheme="minorHAns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ace/Ethnicity by Care Setting and Payor "/>
      </w:tblPr>
      <w:tblGrid>
        <w:gridCol w:w="2346"/>
        <w:gridCol w:w="1869"/>
        <w:gridCol w:w="1871"/>
        <w:gridCol w:w="1631"/>
        <w:gridCol w:w="1633"/>
      </w:tblGrid>
      <w:tr w:rsidR="00B50A40" w:rsidRPr="00E763FA" w14:paraId="59ED7729" w14:textId="77777777" w:rsidTr="00B50A40">
        <w:trPr>
          <w:cantSplit/>
          <w:trHeight w:val="343"/>
          <w:tblHeader/>
        </w:trPr>
        <w:tc>
          <w:tcPr>
            <w:tcW w:w="1255" w:type="pct"/>
            <w:shd w:val="clear" w:color="auto" w:fill="DBE5F1" w:themeFill="accent1" w:themeFillTint="33"/>
            <w:noWrap/>
            <w:vAlign w:val="bottom"/>
            <w:hideMark/>
          </w:tcPr>
          <w:p w14:paraId="4379BED3" w14:textId="22D50B9F" w:rsidR="00B50A40" w:rsidRPr="00E763FA" w:rsidRDefault="00B50A40" w:rsidP="00B50A40">
            <w:pPr>
              <w:spacing w:after="0" w:line="240" w:lineRule="auto"/>
              <w:rPr>
                <w:rFonts w:asciiTheme="minorHAnsi" w:eastAsia="Times New Roman" w:hAnsiTheme="minorHAnsi" w:cstheme="minorHAnsi"/>
                <w:b/>
                <w:bCs/>
                <w:color w:val="000000"/>
                <w:szCs w:val="24"/>
              </w:rPr>
            </w:pPr>
            <w:r>
              <w:rPr>
                <w:rFonts w:asciiTheme="minorHAnsi" w:hAnsiTheme="minorHAnsi" w:cstheme="minorHAnsi"/>
                <w:b/>
                <w:szCs w:val="24"/>
              </w:rPr>
              <w:t>n/a</w:t>
            </w:r>
          </w:p>
        </w:tc>
        <w:tc>
          <w:tcPr>
            <w:tcW w:w="999" w:type="pct"/>
            <w:shd w:val="clear" w:color="auto" w:fill="DBE5F1" w:themeFill="accent1" w:themeFillTint="33"/>
            <w:noWrap/>
            <w:vAlign w:val="bottom"/>
            <w:hideMark/>
          </w:tcPr>
          <w:p w14:paraId="309A8E74" w14:textId="222740D6" w:rsidR="00B50A40" w:rsidRPr="00E45E85" w:rsidRDefault="00B50A40" w:rsidP="00B50A40">
            <w:pPr>
              <w:spacing w:after="0" w:line="240" w:lineRule="auto"/>
              <w:jc w:val="center"/>
              <w:rPr>
                <w:rFonts w:asciiTheme="minorHAnsi" w:eastAsia="Times New Roman" w:hAnsiTheme="minorHAnsi" w:cstheme="minorHAnsi"/>
                <w:b/>
                <w:bCs/>
                <w:color w:val="000000"/>
                <w:szCs w:val="24"/>
              </w:rPr>
            </w:pPr>
            <w:r w:rsidRPr="00E763FA">
              <w:rPr>
                <w:rFonts w:asciiTheme="minorHAnsi" w:eastAsia="Times New Roman" w:hAnsiTheme="minorHAnsi" w:cstheme="minorHAnsi"/>
                <w:b/>
                <w:bCs/>
                <w:color w:val="000000"/>
                <w:szCs w:val="24"/>
              </w:rPr>
              <w:t>Commercial</w:t>
            </w:r>
            <w:r>
              <w:rPr>
                <w:rFonts w:asciiTheme="minorHAnsi" w:eastAsia="Times New Roman" w:hAnsiTheme="minorHAnsi" w:cstheme="minorHAnsi"/>
                <w:b/>
                <w:bCs/>
                <w:color w:val="000000"/>
                <w:szCs w:val="24"/>
              </w:rPr>
              <w:t xml:space="preserve"> HOPD</w:t>
            </w:r>
          </w:p>
        </w:tc>
        <w:tc>
          <w:tcPr>
            <w:tcW w:w="1001" w:type="pct"/>
            <w:shd w:val="clear" w:color="auto" w:fill="DBE5F1" w:themeFill="accent1" w:themeFillTint="33"/>
            <w:noWrap/>
            <w:vAlign w:val="bottom"/>
            <w:hideMark/>
          </w:tcPr>
          <w:p w14:paraId="3457BDE6" w14:textId="51CA1C11" w:rsidR="00B50A40" w:rsidRPr="00E45E85" w:rsidRDefault="00B50A40" w:rsidP="00B50A40">
            <w:pPr>
              <w:spacing w:after="0" w:line="240" w:lineRule="auto"/>
              <w:jc w:val="center"/>
              <w:rPr>
                <w:rFonts w:asciiTheme="minorHAnsi" w:eastAsia="Times New Roman" w:hAnsiTheme="minorHAnsi" w:cstheme="minorHAnsi"/>
                <w:b/>
                <w:bCs/>
                <w:color w:val="000000"/>
                <w:szCs w:val="24"/>
              </w:rPr>
            </w:pPr>
            <w:r w:rsidRPr="00E763FA">
              <w:rPr>
                <w:rFonts w:asciiTheme="minorHAnsi" w:eastAsia="Times New Roman" w:hAnsiTheme="minorHAnsi" w:cstheme="minorHAnsi"/>
                <w:b/>
                <w:bCs/>
                <w:color w:val="000000"/>
                <w:szCs w:val="24"/>
              </w:rPr>
              <w:t>Commercial</w:t>
            </w:r>
            <w:r>
              <w:rPr>
                <w:rFonts w:asciiTheme="minorHAnsi" w:eastAsia="Times New Roman" w:hAnsiTheme="minorHAnsi" w:cstheme="minorHAnsi"/>
                <w:b/>
                <w:bCs/>
                <w:color w:val="000000"/>
                <w:szCs w:val="24"/>
              </w:rPr>
              <w:t xml:space="preserve"> </w:t>
            </w:r>
            <w:r>
              <w:rPr>
                <w:rFonts w:asciiTheme="minorHAnsi" w:eastAsia="Times New Roman" w:hAnsiTheme="minorHAnsi" w:cstheme="minorHAnsi"/>
                <w:b/>
                <w:bCs/>
                <w:color w:val="000000"/>
                <w:szCs w:val="24"/>
              </w:rPr>
              <w:t>Office</w:t>
            </w:r>
          </w:p>
        </w:tc>
        <w:tc>
          <w:tcPr>
            <w:tcW w:w="872" w:type="pct"/>
            <w:shd w:val="clear" w:color="auto" w:fill="DBE5F1" w:themeFill="accent1" w:themeFillTint="33"/>
            <w:noWrap/>
            <w:vAlign w:val="bottom"/>
            <w:hideMark/>
          </w:tcPr>
          <w:p w14:paraId="251CFE84" w14:textId="3F526CE8" w:rsidR="00B50A40" w:rsidRPr="00E45E85" w:rsidRDefault="00B50A40" w:rsidP="00B50A40">
            <w:pPr>
              <w:spacing w:after="0" w:line="240" w:lineRule="auto"/>
              <w:jc w:val="center"/>
              <w:rPr>
                <w:rFonts w:asciiTheme="minorHAnsi" w:eastAsia="Times New Roman" w:hAnsiTheme="minorHAnsi" w:cstheme="minorHAnsi"/>
                <w:b/>
                <w:bCs/>
                <w:color w:val="000000"/>
                <w:szCs w:val="24"/>
              </w:rPr>
            </w:pPr>
            <w:r w:rsidRPr="00E763FA">
              <w:rPr>
                <w:rFonts w:asciiTheme="minorHAnsi" w:eastAsia="Times New Roman" w:hAnsiTheme="minorHAnsi" w:cstheme="minorHAnsi"/>
                <w:b/>
                <w:bCs/>
                <w:color w:val="000000"/>
                <w:szCs w:val="24"/>
              </w:rPr>
              <w:t>Medicaid</w:t>
            </w:r>
            <w:r w:rsidRPr="00E45E85">
              <w:rPr>
                <w:rFonts w:asciiTheme="minorHAnsi" w:eastAsia="Times New Roman" w:hAnsiTheme="minorHAnsi" w:cstheme="minorHAnsi"/>
                <w:b/>
                <w:bCs/>
                <w:color w:val="000000"/>
                <w:szCs w:val="24"/>
              </w:rPr>
              <w:t xml:space="preserve"> HOPD</w:t>
            </w:r>
          </w:p>
        </w:tc>
        <w:tc>
          <w:tcPr>
            <w:tcW w:w="873" w:type="pct"/>
            <w:shd w:val="clear" w:color="auto" w:fill="DBE5F1" w:themeFill="accent1" w:themeFillTint="33"/>
            <w:noWrap/>
            <w:vAlign w:val="bottom"/>
            <w:hideMark/>
          </w:tcPr>
          <w:p w14:paraId="645CDF40" w14:textId="2866D895" w:rsidR="00B50A40" w:rsidRPr="00E45E85" w:rsidRDefault="00B50A40" w:rsidP="00B50A40">
            <w:pPr>
              <w:spacing w:after="0" w:line="240" w:lineRule="auto"/>
              <w:jc w:val="center"/>
              <w:rPr>
                <w:rFonts w:asciiTheme="minorHAnsi" w:eastAsia="Times New Roman" w:hAnsiTheme="minorHAnsi" w:cstheme="minorHAnsi"/>
                <w:b/>
                <w:bCs/>
                <w:color w:val="000000"/>
                <w:szCs w:val="24"/>
              </w:rPr>
            </w:pPr>
            <w:r w:rsidRPr="00E763FA">
              <w:rPr>
                <w:rFonts w:asciiTheme="minorHAnsi" w:eastAsia="Times New Roman" w:hAnsiTheme="minorHAnsi" w:cstheme="minorHAnsi"/>
                <w:b/>
                <w:bCs/>
                <w:color w:val="000000"/>
                <w:szCs w:val="24"/>
              </w:rPr>
              <w:t>Medicaid</w:t>
            </w:r>
            <w:r w:rsidRPr="00E45E85">
              <w:rPr>
                <w:rFonts w:asciiTheme="minorHAnsi" w:eastAsia="Times New Roman" w:hAnsiTheme="minorHAnsi" w:cstheme="minorHAnsi"/>
                <w:b/>
                <w:bCs/>
                <w:color w:val="000000"/>
                <w:szCs w:val="24"/>
              </w:rPr>
              <w:t xml:space="preserve"> </w:t>
            </w:r>
            <w:r w:rsidRPr="00E45E85">
              <w:rPr>
                <w:rFonts w:asciiTheme="minorHAnsi" w:eastAsia="Times New Roman" w:hAnsiTheme="minorHAnsi" w:cstheme="minorHAnsi"/>
                <w:b/>
                <w:bCs/>
                <w:color w:val="000000"/>
                <w:szCs w:val="24"/>
              </w:rPr>
              <w:t>Office</w:t>
            </w:r>
          </w:p>
        </w:tc>
      </w:tr>
      <w:tr w:rsidR="00B50A40" w:rsidRPr="00E763FA" w14:paraId="2AE23EB7" w14:textId="77777777" w:rsidTr="00B50A40">
        <w:trPr>
          <w:cantSplit/>
          <w:trHeight w:val="343"/>
        </w:trPr>
        <w:tc>
          <w:tcPr>
            <w:tcW w:w="1255" w:type="pct"/>
            <w:noWrap/>
          </w:tcPr>
          <w:p w14:paraId="060142BB" w14:textId="25D93A0E" w:rsidR="00B50A40" w:rsidRPr="00594B91" w:rsidRDefault="00B50A40" w:rsidP="00B50A40">
            <w:pPr>
              <w:spacing w:after="0" w:line="240" w:lineRule="auto"/>
              <w:rPr>
                <w:rFonts w:asciiTheme="minorHAnsi" w:eastAsia="Times New Roman" w:hAnsiTheme="minorHAnsi" w:cstheme="minorHAnsi"/>
                <w:b/>
                <w:bCs/>
                <w:color w:val="000000"/>
                <w:szCs w:val="24"/>
              </w:rPr>
            </w:pPr>
            <w:r w:rsidRPr="00594B91">
              <w:rPr>
                <w:rFonts w:asciiTheme="minorHAnsi" w:eastAsia="Times New Roman" w:hAnsiTheme="minorHAnsi" w:cstheme="minorHAnsi"/>
                <w:b/>
                <w:bCs/>
                <w:color w:val="000000"/>
                <w:szCs w:val="24"/>
              </w:rPr>
              <w:t>White</w:t>
            </w:r>
          </w:p>
        </w:tc>
        <w:tc>
          <w:tcPr>
            <w:tcW w:w="999" w:type="pct"/>
            <w:noWrap/>
            <w:vAlign w:val="center"/>
          </w:tcPr>
          <w:p w14:paraId="7969A372" w14:textId="53B4CB3C"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49%</w:t>
            </w:r>
          </w:p>
        </w:tc>
        <w:tc>
          <w:tcPr>
            <w:tcW w:w="1001" w:type="pct"/>
            <w:noWrap/>
            <w:vAlign w:val="center"/>
          </w:tcPr>
          <w:p w14:paraId="64B0505C" w14:textId="566DC76F"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77%</w:t>
            </w:r>
          </w:p>
        </w:tc>
        <w:tc>
          <w:tcPr>
            <w:tcW w:w="872" w:type="pct"/>
            <w:noWrap/>
            <w:vAlign w:val="center"/>
          </w:tcPr>
          <w:p w14:paraId="5B07D4AD" w14:textId="3131081F"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29%</w:t>
            </w:r>
          </w:p>
        </w:tc>
        <w:tc>
          <w:tcPr>
            <w:tcW w:w="873" w:type="pct"/>
            <w:noWrap/>
            <w:vAlign w:val="center"/>
          </w:tcPr>
          <w:p w14:paraId="5676E955" w14:textId="659DD77D"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42%</w:t>
            </w:r>
          </w:p>
        </w:tc>
      </w:tr>
      <w:tr w:rsidR="00B50A40" w:rsidRPr="00E763FA" w14:paraId="0E466365" w14:textId="77777777" w:rsidTr="00B50A40">
        <w:trPr>
          <w:cantSplit/>
          <w:trHeight w:val="343"/>
        </w:trPr>
        <w:tc>
          <w:tcPr>
            <w:tcW w:w="1255" w:type="pct"/>
            <w:noWrap/>
          </w:tcPr>
          <w:p w14:paraId="448CCE58" w14:textId="1994F63E" w:rsidR="00B50A40" w:rsidRPr="00594B91" w:rsidRDefault="00B50A40" w:rsidP="00B50A40">
            <w:pPr>
              <w:spacing w:after="0" w:line="240" w:lineRule="auto"/>
              <w:rPr>
                <w:rFonts w:asciiTheme="minorHAnsi" w:eastAsia="Times New Roman" w:hAnsiTheme="minorHAnsi" w:cstheme="minorHAnsi"/>
                <w:b/>
                <w:bCs/>
                <w:color w:val="000000"/>
                <w:szCs w:val="24"/>
              </w:rPr>
            </w:pPr>
            <w:r w:rsidRPr="00594B91">
              <w:rPr>
                <w:rFonts w:asciiTheme="minorHAnsi" w:eastAsia="Times New Roman" w:hAnsiTheme="minorHAnsi" w:cstheme="minorHAnsi"/>
                <w:b/>
                <w:bCs/>
                <w:color w:val="000000"/>
                <w:szCs w:val="24"/>
              </w:rPr>
              <w:t>Hispanic</w:t>
            </w:r>
          </w:p>
        </w:tc>
        <w:tc>
          <w:tcPr>
            <w:tcW w:w="999" w:type="pct"/>
            <w:noWrap/>
            <w:vAlign w:val="center"/>
          </w:tcPr>
          <w:p w14:paraId="68D4D3F8" w14:textId="4139C402"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16%</w:t>
            </w:r>
          </w:p>
        </w:tc>
        <w:tc>
          <w:tcPr>
            <w:tcW w:w="1001" w:type="pct"/>
            <w:noWrap/>
            <w:vAlign w:val="center"/>
          </w:tcPr>
          <w:p w14:paraId="47D4AE4E" w14:textId="608FAAD3"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3%</w:t>
            </w:r>
          </w:p>
        </w:tc>
        <w:tc>
          <w:tcPr>
            <w:tcW w:w="872" w:type="pct"/>
            <w:noWrap/>
            <w:vAlign w:val="center"/>
          </w:tcPr>
          <w:p w14:paraId="452FBEAD" w14:textId="105E7DEE"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21%</w:t>
            </w:r>
          </w:p>
        </w:tc>
        <w:tc>
          <w:tcPr>
            <w:tcW w:w="873" w:type="pct"/>
            <w:noWrap/>
            <w:vAlign w:val="center"/>
          </w:tcPr>
          <w:p w14:paraId="53B2D29B" w14:textId="21F01010"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16%</w:t>
            </w:r>
          </w:p>
        </w:tc>
      </w:tr>
      <w:tr w:rsidR="00B50A40" w:rsidRPr="00E763FA" w14:paraId="67C6959C" w14:textId="77777777" w:rsidTr="00B50A40">
        <w:trPr>
          <w:cantSplit/>
          <w:trHeight w:val="343"/>
        </w:trPr>
        <w:tc>
          <w:tcPr>
            <w:tcW w:w="1255" w:type="pct"/>
            <w:noWrap/>
          </w:tcPr>
          <w:p w14:paraId="2109A5B5" w14:textId="5D993E09" w:rsidR="00B50A40" w:rsidRPr="00594B91" w:rsidRDefault="00B50A40" w:rsidP="00B50A40">
            <w:pPr>
              <w:spacing w:after="0" w:line="240" w:lineRule="auto"/>
              <w:rPr>
                <w:rFonts w:asciiTheme="minorHAnsi" w:eastAsia="Times New Roman" w:hAnsiTheme="minorHAnsi" w:cstheme="minorHAnsi"/>
                <w:b/>
                <w:bCs/>
                <w:color w:val="000000"/>
                <w:szCs w:val="24"/>
              </w:rPr>
            </w:pPr>
            <w:r w:rsidRPr="00594B91">
              <w:rPr>
                <w:rFonts w:asciiTheme="minorHAnsi" w:eastAsia="Times New Roman" w:hAnsiTheme="minorHAnsi" w:cstheme="minorHAnsi"/>
                <w:b/>
                <w:bCs/>
                <w:color w:val="000000"/>
                <w:szCs w:val="24"/>
              </w:rPr>
              <w:t>Asian or Pacific Islander</w:t>
            </w:r>
          </w:p>
        </w:tc>
        <w:tc>
          <w:tcPr>
            <w:tcW w:w="999" w:type="pct"/>
            <w:noWrap/>
            <w:vAlign w:val="center"/>
          </w:tcPr>
          <w:p w14:paraId="0A26CC1A" w14:textId="08FB5782"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9%</w:t>
            </w:r>
          </w:p>
        </w:tc>
        <w:tc>
          <w:tcPr>
            <w:tcW w:w="1001" w:type="pct"/>
            <w:noWrap/>
            <w:vAlign w:val="center"/>
          </w:tcPr>
          <w:p w14:paraId="0D70AF88" w14:textId="6D66D761"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4%</w:t>
            </w:r>
          </w:p>
        </w:tc>
        <w:tc>
          <w:tcPr>
            <w:tcW w:w="872" w:type="pct"/>
            <w:noWrap/>
            <w:vAlign w:val="center"/>
          </w:tcPr>
          <w:p w14:paraId="370A9CB8" w14:textId="5EBE13CA"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10%</w:t>
            </w:r>
          </w:p>
        </w:tc>
        <w:tc>
          <w:tcPr>
            <w:tcW w:w="873" w:type="pct"/>
            <w:noWrap/>
            <w:vAlign w:val="center"/>
          </w:tcPr>
          <w:p w14:paraId="2D2B0E0B" w14:textId="5F6A2E56"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13%</w:t>
            </w:r>
          </w:p>
        </w:tc>
      </w:tr>
      <w:tr w:rsidR="00B50A40" w:rsidRPr="00E763FA" w14:paraId="2F262933" w14:textId="77777777" w:rsidTr="00B50A40">
        <w:trPr>
          <w:cantSplit/>
          <w:trHeight w:val="343"/>
        </w:trPr>
        <w:tc>
          <w:tcPr>
            <w:tcW w:w="1255" w:type="pct"/>
            <w:noWrap/>
          </w:tcPr>
          <w:p w14:paraId="16E549AF" w14:textId="50625163" w:rsidR="00B50A40" w:rsidRPr="00594B91" w:rsidRDefault="00B50A40" w:rsidP="00B50A40">
            <w:pPr>
              <w:spacing w:after="0" w:line="240" w:lineRule="auto"/>
              <w:rPr>
                <w:rFonts w:asciiTheme="minorHAnsi" w:eastAsia="Times New Roman" w:hAnsiTheme="minorHAnsi" w:cstheme="minorHAnsi"/>
                <w:b/>
                <w:bCs/>
                <w:color w:val="000000"/>
                <w:szCs w:val="24"/>
              </w:rPr>
            </w:pPr>
            <w:r w:rsidRPr="00594B91">
              <w:rPr>
                <w:rFonts w:asciiTheme="minorHAnsi" w:eastAsia="Times New Roman" w:hAnsiTheme="minorHAnsi" w:cstheme="minorHAnsi"/>
                <w:b/>
                <w:bCs/>
                <w:color w:val="000000"/>
                <w:szCs w:val="24"/>
              </w:rPr>
              <w:t>Black</w:t>
            </w:r>
          </w:p>
        </w:tc>
        <w:tc>
          <w:tcPr>
            <w:tcW w:w="999" w:type="pct"/>
            <w:noWrap/>
            <w:vAlign w:val="center"/>
          </w:tcPr>
          <w:p w14:paraId="75487B30" w14:textId="467AB4E9"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6%</w:t>
            </w:r>
          </w:p>
        </w:tc>
        <w:tc>
          <w:tcPr>
            <w:tcW w:w="1001" w:type="pct"/>
            <w:noWrap/>
            <w:vAlign w:val="center"/>
          </w:tcPr>
          <w:p w14:paraId="78AADE9D" w14:textId="04B0FCDD"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3%</w:t>
            </w:r>
          </w:p>
        </w:tc>
        <w:tc>
          <w:tcPr>
            <w:tcW w:w="872" w:type="pct"/>
            <w:noWrap/>
            <w:vAlign w:val="center"/>
          </w:tcPr>
          <w:p w14:paraId="4E2B28BE" w14:textId="05EFF9A4"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18%</w:t>
            </w:r>
          </w:p>
        </w:tc>
        <w:tc>
          <w:tcPr>
            <w:tcW w:w="873" w:type="pct"/>
            <w:noWrap/>
            <w:vAlign w:val="center"/>
          </w:tcPr>
          <w:p w14:paraId="68C6D6AA" w14:textId="115FA7C1"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11%</w:t>
            </w:r>
          </w:p>
        </w:tc>
      </w:tr>
      <w:tr w:rsidR="00B50A40" w:rsidRPr="00E763FA" w14:paraId="1AAB24E2" w14:textId="77777777" w:rsidTr="00B50A40">
        <w:trPr>
          <w:cantSplit/>
          <w:trHeight w:val="343"/>
        </w:trPr>
        <w:tc>
          <w:tcPr>
            <w:tcW w:w="1255" w:type="pct"/>
            <w:noWrap/>
          </w:tcPr>
          <w:p w14:paraId="374EC683" w14:textId="30F3E1DE" w:rsidR="00B50A40" w:rsidRPr="00594B91" w:rsidRDefault="00B50A40" w:rsidP="00B50A40">
            <w:pPr>
              <w:spacing w:after="0" w:line="240" w:lineRule="auto"/>
              <w:rPr>
                <w:rFonts w:asciiTheme="minorHAnsi" w:eastAsia="Times New Roman" w:hAnsiTheme="minorHAnsi" w:cstheme="minorHAnsi"/>
                <w:b/>
                <w:bCs/>
                <w:color w:val="000000"/>
                <w:szCs w:val="24"/>
              </w:rPr>
            </w:pPr>
            <w:r w:rsidRPr="00594B91">
              <w:rPr>
                <w:rFonts w:asciiTheme="minorHAnsi" w:eastAsia="Times New Roman" w:hAnsiTheme="minorHAnsi" w:cstheme="minorHAnsi"/>
                <w:b/>
                <w:bCs/>
                <w:color w:val="000000"/>
                <w:szCs w:val="24"/>
              </w:rPr>
              <w:lastRenderedPageBreak/>
              <w:t>Other</w:t>
            </w:r>
          </w:p>
        </w:tc>
        <w:tc>
          <w:tcPr>
            <w:tcW w:w="999" w:type="pct"/>
            <w:noWrap/>
            <w:vAlign w:val="center"/>
          </w:tcPr>
          <w:p w14:paraId="64225CEA" w14:textId="3FD8C501"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0%</w:t>
            </w:r>
          </w:p>
        </w:tc>
        <w:tc>
          <w:tcPr>
            <w:tcW w:w="1001" w:type="pct"/>
            <w:noWrap/>
            <w:vAlign w:val="center"/>
          </w:tcPr>
          <w:p w14:paraId="1553683C" w14:textId="0526F32A"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1%</w:t>
            </w:r>
          </w:p>
        </w:tc>
        <w:tc>
          <w:tcPr>
            <w:tcW w:w="872" w:type="pct"/>
            <w:noWrap/>
            <w:vAlign w:val="center"/>
          </w:tcPr>
          <w:p w14:paraId="3BD27680" w14:textId="60FA35C8"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0%</w:t>
            </w:r>
          </w:p>
        </w:tc>
        <w:tc>
          <w:tcPr>
            <w:tcW w:w="873" w:type="pct"/>
            <w:noWrap/>
            <w:vAlign w:val="center"/>
          </w:tcPr>
          <w:p w14:paraId="1418E8E4" w14:textId="5E517CDD"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1%</w:t>
            </w:r>
          </w:p>
        </w:tc>
      </w:tr>
      <w:tr w:rsidR="00B50A40" w:rsidRPr="00E763FA" w14:paraId="2D747D99" w14:textId="77777777" w:rsidTr="00B50A40">
        <w:trPr>
          <w:cantSplit/>
          <w:trHeight w:val="343"/>
        </w:trPr>
        <w:tc>
          <w:tcPr>
            <w:tcW w:w="1255" w:type="pct"/>
            <w:noWrap/>
          </w:tcPr>
          <w:p w14:paraId="41A4E2EE" w14:textId="028ED409" w:rsidR="00B50A40" w:rsidRPr="00594B91" w:rsidRDefault="00B50A40" w:rsidP="00B50A40">
            <w:pPr>
              <w:spacing w:after="0" w:line="240" w:lineRule="auto"/>
              <w:rPr>
                <w:rFonts w:asciiTheme="minorHAnsi" w:eastAsia="Times New Roman" w:hAnsiTheme="minorHAnsi" w:cstheme="minorHAnsi"/>
                <w:b/>
                <w:bCs/>
                <w:color w:val="000000"/>
                <w:szCs w:val="24"/>
              </w:rPr>
            </w:pPr>
            <w:r w:rsidRPr="00594B91">
              <w:rPr>
                <w:rFonts w:asciiTheme="minorHAnsi" w:eastAsia="Times New Roman" w:hAnsiTheme="minorHAnsi" w:cstheme="minorHAnsi"/>
                <w:b/>
                <w:bCs/>
                <w:color w:val="000000"/>
                <w:szCs w:val="24"/>
              </w:rPr>
              <w:t>Unknown</w:t>
            </w:r>
          </w:p>
        </w:tc>
        <w:tc>
          <w:tcPr>
            <w:tcW w:w="999" w:type="pct"/>
            <w:noWrap/>
            <w:vAlign w:val="center"/>
          </w:tcPr>
          <w:p w14:paraId="6DA28E43" w14:textId="63F108B8"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20%</w:t>
            </w:r>
          </w:p>
        </w:tc>
        <w:tc>
          <w:tcPr>
            <w:tcW w:w="1001" w:type="pct"/>
            <w:noWrap/>
            <w:vAlign w:val="center"/>
          </w:tcPr>
          <w:p w14:paraId="10389D53" w14:textId="29B89D83"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12%</w:t>
            </w:r>
          </w:p>
        </w:tc>
        <w:tc>
          <w:tcPr>
            <w:tcW w:w="872" w:type="pct"/>
            <w:noWrap/>
            <w:vAlign w:val="center"/>
          </w:tcPr>
          <w:p w14:paraId="66F82BBA" w14:textId="3BF52A8B"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21%</w:t>
            </w:r>
          </w:p>
        </w:tc>
        <w:tc>
          <w:tcPr>
            <w:tcW w:w="873" w:type="pct"/>
            <w:noWrap/>
            <w:vAlign w:val="center"/>
          </w:tcPr>
          <w:p w14:paraId="59B26FB6" w14:textId="4B41307F" w:rsidR="00B50A40" w:rsidRPr="00E763FA" w:rsidRDefault="00B50A40" w:rsidP="00B50A40">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17%</w:t>
            </w:r>
          </w:p>
        </w:tc>
      </w:tr>
    </w:tbl>
    <w:p w14:paraId="5E2FAA7B" w14:textId="77777777" w:rsidR="00E10A43" w:rsidRPr="004F4988" w:rsidRDefault="00E10A43" w:rsidP="00E10A43">
      <w:pPr>
        <w:pStyle w:val="NoSpacing"/>
        <w:rPr>
          <w:rFonts w:asciiTheme="minorHAnsi" w:hAnsiTheme="minorHAnsi" w:cstheme="minorHAnsi"/>
          <w:bCs/>
          <w:szCs w:val="24"/>
        </w:rPr>
      </w:pPr>
      <w:r w:rsidRPr="004F4988">
        <w:rPr>
          <w:rFonts w:asciiTheme="minorHAnsi" w:hAnsiTheme="minorHAnsi" w:cstheme="minorHAnsi"/>
          <w:bCs/>
          <w:szCs w:val="24"/>
        </w:rPr>
        <w:t>ASC excluded due to volume &lt;11</w:t>
      </w:r>
    </w:p>
    <w:p w14:paraId="2F8DA967" w14:textId="370BE3D1" w:rsidR="00E544F2" w:rsidRPr="004F4988" w:rsidRDefault="00E544F2" w:rsidP="00E10A43">
      <w:pPr>
        <w:pStyle w:val="NoSpacing"/>
        <w:rPr>
          <w:rFonts w:asciiTheme="minorHAnsi" w:hAnsiTheme="minorHAnsi" w:cstheme="minorHAnsi"/>
          <w:bCs/>
          <w:szCs w:val="24"/>
        </w:rPr>
      </w:pPr>
      <w:r w:rsidRPr="004F4988">
        <w:rPr>
          <w:rFonts w:asciiTheme="minorHAnsi" w:hAnsiTheme="minorHAnsi" w:cstheme="minorHAnsi"/>
          <w:bCs/>
          <w:szCs w:val="24"/>
        </w:rPr>
        <w:t>Source: Komodo Claims Data 2024</w:t>
      </w:r>
    </w:p>
    <w:p w14:paraId="7105A29A" w14:textId="77777777" w:rsidR="00E45E85" w:rsidRPr="00E45E85" w:rsidRDefault="00E45E85" w:rsidP="00E45E85">
      <w:pPr>
        <w:pStyle w:val="ListParagraph"/>
        <w:rPr>
          <w:rFonts w:cstheme="minorHAnsi"/>
          <w:b/>
          <w:szCs w:val="24"/>
        </w:rPr>
      </w:pPr>
    </w:p>
    <w:p w14:paraId="51FFCAF2" w14:textId="7C49D844" w:rsidR="00E45E85" w:rsidRPr="00E45E85" w:rsidRDefault="002344DC" w:rsidP="002344DC">
      <w:pPr>
        <w:pStyle w:val="ListParagraph"/>
        <w:numPr>
          <w:ilvl w:val="0"/>
          <w:numId w:val="32"/>
        </w:numPr>
        <w:rPr>
          <w:rFonts w:cstheme="minorHAnsi"/>
          <w:b/>
          <w:szCs w:val="24"/>
        </w:rPr>
      </w:pPr>
      <w:r w:rsidRPr="002344DC">
        <w:rPr>
          <w:rFonts w:cstheme="minorHAnsi"/>
          <w:b/>
          <w:sz w:val="24"/>
          <w:szCs w:val="32"/>
        </w:rPr>
        <w:t>Category 2</w:t>
      </w:r>
      <w:r w:rsidR="00E45E85">
        <w:rPr>
          <w:rFonts w:cstheme="minorHAnsi"/>
          <w:b/>
          <w:sz w:val="24"/>
          <w:szCs w:val="32"/>
        </w:rPr>
        <w:t xml:space="preserve"> (PSA)</w:t>
      </w:r>
    </w:p>
    <w:p w14:paraId="5D6CA772" w14:textId="77777777" w:rsidR="00E45E85" w:rsidRPr="00E45E85" w:rsidRDefault="00E45E85" w:rsidP="00E45E85">
      <w:pPr>
        <w:pStyle w:val="ListParagraph"/>
        <w:rPr>
          <w:rFonts w:cstheme="minorHAnsi"/>
          <w:b/>
          <w:szCs w:val="24"/>
        </w:rPr>
      </w:pPr>
    </w:p>
    <w:p w14:paraId="14FFC229" w14:textId="35A77B1B" w:rsidR="002344DC" w:rsidRPr="002344DC" w:rsidRDefault="002344DC" w:rsidP="00E45E85">
      <w:pPr>
        <w:pStyle w:val="ListParagraph"/>
        <w:numPr>
          <w:ilvl w:val="1"/>
          <w:numId w:val="32"/>
        </w:numPr>
        <w:rPr>
          <w:rFonts w:cstheme="minorHAnsi"/>
          <w:b/>
          <w:szCs w:val="24"/>
        </w:rPr>
      </w:pPr>
      <w:r w:rsidRPr="002344DC">
        <w:rPr>
          <w:rFonts w:cstheme="minorHAnsi"/>
          <w:b/>
          <w:sz w:val="24"/>
          <w:szCs w:val="32"/>
        </w:rPr>
        <w:t xml:space="preserve">CY </w:t>
      </w:r>
      <w:r w:rsidR="004F4988" w:rsidRPr="002344DC">
        <w:rPr>
          <w:rFonts w:cstheme="minorHAnsi"/>
          <w:b/>
          <w:sz w:val="24"/>
          <w:szCs w:val="32"/>
        </w:rPr>
        <w:t>2024 Volume</w:t>
      </w:r>
      <w:r w:rsidRPr="002344DC">
        <w:rPr>
          <w:rFonts w:cstheme="minorHAnsi"/>
          <w:b/>
          <w:sz w:val="24"/>
          <w:szCs w:val="32"/>
        </w:rPr>
        <w:t xml:space="preserve"> by Setting Age Group and Payor  </w:t>
      </w:r>
    </w:p>
    <w:p w14:paraId="212E7229" w14:textId="77777777" w:rsidR="002344DC" w:rsidRDefault="002344DC">
      <w:pPr>
        <w:pStyle w:val="DocID"/>
        <w:rPr>
          <w:rFonts w:asciiTheme="minorHAnsi" w:hAnsiTheme="minorHAnsi" w:cstheme="minorHAnsi"/>
          <w:b/>
          <w:szCs w:val="24"/>
        </w:rPr>
      </w:pPr>
    </w:p>
    <w:tbl>
      <w:tblPr>
        <w:tblStyle w:val="TableGrid"/>
        <w:tblW w:w="4197" w:type="pct"/>
        <w:tblInd w:w="-113" w:type="dxa"/>
        <w:tblLayout w:type="fixed"/>
        <w:tblLook w:val="04A0" w:firstRow="1" w:lastRow="0" w:firstColumn="1" w:lastColumn="0" w:noHBand="0" w:noVBand="1"/>
        <w:tblCaption w:val=" 2024 Volume by Setting Age Group and Payor  "/>
      </w:tblPr>
      <w:tblGrid>
        <w:gridCol w:w="1224"/>
        <w:gridCol w:w="931"/>
        <w:gridCol w:w="1460"/>
        <w:gridCol w:w="1406"/>
        <w:gridCol w:w="1388"/>
        <w:gridCol w:w="1439"/>
      </w:tblGrid>
      <w:tr w:rsidR="00BD524F" w:rsidRPr="004F4988" w14:paraId="5AB0428A" w14:textId="77777777" w:rsidTr="00BD524F">
        <w:trPr>
          <w:cantSplit/>
          <w:tblHeader/>
        </w:trPr>
        <w:tc>
          <w:tcPr>
            <w:tcW w:w="780" w:type="pct"/>
            <w:shd w:val="clear" w:color="auto" w:fill="DBE5F1" w:themeFill="accent1" w:themeFillTint="33"/>
          </w:tcPr>
          <w:p w14:paraId="0E37CBF4" w14:textId="77777777" w:rsidR="00BD524F" w:rsidRPr="004F4988" w:rsidRDefault="00BD524F" w:rsidP="00BD524F">
            <w:pPr>
              <w:jc w:val="center"/>
              <w:rPr>
                <w:rFonts w:asciiTheme="minorHAnsi" w:hAnsiTheme="minorHAnsi" w:cstheme="minorHAnsi"/>
                <w:b/>
                <w:szCs w:val="24"/>
              </w:rPr>
            </w:pPr>
            <w:r w:rsidRPr="004F4988">
              <w:rPr>
                <w:rFonts w:asciiTheme="minorHAnsi" w:hAnsiTheme="minorHAnsi" w:cstheme="minorHAnsi"/>
                <w:b/>
                <w:szCs w:val="24"/>
              </w:rPr>
              <w:t>Setting</w:t>
            </w:r>
          </w:p>
        </w:tc>
        <w:tc>
          <w:tcPr>
            <w:tcW w:w="593" w:type="pct"/>
            <w:shd w:val="clear" w:color="auto" w:fill="DBE5F1" w:themeFill="accent1" w:themeFillTint="33"/>
          </w:tcPr>
          <w:p w14:paraId="0D981793" w14:textId="77777777" w:rsidR="00BD524F" w:rsidRPr="004F4988" w:rsidRDefault="00BD524F" w:rsidP="00BD524F">
            <w:pPr>
              <w:jc w:val="center"/>
              <w:rPr>
                <w:rFonts w:asciiTheme="minorHAnsi" w:hAnsiTheme="minorHAnsi" w:cstheme="minorHAnsi"/>
                <w:b/>
                <w:szCs w:val="24"/>
              </w:rPr>
            </w:pPr>
            <w:r w:rsidRPr="004F4988">
              <w:rPr>
                <w:rFonts w:asciiTheme="minorHAnsi" w:hAnsiTheme="minorHAnsi" w:cstheme="minorHAnsi"/>
                <w:b/>
                <w:szCs w:val="24"/>
              </w:rPr>
              <w:t>Age Group</w:t>
            </w:r>
          </w:p>
        </w:tc>
        <w:tc>
          <w:tcPr>
            <w:tcW w:w="930" w:type="pct"/>
            <w:shd w:val="clear" w:color="auto" w:fill="DBE5F1" w:themeFill="accent1" w:themeFillTint="33"/>
          </w:tcPr>
          <w:p w14:paraId="4B0EFCFC" w14:textId="77777777" w:rsidR="00BD524F" w:rsidRPr="004F4988" w:rsidRDefault="00BD524F" w:rsidP="00BD524F">
            <w:pPr>
              <w:jc w:val="center"/>
              <w:rPr>
                <w:rFonts w:asciiTheme="minorHAnsi" w:hAnsiTheme="minorHAnsi" w:cstheme="minorHAnsi"/>
                <w:b/>
                <w:szCs w:val="24"/>
              </w:rPr>
            </w:pPr>
            <w:r w:rsidRPr="004F4988">
              <w:rPr>
                <w:rFonts w:asciiTheme="minorHAnsi" w:hAnsiTheme="minorHAnsi" w:cstheme="minorHAnsi"/>
                <w:b/>
                <w:szCs w:val="24"/>
              </w:rPr>
              <w:t>Commercial</w:t>
            </w:r>
          </w:p>
        </w:tc>
        <w:tc>
          <w:tcPr>
            <w:tcW w:w="896" w:type="pct"/>
            <w:shd w:val="clear" w:color="auto" w:fill="DBE5F1" w:themeFill="accent1" w:themeFillTint="33"/>
          </w:tcPr>
          <w:p w14:paraId="1ECD2444" w14:textId="37DEE0A6" w:rsidR="00BD524F" w:rsidRPr="004F4988" w:rsidRDefault="00BD524F" w:rsidP="00BD524F">
            <w:pPr>
              <w:jc w:val="center"/>
              <w:rPr>
                <w:rFonts w:asciiTheme="minorHAnsi" w:hAnsiTheme="minorHAnsi" w:cstheme="minorHAnsi"/>
                <w:b/>
                <w:szCs w:val="24"/>
              </w:rPr>
            </w:pPr>
            <w:r w:rsidRPr="004F4988">
              <w:rPr>
                <w:rFonts w:asciiTheme="minorHAnsi" w:hAnsiTheme="minorHAnsi" w:cstheme="minorHAnsi"/>
                <w:b/>
                <w:szCs w:val="24"/>
              </w:rPr>
              <w:t>Commercial</w:t>
            </w:r>
          </w:p>
        </w:tc>
        <w:tc>
          <w:tcPr>
            <w:tcW w:w="884" w:type="pct"/>
            <w:shd w:val="clear" w:color="auto" w:fill="DBE5F1" w:themeFill="accent1" w:themeFillTint="33"/>
          </w:tcPr>
          <w:p w14:paraId="1477C912" w14:textId="77777777" w:rsidR="00BD524F" w:rsidRPr="004F4988" w:rsidRDefault="00BD524F" w:rsidP="00BD524F">
            <w:pPr>
              <w:jc w:val="center"/>
              <w:rPr>
                <w:rFonts w:asciiTheme="minorHAnsi" w:hAnsiTheme="minorHAnsi" w:cstheme="minorHAnsi"/>
                <w:b/>
                <w:szCs w:val="24"/>
              </w:rPr>
            </w:pPr>
            <w:r w:rsidRPr="004F4988">
              <w:rPr>
                <w:rFonts w:asciiTheme="minorHAnsi" w:hAnsiTheme="minorHAnsi" w:cstheme="minorHAnsi"/>
                <w:b/>
                <w:szCs w:val="24"/>
              </w:rPr>
              <w:t>Medicaid</w:t>
            </w:r>
          </w:p>
        </w:tc>
        <w:tc>
          <w:tcPr>
            <w:tcW w:w="917" w:type="pct"/>
            <w:shd w:val="clear" w:color="auto" w:fill="DBE5F1" w:themeFill="accent1" w:themeFillTint="33"/>
          </w:tcPr>
          <w:p w14:paraId="3EF51194" w14:textId="49704A8C" w:rsidR="00BD524F" w:rsidRPr="004F4988" w:rsidRDefault="00BD524F" w:rsidP="00BD524F">
            <w:pPr>
              <w:jc w:val="center"/>
              <w:rPr>
                <w:rFonts w:asciiTheme="minorHAnsi" w:hAnsiTheme="minorHAnsi" w:cstheme="minorHAnsi"/>
                <w:b/>
                <w:szCs w:val="24"/>
              </w:rPr>
            </w:pPr>
            <w:r w:rsidRPr="004F4988">
              <w:rPr>
                <w:rFonts w:asciiTheme="minorHAnsi" w:hAnsiTheme="minorHAnsi" w:cstheme="minorHAnsi"/>
                <w:b/>
                <w:szCs w:val="24"/>
              </w:rPr>
              <w:t>Medicaid</w:t>
            </w:r>
          </w:p>
        </w:tc>
      </w:tr>
      <w:tr w:rsidR="00BD524F" w:rsidRPr="004F4988" w14:paraId="5483F6E4" w14:textId="77777777" w:rsidTr="00BD524F">
        <w:trPr>
          <w:cantSplit/>
        </w:trPr>
        <w:tc>
          <w:tcPr>
            <w:tcW w:w="780" w:type="pct"/>
          </w:tcPr>
          <w:p w14:paraId="36F597ED" w14:textId="77777777" w:rsidR="00BD524F" w:rsidRPr="004F4988" w:rsidRDefault="00BD524F" w:rsidP="00BD524F">
            <w:pPr>
              <w:rPr>
                <w:rFonts w:asciiTheme="minorHAnsi" w:hAnsiTheme="minorHAnsi" w:cstheme="minorHAnsi"/>
                <w:b/>
                <w:szCs w:val="24"/>
              </w:rPr>
            </w:pPr>
            <w:r w:rsidRPr="004F4988">
              <w:rPr>
                <w:rFonts w:asciiTheme="minorHAnsi" w:hAnsiTheme="minorHAnsi" w:cstheme="minorHAnsi"/>
                <w:b/>
                <w:szCs w:val="24"/>
              </w:rPr>
              <w:t>ASC</w:t>
            </w:r>
          </w:p>
        </w:tc>
        <w:tc>
          <w:tcPr>
            <w:tcW w:w="593" w:type="pct"/>
          </w:tcPr>
          <w:p w14:paraId="06D2393D" w14:textId="77777777" w:rsidR="00BD524F" w:rsidRPr="004F4988" w:rsidRDefault="00BD524F" w:rsidP="00BD524F">
            <w:pPr>
              <w:rPr>
                <w:rFonts w:asciiTheme="minorHAnsi" w:hAnsiTheme="minorHAnsi" w:cstheme="minorHAnsi"/>
                <w:bCs/>
                <w:szCs w:val="24"/>
              </w:rPr>
            </w:pPr>
            <w:r w:rsidRPr="004F4988">
              <w:rPr>
                <w:rFonts w:asciiTheme="minorHAnsi" w:hAnsiTheme="minorHAnsi" w:cstheme="minorHAnsi"/>
                <w:bCs/>
                <w:szCs w:val="24"/>
              </w:rPr>
              <w:t>0-10</w:t>
            </w:r>
          </w:p>
        </w:tc>
        <w:tc>
          <w:tcPr>
            <w:tcW w:w="930" w:type="pct"/>
          </w:tcPr>
          <w:p w14:paraId="49EAA057" w14:textId="3516DE30"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5,027</w:t>
            </w:r>
          </w:p>
        </w:tc>
        <w:tc>
          <w:tcPr>
            <w:tcW w:w="896" w:type="pct"/>
          </w:tcPr>
          <w:p w14:paraId="491618E0" w14:textId="77777777"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8.3%</w:t>
            </w:r>
          </w:p>
        </w:tc>
        <w:tc>
          <w:tcPr>
            <w:tcW w:w="884" w:type="pct"/>
          </w:tcPr>
          <w:p w14:paraId="6FC51919" w14:textId="7FAEECEF"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244</w:t>
            </w:r>
          </w:p>
        </w:tc>
        <w:tc>
          <w:tcPr>
            <w:tcW w:w="917" w:type="pct"/>
          </w:tcPr>
          <w:p w14:paraId="7760B81C" w14:textId="77777777"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.5%</w:t>
            </w:r>
          </w:p>
        </w:tc>
      </w:tr>
      <w:tr w:rsidR="00BD524F" w:rsidRPr="004F4988" w14:paraId="5721C794" w14:textId="77777777" w:rsidTr="00BD524F">
        <w:trPr>
          <w:cantSplit/>
        </w:trPr>
        <w:tc>
          <w:tcPr>
            <w:tcW w:w="780" w:type="pct"/>
          </w:tcPr>
          <w:p w14:paraId="65A3783F" w14:textId="02FAD452" w:rsidR="00BD524F" w:rsidRPr="004F4988" w:rsidRDefault="00BD524F" w:rsidP="00BD524F">
            <w:pPr>
              <w:rPr>
                <w:rFonts w:asciiTheme="minorHAnsi" w:hAnsiTheme="minorHAnsi" w:cstheme="minorHAnsi"/>
                <w:b/>
                <w:szCs w:val="24"/>
              </w:rPr>
            </w:pPr>
            <w:r w:rsidRPr="008D6689">
              <w:rPr>
                <w:rFonts w:asciiTheme="minorHAnsi" w:hAnsiTheme="minorHAnsi" w:cstheme="minorHAnsi"/>
                <w:b/>
                <w:szCs w:val="24"/>
              </w:rPr>
              <w:t>n/a</w:t>
            </w:r>
          </w:p>
        </w:tc>
        <w:tc>
          <w:tcPr>
            <w:tcW w:w="593" w:type="pct"/>
          </w:tcPr>
          <w:p w14:paraId="4B48E68C" w14:textId="77777777" w:rsidR="00BD524F" w:rsidRPr="004F4988" w:rsidRDefault="00BD524F" w:rsidP="00BD524F">
            <w:pPr>
              <w:rPr>
                <w:rFonts w:asciiTheme="minorHAnsi" w:hAnsiTheme="minorHAnsi" w:cstheme="minorHAnsi"/>
                <w:bCs/>
                <w:szCs w:val="24"/>
              </w:rPr>
            </w:pPr>
            <w:r w:rsidRPr="004F4988">
              <w:rPr>
                <w:rFonts w:asciiTheme="minorHAnsi" w:hAnsiTheme="minorHAnsi" w:cstheme="minorHAnsi"/>
                <w:bCs/>
                <w:szCs w:val="24"/>
              </w:rPr>
              <w:t>11-21</w:t>
            </w:r>
          </w:p>
        </w:tc>
        <w:tc>
          <w:tcPr>
            <w:tcW w:w="930" w:type="pct"/>
          </w:tcPr>
          <w:p w14:paraId="46C164A5" w14:textId="369EAFC6"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361</w:t>
            </w:r>
          </w:p>
        </w:tc>
        <w:tc>
          <w:tcPr>
            <w:tcW w:w="896" w:type="pct"/>
          </w:tcPr>
          <w:p w14:paraId="043EFB57" w14:textId="77777777"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.6%</w:t>
            </w:r>
          </w:p>
        </w:tc>
        <w:tc>
          <w:tcPr>
            <w:tcW w:w="884" w:type="pct"/>
          </w:tcPr>
          <w:p w14:paraId="7F3CF392" w14:textId="65615D0D"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16</w:t>
            </w:r>
          </w:p>
        </w:tc>
        <w:tc>
          <w:tcPr>
            <w:tcW w:w="917" w:type="pct"/>
          </w:tcPr>
          <w:p w14:paraId="6059265E" w14:textId="77777777"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.03%</w:t>
            </w:r>
          </w:p>
        </w:tc>
      </w:tr>
      <w:tr w:rsidR="00BD524F" w:rsidRPr="004F4988" w14:paraId="62F2B635" w14:textId="77777777" w:rsidTr="00BD524F">
        <w:trPr>
          <w:cantSplit/>
        </w:trPr>
        <w:tc>
          <w:tcPr>
            <w:tcW w:w="780" w:type="pct"/>
            <w:shd w:val="clear" w:color="auto" w:fill="DBE5F1" w:themeFill="accent1" w:themeFillTint="33"/>
          </w:tcPr>
          <w:p w14:paraId="45F25407" w14:textId="6BAFEF5B" w:rsidR="00BD524F" w:rsidRPr="004F4988" w:rsidRDefault="00BD524F" w:rsidP="00BD524F">
            <w:pPr>
              <w:rPr>
                <w:rFonts w:asciiTheme="minorHAnsi" w:hAnsiTheme="minorHAnsi" w:cstheme="minorHAnsi"/>
                <w:b/>
                <w:szCs w:val="24"/>
              </w:rPr>
            </w:pPr>
            <w:r w:rsidRPr="008D6689">
              <w:rPr>
                <w:rFonts w:asciiTheme="minorHAnsi" w:hAnsiTheme="minorHAnsi" w:cstheme="minorHAnsi"/>
                <w:b/>
                <w:szCs w:val="24"/>
              </w:rPr>
              <w:t>n/a</w:t>
            </w:r>
          </w:p>
        </w:tc>
        <w:tc>
          <w:tcPr>
            <w:tcW w:w="593" w:type="pct"/>
            <w:shd w:val="clear" w:color="auto" w:fill="DBE5F1" w:themeFill="accent1" w:themeFillTint="33"/>
          </w:tcPr>
          <w:p w14:paraId="7C8E7385" w14:textId="77777777" w:rsidR="00BD524F" w:rsidRPr="004F4988" w:rsidRDefault="00BD524F" w:rsidP="00BD524F">
            <w:pPr>
              <w:rPr>
                <w:rFonts w:asciiTheme="minorHAnsi" w:hAnsiTheme="minorHAnsi" w:cstheme="minorHAnsi"/>
                <w:b/>
                <w:szCs w:val="24"/>
              </w:rPr>
            </w:pPr>
            <w:r w:rsidRPr="004F4988">
              <w:rPr>
                <w:rFonts w:asciiTheme="minorHAnsi" w:hAnsiTheme="minorHAnsi" w:cstheme="minorHAnsi"/>
                <w:b/>
                <w:szCs w:val="24"/>
              </w:rPr>
              <w:t>Total</w:t>
            </w:r>
          </w:p>
        </w:tc>
        <w:tc>
          <w:tcPr>
            <w:tcW w:w="930" w:type="pct"/>
            <w:shd w:val="clear" w:color="auto" w:fill="DBE5F1" w:themeFill="accent1" w:themeFillTint="33"/>
          </w:tcPr>
          <w:p w14:paraId="7FF2B37E" w14:textId="73C4ABED" w:rsidR="00BD524F" w:rsidRPr="004F4988" w:rsidRDefault="00BD524F" w:rsidP="00BD524F">
            <w:pPr>
              <w:jc w:val="right"/>
              <w:rPr>
                <w:rFonts w:asciiTheme="minorHAnsi" w:hAnsiTheme="minorHAnsi" w:cstheme="minorHAnsi"/>
                <w:b/>
                <w:szCs w:val="24"/>
              </w:rPr>
            </w:pPr>
            <w:r w:rsidRPr="004F4988">
              <w:rPr>
                <w:rFonts w:asciiTheme="minorHAnsi" w:hAnsiTheme="minorHAnsi" w:cstheme="minorHAnsi"/>
                <w:b/>
                <w:szCs w:val="24"/>
              </w:rPr>
              <w:t>5,338</w:t>
            </w:r>
          </w:p>
        </w:tc>
        <w:tc>
          <w:tcPr>
            <w:tcW w:w="896" w:type="pct"/>
            <w:shd w:val="clear" w:color="auto" w:fill="DBE5F1" w:themeFill="accent1" w:themeFillTint="33"/>
          </w:tcPr>
          <w:p w14:paraId="1CDCE47C" w14:textId="77777777" w:rsidR="00BD524F" w:rsidRPr="004F4988" w:rsidRDefault="00BD524F" w:rsidP="00BD524F">
            <w:pPr>
              <w:jc w:val="right"/>
              <w:rPr>
                <w:rFonts w:asciiTheme="minorHAnsi" w:hAnsiTheme="minorHAnsi" w:cstheme="minorHAnsi"/>
                <w:b/>
                <w:szCs w:val="24"/>
              </w:rPr>
            </w:pPr>
            <w:r w:rsidRPr="004F4988">
              <w:rPr>
                <w:rFonts w:asciiTheme="minorHAnsi" w:hAnsiTheme="minorHAnsi" w:cstheme="minorHAnsi"/>
                <w:b/>
                <w:szCs w:val="24"/>
              </w:rPr>
              <w:t>8.9%</w:t>
            </w:r>
          </w:p>
        </w:tc>
        <w:tc>
          <w:tcPr>
            <w:tcW w:w="884" w:type="pct"/>
            <w:shd w:val="clear" w:color="auto" w:fill="DBE5F1" w:themeFill="accent1" w:themeFillTint="33"/>
          </w:tcPr>
          <w:p w14:paraId="61361853" w14:textId="015BA8D9" w:rsidR="00BD524F" w:rsidRPr="004F4988" w:rsidRDefault="00BD524F" w:rsidP="00BD524F">
            <w:pPr>
              <w:jc w:val="right"/>
              <w:rPr>
                <w:rFonts w:asciiTheme="minorHAnsi" w:hAnsiTheme="minorHAnsi" w:cstheme="minorHAnsi"/>
                <w:b/>
                <w:szCs w:val="24"/>
              </w:rPr>
            </w:pPr>
            <w:r w:rsidRPr="004F4988">
              <w:rPr>
                <w:rFonts w:asciiTheme="minorHAnsi" w:hAnsiTheme="minorHAnsi" w:cstheme="minorHAnsi"/>
                <w:b/>
                <w:szCs w:val="24"/>
              </w:rPr>
              <w:t>260</w:t>
            </w:r>
          </w:p>
        </w:tc>
        <w:tc>
          <w:tcPr>
            <w:tcW w:w="917" w:type="pct"/>
            <w:shd w:val="clear" w:color="auto" w:fill="DBE5F1" w:themeFill="accent1" w:themeFillTint="33"/>
          </w:tcPr>
          <w:p w14:paraId="73501997" w14:textId="77777777" w:rsidR="00BD524F" w:rsidRPr="004F4988" w:rsidRDefault="00BD524F" w:rsidP="00BD524F">
            <w:pPr>
              <w:jc w:val="right"/>
              <w:rPr>
                <w:rFonts w:asciiTheme="minorHAnsi" w:hAnsiTheme="minorHAnsi" w:cstheme="minorHAnsi"/>
                <w:b/>
                <w:szCs w:val="24"/>
              </w:rPr>
            </w:pPr>
            <w:r w:rsidRPr="004F4988">
              <w:rPr>
                <w:rFonts w:asciiTheme="minorHAnsi" w:hAnsiTheme="minorHAnsi" w:cstheme="minorHAnsi"/>
                <w:b/>
                <w:szCs w:val="24"/>
              </w:rPr>
              <w:t>.6%</w:t>
            </w:r>
          </w:p>
        </w:tc>
      </w:tr>
      <w:tr w:rsidR="00BD524F" w:rsidRPr="004F4988" w14:paraId="5DBBD7A3" w14:textId="77777777" w:rsidTr="00BD524F">
        <w:trPr>
          <w:cantSplit/>
        </w:trPr>
        <w:tc>
          <w:tcPr>
            <w:tcW w:w="780" w:type="pct"/>
          </w:tcPr>
          <w:p w14:paraId="1444EEF1" w14:textId="77777777" w:rsidR="00BD524F" w:rsidRPr="004F4988" w:rsidRDefault="00BD524F" w:rsidP="00BD524F">
            <w:pPr>
              <w:rPr>
                <w:rFonts w:asciiTheme="minorHAnsi" w:hAnsiTheme="minorHAnsi" w:cstheme="minorHAnsi"/>
                <w:b/>
                <w:szCs w:val="24"/>
              </w:rPr>
            </w:pPr>
            <w:r w:rsidRPr="004F4988">
              <w:rPr>
                <w:rFonts w:asciiTheme="minorHAnsi" w:hAnsiTheme="minorHAnsi" w:cstheme="minorHAnsi"/>
                <w:b/>
                <w:szCs w:val="24"/>
              </w:rPr>
              <w:t>HOPD</w:t>
            </w:r>
          </w:p>
        </w:tc>
        <w:tc>
          <w:tcPr>
            <w:tcW w:w="593" w:type="pct"/>
          </w:tcPr>
          <w:p w14:paraId="338F454E" w14:textId="77777777" w:rsidR="00BD524F" w:rsidRPr="004F4988" w:rsidRDefault="00BD524F" w:rsidP="00BD524F">
            <w:pPr>
              <w:rPr>
                <w:rFonts w:asciiTheme="minorHAnsi" w:hAnsiTheme="minorHAnsi" w:cstheme="minorHAnsi"/>
                <w:bCs/>
                <w:szCs w:val="24"/>
              </w:rPr>
            </w:pPr>
            <w:r w:rsidRPr="004F4988">
              <w:rPr>
                <w:rFonts w:asciiTheme="minorHAnsi" w:hAnsiTheme="minorHAnsi" w:cstheme="minorHAnsi"/>
                <w:bCs/>
                <w:szCs w:val="24"/>
              </w:rPr>
              <w:t>0-10</w:t>
            </w:r>
          </w:p>
        </w:tc>
        <w:tc>
          <w:tcPr>
            <w:tcW w:w="930" w:type="pct"/>
          </w:tcPr>
          <w:p w14:paraId="1A628C31" w14:textId="74FD7D23"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11,139</w:t>
            </w:r>
          </w:p>
        </w:tc>
        <w:tc>
          <w:tcPr>
            <w:tcW w:w="896" w:type="pct"/>
          </w:tcPr>
          <w:p w14:paraId="51A8F8E2" w14:textId="62A1D8A3"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18.3%</w:t>
            </w:r>
          </w:p>
        </w:tc>
        <w:tc>
          <w:tcPr>
            <w:tcW w:w="884" w:type="pct"/>
          </w:tcPr>
          <w:p w14:paraId="5A60E212" w14:textId="1557A975"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25,156</w:t>
            </w:r>
          </w:p>
        </w:tc>
        <w:tc>
          <w:tcPr>
            <w:tcW w:w="917" w:type="pct"/>
          </w:tcPr>
          <w:p w14:paraId="51CDC2ED" w14:textId="77777777"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50%</w:t>
            </w:r>
          </w:p>
        </w:tc>
      </w:tr>
      <w:tr w:rsidR="00BD524F" w:rsidRPr="004F4988" w14:paraId="3DBD4067" w14:textId="77777777" w:rsidTr="00BD524F">
        <w:trPr>
          <w:cantSplit/>
        </w:trPr>
        <w:tc>
          <w:tcPr>
            <w:tcW w:w="780" w:type="pct"/>
          </w:tcPr>
          <w:p w14:paraId="0A4C6461" w14:textId="399D11E3" w:rsidR="00BD524F" w:rsidRPr="004F4988" w:rsidRDefault="00BD524F" w:rsidP="00BD524F">
            <w:pPr>
              <w:rPr>
                <w:rFonts w:asciiTheme="minorHAnsi" w:hAnsiTheme="minorHAnsi" w:cstheme="minorHAnsi"/>
                <w:b/>
                <w:szCs w:val="24"/>
              </w:rPr>
            </w:pPr>
            <w:r w:rsidRPr="00FF5529">
              <w:rPr>
                <w:rFonts w:asciiTheme="minorHAnsi" w:hAnsiTheme="minorHAnsi" w:cstheme="minorHAnsi"/>
                <w:b/>
                <w:szCs w:val="24"/>
              </w:rPr>
              <w:t>n/a</w:t>
            </w:r>
          </w:p>
        </w:tc>
        <w:tc>
          <w:tcPr>
            <w:tcW w:w="593" w:type="pct"/>
          </w:tcPr>
          <w:p w14:paraId="2FB3A0C0" w14:textId="77777777" w:rsidR="00BD524F" w:rsidRPr="004F4988" w:rsidRDefault="00BD524F" w:rsidP="00BD524F">
            <w:pPr>
              <w:rPr>
                <w:rFonts w:asciiTheme="minorHAnsi" w:hAnsiTheme="minorHAnsi" w:cstheme="minorHAnsi"/>
                <w:bCs/>
                <w:szCs w:val="24"/>
              </w:rPr>
            </w:pPr>
            <w:r w:rsidRPr="004F4988">
              <w:rPr>
                <w:rFonts w:asciiTheme="minorHAnsi" w:hAnsiTheme="minorHAnsi" w:cstheme="minorHAnsi"/>
                <w:bCs/>
                <w:szCs w:val="24"/>
              </w:rPr>
              <w:t>11-21</w:t>
            </w:r>
          </w:p>
        </w:tc>
        <w:tc>
          <w:tcPr>
            <w:tcW w:w="930" w:type="pct"/>
          </w:tcPr>
          <w:p w14:paraId="192AB27B" w14:textId="0B94D930"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3,391</w:t>
            </w:r>
          </w:p>
        </w:tc>
        <w:tc>
          <w:tcPr>
            <w:tcW w:w="896" w:type="pct"/>
          </w:tcPr>
          <w:p w14:paraId="160DCC2A" w14:textId="77777777"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5.6%</w:t>
            </w:r>
          </w:p>
        </w:tc>
        <w:tc>
          <w:tcPr>
            <w:tcW w:w="884" w:type="pct"/>
          </w:tcPr>
          <w:p w14:paraId="2A5E1291" w14:textId="4BA7173C"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5,197</w:t>
            </w:r>
          </w:p>
        </w:tc>
        <w:tc>
          <w:tcPr>
            <w:tcW w:w="917" w:type="pct"/>
          </w:tcPr>
          <w:p w14:paraId="75FB1E10" w14:textId="77777777"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10.4%</w:t>
            </w:r>
          </w:p>
        </w:tc>
      </w:tr>
      <w:tr w:rsidR="00BD524F" w:rsidRPr="004F4988" w14:paraId="086EF2A8" w14:textId="77777777" w:rsidTr="00BD524F">
        <w:trPr>
          <w:cantSplit/>
        </w:trPr>
        <w:tc>
          <w:tcPr>
            <w:tcW w:w="780" w:type="pct"/>
            <w:shd w:val="clear" w:color="auto" w:fill="DBE5F1" w:themeFill="accent1" w:themeFillTint="33"/>
          </w:tcPr>
          <w:p w14:paraId="205C7B2C" w14:textId="59C4029C" w:rsidR="00BD524F" w:rsidRPr="004F4988" w:rsidRDefault="00BD524F" w:rsidP="00BD524F">
            <w:pPr>
              <w:rPr>
                <w:rFonts w:asciiTheme="minorHAnsi" w:hAnsiTheme="minorHAnsi" w:cstheme="minorHAnsi"/>
                <w:b/>
                <w:szCs w:val="24"/>
              </w:rPr>
            </w:pPr>
            <w:r w:rsidRPr="00FF5529">
              <w:rPr>
                <w:rFonts w:asciiTheme="minorHAnsi" w:hAnsiTheme="minorHAnsi" w:cstheme="minorHAnsi"/>
                <w:b/>
                <w:szCs w:val="24"/>
              </w:rPr>
              <w:t>n/a</w:t>
            </w:r>
          </w:p>
        </w:tc>
        <w:tc>
          <w:tcPr>
            <w:tcW w:w="593" w:type="pct"/>
            <w:shd w:val="clear" w:color="auto" w:fill="DBE5F1" w:themeFill="accent1" w:themeFillTint="33"/>
          </w:tcPr>
          <w:p w14:paraId="16EE12F7" w14:textId="77777777" w:rsidR="00BD524F" w:rsidRPr="004F4988" w:rsidRDefault="00BD524F" w:rsidP="00BD524F">
            <w:pPr>
              <w:rPr>
                <w:rFonts w:asciiTheme="minorHAnsi" w:hAnsiTheme="minorHAnsi" w:cstheme="minorHAnsi"/>
                <w:b/>
                <w:szCs w:val="24"/>
              </w:rPr>
            </w:pPr>
            <w:r w:rsidRPr="004F4988">
              <w:rPr>
                <w:rFonts w:asciiTheme="minorHAnsi" w:hAnsiTheme="minorHAnsi" w:cstheme="minorHAnsi"/>
                <w:b/>
                <w:szCs w:val="24"/>
              </w:rPr>
              <w:t>Total</w:t>
            </w:r>
          </w:p>
        </w:tc>
        <w:tc>
          <w:tcPr>
            <w:tcW w:w="930" w:type="pct"/>
            <w:shd w:val="clear" w:color="auto" w:fill="DBE5F1" w:themeFill="accent1" w:themeFillTint="33"/>
          </w:tcPr>
          <w:p w14:paraId="465A4840" w14:textId="6D5AB0E0" w:rsidR="00BD524F" w:rsidRPr="004F4988" w:rsidRDefault="00BD524F" w:rsidP="00BD524F">
            <w:pPr>
              <w:jc w:val="right"/>
              <w:rPr>
                <w:rFonts w:asciiTheme="minorHAnsi" w:hAnsiTheme="minorHAnsi" w:cstheme="minorHAnsi"/>
                <w:b/>
                <w:szCs w:val="24"/>
              </w:rPr>
            </w:pPr>
            <w:r w:rsidRPr="004F4988">
              <w:rPr>
                <w:rFonts w:asciiTheme="minorHAnsi" w:hAnsiTheme="minorHAnsi" w:cstheme="minorHAnsi"/>
                <w:b/>
                <w:szCs w:val="24"/>
              </w:rPr>
              <w:t>14,530</w:t>
            </w:r>
          </w:p>
        </w:tc>
        <w:tc>
          <w:tcPr>
            <w:tcW w:w="896" w:type="pct"/>
            <w:shd w:val="clear" w:color="auto" w:fill="DBE5F1" w:themeFill="accent1" w:themeFillTint="33"/>
          </w:tcPr>
          <w:p w14:paraId="109293C6" w14:textId="1FB57A61" w:rsidR="00BD524F" w:rsidRPr="004F4988" w:rsidRDefault="00BD524F" w:rsidP="00BD524F">
            <w:pPr>
              <w:jc w:val="right"/>
              <w:rPr>
                <w:rFonts w:asciiTheme="minorHAnsi" w:hAnsiTheme="minorHAnsi" w:cstheme="minorHAnsi"/>
                <w:b/>
                <w:szCs w:val="24"/>
              </w:rPr>
            </w:pPr>
            <w:r w:rsidRPr="004F4988">
              <w:rPr>
                <w:rFonts w:asciiTheme="minorHAnsi" w:hAnsiTheme="minorHAnsi" w:cstheme="minorHAnsi"/>
                <w:b/>
                <w:szCs w:val="24"/>
              </w:rPr>
              <w:t>23.9%</w:t>
            </w:r>
          </w:p>
        </w:tc>
        <w:tc>
          <w:tcPr>
            <w:tcW w:w="884" w:type="pct"/>
            <w:shd w:val="clear" w:color="auto" w:fill="DBE5F1" w:themeFill="accent1" w:themeFillTint="33"/>
          </w:tcPr>
          <w:p w14:paraId="623BC235" w14:textId="52202A37" w:rsidR="00BD524F" w:rsidRPr="004F4988" w:rsidRDefault="00BD524F" w:rsidP="00BD524F">
            <w:pPr>
              <w:jc w:val="right"/>
              <w:rPr>
                <w:rFonts w:asciiTheme="minorHAnsi" w:hAnsiTheme="minorHAnsi" w:cstheme="minorHAnsi"/>
                <w:b/>
                <w:szCs w:val="24"/>
              </w:rPr>
            </w:pPr>
            <w:r w:rsidRPr="004F4988">
              <w:rPr>
                <w:rFonts w:asciiTheme="minorHAnsi" w:hAnsiTheme="minorHAnsi" w:cstheme="minorHAnsi"/>
                <w:b/>
                <w:szCs w:val="24"/>
              </w:rPr>
              <w:t>30,353</w:t>
            </w:r>
          </w:p>
        </w:tc>
        <w:tc>
          <w:tcPr>
            <w:tcW w:w="917" w:type="pct"/>
            <w:shd w:val="clear" w:color="auto" w:fill="DBE5F1" w:themeFill="accent1" w:themeFillTint="33"/>
          </w:tcPr>
          <w:p w14:paraId="29965CB2" w14:textId="77777777" w:rsidR="00BD524F" w:rsidRPr="004F4988" w:rsidRDefault="00BD524F" w:rsidP="00BD524F">
            <w:pPr>
              <w:jc w:val="right"/>
              <w:rPr>
                <w:rFonts w:asciiTheme="minorHAnsi" w:hAnsiTheme="minorHAnsi" w:cstheme="minorHAnsi"/>
                <w:b/>
                <w:szCs w:val="24"/>
              </w:rPr>
            </w:pPr>
            <w:r w:rsidRPr="004F4988">
              <w:rPr>
                <w:rFonts w:asciiTheme="minorHAnsi" w:hAnsiTheme="minorHAnsi" w:cstheme="minorHAnsi"/>
                <w:b/>
                <w:szCs w:val="24"/>
              </w:rPr>
              <w:t>60.4%</w:t>
            </w:r>
          </w:p>
        </w:tc>
      </w:tr>
      <w:tr w:rsidR="00BD524F" w:rsidRPr="004F4988" w14:paraId="477F3AD5" w14:textId="77777777" w:rsidTr="00BD524F">
        <w:trPr>
          <w:cantSplit/>
        </w:trPr>
        <w:tc>
          <w:tcPr>
            <w:tcW w:w="780" w:type="pct"/>
          </w:tcPr>
          <w:p w14:paraId="235FD047" w14:textId="77777777" w:rsidR="00BD524F" w:rsidRPr="004F4988" w:rsidRDefault="00BD524F" w:rsidP="00BD524F">
            <w:pPr>
              <w:rPr>
                <w:rFonts w:asciiTheme="minorHAnsi" w:hAnsiTheme="minorHAnsi" w:cstheme="minorHAnsi"/>
                <w:b/>
                <w:szCs w:val="24"/>
              </w:rPr>
            </w:pPr>
            <w:r w:rsidRPr="004F4988">
              <w:rPr>
                <w:rFonts w:asciiTheme="minorHAnsi" w:hAnsiTheme="minorHAnsi" w:cstheme="minorHAnsi"/>
                <w:b/>
                <w:szCs w:val="24"/>
              </w:rPr>
              <w:t>Office</w:t>
            </w:r>
          </w:p>
        </w:tc>
        <w:tc>
          <w:tcPr>
            <w:tcW w:w="593" w:type="pct"/>
          </w:tcPr>
          <w:p w14:paraId="2DC604F1" w14:textId="77777777" w:rsidR="00BD524F" w:rsidRPr="004F4988" w:rsidRDefault="00BD524F" w:rsidP="00BD524F">
            <w:pPr>
              <w:rPr>
                <w:rFonts w:asciiTheme="minorHAnsi" w:hAnsiTheme="minorHAnsi" w:cstheme="minorHAnsi"/>
                <w:bCs/>
                <w:szCs w:val="24"/>
              </w:rPr>
            </w:pPr>
            <w:r w:rsidRPr="004F4988">
              <w:rPr>
                <w:rFonts w:asciiTheme="minorHAnsi" w:hAnsiTheme="minorHAnsi" w:cstheme="minorHAnsi"/>
                <w:bCs/>
                <w:szCs w:val="24"/>
              </w:rPr>
              <w:t>0-10</w:t>
            </w:r>
          </w:p>
        </w:tc>
        <w:tc>
          <w:tcPr>
            <w:tcW w:w="930" w:type="pct"/>
          </w:tcPr>
          <w:p w14:paraId="20B86087" w14:textId="7FF09747"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11,669</w:t>
            </w:r>
          </w:p>
        </w:tc>
        <w:tc>
          <w:tcPr>
            <w:tcW w:w="896" w:type="pct"/>
          </w:tcPr>
          <w:p w14:paraId="5C5BDFC0" w14:textId="77777777"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19.3%</w:t>
            </w:r>
          </w:p>
        </w:tc>
        <w:tc>
          <w:tcPr>
            <w:tcW w:w="884" w:type="pct"/>
          </w:tcPr>
          <w:p w14:paraId="4BA3B83E" w14:textId="29AFBEE1"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5,608</w:t>
            </w:r>
          </w:p>
        </w:tc>
        <w:tc>
          <w:tcPr>
            <w:tcW w:w="917" w:type="pct"/>
          </w:tcPr>
          <w:p w14:paraId="62E00726" w14:textId="77777777"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11.2%</w:t>
            </w:r>
          </w:p>
        </w:tc>
      </w:tr>
      <w:tr w:rsidR="00BD524F" w:rsidRPr="004F4988" w14:paraId="50B98601" w14:textId="77777777" w:rsidTr="00BD524F">
        <w:trPr>
          <w:cantSplit/>
        </w:trPr>
        <w:tc>
          <w:tcPr>
            <w:tcW w:w="780" w:type="pct"/>
          </w:tcPr>
          <w:p w14:paraId="7700EB25" w14:textId="465A808F" w:rsidR="00BD524F" w:rsidRPr="004F4988" w:rsidRDefault="00BD524F" w:rsidP="00BD524F">
            <w:pPr>
              <w:rPr>
                <w:rFonts w:asciiTheme="minorHAnsi" w:hAnsiTheme="minorHAnsi" w:cstheme="minorHAnsi"/>
                <w:b/>
                <w:szCs w:val="24"/>
              </w:rPr>
            </w:pPr>
            <w:r w:rsidRPr="001C00ED">
              <w:rPr>
                <w:rFonts w:asciiTheme="minorHAnsi" w:hAnsiTheme="minorHAnsi" w:cstheme="minorHAnsi"/>
                <w:b/>
                <w:szCs w:val="24"/>
              </w:rPr>
              <w:t>n/a</w:t>
            </w:r>
          </w:p>
        </w:tc>
        <w:tc>
          <w:tcPr>
            <w:tcW w:w="593" w:type="pct"/>
          </w:tcPr>
          <w:p w14:paraId="7949EE9D" w14:textId="77777777" w:rsidR="00BD524F" w:rsidRPr="004F4988" w:rsidRDefault="00BD524F" w:rsidP="00BD524F">
            <w:pPr>
              <w:rPr>
                <w:rFonts w:asciiTheme="minorHAnsi" w:hAnsiTheme="minorHAnsi" w:cstheme="minorHAnsi"/>
                <w:bCs/>
                <w:szCs w:val="24"/>
              </w:rPr>
            </w:pPr>
            <w:r w:rsidRPr="004F4988">
              <w:rPr>
                <w:rFonts w:asciiTheme="minorHAnsi" w:hAnsiTheme="minorHAnsi" w:cstheme="minorHAnsi"/>
                <w:bCs/>
                <w:szCs w:val="24"/>
              </w:rPr>
              <w:t>11-21</w:t>
            </w:r>
          </w:p>
        </w:tc>
        <w:tc>
          <w:tcPr>
            <w:tcW w:w="930" w:type="pct"/>
          </w:tcPr>
          <w:p w14:paraId="2453E6C3" w14:textId="0E40FE11"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29,029</w:t>
            </w:r>
          </w:p>
        </w:tc>
        <w:tc>
          <w:tcPr>
            <w:tcW w:w="896" w:type="pct"/>
          </w:tcPr>
          <w:p w14:paraId="41C885B4" w14:textId="77777777"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47.9%</w:t>
            </w:r>
          </w:p>
        </w:tc>
        <w:tc>
          <w:tcPr>
            <w:tcW w:w="884" w:type="pct"/>
          </w:tcPr>
          <w:p w14:paraId="44BE3371" w14:textId="4F7EF596"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13,951</w:t>
            </w:r>
          </w:p>
        </w:tc>
        <w:tc>
          <w:tcPr>
            <w:tcW w:w="917" w:type="pct"/>
          </w:tcPr>
          <w:p w14:paraId="4FC842DA" w14:textId="77777777" w:rsidR="00BD524F" w:rsidRPr="004F4988" w:rsidRDefault="00BD524F" w:rsidP="00BD524F">
            <w:pPr>
              <w:jc w:val="right"/>
              <w:rPr>
                <w:rFonts w:asciiTheme="minorHAnsi" w:hAnsiTheme="minorHAnsi" w:cstheme="minorHAnsi"/>
                <w:bCs/>
                <w:szCs w:val="24"/>
              </w:rPr>
            </w:pPr>
            <w:r w:rsidRPr="004F4988">
              <w:rPr>
                <w:rFonts w:asciiTheme="minorHAnsi" w:hAnsiTheme="minorHAnsi" w:cstheme="minorHAnsi"/>
                <w:bCs/>
                <w:szCs w:val="24"/>
              </w:rPr>
              <w:t>27.8%</w:t>
            </w:r>
          </w:p>
        </w:tc>
      </w:tr>
      <w:tr w:rsidR="00BD524F" w:rsidRPr="004F4988" w14:paraId="7ECEE0BA" w14:textId="77777777" w:rsidTr="00BD524F">
        <w:trPr>
          <w:cantSplit/>
        </w:trPr>
        <w:tc>
          <w:tcPr>
            <w:tcW w:w="780" w:type="pct"/>
            <w:shd w:val="clear" w:color="auto" w:fill="DBE5F1" w:themeFill="accent1" w:themeFillTint="33"/>
          </w:tcPr>
          <w:p w14:paraId="7856A1E9" w14:textId="1902D594" w:rsidR="00BD524F" w:rsidRPr="004F4988" w:rsidRDefault="00BD524F" w:rsidP="00BD524F">
            <w:pPr>
              <w:rPr>
                <w:rFonts w:asciiTheme="minorHAnsi" w:hAnsiTheme="minorHAnsi" w:cstheme="minorHAnsi"/>
                <w:b/>
                <w:szCs w:val="24"/>
              </w:rPr>
            </w:pPr>
            <w:r w:rsidRPr="001C00ED">
              <w:rPr>
                <w:rFonts w:asciiTheme="minorHAnsi" w:hAnsiTheme="minorHAnsi" w:cstheme="minorHAnsi"/>
                <w:b/>
                <w:szCs w:val="24"/>
              </w:rPr>
              <w:t>n/a</w:t>
            </w:r>
          </w:p>
        </w:tc>
        <w:tc>
          <w:tcPr>
            <w:tcW w:w="593" w:type="pct"/>
            <w:shd w:val="clear" w:color="auto" w:fill="DBE5F1" w:themeFill="accent1" w:themeFillTint="33"/>
          </w:tcPr>
          <w:p w14:paraId="2E8E67C6" w14:textId="77777777" w:rsidR="00BD524F" w:rsidRPr="004F4988" w:rsidRDefault="00BD524F" w:rsidP="00BD524F">
            <w:pPr>
              <w:rPr>
                <w:rFonts w:asciiTheme="minorHAnsi" w:hAnsiTheme="minorHAnsi" w:cstheme="minorHAnsi"/>
                <w:b/>
                <w:szCs w:val="24"/>
              </w:rPr>
            </w:pPr>
            <w:r w:rsidRPr="004F4988">
              <w:rPr>
                <w:rFonts w:asciiTheme="minorHAnsi" w:hAnsiTheme="minorHAnsi" w:cstheme="minorHAnsi"/>
                <w:b/>
                <w:szCs w:val="24"/>
              </w:rPr>
              <w:t>Total</w:t>
            </w:r>
          </w:p>
        </w:tc>
        <w:tc>
          <w:tcPr>
            <w:tcW w:w="930" w:type="pct"/>
            <w:shd w:val="clear" w:color="auto" w:fill="DBE5F1" w:themeFill="accent1" w:themeFillTint="33"/>
          </w:tcPr>
          <w:p w14:paraId="282FE1C9" w14:textId="7939B7AC" w:rsidR="00BD524F" w:rsidRPr="004F4988" w:rsidRDefault="00BD524F" w:rsidP="00BD524F">
            <w:pPr>
              <w:jc w:val="right"/>
              <w:rPr>
                <w:rFonts w:asciiTheme="minorHAnsi" w:hAnsiTheme="minorHAnsi" w:cstheme="minorHAnsi"/>
                <w:b/>
                <w:szCs w:val="24"/>
              </w:rPr>
            </w:pPr>
            <w:r w:rsidRPr="004F4988">
              <w:rPr>
                <w:rFonts w:asciiTheme="minorHAnsi" w:hAnsiTheme="minorHAnsi" w:cstheme="minorHAnsi"/>
                <w:b/>
                <w:szCs w:val="24"/>
              </w:rPr>
              <w:t>40,698</w:t>
            </w:r>
          </w:p>
        </w:tc>
        <w:tc>
          <w:tcPr>
            <w:tcW w:w="896" w:type="pct"/>
            <w:shd w:val="clear" w:color="auto" w:fill="DBE5F1" w:themeFill="accent1" w:themeFillTint="33"/>
          </w:tcPr>
          <w:p w14:paraId="4FF5A11A" w14:textId="77777777" w:rsidR="00BD524F" w:rsidRPr="004F4988" w:rsidRDefault="00BD524F" w:rsidP="00BD524F">
            <w:pPr>
              <w:jc w:val="right"/>
              <w:rPr>
                <w:rFonts w:asciiTheme="minorHAnsi" w:hAnsiTheme="minorHAnsi" w:cstheme="minorHAnsi"/>
                <w:b/>
                <w:szCs w:val="24"/>
              </w:rPr>
            </w:pPr>
            <w:r w:rsidRPr="004F4988">
              <w:rPr>
                <w:rFonts w:asciiTheme="minorHAnsi" w:hAnsiTheme="minorHAnsi" w:cstheme="minorHAnsi"/>
                <w:b/>
                <w:szCs w:val="24"/>
              </w:rPr>
              <w:t>67.2%</w:t>
            </w:r>
          </w:p>
        </w:tc>
        <w:tc>
          <w:tcPr>
            <w:tcW w:w="884" w:type="pct"/>
            <w:shd w:val="clear" w:color="auto" w:fill="DBE5F1" w:themeFill="accent1" w:themeFillTint="33"/>
          </w:tcPr>
          <w:p w14:paraId="1D324E6B" w14:textId="1D08F634" w:rsidR="00BD524F" w:rsidRPr="004F4988" w:rsidRDefault="00BD524F" w:rsidP="00BD524F">
            <w:pPr>
              <w:jc w:val="right"/>
              <w:rPr>
                <w:rFonts w:asciiTheme="minorHAnsi" w:hAnsiTheme="minorHAnsi" w:cstheme="minorHAnsi"/>
                <w:b/>
                <w:szCs w:val="24"/>
              </w:rPr>
            </w:pPr>
            <w:r w:rsidRPr="004F4988">
              <w:rPr>
                <w:rFonts w:asciiTheme="minorHAnsi" w:hAnsiTheme="minorHAnsi" w:cstheme="minorHAnsi"/>
                <w:b/>
                <w:szCs w:val="24"/>
              </w:rPr>
              <w:t>19,559</w:t>
            </w:r>
          </w:p>
        </w:tc>
        <w:tc>
          <w:tcPr>
            <w:tcW w:w="917" w:type="pct"/>
            <w:shd w:val="clear" w:color="auto" w:fill="DBE5F1" w:themeFill="accent1" w:themeFillTint="33"/>
          </w:tcPr>
          <w:p w14:paraId="2DF72EE5" w14:textId="77777777" w:rsidR="00BD524F" w:rsidRPr="004F4988" w:rsidRDefault="00BD524F" w:rsidP="00BD524F">
            <w:pPr>
              <w:jc w:val="right"/>
              <w:rPr>
                <w:rFonts w:asciiTheme="minorHAnsi" w:hAnsiTheme="minorHAnsi" w:cstheme="minorHAnsi"/>
                <w:b/>
                <w:szCs w:val="24"/>
              </w:rPr>
            </w:pPr>
            <w:r w:rsidRPr="004F4988">
              <w:rPr>
                <w:rFonts w:asciiTheme="minorHAnsi" w:hAnsiTheme="minorHAnsi" w:cstheme="minorHAnsi"/>
                <w:b/>
                <w:szCs w:val="24"/>
              </w:rPr>
              <w:t>39%</w:t>
            </w:r>
          </w:p>
        </w:tc>
      </w:tr>
      <w:tr w:rsidR="00BD524F" w:rsidRPr="004F4988" w14:paraId="4F808D96" w14:textId="77777777" w:rsidTr="00BD524F">
        <w:trPr>
          <w:cantSplit/>
        </w:trPr>
        <w:tc>
          <w:tcPr>
            <w:tcW w:w="780" w:type="pct"/>
          </w:tcPr>
          <w:p w14:paraId="61904218" w14:textId="77777777" w:rsidR="00BD524F" w:rsidRPr="004F4988" w:rsidRDefault="00BD524F" w:rsidP="00BD524F">
            <w:pPr>
              <w:rPr>
                <w:rFonts w:asciiTheme="minorHAnsi" w:hAnsiTheme="minorHAnsi" w:cstheme="minorHAnsi"/>
                <w:b/>
                <w:szCs w:val="24"/>
              </w:rPr>
            </w:pPr>
            <w:r w:rsidRPr="004F4988">
              <w:rPr>
                <w:rFonts w:asciiTheme="minorHAnsi" w:hAnsiTheme="minorHAnsi" w:cstheme="minorHAnsi"/>
                <w:b/>
                <w:szCs w:val="24"/>
              </w:rPr>
              <w:t>Grand Total</w:t>
            </w:r>
          </w:p>
        </w:tc>
        <w:tc>
          <w:tcPr>
            <w:tcW w:w="593" w:type="pct"/>
          </w:tcPr>
          <w:p w14:paraId="76447CBD" w14:textId="7E1B7D58" w:rsidR="00BD524F" w:rsidRPr="004F4988" w:rsidRDefault="00BD524F" w:rsidP="00BD524F">
            <w:pPr>
              <w:rPr>
                <w:rFonts w:asciiTheme="minorHAnsi" w:hAnsiTheme="minorHAnsi" w:cstheme="minorHAnsi"/>
                <w:b/>
                <w:szCs w:val="24"/>
              </w:rPr>
            </w:pPr>
            <w:r>
              <w:rPr>
                <w:rFonts w:asciiTheme="minorHAnsi" w:hAnsiTheme="minorHAnsi" w:cstheme="minorHAnsi"/>
                <w:b/>
                <w:szCs w:val="24"/>
              </w:rPr>
              <w:t>n/a</w:t>
            </w:r>
          </w:p>
        </w:tc>
        <w:tc>
          <w:tcPr>
            <w:tcW w:w="930" w:type="pct"/>
          </w:tcPr>
          <w:p w14:paraId="3C725FB0" w14:textId="11DEED8E" w:rsidR="00BD524F" w:rsidRPr="004F4988" w:rsidRDefault="00BD524F" w:rsidP="00BD524F">
            <w:pPr>
              <w:jc w:val="right"/>
              <w:rPr>
                <w:rFonts w:asciiTheme="minorHAnsi" w:hAnsiTheme="minorHAnsi" w:cstheme="minorHAnsi"/>
                <w:b/>
                <w:szCs w:val="24"/>
              </w:rPr>
            </w:pPr>
            <w:r w:rsidRPr="004F4988">
              <w:rPr>
                <w:rFonts w:asciiTheme="minorHAnsi" w:hAnsiTheme="minorHAnsi" w:cstheme="minorHAnsi"/>
                <w:b/>
                <w:szCs w:val="24"/>
              </w:rPr>
              <w:t>60,566</w:t>
            </w:r>
          </w:p>
        </w:tc>
        <w:tc>
          <w:tcPr>
            <w:tcW w:w="896" w:type="pct"/>
          </w:tcPr>
          <w:p w14:paraId="0ACDB4B0" w14:textId="7FA481F1" w:rsidR="00BD524F" w:rsidRPr="004F4988" w:rsidRDefault="00BD524F" w:rsidP="00BD524F">
            <w:pPr>
              <w:jc w:val="right"/>
              <w:rPr>
                <w:rFonts w:asciiTheme="minorHAnsi" w:hAnsiTheme="minorHAnsi" w:cstheme="minorHAnsi"/>
                <w:b/>
                <w:szCs w:val="24"/>
              </w:rPr>
            </w:pPr>
            <w:r>
              <w:rPr>
                <w:rFonts w:asciiTheme="minorHAnsi" w:hAnsiTheme="minorHAnsi" w:cstheme="minorHAnsi"/>
                <w:b/>
                <w:szCs w:val="24"/>
              </w:rPr>
              <w:t>n/a</w:t>
            </w:r>
          </w:p>
        </w:tc>
        <w:tc>
          <w:tcPr>
            <w:tcW w:w="884" w:type="pct"/>
          </w:tcPr>
          <w:p w14:paraId="10997DEF" w14:textId="3044F97D" w:rsidR="00BD524F" w:rsidRPr="004F4988" w:rsidRDefault="00BD524F" w:rsidP="00BD524F">
            <w:pPr>
              <w:jc w:val="right"/>
              <w:rPr>
                <w:rFonts w:asciiTheme="minorHAnsi" w:hAnsiTheme="minorHAnsi" w:cstheme="minorHAnsi"/>
                <w:b/>
                <w:szCs w:val="24"/>
              </w:rPr>
            </w:pPr>
            <w:r w:rsidRPr="004F4988">
              <w:rPr>
                <w:rFonts w:asciiTheme="minorHAnsi" w:hAnsiTheme="minorHAnsi" w:cstheme="minorHAnsi"/>
                <w:b/>
                <w:szCs w:val="24"/>
              </w:rPr>
              <w:t>50,172</w:t>
            </w:r>
          </w:p>
        </w:tc>
        <w:tc>
          <w:tcPr>
            <w:tcW w:w="917" w:type="pct"/>
          </w:tcPr>
          <w:p w14:paraId="6B8103ED" w14:textId="6519E6D2" w:rsidR="00BD524F" w:rsidRPr="004F4988" w:rsidRDefault="00BD524F" w:rsidP="00BD524F">
            <w:pPr>
              <w:jc w:val="right"/>
              <w:rPr>
                <w:rFonts w:asciiTheme="minorHAnsi" w:hAnsiTheme="minorHAnsi" w:cstheme="minorHAnsi"/>
                <w:b/>
                <w:szCs w:val="24"/>
              </w:rPr>
            </w:pPr>
            <w:r>
              <w:rPr>
                <w:rFonts w:asciiTheme="minorHAnsi" w:hAnsiTheme="minorHAnsi" w:cstheme="minorHAnsi"/>
                <w:b/>
                <w:szCs w:val="24"/>
              </w:rPr>
              <w:t>n/a</w:t>
            </w:r>
          </w:p>
        </w:tc>
      </w:tr>
    </w:tbl>
    <w:p w14:paraId="224D6566" w14:textId="77777777" w:rsidR="002344DC" w:rsidRDefault="002344DC" w:rsidP="002344DC">
      <w:pPr>
        <w:pStyle w:val="Footer"/>
      </w:pPr>
    </w:p>
    <w:p w14:paraId="582FFEAD" w14:textId="77777777" w:rsidR="00594B91" w:rsidRDefault="00594B91" w:rsidP="002344DC">
      <w:pPr>
        <w:pStyle w:val="Footer"/>
      </w:pPr>
    </w:p>
    <w:p w14:paraId="53563E1A" w14:textId="77777777" w:rsidR="00594B91" w:rsidRDefault="00594B91" w:rsidP="00594B91">
      <w:pPr>
        <w:pStyle w:val="ListParagraph"/>
        <w:numPr>
          <w:ilvl w:val="1"/>
          <w:numId w:val="32"/>
        </w:numPr>
        <w:rPr>
          <w:rFonts w:cstheme="minorHAnsi"/>
          <w:b/>
          <w:sz w:val="24"/>
          <w:szCs w:val="28"/>
        </w:rPr>
      </w:pPr>
      <w:r w:rsidRPr="00594B91">
        <w:rPr>
          <w:rFonts w:cstheme="minorHAnsi"/>
          <w:b/>
          <w:sz w:val="24"/>
          <w:szCs w:val="32"/>
        </w:rPr>
        <w:t xml:space="preserve">Gender by Care Setting and Payor </w:t>
      </w:r>
    </w:p>
    <w:p w14:paraId="2E995911" w14:textId="77777777" w:rsidR="00594B91" w:rsidRDefault="00594B91" w:rsidP="00594B91">
      <w:pPr>
        <w:pStyle w:val="ListParagraph"/>
        <w:rPr>
          <w:rFonts w:cstheme="minorHAnsi"/>
          <w:b/>
          <w:sz w:val="24"/>
          <w:szCs w:val="28"/>
        </w:rPr>
      </w:pPr>
    </w:p>
    <w:tbl>
      <w:tblPr>
        <w:tblW w:w="5051"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Gender by Care Setting and Payor "/>
      </w:tblPr>
      <w:tblGrid>
        <w:gridCol w:w="1391"/>
        <w:gridCol w:w="2053"/>
        <w:gridCol w:w="2055"/>
        <w:gridCol w:w="1927"/>
        <w:gridCol w:w="2019"/>
      </w:tblGrid>
      <w:tr w:rsidR="00594B91" w:rsidRPr="00E763FA" w14:paraId="09C64DD2" w14:textId="77777777" w:rsidTr="00B14A25">
        <w:trPr>
          <w:cantSplit/>
          <w:trHeight w:val="343"/>
          <w:tblHeader/>
        </w:trPr>
        <w:tc>
          <w:tcPr>
            <w:tcW w:w="736" w:type="pct"/>
            <w:shd w:val="clear" w:color="auto" w:fill="DBE5F1" w:themeFill="accent1" w:themeFillTint="33"/>
            <w:noWrap/>
            <w:vAlign w:val="bottom"/>
            <w:hideMark/>
          </w:tcPr>
          <w:p w14:paraId="596C2505" w14:textId="7507C238" w:rsidR="00594B91" w:rsidRPr="00E763FA" w:rsidRDefault="00AE09E2" w:rsidP="00076319">
            <w:pPr>
              <w:spacing w:after="0" w:line="240" w:lineRule="auto"/>
              <w:rPr>
                <w:rFonts w:asciiTheme="minorHAnsi" w:eastAsia="Times New Roman" w:hAnsiTheme="minorHAnsi" w:cstheme="minorHAnsi"/>
                <w:b/>
                <w:bCs/>
                <w:color w:val="000000"/>
                <w:szCs w:val="24"/>
              </w:rPr>
            </w:pPr>
            <w:r>
              <w:rPr>
                <w:rFonts w:asciiTheme="minorHAnsi" w:hAnsiTheme="minorHAnsi" w:cstheme="minorHAnsi"/>
                <w:b/>
                <w:szCs w:val="24"/>
              </w:rPr>
              <w:t>n/a</w:t>
            </w:r>
          </w:p>
        </w:tc>
        <w:tc>
          <w:tcPr>
            <w:tcW w:w="1087" w:type="pct"/>
            <w:shd w:val="clear" w:color="auto" w:fill="DBE5F1" w:themeFill="accent1" w:themeFillTint="33"/>
            <w:noWrap/>
            <w:vAlign w:val="bottom"/>
            <w:hideMark/>
          </w:tcPr>
          <w:p w14:paraId="24D520FC" w14:textId="7CEEB4F9" w:rsidR="00594B91" w:rsidRPr="00E45E85" w:rsidRDefault="00AE09E2" w:rsidP="00076319">
            <w:pPr>
              <w:spacing w:after="0" w:line="240" w:lineRule="auto"/>
              <w:jc w:val="center"/>
              <w:rPr>
                <w:rFonts w:asciiTheme="minorHAnsi" w:eastAsia="Times New Roman" w:hAnsiTheme="minorHAnsi" w:cstheme="minorHAnsi"/>
                <w:b/>
                <w:bCs/>
                <w:color w:val="000000"/>
                <w:szCs w:val="24"/>
              </w:rPr>
            </w:pPr>
            <w:r w:rsidRPr="00E763FA">
              <w:rPr>
                <w:rFonts w:asciiTheme="minorHAnsi" w:eastAsia="Times New Roman" w:hAnsiTheme="minorHAnsi" w:cstheme="minorHAnsi"/>
                <w:b/>
                <w:bCs/>
                <w:color w:val="000000"/>
                <w:szCs w:val="24"/>
              </w:rPr>
              <w:t>Commercial</w:t>
            </w:r>
            <w:r>
              <w:rPr>
                <w:rFonts w:asciiTheme="minorHAnsi" w:eastAsia="Times New Roman" w:hAnsiTheme="minorHAnsi" w:cstheme="minorHAnsi"/>
                <w:b/>
                <w:bCs/>
                <w:color w:val="000000"/>
                <w:szCs w:val="24"/>
              </w:rPr>
              <w:t xml:space="preserve"> </w:t>
            </w:r>
            <w:r w:rsidR="00594B91">
              <w:rPr>
                <w:rFonts w:asciiTheme="minorHAnsi" w:eastAsia="Times New Roman" w:hAnsiTheme="minorHAnsi" w:cstheme="minorHAnsi"/>
                <w:b/>
                <w:bCs/>
                <w:color w:val="000000"/>
                <w:szCs w:val="24"/>
              </w:rPr>
              <w:t>HOPD</w:t>
            </w:r>
          </w:p>
        </w:tc>
        <w:tc>
          <w:tcPr>
            <w:tcW w:w="1088" w:type="pct"/>
            <w:shd w:val="clear" w:color="auto" w:fill="DBE5F1" w:themeFill="accent1" w:themeFillTint="33"/>
            <w:noWrap/>
            <w:vAlign w:val="bottom"/>
            <w:hideMark/>
          </w:tcPr>
          <w:p w14:paraId="1F5F3A2B" w14:textId="1434B6C8" w:rsidR="00594B91" w:rsidRPr="00E45E85" w:rsidRDefault="00AE09E2" w:rsidP="00076319">
            <w:pPr>
              <w:spacing w:after="0" w:line="240" w:lineRule="auto"/>
              <w:jc w:val="center"/>
              <w:rPr>
                <w:rFonts w:asciiTheme="minorHAnsi" w:eastAsia="Times New Roman" w:hAnsiTheme="minorHAnsi" w:cstheme="minorHAnsi"/>
                <w:b/>
                <w:bCs/>
                <w:color w:val="000000"/>
                <w:szCs w:val="24"/>
              </w:rPr>
            </w:pPr>
            <w:r w:rsidRPr="00E763FA">
              <w:rPr>
                <w:rFonts w:asciiTheme="minorHAnsi" w:eastAsia="Times New Roman" w:hAnsiTheme="minorHAnsi" w:cstheme="minorHAnsi"/>
                <w:b/>
                <w:bCs/>
                <w:color w:val="000000"/>
                <w:szCs w:val="24"/>
              </w:rPr>
              <w:t>Commercial</w:t>
            </w:r>
            <w:r>
              <w:rPr>
                <w:rFonts w:asciiTheme="minorHAnsi" w:eastAsia="Times New Roman" w:hAnsiTheme="minorHAnsi" w:cstheme="minorHAnsi"/>
                <w:b/>
                <w:bCs/>
                <w:color w:val="000000"/>
                <w:szCs w:val="24"/>
              </w:rPr>
              <w:t xml:space="preserve"> </w:t>
            </w:r>
            <w:r w:rsidR="00594B91">
              <w:rPr>
                <w:rFonts w:asciiTheme="minorHAnsi" w:eastAsia="Times New Roman" w:hAnsiTheme="minorHAnsi" w:cstheme="minorHAnsi"/>
                <w:b/>
                <w:bCs/>
                <w:color w:val="000000"/>
                <w:szCs w:val="24"/>
              </w:rPr>
              <w:t>Office</w:t>
            </w:r>
          </w:p>
        </w:tc>
        <w:tc>
          <w:tcPr>
            <w:tcW w:w="1020" w:type="pct"/>
            <w:shd w:val="clear" w:color="auto" w:fill="DBE5F1" w:themeFill="accent1" w:themeFillTint="33"/>
            <w:noWrap/>
            <w:vAlign w:val="bottom"/>
            <w:hideMark/>
          </w:tcPr>
          <w:p w14:paraId="23473633" w14:textId="4AA7B82B" w:rsidR="00594B91" w:rsidRPr="00E45E85" w:rsidRDefault="00417A54" w:rsidP="00076319">
            <w:pPr>
              <w:spacing w:after="0" w:line="240" w:lineRule="auto"/>
              <w:jc w:val="center"/>
              <w:rPr>
                <w:rFonts w:asciiTheme="minorHAnsi" w:eastAsia="Times New Roman" w:hAnsiTheme="minorHAnsi" w:cstheme="minorHAnsi"/>
                <w:b/>
                <w:bCs/>
                <w:color w:val="000000"/>
                <w:szCs w:val="24"/>
              </w:rPr>
            </w:pPr>
            <w:r w:rsidRPr="00E763FA">
              <w:rPr>
                <w:rFonts w:asciiTheme="minorHAnsi" w:eastAsia="Times New Roman" w:hAnsiTheme="minorHAnsi" w:cstheme="minorHAnsi"/>
                <w:b/>
                <w:bCs/>
                <w:color w:val="000000"/>
                <w:szCs w:val="24"/>
              </w:rPr>
              <w:t>Medicaid</w:t>
            </w:r>
            <w:r w:rsidRPr="00E45E85">
              <w:rPr>
                <w:rFonts w:asciiTheme="minorHAnsi" w:eastAsia="Times New Roman" w:hAnsiTheme="minorHAnsi" w:cstheme="minorHAnsi"/>
                <w:b/>
                <w:bCs/>
                <w:color w:val="000000"/>
                <w:szCs w:val="24"/>
              </w:rPr>
              <w:t xml:space="preserve"> </w:t>
            </w:r>
            <w:r w:rsidR="00594B91" w:rsidRPr="00E45E85">
              <w:rPr>
                <w:rFonts w:asciiTheme="minorHAnsi" w:eastAsia="Times New Roman" w:hAnsiTheme="minorHAnsi" w:cstheme="minorHAnsi"/>
                <w:b/>
                <w:bCs/>
                <w:color w:val="000000"/>
                <w:szCs w:val="24"/>
              </w:rPr>
              <w:t>HOPD</w:t>
            </w:r>
          </w:p>
        </w:tc>
        <w:tc>
          <w:tcPr>
            <w:tcW w:w="1069" w:type="pct"/>
            <w:shd w:val="clear" w:color="auto" w:fill="DBE5F1" w:themeFill="accent1" w:themeFillTint="33"/>
            <w:noWrap/>
            <w:vAlign w:val="bottom"/>
            <w:hideMark/>
          </w:tcPr>
          <w:p w14:paraId="7DF70D4D" w14:textId="78C4C847" w:rsidR="00594B91" w:rsidRPr="00E45E85" w:rsidRDefault="00417A54" w:rsidP="00076319">
            <w:pPr>
              <w:spacing w:after="0" w:line="240" w:lineRule="auto"/>
              <w:jc w:val="center"/>
              <w:rPr>
                <w:rFonts w:asciiTheme="minorHAnsi" w:eastAsia="Times New Roman" w:hAnsiTheme="minorHAnsi" w:cstheme="minorHAnsi"/>
                <w:b/>
                <w:bCs/>
                <w:color w:val="000000"/>
                <w:szCs w:val="24"/>
              </w:rPr>
            </w:pPr>
            <w:r w:rsidRPr="00E763FA">
              <w:rPr>
                <w:rFonts w:asciiTheme="minorHAnsi" w:eastAsia="Times New Roman" w:hAnsiTheme="minorHAnsi" w:cstheme="minorHAnsi"/>
                <w:b/>
                <w:bCs/>
                <w:color w:val="000000"/>
                <w:szCs w:val="24"/>
              </w:rPr>
              <w:t>Medicaid</w:t>
            </w:r>
            <w:r w:rsidRPr="00E45E85">
              <w:rPr>
                <w:rFonts w:asciiTheme="minorHAnsi" w:eastAsia="Times New Roman" w:hAnsiTheme="minorHAnsi" w:cstheme="minorHAnsi"/>
                <w:b/>
                <w:bCs/>
                <w:color w:val="000000"/>
                <w:szCs w:val="24"/>
              </w:rPr>
              <w:t xml:space="preserve"> </w:t>
            </w:r>
            <w:r w:rsidR="00594B91" w:rsidRPr="00E45E85">
              <w:rPr>
                <w:rFonts w:asciiTheme="minorHAnsi" w:eastAsia="Times New Roman" w:hAnsiTheme="minorHAnsi" w:cstheme="minorHAnsi"/>
                <w:b/>
                <w:bCs/>
                <w:color w:val="000000"/>
                <w:szCs w:val="24"/>
              </w:rPr>
              <w:t>Office</w:t>
            </w:r>
          </w:p>
        </w:tc>
      </w:tr>
      <w:tr w:rsidR="00594B91" w:rsidRPr="00E763FA" w14:paraId="070E007C" w14:textId="77777777" w:rsidTr="00417A54">
        <w:trPr>
          <w:cantSplit/>
          <w:trHeight w:val="343"/>
        </w:trPr>
        <w:tc>
          <w:tcPr>
            <w:tcW w:w="736" w:type="pct"/>
            <w:noWrap/>
            <w:hideMark/>
          </w:tcPr>
          <w:p w14:paraId="17A414BC" w14:textId="77777777" w:rsidR="00594B91" w:rsidRPr="00E763FA" w:rsidRDefault="00594B91" w:rsidP="00076319">
            <w:pPr>
              <w:spacing w:after="0" w:line="240" w:lineRule="auto"/>
              <w:rPr>
                <w:rFonts w:asciiTheme="minorHAnsi" w:eastAsia="Times New Roman" w:hAnsiTheme="minorHAnsi" w:cstheme="minorHAnsi"/>
                <w:b/>
                <w:bCs/>
                <w:color w:val="000000"/>
                <w:szCs w:val="24"/>
              </w:rPr>
            </w:pPr>
            <w:r>
              <w:rPr>
                <w:rFonts w:asciiTheme="minorHAnsi" w:eastAsia="Times New Roman" w:hAnsiTheme="minorHAnsi" w:cstheme="minorHAnsi"/>
                <w:b/>
                <w:bCs/>
                <w:color w:val="000000"/>
                <w:szCs w:val="24"/>
              </w:rPr>
              <w:t>Male</w:t>
            </w:r>
          </w:p>
        </w:tc>
        <w:tc>
          <w:tcPr>
            <w:tcW w:w="1087" w:type="pct"/>
            <w:noWrap/>
            <w:vAlign w:val="center"/>
          </w:tcPr>
          <w:p w14:paraId="0CBC208E" w14:textId="19E82EBF" w:rsidR="00594B91" w:rsidRPr="00E763FA" w:rsidRDefault="00E10A43" w:rsidP="00076319">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54%</w:t>
            </w:r>
          </w:p>
        </w:tc>
        <w:tc>
          <w:tcPr>
            <w:tcW w:w="1088" w:type="pct"/>
            <w:noWrap/>
            <w:vAlign w:val="center"/>
          </w:tcPr>
          <w:p w14:paraId="28399A2A" w14:textId="2A28EB4D" w:rsidR="00594B91" w:rsidRPr="00E763FA" w:rsidRDefault="00E10A43" w:rsidP="00076319">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46%</w:t>
            </w:r>
          </w:p>
        </w:tc>
        <w:tc>
          <w:tcPr>
            <w:tcW w:w="1020" w:type="pct"/>
            <w:noWrap/>
            <w:vAlign w:val="center"/>
          </w:tcPr>
          <w:p w14:paraId="44DC0809" w14:textId="1AA48C06" w:rsidR="00594B91" w:rsidRPr="00E763FA" w:rsidRDefault="00E10A43" w:rsidP="00076319">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54%</w:t>
            </w:r>
          </w:p>
        </w:tc>
        <w:tc>
          <w:tcPr>
            <w:tcW w:w="1069" w:type="pct"/>
            <w:noWrap/>
            <w:vAlign w:val="center"/>
          </w:tcPr>
          <w:p w14:paraId="482D25C0" w14:textId="1E2CF8B4" w:rsidR="00594B91" w:rsidRPr="00E763FA" w:rsidRDefault="00E10A43" w:rsidP="00076319">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47%</w:t>
            </w:r>
          </w:p>
        </w:tc>
      </w:tr>
      <w:tr w:rsidR="00594B91" w:rsidRPr="00E763FA" w14:paraId="4BFC3F8C" w14:textId="77777777" w:rsidTr="00417A54">
        <w:trPr>
          <w:cantSplit/>
          <w:trHeight w:val="343"/>
        </w:trPr>
        <w:tc>
          <w:tcPr>
            <w:tcW w:w="736" w:type="pct"/>
            <w:noWrap/>
            <w:hideMark/>
          </w:tcPr>
          <w:p w14:paraId="3F353E55" w14:textId="77777777" w:rsidR="00594B91" w:rsidRPr="00E763FA" w:rsidRDefault="00594B91" w:rsidP="00076319">
            <w:pPr>
              <w:spacing w:after="0" w:line="240" w:lineRule="auto"/>
              <w:rPr>
                <w:rFonts w:asciiTheme="minorHAnsi" w:eastAsia="Times New Roman" w:hAnsiTheme="minorHAnsi" w:cstheme="minorHAnsi"/>
                <w:b/>
                <w:bCs/>
                <w:color w:val="000000"/>
                <w:szCs w:val="24"/>
              </w:rPr>
            </w:pPr>
            <w:r>
              <w:rPr>
                <w:rFonts w:asciiTheme="minorHAnsi" w:eastAsia="Times New Roman" w:hAnsiTheme="minorHAnsi" w:cstheme="minorHAnsi"/>
                <w:b/>
                <w:bCs/>
                <w:color w:val="000000"/>
                <w:szCs w:val="24"/>
              </w:rPr>
              <w:t>Female</w:t>
            </w:r>
          </w:p>
        </w:tc>
        <w:tc>
          <w:tcPr>
            <w:tcW w:w="1087" w:type="pct"/>
            <w:noWrap/>
            <w:vAlign w:val="center"/>
          </w:tcPr>
          <w:p w14:paraId="78A51FF0" w14:textId="439D6271" w:rsidR="00594B91" w:rsidRPr="00E763FA" w:rsidRDefault="00E10A43" w:rsidP="00076319">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46%</w:t>
            </w:r>
          </w:p>
        </w:tc>
        <w:tc>
          <w:tcPr>
            <w:tcW w:w="1088" w:type="pct"/>
            <w:noWrap/>
            <w:vAlign w:val="center"/>
          </w:tcPr>
          <w:p w14:paraId="71C72AF4" w14:textId="32C512A4" w:rsidR="00594B91" w:rsidRPr="00E763FA" w:rsidRDefault="00E10A43" w:rsidP="00076319">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54%</w:t>
            </w:r>
          </w:p>
        </w:tc>
        <w:tc>
          <w:tcPr>
            <w:tcW w:w="1020" w:type="pct"/>
            <w:noWrap/>
            <w:vAlign w:val="center"/>
          </w:tcPr>
          <w:p w14:paraId="00C7BAB8" w14:textId="56831BF2" w:rsidR="00594B91" w:rsidRPr="00E763FA" w:rsidRDefault="00E10A43" w:rsidP="00076319">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46%</w:t>
            </w:r>
          </w:p>
        </w:tc>
        <w:tc>
          <w:tcPr>
            <w:tcW w:w="1069" w:type="pct"/>
            <w:noWrap/>
            <w:vAlign w:val="center"/>
          </w:tcPr>
          <w:p w14:paraId="0952E3DD" w14:textId="4EFF50CA" w:rsidR="00594B91" w:rsidRPr="00E763FA" w:rsidRDefault="00E10A43" w:rsidP="00076319">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53%</w:t>
            </w:r>
          </w:p>
        </w:tc>
      </w:tr>
    </w:tbl>
    <w:p w14:paraId="15D28912" w14:textId="77777777" w:rsidR="00E10A43" w:rsidRPr="004F4988" w:rsidRDefault="00E10A43" w:rsidP="00E10A43">
      <w:pPr>
        <w:pStyle w:val="NoSpacing"/>
        <w:rPr>
          <w:rFonts w:asciiTheme="minorHAnsi" w:hAnsiTheme="minorHAnsi" w:cstheme="minorHAnsi"/>
          <w:bCs/>
          <w:szCs w:val="24"/>
        </w:rPr>
      </w:pPr>
      <w:r w:rsidRPr="004F4988">
        <w:rPr>
          <w:rFonts w:asciiTheme="minorHAnsi" w:hAnsiTheme="minorHAnsi" w:cstheme="minorHAnsi"/>
          <w:bCs/>
          <w:szCs w:val="24"/>
        </w:rPr>
        <w:t>ASC excluded due to volume &lt;11</w:t>
      </w:r>
    </w:p>
    <w:p w14:paraId="48E12CF7" w14:textId="77777777" w:rsidR="00E10A43" w:rsidRPr="004F4988" w:rsidRDefault="00E10A43" w:rsidP="00E10A43">
      <w:pPr>
        <w:pStyle w:val="NoSpacing"/>
        <w:rPr>
          <w:rFonts w:asciiTheme="minorHAnsi" w:hAnsiTheme="minorHAnsi" w:cstheme="minorHAnsi"/>
          <w:bCs/>
          <w:szCs w:val="24"/>
        </w:rPr>
      </w:pPr>
      <w:r w:rsidRPr="004F4988">
        <w:rPr>
          <w:rFonts w:asciiTheme="minorHAnsi" w:hAnsiTheme="minorHAnsi" w:cstheme="minorHAnsi"/>
          <w:bCs/>
          <w:szCs w:val="24"/>
        </w:rPr>
        <w:t>Source: Komodo Claims Data 2024</w:t>
      </w:r>
    </w:p>
    <w:p w14:paraId="271EADEC" w14:textId="77777777" w:rsidR="00594B91" w:rsidRPr="00E45E85" w:rsidRDefault="00594B91" w:rsidP="00594B91">
      <w:pPr>
        <w:pStyle w:val="ListParagraph"/>
        <w:rPr>
          <w:rFonts w:cstheme="minorHAnsi"/>
          <w:b/>
          <w:sz w:val="24"/>
          <w:szCs w:val="28"/>
        </w:rPr>
      </w:pPr>
    </w:p>
    <w:p w14:paraId="5F03009D" w14:textId="77777777" w:rsidR="00594B91" w:rsidRDefault="00594B91" w:rsidP="00594B91">
      <w:pPr>
        <w:pStyle w:val="ListParagraph"/>
        <w:ind w:left="1440"/>
        <w:rPr>
          <w:rFonts w:cstheme="minorHAnsi"/>
          <w:b/>
          <w:szCs w:val="24"/>
        </w:rPr>
      </w:pPr>
    </w:p>
    <w:p w14:paraId="113B64A0" w14:textId="77777777" w:rsidR="00594B91" w:rsidRPr="00E45E85" w:rsidRDefault="00594B91" w:rsidP="00594B91">
      <w:pPr>
        <w:pStyle w:val="ListParagraph"/>
        <w:numPr>
          <w:ilvl w:val="1"/>
          <w:numId w:val="32"/>
        </w:numPr>
        <w:rPr>
          <w:rFonts w:cstheme="minorHAnsi"/>
          <w:b/>
          <w:sz w:val="24"/>
          <w:szCs w:val="28"/>
        </w:rPr>
      </w:pPr>
      <w:r w:rsidRPr="00594B91">
        <w:rPr>
          <w:rFonts w:cstheme="minorHAnsi"/>
          <w:b/>
          <w:sz w:val="24"/>
          <w:szCs w:val="32"/>
        </w:rPr>
        <w:t>Race/Ethnicity by Care Setting and Payor</w:t>
      </w:r>
      <w:r w:rsidRPr="00E45E85">
        <w:rPr>
          <w:rFonts w:cstheme="minorHAnsi"/>
          <w:b/>
          <w:sz w:val="24"/>
          <w:szCs w:val="28"/>
        </w:rPr>
        <w:t xml:space="preserve"> </w:t>
      </w:r>
    </w:p>
    <w:p w14:paraId="2E8FFC95" w14:textId="77777777" w:rsidR="00594B91" w:rsidRDefault="00594B91" w:rsidP="00594B91">
      <w:pPr>
        <w:pStyle w:val="ListParagraph"/>
        <w:ind w:left="1440"/>
        <w:rPr>
          <w:rFonts w:cstheme="minorHAns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ace/Ethnicity by Care Setting and Payor"/>
      </w:tblPr>
      <w:tblGrid>
        <w:gridCol w:w="2346"/>
        <w:gridCol w:w="1869"/>
        <w:gridCol w:w="1871"/>
        <w:gridCol w:w="1631"/>
        <w:gridCol w:w="1633"/>
      </w:tblGrid>
      <w:tr w:rsidR="00882C44" w:rsidRPr="00E763FA" w14:paraId="7F355704" w14:textId="77777777" w:rsidTr="00C42F87">
        <w:trPr>
          <w:cantSplit/>
          <w:trHeight w:val="343"/>
          <w:tblHeader/>
        </w:trPr>
        <w:tc>
          <w:tcPr>
            <w:tcW w:w="1255" w:type="pct"/>
            <w:shd w:val="clear" w:color="auto" w:fill="DBE5F1" w:themeFill="accent1" w:themeFillTint="33"/>
            <w:noWrap/>
            <w:vAlign w:val="bottom"/>
            <w:hideMark/>
          </w:tcPr>
          <w:p w14:paraId="0FC405F0" w14:textId="6C7DB929" w:rsidR="00882C44" w:rsidRPr="00E763FA" w:rsidRDefault="00882C44" w:rsidP="00882C44">
            <w:pPr>
              <w:spacing w:after="0" w:line="240" w:lineRule="auto"/>
              <w:rPr>
                <w:rFonts w:asciiTheme="minorHAnsi" w:eastAsia="Times New Roman" w:hAnsiTheme="minorHAnsi" w:cstheme="minorHAnsi"/>
                <w:b/>
                <w:bCs/>
                <w:color w:val="000000"/>
                <w:szCs w:val="24"/>
              </w:rPr>
            </w:pPr>
            <w:r>
              <w:rPr>
                <w:rFonts w:asciiTheme="minorHAnsi" w:hAnsiTheme="minorHAnsi" w:cstheme="minorHAnsi"/>
                <w:b/>
                <w:szCs w:val="24"/>
              </w:rPr>
              <w:t>n/a</w:t>
            </w:r>
          </w:p>
        </w:tc>
        <w:tc>
          <w:tcPr>
            <w:tcW w:w="999" w:type="pct"/>
            <w:shd w:val="clear" w:color="auto" w:fill="DBE5F1" w:themeFill="accent1" w:themeFillTint="33"/>
            <w:noWrap/>
            <w:vAlign w:val="bottom"/>
            <w:hideMark/>
          </w:tcPr>
          <w:p w14:paraId="6E249357" w14:textId="090B1411" w:rsidR="00882C44" w:rsidRPr="00E45E85" w:rsidRDefault="00882C44" w:rsidP="00882C44">
            <w:pPr>
              <w:spacing w:after="0" w:line="240" w:lineRule="auto"/>
              <w:jc w:val="center"/>
              <w:rPr>
                <w:rFonts w:asciiTheme="minorHAnsi" w:eastAsia="Times New Roman" w:hAnsiTheme="minorHAnsi" w:cstheme="minorHAnsi"/>
                <w:b/>
                <w:bCs/>
                <w:color w:val="000000"/>
                <w:szCs w:val="24"/>
              </w:rPr>
            </w:pPr>
            <w:r w:rsidRPr="00E763FA">
              <w:rPr>
                <w:rFonts w:asciiTheme="minorHAnsi" w:eastAsia="Times New Roman" w:hAnsiTheme="minorHAnsi" w:cstheme="minorHAnsi"/>
                <w:b/>
                <w:bCs/>
                <w:color w:val="000000"/>
                <w:szCs w:val="24"/>
              </w:rPr>
              <w:t>Commercial</w:t>
            </w:r>
            <w:r>
              <w:rPr>
                <w:rFonts w:asciiTheme="minorHAnsi" w:eastAsia="Times New Roman" w:hAnsiTheme="minorHAnsi" w:cstheme="minorHAnsi"/>
                <w:b/>
                <w:bCs/>
                <w:color w:val="000000"/>
                <w:szCs w:val="24"/>
              </w:rPr>
              <w:t xml:space="preserve"> HOPD</w:t>
            </w:r>
          </w:p>
        </w:tc>
        <w:tc>
          <w:tcPr>
            <w:tcW w:w="1001" w:type="pct"/>
            <w:shd w:val="clear" w:color="auto" w:fill="DBE5F1" w:themeFill="accent1" w:themeFillTint="33"/>
            <w:noWrap/>
            <w:vAlign w:val="bottom"/>
            <w:hideMark/>
          </w:tcPr>
          <w:p w14:paraId="0C355191" w14:textId="643049FB" w:rsidR="00882C44" w:rsidRPr="00E45E85" w:rsidRDefault="00882C44" w:rsidP="00882C44">
            <w:pPr>
              <w:spacing w:after="0" w:line="240" w:lineRule="auto"/>
              <w:jc w:val="center"/>
              <w:rPr>
                <w:rFonts w:asciiTheme="minorHAnsi" w:eastAsia="Times New Roman" w:hAnsiTheme="minorHAnsi" w:cstheme="minorHAnsi"/>
                <w:b/>
                <w:bCs/>
                <w:color w:val="000000"/>
                <w:szCs w:val="24"/>
              </w:rPr>
            </w:pPr>
            <w:r w:rsidRPr="00E763FA">
              <w:rPr>
                <w:rFonts w:asciiTheme="minorHAnsi" w:eastAsia="Times New Roman" w:hAnsiTheme="minorHAnsi" w:cstheme="minorHAnsi"/>
                <w:b/>
                <w:bCs/>
                <w:color w:val="000000"/>
                <w:szCs w:val="24"/>
              </w:rPr>
              <w:t>Commercial</w:t>
            </w:r>
            <w:r>
              <w:rPr>
                <w:rFonts w:asciiTheme="minorHAnsi" w:eastAsia="Times New Roman" w:hAnsiTheme="minorHAnsi" w:cstheme="minorHAnsi"/>
                <w:b/>
                <w:bCs/>
                <w:color w:val="000000"/>
                <w:szCs w:val="24"/>
              </w:rPr>
              <w:t xml:space="preserve"> </w:t>
            </w:r>
            <w:r>
              <w:rPr>
                <w:rFonts w:asciiTheme="minorHAnsi" w:eastAsia="Times New Roman" w:hAnsiTheme="minorHAnsi" w:cstheme="minorHAnsi"/>
                <w:b/>
                <w:bCs/>
                <w:color w:val="000000"/>
                <w:szCs w:val="24"/>
              </w:rPr>
              <w:t>Office</w:t>
            </w:r>
          </w:p>
        </w:tc>
        <w:tc>
          <w:tcPr>
            <w:tcW w:w="872" w:type="pct"/>
            <w:shd w:val="clear" w:color="auto" w:fill="DBE5F1" w:themeFill="accent1" w:themeFillTint="33"/>
            <w:noWrap/>
            <w:vAlign w:val="bottom"/>
            <w:hideMark/>
          </w:tcPr>
          <w:p w14:paraId="7486DCF2" w14:textId="707EC3A2" w:rsidR="00882C44" w:rsidRPr="00E45E85" w:rsidRDefault="00882C44" w:rsidP="00882C44">
            <w:pPr>
              <w:spacing w:after="0" w:line="240" w:lineRule="auto"/>
              <w:jc w:val="center"/>
              <w:rPr>
                <w:rFonts w:asciiTheme="minorHAnsi" w:eastAsia="Times New Roman" w:hAnsiTheme="minorHAnsi" w:cstheme="minorHAnsi"/>
                <w:b/>
                <w:bCs/>
                <w:color w:val="000000"/>
                <w:szCs w:val="24"/>
              </w:rPr>
            </w:pPr>
            <w:r w:rsidRPr="00E763FA">
              <w:rPr>
                <w:rFonts w:asciiTheme="minorHAnsi" w:eastAsia="Times New Roman" w:hAnsiTheme="minorHAnsi" w:cstheme="minorHAnsi"/>
                <w:b/>
                <w:bCs/>
                <w:color w:val="000000"/>
                <w:szCs w:val="24"/>
              </w:rPr>
              <w:t>Medicaid</w:t>
            </w:r>
            <w:r w:rsidRPr="00E45E85">
              <w:rPr>
                <w:rFonts w:asciiTheme="minorHAnsi" w:eastAsia="Times New Roman" w:hAnsiTheme="minorHAnsi" w:cstheme="minorHAnsi"/>
                <w:b/>
                <w:bCs/>
                <w:color w:val="000000"/>
                <w:szCs w:val="24"/>
              </w:rPr>
              <w:t xml:space="preserve"> HOPD</w:t>
            </w:r>
          </w:p>
        </w:tc>
        <w:tc>
          <w:tcPr>
            <w:tcW w:w="873" w:type="pct"/>
            <w:shd w:val="clear" w:color="auto" w:fill="DBE5F1" w:themeFill="accent1" w:themeFillTint="33"/>
            <w:noWrap/>
            <w:vAlign w:val="bottom"/>
            <w:hideMark/>
          </w:tcPr>
          <w:p w14:paraId="74D735BC" w14:textId="2FF9EE64" w:rsidR="00882C44" w:rsidRPr="00E45E85" w:rsidRDefault="00882C44" w:rsidP="00882C44">
            <w:pPr>
              <w:spacing w:after="0" w:line="240" w:lineRule="auto"/>
              <w:jc w:val="center"/>
              <w:rPr>
                <w:rFonts w:asciiTheme="minorHAnsi" w:eastAsia="Times New Roman" w:hAnsiTheme="minorHAnsi" w:cstheme="minorHAnsi"/>
                <w:b/>
                <w:bCs/>
                <w:color w:val="000000"/>
                <w:szCs w:val="24"/>
              </w:rPr>
            </w:pPr>
            <w:r w:rsidRPr="00E763FA">
              <w:rPr>
                <w:rFonts w:asciiTheme="minorHAnsi" w:eastAsia="Times New Roman" w:hAnsiTheme="minorHAnsi" w:cstheme="minorHAnsi"/>
                <w:b/>
                <w:bCs/>
                <w:color w:val="000000"/>
                <w:szCs w:val="24"/>
              </w:rPr>
              <w:t>Medicaid</w:t>
            </w:r>
            <w:r w:rsidRPr="00E45E85">
              <w:rPr>
                <w:rFonts w:asciiTheme="minorHAnsi" w:eastAsia="Times New Roman" w:hAnsiTheme="minorHAnsi" w:cstheme="minorHAnsi"/>
                <w:b/>
                <w:bCs/>
                <w:color w:val="000000"/>
                <w:szCs w:val="24"/>
              </w:rPr>
              <w:t xml:space="preserve"> </w:t>
            </w:r>
            <w:r w:rsidRPr="00E45E85">
              <w:rPr>
                <w:rFonts w:asciiTheme="minorHAnsi" w:eastAsia="Times New Roman" w:hAnsiTheme="minorHAnsi" w:cstheme="minorHAnsi"/>
                <w:b/>
                <w:bCs/>
                <w:color w:val="000000"/>
                <w:szCs w:val="24"/>
              </w:rPr>
              <w:t>Office</w:t>
            </w:r>
          </w:p>
        </w:tc>
      </w:tr>
      <w:tr w:rsidR="00882C44" w:rsidRPr="00E763FA" w14:paraId="7738A5AE" w14:textId="77777777" w:rsidTr="00C42F87">
        <w:trPr>
          <w:cantSplit/>
          <w:trHeight w:val="343"/>
        </w:trPr>
        <w:tc>
          <w:tcPr>
            <w:tcW w:w="1255" w:type="pct"/>
            <w:noWrap/>
          </w:tcPr>
          <w:p w14:paraId="3C58400C" w14:textId="77777777" w:rsidR="00882C44" w:rsidRPr="00594B91" w:rsidRDefault="00882C44" w:rsidP="00882C44">
            <w:pPr>
              <w:spacing w:after="0" w:line="240" w:lineRule="auto"/>
              <w:rPr>
                <w:rFonts w:asciiTheme="minorHAnsi" w:eastAsia="Times New Roman" w:hAnsiTheme="minorHAnsi" w:cstheme="minorHAnsi"/>
                <w:b/>
                <w:bCs/>
                <w:color w:val="000000"/>
                <w:szCs w:val="24"/>
              </w:rPr>
            </w:pPr>
            <w:r w:rsidRPr="00594B91">
              <w:rPr>
                <w:rFonts w:asciiTheme="minorHAnsi" w:eastAsia="Times New Roman" w:hAnsiTheme="minorHAnsi" w:cstheme="minorHAnsi"/>
                <w:b/>
                <w:bCs/>
                <w:color w:val="000000"/>
                <w:szCs w:val="24"/>
              </w:rPr>
              <w:t>White</w:t>
            </w:r>
          </w:p>
        </w:tc>
        <w:tc>
          <w:tcPr>
            <w:tcW w:w="999" w:type="pct"/>
            <w:noWrap/>
            <w:vAlign w:val="center"/>
          </w:tcPr>
          <w:p w14:paraId="209DCF1F" w14:textId="003B2888"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45%</w:t>
            </w:r>
          </w:p>
        </w:tc>
        <w:tc>
          <w:tcPr>
            <w:tcW w:w="1001" w:type="pct"/>
            <w:noWrap/>
            <w:vAlign w:val="center"/>
          </w:tcPr>
          <w:p w14:paraId="611FAC08" w14:textId="18B62AD7"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76%</w:t>
            </w:r>
          </w:p>
        </w:tc>
        <w:tc>
          <w:tcPr>
            <w:tcW w:w="872" w:type="pct"/>
            <w:noWrap/>
            <w:vAlign w:val="center"/>
          </w:tcPr>
          <w:p w14:paraId="17178B98" w14:textId="65DCEE72"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21%</w:t>
            </w:r>
          </w:p>
        </w:tc>
        <w:tc>
          <w:tcPr>
            <w:tcW w:w="873" w:type="pct"/>
            <w:noWrap/>
            <w:vAlign w:val="center"/>
          </w:tcPr>
          <w:p w14:paraId="7D531424" w14:textId="739CA98C"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36%</w:t>
            </w:r>
          </w:p>
        </w:tc>
      </w:tr>
      <w:tr w:rsidR="00882C44" w:rsidRPr="00E763FA" w14:paraId="67712323" w14:textId="77777777" w:rsidTr="00C42F87">
        <w:trPr>
          <w:cantSplit/>
          <w:trHeight w:val="343"/>
        </w:trPr>
        <w:tc>
          <w:tcPr>
            <w:tcW w:w="1255" w:type="pct"/>
            <w:noWrap/>
          </w:tcPr>
          <w:p w14:paraId="5339071C" w14:textId="77777777" w:rsidR="00882C44" w:rsidRPr="00594B91" w:rsidRDefault="00882C44" w:rsidP="00882C44">
            <w:pPr>
              <w:spacing w:after="0" w:line="240" w:lineRule="auto"/>
              <w:rPr>
                <w:rFonts w:asciiTheme="minorHAnsi" w:eastAsia="Times New Roman" w:hAnsiTheme="minorHAnsi" w:cstheme="minorHAnsi"/>
                <w:b/>
                <w:bCs/>
                <w:color w:val="000000"/>
                <w:szCs w:val="24"/>
              </w:rPr>
            </w:pPr>
            <w:r w:rsidRPr="00594B91">
              <w:rPr>
                <w:rFonts w:asciiTheme="minorHAnsi" w:eastAsia="Times New Roman" w:hAnsiTheme="minorHAnsi" w:cstheme="minorHAnsi"/>
                <w:b/>
                <w:bCs/>
                <w:color w:val="000000"/>
                <w:szCs w:val="24"/>
              </w:rPr>
              <w:t>Hispanic</w:t>
            </w:r>
          </w:p>
        </w:tc>
        <w:tc>
          <w:tcPr>
            <w:tcW w:w="999" w:type="pct"/>
            <w:noWrap/>
            <w:vAlign w:val="center"/>
          </w:tcPr>
          <w:p w14:paraId="4DD2A399" w14:textId="5ACEF60F"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21%</w:t>
            </w:r>
          </w:p>
        </w:tc>
        <w:tc>
          <w:tcPr>
            <w:tcW w:w="1001" w:type="pct"/>
            <w:noWrap/>
            <w:vAlign w:val="center"/>
          </w:tcPr>
          <w:p w14:paraId="24DB0A09" w14:textId="074C991D"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4%</w:t>
            </w:r>
          </w:p>
        </w:tc>
        <w:tc>
          <w:tcPr>
            <w:tcW w:w="872" w:type="pct"/>
            <w:noWrap/>
            <w:vAlign w:val="center"/>
          </w:tcPr>
          <w:p w14:paraId="021CD2DD" w14:textId="61F4C7A3"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28%</w:t>
            </w:r>
          </w:p>
        </w:tc>
        <w:tc>
          <w:tcPr>
            <w:tcW w:w="873" w:type="pct"/>
            <w:noWrap/>
            <w:vAlign w:val="center"/>
          </w:tcPr>
          <w:p w14:paraId="26D228BA" w14:textId="02FC638A"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21%</w:t>
            </w:r>
          </w:p>
        </w:tc>
      </w:tr>
      <w:tr w:rsidR="00882C44" w:rsidRPr="00E763FA" w14:paraId="0BEA31AD" w14:textId="77777777" w:rsidTr="00C42F87">
        <w:trPr>
          <w:cantSplit/>
          <w:trHeight w:val="343"/>
        </w:trPr>
        <w:tc>
          <w:tcPr>
            <w:tcW w:w="1255" w:type="pct"/>
            <w:noWrap/>
          </w:tcPr>
          <w:p w14:paraId="7A5DF610" w14:textId="77777777" w:rsidR="00882C44" w:rsidRPr="00594B91" w:rsidRDefault="00882C44" w:rsidP="00882C44">
            <w:pPr>
              <w:spacing w:after="0" w:line="240" w:lineRule="auto"/>
              <w:rPr>
                <w:rFonts w:asciiTheme="minorHAnsi" w:eastAsia="Times New Roman" w:hAnsiTheme="minorHAnsi" w:cstheme="minorHAnsi"/>
                <w:b/>
                <w:bCs/>
                <w:color w:val="000000"/>
                <w:szCs w:val="24"/>
              </w:rPr>
            </w:pPr>
            <w:r w:rsidRPr="00594B91">
              <w:rPr>
                <w:rFonts w:asciiTheme="minorHAnsi" w:eastAsia="Times New Roman" w:hAnsiTheme="minorHAnsi" w:cstheme="minorHAnsi"/>
                <w:b/>
                <w:bCs/>
                <w:color w:val="000000"/>
                <w:szCs w:val="24"/>
              </w:rPr>
              <w:lastRenderedPageBreak/>
              <w:t>Asian or Pacific Islander</w:t>
            </w:r>
          </w:p>
        </w:tc>
        <w:tc>
          <w:tcPr>
            <w:tcW w:w="999" w:type="pct"/>
            <w:noWrap/>
            <w:vAlign w:val="center"/>
          </w:tcPr>
          <w:p w14:paraId="01B5C9CA" w14:textId="4E2508C7"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11%</w:t>
            </w:r>
          </w:p>
        </w:tc>
        <w:tc>
          <w:tcPr>
            <w:tcW w:w="1001" w:type="pct"/>
            <w:noWrap/>
            <w:vAlign w:val="center"/>
          </w:tcPr>
          <w:p w14:paraId="360AF52B" w14:textId="74DFAADC"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5%</w:t>
            </w:r>
          </w:p>
        </w:tc>
        <w:tc>
          <w:tcPr>
            <w:tcW w:w="872" w:type="pct"/>
            <w:noWrap/>
            <w:vAlign w:val="center"/>
          </w:tcPr>
          <w:p w14:paraId="5D6C4199" w14:textId="6CC5C71A"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16%</w:t>
            </w:r>
          </w:p>
        </w:tc>
        <w:tc>
          <w:tcPr>
            <w:tcW w:w="873" w:type="pct"/>
            <w:noWrap/>
            <w:vAlign w:val="center"/>
          </w:tcPr>
          <w:p w14:paraId="1D1D664C" w14:textId="60A40903"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23%</w:t>
            </w:r>
          </w:p>
        </w:tc>
      </w:tr>
      <w:tr w:rsidR="00882C44" w:rsidRPr="00E763FA" w14:paraId="25DEA158" w14:textId="77777777" w:rsidTr="00C42F87">
        <w:trPr>
          <w:cantSplit/>
          <w:trHeight w:val="343"/>
        </w:trPr>
        <w:tc>
          <w:tcPr>
            <w:tcW w:w="1255" w:type="pct"/>
            <w:noWrap/>
          </w:tcPr>
          <w:p w14:paraId="328078F0" w14:textId="77777777" w:rsidR="00882C44" w:rsidRPr="00594B91" w:rsidRDefault="00882C44" w:rsidP="00882C44">
            <w:pPr>
              <w:spacing w:after="0" w:line="240" w:lineRule="auto"/>
              <w:rPr>
                <w:rFonts w:asciiTheme="minorHAnsi" w:eastAsia="Times New Roman" w:hAnsiTheme="minorHAnsi" w:cstheme="minorHAnsi"/>
                <w:b/>
                <w:bCs/>
                <w:color w:val="000000"/>
                <w:szCs w:val="24"/>
              </w:rPr>
            </w:pPr>
            <w:r w:rsidRPr="00594B91">
              <w:rPr>
                <w:rFonts w:asciiTheme="minorHAnsi" w:eastAsia="Times New Roman" w:hAnsiTheme="minorHAnsi" w:cstheme="minorHAnsi"/>
                <w:b/>
                <w:bCs/>
                <w:color w:val="000000"/>
                <w:szCs w:val="24"/>
              </w:rPr>
              <w:t>Black</w:t>
            </w:r>
          </w:p>
        </w:tc>
        <w:tc>
          <w:tcPr>
            <w:tcW w:w="999" w:type="pct"/>
            <w:noWrap/>
            <w:vAlign w:val="center"/>
          </w:tcPr>
          <w:p w14:paraId="05AC66C8" w14:textId="1C32F2BF"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9%</w:t>
            </w:r>
          </w:p>
        </w:tc>
        <w:tc>
          <w:tcPr>
            <w:tcW w:w="1001" w:type="pct"/>
            <w:noWrap/>
            <w:vAlign w:val="center"/>
          </w:tcPr>
          <w:p w14:paraId="41EFC718" w14:textId="1F40B525"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3%</w:t>
            </w:r>
          </w:p>
        </w:tc>
        <w:tc>
          <w:tcPr>
            <w:tcW w:w="872" w:type="pct"/>
            <w:noWrap/>
            <w:vAlign w:val="center"/>
          </w:tcPr>
          <w:p w14:paraId="26B5C5A7" w14:textId="0517702D"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20%</w:t>
            </w:r>
          </w:p>
        </w:tc>
        <w:tc>
          <w:tcPr>
            <w:tcW w:w="873" w:type="pct"/>
            <w:noWrap/>
            <w:vAlign w:val="center"/>
          </w:tcPr>
          <w:p w14:paraId="266C5AA8" w14:textId="0513F6C4"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9%</w:t>
            </w:r>
          </w:p>
        </w:tc>
      </w:tr>
      <w:tr w:rsidR="00882C44" w:rsidRPr="00E763FA" w14:paraId="1D2F9587" w14:textId="77777777" w:rsidTr="00C42F87">
        <w:trPr>
          <w:cantSplit/>
          <w:trHeight w:val="343"/>
        </w:trPr>
        <w:tc>
          <w:tcPr>
            <w:tcW w:w="1255" w:type="pct"/>
            <w:noWrap/>
          </w:tcPr>
          <w:p w14:paraId="68E07D4A" w14:textId="77777777" w:rsidR="00882C44" w:rsidRPr="00594B91" w:rsidRDefault="00882C44" w:rsidP="00882C44">
            <w:pPr>
              <w:spacing w:after="0" w:line="240" w:lineRule="auto"/>
              <w:rPr>
                <w:rFonts w:asciiTheme="minorHAnsi" w:eastAsia="Times New Roman" w:hAnsiTheme="minorHAnsi" w:cstheme="minorHAnsi"/>
                <w:b/>
                <w:bCs/>
                <w:color w:val="000000"/>
                <w:szCs w:val="24"/>
              </w:rPr>
            </w:pPr>
            <w:r w:rsidRPr="00594B91">
              <w:rPr>
                <w:rFonts w:asciiTheme="minorHAnsi" w:eastAsia="Times New Roman" w:hAnsiTheme="minorHAnsi" w:cstheme="minorHAnsi"/>
                <w:b/>
                <w:bCs/>
                <w:color w:val="000000"/>
                <w:szCs w:val="24"/>
              </w:rPr>
              <w:t>Other</w:t>
            </w:r>
          </w:p>
        </w:tc>
        <w:tc>
          <w:tcPr>
            <w:tcW w:w="999" w:type="pct"/>
            <w:noWrap/>
            <w:vAlign w:val="center"/>
          </w:tcPr>
          <w:p w14:paraId="0733754D" w14:textId="76848910"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0%</w:t>
            </w:r>
          </w:p>
        </w:tc>
        <w:tc>
          <w:tcPr>
            <w:tcW w:w="1001" w:type="pct"/>
            <w:noWrap/>
            <w:vAlign w:val="center"/>
          </w:tcPr>
          <w:p w14:paraId="5C27B049" w14:textId="79D8E6BA"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0%</w:t>
            </w:r>
          </w:p>
        </w:tc>
        <w:tc>
          <w:tcPr>
            <w:tcW w:w="872" w:type="pct"/>
            <w:noWrap/>
            <w:vAlign w:val="center"/>
          </w:tcPr>
          <w:p w14:paraId="79A2CBE3" w14:textId="537492DD"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0%</w:t>
            </w:r>
          </w:p>
        </w:tc>
        <w:tc>
          <w:tcPr>
            <w:tcW w:w="873" w:type="pct"/>
            <w:noWrap/>
            <w:vAlign w:val="center"/>
          </w:tcPr>
          <w:p w14:paraId="7574CED4" w14:textId="70242317"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0%</w:t>
            </w:r>
          </w:p>
        </w:tc>
      </w:tr>
      <w:tr w:rsidR="00882C44" w:rsidRPr="00E763FA" w14:paraId="35EBE7E2" w14:textId="77777777" w:rsidTr="00C42F87">
        <w:trPr>
          <w:cantSplit/>
          <w:trHeight w:val="343"/>
        </w:trPr>
        <w:tc>
          <w:tcPr>
            <w:tcW w:w="1255" w:type="pct"/>
            <w:noWrap/>
          </w:tcPr>
          <w:p w14:paraId="45880EEB" w14:textId="77777777" w:rsidR="00882C44" w:rsidRPr="00594B91" w:rsidRDefault="00882C44" w:rsidP="00882C44">
            <w:pPr>
              <w:spacing w:after="0" w:line="240" w:lineRule="auto"/>
              <w:rPr>
                <w:rFonts w:asciiTheme="minorHAnsi" w:eastAsia="Times New Roman" w:hAnsiTheme="minorHAnsi" w:cstheme="minorHAnsi"/>
                <w:b/>
                <w:bCs/>
                <w:color w:val="000000"/>
                <w:szCs w:val="24"/>
              </w:rPr>
            </w:pPr>
            <w:r w:rsidRPr="00594B91">
              <w:rPr>
                <w:rFonts w:asciiTheme="minorHAnsi" w:eastAsia="Times New Roman" w:hAnsiTheme="minorHAnsi" w:cstheme="minorHAnsi"/>
                <w:b/>
                <w:bCs/>
                <w:color w:val="000000"/>
                <w:szCs w:val="24"/>
              </w:rPr>
              <w:t>Unknown</w:t>
            </w:r>
          </w:p>
        </w:tc>
        <w:tc>
          <w:tcPr>
            <w:tcW w:w="999" w:type="pct"/>
            <w:noWrap/>
            <w:vAlign w:val="center"/>
          </w:tcPr>
          <w:p w14:paraId="0FB13407" w14:textId="256CF543"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14%</w:t>
            </w:r>
          </w:p>
        </w:tc>
        <w:tc>
          <w:tcPr>
            <w:tcW w:w="1001" w:type="pct"/>
            <w:noWrap/>
            <w:vAlign w:val="center"/>
          </w:tcPr>
          <w:p w14:paraId="1C259E2D" w14:textId="2FE90AFC"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12%</w:t>
            </w:r>
          </w:p>
        </w:tc>
        <w:tc>
          <w:tcPr>
            <w:tcW w:w="872" w:type="pct"/>
            <w:noWrap/>
            <w:vAlign w:val="center"/>
          </w:tcPr>
          <w:p w14:paraId="6A31EF93" w14:textId="0FD807BC"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15%</w:t>
            </w:r>
          </w:p>
        </w:tc>
        <w:tc>
          <w:tcPr>
            <w:tcW w:w="873" w:type="pct"/>
            <w:noWrap/>
            <w:vAlign w:val="center"/>
          </w:tcPr>
          <w:p w14:paraId="18C0C255" w14:textId="1CF72F5E" w:rsidR="00882C44" w:rsidRPr="00E763FA" w:rsidRDefault="00882C44" w:rsidP="00882C44">
            <w:pPr>
              <w:spacing w:after="0" w:line="240" w:lineRule="auto"/>
              <w:jc w:val="right"/>
              <w:rPr>
                <w:rFonts w:asciiTheme="minorHAnsi" w:eastAsia="Times New Roman" w:hAnsiTheme="minorHAnsi" w:cstheme="minorHAnsi"/>
                <w:color w:val="000000"/>
                <w:szCs w:val="24"/>
              </w:rPr>
            </w:pPr>
            <w:r>
              <w:rPr>
                <w:rFonts w:asciiTheme="minorHAnsi" w:eastAsia="Times New Roman" w:hAnsiTheme="minorHAnsi" w:cstheme="minorHAnsi"/>
                <w:color w:val="000000"/>
                <w:szCs w:val="24"/>
              </w:rPr>
              <w:t>11%</w:t>
            </w:r>
          </w:p>
        </w:tc>
      </w:tr>
    </w:tbl>
    <w:p w14:paraId="0186DDC5" w14:textId="77777777" w:rsidR="00E10A43" w:rsidRPr="004F4988" w:rsidRDefault="00E10A43" w:rsidP="00E10A43">
      <w:pPr>
        <w:pStyle w:val="NoSpacing"/>
        <w:rPr>
          <w:rFonts w:asciiTheme="minorHAnsi" w:hAnsiTheme="minorHAnsi" w:cstheme="minorHAnsi"/>
          <w:bCs/>
          <w:szCs w:val="24"/>
        </w:rPr>
      </w:pPr>
      <w:r w:rsidRPr="004F4988">
        <w:rPr>
          <w:rFonts w:asciiTheme="minorHAnsi" w:hAnsiTheme="minorHAnsi" w:cstheme="minorHAnsi"/>
          <w:bCs/>
          <w:szCs w:val="24"/>
        </w:rPr>
        <w:t>ASC excluded due to volume &lt;11</w:t>
      </w:r>
    </w:p>
    <w:p w14:paraId="2DF68078" w14:textId="77777777" w:rsidR="00E10A43" w:rsidRPr="004F4988" w:rsidRDefault="00E10A43" w:rsidP="00E10A43">
      <w:pPr>
        <w:pStyle w:val="NoSpacing"/>
        <w:rPr>
          <w:rFonts w:asciiTheme="minorHAnsi" w:hAnsiTheme="minorHAnsi" w:cstheme="minorHAnsi"/>
          <w:bCs/>
          <w:szCs w:val="24"/>
        </w:rPr>
      </w:pPr>
      <w:r w:rsidRPr="004F4988">
        <w:rPr>
          <w:rFonts w:asciiTheme="minorHAnsi" w:hAnsiTheme="minorHAnsi" w:cstheme="minorHAnsi"/>
          <w:bCs/>
          <w:szCs w:val="24"/>
        </w:rPr>
        <w:t>Source: Komodo Claims Data 2024</w:t>
      </w:r>
    </w:p>
    <w:p w14:paraId="1AB3103D" w14:textId="77777777" w:rsidR="00594B91" w:rsidRDefault="00594B91" w:rsidP="002344DC">
      <w:pPr>
        <w:pStyle w:val="Footer"/>
      </w:pPr>
    </w:p>
    <w:p w14:paraId="447CB87D" w14:textId="77777777" w:rsidR="004600DF" w:rsidRPr="00090CBB" w:rsidRDefault="004600DF" w:rsidP="00FD2E73">
      <w:pPr>
        <w:pStyle w:val="ListParagraph"/>
        <w:numPr>
          <w:ilvl w:val="0"/>
          <w:numId w:val="32"/>
        </w:numPr>
      </w:pPr>
      <w:r>
        <w:rPr>
          <w:rFonts w:cstheme="minorHAnsi"/>
          <w:b/>
          <w:sz w:val="24"/>
          <w:szCs w:val="32"/>
        </w:rPr>
        <w:t xml:space="preserve">Behavioral Health Risk Factors </w:t>
      </w:r>
    </w:p>
    <w:p w14:paraId="7FBE7111" w14:textId="77777777" w:rsidR="004600DF" w:rsidRPr="00090CBB" w:rsidRDefault="004600DF" w:rsidP="00FD2E73">
      <w:pPr>
        <w:pStyle w:val="ListParagraph"/>
      </w:pPr>
    </w:p>
    <w:p w14:paraId="48049B53" w14:textId="77777777" w:rsidR="004600DF" w:rsidRPr="00090CBB" w:rsidRDefault="004600DF" w:rsidP="00FD2E73">
      <w:pPr>
        <w:pStyle w:val="ListParagraph"/>
        <w:numPr>
          <w:ilvl w:val="1"/>
          <w:numId w:val="32"/>
        </w:numPr>
      </w:pPr>
      <w:r>
        <w:rPr>
          <w:rFonts w:cstheme="minorHAnsi"/>
          <w:b/>
          <w:sz w:val="24"/>
          <w:szCs w:val="32"/>
        </w:rPr>
        <w:t xml:space="preserve">Primary Diagnosis </w:t>
      </w:r>
    </w:p>
    <w:p w14:paraId="73C7AC9F" w14:textId="77777777" w:rsidR="004600DF" w:rsidRPr="00090CBB" w:rsidRDefault="004600DF" w:rsidP="00FD2E73">
      <w:pPr>
        <w:pStyle w:val="ListParagraph"/>
        <w:ind w:left="1440"/>
      </w:pPr>
    </w:p>
    <w:tbl>
      <w:tblPr>
        <w:tblStyle w:val="TableGrid"/>
        <w:tblW w:w="0" w:type="auto"/>
        <w:tblLook w:val="04A0" w:firstRow="1" w:lastRow="0" w:firstColumn="1" w:lastColumn="0" w:noHBand="0" w:noVBand="1"/>
        <w:tblCaption w:val="Primary Diagnosis "/>
      </w:tblPr>
      <w:tblGrid>
        <w:gridCol w:w="1615"/>
        <w:gridCol w:w="1530"/>
        <w:gridCol w:w="3330"/>
        <w:gridCol w:w="2875"/>
      </w:tblGrid>
      <w:tr w:rsidR="004600DF" w14:paraId="34CB99A4" w14:textId="77777777" w:rsidTr="00822440">
        <w:trPr>
          <w:cantSplit/>
          <w:tblHeader/>
        </w:trPr>
        <w:tc>
          <w:tcPr>
            <w:tcW w:w="1615" w:type="dxa"/>
            <w:shd w:val="clear" w:color="auto" w:fill="DBE5F1" w:themeFill="accent1" w:themeFillTint="33"/>
          </w:tcPr>
          <w:p w14:paraId="4E363810" w14:textId="77777777" w:rsidR="004600DF" w:rsidRPr="00090CBB" w:rsidRDefault="004600DF" w:rsidP="00FD2E73">
            <w:pPr>
              <w:rPr>
                <w:rFonts w:asciiTheme="minorHAnsi" w:hAnsiTheme="minorHAnsi" w:cstheme="minorHAnsi"/>
                <w:b/>
                <w:bCs/>
              </w:rPr>
            </w:pPr>
            <w:r w:rsidRPr="00090CBB">
              <w:rPr>
                <w:rFonts w:asciiTheme="minorHAnsi" w:hAnsiTheme="minorHAnsi" w:cstheme="minorHAnsi"/>
                <w:b/>
                <w:bCs/>
              </w:rPr>
              <w:t>H</w:t>
            </w:r>
            <w:r>
              <w:rPr>
                <w:rFonts w:asciiTheme="minorHAnsi" w:hAnsiTheme="minorHAnsi" w:cstheme="minorHAnsi"/>
                <w:b/>
                <w:bCs/>
              </w:rPr>
              <w:t>CPCS</w:t>
            </w:r>
            <w:r w:rsidRPr="00090CBB">
              <w:rPr>
                <w:rFonts w:asciiTheme="minorHAnsi" w:hAnsiTheme="minorHAnsi" w:cstheme="minorHAnsi"/>
                <w:b/>
                <w:bCs/>
              </w:rPr>
              <w:t xml:space="preserve"> Code</w:t>
            </w:r>
          </w:p>
        </w:tc>
        <w:tc>
          <w:tcPr>
            <w:tcW w:w="1530" w:type="dxa"/>
            <w:shd w:val="clear" w:color="auto" w:fill="DBE5F1" w:themeFill="accent1" w:themeFillTint="33"/>
          </w:tcPr>
          <w:p w14:paraId="111191A9" w14:textId="77777777" w:rsidR="004600DF" w:rsidRPr="00090CBB" w:rsidRDefault="004600DF" w:rsidP="00FD2E73">
            <w:pPr>
              <w:rPr>
                <w:rFonts w:asciiTheme="minorHAnsi" w:hAnsiTheme="minorHAnsi" w:cstheme="minorHAnsi"/>
                <w:b/>
                <w:bCs/>
              </w:rPr>
            </w:pPr>
            <w:r w:rsidRPr="00090CBB">
              <w:rPr>
                <w:rFonts w:asciiTheme="minorHAnsi" w:hAnsiTheme="minorHAnsi" w:cstheme="minorHAnsi"/>
                <w:b/>
                <w:bCs/>
              </w:rPr>
              <w:t>Dx Code</w:t>
            </w:r>
          </w:p>
        </w:tc>
        <w:tc>
          <w:tcPr>
            <w:tcW w:w="3330" w:type="dxa"/>
            <w:shd w:val="clear" w:color="auto" w:fill="DBE5F1" w:themeFill="accent1" w:themeFillTint="33"/>
          </w:tcPr>
          <w:p w14:paraId="6A0DBDAF" w14:textId="77777777" w:rsidR="004600DF" w:rsidRPr="00090CBB" w:rsidRDefault="004600DF" w:rsidP="00FD2E73">
            <w:pPr>
              <w:rPr>
                <w:rFonts w:asciiTheme="minorHAnsi" w:hAnsiTheme="minorHAnsi" w:cstheme="minorHAnsi"/>
                <w:b/>
                <w:bCs/>
              </w:rPr>
            </w:pPr>
            <w:r w:rsidRPr="00090CBB">
              <w:rPr>
                <w:rFonts w:asciiTheme="minorHAnsi" w:hAnsiTheme="minorHAnsi" w:cstheme="minorHAnsi"/>
                <w:b/>
                <w:bCs/>
              </w:rPr>
              <w:t>Dx Description</w:t>
            </w:r>
          </w:p>
        </w:tc>
        <w:tc>
          <w:tcPr>
            <w:tcW w:w="2875" w:type="dxa"/>
            <w:shd w:val="clear" w:color="auto" w:fill="DBE5F1" w:themeFill="accent1" w:themeFillTint="33"/>
          </w:tcPr>
          <w:p w14:paraId="2C32D2BE" w14:textId="359D8EA4" w:rsidR="004600DF" w:rsidRPr="00090CBB" w:rsidRDefault="00A9558A" w:rsidP="00FD2E73">
            <w:pPr>
              <w:rPr>
                <w:rFonts w:asciiTheme="minorHAnsi" w:hAnsiTheme="minorHAnsi" w:cstheme="minorHAnsi"/>
                <w:b/>
                <w:bCs/>
              </w:rPr>
            </w:pPr>
            <w:r>
              <w:rPr>
                <w:rFonts w:asciiTheme="minorHAnsi" w:hAnsiTheme="minorHAnsi" w:cstheme="minorHAnsi"/>
                <w:b/>
                <w:bCs/>
              </w:rPr>
              <w:t>Percent</w:t>
            </w:r>
            <w:r w:rsidR="004600DF" w:rsidRPr="00090CBB">
              <w:rPr>
                <w:rFonts w:asciiTheme="minorHAnsi" w:hAnsiTheme="minorHAnsi" w:cstheme="minorHAnsi"/>
                <w:b/>
                <w:bCs/>
              </w:rPr>
              <w:t xml:space="preserve"> </w:t>
            </w:r>
            <w:r w:rsidR="004600DF">
              <w:rPr>
                <w:rFonts w:asciiTheme="minorHAnsi" w:hAnsiTheme="minorHAnsi" w:cstheme="minorHAnsi"/>
                <w:b/>
                <w:bCs/>
              </w:rPr>
              <w:t>with Condition</w:t>
            </w:r>
          </w:p>
        </w:tc>
      </w:tr>
      <w:tr w:rsidR="004600DF" w14:paraId="5A89B4EC" w14:textId="77777777" w:rsidTr="00822440">
        <w:trPr>
          <w:cantSplit/>
        </w:trPr>
        <w:tc>
          <w:tcPr>
            <w:tcW w:w="1615" w:type="dxa"/>
          </w:tcPr>
          <w:p w14:paraId="01D20186" w14:textId="77777777" w:rsidR="004600DF" w:rsidRPr="00090CBB" w:rsidRDefault="004600DF" w:rsidP="00FD2E73">
            <w:pPr>
              <w:rPr>
                <w:rFonts w:asciiTheme="minorHAnsi" w:hAnsiTheme="minorHAnsi" w:cstheme="minorHAnsi"/>
              </w:rPr>
            </w:pPr>
            <w:r w:rsidRPr="00090CBB">
              <w:rPr>
                <w:rFonts w:asciiTheme="minorHAnsi" w:hAnsiTheme="minorHAnsi" w:cstheme="minorHAnsi"/>
              </w:rPr>
              <w:t>D9222</w:t>
            </w:r>
          </w:p>
        </w:tc>
        <w:tc>
          <w:tcPr>
            <w:tcW w:w="1530" w:type="dxa"/>
          </w:tcPr>
          <w:p w14:paraId="70911618" w14:textId="77777777" w:rsidR="004600DF" w:rsidRPr="00090CBB" w:rsidRDefault="004600DF" w:rsidP="00FD2E73">
            <w:pPr>
              <w:rPr>
                <w:rFonts w:asciiTheme="minorHAnsi" w:hAnsiTheme="minorHAnsi" w:cstheme="minorHAnsi"/>
              </w:rPr>
            </w:pPr>
            <w:r w:rsidRPr="00090CBB">
              <w:rPr>
                <w:rFonts w:asciiTheme="minorHAnsi" w:hAnsiTheme="minorHAnsi" w:cstheme="minorHAnsi"/>
              </w:rPr>
              <w:t>K011</w:t>
            </w:r>
          </w:p>
        </w:tc>
        <w:tc>
          <w:tcPr>
            <w:tcW w:w="3330" w:type="dxa"/>
          </w:tcPr>
          <w:p w14:paraId="09097B34" w14:textId="77777777" w:rsidR="004600DF" w:rsidRPr="00090CBB" w:rsidRDefault="004600DF" w:rsidP="00FD2E73">
            <w:pPr>
              <w:rPr>
                <w:rFonts w:asciiTheme="minorHAnsi" w:hAnsiTheme="minorHAnsi" w:cstheme="minorHAnsi"/>
              </w:rPr>
            </w:pPr>
            <w:r w:rsidRPr="00090CBB">
              <w:rPr>
                <w:rFonts w:asciiTheme="minorHAnsi" w:hAnsiTheme="minorHAnsi" w:cstheme="minorHAnsi"/>
              </w:rPr>
              <w:t>Impacted Teeth</w:t>
            </w:r>
          </w:p>
        </w:tc>
        <w:tc>
          <w:tcPr>
            <w:tcW w:w="2875" w:type="dxa"/>
          </w:tcPr>
          <w:p w14:paraId="4BC83442" w14:textId="77777777" w:rsidR="004600DF" w:rsidRPr="00090CBB" w:rsidRDefault="004600DF" w:rsidP="00FD2E73">
            <w:pPr>
              <w:rPr>
                <w:rFonts w:asciiTheme="minorHAnsi" w:hAnsiTheme="minorHAnsi" w:cstheme="minorHAnsi"/>
              </w:rPr>
            </w:pPr>
            <w:r w:rsidRPr="00090CBB">
              <w:rPr>
                <w:rFonts w:asciiTheme="minorHAnsi" w:hAnsiTheme="minorHAnsi" w:cstheme="minorHAnsi"/>
              </w:rPr>
              <w:t>94%</w:t>
            </w:r>
          </w:p>
        </w:tc>
      </w:tr>
      <w:tr w:rsidR="00ED1055" w14:paraId="6C86E4A2" w14:textId="77777777" w:rsidTr="00822440">
        <w:trPr>
          <w:cantSplit/>
        </w:trPr>
        <w:tc>
          <w:tcPr>
            <w:tcW w:w="1615" w:type="dxa"/>
          </w:tcPr>
          <w:p w14:paraId="6FEE9F9E" w14:textId="30F38F8F" w:rsidR="00ED1055" w:rsidRPr="00090CBB" w:rsidRDefault="00ED1055" w:rsidP="00ED1055">
            <w:pPr>
              <w:rPr>
                <w:rFonts w:asciiTheme="minorHAnsi" w:hAnsiTheme="minorHAnsi" w:cstheme="minorHAnsi"/>
              </w:rPr>
            </w:pPr>
            <w:r w:rsidRPr="0030625F">
              <w:rPr>
                <w:rFonts w:asciiTheme="minorHAnsi" w:hAnsiTheme="minorHAnsi" w:cstheme="minorHAnsi"/>
                <w:b/>
                <w:szCs w:val="24"/>
              </w:rPr>
              <w:t>n/a</w:t>
            </w:r>
          </w:p>
        </w:tc>
        <w:tc>
          <w:tcPr>
            <w:tcW w:w="1530" w:type="dxa"/>
          </w:tcPr>
          <w:p w14:paraId="306E6118" w14:textId="77777777" w:rsidR="00ED1055" w:rsidRPr="00090CBB" w:rsidRDefault="00ED1055" w:rsidP="00ED1055">
            <w:pPr>
              <w:rPr>
                <w:rFonts w:asciiTheme="minorHAnsi" w:hAnsiTheme="minorHAnsi" w:cstheme="minorHAnsi"/>
              </w:rPr>
            </w:pPr>
            <w:r w:rsidRPr="00090CBB">
              <w:rPr>
                <w:rFonts w:asciiTheme="minorHAnsi" w:hAnsiTheme="minorHAnsi" w:cstheme="minorHAnsi"/>
              </w:rPr>
              <w:t>K006</w:t>
            </w:r>
          </w:p>
        </w:tc>
        <w:tc>
          <w:tcPr>
            <w:tcW w:w="3330" w:type="dxa"/>
          </w:tcPr>
          <w:p w14:paraId="158F9064" w14:textId="77777777" w:rsidR="00ED1055" w:rsidRPr="00090CBB" w:rsidRDefault="00ED1055" w:rsidP="00ED1055">
            <w:pPr>
              <w:rPr>
                <w:rFonts w:asciiTheme="minorHAnsi" w:hAnsiTheme="minorHAnsi" w:cstheme="minorHAnsi"/>
              </w:rPr>
            </w:pPr>
            <w:r w:rsidRPr="00090CBB">
              <w:rPr>
                <w:rFonts w:asciiTheme="minorHAnsi" w:hAnsiTheme="minorHAnsi" w:cstheme="minorHAnsi"/>
              </w:rPr>
              <w:t>Disturbances in tooth eruption</w:t>
            </w:r>
          </w:p>
        </w:tc>
        <w:tc>
          <w:tcPr>
            <w:tcW w:w="2875" w:type="dxa"/>
          </w:tcPr>
          <w:p w14:paraId="3FA3086C" w14:textId="77777777" w:rsidR="00ED1055" w:rsidRPr="00090CBB" w:rsidRDefault="00ED1055" w:rsidP="00ED1055">
            <w:pPr>
              <w:rPr>
                <w:rFonts w:asciiTheme="minorHAnsi" w:hAnsiTheme="minorHAnsi" w:cstheme="minorHAnsi"/>
              </w:rPr>
            </w:pPr>
            <w:r w:rsidRPr="00090CBB">
              <w:rPr>
                <w:rFonts w:asciiTheme="minorHAnsi" w:hAnsiTheme="minorHAnsi" w:cstheme="minorHAnsi"/>
              </w:rPr>
              <w:t>3%</w:t>
            </w:r>
          </w:p>
        </w:tc>
      </w:tr>
      <w:tr w:rsidR="00ED1055" w14:paraId="2AEDB520" w14:textId="77777777" w:rsidTr="00822440">
        <w:trPr>
          <w:cantSplit/>
        </w:trPr>
        <w:tc>
          <w:tcPr>
            <w:tcW w:w="1615" w:type="dxa"/>
          </w:tcPr>
          <w:p w14:paraId="0DFE0D0C" w14:textId="0AD71BFF" w:rsidR="00ED1055" w:rsidRPr="00090CBB" w:rsidRDefault="00ED1055" w:rsidP="00ED1055">
            <w:pPr>
              <w:rPr>
                <w:rFonts w:asciiTheme="minorHAnsi" w:hAnsiTheme="minorHAnsi" w:cstheme="minorHAnsi"/>
              </w:rPr>
            </w:pPr>
            <w:r w:rsidRPr="0030625F">
              <w:rPr>
                <w:rFonts w:asciiTheme="minorHAnsi" w:hAnsiTheme="minorHAnsi" w:cstheme="minorHAnsi"/>
                <w:b/>
                <w:szCs w:val="24"/>
              </w:rPr>
              <w:t>n/a</w:t>
            </w:r>
          </w:p>
        </w:tc>
        <w:tc>
          <w:tcPr>
            <w:tcW w:w="1530" w:type="dxa"/>
          </w:tcPr>
          <w:p w14:paraId="664731F1" w14:textId="77777777" w:rsidR="00ED1055" w:rsidRPr="00090CBB" w:rsidRDefault="00ED1055" w:rsidP="00ED1055">
            <w:pPr>
              <w:rPr>
                <w:rFonts w:asciiTheme="minorHAnsi" w:hAnsiTheme="minorHAnsi" w:cstheme="minorHAnsi"/>
              </w:rPr>
            </w:pPr>
            <w:r w:rsidRPr="00090CBB">
              <w:rPr>
                <w:rFonts w:asciiTheme="minorHAnsi" w:hAnsiTheme="minorHAnsi" w:cstheme="minorHAnsi"/>
              </w:rPr>
              <w:t>K010</w:t>
            </w:r>
          </w:p>
        </w:tc>
        <w:tc>
          <w:tcPr>
            <w:tcW w:w="3330" w:type="dxa"/>
          </w:tcPr>
          <w:p w14:paraId="5453C750" w14:textId="77777777" w:rsidR="00ED1055" w:rsidRPr="00090CBB" w:rsidRDefault="00ED1055" w:rsidP="00ED1055">
            <w:pPr>
              <w:rPr>
                <w:rFonts w:asciiTheme="minorHAnsi" w:hAnsiTheme="minorHAnsi" w:cstheme="minorHAnsi"/>
              </w:rPr>
            </w:pPr>
            <w:r w:rsidRPr="00090CBB">
              <w:rPr>
                <w:rFonts w:asciiTheme="minorHAnsi" w:hAnsiTheme="minorHAnsi" w:cstheme="minorHAnsi"/>
              </w:rPr>
              <w:t>Embedded teeth</w:t>
            </w:r>
          </w:p>
        </w:tc>
        <w:tc>
          <w:tcPr>
            <w:tcW w:w="2875" w:type="dxa"/>
          </w:tcPr>
          <w:p w14:paraId="2D121CF5" w14:textId="77777777" w:rsidR="00ED1055" w:rsidRPr="00090CBB" w:rsidRDefault="00ED1055" w:rsidP="00ED1055">
            <w:pPr>
              <w:rPr>
                <w:rFonts w:asciiTheme="minorHAnsi" w:hAnsiTheme="minorHAnsi" w:cstheme="minorHAnsi"/>
              </w:rPr>
            </w:pPr>
            <w:r w:rsidRPr="00090CBB">
              <w:rPr>
                <w:rFonts w:asciiTheme="minorHAnsi" w:hAnsiTheme="minorHAnsi" w:cstheme="minorHAnsi"/>
              </w:rPr>
              <w:t>1%</w:t>
            </w:r>
          </w:p>
        </w:tc>
      </w:tr>
    </w:tbl>
    <w:p w14:paraId="7C4A6975" w14:textId="77777777" w:rsidR="004600DF" w:rsidRDefault="004600DF" w:rsidP="00FD2E73">
      <w:pPr>
        <w:pStyle w:val="ListParagraph"/>
        <w:ind w:left="1440"/>
      </w:pPr>
    </w:p>
    <w:p w14:paraId="30976C60" w14:textId="77777777" w:rsidR="00E544F2" w:rsidRDefault="00E544F2" w:rsidP="00FD2E73">
      <w:pPr>
        <w:pStyle w:val="ListParagraph"/>
        <w:ind w:left="1440"/>
      </w:pPr>
    </w:p>
    <w:p w14:paraId="4DBCAFBB" w14:textId="77777777" w:rsidR="004600DF" w:rsidRDefault="004600DF" w:rsidP="00FD2E73">
      <w:pPr>
        <w:pStyle w:val="ListParagraph"/>
        <w:numPr>
          <w:ilvl w:val="1"/>
          <w:numId w:val="32"/>
        </w:numPr>
        <w:rPr>
          <w:rFonts w:cstheme="minorHAnsi"/>
          <w:b/>
          <w:bCs/>
          <w:sz w:val="24"/>
          <w:szCs w:val="24"/>
        </w:rPr>
      </w:pPr>
      <w:r w:rsidRPr="00090CBB">
        <w:rPr>
          <w:rFonts w:cstheme="minorHAnsi"/>
          <w:b/>
          <w:bCs/>
          <w:sz w:val="24"/>
          <w:szCs w:val="24"/>
        </w:rPr>
        <w:t>Hospital Outpatient: Top 5 Secondary Diagnoses</w:t>
      </w:r>
      <w:r>
        <w:rPr>
          <w:rFonts w:cstheme="minorHAnsi"/>
          <w:b/>
          <w:bCs/>
          <w:sz w:val="24"/>
          <w:szCs w:val="24"/>
        </w:rPr>
        <w:t xml:space="preserve"> by Age</w:t>
      </w:r>
    </w:p>
    <w:p w14:paraId="5AAE6715" w14:textId="77777777" w:rsidR="004600DF" w:rsidRDefault="004600DF" w:rsidP="00FD2E73">
      <w:pPr>
        <w:pStyle w:val="ListParagraph"/>
        <w:ind w:left="1440"/>
        <w:rPr>
          <w:rFonts w:cstheme="minorHAnsi"/>
          <w:b/>
          <w:bCs/>
          <w:sz w:val="24"/>
          <w:szCs w:val="24"/>
        </w:rPr>
      </w:pPr>
    </w:p>
    <w:tbl>
      <w:tblPr>
        <w:tblW w:w="7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ospital Outpatient: Top 5 Secondary Diagnoses by Age"/>
      </w:tblPr>
      <w:tblGrid>
        <w:gridCol w:w="2240"/>
        <w:gridCol w:w="3316"/>
        <w:gridCol w:w="1189"/>
        <w:gridCol w:w="1189"/>
      </w:tblGrid>
      <w:tr w:rsidR="004600DF" w:rsidRPr="00090CBB" w14:paraId="43981559" w14:textId="77777777" w:rsidTr="00A1452C">
        <w:trPr>
          <w:cantSplit/>
          <w:trHeight w:val="343"/>
          <w:tblHeader/>
        </w:trPr>
        <w:tc>
          <w:tcPr>
            <w:tcW w:w="2240" w:type="dxa"/>
            <w:shd w:val="clear" w:color="auto" w:fill="DBE5F1" w:themeFill="accent1" w:themeFillTint="33"/>
            <w:noWrap/>
            <w:vAlign w:val="bottom"/>
            <w:hideMark/>
          </w:tcPr>
          <w:p w14:paraId="05AF42CD" w14:textId="77777777" w:rsidR="004600DF" w:rsidRPr="00090CBB" w:rsidRDefault="004600DF" w:rsidP="00FD2E73">
            <w:pPr>
              <w:spacing w:after="0" w:line="240" w:lineRule="auto"/>
              <w:rPr>
                <w:rFonts w:asciiTheme="minorHAnsi" w:hAnsiTheme="minorHAnsi" w:cstheme="minorHAnsi"/>
                <w:b/>
                <w:bCs/>
              </w:rPr>
            </w:pPr>
            <w:r w:rsidRPr="00090CBB">
              <w:rPr>
                <w:rFonts w:asciiTheme="minorHAnsi" w:hAnsiTheme="minorHAnsi" w:cstheme="minorHAnsi"/>
                <w:b/>
                <w:bCs/>
              </w:rPr>
              <w:t>Non-Primary Dx Code</w:t>
            </w:r>
          </w:p>
        </w:tc>
        <w:tc>
          <w:tcPr>
            <w:tcW w:w="3316" w:type="dxa"/>
            <w:shd w:val="clear" w:color="auto" w:fill="DBE5F1" w:themeFill="accent1" w:themeFillTint="33"/>
            <w:noWrap/>
            <w:vAlign w:val="bottom"/>
            <w:hideMark/>
          </w:tcPr>
          <w:p w14:paraId="2FA255B1" w14:textId="77777777" w:rsidR="004600DF" w:rsidRPr="00090CBB" w:rsidRDefault="004600DF" w:rsidP="00FD2E73">
            <w:pPr>
              <w:spacing w:after="0" w:line="240" w:lineRule="auto"/>
              <w:rPr>
                <w:rFonts w:asciiTheme="minorHAnsi" w:hAnsiTheme="minorHAnsi" w:cstheme="minorHAnsi"/>
                <w:b/>
                <w:bCs/>
              </w:rPr>
            </w:pPr>
            <w:r w:rsidRPr="00090CBB">
              <w:rPr>
                <w:rFonts w:asciiTheme="minorHAnsi" w:hAnsiTheme="minorHAnsi" w:cstheme="minorHAnsi"/>
                <w:b/>
                <w:bCs/>
              </w:rPr>
              <w:t>Non-Primary Dx Description</w:t>
            </w:r>
          </w:p>
        </w:tc>
        <w:tc>
          <w:tcPr>
            <w:tcW w:w="1189" w:type="dxa"/>
            <w:shd w:val="clear" w:color="auto" w:fill="DBE5F1" w:themeFill="accent1" w:themeFillTint="33"/>
            <w:noWrap/>
            <w:vAlign w:val="bottom"/>
            <w:hideMark/>
          </w:tcPr>
          <w:p w14:paraId="01BE2904" w14:textId="6BF2D7B9" w:rsidR="004600DF" w:rsidRPr="00090CBB" w:rsidRDefault="00822440" w:rsidP="00FD2E73">
            <w:pPr>
              <w:spacing w:after="0" w:line="240" w:lineRule="auto"/>
              <w:rPr>
                <w:rFonts w:asciiTheme="minorHAnsi" w:hAnsiTheme="minorHAnsi" w:cstheme="minorHAnsi"/>
                <w:b/>
                <w:bCs/>
              </w:rPr>
            </w:pPr>
            <w:r>
              <w:rPr>
                <w:rFonts w:asciiTheme="minorHAnsi" w:hAnsiTheme="minorHAnsi" w:cstheme="minorHAnsi"/>
                <w:b/>
                <w:bCs/>
              </w:rPr>
              <w:t>Percent</w:t>
            </w:r>
            <w:r w:rsidRPr="00090CBB">
              <w:rPr>
                <w:rFonts w:asciiTheme="minorHAnsi" w:hAnsiTheme="minorHAnsi" w:cstheme="minorHAnsi"/>
                <w:b/>
                <w:bCs/>
              </w:rPr>
              <w:t xml:space="preserve"> with Condition</w:t>
            </w:r>
            <w:r w:rsidRPr="00090CBB">
              <w:rPr>
                <w:rFonts w:asciiTheme="minorHAnsi" w:hAnsiTheme="minorHAnsi" w:cstheme="minorHAnsi"/>
                <w:b/>
                <w:bCs/>
              </w:rPr>
              <w:t xml:space="preserve"> </w:t>
            </w:r>
            <w:r w:rsidR="004600DF" w:rsidRPr="00090CBB">
              <w:rPr>
                <w:rFonts w:asciiTheme="minorHAnsi" w:hAnsiTheme="minorHAnsi" w:cstheme="minorHAnsi"/>
                <w:b/>
                <w:bCs/>
              </w:rPr>
              <w:t>0 to 10</w:t>
            </w:r>
          </w:p>
        </w:tc>
        <w:tc>
          <w:tcPr>
            <w:tcW w:w="1189" w:type="dxa"/>
            <w:shd w:val="clear" w:color="auto" w:fill="DBE5F1" w:themeFill="accent1" w:themeFillTint="33"/>
            <w:noWrap/>
            <w:vAlign w:val="bottom"/>
            <w:hideMark/>
          </w:tcPr>
          <w:p w14:paraId="77383D64" w14:textId="73EF5E10" w:rsidR="004600DF" w:rsidRPr="00090CBB" w:rsidRDefault="00822440" w:rsidP="00FD2E73">
            <w:pPr>
              <w:spacing w:after="0" w:line="240" w:lineRule="auto"/>
              <w:rPr>
                <w:rFonts w:asciiTheme="minorHAnsi" w:hAnsiTheme="minorHAnsi" w:cstheme="minorHAnsi"/>
                <w:b/>
                <w:bCs/>
              </w:rPr>
            </w:pPr>
            <w:r>
              <w:rPr>
                <w:rFonts w:asciiTheme="minorHAnsi" w:hAnsiTheme="minorHAnsi" w:cstheme="minorHAnsi"/>
                <w:b/>
                <w:bCs/>
              </w:rPr>
              <w:t>Percent</w:t>
            </w:r>
            <w:r w:rsidRPr="00090CBB">
              <w:rPr>
                <w:rFonts w:asciiTheme="minorHAnsi" w:hAnsiTheme="minorHAnsi" w:cstheme="minorHAnsi"/>
                <w:b/>
                <w:bCs/>
              </w:rPr>
              <w:t xml:space="preserve"> with Condition </w:t>
            </w:r>
            <w:r w:rsidR="004600DF" w:rsidRPr="00090CBB">
              <w:rPr>
                <w:rFonts w:asciiTheme="minorHAnsi" w:hAnsiTheme="minorHAnsi" w:cstheme="minorHAnsi"/>
                <w:b/>
                <w:bCs/>
              </w:rPr>
              <w:t>11 to 21</w:t>
            </w:r>
          </w:p>
        </w:tc>
      </w:tr>
      <w:tr w:rsidR="004600DF" w:rsidRPr="00090CBB" w14:paraId="13D06668" w14:textId="77777777" w:rsidTr="00A1452C">
        <w:trPr>
          <w:cantSplit/>
          <w:trHeight w:val="343"/>
        </w:trPr>
        <w:tc>
          <w:tcPr>
            <w:tcW w:w="2240" w:type="dxa"/>
            <w:noWrap/>
            <w:vAlign w:val="bottom"/>
            <w:hideMark/>
          </w:tcPr>
          <w:p w14:paraId="3C77D704" w14:textId="77777777" w:rsidR="004600DF" w:rsidRPr="00090CBB" w:rsidRDefault="004600DF" w:rsidP="00FD2E73">
            <w:pPr>
              <w:spacing w:after="0" w:line="240" w:lineRule="auto"/>
              <w:rPr>
                <w:rFonts w:asciiTheme="minorHAnsi" w:hAnsiTheme="minorHAnsi" w:cstheme="minorHAnsi"/>
              </w:rPr>
            </w:pPr>
            <w:r w:rsidRPr="00090CBB">
              <w:rPr>
                <w:rFonts w:asciiTheme="minorHAnsi" w:hAnsiTheme="minorHAnsi" w:cstheme="minorHAnsi"/>
              </w:rPr>
              <w:t>F430</w:t>
            </w:r>
          </w:p>
        </w:tc>
        <w:tc>
          <w:tcPr>
            <w:tcW w:w="3316" w:type="dxa"/>
            <w:noWrap/>
            <w:vAlign w:val="bottom"/>
            <w:hideMark/>
          </w:tcPr>
          <w:p w14:paraId="5C808C91" w14:textId="77777777" w:rsidR="004600DF" w:rsidRPr="00090CBB" w:rsidRDefault="004600DF" w:rsidP="00FD2E73">
            <w:pPr>
              <w:spacing w:after="0" w:line="240" w:lineRule="auto"/>
              <w:rPr>
                <w:rFonts w:asciiTheme="minorHAnsi" w:hAnsiTheme="minorHAnsi" w:cstheme="minorHAnsi"/>
              </w:rPr>
            </w:pPr>
            <w:r w:rsidRPr="00090CBB">
              <w:rPr>
                <w:rFonts w:asciiTheme="minorHAnsi" w:hAnsiTheme="minorHAnsi" w:cstheme="minorHAnsi"/>
              </w:rPr>
              <w:t>Acute stress reaction</w:t>
            </w:r>
          </w:p>
        </w:tc>
        <w:tc>
          <w:tcPr>
            <w:tcW w:w="1189" w:type="dxa"/>
            <w:noWrap/>
            <w:vAlign w:val="bottom"/>
            <w:hideMark/>
          </w:tcPr>
          <w:p w14:paraId="4A9D87E4" w14:textId="77777777" w:rsidR="004600DF" w:rsidRPr="00090CBB" w:rsidRDefault="004600DF" w:rsidP="00FD2E73">
            <w:pPr>
              <w:spacing w:after="0" w:line="240" w:lineRule="auto"/>
              <w:jc w:val="right"/>
              <w:rPr>
                <w:rFonts w:asciiTheme="minorHAnsi" w:hAnsiTheme="minorHAnsi" w:cstheme="minorHAnsi"/>
              </w:rPr>
            </w:pPr>
            <w:r w:rsidRPr="00090CBB">
              <w:rPr>
                <w:rFonts w:asciiTheme="minorHAnsi" w:hAnsiTheme="minorHAnsi" w:cstheme="minorHAnsi"/>
              </w:rPr>
              <w:t>28%</w:t>
            </w:r>
          </w:p>
        </w:tc>
        <w:tc>
          <w:tcPr>
            <w:tcW w:w="1189" w:type="dxa"/>
            <w:noWrap/>
            <w:vAlign w:val="bottom"/>
            <w:hideMark/>
          </w:tcPr>
          <w:p w14:paraId="18732147" w14:textId="77777777" w:rsidR="004600DF" w:rsidRPr="00090CBB" w:rsidRDefault="004600DF" w:rsidP="00FD2E73">
            <w:pPr>
              <w:spacing w:after="0" w:line="240" w:lineRule="auto"/>
              <w:jc w:val="right"/>
              <w:rPr>
                <w:rFonts w:asciiTheme="minorHAnsi" w:hAnsiTheme="minorHAnsi" w:cstheme="minorHAnsi"/>
              </w:rPr>
            </w:pPr>
            <w:r w:rsidRPr="00090CBB">
              <w:rPr>
                <w:rFonts w:asciiTheme="minorHAnsi" w:hAnsiTheme="minorHAnsi" w:cstheme="minorHAnsi"/>
              </w:rPr>
              <w:t>10%</w:t>
            </w:r>
          </w:p>
        </w:tc>
      </w:tr>
      <w:tr w:rsidR="004600DF" w:rsidRPr="00090CBB" w14:paraId="6FADE43D" w14:textId="77777777" w:rsidTr="00A1452C">
        <w:trPr>
          <w:cantSplit/>
          <w:trHeight w:val="343"/>
        </w:trPr>
        <w:tc>
          <w:tcPr>
            <w:tcW w:w="2240" w:type="dxa"/>
            <w:noWrap/>
            <w:vAlign w:val="bottom"/>
            <w:hideMark/>
          </w:tcPr>
          <w:p w14:paraId="3CF54D71" w14:textId="77777777" w:rsidR="004600DF" w:rsidRPr="00090CBB" w:rsidRDefault="004600DF" w:rsidP="00FD2E73">
            <w:pPr>
              <w:spacing w:after="0" w:line="240" w:lineRule="auto"/>
              <w:rPr>
                <w:rFonts w:asciiTheme="minorHAnsi" w:hAnsiTheme="minorHAnsi" w:cstheme="minorHAnsi"/>
              </w:rPr>
            </w:pPr>
            <w:r w:rsidRPr="00090CBB">
              <w:rPr>
                <w:rFonts w:asciiTheme="minorHAnsi" w:hAnsiTheme="minorHAnsi" w:cstheme="minorHAnsi"/>
              </w:rPr>
              <w:t>F840</w:t>
            </w:r>
          </w:p>
        </w:tc>
        <w:tc>
          <w:tcPr>
            <w:tcW w:w="3316" w:type="dxa"/>
            <w:noWrap/>
            <w:vAlign w:val="bottom"/>
            <w:hideMark/>
          </w:tcPr>
          <w:p w14:paraId="29A8C197" w14:textId="77777777" w:rsidR="004600DF" w:rsidRPr="00090CBB" w:rsidRDefault="004600DF" w:rsidP="00FD2E73">
            <w:pPr>
              <w:spacing w:after="0" w:line="240" w:lineRule="auto"/>
              <w:rPr>
                <w:rFonts w:asciiTheme="minorHAnsi" w:hAnsiTheme="minorHAnsi" w:cstheme="minorHAnsi"/>
              </w:rPr>
            </w:pPr>
            <w:r w:rsidRPr="00090CBB">
              <w:rPr>
                <w:rFonts w:asciiTheme="minorHAnsi" w:hAnsiTheme="minorHAnsi" w:cstheme="minorHAnsi"/>
              </w:rPr>
              <w:t>Autistic disorder</w:t>
            </w:r>
          </w:p>
        </w:tc>
        <w:tc>
          <w:tcPr>
            <w:tcW w:w="1189" w:type="dxa"/>
            <w:noWrap/>
            <w:vAlign w:val="bottom"/>
            <w:hideMark/>
          </w:tcPr>
          <w:p w14:paraId="4A179A04" w14:textId="77777777" w:rsidR="004600DF" w:rsidRPr="00090CBB" w:rsidRDefault="004600DF" w:rsidP="00FD2E73">
            <w:pPr>
              <w:spacing w:after="0" w:line="240" w:lineRule="auto"/>
              <w:jc w:val="right"/>
              <w:rPr>
                <w:rFonts w:asciiTheme="minorHAnsi" w:hAnsiTheme="minorHAnsi" w:cstheme="minorHAnsi"/>
              </w:rPr>
            </w:pPr>
            <w:r w:rsidRPr="00090CBB">
              <w:rPr>
                <w:rFonts w:asciiTheme="minorHAnsi" w:hAnsiTheme="minorHAnsi" w:cstheme="minorHAnsi"/>
              </w:rPr>
              <w:t>7%</w:t>
            </w:r>
          </w:p>
        </w:tc>
        <w:tc>
          <w:tcPr>
            <w:tcW w:w="1189" w:type="dxa"/>
            <w:noWrap/>
            <w:vAlign w:val="bottom"/>
            <w:hideMark/>
          </w:tcPr>
          <w:p w14:paraId="067C7555" w14:textId="77777777" w:rsidR="004600DF" w:rsidRPr="00090CBB" w:rsidRDefault="004600DF" w:rsidP="00FD2E73">
            <w:pPr>
              <w:spacing w:after="0" w:line="240" w:lineRule="auto"/>
              <w:jc w:val="right"/>
              <w:rPr>
                <w:rFonts w:asciiTheme="minorHAnsi" w:hAnsiTheme="minorHAnsi" w:cstheme="minorHAnsi"/>
              </w:rPr>
            </w:pPr>
            <w:r w:rsidRPr="00090CBB">
              <w:rPr>
                <w:rFonts w:asciiTheme="minorHAnsi" w:hAnsiTheme="minorHAnsi" w:cstheme="minorHAnsi"/>
              </w:rPr>
              <w:t>8%</w:t>
            </w:r>
          </w:p>
        </w:tc>
      </w:tr>
      <w:tr w:rsidR="004600DF" w:rsidRPr="00090CBB" w14:paraId="192837B8" w14:textId="77777777" w:rsidTr="00A1452C">
        <w:trPr>
          <w:cantSplit/>
          <w:trHeight w:val="343"/>
        </w:trPr>
        <w:tc>
          <w:tcPr>
            <w:tcW w:w="2240" w:type="dxa"/>
            <w:noWrap/>
            <w:vAlign w:val="bottom"/>
            <w:hideMark/>
          </w:tcPr>
          <w:p w14:paraId="7D19F85C" w14:textId="77777777" w:rsidR="004600DF" w:rsidRPr="00090CBB" w:rsidRDefault="004600DF" w:rsidP="00FD2E73">
            <w:pPr>
              <w:spacing w:after="0" w:line="240" w:lineRule="auto"/>
              <w:rPr>
                <w:rFonts w:asciiTheme="minorHAnsi" w:hAnsiTheme="minorHAnsi" w:cstheme="minorHAnsi"/>
              </w:rPr>
            </w:pPr>
            <w:r w:rsidRPr="00090CBB">
              <w:rPr>
                <w:rFonts w:asciiTheme="minorHAnsi" w:hAnsiTheme="minorHAnsi" w:cstheme="minorHAnsi"/>
              </w:rPr>
              <w:t>K0510</w:t>
            </w:r>
          </w:p>
        </w:tc>
        <w:tc>
          <w:tcPr>
            <w:tcW w:w="3316" w:type="dxa"/>
            <w:noWrap/>
            <w:vAlign w:val="bottom"/>
            <w:hideMark/>
          </w:tcPr>
          <w:p w14:paraId="6859D988" w14:textId="77777777" w:rsidR="004600DF" w:rsidRPr="00090CBB" w:rsidRDefault="004600DF" w:rsidP="00FD2E73">
            <w:pPr>
              <w:spacing w:after="0" w:line="240" w:lineRule="auto"/>
              <w:rPr>
                <w:rFonts w:asciiTheme="minorHAnsi" w:hAnsiTheme="minorHAnsi" w:cstheme="minorHAnsi"/>
              </w:rPr>
            </w:pPr>
            <w:r w:rsidRPr="00090CBB">
              <w:rPr>
                <w:rFonts w:asciiTheme="minorHAnsi" w:hAnsiTheme="minorHAnsi" w:cstheme="minorHAnsi"/>
              </w:rPr>
              <w:t>Chronic gingivitis, plaque induced</w:t>
            </w:r>
          </w:p>
        </w:tc>
        <w:tc>
          <w:tcPr>
            <w:tcW w:w="1189" w:type="dxa"/>
            <w:noWrap/>
            <w:vAlign w:val="bottom"/>
            <w:hideMark/>
          </w:tcPr>
          <w:p w14:paraId="59FB16D6" w14:textId="77777777" w:rsidR="004600DF" w:rsidRPr="00090CBB" w:rsidRDefault="004600DF" w:rsidP="00FD2E73">
            <w:pPr>
              <w:spacing w:after="0" w:line="240" w:lineRule="auto"/>
              <w:jc w:val="right"/>
              <w:rPr>
                <w:rFonts w:asciiTheme="minorHAnsi" w:hAnsiTheme="minorHAnsi" w:cstheme="minorHAnsi"/>
              </w:rPr>
            </w:pPr>
            <w:r w:rsidRPr="00090CBB">
              <w:rPr>
                <w:rFonts w:asciiTheme="minorHAnsi" w:hAnsiTheme="minorHAnsi" w:cstheme="minorHAnsi"/>
              </w:rPr>
              <w:t>6%</w:t>
            </w:r>
          </w:p>
        </w:tc>
        <w:tc>
          <w:tcPr>
            <w:tcW w:w="1189" w:type="dxa"/>
            <w:noWrap/>
            <w:vAlign w:val="bottom"/>
            <w:hideMark/>
          </w:tcPr>
          <w:p w14:paraId="10A8072E" w14:textId="77777777" w:rsidR="004600DF" w:rsidRPr="00090CBB" w:rsidRDefault="004600DF" w:rsidP="00FD2E73">
            <w:pPr>
              <w:spacing w:after="0" w:line="240" w:lineRule="auto"/>
              <w:jc w:val="right"/>
              <w:rPr>
                <w:rFonts w:asciiTheme="minorHAnsi" w:hAnsiTheme="minorHAnsi" w:cstheme="minorHAnsi"/>
              </w:rPr>
            </w:pPr>
            <w:r w:rsidRPr="00090CBB">
              <w:rPr>
                <w:rFonts w:asciiTheme="minorHAnsi" w:hAnsiTheme="minorHAnsi" w:cstheme="minorHAnsi"/>
              </w:rPr>
              <w:t>4%</w:t>
            </w:r>
          </w:p>
        </w:tc>
      </w:tr>
      <w:tr w:rsidR="004600DF" w:rsidRPr="00090CBB" w14:paraId="397524A0" w14:textId="77777777" w:rsidTr="00A1452C">
        <w:trPr>
          <w:cantSplit/>
          <w:trHeight w:val="343"/>
        </w:trPr>
        <w:tc>
          <w:tcPr>
            <w:tcW w:w="2240" w:type="dxa"/>
            <w:noWrap/>
            <w:vAlign w:val="bottom"/>
            <w:hideMark/>
          </w:tcPr>
          <w:p w14:paraId="36EE56AD" w14:textId="77777777" w:rsidR="004600DF" w:rsidRPr="00090CBB" w:rsidRDefault="004600DF" w:rsidP="00FD2E73">
            <w:pPr>
              <w:spacing w:after="0" w:line="240" w:lineRule="auto"/>
              <w:rPr>
                <w:rFonts w:asciiTheme="minorHAnsi" w:hAnsiTheme="minorHAnsi" w:cstheme="minorHAnsi"/>
              </w:rPr>
            </w:pPr>
            <w:r w:rsidRPr="00090CBB">
              <w:rPr>
                <w:rFonts w:asciiTheme="minorHAnsi" w:hAnsiTheme="minorHAnsi" w:cstheme="minorHAnsi"/>
              </w:rPr>
              <w:t>K029</w:t>
            </w:r>
          </w:p>
        </w:tc>
        <w:tc>
          <w:tcPr>
            <w:tcW w:w="3316" w:type="dxa"/>
            <w:noWrap/>
            <w:vAlign w:val="bottom"/>
            <w:hideMark/>
          </w:tcPr>
          <w:p w14:paraId="707FF39A" w14:textId="77777777" w:rsidR="004600DF" w:rsidRPr="00090CBB" w:rsidRDefault="004600DF" w:rsidP="00FD2E73">
            <w:pPr>
              <w:spacing w:after="0" w:line="240" w:lineRule="auto"/>
              <w:rPr>
                <w:rFonts w:asciiTheme="minorHAnsi" w:hAnsiTheme="minorHAnsi" w:cstheme="minorHAnsi"/>
              </w:rPr>
            </w:pPr>
            <w:r w:rsidRPr="00090CBB">
              <w:rPr>
                <w:rFonts w:asciiTheme="minorHAnsi" w:hAnsiTheme="minorHAnsi" w:cstheme="minorHAnsi"/>
              </w:rPr>
              <w:t>Dental caries, unspecified</w:t>
            </w:r>
          </w:p>
        </w:tc>
        <w:tc>
          <w:tcPr>
            <w:tcW w:w="1189" w:type="dxa"/>
            <w:noWrap/>
            <w:vAlign w:val="bottom"/>
            <w:hideMark/>
          </w:tcPr>
          <w:p w14:paraId="77B14318" w14:textId="77777777" w:rsidR="004600DF" w:rsidRPr="00090CBB" w:rsidRDefault="004600DF" w:rsidP="00FD2E73">
            <w:pPr>
              <w:spacing w:after="0" w:line="240" w:lineRule="auto"/>
              <w:jc w:val="right"/>
              <w:rPr>
                <w:rFonts w:asciiTheme="minorHAnsi" w:hAnsiTheme="minorHAnsi" w:cstheme="minorHAnsi"/>
              </w:rPr>
            </w:pPr>
            <w:r w:rsidRPr="00090CBB">
              <w:rPr>
                <w:rFonts w:asciiTheme="minorHAnsi" w:hAnsiTheme="minorHAnsi" w:cstheme="minorHAnsi"/>
              </w:rPr>
              <w:t>5%</w:t>
            </w:r>
          </w:p>
        </w:tc>
        <w:tc>
          <w:tcPr>
            <w:tcW w:w="1189" w:type="dxa"/>
            <w:noWrap/>
            <w:vAlign w:val="bottom"/>
            <w:hideMark/>
          </w:tcPr>
          <w:p w14:paraId="6667DC23" w14:textId="77777777" w:rsidR="004600DF" w:rsidRPr="00090CBB" w:rsidRDefault="004600DF" w:rsidP="00FD2E73">
            <w:pPr>
              <w:spacing w:after="0" w:line="240" w:lineRule="auto"/>
              <w:jc w:val="right"/>
              <w:rPr>
                <w:rFonts w:asciiTheme="minorHAnsi" w:hAnsiTheme="minorHAnsi" w:cstheme="minorHAnsi"/>
              </w:rPr>
            </w:pPr>
            <w:r w:rsidRPr="00090CBB">
              <w:rPr>
                <w:rFonts w:asciiTheme="minorHAnsi" w:hAnsiTheme="minorHAnsi" w:cstheme="minorHAnsi"/>
              </w:rPr>
              <w:t>4%</w:t>
            </w:r>
          </w:p>
        </w:tc>
      </w:tr>
      <w:tr w:rsidR="004600DF" w:rsidRPr="00090CBB" w14:paraId="2F85506C" w14:textId="77777777" w:rsidTr="00A1452C">
        <w:trPr>
          <w:cantSplit/>
          <w:trHeight w:val="343"/>
        </w:trPr>
        <w:tc>
          <w:tcPr>
            <w:tcW w:w="2240" w:type="dxa"/>
            <w:noWrap/>
            <w:vAlign w:val="bottom"/>
            <w:hideMark/>
          </w:tcPr>
          <w:p w14:paraId="5E0AD5E8" w14:textId="77777777" w:rsidR="004600DF" w:rsidRPr="00090CBB" w:rsidRDefault="004600DF" w:rsidP="00FD2E73">
            <w:pPr>
              <w:spacing w:after="0" w:line="240" w:lineRule="auto"/>
              <w:rPr>
                <w:rFonts w:asciiTheme="minorHAnsi" w:hAnsiTheme="minorHAnsi" w:cstheme="minorHAnsi"/>
              </w:rPr>
            </w:pPr>
            <w:r w:rsidRPr="00090CBB">
              <w:rPr>
                <w:rFonts w:asciiTheme="minorHAnsi" w:hAnsiTheme="minorHAnsi" w:cstheme="minorHAnsi"/>
              </w:rPr>
              <w:t>F419</w:t>
            </w:r>
          </w:p>
        </w:tc>
        <w:tc>
          <w:tcPr>
            <w:tcW w:w="3316" w:type="dxa"/>
            <w:noWrap/>
            <w:vAlign w:val="bottom"/>
            <w:hideMark/>
          </w:tcPr>
          <w:p w14:paraId="60BCFF91" w14:textId="77777777" w:rsidR="004600DF" w:rsidRPr="00090CBB" w:rsidRDefault="004600DF" w:rsidP="00FD2E73">
            <w:pPr>
              <w:spacing w:after="0" w:line="240" w:lineRule="auto"/>
              <w:rPr>
                <w:rFonts w:asciiTheme="minorHAnsi" w:hAnsiTheme="minorHAnsi" w:cstheme="minorHAnsi"/>
              </w:rPr>
            </w:pPr>
            <w:r w:rsidRPr="00090CBB">
              <w:rPr>
                <w:rFonts w:asciiTheme="minorHAnsi" w:hAnsiTheme="minorHAnsi" w:cstheme="minorHAnsi"/>
              </w:rPr>
              <w:t>Anxiety disorder, unspecified</w:t>
            </w:r>
          </w:p>
        </w:tc>
        <w:tc>
          <w:tcPr>
            <w:tcW w:w="1189" w:type="dxa"/>
            <w:noWrap/>
            <w:vAlign w:val="bottom"/>
            <w:hideMark/>
          </w:tcPr>
          <w:p w14:paraId="4DA55928" w14:textId="77777777" w:rsidR="004600DF" w:rsidRPr="00090CBB" w:rsidRDefault="004600DF" w:rsidP="00FD2E73">
            <w:pPr>
              <w:spacing w:after="0" w:line="240" w:lineRule="auto"/>
              <w:jc w:val="right"/>
              <w:rPr>
                <w:rFonts w:asciiTheme="minorHAnsi" w:hAnsiTheme="minorHAnsi" w:cstheme="minorHAnsi"/>
              </w:rPr>
            </w:pPr>
            <w:r w:rsidRPr="00090CBB">
              <w:rPr>
                <w:rFonts w:asciiTheme="minorHAnsi" w:hAnsiTheme="minorHAnsi" w:cstheme="minorHAnsi"/>
              </w:rPr>
              <w:t>2%</w:t>
            </w:r>
          </w:p>
        </w:tc>
        <w:tc>
          <w:tcPr>
            <w:tcW w:w="1189" w:type="dxa"/>
            <w:noWrap/>
            <w:vAlign w:val="bottom"/>
            <w:hideMark/>
          </w:tcPr>
          <w:p w14:paraId="5B5A3A8E" w14:textId="77777777" w:rsidR="004600DF" w:rsidRPr="00090CBB" w:rsidRDefault="004600DF" w:rsidP="00FD2E73">
            <w:pPr>
              <w:spacing w:after="0" w:line="240" w:lineRule="auto"/>
              <w:jc w:val="right"/>
              <w:rPr>
                <w:rFonts w:asciiTheme="minorHAnsi" w:hAnsiTheme="minorHAnsi" w:cstheme="minorHAnsi"/>
              </w:rPr>
            </w:pPr>
            <w:r w:rsidRPr="00090CBB">
              <w:rPr>
                <w:rFonts w:asciiTheme="minorHAnsi" w:hAnsiTheme="minorHAnsi" w:cstheme="minorHAnsi"/>
              </w:rPr>
              <w:t>4%</w:t>
            </w:r>
          </w:p>
        </w:tc>
      </w:tr>
    </w:tbl>
    <w:p w14:paraId="286B1C39" w14:textId="77777777" w:rsidR="004600DF" w:rsidRDefault="004600DF" w:rsidP="00FD2E73">
      <w:pPr>
        <w:pStyle w:val="ListParagraph"/>
        <w:ind w:left="1440"/>
        <w:rPr>
          <w:rFonts w:cstheme="minorHAnsi"/>
          <w:b/>
          <w:bCs/>
          <w:sz w:val="24"/>
          <w:szCs w:val="24"/>
        </w:rPr>
      </w:pPr>
    </w:p>
    <w:p w14:paraId="242613E8" w14:textId="77777777" w:rsidR="00263EA7" w:rsidRDefault="00263EA7" w:rsidP="00FD2E73">
      <w:pPr>
        <w:pStyle w:val="ListParagraph"/>
        <w:ind w:left="1440"/>
        <w:rPr>
          <w:rFonts w:cstheme="minorHAnsi"/>
          <w:b/>
          <w:bCs/>
          <w:sz w:val="24"/>
          <w:szCs w:val="24"/>
        </w:rPr>
      </w:pPr>
    </w:p>
    <w:p w14:paraId="4F28A333" w14:textId="77777777" w:rsidR="004600DF" w:rsidRPr="00090CBB" w:rsidRDefault="004600DF" w:rsidP="00FD2E73">
      <w:pPr>
        <w:pStyle w:val="ListParagraph"/>
        <w:numPr>
          <w:ilvl w:val="1"/>
          <w:numId w:val="32"/>
        </w:numPr>
        <w:rPr>
          <w:rFonts w:cstheme="minorHAnsi"/>
          <w:b/>
          <w:bCs/>
          <w:sz w:val="24"/>
          <w:szCs w:val="24"/>
        </w:rPr>
      </w:pPr>
      <w:r w:rsidRPr="00090CBB">
        <w:rPr>
          <w:rFonts w:cstheme="minorHAnsi"/>
          <w:b/>
          <w:bCs/>
          <w:sz w:val="24"/>
          <w:szCs w:val="24"/>
        </w:rPr>
        <w:t xml:space="preserve">Office: Top 5 Secondary Diagnoses </w:t>
      </w:r>
    </w:p>
    <w:p w14:paraId="6509B97C" w14:textId="77777777" w:rsidR="004600DF" w:rsidRPr="00090CBB" w:rsidRDefault="004600DF" w:rsidP="00FD2E73">
      <w:pPr>
        <w:pStyle w:val="ListParagraph"/>
      </w:pPr>
    </w:p>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ffice: Top 5 Secondary Diagnoses "/>
      </w:tblPr>
      <w:tblGrid>
        <w:gridCol w:w="2240"/>
        <w:gridCol w:w="3420"/>
        <w:gridCol w:w="1740"/>
      </w:tblGrid>
      <w:tr w:rsidR="004600DF" w:rsidRPr="00006505" w14:paraId="1C8877BD" w14:textId="77777777" w:rsidTr="00FA1B4D">
        <w:trPr>
          <w:cantSplit/>
          <w:trHeight w:val="343"/>
          <w:tblHeader/>
        </w:trPr>
        <w:tc>
          <w:tcPr>
            <w:tcW w:w="2240" w:type="dxa"/>
            <w:noWrap/>
            <w:vAlign w:val="bottom"/>
            <w:hideMark/>
          </w:tcPr>
          <w:p w14:paraId="411DC1B5" w14:textId="77777777" w:rsidR="004600DF" w:rsidRPr="00006505" w:rsidRDefault="004600DF" w:rsidP="00FD2E73">
            <w:pPr>
              <w:spacing w:after="0" w:line="240" w:lineRule="auto"/>
              <w:rPr>
                <w:rFonts w:ascii="Segoe UI" w:eastAsia="Times New Roman" w:hAnsi="Segoe UI" w:cs="Segoe UI"/>
                <w:b/>
                <w:bCs/>
                <w:color w:val="000000"/>
                <w:szCs w:val="24"/>
              </w:rPr>
            </w:pPr>
            <w:r w:rsidRPr="00006505">
              <w:rPr>
                <w:rFonts w:ascii="Segoe UI" w:eastAsia="Times New Roman" w:hAnsi="Segoe UI" w:cs="Segoe UI"/>
                <w:b/>
                <w:bCs/>
                <w:color w:val="000000"/>
                <w:szCs w:val="24"/>
              </w:rPr>
              <w:t>Non-Primary Dx Code</w:t>
            </w:r>
          </w:p>
        </w:tc>
        <w:tc>
          <w:tcPr>
            <w:tcW w:w="3420" w:type="dxa"/>
            <w:noWrap/>
            <w:vAlign w:val="bottom"/>
            <w:hideMark/>
          </w:tcPr>
          <w:p w14:paraId="2D9D19AB" w14:textId="77777777" w:rsidR="004600DF" w:rsidRPr="00006505" w:rsidRDefault="004600DF" w:rsidP="00FD2E73">
            <w:pPr>
              <w:spacing w:after="0" w:line="240" w:lineRule="auto"/>
              <w:rPr>
                <w:rFonts w:ascii="Segoe UI" w:eastAsia="Times New Roman" w:hAnsi="Segoe UI" w:cs="Segoe UI"/>
                <w:b/>
                <w:bCs/>
                <w:color w:val="000000"/>
                <w:szCs w:val="24"/>
              </w:rPr>
            </w:pPr>
            <w:r w:rsidRPr="00006505">
              <w:rPr>
                <w:rFonts w:ascii="Segoe UI" w:eastAsia="Times New Roman" w:hAnsi="Segoe UI" w:cs="Segoe UI"/>
                <w:b/>
                <w:bCs/>
                <w:color w:val="000000"/>
                <w:szCs w:val="24"/>
              </w:rPr>
              <w:t>Non-Primary Dx Description</w:t>
            </w:r>
          </w:p>
        </w:tc>
        <w:tc>
          <w:tcPr>
            <w:tcW w:w="1740" w:type="dxa"/>
            <w:noWrap/>
            <w:vAlign w:val="bottom"/>
            <w:hideMark/>
          </w:tcPr>
          <w:p w14:paraId="7EEE7196" w14:textId="7D8D2EED" w:rsidR="004600DF" w:rsidRPr="00006505" w:rsidRDefault="00A9558A" w:rsidP="00FD2E73">
            <w:pPr>
              <w:spacing w:after="0" w:line="240" w:lineRule="auto"/>
              <w:jc w:val="center"/>
              <w:rPr>
                <w:rFonts w:ascii="Segoe UI" w:eastAsia="Times New Roman" w:hAnsi="Segoe UI" w:cs="Segoe UI"/>
                <w:b/>
                <w:bCs/>
                <w:color w:val="000000"/>
                <w:szCs w:val="24"/>
              </w:rPr>
            </w:pPr>
            <w:r>
              <w:rPr>
                <w:rFonts w:ascii="Segoe UI" w:eastAsia="Times New Roman" w:hAnsi="Segoe UI" w:cs="Segoe UI"/>
                <w:b/>
                <w:bCs/>
                <w:color w:val="000000"/>
                <w:szCs w:val="24"/>
              </w:rPr>
              <w:t>Percent</w:t>
            </w:r>
            <w:r w:rsidR="004600DF" w:rsidRPr="00006505">
              <w:rPr>
                <w:rFonts w:ascii="Segoe UI" w:eastAsia="Times New Roman" w:hAnsi="Segoe UI" w:cs="Segoe UI"/>
                <w:b/>
                <w:bCs/>
                <w:color w:val="000000"/>
                <w:szCs w:val="24"/>
              </w:rPr>
              <w:t xml:space="preserve"> with Condition</w:t>
            </w:r>
          </w:p>
        </w:tc>
      </w:tr>
      <w:tr w:rsidR="004600DF" w:rsidRPr="00006505" w14:paraId="5C6923D4" w14:textId="77777777" w:rsidTr="00FA1B4D">
        <w:trPr>
          <w:cantSplit/>
          <w:trHeight w:val="343"/>
        </w:trPr>
        <w:tc>
          <w:tcPr>
            <w:tcW w:w="2240" w:type="dxa"/>
            <w:noWrap/>
            <w:vAlign w:val="bottom"/>
            <w:hideMark/>
          </w:tcPr>
          <w:p w14:paraId="3A664508" w14:textId="77777777" w:rsidR="004600DF" w:rsidRPr="00006505" w:rsidRDefault="004600DF" w:rsidP="00FD2E73">
            <w:pPr>
              <w:spacing w:after="0" w:line="240" w:lineRule="auto"/>
              <w:rPr>
                <w:rFonts w:ascii="Segoe UI" w:eastAsia="Times New Roman" w:hAnsi="Segoe UI" w:cs="Segoe UI"/>
                <w:color w:val="000000"/>
                <w:szCs w:val="24"/>
              </w:rPr>
            </w:pPr>
            <w:r w:rsidRPr="00006505">
              <w:rPr>
                <w:rFonts w:ascii="Segoe UI" w:eastAsia="Times New Roman" w:hAnsi="Segoe UI" w:cs="Segoe UI"/>
                <w:color w:val="000000"/>
                <w:szCs w:val="24"/>
              </w:rPr>
              <w:t>K029</w:t>
            </w:r>
          </w:p>
        </w:tc>
        <w:tc>
          <w:tcPr>
            <w:tcW w:w="3420" w:type="dxa"/>
            <w:noWrap/>
            <w:vAlign w:val="bottom"/>
            <w:hideMark/>
          </w:tcPr>
          <w:p w14:paraId="007326AA" w14:textId="77777777" w:rsidR="004600DF" w:rsidRPr="00006505" w:rsidRDefault="004600DF" w:rsidP="00FD2E73">
            <w:pPr>
              <w:spacing w:after="0" w:line="240" w:lineRule="auto"/>
              <w:rPr>
                <w:rFonts w:ascii="Segoe UI" w:eastAsia="Times New Roman" w:hAnsi="Segoe UI" w:cs="Segoe UI"/>
                <w:color w:val="000000"/>
                <w:szCs w:val="24"/>
              </w:rPr>
            </w:pPr>
            <w:r w:rsidRPr="00006505">
              <w:rPr>
                <w:rFonts w:ascii="Segoe UI" w:eastAsia="Times New Roman" w:hAnsi="Segoe UI" w:cs="Segoe UI"/>
                <w:color w:val="000000"/>
                <w:szCs w:val="24"/>
              </w:rPr>
              <w:t>Dental caries, unspecified</w:t>
            </w:r>
          </w:p>
        </w:tc>
        <w:tc>
          <w:tcPr>
            <w:tcW w:w="1740" w:type="dxa"/>
            <w:noWrap/>
            <w:vAlign w:val="bottom"/>
            <w:hideMark/>
          </w:tcPr>
          <w:p w14:paraId="5C9F0AAB" w14:textId="77777777" w:rsidR="004600DF" w:rsidRPr="00006505" w:rsidRDefault="004600DF" w:rsidP="00FD2E73">
            <w:pPr>
              <w:spacing w:after="0" w:line="240" w:lineRule="auto"/>
              <w:jc w:val="right"/>
              <w:rPr>
                <w:rFonts w:ascii="Segoe UI" w:eastAsia="Times New Roman" w:hAnsi="Segoe UI" w:cs="Segoe UI"/>
                <w:color w:val="000000"/>
                <w:szCs w:val="24"/>
              </w:rPr>
            </w:pPr>
            <w:r w:rsidRPr="00006505">
              <w:rPr>
                <w:rFonts w:ascii="Segoe UI" w:eastAsia="Times New Roman" w:hAnsi="Segoe UI" w:cs="Segoe UI"/>
                <w:color w:val="000000"/>
                <w:szCs w:val="24"/>
              </w:rPr>
              <w:t>17%</w:t>
            </w:r>
          </w:p>
        </w:tc>
      </w:tr>
      <w:tr w:rsidR="004600DF" w:rsidRPr="00006505" w14:paraId="16B8614E" w14:textId="77777777" w:rsidTr="00FA1B4D">
        <w:trPr>
          <w:cantSplit/>
          <w:trHeight w:val="343"/>
        </w:trPr>
        <w:tc>
          <w:tcPr>
            <w:tcW w:w="2240" w:type="dxa"/>
            <w:noWrap/>
            <w:vAlign w:val="bottom"/>
            <w:hideMark/>
          </w:tcPr>
          <w:p w14:paraId="48905BEC" w14:textId="77777777" w:rsidR="004600DF" w:rsidRPr="00006505" w:rsidRDefault="004600DF" w:rsidP="00FD2E73">
            <w:pPr>
              <w:spacing w:after="0" w:line="240" w:lineRule="auto"/>
              <w:rPr>
                <w:rFonts w:ascii="Segoe UI" w:eastAsia="Times New Roman" w:hAnsi="Segoe UI" w:cs="Segoe UI"/>
                <w:color w:val="000000"/>
                <w:szCs w:val="24"/>
              </w:rPr>
            </w:pPr>
            <w:r w:rsidRPr="00006505">
              <w:rPr>
                <w:rFonts w:ascii="Segoe UI" w:eastAsia="Times New Roman" w:hAnsi="Segoe UI" w:cs="Segoe UI"/>
                <w:color w:val="000000"/>
                <w:szCs w:val="24"/>
              </w:rPr>
              <w:t>K006</w:t>
            </w:r>
          </w:p>
        </w:tc>
        <w:tc>
          <w:tcPr>
            <w:tcW w:w="3420" w:type="dxa"/>
            <w:noWrap/>
            <w:vAlign w:val="bottom"/>
            <w:hideMark/>
          </w:tcPr>
          <w:p w14:paraId="652359C1" w14:textId="77777777" w:rsidR="004600DF" w:rsidRPr="00006505" w:rsidRDefault="004600DF" w:rsidP="00FD2E73">
            <w:pPr>
              <w:spacing w:after="0" w:line="240" w:lineRule="auto"/>
              <w:rPr>
                <w:rFonts w:ascii="Segoe UI" w:eastAsia="Times New Roman" w:hAnsi="Segoe UI" w:cs="Segoe UI"/>
                <w:color w:val="000000"/>
                <w:szCs w:val="24"/>
              </w:rPr>
            </w:pPr>
            <w:r w:rsidRPr="00006505">
              <w:rPr>
                <w:rFonts w:ascii="Segoe UI" w:eastAsia="Times New Roman" w:hAnsi="Segoe UI" w:cs="Segoe UI"/>
                <w:color w:val="000000"/>
                <w:szCs w:val="24"/>
              </w:rPr>
              <w:t>Disturbances in tooth eruption</w:t>
            </w:r>
          </w:p>
        </w:tc>
        <w:tc>
          <w:tcPr>
            <w:tcW w:w="1740" w:type="dxa"/>
            <w:noWrap/>
            <w:vAlign w:val="bottom"/>
            <w:hideMark/>
          </w:tcPr>
          <w:p w14:paraId="183725F8" w14:textId="77777777" w:rsidR="004600DF" w:rsidRPr="00006505" w:rsidRDefault="004600DF" w:rsidP="00FD2E73">
            <w:pPr>
              <w:spacing w:after="0" w:line="240" w:lineRule="auto"/>
              <w:jc w:val="right"/>
              <w:rPr>
                <w:rFonts w:ascii="Segoe UI" w:eastAsia="Times New Roman" w:hAnsi="Segoe UI" w:cs="Segoe UI"/>
                <w:color w:val="000000"/>
                <w:szCs w:val="24"/>
              </w:rPr>
            </w:pPr>
            <w:r w:rsidRPr="00006505">
              <w:rPr>
                <w:rFonts w:ascii="Segoe UI" w:eastAsia="Times New Roman" w:hAnsi="Segoe UI" w:cs="Segoe UI"/>
                <w:color w:val="000000"/>
                <w:szCs w:val="24"/>
              </w:rPr>
              <w:t>12%</w:t>
            </w:r>
          </w:p>
        </w:tc>
      </w:tr>
      <w:tr w:rsidR="004600DF" w:rsidRPr="00006505" w14:paraId="18BB8425" w14:textId="77777777" w:rsidTr="00FA1B4D">
        <w:trPr>
          <w:cantSplit/>
          <w:trHeight w:val="343"/>
        </w:trPr>
        <w:tc>
          <w:tcPr>
            <w:tcW w:w="2240" w:type="dxa"/>
            <w:noWrap/>
            <w:vAlign w:val="bottom"/>
            <w:hideMark/>
          </w:tcPr>
          <w:p w14:paraId="3A79A861" w14:textId="77777777" w:rsidR="004600DF" w:rsidRPr="00006505" w:rsidRDefault="004600DF" w:rsidP="00FD2E73">
            <w:pPr>
              <w:spacing w:after="0" w:line="240" w:lineRule="auto"/>
              <w:rPr>
                <w:rFonts w:ascii="Segoe UI" w:eastAsia="Times New Roman" w:hAnsi="Segoe UI" w:cs="Segoe UI"/>
                <w:color w:val="000000"/>
                <w:szCs w:val="24"/>
              </w:rPr>
            </w:pPr>
            <w:r w:rsidRPr="00006505">
              <w:rPr>
                <w:rFonts w:ascii="Segoe UI" w:eastAsia="Times New Roman" w:hAnsi="Segoe UI" w:cs="Segoe UI"/>
                <w:color w:val="000000"/>
                <w:szCs w:val="24"/>
              </w:rPr>
              <w:lastRenderedPageBreak/>
              <w:t>K090</w:t>
            </w:r>
          </w:p>
        </w:tc>
        <w:tc>
          <w:tcPr>
            <w:tcW w:w="3420" w:type="dxa"/>
            <w:noWrap/>
            <w:vAlign w:val="bottom"/>
            <w:hideMark/>
          </w:tcPr>
          <w:p w14:paraId="683D702C" w14:textId="77777777" w:rsidR="004600DF" w:rsidRPr="00006505" w:rsidRDefault="004600DF" w:rsidP="00FD2E73">
            <w:pPr>
              <w:spacing w:after="0" w:line="240" w:lineRule="auto"/>
              <w:rPr>
                <w:rFonts w:ascii="Segoe UI" w:eastAsia="Times New Roman" w:hAnsi="Segoe UI" w:cs="Segoe UI"/>
                <w:color w:val="000000"/>
                <w:szCs w:val="24"/>
              </w:rPr>
            </w:pPr>
            <w:r w:rsidRPr="00006505">
              <w:rPr>
                <w:rFonts w:ascii="Segoe UI" w:eastAsia="Times New Roman" w:hAnsi="Segoe UI" w:cs="Segoe UI"/>
                <w:color w:val="000000"/>
                <w:szCs w:val="24"/>
              </w:rPr>
              <w:t>Developmental odontogenic cysts</w:t>
            </w:r>
          </w:p>
        </w:tc>
        <w:tc>
          <w:tcPr>
            <w:tcW w:w="1740" w:type="dxa"/>
            <w:noWrap/>
            <w:vAlign w:val="bottom"/>
            <w:hideMark/>
          </w:tcPr>
          <w:p w14:paraId="18052725" w14:textId="77777777" w:rsidR="004600DF" w:rsidRPr="00006505" w:rsidRDefault="004600DF" w:rsidP="00FD2E73">
            <w:pPr>
              <w:spacing w:after="0" w:line="240" w:lineRule="auto"/>
              <w:jc w:val="right"/>
              <w:rPr>
                <w:rFonts w:ascii="Segoe UI" w:eastAsia="Times New Roman" w:hAnsi="Segoe UI" w:cs="Segoe UI"/>
                <w:color w:val="000000"/>
                <w:szCs w:val="24"/>
              </w:rPr>
            </w:pPr>
            <w:r w:rsidRPr="00006505">
              <w:rPr>
                <w:rFonts w:ascii="Segoe UI" w:eastAsia="Times New Roman" w:hAnsi="Segoe UI" w:cs="Segoe UI"/>
                <w:color w:val="000000"/>
                <w:szCs w:val="24"/>
              </w:rPr>
              <w:t>8%</w:t>
            </w:r>
          </w:p>
        </w:tc>
      </w:tr>
      <w:tr w:rsidR="004600DF" w:rsidRPr="00006505" w14:paraId="03BCA7A7" w14:textId="77777777" w:rsidTr="00FA1B4D">
        <w:trPr>
          <w:cantSplit/>
          <w:trHeight w:val="343"/>
        </w:trPr>
        <w:tc>
          <w:tcPr>
            <w:tcW w:w="2240" w:type="dxa"/>
            <w:noWrap/>
            <w:vAlign w:val="bottom"/>
            <w:hideMark/>
          </w:tcPr>
          <w:p w14:paraId="6CC940C7" w14:textId="77777777" w:rsidR="004600DF" w:rsidRPr="00006505" w:rsidRDefault="004600DF" w:rsidP="00FD2E73">
            <w:pPr>
              <w:spacing w:after="0" w:line="240" w:lineRule="auto"/>
              <w:rPr>
                <w:rFonts w:ascii="Segoe UI" w:eastAsia="Times New Roman" w:hAnsi="Segoe UI" w:cs="Segoe UI"/>
                <w:color w:val="000000"/>
                <w:szCs w:val="24"/>
              </w:rPr>
            </w:pPr>
            <w:r w:rsidRPr="00006505">
              <w:rPr>
                <w:rFonts w:ascii="Segoe UI" w:eastAsia="Times New Roman" w:hAnsi="Segoe UI" w:cs="Segoe UI"/>
                <w:color w:val="000000"/>
                <w:szCs w:val="24"/>
              </w:rPr>
              <w:t>K011</w:t>
            </w:r>
          </w:p>
        </w:tc>
        <w:tc>
          <w:tcPr>
            <w:tcW w:w="3420" w:type="dxa"/>
            <w:noWrap/>
            <w:vAlign w:val="bottom"/>
            <w:hideMark/>
          </w:tcPr>
          <w:p w14:paraId="7FC6FB1D" w14:textId="77777777" w:rsidR="004600DF" w:rsidRPr="00006505" w:rsidRDefault="004600DF" w:rsidP="00FD2E73">
            <w:pPr>
              <w:spacing w:after="0" w:line="240" w:lineRule="auto"/>
              <w:rPr>
                <w:rFonts w:ascii="Segoe UI" w:eastAsia="Times New Roman" w:hAnsi="Segoe UI" w:cs="Segoe UI"/>
                <w:color w:val="000000"/>
                <w:szCs w:val="24"/>
              </w:rPr>
            </w:pPr>
            <w:r w:rsidRPr="00006505">
              <w:rPr>
                <w:rFonts w:ascii="Segoe UI" w:eastAsia="Times New Roman" w:hAnsi="Segoe UI" w:cs="Segoe UI"/>
                <w:color w:val="000000"/>
                <w:szCs w:val="24"/>
              </w:rPr>
              <w:t>Impacted teeth</w:t>
            </w:r>
          </w:p>
        </w:tc>
        <w:tc>
          <w:tcPr>
            <w:tcW w:w="1740" w:type="dxa"/>
            <w:noWrap/>
            <w:vAlign w:val="bottom"/>
            <w:hideMark/>
          </w:tcPr>
          <w:p w14:paraId="0F9C8C3D" w14:textId="77777777" w:rsidR="004600DF" w:rsidRPr="00006505" w:rsidRDefault="004600DF" w:rsidP="00FD2E73">
            <w:pPr>
              <w:spacing w:after="0" w:line="240" w:lineRule="auto"/>
              <w:jc w:val="right"/>
              <w:rPr>
                <w:rFonts w:ascii="Segoe UI" w:eastAsia="Times New Roman" w:hAnsi="Segoe UI" w:cs="Segoe UI"/>
                <w:color w:val="000000"/>
                <w:szCs w:val="24"/>
              </w:rPr>
            </w:pPr>
            <w:r w:rsidRPr="00006505">
              <w:rPr>
                <w:rFonts w:ascii="Segoe UI" w:eastAsia="Times New Roman" w:hAnsi="Segoe UI" w:cs="Segoe UI"/>
                <w:color w:val="000000"/>
                <w:szCs w:val="24"/>
              </w:rPr>
              <w:t>7%</w:t>
            </w:r>
          </w:p>
        </w:tc>
      </w:tr>
      <w:tr w:rsidR="004600DF" w:rsidRPr="00006505" w14:paraId="0305D09C" w14:textId="77777777" w:rsidTr="00FA1B4D">
        <w:trPr>
          <w:cantSplit/>
          <w:trHeight w:val="343"/>
        </w:trPr>
        <w:tc>
          <w:tcPr>
            <w:tcW w:w="2240" w:type="dxa"/>
            <w:noWrap/>
            <w:vAlign w:val="bottom"/>
            <w:hideMark/>
          </w:tcPr>
          <w:p w14:paraId="77785A93" w14:textId="77777777" w:rsidR="004600DF" w:rsidRPr="00006505" w:rsidRDefault="004600DF" w:rsidP="00FD2E73">
            <w:pPr>
              <w:spacing w:after="0" w:line="240" w:lineRule="auto"/>
              <w:rPr>
                <w:rFonts w:ascii="Segoe UI" w:eastAsia="Times New Roman" w:hAnsi="Segoe UI" w:cs="Segoe UI"/>
                <w:color w:val="000000"/>
                <w:szCs w:val="24"/>
              </w:rPr>
            </w:pPr>
            <w:r w:rsidRPr="00006505">
              <w:rPr>
                <w:rFonts w:ascii="Segoe UI" w:eastAsia="Times New Roman" w:hAnsi="Segoe UI" w:cs="Segoe UI"/>
                <w:color w:val="000000"/>
                <w:szCs w:val="24"/>
              </w:rPr>
              <w:t>K010</w:t>
            </w:r>
          </w:p>
        </w:tc>
        <w:tc>
          <w:tcPr>
            <w:tcW w:w="3420" w:type="dxa"/>
            <w:noWrap/>
            <w:vAlign w:val="bottom"/>
            <w:hideMark/>
          </w:tcPr>
          <w:p w14:paraId="5F37C059" w14:textId="77777777" w:rsidR="004600DF" w:rsidRPr="00006505" w:rsidRDefault="004600DF" w:rsidP="00FD2E73">
            <w:pPr>
              <w:spacing w:after="0" w:line="240" w:lineRule="auto"/>
              <w:rPr>
                <w:rFonts w:ascii="Segoe UI" w:eastAsia="Times New Roman" w:hAnsi="Segoe UI" w:cs="Segoe UI"/>
                <w:color w:val="000000"/>
                <w:szCs w:val="24"/>
              </w:rPr>
            </w:pPr>
            <w:r w:rsidRPr="00006505">
              <w:rPr>
                <w:rFonts w:ascii="Segoe UI" w:eastAsia="Times New Roman" w:hAnsi="Segoe UI" w:cs="Segoe UI"/>
                <w:color w:val="000000"/>
                <w:szCs w:val="24"/>
              </w:rPr>
              <w:t>Embedded teeth</w:t>
            </w:r>
          </w:p>
        </w:tc>
        <w:tc>
          <w:tcPr>
            <w:tcW w:w="1740" w:type="dxa"/>
            <w:noWrap/>
            <w:vAlign w:val="bottom"/>
            <w:hideMark/>
          </w:tcPr>
          <w:p w14:paraId="78DAF56A" w14:textId="77777777" w:rsidR="004600DF" w:rsidRPr="00006505" w:rsidRDefault="004600DF" w:rsidP="00FD2E73">
            <w:pPr>
              <w:spacing w:after="0" w:line="240" w:lineRule="auto"/>
              <w:jc w:val="right"/>
              <w:rPr>
                <w:rFonts w:ascii="Segoe UI" w:eastAsia="Times New Roman" w:hAnsi="Segoe UI" w:cs="Segoe UI"/>
                <w:color w:val="000000"/>
                <w:szCs w:val="24"/>
              </w:rPr>
            </w:pPr>
            <w:r w:rsidRPr="00006505">
              <w:rPr>
                <w:rFonts w:ascii="Segoe UI" w:eastAsia="Times New Roman" w:hAnsi="Segoe UI" w:cs="Segoe UI"/>
                <w:color w:val="000000"/>
                <w:szCs w:val="24"/>
              </w:rPr>
              <w:t>5%</w:t>
            </w:r>
          </w:p>
        </w:tc>
      </w:tr>
    </w:tbl>
    <w:p w14:paraId="11208FC5" w14:textId="77777777" w:rsidR="004600DF" w:rsidRDefault="004600DF" w:rsidP="00FD2E73">
      <w:pPr>
        <w:pStyle w:val="ListParagraph"/>
      </w:pPr>
    </w:p>
    <w:p w14:paraId="29383AA8" w14:textId="77777777" w:rsidR="004600DF" w:rsidRDefault="004600DF" w:rsidP="00FD2E73">
      <w:pPr>
        <w:rPr>
          <w:rFonts w:asciiTheme="minorHAnsi" w:hAnsiTheme="minorHAnsi"/>
          <w:sz w:val="22"/>
        </w:rPr>
      </w:pPr>
      <w:r>
        <w:br w:type="page"/>
      </w:r>
    </w:p>
    <w:p w14:paraId="6D2F1173" w14:textId="77777777" w:rsidR="004600DF" w:rsidRDefault="004600DF" w:rsidP="00FD2E73">
      <w:pPr>
        <w:pStyle w:val="ListParagraph"/>
        <w:jc w:val="center"/>
        <w:rPr>
          <w:b/>
          <w:bCs/>
          <w:sz w:val="24"/>
          <w:szCs w:val="24"/>
        </w:rPr>
      </w:pPr>
      <w:r w:rsidRPr="00E763FA">
        <w:rPr>
          <w:b/>
          <w:bCs/>
          <w:sz w:val="24"/>
          <w:szCs w:val="24"/>
        </w:rPr>
        <w:lastRenderedPageBreak/>
        <w:t>Exhibit 5</w:t>
      </w:r>
    </w:p>
    <w:p w14:paraId="41BD617D" w14:textId="77777777" w:rsidR="004600DF" w:rsidRDefault="004600DF" w:rsidP="00FD2E73">
      <w:pPr>
        <w:pStyle w:val="ListParagraph"/>
        <w:jc w:val="center"/>
        <w:rPr>
          <w:b/>
          <w:bCs/>
          <w:sz w:val="24"/>
          <w:szCs w:val="24"/>
        </w:rPr>
      </w:pPr>
    </w:p>
    <w:p w14:paraId="1951C3DE" w14:textId="77777777" w:rsidR="004600DF" w:rsidRDefault="004600DF" w:rsidP="00FD2E73">
      <w:pPr>
        <w:pStyle w:val="ListParagraph"/>
        <w:jc w:val="center"/>
        <w:rPr>
          <w:b/>
          <w:bCs/>
          <w:sz w:val="24"/>
          <w:szCs w:val="24"/>
        </w:rPr>
      </w:pPr>
      <w:r>
        <w:rPr>
          <w:b/>
          <w:bCs/>
          <w:sz w:val="24"/>
          <w:szCs w:val="24"/>
        </w:rPr>
        <w:t xml:space="preserve">Projected Demand  </w:t>
      </w:r>
    </w:p>
    <w:p w14:paraId="70D3CBC0" w14:textId="77777777" w:rsidR="004600DF" w:rsidRPr="00E763FA" w:rsidRDefault="004600DF" w:rsidP="00FD2E73">
      <w:pPr>
        <w:pStyle w:val="ListParagraph"/>
        <w:jc w:val="center"/>
        <w:rPr>
          <w:b/>
          <w:bCs/>
          <w:sz w:val="24"/>
          <w:szCs w:val="24"/>
        </w:rPr>
      </w:pPr>
    </w:p>
    <w:p w14:paraId="083C761F" w14:textId="77777777" w:rsidR="004600DF" w:rsidRPr="00D43958" w:rsidRDefault="004600DF" w:rsidP="00FD2E73">
      <w:pPr>
        <w:pStyle w:val="ListParagraph"/>
        <w:numPr>
          <w:ilvl w:val="0"/>
          <w:numId w:val="37"/>
        </w:numPr>
        <w:rPr>
          <w:rFonts w:cstheme="minorHAnsi"/>
          <w:b/>
          <w:sz w:val="24"/>
          <w:szCs w:val="28"/>
        </w:rPr>
      </w:pPr>
      <w:r>
        <w:rPr>
          <w:rFonts w:cstheme="minorHAnsi"/>
          <w:b/>
          <w:sz w:val="24"/>
          <w:szCs w:val="28"/>
        </w:rPr>
        <w:t xml:space="preserve">Category 1:   </w:t>
      </w:r>
      <w:r w:rsidRPr="00D43958">
        <w:rPr>
          <w:rFonts w:cstheme="minorHAnsi"/>
          <w:b/>
          <w:sz w:val="24"/>
          <w:szCs w:val="28"/>
        </w:rPr>
        <w:t xml:space="preserve">CY </w:t>
      </w:r>
      <w:proofErr w:type="gramStart"/>
      <w:r>
        <w:rPr>
          <w:rFonts w:cstheme="minorHAnsi"/>
          <w:b/>
          <w:sz w:val="24"/>
          <w:szCs w:val="28"/>
        </w:rPr>
        <w:t>2029</w:t>
      </w:r>
      <w:r w:rsidRPr="00D43958">
        <w:rPr>
          <w:rFonts w:cstheme="minorHAnsi"/>
          <w:b/>
          <w:sz w:val="24"/>
          <w:szCs w:val="28"/>
        </w:rPr>
        <w:t xml:space="preserve"> </w:t>
      </w:r>
      <w:r>
        <w:rPr>
          <w:rFonts w:cstheme="minorHAnsi"/>
          <w:b/>
          <w:sz w:val="24"/>
          <w:szCs w:val="28"/>
        </w:rPr>
        <w:t xml:space="preserve"> Volume</w:t>
      </w:r>
      <w:proofErr w:type="gramEnd"/>
      <w:r>
        <w:rPr>
          <w:rFonts w:cstheme="minorHAnsi"/>
          <w:b/>
          <w:sz w:val="24"/>
          <w:szCs w:val="28"/>
        </w:rPr>
        <w:t xml:space="preserve"> –</w:t>
      </w:r>
      <w:r w:rsidRPr="00D43958">
        <w:rPr>
          <w:rFonts w:cstheme="minorHAnsi"/>
          <w:b/>
          <w:sz w:val="24"/>
          <w:szCs w:val="28"/>
        </w:rPr>
        <w:t xml:space="preserve"> </w:t>
      </w:r>
      <w:r>
        <w:rPr>
          <w:rFonts w:cstheme="minorHAnsi"/>
          <w:b/>
          <w:sz w:val="24"/>
          <w:szCs w:val="28"/>
        </w:rPr>
        <w:t xml:space="preserve">State-Wide </w:t>
      </w:r>
      <w:r w:rsidRPr="00D43958">
        <w:rPr>
          <w:rFonts w:cstheme="minorHAnsi"/>
          <w:b/>
          <w:sz w:val="24"/>
          <w:szCs w:val="28"/>
        </w:rPr>
        <w:t>Demand by Setting Age Group and Payor</w:t>
      </w:r>
      <w:r>
        <w:rPr>
          <w:rFonts w:cstheme="minorHAnsi"/>
          <w:b/>
          <w:sz w:val="24"/>
          <w:szCs w:val="28"/>
        </w:rPr>
        <w:t xml:space="preserve">  </w:t>
      </w:r>
    </w:p>
    <w:p w14:paraId="128C2FFF" w14:textId="77777777" w:rsidR="004600DF" w:rsidRDefault="004600DF" w:rsidP="00FD2E73">
      <w:pPr>
        <w:pStyle w:val="ListParagraph"/>
      </w:pPr>
    </w:p>
    <w:tbl>
      <w:tblPr>
        <w:tblW w:w="7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tegory 1:   CY 2029  Volume – State-Wide Demand by Setting Age Group and Payor  "/>
      </w:tblPr>
      <w:tblGrid>
        <w:gridCol w:w="895"/>
        <w:gridCol w:w="24"/>
        <w:gridCol w:w="1140"/>
        <w:gridCol w:w="1406"/>
        <w:gridCol w:w="1406"/>
        <w:gridCol w:w="1380"/>
        <w:gridCol w:w="1380"/>
      </w:tblGrid>
      <w:tr w:rsidR="004600DF" w:rsidRPr="00006505" w14:paraId="1F1A77EE" w14:textId="77777777" w:rsidTr="00871E0F">
        <w:trPr>
          <w:cantSplit/>
          <w:trHeight w:val="343"/>
          <w:tblHeader/>
        </w:trPr>
        <w:tc>
          <w:tcPr>
            <w:tcW w:w="919" w:type="dxa"/>
            <w:gridSpan w:val="2"/>
            <w:shd w:val="clear" w:color="auto" w:fill="DBE5F1" w:themeFill="accent1" w:themeFillTint="33"/>
            <w:noWrap/>
            <w:vAlign w:val="bottom"/>
            <w:hideMark/>
          </w:tcPr>
          <w:p w14:paraId="2EE362CE" w14:textId="77777777" w:rsidR="004600DF" w:rsidRPr="00006505" w:rsidRDefault="004600DF" w:rsidP="00FD2E73">
            <w:pPr>
              <w:spacing w:after="0" w:line="240" w:lineRule="auto"/>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Setting</w:t>
            </w:r>
          </w:p>
        </w:tc>
        <w:tc>
          <w:tcPr>
            <w:tcW w:w="1140" w:type="dxa"/>
            <w:shd w:val="clear" w:color="auto" w:fill="DBE5F1" w:themeFill="accent1" w:themeFillTint="33"/>
            <w:noWrap/>
            <w:vAlign w:val="bottom"/>
            <w:hideMark/>
          </w:tcPr>
          <w:p w14:paraId="645232D4" w14:textId="77777777" w:rsidR="004600DF" w:rsidRPr="00006505" w:rsidRDefault="004600DF" w:rsidP="00FD2E73">
            <w:pPr>
              <w:spacing w:after="0" w:line="240" w:lineRule="auto"/>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Age Group</w:t>
            </w:r>
          </w:p>
        </w:tc>
        <w:tc>
          <w:tcPr>
            <w:tcW w:w="1406" w:type="dxa"/>
            <w:shd w:val="clear" w:color="auto" w:fill="DBE5F1" w:themeFill="accent1" w:themeFillTint="33"/>
            <w:noWrap/>
            <w:vAlign w:val="bottom"/>
            <w:hideMark/>
          </w:tcPr>
          <w:p w14:paraId="4074DF7C" w14:textId="1F456560" w:rsidR="004600DF" w:rsidRPr="0084419A" w:rsidRDefault="00C065CC" w:rsidP="00FD2E73">
            <w:pPr>
              <w:spacing w:after="0" w:line="240" w:lineRule="auto"/>
              <w:jc w:val="center"/>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Commercial</w:t>
            </w:r>
            <w:r w:rsidRPr="0084419A">
              <w:rPr>
                <w:rFonts w:asciiTheme="minorHAnsi" w:eastAsia="Times New Roman" w:hAnsiTheme="minorHAnsi" w:cstheme="minorHAnsi"/>
                <w:b/>
                <w:bCs/>
                <w:color w:val="000000"/>
                <w:szCs w:val="24"/>
              </w:rPr>
              <w:t xml:space="preserve"> </w:t>
            </w:r>
            <w:r w:rsidR="004600DF" w:rsidRPr="0084419A">
              <w:rPr>
                <w:rFonts w:asciiTheme="minorHAnsi" w:eastAsia="Times New Roman" w:hAnsiTheme="minorHAnsi" w:cstheme="minorHAnsi"/>
                <w:b/>
                <w:bCs/>
                <w:color w:val="000000"/>
                <w:szCs w:val="24"/>
              </w:rPr>
              <w:t>2024 Volume</w:t>
            </w:r>
          </w:p>
        </w:tc>
        <w:tc>
          <w:tcPr>
            <w:tcW w:w="1406" w:type="dxa"/>
            <w:shd w:val="clear" w:color="auto" w:fill="DBE5F1" w:themeFill="accent1" w:themeFillTint="33"/>
            <w:noWrap/>
            <w:vAlign w:val="bottom"/>
            <w:hideMark/>
          </w:tcPr>
          <w:p w14:paraId="5EAE642C" w14:textId="1DF7B139" w:rsidR="004600DF" w:rsidRPr="0084419A" w:rsidRDefault="00C065CC" w:rsidP="00FD2E73">
            <w:pPr>
              <w:spacing w:after="0" w:line="240" w:lineRule="auto"/>
              <w:jc w:val="center"/>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Commercial</w:t>
            </w:r>
            <w:r w:rsidRPr="0084419A">
              <w:rPr>
                <w:rFonts w:asciiTheme="minorHAnsi" w:eastAsia="Times New Roman" w:hAnsiTheme="minorHAnsi" w:cstheme="minorHAnsi"/>
                <w:b/>
                <w:bCs/>
                <w:color w:val="000000"/>
                <w:szCs w:val="24"/>
              </w:rPr>
              <w:t xml:space="preserve"> </w:t>
            </w:r>
            <w:r w:rsidR="004600DF" w:rsidRPr="0084419A">
              <w:rPr>
                <w:rFonts w:asciiTheme="minorHAnsi" w:eastAsia="Times New Roman" w:hAnsiTheme="minorHAnsi" w:cstheme="minorHAnsi"/>
                <w:b/>
                <w:bCs/>
                <w:color w:val="000000"/>
                <w:szCs w:val="24"/>
              </w:rPr>
              <w:t>2029 Volume</w:t>
            </w:r>
          </w:p>
        </w:tc>
        <w:tc>
          <w:tcPr>
            <w:tcW w:w="1380" w:type="dxa"/>
            <w:shd w:val="clear" w:color="auto" w:fill="DBE5F1" w:themeFill="accent1" w:themeFillTint="33"/>
            <w:noWrap/>
            <w:vAlign w:val="bottom"/>
            <w:hideMark/>
          </w:tcPr>
          <w:p w14:paraId="6345DACD" w14:textId="0A767F1E" w:rsidR="004600DF" w:rsidRPr="0084419A" w:rsidRDefault="00C065CC" w:rsidP="00FD2E73">
            <w:pPr>
              <w:spacing w:after="0" w:line="240" w:lineRule="auto"/>
              <w:jc w:val="center"/>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Medicaid</w:t>
            </w:r>
            <w:r w:rsidRPr="0084419A">
              <w:rPr>
                <w:rFonts w:asciiTheme="minorHAnsi" w:eastAsia="Times New Roman" w:hAnsiTheme="minorHAnsi" w:cstheme="minorHAnsi"/>
                <w:b/>
                <w:bCs/>
                <w:color w:val="000000"/>
                <w:szCs w:val="24"/>
              </w:rPr>
              <w:t xml:space="preserve"> </w:t>
            </w:r>
            <w:r w:rsidR="004600DF" w:rsidRPr="0084419A">
              <w:rPr>
                <w:rFonts w:asciiTheme="minorHAnsi" w:eastAsia="Times New Roman" w:hAnsiTheme="minorHAnsi" w:cstheme="minorHAnsi"/>
                <w:b/>
                <w:bCs/>
                <w:color w:val="000000"/>
                <w:szCs w:val="24"/>
              </w:rPr>
              <w:t>2024 Volume</w:t>
            </w:r>
          </w:p>
        </w:tc>
        <w:tc>
          <w:tcPr>
            <w:tcW w:w="1380" w:type="dxa"/>
            <w:shd w:val="clear" w:color="auto" w:fill="DBE5F1" w:themeFill="accent1" w:themeFillTint="33"/>
            <w:noWrap/>
            <w:vAlign w:val="bottom"/>
            <w:hideMark/>
          </w:tcPr>
          <w:p w14:paraId="09E7DD1E" w14:textId="77777777" w:rsidR="004600DF" w:rsidRPr="0084419A" w:rsidRDefault="004600DF" w:rsidP="00FD2E73">
            <w:pPr>
              <w:spacing w:after="0" w:line="240" w:lineRule="auto"/>
              <w:jc w:val="center"/>
              <w:rPr>
                <w:rFonts w:asciiTheme="minorHAnsi" w:eastAsia="Times New Roman" w:hAnsiTheme="minorHAnsi" w:cstheme="minorHAnsi"/>
                <w:b/>
                <w:bCs/>
                <w:color w:val="000000"/>
                <w:szCs w:val="24"/>
              </w:rPr>
            </w:pPr>
            <w:r w:rsidRPr="0084419A">
              <w:rPr>
                <w:rFonts w:asciiTheme="minorHAnsi" w:eastAsia="Times New Roman" w:hAnsiTheme="minorHAnsi" w:cstheme="minorHAnsi"/>
                <w:b/>
                <w:bCs/>
                <w:color w:val="000000"/>
                <w:szCs w:val="24"/>
              </w:rPr>
              <w:t>2029 Volume</w:t>
            </w:r>
          </w:p>
        </w:tc>
      </w:tr>
      <w:tr w:rsidR="004600DF" w:rsidRPr="00006505" w14:paraId="265DD9D2" w14:textId="77777777" w:rsidTr="005E2602">
        <w:trPr>
          <w:cantSplit/>
          <w:trHeight w:val="343"/>
        </w:trPr>
        <w:tc>
          <w:tcPr>
            <w:tcW w:w="919" w:type="dxa"/>
            <w:gridSpan w:val="2"/>
            <w:noWrap/>
            <w:hideMark/>
          </w:tcPr>
          <w:p w14:paraId="5577A97F" w14:textId="77777777" w:rsidR="004600DF" w:rsidRPr="00006505" w:rsidRDefault="004600DF" w:rsidP="00FD2E73">
            <w:pPr>
              <w:spacing w:after="0" w:line="240" w:lineRule="auto"/>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ASC</w:t>
            </w:r>
          </w:p>
        </w:tc>
        <w:tc>
          <w:tcPr>
            <w:tcW w:w="1140" w:type="dxa"/>
            <w:noWrap/>
            <w:hideMark/>
          </w:tcPr>
          <w:p w14:paraId="6AAE4447" w14:textId="77777777" w:rsidR="004600DF" w:rsidRPr="00006505" w:rsidRDefault="004600DF" w:rsidP="00FD2E73">
            <w:pPr>
              <w:spacing w:after="0" w:line="240" w:lineRule="auto"/>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0-10</w:t>
            </w:r>
          </w:p>
        </w:tc>
        <w:tc>
          <w:tcPr>
            <w:tcW w:w="1406" w:type="dxa"/>
            <w:noWrap/>
            <w:vAlign w:val="center"/>
            <w:hideMark/>
          </w:tcPr>
          <w:p w14:paraId="3A7E3B26" w14:textId="77777777" w:rsidR="004600DF" w:rsidRPr="00006505" w:rsidRDefault="004600DF" w:rsidP="00FD2E73">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9,444</w:t>
            </w:r>
          </w:p>
        </w:tc>
        <w:tc>
          <w:tcPr>
            <w:tcW w:w="1406" w:type="dxa"/>
            <w:noWrap/>
            <w:vAlign w:val="center"/>
            <w:hideMark/>
          </w:tcPr>
          <w:p w14:paraId="17AFF51A" w14:textId="77777777" w:rsidR="004600DF" w:rsidRPr="00006505" w:rsidRDefault="004600DF" w:rsidP="00FD2E73">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9,310</w:t>
            </w:r>
          </w:p>
        </w:tc>
        <w:tc>
          <w:tcPr>
            <w:tcW w:w="1380" w:type="dxa"/>
            <w:noWrap/>
            <w:vAlign w:val="center"/>
            <w:hideMark/>
          </w:tcPr>
          <w:p w14:paraId="545AA72F" w14:textId="77777777" w:rsidR="004600DF" w:rsidRPr="00006505" w:rsidRDefault="004600DF" w:rsidP="00FD2E73">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495</w:t>
            </w:r>
          </w:p>
        </w:tc>
        <w:tc>
          <w:tcPr>
            <w:tcW w:w="1380" w:type="dxa"/>
            <w:noWrap/>
            <w:vAlign w:val="center"/>
            <w:hideMark/>
          </w:tcPr>
          <w:p w14:paraId="34CC8D84" w14:textId="77777777" w:rsidR="004600DF" w:rsidRPr="00006505" w:rsidRDefault="004600DF" w:rsidP="00FD2E73">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491</w:t>
            </w:r>
          </w:p>
        </w:tc>
      </w:tr>
      <w:tr w:rsidR="001B55DE" w:rsidRPr="00006505" w14:paraId="0EDBFD10" w14:textId="77777777" w:rsidTr="00D70E00">
        <w:trPr>
          <w:cantSplit/>
          <w:trHeight w:val="343"/>
        </w:trPr>
        <w:tc>
          <w:tcPr>
            <w:tcW w:w="919" w:type="dxa"/>
            <w:gridSpan w:val="2"/>
            <w:hideMark/>
          </w:tcPr>
          <w:p w14:paraId="797A1119" w14:textId="430B08A8" w:rsidR="001B55DE" w:rsidRPr="00006505" w:rsidRDefault="001B55DE" w:rsidP="001B55DE">
            <w:pPr>
              <w:spacing w:after="0" w:line="240" w:lineRule="auto"/>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ASC</w:t>
            </w:r>
          </w:p>
        </w:tc>
        <w:tc>
          <w:tcPr>
            <w:tcW w:w="1140" w:type="dxa"/>
            <w:noWrap/>
            <w:hideMark/>
          </w:tcPr>
          <w:p w14:paraId="5AEED4AE" w14:textId="77777777" w:rsidR="001B55DE" w:rsidRPr="00006505" w:rsidRDefault="001B55DE" w:rsidP="001B55DE">
            <w:pPr>
              <w:spacing w:after="0" w:line="240" w:lineRule="auto"/>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11-21</w:t>
            </w:r>
          </w:p>
        </w:tc>
        <w:tc>
          <w:tcPr>
            <w:tcW w:w="1406" w:type="dxa"/>
            <w:noWrap/>
            <w:vAlign w:val="center"/>
            <w:hideMark/>
          </w:tcPr>
          <w:p w14:paraId="176206EF" w14:textId="77777777" w:rsidR="001B55DE" w:rsidRPr="00006505" w:rsidRDefault="001B55DE" w:rsidP="001B55DE">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679</w:t>
            </w:r>
          </w:p>
        </w:tc>
        <w:tc>
          <w:tcPr>
            <w:tcW w:w="1406" w:type="dxa"/>
            <w:noWrap/>
            <w:vAlign w:val="center"/>
            <w:hideMark/>
          </w:tcPr>
          <w:p w14:paraId="26B0ABA2" w14:textId="77777777" w:rsidR="001B55DE" w:rsidRPr="00006505" w:rsidRDefault="001B55DE" w:rsidP="001B55DE">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670</w:t>
            </w:r>
          </w:p>
        </w:tc>
        <w:tc>
          <w:tcPr>
            <w:tcW w:w="1380" w:type="dxa"/>
            <w:noWrap/>
            <w:vAlign w:val="center"/>
            <w:hideMark/>
          </w:tcPr>
          <w:p w14:paraId="62B53127" w14:textId="77777777" w:rsidR="001B55DE" w:rsidRPr="00006505" w:rsidRDefault="001B55DE" w:rsidP="001B55DE">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33</w:t>
            </w:r>
          </w:p>
        </w:tc>
        <w:tc>
          <w:tcPr>
            <w:tcW w:w="1380" w:type="dxa"/>
            <w:noWrap/>
            <w:vAlign w:val="center"/>
            <w:hideMark/>
          </w:tcPr>
          <w:p w14:paraId="5C2B940F" w14:textId="77777777" w:rsidR="001B55DE" w:rsidRPr="00006505" w:rsidRDefault="001B55DE" w:rsidP="001B55DE">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33</w:t>
            </w:r>
          </w:p>
        </w:tc>
      </w:tr>
      <w:tr w:rsidR="001B55DE" w:rsidRPr="00006505" w14:paraId="3C3F519D" w14:textId="77777777" w:rsidTr="00CD5960">
        <w:trPr>
          <w:cantSplit/>
          <w:trHeight w:val="343"/>
        </w:trPr>
        <w:tc>
          <w:tcPr>
            <w:tcW w:w="919" w:type="dxa"/>
            <w:gridSpan w:val="2"/>
            <w:hideMark/>
          </w:tcPr>
          <w:p w14:paraId="2887FAB9" w14:textId="7F9A21E8" w:rsidR="001B55DE" w:rsidRPr="00006505" w:rsidRDefault="001B55DE" w:rsidP="001B55DE">
            <w:pPr>
              <w:spacing w:after="0" w:line="240" w:lineRule="auto"/>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ASC</w:t>
            </w:r>
          </w:p>
        </w:tc>
        <w:tc>
          <w:tcPr>
            <w:tcW w:w="1140" w:type="dxa"/>
            <w:shd w:val="clear" w:color="auto" w:fill="DBE5F1" w:themeFill="accent1" w:themeFillTint="33"/>
            <w:noWrap/>
            <w:hideMark/>
          </w:tcPr>
          <w:p w14:paraId="03AA4F9F" w14:textId="77777777" w:rsidR="001B55DE" w:rsidRPr="00006505" w:rsidRDefault="001B55DE" w:rsidP="001B55DE">
            <w:pPr>
              <w:spacing w:after="0" w:line="240" w:lineRule="auto"/>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Total</w:t>
            </w:r>
          </w:p>
        </w:tc>
        <w:tc>
          <w:tcPr>
            <w:tcW w:w="1406" w:type="dxa"/>
            <w:shd w:val="clear" w:color="auto" w:fill="DBE5F1" w:themeFill="accent1" w:themeFillTint="33"/>
            <w:noWrap/>
            <w:vAlign w:val="center"/>
            <w:hideMark/>
          </w:tcPr>
          <w:p w14:paraId="37BD3405" w14:textId="17592C58" w:rsidR="001B55DE" w:rsidRPr="00006505" w:rsidRDefault="001B55DE" w:rsidP="001B55DE">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10,123</w:t>
            </w:r>
          </w:p>
        </w:tc>
        <w:tc>
          <w:tcPr>
            <w:tcW w:w="1406" w:type="dxa"/>
            <w:shd w:val="clear" w:color="auto" w:fill="DBE5F1" w:themeFill="accent1" w:themeFillTint="33"/>
            <w:noWrap/>
            <w:vAlign w:val="center"/>
            <w:hideMark/>
          </w:tcPr>
          <w:p w14:paraId="70817290" w14:textId="77777777" w:rsidR="001B55DE" w:rsidRPr="00006505" w:rsidRDefault="001B55DE" w:rsidP="001B55DE">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9,980</w:t>
            </w:r>
          </w:p>
        </w:tc>
        <w:tc>
          <w:tcPr>
            <w:tcW w:w="1380" w:type="dxa"/>
            <w:shd w:val="clear" w:color="auto" w:fill="DBE5F1" w:themeFill="accent1" w:themeFillTint="33"/>
            <w:noWrap/>
            <w:vAlign w:val="center"/>
            <w:hideMark/>
          </w:tcPr>
          <w:p w14:paraId="3114FAD8" w14:textId="77777777" w:rsidR="001B55DE" w:rsidRPr="00006505" w:rsidRDefault="001B55DE" w:rsidP="001B55DE">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528</w:t>
            </w:r>
          </w:p>
        </w:tc>
        <w:tc>
          <w:tcPr>
            <w:tcW w:w="1380" w:type="dxa"/>
            <w:shd w:val="clear" w:color="auto" w:fill="DBE5F1" w:themeFill="accent1" w:themeFillTint="33"/>
            <w:noWrap/>
            <w:vAlign w:val="center"/>
            <w:hideMark/>
          </w:tcPr>
          <w:p w14:paraId="0CE8061D" w14:textId="77777777" w:rsidR="001B55DE" w:rsidRPr="00006505" w:rsidRDefault="001B55DE" w:rsidP="001B55DE">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524</w:t>
            </w:r>
          </w:p>
        </w:tc>
      </w:tr>
      <w:tr w:rsidR="001B55DE" w:rsidRPr="00006505" w14:paraId="03605716" w14:textId="77777777" w:rsidTr="005E2602">
        <w:trPr>
          <w:cantSplit/>
          <w:trHeight w:val="343"/>
        </w:trPr>
        <w:tc>
          <w:tcPr>
            <w:tcW w:w="919" w:type="dxa"/>
            <w:gridSpan w:val="2"/>
            <w:noWrap/>
            <w:hideMark/>
          </w:tcPr>
          <w:p w14:paraId="642ACE06" w14:textId="77777777" w:rsidR="001B55DE" w:rsidRPr="00006505" w:rsidRDefault="001B55DE" w:rsidP="001B55DE">
            <w:pPr>
              <w:spacing w:after="0" w:line="240" w:lineRule="auto"/>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HOPD</w:t>
            </w:r>
          </w:p>
        </w:tc>
        <w:tc>
          <w:tcPr>
            <w:tcW w:w="1140" w:type="dxa"/>
            <w:noWrap/>
            <w:hideMark/>
          </w:tcPr>
          <w:p w14:paraId="592E9BC9" w14:textId="77777777" w:rsidR="001B55DE" w:rsidRPr="00006505" w:rsidRDefault="001B55DE" w:rsidP="001B55DE">
            <w:pPr>
              <w:spacing w:after="0" w:line="240" w:lineRule="auto"/>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0-10</w:t>
            </w:r>
          </w:p>
        </w:tc>
        <w:tc>
          <w:tcPr>
            <w:tcW w:w="1406" w:type="dxa"/>
            <w:noWrap/>
            <w:vAlign w:val="center"/>
            <w:hideMark/>
          </w:tcPr>
          <w:p w14:paraId="6C1B6587" w14:textId="77777777" w:rsidR="001B55DE" w:rsidRPr="00006505" w:rsidRDefault="001B55DE" w:rsidP="001B55DE">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20,927</w:t>
            </w:r>
          </w:p>
        </w:tc>
        <w:tc>
          <w:tcPr>
            <w:tcW w:w="1406" w:type="dxa"/>
            <w:noWrap/>
            <w:vAlign w:val="center"/>
            <w:hideMark/>
          </w:tcPr>
          <w:p w14:paraId="7212E161" w14:textId="77777777" w:rsidR="001B55DE" w:rsidRPr="00006505" w:rsidRDefault="001B55DE" w:rsidP="001B55DE">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20,630</w:t>
            </w:r>
          </w:p>
        </w:tc>
        <w:tc>
          <w:tcPr>
            <w:tcW w:w="1380" w:type="dxa"/>
            <w:noWrap/>
            <w:vAlign w:val="center"/>
            <w:hideMark/>
          </w:tcPr>
          <w:p w14:paraId="595D3176" w14:textId="77777777" w:rsidR="001B55DE" w:rsidRPr="00006505" w:rsidRDefault="001B55DE" w:rsidP="001B55DE">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50,998</w:t>
            </w:r>
          </w:p>
        </w:tc>
        <w:tc>
          <w:tcPr>
            <w:tcW w:w="1380" w:type="dxa"/>
            <w:noWrap/>
            <w:vAlign w:val="center"/>
            <w:hideMark/>
          </w:tcPr>
          <w:p w14:paraId="673F5302" w14:textId="77777777" w:rsidR="001B55DE" w:rsidRPr="00006505" w:rsidRDefault="001B55DE" w:rsidP="001B55DE">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50,605</w:t>
            </w:r>
          </w:p>
        </w:tc>
      </w:tr>
      <w:tr w:rsidR="001B55DE" w:rsidRPr="00006505" w14:paraId="1C140ED3" w14:textId="77777777" w:rsidTr="002F3548">
        <w:trPr>
          <w:cantSplit/>
          <w:trHeight w:val="343"/>
        </w:trPr>
        <w:tc>
          <w:tcPr>
            <w:tcW w:w="919" w:type="dxa"/>
            <w:gridSpan w:val="2"/>
            <w:hideMark/>
          </w:tcPr>
          <w:p w14:paraId="21F994ED" w14:textId="51B46524" w:rsidR="001B55DE" w:rsidRPr="00006505" w:rsidRDefault="001B55DE" w:rsidP="001B55DE">
            <w:pPr>
              <w:spacing w:after="0" w:line="240" w:lineRule="auto"/>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HOPD</w:t>
            </w:r>
          </w:p>
        </w:tc>
        <w:tc>
          <w:tcPr>
            <w:tcW w:w="1140" w:type="dxa"/>
            <w:noWrap/>
            <w:hideMark/>
          </w:tcPr>
          <w:p w14:paraId="7ED308D5" w14:textId="77777777" w:rsidR="001B55DE" w:rsidRPr="00006505" w:rsidRDefault="001B55DE" w:rsidP="001B55DE">
            <w:pPr>
              <w:spacing w:after="0" w:line="240" w:lineRule="auto"/>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11-21</w:t>
            </w:r>
          </w:p>
        </w:tc>
        <w:tc>
          <w:tcPr>
            <w:tcW w:w="1406" w:type="dxa"/>
            <w:noWrap/>
            <w:vAlign w:val="center"/>
            <w:hideMark/>
          </w:tcPr>
          <w:p w14:paraId="0106D130" w14:textId="77777777" w:rsidR="001B55DE" w:rsidRPr="00006505" w:rsidRDefault="001B55DE" w:rsidP="001B55DE">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6,371</w:t>
            </w:r>
          </w:p>
        </w:tc>
        <w:tc>
          <w:tcPr>
            <w:tcW w:w="1406" w:type="dxa"/>
            <w:noWrap/>
            <w:vAlign w:val="center"/>
            <w:hideMark/>
          </w:tcPr>
          <w:p w14:paraId="7D93D103" w14:textId="77777777" w:rsidR="001B55DE" w:rsidRPr="00006505" w:rsidRDefault="001B55DE" w:rsidP="001B55DE">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6,281</w:t>
            </w:r>
          </w:p>
        </w:tc>
        <w:tc>
          <w:tcPr>
            <w:tcW w:w="1380" w:type="dxa"/>
            <w:noWrap/>
            <w:vAlign w:val="center"/>
            <w:hideMark/>
          </w:tcPr>
          <w:p w14:paraId="2AC6513C" w14:textId="77777777" w:rsidR="001B55DE" w:rsidRPr="00006505" w:rsidRDefault="001B55DE" w:rsidP="001B55DE">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10,537</w:t>
            </w:r>
          </w:p>
        </w:tc>
        <w:tc>
          <w:tcPr>
            <w:tcW w:w="1380" w:type="dxa"/>
            <w:noWrap/>
            <w:vAlign w:val="center"/>
            <w:hideMark/>
          </w:tcPr>
          <w:p w14:paraId="15273474" w14:textId="77777777" w:rsidR="001B55DE" w:rsidRPr="00006505" w:rsidRDefault="001B55DE" w:rsidP="001B55DE">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10,456</w:t>
            </w:r>
          </w:p>
        </w:tc>
      </w:tr>
      <w:tr w:rsidR="001B55DE" w:rsidRPr="00006505" w14:paraId="68EF929A" w14:textId="77777777" w:rsidTr="00077815">
        <w:trPr>
          <w:cantSplit/>
          <w:trHeight w:val="343"/>
        </w:trPr>
        <w:tc>
          <w:tcPr>
            <w:tcW w:w="919" w:type="dxa"/>
            <w:gridSpan w:val="2"/>
            <w:hideMark/>
          </w:tcPr>
          <w:p w14:paraId="48896F79" w14:textId="0DB5B46E" w:rsidR="001B55DE" w:rsidRPr="00006505" w:rsidRDefault="001B55DE" w:rsidP="001B55DE">
            <w:pPr>
              <w:spacing w:after="0" w:line="240" w:lineRule="auto"/>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HOPD</w:t>
            </w:r>
          </w:p>
        </w:tc>
        <w:tc>
          <w:tcPr>
            <w:tcW w:w="1140" w:type="dxa"/>
            <w:shd w:val="clear" w:color="auto" w:fill="DBE5F1" w:themeFill="accent1" w:themeFillTint="33"/>
            <w:noWrap/>
            <w:hideMark/>
          </w:tcPr>
          <w:p w14:paraId="5B863EFC" w14:textId="77777777" w:rsidR="001B55DE" w:rsidRPr="00006505" w:rsidRDefault="001B55DE" w:rsidP="001B55DE">
            <w:pPr>
              <w:spacing w:after="0" w:line="240" w:lineRule="auto"/>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Total</w:t>
            </w:r>
          </w:p>
        </w:tc>
        <w:tc>
          <w:tcPr>
            <w:tcW w:w="1406" w:type="dxa"/>
            <w:shd w:val="clear" w:color="auto" w:fill="DBE5F1" w:themeFill="accent1" w:themeFillTint="33"/>
            <w:noWrap/>
            <w:vAlign w:val="center"/>
            <w:hideMark/>
          </w:tcPr>
          <w:p w14:paraId="482B3512" w14:textId="77777777" w:rsidR="001B55DE" w:rsidRPr="00006505" w:rsidRDefault="001B55DE" w:rsidP="001B55DE">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27,298</w:t>
            </w:r>
          </w:p>
        </w:tc>
        <w:tc>
          <w:tcPr>
            <w:tcW w:w="1406" w:type="dxa"/>
            <w:shd w:val="clear" w:color="auto" w:fill="DBE5F1" w:themeFill="accent1" w:themeFillTint="33"/>
            <w:noWrap/>
            <w:vAlign w:val="center"/>
            <w:hideMark/>
          </w:tcPr>
          <w:p w14:paraId="3C9FC01E" w14:textId="77777777" w:rsidR="001B55DE" w:rsidRPr="00006505" w:rsidRDefault="001B55DE" w:rsidP="001B55DE">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26,911</w:t>
            </w:r>
          </w:p>
        </w:tc>
        <w:tc>
          <w:tcPr>
            <w:tcW w:w="1380" w:type="dxa"/>
            <w:shd w:val="clear" w:color="auto" w:fill="DBE5F1" w:themeFill="accent1" w:themeFillTint="33"/>
            <w:noWrap/>
            <w:vAlign w:val="center"/>
            <w:hideMark/>
          </w:tcPr>
          <w:p w14:paraId="579A0ACD" w14:textId="36F0BDF4" w:rsidR="001B55DE" w:rsidRPr="00006505" w:rsidRDefault="001B55DE" w:rsidP="001B55DE">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61,535</w:t>
            </w:r>
          </w:p>
        </w:tc>
        <w:tc>
          <w:tcPr>
            <w:tcW w:w="1380" w:type="dxa"/>
            <w:shd w:val="clear" w:color="auto" w:fill="DBE5F1" w:themeFill="accent1" w:themeFillTint="33"/>
            <w:noWrap/>
            <w:vAlign w:val="center"/>
            <w:hideMark/>
          </w:tcPr>
          <w:p w14:paraId="4B9D3463" w14:textId="7B751480" w:rsidR="001B55DE" w:rsidRPr="00006505" w:rsidRDefault="001B55DE" w:rsidP="001B55DE">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61,061</w:t>
            </w:r>
          </w:p>
        </w:tc>
      </w:tr>
      <w:tr w:rsidR="001B55DE" w:rsidRPr="00006505" w14:paraId="56ACECD6" w14:textId="77777777" w:rsidTr="005E2602">
        <w:trPr>
          <w:cantSplit/>
          <w:trHeight w:val="343"/>
        </w:trPr>
        <w:tc>
          <w:tcPr>
            <w:tcW w:w="919" w:type="dxa"/>
            <w:gridSpan w:val="2"/>
            <w:noWrap/>
            <w:hideMark/>
          </w:tcPr>
          <w:p w14:paraId="49D81994" w14:textId="1D0F3D14" w:rsidR="001B55DE" w:rsidRPr="00006505" w:rsidRDefault="001B55DE" w:rsidP="001B55DE">
            <w:pPr>
              <w:spacing w:after="0" w:line="240" w:lineRule="auto"/>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Office</w:t>
            </w:r>
          </w:p>
        </w:tc>
        <w:tc>
          <w:tcPr>
            <w:tcW w:w="1140" w:type="dxa"/>
            <w:noWrap/>
            <w:hideMark/>
          </w:tcPr>
          <w:p w14:paraId="025A115F" w14:textId="77777777" w:rsidR="001B55DE" w:rsidRPr="00006505" w:rsidRDefault="001B55DE" w:rsidP="001B55DE">
            <w:pPr>
              <w:spacing w:after="0" w:line="240" w:lineRule="auto"/>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0-10</w:t>
            </w:r>
          </w:p>
        </w:tc>
        <w:tc>
          <w:tcPr>
            <w:tcW w:w="1406" w:type="dxa"/>
            <w:noWrap/>
            <w:vAlign w:val="center"/>
            <w:hideMark/>
          </w:tcPr>
          <w:p w14:paraId="54590B61" w14:textId="77777777" w:rsidR="001B55DE" w:rsidRPr="00006505" w:rsidRDefault="001B55DE" w:rsidP="001B55DE">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21,923</w:t>
            </w:r>
          </w:p>
        </w:tc>
        <w:tc>
          <w:tcPr>
            <w:tcW w:w="1406" w:type="dxa"/>
            <w:noWrap/>
            <w:vAlign w:val="center"/>
            <w:hideMark/>
          </w:tcPr>
          <w:p w14:paraId="771665F9" w14:textId="77777777" w:rsidR="001B55DE" w:rsidRPr="00006505" w:rsidRDefault="001B55DE" w:rsidP="001B55DE">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21,612</w:t>
            </w:r>
          </w:p>
        </w:tc>
        <w:tc>
          <w:tcPr>
            <w:tcW w:w="1380" w:type="dxa"/>
            <w:noWrap/>
            <w:vAlign w:val="center"/>
            <w:hideMark/>
          </w:tcPr>
          <w:p w14:paraId="3152FB37" w14:textId="77777777" w:rsidR="001B55DE" w:rsidRPr="00006505" w:rsidRDefault="001B55DE" w:rsidP="001B55DE">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11,369</w:t>
            </w:r>
          </w:p>
        </w:tc>
        <w:tc>
          <w:tcPr>
            <w:tcW w:w="1380" w:type="dxa"/>
            <w:noWrap/>
            <w:vAlign w:val="center"/>
            <w:hideMark/>
          </w:tcPr>
          <w:p w14:paraId="577C4D43" w14:textId="77777777" w:rsidR="001B55DE" w:rsidRPr="00006505" w:rsidRDefault="001B55DE" w:rsidP="001B55DE">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11,281</w:t>
            </w:r>
          </w:p>
        </w:tc>
      </w:tr>
      <w:tr w:rsidR="001B55DE" w:rsidRPr="00006505" w14:paraId="0E780150" w14:textId="77777777" w:rsidTr="005E2602">
        <w:trPr>
          <w:cantSplit/>
          <w:trHeight w:val="343"/>
        </w:trPr>
        <w:tc>
          <w:tcPr>
            <w:tcW w:w="919" w:type="dxa"/>
            <w:gridSpan w:val="2"/>
            <w:vAlign w:val="center"/>
            <w:hideMark/>
          </w:tcPr>
          <w:p w14:paraId="4306C45B" w14:textId="2F66FE98" w:rsidR="001B55DE" w:rsidRPr="00006505" w:rsidRDefault="001B55DE" w:rsidP="001B55DE">
            <w:pPr>
              <w:spacing w:after="0" w:line="240" w:lineRule="auto"/>
              <w:rPr>
                <w:rFonts w:asciiTheme="minorHAnsi" w:eastAsia="Times New Roman" w:hAnsiTheme="minorHAnsi" w:cstheme="minorHAnsi"/>
                <w:color w:val="000000"/>
                <w:szCs w:val="24"/>
              </w:rPr>
            </w:pPr>
            <w:r w:rsidRPr="00006505">
              <w:rPr>
                <w:rFonts w:asciiTheme="minorHAnsi" w:eastAsia="Times New Roman" w:hAnsiTheme="minorHAnsi" w:cstheme="minorHAnsi"/>
                <w:b/>
                <w:bCs/>
                <w:color w:val="000000"/>
                <w:szCs w:val="24"/>
              </w:rPr>
              <w:t>Office</w:t>
            </w:r>
          </w:p>
        </w:tc>
        <w:tc>
          <w:tcPr>
            <w:tcW w:w="1140" w:type="dxa"/>
            <w:noWrap/>
            <w:hideMark/>
          </w:tcPr>
          <w:p w14:paraId="75A79F23" w14:textId="77777777" w:rsidR="001B55DE" w:rsidRPr="00006505" w:rsidRDefault="001B55DE" w:rsidP="001B55DE">
            <w:pPr>
              <w:spacing w:after="0" w:line="240" w:lineRule="auto"/>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11-21</w:t>
            </w:r>
          </w:p>
        </w:tc>
        <w:tc>
          <w:tcPr>
            <w:tcW w:w="1406" w:type="dxa"/>
            <w:noWrap/>
            <w:vAlign w:val="center"/>
            <w:hideMark/>
          </w:tcPr>
          <w:p w14:paraId="3A90F7E1" w14:textId="77777777" w:rsidR="001B55DE" w:rsidRPr="00006505" w:rsidRDefault="001B55DE" w:rsidP="001B55DE">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54,539</w:t>
            </w:r>
          </w:p>
        </w:tc>
        <w:tc>
          <w:tcPr>
            <w:tcW w:w="1406" w:type="dxa"/>
            <w:noWrap/>
            <w:vAlign w:val="center"/>
            <w:hideMark/>
          </w:tcPr>
          <w:p w14:paraId="66823772" w14:textId="77777777" w:rsidR="001B55DE" w:rsidRPr="00006505" w:rsidRDefault="001B55DE" w:rsidP="001B55DE">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53,765</w:t>
            </w:r>
          </w:p>
        </w:tc>
        <w:tc>
          <w:tcPr>
            <w:tcW w:w="1380" w:type="dxa"/>
            <w:noWrap/>
            <w:vAlign w:val="center"/>
            <w:hideMark/>
          </w:tcPr>
          <w:p w14:paraId="2C95FFE9" w14:textId="77777777" w:rsidR="001B55DE" w:rsidRPr="00006505" w:rsidRDefault="001B55DE" w:rsidP="001B55DE">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28,282</w:t>
            </w:r>
          </w:p>
        </w:tc>
        <w:tc>
          <w:tcPr>
            <w:tcW w:w="1380" w:type="dxa"/>
            <w:noWrap/>
            <w:vAlign w:val="center"/>
            <w:hideMark/>
          </w:tcPr>
          <w:p w14:paraId="11874BEA" w14:textId="77777777" w:rsidR="001B55DE" w:rsidRPr="00006505" w:rsidRDefault="001B55DE" w:rsidP="001B55DE">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28,064</w:t>
            </w:r>
          </w:p>
        </w:tc>
      </w:tr>
      <w:tr w:rsidR="001B55DE" w:rsidRPr="00006505" w14:paraId="2C1523CF" w14:textId="77777777" w:rsidTr="005E2602">
        <w:trPr>
          <w:cantSplit/>
          <w:trHeight w:val="56"/>
        </w:trPr>
        <w:tc>
          <w:tcPr>
            <w:tcW w:w="919" w:type="dxa"/>
            <w:gridSpan w:val="2"/>
            <w:vAlign w:val="center"/>
            <w:hideMark/>
          </w:tcPr>
          <w:p w14:paraId="2CD72178" w14:textId="63C59EB9" w:rsidR="001B55DE" w:rsidRPr="00006505" w:rsidRDefault="001B55DE" w:rsidP="001B55DE">
            <w:pPr>
              <w:spacing w:after="0" w:line="240" w:lineRule="auto"/>
              <w:rPr>
                <w:rFonts w:asciiTheme="minorHAnsi" w:eastAsia="Times New Roman" w:hAnsiTheme="minorHAnsi" w:cstheme="minorHAnsi"/>
                <w:color w:val="000000"/>
                <w:szCs w:val="24"/>
              </w:rPr>
            </w:pPr>
            <w:r w:rsidRPr="00006505">
              <w:rPr>
                <w:rFonts w:asciiTheme="minorHAnsi" w:eastAsia="Times New Roman" w:hAnsiTheme="minorHAnsi" w:cstheme="minorHAnsi"/>
                <w:b/>
                <w:bCs/>
                <w:color w:val="000000"/>
                <w:szCs w:val="24"/>
              </w:rPr>
              <w:t>Office</w:t>
            </w:r>
          </w:p>
        </w:tc>
        <w:tc>
          <w:tcPr>
            <w:tcW w:w="1140" w:type="dxa"/>
            <w:shd w:val="clear" w:color="auto" w:fill="DBE5F1" w:themeFill="accent1" w:themeFillTint="33"/>
            <w:noWrap/>
            <w:hideMark/>
          </w:tcPr>
          <w:p w14:paraId="542BD667" w14:textId="77777777" w:rsidR="001B55DE" w:rsidRPr="00006505" w:rsidRDefault="001B55DE" w:rsidP="001B55DE">
            <w:pPr>
              <w:spacing w:after="0" w:line="240" w:lineRule="auto"/>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Total</w:t>
            </w:r>
          </w:p>
        </w:tc>
        <w:tc>
          <w:tcPr>
            <w:tcW w:w="1406" w:type="dxa"/>
            <w:shd w:val="clear" w:color="auto" w:fill="DBE5F1" w:themeFill="accent1" w:themeFillTint="33"/>
            <w:noWrap/>
            <w:vAlign w:val="center"/>
            <w:hideMark/>
          </w:tcPr>
          <w:p w14:paraId="30CD1725" w14:textId="77777777" w:rsidR="001B55DE" w:rsidRPr="00006505" w:rsidRDefault="001B55DE" w:rsidP="001B55DE">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76,462</w:t>
            </w:r>
          </w:p>
        </w:tc>
        <w:tc>
          <w:tcPr>
            <w:tcW w:w="1406" w:type="dxa"/>
            <w:shd w:val="clear" w:color="auto" w:fill="DBE5F1" w:themeFill="accent1" w:themeFillTint="33"/>
            <w:noWrap/>
            <w:vAlign w:val="center"/>
            <w:hideMark/>
          </w:tcPr>
          <w:p w14:paraId="46FDA53B" w14:textId="77777777" w:rsidR="001B55DE" w:rsidRPr="00006505" w:rsidRDefault="001B55DE" w:rsidP="001B55DE">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75,377</w:t>
            </w:r>
          </w:p>
        </w:tc>
        <w:tc>
          <w:tcPr>
            <w:tcW w:w="1380" w:type="dxa"/>
            <w:shd w:val="clear" w:color="auto" w:fill="DBE5F1" w:themeFill="accent1" w:themeFillTint="33"/>
            <w:noWrap/>
            <w:vAlign w:val="center"/>
            <w:hideMark/>
          </w:tcPr>
          <w:p w14:paraId="0BB8AA85" w14:textId="77777777" w:rsidR="001B55DE" w:rsidRPr="00006505" w:rsidRDefault="001B55DE" w:rsidP="001B55DE">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39,651</w:t>
            </w:r>
          </w:p>
        </w:tc>
        <w:tc>
          <w:tcPr>
            <w:tcW w:w="1380" w:type="dxa"/>
            <w:shd w:val="clear" w:color="auto" w:fill="DBE5F1" w:themeFill="accent1" w:themeFillTint="33"/>
            <w:noWrap/>
            <w:vAlign w:val="center"/>
            <w:hideMark/>
          </w:tcPr>
          <w:p w14:paraId="46725AE0" w14:textId="19AEACE6" w:rsidR="001B55DE" w:rsidRPr="00006505" w:rsidRDefault="001B55DE" w:rsidP="001B55DE">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39,345</w:t>
            </w:r>
          </w:p>
        </w:tc>
      </w:tr>
      <w:tr w:rsidR="00871E0F" w:rsidRPr="00006505" w14:paraId="72578014" w14:textId="77777777" w:rsidTr="00871E0F">
        <w:trPr>
          <w:cantSplit/>
          <w:trHeight w:val="343"/>
        </w:trPr>
        <w:tc>
          <w:tcPr>
            <w:tcW w:w="895" w:type="dxa"/>
            <w:noWrap/>
            <w:hideMark/>
          </w:tcPr>
          <w:p w14:paraId="4F509BB9" w14:textId="77777777" w:rsidR="00871E0F" w:rsidRPr="00006505" w:rsidRDefault="00871E0F" w:rsidP="001B55DE">
            <w:pPr>
              <w:spacing w:after="0" w:line="240" w:lineRule="auto"/>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Grand Total</w:t>
            </w:r>
          </w:p>
        </w:tc>
        <w:tc>
          <w:tcPr>
            <w:tcW w:w="1164" w:type="dxa"/>
            <w:gridSpan w:val="2"/>
          </w:tcPr>
          <w:p w14:paraId="420B8D46" w14:textId="15158515" w:rsidR="00871E0F" w:rsidRPr="00006505" w:rsidRDefault="00871E0F" w:rsidP="001B55DE">
            <w:pPr>
              <w:spacing w:after="0" w:line="240" w:lineRule="auto"/>
              <w:rPr>
                <w:rFonts w:asciiTheme="minorHAnsi" w:eastAsia="Times New Roman" w:hAnsiTheme="minorHAnsi" w:cstheme="minorHAnsi"/>
                <w:b/>
                <w:bCs/>
                <w:i/>
                <w:iCs/>
                <w:color w:val="000000"/>
                <w:szCs w:val="24"/>
              </w:rPr>
            </w:pPr>
            <w:r>
              <w:rPr>
                <w:rFonts w:asciiTheme="minorHAnsi" w:eastAsia="Times New Roman" w:hAnsiTheme="minorHAnsi" w:cstheme="minorHAnsi"/>
                <w:b/>
                <w:bCs/>
                <w:i/>
                <w:iCs/>
                <w:color w:val="000000"/>
                <w:szCs w:val="24"/>
              </w:rPr>
              <w:t>n/a</w:t>
            </w:r>
          </w:p>
        </w:tc>
        <w:tc>
          <w:tcPr>
            <w:tcW w:w="1406" w:type="dxa"/>
            <w:noWrap/>
            <w:vAlign w:val="center"/>
            <w:hideMark/>
          </w:tcPr>
          <w:p w14:paraId="50377E6F" w14:textId="4CA80834" w:rsidR="00871E0F" w:rsidRPr="00006505" w:rsidRDefault="00871E0F" w:rsidP="001B55DE">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113,883</w:t>
            </w:r>
          </w:p>
        </w:tc>
        <w:tc>
          <w:tcPr>
            <w:tcW w:w="1406" w:type="dxa"/>
            <w:noWrap/>
            <w:vAlign w:val="center"/>
            <w:hideMark/>
          </w:tcPr>
          <w:p w14:paraId="7BFA5784" w14:textId="77777777" w:rsidR="00871E0F" w:rsidRPr="00006505" w:rsidRDefault="00871E0F" w:rsidP="001B55DE">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112,268</w:t>
            </w:r>
          </w:p>
        </w:tc>
        <w:tc>
          <w:tcPr>
            <w:tcW w:w="1380" w:type="dxa"/>
            <w:noWrap/>
            <w:vAlign w:val="center"/>
            <w:hideMark/>
          </w:tcPr>
          <w:p w14:paraId="4DFC5212" w14:textId="30F50308" w:rsidR="00871E0F" w:rsidRPr="00006505" w:rsidRDefault="00871E0F" w:rsidP="001B55DE">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101,714</w:t>
            </w:r>
          </w:p>
        </w:tc>
        <w:tc>
          <w:tcPr>
            <w:tcW w:w="1380" w:type="dxa"/>
            <w:noWrap/>
            <w:vAlign w:val="center"/>
            <w:hideMark/>
          </w:tcPr>
          <w:p w14:paraId="63E564C3" w14:textId="55AC4BED" w:rsidR="00871E0F" w:rsidRPr="00006505" w:rsidRDefault="00871E0F" w:rsidP="001B55DE">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100,930</w:t>
            </w:r>
          </w:p>
        </w:tc>
      </w:tr>
    </w:tbl>
    <w:p w14:paraId="21D9670B" w14:textId="77777777" w:rsidR="004600DF" w:rsidRDefault="004600DF" w:rsidP="00FD2E73">
      <w:pPr>
        <w:pStyle w:val="ListParagraph"/>
      </w:pPr>
    </w:p>
    <w:p w14:paraId="2C52DA81" w14:textId="5D16E328" w:rsidR="004600DF" w:rsidRPr="002344DC" w:rsidRDefault="004600DF" w:rsidP="00FD2E73">
      <w:pPr>
        <w:pStyle w:val="ListParagraph"/>
        <w:numPr>
          <w:ilvl w:val="0"/>
          <w:numId w:val="38"/>
        </w:numPr>
        <w:rPr>
          <w:rFonts w:cstheme="minorHAnsi"/>
          <w:b/>
          <w:szCs w:val="24"/>
        </w:rPr>
      </w:pPr>
      <w:r w:rsidRPr="002344DC">
        <w:rPr>
          <w:rFonts w:cstheme="minorHAnsi"/>
          <w:b/>
          <w:sz w:val="24"/>
          <w:szCs w:val="32"/>
        </w:rPr>
        <w:t xml:space="preserve">Category 2:   CY </w:t>
      </w:r>
      <w:r w:rsidR="00006505" w:rsidRPr="002344DC">
        <w:rPr>
          <w:rFonts w:cstheme="minorHAnsi"/>
          <w:b/>
          <w:sz w:val="24"/>
          <w:szCs w:val="32"/>
        </w:rPr>
        <w:t>20</w:t>
      </w:r>
      <w:r w:rsidR="00006505">
        <w:rPr>
          <w:rFonts w:cstheme="minorHAnsi"/>
          <w:b/>
          <w:sz w:val="24"/>
          <w:szCs w:val="32"/>
        </w:rPr>
        <w:t>29</w:t>
      </w:r>
      <w:r w:rsidR="00006505" w:rsidRPr="002344DC">
        <w:rPr>
          <w:rFonts w:cstheme="minorHAnsi"/>
          <w:b/>
          <w:sz w:val="24"/>
          <w:szCs w:val="32"/>
        </w:rPr>
        <w:t xml:space="preserve"> Volume</w:t>
      </w:r>
      <w:r w:rsidRPr="002344DC">
        <w:rPr>
          <w:rFonts w:cstheme="minorHAnsi"/>
          <w:b/>
          <w:sz w:val="24"/>
          <w:szCs w:val="32"/>
        </w:rPr>
        <w:t xml:space="preserve"> – </w:t>
      </w:r>
      <w:r>
        <w:rPr>
          <w:rFonts w:cstheme="minorHAnsi"/>
          <w:b/>
          <w:sz w:val="24"/>
          <w:szCs w:val="32"/>
        </w:rPr>
        <w:t>PSA</w:t>
      </w:r>
      <w:r w:rsidRPr="002344DC">
        <w:rPr>
          <w:rFonts w:cstheme="minorHAnsi"/>
          <w:b/>
          <w:sz w:val="24"/>
          <w:szCs w:val="32"/>
        </w:rPr>
        <w:t xml:space="preserve"> Demand by Setting Age Group and Payor  </w:t>
      </w:r>
    </w:p>
    <w:p w14:paraId="0195419C" w14:textId="77777777" w:rsidR="004600DF" w:rsidRPr="00090CBB" w:rsidRDefault="004600DF" w:rsidP="00FD2E73">
      <w:pPr>
        <w:pStyle w:val="ListParagraph"/>
      </w:pPr>
    </w:p>
    <w:tbl>
      <w:tblPr>
        <w:tblW w:w="7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tegory 2:   CY 2029 Volume – PSA Demand by Setting Age Group and Payor "/>
      </w:tblPr>
      <w:tblGrid>
        <w:gridCol w:w="985"/>
        <w:gridCol w:w="1074"/>
        <w:gridCol w:w="1406"/>
        <w:gridCol w:w="1406"/>
        <w:gridCol w:w="1380"/>
        <w:gridCol w:w="1446"/>
      </w:tblGrid>
      <w:tr w:rsidR="004600DF" w:rsidRPr="00006505" w14:paraId="61A3CC58" w14:textId="77777777" w:rsidTr="00364F08">
        <w:trPr>
          <w:cantSplit/>
          <w:trHeight w:val="343"/>
          <w:tblHeader/>
        </w:trPr>
        <w:tc>
          <w:tcPr>
            <w:tcW w:w="985" w:type="dxa"/>
            <w:shd w:val="clear" w:color="auto" w:fill="DBE5F1" w:themeFill="accent1" w:themeFillTint="33"/>
            <w:noWrap/>
            <w:vAlign w:val="bottom"/>
            <w:hideMark/>
          </w:tcPr>
          <w:p w14:paraId="09C00C8C" w14:textId="77777777" w:rsidR="004600DF" w:rsidRPr="00006505" w:rsidRDefault="004600DF" w:rsidP="00FD2E73">
            <w:pPr>
              <w:spacing w:after="0" w:line="240" w:lineRule="auto"/>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Setting</w:t>
            </w:r>
          </w:p>
        </w:tc>
        <w:tc>
          <w:tcPr>
            <w:tcW w:w="1074" w:type="dxa"/>
            <w:shd w:val="clear" w:color="auto" w:fill="DBE5F1" w:themeFill="accent1" w:themeFillTint="33"/>
            <w:noWrap/>
            <w:vAlign w:val="bottom"/>
            <w:hideMark/>
          </w:tcPr>
          <w:p w14:paraId="27ADFA9A" w14:textId="77777777" w:rsidR="004600DF" w:rsidRPr="00006505" w:rsidRDefault="004600DF" w:rsidP="00FD2E73">
            <w:pPr>
              <w:spacing w:after="0" w:line="240" w:lineRule="auto"/>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Age Group</w:t>
            </w:r>
          </w:p>
        </w:tc>
        <w:tc>
          <w:tcPr>
            <w:tcW w:w="1406" w:type="dxa"/>
            <w:shd w:val="clear" w:color="auto" w:fill="DBE5F1" w:themeFill="accent1" w:themeFillTint="33"/>
            <w:noWrap/>
            <w:vAlign w:val="bottom"/>
            <w:hideMark/>
          </w:tcPr>
          <w:p w14:paraId="5873B212" w14:textId="14D1D9F3" w:rsidR="004600DF" w:rsidRPr="0084419A" w:rsidRDefault="0095387E" w:rsidP="00FD2E73">
            <w:pPr>
              <w:spacing w:after="0" w:line="240" w:lineRule="auto"/>
              <w:jc w:val="center"/>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Commercial</w:t>
            </w:r>
            <w:r w:rsidRPr="0084419A">
              <w:rPr>
                <w:rFonts w:asciiTheme="minorHAnsi" w:eastAsia="Times New Roman" w:hAnsiTheme="minorHAnsi" w:cstheme="minorHAnsi"/>
                <w:b/>
                <w:bCs/>
                <w:color w:val="000000"/>
                <w:szCs w:val="24"/>
              </w:rPr>
              <w:t xml:space="preserve"> </w:t>
            </w:r>
            <w:r w:rsidR="004600DF" w:rsidRPr="0084419A">
              <w:rPr>
                <w:rFonts w:asciiTheme="minorHAnsi" w:eastAsia="Times New Roman" w:hAnsiTheme="minorHAnsi" w:cstheme="minorHAnsi"/>
                <w:b/>
                <w:bCs/>
                <w:color w:val="000000"/>
                <w:szCs w:val="24"/>
              </w:rPr>
              <w:t>2024 Volume</w:t>
            </w:r>
          </w:p>
        </w:tc>
        <w:tc>
          <w:tcPr>
            <w:tcW w:w="1406" w:type="dxa"/>
            <w:shd w:val="clear" w:color="auto" w:fill="DBE5F1" w:themeFill="accent1" w:themeFillTint="33"/>
            <w:noWrap/>
            <w:vAlign w:val="bottom"/>
            <w:hideMark/>
          </w:tcPr>
          <w:p w14:paraId="69834B5B" w14:textId="7694C1C3" w:rsidR="004600DF" w:rsidRPr="0084419A" w:rsidRDefault="0095387E" w:rsidP="00FD2E73">
            <w:pPr>
              <w:spacing w:after="0" w:line="240" w:lineRule="auto"/>
              <w:jc w:val="center"/>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Commercial</w:t>
            </w:r>
            <w:r w:rsidRPr="0084419A">
              <w:rPr>
                <w:rFonts w:asciiTheme="minorHAnsi" w:eastAsia="Times New Roman" w:hAnsiTheme="minorHAnsi" w:cstheme="minorHAnsi"/>
                <w:b/>
                <w:bCs/>
                <w:color w:val="000000"/>
                <w:szCs w:val="24"/>
              </w:rPr>
              <w:t xml:space="preserve"> </w:t>
            </w:r>
            <w:r w:rsidR="004600DF" w:rsidRPr="0084419A">
              <w:rPr>
                <w:rFonts w:asciiTheme="minorHAnsi" w:eastAsia="Times New Roman" w:hAnsiTheme="minorHAnsi" w:cstheme="minorHAnsi"/>
                <w:b/>
                <w:bCs/>
                <w:color w:val="000000"/>
                <w:szCs w:val="24"/>
              </w:rPr>
              <w:t>2029 Volume</w:t>
            </w:r>
          </w:p>
        </w:tc>
        <w:tc>
          <w:tcPr>
            <w:tcW w:w="1380" w:type="dxa"/>
            <w:shd w:val="clear" w:color="auto" w:fill="DBE5F1" w:themeFill="accent1" w:themeFillTint="33"/>
            <w:noWrap/>
            <w:vAlign w:val="bottom"/>
            <w:hideMark/>
          </w:tcPr>
          <w:p w14:paraId="6CEED4B2" w14:textId="63291CA2" w:rsidR="004600DF" w:rsidRPr="0084419A" w:rsidRDefault="0095387E" w:rsidP="00FD2E73">
            <w:pPr>
              <w:spacing w:after="0" w:line="240" w:lineRule="auto"/>
              <w:jc w:val="center"/>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Medicaid</w:t>
            </w:r>
            <w:r w:rsidRPr="0084419A">
              <w:rPr>
                <w:rFonts w:asciiTheme="minorHAnsi" w:eastAsia="Times New Roman" w:hAnsiTheme="minorHAnsi" w:cstheme="minorHAnsi"/>
                <w:b/>
                <w:bCs/>
                <w:color w:val="000000"/>
                <w:szCs w:val="24"/>
              </w:rPr>
              <w:t xml:space="preserve"> </w:t>
            </w:r>
            <w:r w:rsidR="004600DF" w:rsidRPr="0084419A">
              <w:rPr>
                <w:rFonts w:asciiTheme="minorHAnsi" w:eastAsia="Times New Roman" w:hAnsiTheme="minorHAnsi" w:cstheme="minorHAnsi"/>
                <w:b/>
                <w:bCs/>
                <w:color w:val="000000"/>
                <w:szCs w:val="24"/>
              </w:rPr>
              <w:t>2024 Volume</w:t>
            </w:r>
          </w:p>
        </w:tc>
        <w:tc>
          <w:tcPr>
            <w:tcW w:w="1446" w:type="dxa"/>
            <w:shd w:val="clear" w:color="auto" w:fill="DBE5F1" w:themeFill="accent1" w:themeFillTint="33"/>
            <w:noWrap/>
            <w:vAlign w:val="bottom"/>
            <w:hideMark/>
          </w:tcPr>
          <w:p w14:paraId="2162AD6C" w14:textId="0513BFDE" w:rsidR="004600DF" w:rsidRPr="0084419A" w:rsidRDefault="0095387E" w:rsidP="00FD2E73">
            <w:pPr>
              <w:spacing w:after="0" w:line="240" w:lineRule="auto"/>
              <w:jc w:val="center"/>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Medicaid</w:t>
            </w:r>
            <w:r w:rsidRPr="0084419A">
              <w:rPr>
                <w:rFonts w:asciiTheme="minorHAnsi" w:eastAsia="Times New Roman" w:hAnsiTheme="minorHAnsi" w:cstheme="minorHAnsi"/>
                <w:b/>
                <w:bCs/>
                <w:color w:val="000000"/>
                <w:szCs w:val="24"/>
              </w:rPr>
              <w:t xml:space="preserve"> </w:t>
            </w:r>
            <w:r w:rsidR="004600DF" w:rsidRPr="0084419A">
              <w:rPr>
                <w:rFonts w:asciiTheme="minorHAnsi" w:eastAsia="Times New Roman" w:hAnsiTheme="minorHAnsi" w:cstheme="minorHAnsi"/>
                <w:b/>
                <w:bCs/>
                <w:color w:val="000000"/>
                <w:szCs w:val="24"/>
              </w:rPr>
              <w:t>2029 Volume</w:t>
            </w:r>
          </w:p>
        </w:tc>
      </w:tr>
      <w:tr w:rsidR="004600DF" w:rsidRPr="00006505" w14:paraId="7BE3B243" w14:textId="77777777" w:rsidTr="00364F08">
        <w:trPr>
          <w:cantSplit/>
          <w:trHeight w:val="343"/>
        </w:trPr>
        <w:tc>
          <w:tcPr>
            <w:tcW w:w="985" w:type="dxa"/>
            <w:noWrap/>
            <w:hideMark/>
          </w:tcPr>
          <w:p w14:paraId="63E32A14" w14:textId="77777777" w:rsidR="004600DF" w:rsidRPr="00006505" w:rsidRDefault="004600DF" w:rsidP="00FD2E73">
            <w:pPr>
              <w:spacing w:after="0" w:line="240" w:lineRule="auto"/>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ASC</w:t>
            </w:r>
          </w:p>
        </w:tc>
        <w:tc>
          <w:tcPr>
            <w:tcW w:w="1074" w:type="dxa"/>
            <w:noWrap/>
            <w:hideMark/>
          </w:tcPr>
          <w:p w14:paraId="1CD22081" w14:textId="77777777" w:rsidR="004600DF" w:rsidRPr="00006505" w:rsidRDefault="004600DF" w:rsidP="00FD2E73">
            <w:pPr>
              <w:spacing w:after="0" w:line="240" w:lineRule="auto"/>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0-10</w:t>
            </w:r>
          </w:p>
        </w:tc>
        <w:tc>
          <w:tcPr>
            <w:tcW w:w="1406" w:type="dxa"/>
            <w:noWrap/>
            <w:vAlign w:val="center"/>
            <w:hideMark/>
          </w:tcPr>
          <w:p w14:paraId="4435A32B" w14:textId="77777777" w:rsidR="004600DF" w:rsidRPr="00006505" w:rsidRDefault="004600DF" w:rsidP="00FD2E73">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5,027</w:t>
            </w:r>
          </w:p>
        </w:tc>
        <w:tc>
          <w:tcPr>
            <w:tcW w:w="1406" w:type="dxa"/>
            <w:noWrap/>
            <w:vAlign w:val="center"/>
            <w:hideMark/>
          </w:tcPr>
          <w:p w14:paraId="58C18C33" w14:textId="77777777" w:rsidR="004600DF" w:rsidRPr="00006505" w:rsidRDefault="004600DF" w:rsidP="00FD2E73">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4,980</w:t>
            </w:r>
          </w:p>
        </w:tc>
        <w:tc>
          <w:tcPr>
            <w:tcW w:w="1380" w:type="dxa"/>
            <w:noWrap/>
            <w:vAlign w:val="center"/>
            <w:hideMark/>
          </w:tcPr>
          <w:p w14:paraId="142C69BB" w14:textId="77777777" w:rsidR="004600DF" w:rsidRPr="00006505" w:rsidRDefault="004600DF" w:rsidP="00FD2E73">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244</w:t>
            </w:r>
          </w:p>
        </w:tc>
        <w:tc>
          <w:tcPr>
            <w:tcW w:w="1446" w:type="dxa"/>
            <w:noWrap/>
            <w:vAlign w:val="center"/>
            <w:hideMark/>
          </w:tcPr>
          <w:p w14:paraId="06E0DF50" w14:textId="77777777" w:rsidR="004600DF" w:rsidRPr="00006505" w:rsidRDefault="004600DF" w:rsidP="00FD2E73">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244</w:t>
            </w:r>
          </w:p>
        </w:tc>
      </w:tr>
      <w:tr w:rsidR="00257E76" w:rsidRPr="00006505" w14:paraId="736144F0" w14:textId="77777777" w:rsidTr="00364F08">
        <w:trPr>
          <w:cantSplit/>
          <w:trHeight w:val="343"/>
        </w:trPr>
        <w:tc>
          <w:tcPr>
            <w:tcW w:w="985" w:type="dxa"/>
            <w:hideMark/>
          </w:tcPr>
          <w:p w14:paraId="693AA900" w14:textId="754C190E" w:rsidR="00257E76" w:rsidRPr="00006505" w:rsidRDefault="00257E76" w:rsidP="00257E76">
            <w:pPr>
              <w:spacing w:after="0" w:line="240" w:lineRule="auto"/>
              <w:rPr>
                <w:rFonts w:asciiTheme="minorHAnsi" w:eastAsia="Times New Roman" w:hAnsiTheme="minorHAnsi" w:cstheme="minorHAnsi"/>
                <w:b/>
                <w:bCs/>
                <w:color w:val="000000"/>
                <w:szCs w:val="24"/>
              </w:rPr>
            </w:pPr>
            <w:r w:rsidRPr="00EF1828">
              <w:rPr>
                <w:rFonts w:asciiTheme="minorHAnsi" w:eastAsia="Times New Roman" w:hAnsiTheme="minorHAnsi" w:cstheme="minorHAnsi"/>
                <w:b/>
                <w:bCs/>
                <w:color w:val="000000"/>
                <w:szCs w:val="24"/>
              </w:rPr>
              <w:t>ASC</w:t>
            </w:r>
          </w:p>
        </w:tc>
        <w:tc>
          <w:tcPr>
            <w:tcW w:w="1074" w:type="dxa"/>
            <w:noWrap/>
            <w:hideMark/>
          </w:tcPr>
          <w:p w14:paraId="0A725E2A" w14:textId="77777777" w:rsidR="00257E76" w:rsidRPr="00006505" w:rsidRDefault="00257E76" w:rsidP="00257E76">
            <w:pPr>
              <w:spacing w:after="0" w:line="240" w:lineRule="auto"/>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11-21</w:t>
            </w:r>
          </w:p>
        </w:tc>
        <w:tc>
          <w:tcPr>
            <w:tcW w:w="1406" w:type="dxa"/>
            <w:noWrap/>
            <w:vAlign w:val="center"/>
            <w:hideMark/>
          </w:tcPr>
          <w:p w14:paraId="609319B8" w14:textId="77777777" w:rsidR="00257E76" w:rsidRPr="00006505" w:rsidRDefault="00257E76" w:rsidP="00257E76">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361</w:t>
            </w:r>
          </w:p>
        </w:tc>
        <w:tc>
          <w:tcPr>
            <w:tcW w:w="1406" w:type="dxa"/>
            <w:noWrap/>
            <w:vAlign w:val="center"/>
            <w:hideMark/>
          </w:tcPr>
          <w:p w14:paraId="064E84FC" w14:textId="77777777" w:rsidR="00257E76" w:rsidRPr="00006505" w:rsidRDefault="00257E76" w:rsidP="00257E76">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358</w:t>
            </w:r>
          </w:p>
        </w:tc>
        <w:tc>
          <w:tcPr>
            <w:tcW w:w="1380" w:type="dxa"/>
            <w:noWrap/>
            <w:vAlign w:val="center"/>
            <w:hideMark/>
          </w:tcPr>
          <w:p w14:paraId="0D50628F" w14:textId="77777777" w:rsidR="00257E76" w:rsidRPr="00006505" w:rsidRDefault="00257E76" w:rsidP="00257E76">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16</w:t>
            </w:r>
          </w:p>
        </w:tc>
        <w:tc>
          <w:tcPr>
            <w:tcW w:w="1446" w:type="dxa"/>
            <w:noWrap/>
            <w:vAlign w:val="center"/>
            <w:hideMark/>
          </w:tcPr>
          <w:p w14:paraId="5FE1C577" w14:textId="77777777" w:rsidR="00257E76" w:rsidRPr="00006505" w:rsidRDefault="00257E76" w:rsidP="00257E76">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16</w:t>
            </w:r>
          </w:p>
        </w:tc>
      </w:tr>
      <w:tr w:rsidR="00257E76" w:rsidRPr="00006505" w14:paraId="1CB1FF29" w14:textId="77777777" w:rsidTr="00364F08">
        <w:trPr>
          <w:cantSplit/>
          <w:trHeight w:val="343"/>
        </w:trPr>
        <w:tc>
          <w:tcPr>
            <w:tcW w:w="985" w:type="dxa"/>
            <w:hideMark/>
          </w:tcPr>
          <w:p w14:paraId="759E9BCD" w14:textId="036A127E" w:rsidR="00257E76" w:rsidRPr="00006505" w:rsidRDefault="00257E76" w:rsidP="00257E76">
            <w:pPr>
              <w:spacing w:after="0" w:line="240" w:lineRule="auto"/>
              <w:rPr>
                <w:rFonts w:asciiTheme="minorHAnsi" w:eastAsia="Times New Roman" w:hAnsiTheme="minorHAnsi" w:cstheme="minorHAnsi"/>
                <w:b/>
                <w:bCs/>
                <w:color w:val="000000"/>
                <w:szCs w:val="24"/>
              </w:rPr>
            </w:pPr>
            <w:r w:rsidRPr="00EF1828">
              <w:rPr>
                <w:rFonts w:asciiTheme="minorHAnsi" w:eastAsia="Times New Roman" w:hAnsiTheme="minorHAnsi" w:cstheme="minorHAnsi"/>
                <w:b/>
                <w:bCs/>
                <w:color w:val="000000"/>
                <w:szCs w:val="24"/>
              </w:rPr>
              <w:t>ASC</w:t>
            </w:r>
          </w:p>
        </w:tc>
        <w:tc>
          <w:tcPr>
            <w:tcW w:w="1074" w:type="dxa"/>
            <w:shd w:val="clear" w:color="auto" w:fill="DBE5F1" w:themeFill="accent1" w:themeFillTint="33"/>
            <w:noWrap/>
            <w:hideMark/>
          </w:tcPr>
          <w:p w14:paraId="60CC07F9" w14:textId="77777777" w:rsidR="00257E76" w:rsidRPr="00006505" w:rsidRDefault="00257E76" w:rsidP="00257E76">
            <w:pPr>
              <w:spacing w:after="0" w:line="240" w:lineRule="auto"/>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Total</w:t>
            </w:r>
          </w:p>
        </w:tc>
        <w:tc>
          <w:tcPr>
            <w:tcW w:w="1406" w:type="dxa"/>
            <w:shd w:val="clear" w:color="auto" w:fill="DBE5F1" w:themeFill="accent1" w:themeFillTint="33"/>
            <w:noWrap/>
            <w:vAlign w:val="center"/>
            <w:hideMark/>
          </w:tcPr>
          <w:p w14:paraId="0E5AC915" w14:textId="77777777" w:rsidR="00257E76" w:rsidRPr="00006505" w:rsidRDefault="00257E76" w:rsidP="00257E76">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5,388</w:t>
            </w:r>
          </w:p>
        </w:tc>
        <w:tc>
          <w:tcPr>
            <w:tcW w:w="1406" w:type="dxa"/>
            <w:shd w:val="clear" w:color="auto" w:fill="DBE5F1" w:themeFill="accent1" w:themeFillTint="33"/>
            <w:noWrap/>
            <w:vAlign w:val="center"/>
            <w:hideMark/>
          </w:tcPr>
          <w:p w14:paraId="4BE0D424" w14:textId="01D4931E" w:rsidR="00257E76" w:rsidRPr="00006505" w:rsidRDefault="00257E76" w:rsidP="00257E76">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5,338</w:t>
            </w:r>
          </w:p>
        </w:tc>
        <w:tc>
          <w:tcPr>
            <w:tcW w:w="1380" w:type="dxa"/>
            <w:shd w:val="clear" w:color="auto" w:fill="DBE5F1" w:themeFill="accent1" w:themeFillTint="33"/>
            <w:noWrap/>
            <w:vAlign w:val="center"/>
            <w:hideMark/>
          </w:tcPr>
          <w:p w14:paraId="0B3734AF" w14:textId="77777777" w:rsidR="00257E76" w:rsidRPr="00006505" w:rsidRDefault="00257E76" w:rsidP="00257E76">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260</w:t>
            </w:r>
          </w:p>
        </w:tc>
        <w:tc>
          <w:tcPr>
            <w:tcW w:w="1446" w:type="dxa"/>
            <w:shd w:val="clear" w:color="auto" w:fill="DBE5F1" w:themeFill="accent1" w:themeFillTint="33"/>
            <w:noWrap/>
            <w:vAlign w:val="center"/>
            <w:hideMark/>
          </w:tcPr>
          <w:p w14:paraId="5FECDB9D" w14:textId="77777777" w:rsidR="00257E76" w:rsidRPr="00006505" w:rsidRDefault="00257E76" w:rsidP="00257E76">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260</w:t>
            </w:r>
          </w:p>
        </w:tc>
      </w:tr>
      <w:tr w:rsidR="004600DF" w:rsidRPr="00006505" w14:paraId="47F9EEAA" w14:textId="77777777" w:rsidTr="00364F08">
        <w:trPr>
          <w:cantSplit/>
          <w:trHeight w:val="343"/>
        </w:trPr>
        <w:tc>
          <w:tcPr>
            <w:tcW w:w="985" w:type="dxa"/>
            <w:noWrap/>
            <w:hideMark/>
          </w:tcPr>
          <w:p w14:paraId="73969BA9" w14:textId="77777777" w:rsidR="004600DF" w:rsidRPr="00006505" w:rsidRDefault="004600DF" w:rsidP="00FD2E73">
            <w:pPr>
              <w:spacing w:after="0" w:line="240" w:lineRule="auto"/>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HOPD</w:t>
            </w:r>
          </w:p>
        </w:tc>
        <w:tc>
          <w:tcPr>
            <w:tcW w:w="1074" w:type="dxa"/>
            <w:noWrap/>
            <w:hideMark/>
          </w:tcPr>
          <w:p w14:paraId="73DEA571" w14:textId="77777777" w:rsidR="004600DF" w:rsidRPr="00006505" w:rsidRDefault="004600DF" w:rsidP="00FD2E73">
            <w:pPr>
              <w:spacing w:after="0" w:line="240" w:lineRule="auto"/>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0-10</w:t>
            </w:r>
          </w:p>
        </w:tc>
        <w:tc>
          <w:tcPr>
            <w:tcW w:w="1406" w:type="dxa"/>
            <w:noWrap/>
            <w:vAlign w:val="center"/>
            <w:hideMark/>
          </w:tcPr>
          <w:p w14:paraId="3F7DD46A" w14:textId="77777777" w:rsidR="004600DF" w:rsidRPr="00006505" w:rsidRDefault="004600DF" w:rsidP="00FD2E73">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11,139</w:t>
            </w:r>
          </w:p>
        </w:tc>
        <w:tc>
          <w:tcPr>
            <w:tcW w:w="1406" w:type="dxa"/>
            <w:noWrap/>
            <w:vAlign w:val="center"/>
            <w:hideMark/>
          </w:tcPr>
          <w:p w14:paraId="594AC3CB" w14:textId="77777777" w:rsidR="004600DF" w:rsidRPr="00006505" w:rsidRDefault="004600DF" w:rsidP="00FD2E73">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11,036</w:t>
            </w:r>
          </w:p>
        </w:tc>
        <w:tc>
          <w:tcPr>
            <w:tcW w:w="1380" w:type="dxa"/>
            <w:noWrap/>
            <w:vAlign w:val="center"/>
            <w:hideMark/>
          </w:tcPr>
          <w:p w14:paraId="2446220F" w14:textId="77777777" w:rsidR="004600DF" w:rsidRPr="00006505" w:rsidRDefault="004600DF" w:rsidP="00FD2E73">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25,156</w:t>
            </w:r>
          </w:p>
        </w:tc>
        <w:tc>
          <w:tcPr>
            <w:tcW w:w="1446" w:type="dxa"/>
            <w:noWrap/>
            <w:vAlign w:val="center"/>
            <w:hideMark/>
          </w:tcPr>
          <w:p w14:paraId="31954EB9" w14:textId="77777777" w:rsidR="004600DF" w:rsidRPr="00006505" w:rsidRDefault="004600DF" w:rsidP="00FD2E73">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25,145</w:t>
            </w:r>
          </w:p>
        </w:tc>
      </w:tr>
      <w:tr w:rsidR="00257E76" w:rsidRPr="00006505" w14:paraId="4FF2A89F" w14:textId="77777777" w:rsidTr="00364F08">
        <w:trPr>
          <w:cantSplit/>
          <w:trHeight w:val="343"/>
        </w:trPr>
        <w:tc>
          <w:tcPr>
            <w:tcW w:w="985" w:type="dxa"/>
            <w:hideMark/>
          </w:tcPr>
          <w:p w14:paraId="5A45D955" w14:textId="41E9A605" w:rsidR="00257E76" w:rsidRPr="00006505" w:rsidRDefault="00257E76" w:rsidP="00257E76">
            <w:pPr>
              <w:spacing w:after="0" w:line="240" w:lineRule="auto"/>
              <w:rPr>
                <w:rFonts w:asciiTheme="minorHAnsi" w:eastAsia="Times New Roman" w:hAnsiTheme="minorHAnsi" w:cstheme="minorHAnsi"/>
                <w:b/>
                <w:bCs/>
                <w:color w:val="000000"/>
                <w:szCs w:val="24"/>
              </w:rPr>
            </w:pPr>
            <w:r w:rsidRPr="009B33BE">
              <w:rPr>
                <w:rFonts w:asciiTheme="minorHAnsi" w:eastAsia="Times New Roman" w:hAnsiTheme="minorHAnsi" w:cstheme="minorHAnsi"/>
                <w:b/>
                <w:bCs/>
                <w:color w:val="000000"/>
                <w:szCs w:val="24"/>
              </w:rPr>
              <w:t>HOPD</w:t>
            </w:r>
          </w:p>
        </w:tc>
        <w:tc>
          <w:tcPr>
            <w:tcW w:w="1074" w:type="dxa"/>
            <w:noWrap/>
            <w:hideMark/>
          </w:tcPr>
          <w:p w14:paraId="44AF6918" w14:textId="77777777" w:rsidR="00257E76" w:rsidRPr="00006505" w:rsidRDefault="00257E76" w:rsidP="00257E76">
            <w:pPr>
              <w:spacing w:after="0" w:line="240" w:lineRule="auto"/>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11-21</w:t>
            </w:r>
          </w:p>
        </w:tc>
        <w:tc>
          <w:tcPr>
            <w:tcW w:w="1406" w:type="dxa"/>
            <w:noWrap/>
            <w:vAlign w:val="center"/>
            <w:hideMark/>
          </w:tcPr>
          <w:p w14:paraId="185FA80B" w14:textId="77777777" w:rsidR="00257E76" w:rsidRPr="00006505" w:rsidRDefault="00257E76" w:rsidP="00257E76">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3,391</w:t>
            </w:r>
          </w:p>
        </w:tc>
        <w:tc>
          <w:tcPr>
            <w:tcW w:w="1406" w:type="dxa"/>
            <w:noWrap/>
            <w:vAlign w:val="center"/>
            <w:hideMark/>
          </w:tcPr>
          <w:p w14:paraId="28BE7E2C" w14:textId="77777777" w:rsidR="00257E76" w:rsidRPr="00006505" w:rsidRDefault="00257E76" w:rsidP="00257E76">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3,360</w:t>
            </w:r>
          </w:p>
        </w:tc>
        <w:tc>
          <w:tcPr>
            <w:tcW w:w="1380" w:type="dxa"/>
            <w:noWrap/>
            <w:vAlign w:val="center"/>
            <w:hideMark/>
          </w:tcPr>
          <w:p w14:paraId="2EFB1F19" w14:textId="77777777" w:rsidR="00257E76" w:rsidRPr="00006505" w:rsidRDefault="00257E76" w:rsidP="00257E76">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5,197</w:t>
            </w:r>
          </w:p>
        </w:tc>
        <w:tc>
          <w:tcPr>
            <w:tcW w:w="1446" w:type="dxa"/>
            <w:noWrap/>
            <w:vAlign w:val="center"/>
            <w:hideMark/>
          </w:tcPr>
          <w:p w14:paraId="72E4D600" w14:textId="77777777" w:rsidR="00257E76" w:rsidRPr="00006505" w:rsidRDefault="00257E76" w:rsidP="00257E76">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5,195</w:t>
            </w:r>
          </w:p>
        </w:tc>
      </w:tr>
      <w:tr w:rsidR="00257E76" w:rsidRPr="00006505" w14:paraId="48FE09F9" w14:textId="77777777" w:rsidTr="00364F08">
        <w:trPr>
          <w:cantSplit/>
          <w:trHeight w:val="343"/>
        </w:trPr>
        <w:tc>
          <w:tcPr>
            <w:tcW w:w="985" w:type="dxa"/>
            <w:hideMark/>
          </w:tcPr>
          <w:p w14:paraId="2B3BC7E3" w14:textId="3B92F37F" w:rsidR="00257E76" w:rsidRPr="00006505" w:rsidRDefault="00257E76" w:rsidP="00257E76">
            <w:pPr>
              <w:spacing w:after="0" w:line="240" w:lineRule="auto"/>
              <w:rPr>
                <w:rFonts w:asciiTheme="minorHAnsi" w:eastAsia="Times New Roman" w:hAnsiTheme="minorHAnsi" w:cstheme="minorHAnsi"/>
                <w:b/>
                <w:bCs/>
                <w:color w:val="000000"/>
                <w:szCs w:val="24"/>
              </w:rPr>
            </w:pPr>
            <w:r w:rsidRPr="009B33BE">
              <w:rPr>
                <w:rFonts w:asciiTheme="minorHAnsi" w:eastAsia="Times New Roman" w:hAnsiTheme="minorHAnsi" w:cstheme="minorHAnsi"/>
                <w:b/>
                <w:bCs/>
                <w:color w:val="000000"/>
                <w:szCs w:val="24"/>
              </w:rPr>
              <w:t>HOPD</w:t>
            </w:r>
          </w:p>
        </w:tc>
        <w:tc>
          <w:tcPr>
            <w:tcW w:w="1074" w:type="dxa"/>
            <w:shd w:val="clear" w:color="auto" w:fill="DBE5F1" w:themeFill="accent1" w:themeFillTint="33"/>
            <w:noWrap/>
            <w:hideMark/>
          </w:tcPr>
          <w:p w14:paraId="2F700710" w14:textId="77777777" w:rsidR="00257E76" w:rsidRPr="00006505" w:rsidRDefault="00257E76" w:rsidP="00257E76">
            <w:pPr>
              <w:spacing w:after="0" w:line="240" w:lineRule="auto"/>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Total</w:t>
            </w:r>
          </w:p>
        </w:tc>
        <w:tc>
          <w:tcPr>
            <w:tcW w:w="1406" w:type="dxa"/>
            <w:shd w:val="clear" w:color="auto" w:fill="DBE5F1" w:themeFill="accent1" w:themeFillTint="33"/>
            <w:noWrap/>
            <w:vAlign w:val="center"/>
            <w:hideMark/>
          </w:tcPr>
          <w:p w14:paraId="77CBC21B" w14:textId="77777777" w:rsidR="00257E76" w:rsidRPr="00006505" w:rsidRDefault="00257E76" w:rsidP="00257E76">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14,530</w:t>
            </w:r>
          </w:p>
        </w:tc>
        <w:tc>
          <w:tcPr>
            <w:tcW w:w="1406" w:type="dxa"/>
            <w:shd w:val="clear" w:color="auto" w:fill="DBE5F1" w:themeFill="accent1" w:themeFillTint="33"/>
            <w:noWrap/>
            <w:vAlign w:val="center"/>
            <w:hideMark/>
          </w:tcPr>
          <w:p w14:paraId="5EE28915" w14:textId="77777777" w:rsidR="00257E76" w:rsidRPr="00006505" w:rsidRDefault="00257E76" w:rsidP="00257E76">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14,396</w:t>
            </w:r>
          </w:p>
        </w:tc>
        <w:tc>
          <w:tcPr>
            <w:tcW w:w="1380" w:type="dxa"/>
            <w:shd w:val="clear" w:color="auto" w:fill="DBE5F1" w:themeFill="accent1" w:themeFillTint="33"/>
            <w:noWrap/>
            <w:vAlign w:val="center"/>
            <w:hideMark/>
          </w:tcPr>
          <w:p w14:paraId="33B1CD76" w14:textId="77777777" w:rsidR="00257E76" w:rsidRPr="00006505" w:rsidRDefault="00257E76" w:rsidP="00257E76">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30,353</w:t>
            </w:r>
          </w:p>
        </w:tc>
        <w:tc>
          <w:tcPr>
            <w:tcW w:w="1446" w:type="dxa"/>
            <w:shd w:val="clear" w:color="auto" w:fill="DBE5F1" w:themeFill="accent1" w:themeFillTint="33"/>
            <w:noWrap/>
            <w:vAlign w:val="center"/>
            <w:hideMark/>
          </w:tcPr>
          <w:p w14:paraId="4723F1BF" w14:textId="77777777" w:rsidR="00257E76" w:rsidRPr="00006505" w:rsidRDefault="00257E76" w:rsidP="00257E76">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30,340</w:t>
            </w:r>
          </w:p>
        </w:tc>
      </w:tr>
      <w:tr w:rsidR="004600DF" w:rsidRPr="00006505" w14:paraId="32D7A597" w14:textId="77777777" w:rsidTr="00364F08">
        <w:trPr>
          <w:cantSplit/>
          <w:trHeight w:val="343"/>
        </w:trPr>
        <w:tc>
          <w:tcPr>
            <w:tcW w:w="985" w:type="dxa"/>
            <w:noWrap/>
            <w:hideMark/>
          </w:tcPr>
          <w:p w14:paraId="54D16A46" w14:textId="194C14C6" w:rsidR="004600DF" w:rsidRPr="00006505" w:rsidRDefault="0084419A" w:rsidP="00FD2E73">
            <w:pPr>
              <w:spacing w:after="0" w:line="240" w:lineRule="auto"/>
              <w:rPr>
                <w:rFonts w:asciiTheme="minorHAnsi" w:eastAsia="Times New Roman" w:hAnsiTheme="minorHAnsi" w:cstheme="minorHAnsi"/>
                <w:b/>
                <w:bCs/>
                <w:color w:val="000000"/>
                <w:szCs w:val="24"/>
              </w:rPr>
            </w:pPr>
            <w:r w:rsidRPr="00006505">
              <w:rPr>
                <w:rFonts w:asciiTheme="minorHAnsi" w:eastAsia="Times New Roman" w:hAnsiTheme="minorHAnsi" w:cstheme="minorHAnsi"/>
                <w:b/>
                <w:bCs/>
                <w:color w:val="000000"/>
                <w:szCs w:val="24"/>
              </w:rPr>
              <w:t>Office</w:t>
            </w:r>
          </w:p>
        </w:tc>
        <w:tc>
          <w:tcPr>
            <w:tcW w:w="1074" w:type="dxa"/>
            <w:noWrap/>
            <w:hideMark/>
          </w:tcPr>
          <w:p w14:paraId="00E6F0F3" w14:textId="77777777" w:rsidR="004600DF" w:rsidRPr="00006505" w:rsidRDefault="004600DF" w:rsidP="00FD2E73">
            <w:pPr>
              <w:spacing w:after="0" w:line="240" w:lineRule="auto"/>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0-10</w:t>
            </w:r>
          </w:p>
        </w:tc>
        <w:tc>
          <w:tcPr>
            <w:tcW w:w="1406" w:type="dxa"/>
            <w:noWrap/>
            <w:vAlign w:val="center"/>
            <w:hideMark/>
          </w:tcPr>
          <w:p w14:paraId="36B654DF" w14:textId="77777777" w:rsidR="004600DF" w:rsidRPr="00006505" w:rsidRDefault="004600DF" w:rsidP="00FD2E73">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11,669</w:t>
            </w:r>
          </w:p>
        </w:tc>
        <w:tc>
          <w:tcPr>
            <w:tcW w:w="1406" w:type="dxa"/>
            <w:noWrap/>
            <w:vAlign w:val="center"/>
            <w:hideMark/>
          </w:tcPr>
          <w:p w14:paraId="0BE2CA81" w14:textId="77777777" w:rsidR="004600DF" w:rsidRPr="00006505" w:rsidRDefault="004600DF" w:rsidP="00FD2E73">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11,561</w:t>
            </w:r>
          </w:p>
        </w:tc>
        <w:tc>
          <w:tcPr>
            <w:tcW w:w="1380" w:type="dxa"/>
            <w:noWrap/>
            <w:vAlign w:val="center"/>
            <w:hideMark/>
          </w:tcPr>
          <w:p w14:paraId="167F6D7D" w14:textId="77777777" w:rsidR="004600DF" w:rsidRPr="00006505" w:rsidRDefault="004600DF" w:rsidP="00FD2E73">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5,608</w:t>
            </w:r>
          </w:p>
        </w:tc>
        <w:tc>
          <w:tcPr>
            <w:tcW w:w="1446" w:type="dxa"/>
            <w:noWrap/>
            <w:vAlign w:val="center"/>
            <w:hideMark/>
          </w:tcPr>
          <w:p w14:paraId="319817D9" w14:textId="77777777" w:rsidR="004600DF" w:rsidRPr="00006505" w:rsidRDefault="004600DF" w:rsidP="00FD2E73">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5,606</w:t>
            </w:r>
          </w:p>
        </w:tc>
      </w:tr>
      <w:tr w:rsidR="00257E76" w:rsidRPr="00006505" w14:paraId="68F7ED6B" w14:textId="77777777" w:rsidTr="00364F08">
        <w:trPr>
          <w:cantSplit/>
          <w:trHeight w:val="343"/>
        </w:trPr>
        <w:tc>
          <w:tcPr>
            <w:tcW w:w="985" w:type="dxa"/>
            <w:hideMark/>
          </w:tcPr>
          <w:p w14:paraId="15F86FD2" w14:textId="0B7033F3" w:rsidR="00257E76" w:rsidRPr="00006505" w:rsidRDefault="00257E76" w:rsidP="00257E76">
            <w:pPr>
              <w:spacing w:after="0" w:line="240" w:lineRule="auto"/>
              <w:rPr>
                <w:rFonts w:asciiTheme="minorHAnsi" w:eastAsia="Times New Roman" w:hAnsiTheme="minorHAnsi" w:cstheme="minorHAnsi"/>
                <w:color w:val="000000"/>
                <w:szCs w:val="24"/>
              </w:rPr>
            </w:pPr>
            <w:r w:rsidRPr="00FB1EA0">
              <w:rPr>
                <w:rFonts w:asciiTheme="minorHAnsi" w:eastAsia="Times New Roman" w:hAnsiTheme="minorHAnsi" w:cstheme="minorHAnsi"/>
                <w:b/>
                <w:bCs/>
                <w:color w:val="000000"/>
                <w:szCs w:val="24"/>
              </w:rPr>
              <w:t>Office</w:t>
            </w:r>
          </w:p>
        </w:tc>
        <w:tc>
          <w:tcPr>
            <w:tcW w:w="1074" w:type="dxa"/>
            <w:noWrap/>
            <w:hideMark/>
          </w:tcPr>
          <w:p w14:paraId="76E67638" w14:textId="77777777" w:rsidR="00257E76" w:rsidRPr="00006505" w:rsidRDefault="00257E76" w:rsidP="00257E76">
            <w:pPr>
              <w:spacing w:after="0" w:line="240" w:lineRule="auto"/>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11-21</w:t>
            </w:r>
          </w:p>
        </w:tc>
        <w:tc>
          <w:tcPr>
            <w:tcW w:w="1406" w:type="dxa"/>
            <w:noWrap/>
            <w:vAlign w:val="center"/>
            <w:hideMark/>
          </w:tcPr>
          <w:p w14:paraId="0252459F" w14:textId="77777777" w:rsidR="00257E76" w:rsidRPr="00006505" w:rsidRDefault="00257E76" w:rsidP="00257E76">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29,029</w:t>
            </w:r>
          </w:p>
        </w:tc>
        <w:tc>
          <w:tcPr>
            <w:tcW w:w="1406" w:type="dxa"/>
            <w:noWrap/>
            <w:vAlign w:val="center"/>
            <w:hideMark/>
          </w:tcPr>
          <w:p w14:paraId="2945A13B" w14:textId="77777777" w:rsidR="00257E76" w:rsidRPr="00006505" w:rsidRDefault="00257E76" w:rsidP="00257E76">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28,761</w:t>
            </w:r>
          </w:p>
        </w:tc>
        <w:tc>
          <w:tcPr>
            <w:tcW w:w="1380" w:type="dxa"/>
            <w:noWrap/>
            <w:vAlign w:val="center"/>
            <w:hideMark/>
          </w:tcPr>
          <w:p w14:paraId="6F471E50" w14:textId="77777777" w:rsidR="00257E76" w:rsidRPr="00006505" w:rsidRDefault="00257E76" w:rsidP="00257E76">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13,951</w:t>
            </w:r>
          </w:p>
        </w:tc>
        <w:tc>
          <w:tcPr>
            <w:tcW w:w="1446" w:type="dxa"/>
            <w:noWrap/>
            <w:vAlign w:val="center"/>
            <w:hideMark/>
          </w:tcPr>
          <w:p w14:paraId="1662D7A7" w14:textId="77777777" w:rsidR="00257E76" w:rsidRPr="00006505" w:rsidRDefault="00257E76" w:rsidP="00257E76">
            <w:pPr>
              <w:spacing w:after="0" w:line="240" w:lineRule="auto"/>
              <w:jc w:val="right"/>
              <w:rPr>
                <w:rFonts w:asciiTheme="minorHAnsi" w:eastAsia="Times New Roman" w:hAnsiTheme="minorHAnsi" w:cstheme="minorHAnsi"/>
                <w:color w:val="000000"/>
                <w:szCs w:val="24"/>
              </w:rPr>
            </w:pPr>
            <w:r w:rsidRPr="00006505">
              <w:rPr>
                <w:rFonts w:asciiTheme="minorHAnsi" w:eastAsia="Times New Roman" w:hAnsiTheme="minorHAnsi" w:cstheme="minorHAnsi"/>
                <w:color w:val="000000"/>
                <w:szCs w:val="24"/>
              </w:rPr>
              <w:t>13,945</w:t>
            </w:r>
          </w:p>
        </w:tc>
      </w:tr>
      <w:tr w:rsidR="00257E76" w:rsidRPr="00006505" w14:paraId="7061EF99" w14:textId="77777777" w:rsidTr="00364F08">
        <w:trPr>
          <w:cantSplit/>
          <w:trHeight w:val="343"/>
        </w:trPr>
        <w:tc>
          <w:tcPr>
            <w:tcW w:w="985" w:type="dxa"/>
            <w:hideMark/>
          </w:tcPr>
          <w:p w14:paraId="0A5C1437" w14:textId="6A85970A" w:rsidR="00257E76" w:rsidRPr="00006505" w:rsidRDefault="00257E76" w:rsidP="00257E76">
            <w:pPr>
              <w:spacing w:after="0" w:line="240" w:lineRule="auto"/>
              <w:rPr>
                <w:rFonts w:asciiTheme="minorHAnsi" w:eastAsia="Times New Roman" w:hAnsiTheme="minorHAnsi" w:cstheme="minorHAnsi"/>
                <w:color w:val="000000"/>
                <w:szCs w:val="24"/>
              </w:rPr>
            </w:pPr>
            <w:r w:rsidRPr="00FB1EA0">
              <w:rPr>
                <w:rFonts w:asciiTheme="minorHAnsi" w:eastAsia="Times New Roman" w:hAnsiTheme="minorHAnsi" w:cstheme="minorHAnsi"/>
                <w:b/>
                <w:bCs/>
                <w:color w:val="000000"/>
                <w:szCs w:val="24"/>
              </w:rPr>
              <w:t>Office</w:t>
            </w:r>
          </w:p>
        </w:tc>
        <w:tc>
          <w:tcPr>
            <w:tcW w:w="1074" w:type="dxa"/>
            <w:shd w:val="clear" w:color="auto" w:fill="DBE5F1" w:themeFill="accent1" w:themeFillTint="33"/>
            <w:noWrap/>
            <w:hideMark/>
          </w:tcPr>
          <w:p w14:paraId="09803C81" w14:textId="77777777" w:rsidR="00257E76" w:rsidRPr="00006505" w:rsidRDefault="00257E76" w:rsidP="00257E76">
            <w:pPr>
              <w:spacing w:after="0" w:line="240" w:lineRule="auto"/>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Total</w:t>
            </w:r>
          </w:p>
        </w:tc>
        <w:tc>
          <w:tcPr>
            <w:tcW w:w="1406" w:type="dxa"/>
            <w:shd w:val="clear" w:color="auto" w:fill="DBE5F1" w:themeFill="accent1" w:themeFillTint="33"/>
            <w:noWrap/>
            <w:vAlign w:val="center"/>
            <w:hideMark/>
          </w:tcPr>
          <w:p w14:paraId="179DCF06" w14:textId="157FA99D" w:rsidR="00257E76" w:rsidRPr="00006505" w:rsidRDefault="00257E76" w:rsidP="00257E76">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40,698</w:t>
            </w:r>
          </w:p>
        </w:tc>
        <w:tc>
          <w:tcPr>
            <w:tcW w:w="1406" w:type="dxa"/>
            <w:shd w:val="clear" w:color="auto" w:fill="DBE5F1" w:themeFill="accent1" w:themeFillTint="33"/>
            <w:noWrap/>
            <w:vAlign w:val="center"/>
            <w:hideMark/>
          </w:tcPr>
          <w:p w14:paraId="1C1BC876" w14:textId="77777777" w:rsidR="00257E76" w:rsidRPr="00006505" w:rsidRDefault="00257E76" w:rsidP="00257E76">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40,322</w:t>
            </w:r>
          </w:p>
        </w:tc>
        <w:tc>
          <w:tcPr>
            <w:tcW w:w="1380" w:type="dxa"/>
            <w:shd w:val="clear" w:color="auto" w:fill="DBE5F1" w:themeFill="accent1" w:themeFillTint="33"/>
            <w:noWrap/>
            <w:vAlign w:val="center"/>
            <w:hideMark/>
          </w:tcPr>
          <w:p w14:paraId="70E621F1" w14:textId="77777777" w:rsidR="00257E76" w:rsidRPr="00006505" w:rsidRDefault="00257E76" w:rsidP="00257E76">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19,559</w:t>
            </w:r>
          </w:p>
        </w:tc>
        <w:tc>
          <w:tcPr>
            <w:tcW w:w="1446" w:type="dxa"/>
            <w:shd w:val="clear" w:color="auto" w:fill="DBE5F1" w:themeFill="accent1" w:themeFillTint="33"/>
            <w:noWrap/>
            <w:vAlign w:val="center"/>
            <w:hideMark/>
          </w:tcPr>
          <w:p w14:paraId="47B11AE7" w14:textId="080A2E06" w:rsidR="00257E76" w:rsidRPr="00006505" w:rsidRDefault="00257E76" w:rsidP="00257E76">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19,551</w:t>
            </w:r>
          </w:p>
        </w:tc>
      </w:tr>
      <w:tr w:rsidR="0095387E" w:rsidRPr="00006505" w14:paraId="40B95871" w14:textId="77777777" w:rsidTr="00364F08">
        <w:trPr>
          <w:cantSplit/>
          <w:trHeight w:val="343"/>
        </w:trPr>
        <w:tc>
          <w:tcPr>
            <w:tcW w:w="985" w:type="dxa"/>
            <w:noWrap/>
            <w:hideMark/>
          </w:tcPr>
          <w:p w14:paraId="43E35FB7" w14:textId="77777777" w:rsidR="0095387E" w:rsidRPr="00006505" w:rsidRDefault="0095387E" w:rsidP="00FD2E73">
            <w:pPr>
              <w:spacing w:after="0" w:line="240" w:lineRule="auto"/>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Grand Total</w:t>
            </w:r>
          </w:p>
        </w:tc>
        <w:tc>
          <w:tcPr>
            <w:tcW w:w="1074" w:type="dxa"/>
          </w:tcPr>
          <w:p w14:paraId="7831BF0F" w14:textId="3781580E" w:rsidR="0095387E" w:rsidRPr="00006505" w:rsidRDefault="00257E76" w:rsidP="00FD2E73">
            <w:pPr>
              <w:spacing w:after="0" w:line="240" w:lineRule="auto"/>
              <w:rPr>
                <w:rFonts w:asciiTheme="minorHAnsi" w:eastAsia="Times New Roman" w:hAnsiTheme="minorHAnsi" w:cstheme="minorHAnsi"/>
                <w:b/>
                <w:bCs/>
                <w:i/>
                <w:iCs/>
                <w:color w:val="000000"/>
                <w:szCs w:val="24"/>
              </w:rPr>
            </w:pPr>
            <w:r>
              <w:rPr>
                <w:rFonts w:asciiTheme="minorHAnsi" w:eastAsia="Times New Roman" w:hAnsiTheme="minorHAnsi" w:cstheme="minorHAnsi"/>
                <w:b/>
                <w:bCs/>
                <w:i/>
                <w:iCs/>
                <w:color w:val="000000"/>
                <w:szCs w:val="24"/>
              </w:rPr>
              <w:t>n/a</w:t>
            </w:r>
          </w:p>
        </w:tc>
        <w:tc>
          <w:tcPr>
            <w:tcW w:w="1406" w:type="dxa"/>
            <w:noWrap/>
            <w:vAlign w:val="center"/>
            <w:hideMark/>
          </w:tcPr>
          <w:p w14:paraId="277B93AB" w14:textId="3D262AE4" w:rsidR="0095387E" w:rsidRPr="00006505" w:rsidRDefault="0095387E" w:rsidP="00FD2E73">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60,566</w:t>
            </w:r>
          </w:p>
        </w:tc>
        <w:tc>
          <w:tcPr>
            <w:tcW w:w="1406" w:type="dxa"/>
            <w:noWrap/>
            <w:vAlign w:val="center"/>
            <w:hideMark/>
          </w:tcPr>
          <w:p w14:paraId="4ADCCC48" w14:textId="77777777" w:rsidR="0095387E" w:rsidRPr="00006505" w:rsidRDefault="0095387E" w:rsidP="00FD2E73">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60,056</w:t>
            </w:r>
          </w:p>
        </w:tc>
        <w:tc>
          <w:tcPr>
            <w:tcW w:w="1380" w:type="dxa"/>
            <w:noWrap/>
            <w:vAlign w:val="center"/>
            <w:hideMark/>
          </w:tcPr>
          <w:p w14:paraId="1395B2BC" w14:textId="77777777" w:rsidR="0095387E" w:rsidRPr="00006505" w:rsidRDefault="0095387E" w:rsidP="00FD2E73">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50,172</w:t>
            </w:r>
          </w:p>
        </w:tc>
        <w:tc>
          <w:tcPr>
            <w:tcW w:w="1446" w:type="dxa"/>
            <w:noWrap/>
            <w:vAlign w:val="center"/>
            <w:hideMark/>
          </w:tcPr>
          <w:p w14:paraId="70F6A232" w14:textId="77777777" w:rsidR="0095387E" w:rsidRPr="00006505" w:rsidRDefault="0095387E" w:rsidP="00FD2E73">
            <w:pPr>
              <w:spacing w:after="0" w:line="240" w:lineRule="auto"/>
              <w:jc w:val="right"/>
              <w:rPr>
                <w:rFonts w:asciiTheme="minorHAnsi" w:eastAsia="Times New Roman" w:hAnsiTheme="minorHAnsi" w:cstheme="minorHAnsi"/>
                <w:b/>
                <w:bCs/>
                <w:i/>
                <w:iCs/>
                <w:color w:val="000000"/>
                <w:szCs w:val="24"/>
              </w:rPr>
            </w:pPr>
            <w:r w:rsidRPr="00006505">
              <w:rPr>
                <w:rFonts w:asciiTheme="minorHAnsi" w:eastAsia="Times New Roman" w:hAnsiTheme="minorHAnsi" w:cstheme="minorHAnsi"/>
                <w:b/>
                <w:bCs/>
                <w:i/>
                <w:iCs/>
                <w:color w:val="000000"/>
                <w:szCs w:val="24"/>
              </w:rPr>
              <w:t>50,151</w:t>
            </w:r>
          </w:p>
        </w:tc>
      </w:tr>
    </w:tbl>
    <w:p w14:paraId="3000BE92" w14:textId="63D66A85" w:rsidR="004600DF" w:rsidRDefault="004600DF" w:rsidP="00FD2E73">
      <w:r w:rsidRPr="00E763FA">
        <w:rPr>
          <w:rFonts w:asciiTheme="minorHAnsi" w:hAnsiTheme="minorHAnsi" w:cstheme="minorHAnsi"/>
        </w:rPr>
        <w:t>Source: Utilization rates via 2024 Komodo closed claims. Population data via PUMS and ESRI demographic data</w:t>
      </w:r>
    </w:p>
    <w:bookmarkStart w:id="2" w:name="_iDocIDField_EOD"/>
    <w:p w14:paraId="05CFFDA0" w14:textId="77777777" w:rsidR="007526F5" w:rsidRPr="00F37892" w:rsidRDefault="007526F5">
      <w:pPr>
        <w:pStyle w:val="DocID"/>
        <w:rPr>
          <w:rFonts w:ascii="Aptos" w:hAnsi="Aptos"/>
          <w:sz w:val="24"/>
          <w:szCs w:val="24"/>
        </w:rPr>
      </w:pPr>
      <w:r w:rsidRPr="00F37892">
        <w:rPr>
          <w:rFonts w:ascii="Aptos" w:hAnsi="Aptos"/>
          <w:sz w:val="24"/>
          <w:szCs w:val="24"/>
        </w:rPr>
        <w:lastRenderedPageBreak/>
        <w:fldChar w:fldCharType="begin"/>
      </w:r>
      <w:r w:rsidRPr="00F37892">
        <w:rPr>
          <w:rFonts w:ascii="Aptos" w:hAnsi="Aptos"/>
          <w:sz w:val="24"/>
          <w:szCs w:val="24"/>
        </w:rPr>
        <w:instrText xml:space="preserve">  DOCPROPERTY "CUS_DocIDChunk0" </w:instrText>
      </w:r>
      <w:r w:rsidRPr="00F37892">
        <w:rPr>
          <w:rFonts w:ascii="Aptos" w:hAnsi="Aptos"/>
          <w:sz w:val="24"/>
          <w:szCs w:val="24"/>
        </w:rPr>
        <w:fldChar w:fldCharType="separate"/>
      </w:r>
      <w:r w:rsidRPr="00F37892">
        <w:rPr>
          <w:rFonts w:ascii="Aptos" w:hAnsi="Aptos"/>
          <w:sz w:val="24"/>
          <w:szCs w:val="24"/>
        </w:rPr>
        <w:t>4517\0001\2327874.v4</w:t>
      </w:r>
      <w:r w:rsidRPr="00F37892">
        <w:rPr>
          <w:rFonts w:ascii="Aptos" w:hAnsi="Aptos"/>
          <w:sz w:val="24"/>
          <w:szCs w:val="24"/>
        </w:rPr>
        <w:fldChar w:fldCharType="end"/>
      </w:r>
      <w:bookmarkEnd w:id="2"/>
    </w:p>
    <w:sectPr w:rsidR="007526F5" w:rsidRPr="00F37892" w:rsidSect="00356AB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0A89" w14:textId="77777777" w:rsidR="001A33DB" w:rsidRDefault="001A33DB">
      <w:pPr>
        <w:spacing w:after="0" w:line="240" w:lineRule="auto"/>
      </w:pPr>
      <w:r>
        <w:separator/>
      </w:r>
    </w:p>
  </w:endnote>
  <w:endnote w:type="continuationSeparator" w:id="0">
    <w:p w14:paraId="18D219B3" w14:textId="77777777" w:rsidR="001A33DB" w:rsidRDefault="001A3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CA57D" w14:textId="77777777" w:rsidR="001A33DB" w:rsidRDefault="001A33DB" w:rsidP="001758C2">
      <w:pPr>
        <w:spacing w:after="0" w:line="240" w:lineRule="auto"/>
      </w:pPr>
      <w:r>
        <w:separator/>
      </w:r>
    </w:p>
  </w:footnote>
  <w:footnote w:type="continuationSeparator" w:id="0">
    <w:p w14:paraId="07A6B45B" w14:textId="77777777" w:rsidR="001A33DB" w:rsidRDefault="001A33DB" w:rsidP="001758C2">
      <w:pPr>
        <w:spacing w:after="0" w:line="240" w:lineRule="auto"/>
      </w:pPr>
      <w:r>
        <w:continuationSeparator/>
      </w:r>
    </w:p>
  </w:footnote>
  <w:footnote w:id="1">
    <w:p w14:paraId="2A268715" w14:textId="23F65BE0" w:rsidR="006B2043" w:rsidRPr="00ED7F8A" w:rsidRDefault="006B2043" w:rsidP="006B2043">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HPC </w:t>
      </w:r>
      <w:proofErr w:type="spellStart"/>
      <w:r w:rsidRPr="00ED7F8A">
        <w:rPr>
          <w:rFonts w:asciiTheme="minorHAnsi" w:hAnsiTheme="minorHAnsi" w:cstheme="minorHAnsi"/>
        </w:rPr>
        <w:t>DataPoints</w:t>
      </w:r>
      <w:proofErr w:type="spellEnd"/>
      <w:r w:rsidRPr="00ED7F8A">
        <w:rPr>
          <w:rFonts w:asciiTheme="minorHAnsi" w:hAnsiTheme="minorHAnsi" w:cstheme="minorHAnsi"/>
        </w:rPr>
        <w:t xml:space="preserve">, </w:t>
      </w:r>
      <w:hyperlink r:id="rId1" w:history="1">
        <w:r w:rsidRPr="00131529">
          <w:rPr>
            <w:rStyle w:val="Hyperlink"/>
            <w:rFonts w:asciiTheme="minorHAnsi" w:hAnsiTheme="minorHAnsi" w:cstheme="minorHAnsi"/>
          </w:rPr>
          <w:t>Issue 26: Trends in Ambulatory Surgical Centers in Massachusetts</w:t>
        </w:r>
      </w:hyperlink>
      <w:r w:rsidRPr="00ED7F8A">
        <w:rPr>
          <w:rFonts w:asciiTheme="minorHAnsi" w:hAnsiTheme="minorHAnsi" w:cstheme="minorHAnsi"/>
        </w:rPr>
        <w:t xml:space="preserve">, </w:t>
      </w:r>
      <w:r w:rsidR="00055814" w:rsidRPr="00ED7F8A">
        <w:rPr>
          <w:rFonts w:asciiTheme="minorHAnsi" w:hAnsiTheme="minorHAnsi" w:cstheme="minorHAnsi"/>
        </w:rPr>
        <w:t>Mass</w:t>
      </w:r>
      <w:r w:rsidRPr="00ED7F8A">
        <w:rPr>
          <w:rFonts w:asciiTheme="minorHAnsi" w:hAnsiTheme="minorHAnsi" w:cstheme="minorHAnsi"/>
        </w:rPr>
        <w:t xml:space="preserve">. </w:t>
      </w:r>
      <w:r w:rsidR="00055814" w:rsidRPr="00ED7F8A">
        <w:rPr>
          <w:rFonts w:asciiTheme="minorHAnsi" w:hAnsiTheme="minorHAnsi" w:cstheme="minorHAnsi"/>
        </w:rPr>
        <w:t>Health Policy Comm</w:t>
      </w:r>
      <w:r w:rsidRPr="00ED7F8A">
        <w:rPr>
          <w:rFonts w:asciiTheme="minorHAnsi" w:hAnsiTheme="minorHAnsi" w:cstheme="minorHAnsi"/>
        </w:rPr>
        <w:t xml:space="preserve">. (Hereafter “HPC”) (Feb. 15, 2024) (updating the June 2023 findings that Massachusetts has the six fewest ASCs per capita among all states), and </w:t>
      </w:r>
      <w:hyperlink r:id="rId2" w:history="1">
        <w:r w:rsidRPr="00AC0E1E">
          <w:rPr>
            <w:rStyle w:val="Hyperlink"/>
            <w:rFonts w:asciiTheme="minorHAnsi" w:hAnsiTheme="minorHAnsi" w:cstheme="minorHAnsi"/>
          </w:rPr>
          <w:t>HPC Board Meeting</w:t>
        </w:r>
      </w:hyperlink>
      <w:r w:rsidRPr="00ED7F8A">
        <w:rPr>
          <w:rFonts w:asciiTheme="minorHAnsi" w:hAnsiTheme="minorHAnsi" w:cstheme="minorHAnsi"/>
        </w:rPr>
        <w:t xml:space="preserve"> 27,</w:t>
      </w:r>
      <w:r w:rsidR="00127CDD" w:rsidRPr="00ED7F8A">
        <w:rPr>
          <w:rFonts w:asciiTheme="minorHAnsi" w:hAnsiTheme="minorHAnsi" w:cstheme="minorHAnsi"/>
        </w:rPr>
        <w:t xml:space="preserve"> HPC (June 07, 2023) </w:t>
      </w:r>
    </w:p>
  </w:footnote>
  <w:footnote w:id="2">
    <w:p w14:paraId="3110E64D" w14:textId="75C49218" w:rsidR="008C792A" w:rsidRPr="00ED7F8A" w:rsidRDefault="008C792A" w:rsidP="008C792A">
      <w:pPr>
        <w:pStyle w:val="FootnoteText"/>
        <w:rPr>
          <w:rFonts w:asciiTheme="minorHAnsi" w:hAnsiTheme="minorHAnsi" w:cstheme="minorHAnsi"/>
        </w:rPr>
      </w:pPr>
      <w:r w:rsidRPr="00ED7F8A">
        <w:rPr>
          <w:rStyle w:val="FootnoteReference"/>
          <w:rFonts w:asciiTheme="minorHAnsi" w:hAnsiTheme="minorHAnsi" w:cstheme="minorHAnsi"/>
        </w:rPr>
        <w:footnoteRef/>
      </w:r>
      <w:r w:rsidR="00A835F7" w:rsidRPr="00ED7F8A">
        <w:rPr>
          <w:rFonts w:asciiTheme="minorHAnsi" w:hAnsiTheme="minorHAnsi" w:cstheme="minorHAnsi"/>
        </w:rPr>
        <w:t xml:space="preserve"> </w:t>
      </w:r>
      <w:hyperlink r:id="rId3" w:history="1">
        <w:r w:rsidR="00A835F7" w:rsidRPr="00AD04DC">
          <w:rPr>
            <w:rStyle w:val="Hyperlink"/>
            <w:rFonts w:asciiTheme="minorHAnsi" w:hAnsiTheme="minorHAnsi" w:cstheme="minorHAnsi"/>
          </w:rPr>
          <w:t>HPC Policy Brief</w:t>
        </w:r>
      </w:hyperlink>
      <w:r w:rsidR="00A835F7" w:rsidRPr="00ED7F8A">
        <w:rPr>
          <w:rFonts w:asciiTheme="minorHAnsi" w:hAnsiTheme="minorHAnsi" w:cstheme="minorHAnsi"/>
        </w:rPr>
        <w:t>: Oral health care access and emergency department utilization for avoidable oral health conditions in Massachusetts, HPC (Aug 1, 2016)</w:t>
      </w:r>
    </w:p>
  </w:footnote>
  <w:footnote w:id="3">
    <w:p w14:paraId="204AC28F" w14:textId="59B95BC1" w:rsidR="003E0084" w:rsidRPr="00ED7F8A" w:rsidRDefault="003E0084" w:rsidP="003E0084">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The Applicant made two requests to Center for Health Information Analysis (CHIA) to receive access to historic claims data from the Massachusetts All-Payer Claims Database (APCD) for the needs analysis; however, the APCD has </w:t>
      </w:r>
      <w:r w:rsidR="009A0DBB" w:rsidRPr="00ED7F8A">
        <w:rPr>
          <w:rFonts w:asciiTheme="minorHAnsi" w:hAnsiTheme="minorHAnsi" w:cstheme="minorHAnsi"/>
        </w:rPr>
        <w:t xml:space="preserve">a </w:t>
      </w:r>
      <w:r w:rsidRPr="00ED7F8A">
        <w:rPr>
          <w:rFonts w:asciiTheme="minorHAnsi" w:hAnsiTheme="minorHAnsi" w:cstheme="minorHAnsi"/>
        </w:rPr>
        <w:t>very specific basis on which non-government entities can request access to the data</w:t>
      </w:r>
      <w:r w:rsidR="009A0DBB" w:rsidRPr="00ED7F8A">
        <w:rPr>
          <w:rFonts w:asciiTheme="minorHAnsi" w:hAnsiTheme="minorHAnsi" w:cstheme="minorHAnsi"/>
        </w:rPr>
        <w:t xml:space="preserve">. </w:t>
      </w:r>
      <w:proofErr w:type="gramStart"/>
      <w:r w:rsidR="009A0DBB" w:rsidRPr="00ED7F8A">
        <w:rPr>
          <w:rFonts w:asciiTheme="minorHAnsi" w:hAnsiTheme="minorHAnsi" w:cstheme="minorHAnsi"/>
        </w:rPr>
        <w:t>B</w:t>
      </w:r>
      <w:r w:rsidRPr="00ED7F8A">
        <w:rPr>
          <w:rFonts w:asciiTheme="minorHAnsi" w:hAnsiTheme="minorHAnsi" w:cstheme="minorHAnsi"/>
        </w:rPr>
        <w:t>oth of the Applicant’s</w:t>
      </w:r>
      <w:proofErr w:type="gramEnd"/>
      <w:r w:rsidRPr="00ED7F8A">
        <w:rPr>
          <w:rFonts w:asciiTheme="minorHAnsi" w:hAnsiTheme="minorHAnsi" w:cstheme="minorHAnsi"/>
        </w:rPr>
        <w:t xml:space="preserve"> requests were rejected because the Applicant is not </w:t>
      </w:r>
      <w:r w:rsidR="00866AD1" w:rsidRPr="00ED7F8A">
        <w:rPr>
          <w:rFonts w:asciiTheme="minorHAnsi" w:hAnsiTheme="minorHAnsi" w:cstheme="minorHAnsi"/>
        </w:rPr>
        <w:t>a Massachusetts</w:t>
      </w:r>
      <w:r w:rsidRPr="00ED7F8A">
        <w:rPr>
          <w:rFonts w:asciiTheme="minorHAnsi" w:hAnsiTheme="minorHAnsi" w:cstheme="minorHAnsi"/>
        </w:rPr>
        <w:t xml:space="preserve"> provider.</w:t>
      </w:r>
      <w:r w:rsidR="00866AD1" w:rsidRPr="00ED7F8A">
        <w:rPr>
          <w:rFonts w:asciiTheme="minorHAnsi" w:hAnsiTheme="minorHAnsi" w:cstheme="minorHAnsi"/>
        </w:rPr>
        <w:t xml:space="preserve">  Instead, Chartis leveraged claims data from </w:t>
      </w:r>
      <w:hyperlink r:id="rId4" w:history="1">
        <w:r w:rsidR="00866AD1" w:rsidRPr="00ED7F8A">
          <w:rPr>
            <w:rStyle w:val="Hyperlink"/>
            <w:rFonts w:asciiTheme="minorHAnsi" w:hAnsiTheme="minorHAnsi" w:cstheme="minorHAnsi"/>
          </w:rPr>
          <w:t>Komodo Health’s</w:t>
        </w:r>
      </w:hyperlink>
      <w:r w:rsidR="00866AD1" w:rsidRPr="00ED7F8A">
        <w:rPr>
          <w:rFonts w:asciiTheme="minorHAnsi" w:hAnsiTheme="minorHAnsi" w:cstheme="minorHAnsi"/>
        </w:rPr>
        <w:t xml:space="preserve"> closed claims database</w:t>
      </w:r>
      <w:r w:rsidR="005066DA">
        <w:rPr>
          <w:rFonts w:asciiTheme="minorHAnsi" w:hAnsiTheme="minorHAnsi" w:cstheme="minorHAnsi"/>
        </w:rPr>
        <w:t>, see Exhibit 2</w:t>
      </w:r>
      <w:r w:rsidR="00866AD1" w:rsidRPr="00ED7F8A">
        <w:rPr>
          <w:rFonts w:asciiTheme="minorHAnsi" w:hAnsiTheme="minorHAnsi" w:cstheme="minorHAnsi"/>
        </w:rPr>
        <w:t xml:space="preserve">. </w:t>
      </w:r>
      <w:r w:rsidRPr="00ED7F8A">
        <w:rPr>
          <w:rFonts w:asciiTheme="minorHAnsi" w:hAnsiTheme="minorHAnsi" w:cstheme="minorHAnsi"/>
        </w:rPr>
        <w:t xml:space="preserve">  </w:t>
      </w:r>
    </w:p>
  </w:footnote>
  <w:footnote w:id="4">
    <w:p w14:paraId="53188391" w14:textId="6DB9CC7C" w:rsidR="00A14BA6" w:rsidRPr="00ED7F8A" w:rsidRDefault="00A14BA6" w:rsidP="00A14BA6">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The decision was made to utilize 2024 claims data instead of 2025 claims data because there were </w:t>
      </w:r>
      <w:proofErr w:type="gramStart"/>
      <w:r w:rsidRPr="00ED7F8A">
        <w:rPr>
          <w:rFonts w:asciiTheme="minorHAnsi" w:hAnsiTheme="minorHAnsi" w:cstheme="minorHAnsi"/>
        </w:rPr>
        <w:t>a number of</w:t>
      </w:r>
      <w:proofErr w:type="gramEnd"/>
      <w:r w:rsidRPr="00ED7F8A">
        <w:rPr>
          <w:rFonts w:asciiTheme="minorHAnsi" w:hAnsiTheme="minorHAnsi" w:cstheme="minorHAnsi"/>
        </w:rPr>
        <w:t xml:space="preserve"> Medicaid redeterminations in 2025</w:t>
      </w:r>
      <w:r w:rsidR="00553F19" w:rsidRPr="00ED7F8A">
        <w:rPr>
          <w:rFonts w:asciiTheme="minorHAnsi" w:hAnsiTheme="minorHAnsi" w:cstheme="minorHAnsi"/>
        </w:rPr>
        <w:t xml:space="preserve">, </w:t>
      </w:r>
      <w:r w:rsidRPr="00ED7F8A">
        <w:rPr>
          <w:rFonts w:asciiTheme="minorHAnsi" w:hAnsiTheme="minorHAnsi" w:cstheme="minorHAnsi"/>
        </w:rPr>
        <w:t>which results in less accurate data.</w:t>
      </w:r>
    </w:p>
  </w:footnote>
  <w:footnote w:id="5">
    <w:p w14:paraId="3BBAE9A1" w14:textId="59A21CEC" w:rsidR="003E0084" w:rsidRPr="00ED7F8A" w:rsidRDefault="003E0084">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The </w:t>
      </w:r>
      <w:r w:rsidR="00B54691" w:rsidRPr="00ED7F8A">
        <w:rPr>
          <w:rFonts w:asciiTheme="minorHAnsi" w:hAnsiTheme="minorHAnsi" w:cstheme="minorHAnsi"/>
        </w:rPr>
        <w:t>PSA</w:t>
      </w:r>
      <w:r w:rsidRPr="00ED7F8A">
        <w:rPr>
          <w:rFonts w:asciiTheme="minorHAnsi" w:hAnsiTheme="minorHAnsi" w:cstheme="minorHAnsi"/>
        </w:rPr>
        <w:t xml:space="preserve"> includes zip codes </w:t>
      </w:r>
      <w:r w:rsidR="004D37D9" w:rsidRPr="00ED7F8A">
        <w:rPr>
          <w:rFonts w:asciiTheme="minorHAnsi" w:hAnsiTheme="minorHAnsi" w:cstheme="minorHAnsi"/>
        </w:rPr>
        <w:t>starting</w:t>
      </w:r>
      <w:r w:rsidRPr="00ED7F8A">
        <w:rPr>
          <w:rFonts w:asciiTheme="minorHAnsi" w:hAnsiTheme="minorHAnsi" w:cstheme="minorHAnsi"/>
        </w:rPr>
        <w:t xml:space="preserve"> </w:t>
      </w:r>
      <w:proofErr w:type="gramStart"/>
      <w:r w:rsidRPr="00ED7F8A">
        <w:rPr>
          <w:rFonts w:asciiTheme="minorHAnsi" w:hAnsiTheme="minorHAnsi" w:cstheme="minorHAnsi"/>
        </w:rPr>
        <w:t>with:</w:t>
      </w:r>
      <w:proofErr w:type="gramEnd"/>
      <w:r w:rsidRPr="00ED7F8A">
        <w:rPr>
          <w:rFonts w:asciiTheme="minorHAnsi" w:hAnsiTheme="minorHAnsi" w:cstheme="minorHAnsi"/>
        </w:rPr>
        <w:t xml:space="preserve"> 021, 024, 017, 018 and 019</w:t>
      </w:r>
      <w:r w:rsidR="009A0DBB" w:rsidRPr="00ED7F8A">
        <w:rPr>
          <w:rFonts w:asciiTheme="minorHAnsi" w:hAnsiTheme="minorHAnsi" w:cstheme="minorHAnsi"/>
        </w:rPr>
        <w:t>.</w:t>
      </w:r>
    </w:p>
  </w:footnote>
  <w:footnote w:id="6">
    <w:p w14:paraId="26D43CF9" w14:textId="40BD9275" w:rsidR="000926B7" w:rsidRPr="00ED7F8A" w:rsidRDefault="000926B7">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Claims data does not include demographics such as gender or race. </w:t>
      </w:r>
    </w:p>
  </w:footnote>
  <w:footnote w:id="7">
    <w:p w14:paraId="07250E54" w14:textId="102727FB" w:rsidR="004600DF" w:rsidRPr="00ED7F8A" w:rsidRDefault="004600DF">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Blue Cloud data was sourced from US Census and MassHealth, who reported Medicaid dental utilization 2018-2020 amongst Medicaid beneficiaries. </w:t>
      </w:r>
    </w:p>
  </w:footnote>
  <w:footnote w:id="8">
    <w:p w14:paraId="2BB6220D" w14:textId="1E50D147" w:rsidR="0051356D" w:rsidRPr="00ED7F8A" w:rsidRDefault="0051356D" w:rsidP="0051356D">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hyperlink r:id="rId5" w:history="1">
        <w:r w:rsidR="00BE56E4" w:rsidRPr="008F511E">
          <w:rPr>
            <w:rStyle w:val="Hyperlink"/>
            <w:rFonts w:asciiTheme="minorHAnsi" w:hAnsiTheme="minorHAnsi" w:cstheme="minorHAnsi"/>
          </w:rPr>
          <w:t>Massachusetts State Oral Health Series</w:t>
        </w:r>
      </w:hyperlink>
      <w:r w:rsidR="00BE56E4" w:rsidRPr="00ED7F8A">
        <w:rPr>
          <w:rFonts w:asciiTheme="minorHAnsi" w:hAnsiTheme="minorHAnsi" w:cstheme="minorHAnsi"/>
        </w:rPr>
        <w:t xml:space="preserve"> (hereafter "MOHS"): Child and Adolescent Oral Health Status in Massachusetts, </w:t>
      </w:r>
      <w:r w:rsidR="009C25A5" w:rsidRPr="00ED7F8A">
        <w:rPr>
          <w:rFonts w:asciiTheme="minorHAnsi" w:hAnsiTheme="minorHAnsi" w:cstheme="minorHAnsi"/>
        </w:rPr>
        <w:t>Mass</w:t>
      </w:r>
      <w:r w:rsidR="00BE56E4" w:rsidRPr="00ED7F8A">
        <w:rPr>
          <w:rFonts w:asciiTheme="minorHAnsi" w:hAnsiTheme="minorHAnsi" w:cstheme="minorHAnsi"/>
        </w:rPr>
        <w:t xml:space="preserve">. </w:t>
      </w:r>
      <w:r w:rsidR="009C25A5" w:rsidRPr="00ED7F8A">
        <w:rPr>
          <w:rFonts w:asciiTheme="minorHAnsi" w:hAnsiTheme="minorHAnsi" w:cstheme="minorHAnsi"/>
        </w:rPr>
        <w:t>Dept</w:t>
      </w:r>
      <w:r w:rsidR="00BE56E4" w:rsidRPr="00ED7F8A">
        <w:rPr>
          <w:rFonts w:asciiTheme="minorHAnsi" w:hAnsiTheme="minorHAnsi" w:cstheme="minorHAnsi"/>
        </w:rPr>
        <w:t xml:space="preserve">. </w:t>
      </w:r>
      <w:r w:rsidR="009C25A5" w:rsidRPr="00ED7F8A">
        <w:rPr>
          <w:rFonts w:asciiTheme="minorHAnsi" w:hAnsiTheme="minorHAnsi" w:cstheme="minorHAnsi"/>
        </w:rPr>
        <w:t>of Public Health</w:t>
      </w:r>
      <w:r w:rsidR="00BE56E4" w:rsidRPr="00ED7F8A">
        <w:rPr>
          <w:rFonts w:asciiTheme="minorHAnsi" w:hAnsiTheme="minorHAnsi" w:cstheme="minorHAnsi"/>
        </w:rPr>
        <w:t xml:space="preserve"> (Hereafter "MDPH”) (Oct. 2024</w:t>
      </w:r>
      <w:proofErr w:type="gramStart"/>
      <w:r w:rsidR="00BE56E4" w:rsidRPr="00ED7F8A">
        <w:rPr>
          <w:rFonts w:asciiTheme="minorHAnsi" w:hAnsiTheme="minorHAnsi" w:cstheme="minorHAnsi"/>
        </w:rPr>
        <w:t>) ;</w:t>
      </w:r>
      <w:proofErr w:type="gramEnd"/>
      <w:r w:rsidR="00BE56E4" w:rsidRPr="00ED7F8A">
        <w:rPr>
          <w:rFonts w:asciiTheme="minorHAnsi" w:hAnsiTheme="minorHAnsi" w:cstheme="minorHAnsi"/>
        </w:rPr>
        <w:t xml:space="preserve"> See also, </w:t>
      </w:r>
      <w:r w:rsidR="009C25A5" w:rsidRPr="00ED7F8A">
        <w:rPr>
          <w:rFonts w:asciiTheme="minorHAnsi" w:hAnsiTheme="minorHAnsi" w:cstheme="minorHAnsi"/>
        </w:rPr>
        <w:t>Mass</w:t>
      </w:r>
      <w:r w:rsidR="00F701C4" w:rsidRPr="00ED7F8A">
        <w:rPr>
          <w:rFonts w:asciiTheme="minorHAnsi" w:hAnsiTheme="minorHAnsi" w:cstheme="minorHAnsi"/>
          <w:caps/>
        </w:rPr>
        <w:t xml:space="preserve">. </w:t>
      </w:r>
      <w:r w:rsidR="009C25A5" w:rsidRPr="00ED7F8A">
        <w:rPr>
          <w:rFonts w:asciiTheme="minorHAnsi" w:hAnsiTheme="minorHAnsi" w:cstheme="minorHAnsi"/>
        </w:rPr>
        <w:t>Exec</w:t>
      </w:r>
      <w:r w:rsidR="00F701C4" w:rsidRPr="00ED7F8A">
        <w:rPr>
          <w:rFonts w:asciiTheme="minorHAnsi" w:hAnsiTheme="minorHAnsi" w:cstheme="minorHAnsi"/>
          <w:caps/>
        </w:rPr>
        <w:t>.</w:t>
      </w:r>
      <w:r w:rsidR="00BE56E4" w:rsidRPr="00ED7F8A">
        <w:rPr>
          <w:rFonts w:asciiTheme="minorHAnsi" w:hAnsiTheme="minorHAnsi" w:cstheme="minorHAnsi"/>
          <w:caps/>
        </w:rPr>
        <w:t xml:space="preserve"> </w:t>
      </w:r>
      <w:r w:rsidR="009C25A5" w:rsidRPr="00ED7F8A">
        <w:rPr>
          <w:rFonts w:asciiTheme="minorHAnsi" w:hAnsiTheme="minorHAnsi" w:cstheme="minorHAnsi"/>
        </w:rPr>
        <w:t>Office of Health and Human Serv</w:t>
      </w:r>
      <w:r w:rsidR="00F701C4" w:rsidRPr="00ED7F8A">
        <w:rPr>
          <w:rFonts w:asciiTheme="minorHAnsi" w:hAnsiTheme="minorHAnsi" w:cstheme="minorHAnsi"/>
          <w:caps/>
        </w:rPr>
        <w:t>.</w:t>
      </w:r>
      <w:r w:rsidR="00BE56E4" w:rsidRPr="00ED7F8A">
        <w:rPr>
          <w:rFonts w:asciiTheme="minorHAnsi" w:hAnsiTheme="minorHAnsi" w:cstheme="minorHAnsi"/>
        </w:rPr>
        <w:t xml:space="preserve"> (Hereafter "EOHHS") RFR for a </w:t>
      </w:r>
      <w:proofErr w:type="gramStart"/>
      <w:r w:rsidR="00BE56E4" w:rsidRPr="00ED7F8A">
        <w:rPr>
          <w:rFonts w:asciiTheme="minorHAnsi" w:hAnsiTheme="minorHAnsi" w:cstheme="minorHAnsi"/>
        </w:rPr>
        <w:t>Third Party</w:t>
      </w:r>
      <w:proofErr w:type="gramEnd"/>
      <w:r w:rsidR="00BE56E4" w:rsidRPr="00ED7F8A">
        <w:rPr>
          <w:rFonts w:asciiTheme="minorHAnsi" w:hAnsiTheme="minorHAnsi" w:cstheme="minorHAnsi"/>
        </w:rPr>
        <w:t xml:space="preserve"> Administrator issue date: March 15, 2023 (EHS Docket Number: 23EHSLTSSTPARFR)</w:t>
      </w:r>
    </w:p>
  </w:footnote>
  <w:footnote w:id="9">
    <w:p w14:paraId="05451FAC" w14:textId="7FEE1087" w:rsidR="0051356D" w:rsidRPr="00ED7F8A" w:rsidRDefault="0051356D" w:rsidP="0051356D">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hyperlink r:id="rId6" w:history="1">
        <w:r w:rsidR="00F701C4" w:rsidRPr="00B42712">
          <w:rPr>
            <w:rStyle w:val="Hyperlink"/>
            <w:rFonts w:asciiTheme="minorHAnsi" w:hAnsiTheme="minorHAnsi" w:cstheme="minorHAnsi"/>
          </w:rPr>
          <w:t>Healthy People 2030</w:t>
        </w:r>
      </w:hyperlink>
      <w:r w:rsidR="00F701C4" w:rsidRPr="00ED7F8A">
        <w:rPr>
          <w:rFonts w:asciiTheme="minorHAnsi" w:hAnsiTheme="minorHAnsi" w:cstheme="minorHAnsi"/>
        </w:rPr>
        <w:t>, U.S. Office of Disease Prevention and Health Promotion (hereafter "ODPHP")</w:t>
      </w:r>
    </w:p>
  </w:footnote>
  <w:footnote w:id="10">
    <w:p w14:paraId="47DCBFE2" w14:textId="3328D697" w:rsidR="0051356D" w:rsidRPr="00ED7F8A" w:rsidRDefault="0051356D" w:rsidP="0051356D">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hyperlink r:id="rId7" w:history="1">
        <w:r w:rsidR="00A90722" w:rsidRPr="00757D4B">
          <w:rPr>
            <w:rStyle w:val="Hyperlink"/>
            <w:rFonts w:asciiTheme="minorHAnsi" w:hAnsiTheme="minorHAnsi" w:cstheme="minorHAnsi"/>
          </w:rPr>
          <w:t>Mass</w:t>
        </w:r>
        <w:r w:rsidR="004556B1" w:rsidRPr="00757D4B">
          <w:rPr>
            <w:rStyle w:val="Hyperlink"/>
            <w:rFonts w:asciiTheme="minorHAnsi" w:hAnsiTheme="minorHAnsi" w:cstheme="minorHAnsi"/>
          </w:rPr>
          <w:t>. EOHHS Office of Oral Health</w:t>
        </w:r>
      </w:hyperlink>
    </w:p>
  </w:footnote>
  <w:footnote w:id="11">
    <w:p w14:paraId="7ABA15FE" w14:textId="123848D4" w:rsidR="0051356D" w:rsidRPr="00ED7F8A" w:rsidRDefault="0051356D" w:rsidP="0051356D">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r w:rsidR="004556B1" w:rsidRPr="00ED7F8A">
        <w:rPr>
          <w:rFonts w:asciiTheme="minorHAnsi" w:hAnsiTheme="minorHAnsi" w:cstheme="minorHAnsi"/>
        </w:rPr>
        <w:t xml:space="preserve">Special Commission on Oral Health, </w:t>
      </w:r>
      <w:r w:rsidR="00ED7F8A" w:rsidRPr="00ED7F8A">
        <w:rPr>
          <w:rFonts w:asciiTheme="minorHAnsi" w:hAnsiTheme="minorHAnsi" w:cstheme="minorHAnsi"/>
        </w:rPr>
        <w:t xml:space="preserve">MA </w:t>
      </w:r>
      <w:r w:rsidR="004556B1" w:rsidRPr="00ED7F8A">
        <w:rPr>
          <w:rFonts w:asciiTheme="minorHAnsi" w:hAnsiTheme="minorHAnsi" w:cstheme="minorHAnsi"/>
        </w:rPr>
        <w:t xml:space="preserve">FY2023 Enacted Budget, </w:t>
      </w:r>
      <w:hyperlink r:id="rId8" w:history="1">
        <w:r w:rsidR="004556B1" w:rsidRPr="00ED7F8A">
          <w:rPr>
            <w:rStyle w:val="Hyperlink"/>
            <w:rFonts w:asciiTheme="minorHAnsi" w:hAnsiTheme="minorHAnsi" w:cstheme="minorHAnsi"/>
          </w:rPr>
          <w:t>Outside Section 167</w:t>
        </w:r>
      </w:hyperlink>
      <w:r w:rsidR="004556B1" w:rsidRPr="00ED7F8A">
        <w:rPr>
          <w:rFonts w:asciiTheme="minorHAnsi" w:hAnsiTheme="minorHAnsi" w:cstheme="minorHAnsi"/>
        </w:rPr>
        <w:t>.  The Commission has not met since 2025, and the last public meeting minutes are from 2024.</w:t>
      </w:r>
    </w:p>
  </w:footnote>
  <w:footnote w:id="12">
    <w:p w14:paraId="79CF2161" w14:textId="6A394797" w:rsidR="00B82B17" w:rsidRPr="00ED7F8A" w:rsidRDefault="00B82B17">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hyperlink r:id="rId9" w:history="1">
        <w:r w:rsidRPr="00284C1F">
          <w:rPr>
            <w:rStyle w:val="Hyperlink"/>
            <w:rFonts w:asciiTheme="minorHAnsi" w:hAnsiTheme="minorHAnsi" w:cstheme="minorHAnsi"/>
          </w:rPr>
          <w:t>Minutes for Special Commission on Oral Health Access &amp; Coverage Subcommittee Meetings</w:t>
        </w:r>
      </w:hyperlink>
      <w:r w:rsidRPr="00ED7F8A">
        <w:rPr>
          <w:rFonts w:asciiTheme="minorHAnsi" w:hAnsiTheme="minorHAnsi" w:cstheme="minorHAnsi"/>
        </w:rPr>
        <w:t xml:space="preserve"> January 17, </w:t>
      </w:r>
      <w:r w:rsidR="00B54691" w:rsidRPr="00ED7F8A">
        <w:rPr>
          <w:rFonts w:asciiTheme="minorHAnsi" w:hAnsiTheme="minorHAnsi" w:cstheme="minorHAnsi"/>
        </w:rPr>
        <w:t>2025,</w:t>
      </w:r>
      <w:r w:rsidRPr="00ED7F8A">
        <w:rPr>
          <w:rFonts w:asciiTheme="minorHAnsi" w:hAnsiTheme="minorHAnsi" w:cstheme="minorHAnsi"/>
        </w:rPr>
        <w:t xml:space="preserve"> and February 7, 2025</w:t>
      </w:r>
    </w:p>
  </w:footnote>
  <w:footnote w:id="13">
    <w:p w14:paraId="4FEAA9C2" w14:textId="56AC3184" w:rsidR="0051356D" w:rsidRPr="00ED7F8A" w:rsidRDefault="0051356D" w:rsidP="0051356D">
      <w:pPr>
        <w:pStyle w:val="FootnoteText"/>
        <w:rPr>
          <w:rFonts w:asciiTheme="minorHAnsi" w:hAnsiTheme="minorHAnsi" w:cstheme="minorHAnsi"/>
        </w:rPr>
      </w:pPr>
      <w:r w:rsidRPr="00ED7F8A">
        <w:rPr>
          <w:rStyle w:val="FootnoteReference"/>
          <w:rFonts w:asciiTheme="minorHAnsi" w:hAnsiTheme="minorHAnsi" w:cstheme="minorHAnsi"/>
        </w:rPr>
        <w:footnoteRef/>
      </w:r>
      <w:r w:rsidR="00D348BA" w:rsidRPr="00ED7F8A">
        <w:rPr>
          <w:rFonts w:asciiTheme="minorHAnsi" w:hAnsiTheme="minorHAnsi" w:cstheme="minorHAnsi"/>
        </w:rPr>
        <w:t xml:space="preserve"> </w:t>
      </w:r>
      <w:hyperlink r:id="rId10" w:history="1">
        <w:r w:rsidR="00D348BA" w:rsidRPr="003F2DF3">
          <w:rPr>
            <w:rStyle w:val="Hyperlink"/>
            <w:rFonts w:asciiTheme="minorHAnsi" w:hAnsiTheme="minorHAnsi" w:cstheme="minorHAnsi"/>
          </w:rPr>
          <w:t>Increase use of the oral health care system-OH-08Healthy People 2030</w:t>
        </w:r>
      </w:hyperlink>
      <w:r w:rsidR="00D348BA" w:rsidRPr="00ED7F8A">
        <w:rPr>
          <w:rFonts w:asciiTheme="minorHAnsi" w:hAnsiTheme="minorHAnsi" w:cstheme="minorHAnsi"/>
        </w:rPr>
        <w:t>, IDPHP</w:t>
      </w:r>
    </w:p>
  </w:footnote>
  <w:footnote w:id="14">
    <w:p w14:paraId="787F544F" w14:textId="4B65F9A6" w:rsidR="0051356D" w:rsidRPr="00892C28" w:rsidRDefault="0051356D" w:rsidP="0051356D">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r w:rsidR="00892C28">
        <w:rPr>
          <w:rFonts w:asciiTheme="minorHAnsi" w:hAnsiTheme="minorHAnsi" w:cstheme="minorHAnsi"/>
          <w:i/>
          <w:iCs/>
        </w:rPr>
        <w:t>Supra</w:t>
      </w:r>
      <w:r w:rsidR="00892C28">
        <w:rPr>
          <w:rFonts w:asciiTheme="minorHAnsi" w:hAnsiTheme="minorHAnsi" w:cstheme="minorHAnsi"/>
        </w:rPr>
        <w:t xml:space="preserve"> note 8</w:t>
      </w:r>
    </w:p>
  </w:footnote>
  <w:footnote w:id="15">
    <w:p w14:paraId="47D25CED" w14:textId="407B1A65" w:rsidR="0051356D" w:rsidRPr="00ED7F8A" w:rsidRDefault="0051356D" w:rsidP="0051356D">
      <w:pPr>
        <w:pStyle w:val="FootnoteText"/>
        <w:rPr>
          <w:rFonts w:asciiTheme="minorHAnsi" w:hAnsiTheme="minorHAnsi" w:cstheme="minorHAnsi"/>
        </w:rPr>
      </w:pPr>
      <w:r w:rsidRPr="00543CDD">
        <w:rPr>
          <w:rStyle w:val="FootnoteReference"/>
          <w:rFonts w:asciiTheme="minorHAnsi" w:hAnsiTheme="minorHAnsi" w:cstheme="minorHAnsi"/>
        </w:rPr>
        <w:footnoteRef/>
      </w:r>
      <w:r w:rsidRPr="00543CDD">
        <w:rPr>
          <w:rFonts w:asciiTheme="minorHAnsi" w:hAnsiTheme="minorHAnsi" w:cstheme="minorHAnsi"/>
        </w:rPr>
        <w:t xml:space="preserve"> </w:t>
      </w:r>
      <w:r w:rsidR="00543CDD" w:rsidRPr="00543CDD">
        <w:rPr>
          <w:rFonts w:asciiTheme="minorHAnsi" w:hAnsiTheme="minorHAnsi" w:cstheme="minorHAnsi"/>
        </w:rPr>
        <w:t xml:space="preserve">Center for Disease Control </w:t>
      </w:r>
      <w:r w:rsidR="00CF0822">
        <w:rPr>
          <w:rFonts w:asciiTheme="minorHAnsi" w:hAnsiTheme="minorHAnsi" w:cstheme="minorHAnsi"/>
        </w:rPr>
        <w:t xml:space="preserve">Oral Health </w:t>
      </w:r>
      <w:r w:rsidR="00543CDD" w:rsidRPr="00543CDD">
        <w:rPr>
          <w:rFonts w:asciiTheme="minorHAnsi" w:hAnsiTheme="minorHAnsi" w:cstheme="minorHAnsi"/>
        </w:rPr>
        <w:t xml:space="preserve">(hereafter “CDC”): </w:t>
      </w:r>
      <w:hyperlink r:id="rId11" w:history="1">
        <w:r w:rsidR="00543CDD" w:rsidRPr="007D4B2B">
          <w:rPr>
            <w:rStyle w:val="Hyperlink"/>
            <w:rFonts w:asciiTheme="minorHAnsi" w:hAnsiTheme="minorHAnsi" w:cstheme="minorHAnsi"/>
          </w:rPr>
          <w:t>Health Disparities in Oral Health</w:t>
        </w:r>
      </w:hyperlink>
      <w:r w:rsidR="00CF0822">
        <w:rPr>
          <w:rFonts w:asciiTheme="minorHAnsi" w:hAnsiTheme="minorHAnsi" w:cstheme="minorHAnsi"/>
        </w:rPr>
        <w:t>, CDC</w:t>
      </w:r>
      <w:r w:rsidR="00543CDD" w:rsidRPr="00543CDD">
        <w:rPr>
          <w:rFonts w:asciiTheme="minorHAnsi" w:hAnsiTheme="minorHAnsi" w:cstheme="minorHAnsi"/>
        </w:rPr>
        <w:t xml:space="preserve"> (May 15, 2024)</w:t>
      </w:r>
    </w:p>
  </w:footnote>
  <w:footnote w:id="16">
    <w:p w14:paraId="6C43BE3F" w14:textId="65957975" w:rsidR="0051356D" w:rsidRPr="00ED7F8A" w:rsidRDefault="0051356D" w:rsidP="0051356D">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r w:rsidR="00456855" w:rsidRPr="00456855">
        <w:rPr>
          <w:rFonts w:asciiTheme="minorHAnsi" w:hAnsiTheme="minorHAnsi" w:cstheme="minorHAnsi"/>
          <w:i/>
          <w:iCs/>
        </w:rPr>
        <w:t xml:space="preserve">Supra </w:t>
      </w:r>
      <w:r w:rsidR="00456855">
        <w:rPr>
          <w:rFonts w:asciiTheme="minorHAnsi" w:hAnsiTheme="minorHAnsi" w:cstheme="minorHAnsi"/>
        </w:rPr>
        <w:t xml:space="preserve">note </w:t>
      </w:r>
      <w:r w:rsidR="008B6112">
        <w:rPr>
          <w:rFonts w:asciiTheme="minorHAnsi" w:hAnsiTheme="minorHAnsi" w:cstheme="minorHAnsi"/>
        </w:rPr>
        <w:t>8</w:t>
      </w:r>
    </w:p>
  </w:footnote>
  <w:footnote w:id="17">
    <w:p w14:paraId="7DE66208" w14:textId="354EEACF" w:rsidR="0051356D" w:rsidRPr="00ED7F8A" w:rsidRDefault="0051356D" w:rsidP="0051356D">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r w:rsidR="00892C28" w:rsidRPr="00892C28">
        <w:rPr>
          <w:rFonts w:asciiTheme="minorHAnsi" w:hAnsiTheme="minorHAnsi" w:cstheme="minorHAnsi"/>
          <w:i/>
          <w:iCs/>
        </w:rPr>
        <w:t>Supra</w:t>
      </w:r>
      <w:r w:rsidR="00892C28">
        <w:rPr>
          <w:rFonts w:asciiTheme="minorHAnsi" w:hAnsiTheme="minorHAnsi" w:cstheme="minorHAnsi"/>
        </w:rPr>
        <w:t xml:space="preserve"> note </w:t>
      </w:r>
      <w:r w:rsidR="002F5A5A">
        <w:rPr>
          <w:rFonts w:asciiTheme="minorHAnsi" w:hAnsiTheme="minorHAnsi" w:cstheme="minorHAnsi"/>
        </w:rPr>
        <w:t>8</w:t>
      </w:r>
      <w:r w:rsidR="00FD1DE2">
        <w:rPr>
          <w:rFonts w:asciiTheme="minorHAnsi" w:hAnsiTheme="minorHAnsi" w:cstheme="minorHAnsi"/>
        </w:rPr>
        <w:t xml:space="preserve">; </w:t>
      </w:r>
      <w:r w:rsidR="00DD7B85">
        <w:rPr>
          <w:rFonts w:asciiTheme="minorHAnsi" w:hAnsiTheme="minorHAnsi" w:cstheme="minorHAnsi"/>
        </w:rPr>
        <w:t xml:space="preserve">See also </w:t>
      </w:r>
      <w:r w:rsidR="00543CDD">
        <w:rPr>
          <w:rFonts w:asciiTheme="minorHAnsi" w:hAnsiTheme="minorHAnsi" w:cstheme="minorHAnsi"/>
        </w:rPr>
        <w:t xml:space="preserve">MOHS: </w:t>
      </w:r>
      <w:hyperlink r:id="rId12" w:history="1">
        <w:r w:rsidR="00543CDD" w:rsidRPr="00E0186A">
          <w:rPr>
            <w:rStyle w:val="Hyperlink"/>
            <w:rFonts w:asciiTheme="minorHAnsi" w:hAnsiTheme="minorHAnsi" w:cstheme="minorHAnsi"/>
          </w:rPr>
          <w:t>Child and Adolescent Oral Health Status for Healthcare Providers</w:t>
        </w:r>
      </w:hyperlink>
      <w:r w:rsidR="00543CDD">
        <w:rPr>
          <w:rFonts w:asciiTheme="minorHAnsi" w:hAnsiTheme="minorHAnsi" w:cstheme="minorHAnsi"/>
        </w:rPr>
        <w:t>, MDPH (Oct. 2021)</w:t>
      </w:r>
    </w:p>
  </w:footnote>
  <w:footnote w:id="18">
    <w:p w14:paraId="0A4BC385" w14:textId="11572886" w:rsidR="0051356D" w:rsidRPr="00ED7F8A" w:rsidRDefault="0051356D" w:rsidP="0051356D">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hyperlink r:id="rId13" w:history="1">
        <w:r w:rsidR="000F3841" w:rsidRPr="000F3841">
          <w:rPr>
            <w:rStyle w:val="Hyperlink"/>
            <w:rFonts w:asciiTheme="minorHAnsi" w:hAnsiTheme="minorHAnsi" w:cstheme="minorHAnsi"/>
          </w:rPr>
          <w:t>Malnutrition and its Oral Outcome – A Review</w:t>
        </w:r>
      </w:hyperlink>
      <w:r w:rsidRPr="00ED7F8A">
        <w:rPr>
          <w:rFonts w:asciiTheme="minorHAnsi" w:hAnsiTheme="minorHAnsi" w:cstheme="minorHAnsi"/>
        </w:rPr>
        <w:t xml:space="preserve">;  </w:t>
      </w:r>
      <w:hyperlink r:id="rId14" w:history="1">
        <w:r w:rsidR="007A7A03" w:rsidRPr="007A7A03">
          <w:rPr>
            <w:rStyle w:val="Hyperlink"/>
            <w:rFonts w:asciiTheme="minorHAnsi" w:hAnsiTheme="minorHAnsi" w:cstheme="minorHAnsi"/>
          </w:rPr>
          <w:t>Nutritional Deficiencies and Associated Oral Health in Adolescents: A Comprehensive Scoping Review</w:t>
        </w:r>
        <w:r w:rsidRPr="007A7A03">
          <w:rPr>
            <w:rStyle w:val="Hyperlink"/>
            <w:rFonts w:asciiTheme="minorHAnsi" w:hAnsiTheme="minorHAnsi" w:cstheme="minorHAnsi"/>
          </w:rPr>
          <w:t xml:space="preserve"> </w:t>
        </w:r>
      </w:hyperlink>
    </w:p>
  </w:footnote>
  <w:footnote w:id="19">
    <w:p w14:paraId="17988D7A" w14:textId="235E28F6" w:rsidR="0051356D" w:rsidRPr="00ED7F8A" w:rsidRDefault="0051356D" w:rsidP="0051356D">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r w:rsidR="00543CDD">
        <w:rPr>
          <w:rFonts w:asciiTheme="minorHAnsi" w:hAnsiTheme="minorHAnsi" w:cstheme="minorHAnsi"/>
        </w:rPr>
        <w:t xml:space="preserve">AAP Journals Blog: </w:t>
      </w:r>
      <w:hyperlink r:id="rId15" w:history="1">
        <w:r w:rsidR="00543CDD" w:rsidRPr="005F5563">
          <w:rPr>
            <w:rStyle w:val="Hyperlink"/>
            <w:rFonts w:asciiTheme="minorHAnsi" w:hAnsiTheme="minorHAnsi" w:cstheme="minorHAnsi"/>
          </w:rPr>
          <w:t>Oral Health Inequities in Children</w:t>
        </w:r>
      </w:hyperlink>
      <w:r w:rsidR="00543CDD">
        <w:rPr>
          <w:rFonts w:asciiTheme="minorHAnsi" w:hAnsiTheme="minorHAnsi" w:cstheme="minorHAnsi"/>
        </w:rPr>
        <w:t>, Am</w:t>
      </w:r>
      <w:r w:rsidR="00CF0822">
        <w:rPr>
          <w:rFonts w:asciiTheme="minorHAnsi" w:hAnsiTheme="minorHAnsi" w:cstheme="minorHAnsi"/>
        </w:rPr>
        <w:t>erican</w:t>
      </w:r>
      <w:r w:rsidR="00543CDD">
        <w:rPr>
          <w:rFonts w:asciiTheme="minorHAnsi" w:hAnsiTheme="minorHAnsi" w:cstheme="minorHAnsi"/>
        </w:rPr>
        <w:t xml:space="preserve"> Academy of Pediatrics (June 9, 2023)</w:t>
      </w:r>
    </w:p>
  </w:footnote>
  <w:footnote w:id="20">
    <w:p w14:paraId="527831B9" w14:textId="086BF9AB" w:rsidR="0051356D" w:rsidRPr="00ED7F8A" w:rsidRDefault="0051356D" w:rsidP="0051356D">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r w:rsidR="00CF0822">
        <w:rPr>
          <w:rFonts w:asciiTheme="minorHAnsi" w:hAnsiTheme="minorHAnsi" w:cstheme="minorHAnsi"/>
        </w:rPr>
        <w:t>“</w:t>
      </w:r>
      <w:hyperlink r:id="rId16" w:history="1">
        <w:r w:rsidR="00CF0822" w:rsidRPr="00374CFA">
          <w:rPr>
            <w:rStyle w:val="Hyperlink"/>
            <w:rFonts w:asciiTheme="minorHAnsi" w:hAnsiTheme="minorHAnsi" w:cstheme="minorHAnsi"/>
          </w:rPr>
          <w:t>Impact of Poor Oral Health on Children’s School Attendance</w:t>
        </w:r>
      </w:hyperlink>
      <w:r w:rsidR="00CF0822">
        <w:rPr>
          <w:rFonts w:asciiTheme="minorHAnsi" w:hAnsiTheme="minorHAnsi" w:cstheme="minorHAnsi"/>
        </w:rPr>
        <w:t>,” Jackson</w:t>
      </w:r>
      <w:r w:rsidR="003C7752">
        <w:rPr>
          <w:rFonts w:asciiTheme="minorHAnsi" w:hAnsiTheme="minorHAnsi" w:cstheme="minorHAnsi"/>
        </w:rPr>
        <w:t xml:space="preserve"> et al.</w:t>
      </w:r>
      <w:r w:rsidR="00CF0822">
        <w:rPr>
          <w:rFonts w:asciiTheme="minorHAnsi" w:hAnsiTheme="minorHAnsi" w:cstheme="minorHAnsi"/>
        </w:rPr>
        <w:t>, American Journal of Public Health (October 2011)</w:t>
      </w:r>
    </w:p>
  </w:footnote>
  <w:footnote w:id="21">
    <w:p w14:paraId="2B17B58B" w14:textId="40E41200" w:rsidR="00EC0237" w:rsidRPr="00ED7F8A" w:rsidRDefault="00EC0237" w:rsidP="00EC0237">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r w:rsidR="003C7752">
        <w:rPr>
          <w:rFonts w:asciiTheme="minorHAnsi" w:hAnsiTheme="minorHAnsi" w:cstheme="minorHAnsi"/>
        </w:rPr>
        <w:t>“</w:t>
      </w:r>
      <w:hyperlink r:id="rId17" w:history="1">
        <w:r w:rsidR="003C7752" w:rsidRPr="00AF3F19">
          <w:rPr>
            <w:rStyle w:val="Hyperlink"/>
            <w:rFonts w:asciiTheme="minorHAnsi" w:hAnsiTheme="minorHAnsi" w:cstheme="minorHAnsi"/>
          </w:rPr>
          <w:t xml:space="preserve">Oral </w:t>
        </w:r>
        <w:r w:rsidR="00CF0822" w:rsidRPr="00AF3F19">
          <w:rPr>
            <w:rStyle w:val="Hyperlink"/>
            <w:rFonts w:asciiTheme="minorHAnsi" w:hAnsiTheme="minorHAnsi" w:cstheme="minorHAnsi"/>
          </w:rPr>
          <w:t>Health Care for Children and Youth with Developmental Disabilities: Clinical Report</w:t>
        </w:r>
      </w:hyperlink>
      <w:r w:rsidR="003C7752">
        <w:rPr>
          <w:rFonts w:asciiTheme="minorHAnsi" w:hAnsiTheme="minorHAnsi" w:cstheme="minorHAnsi"/>
        </w:rPr>
        <w:t>,</w:t>
      </w:r>
      <w:r w:rsidR="00CF0822">
        <w:rPr>
          <w:rFonts w:asciiTheme="minorHAnsi" w:hAnsiTheme="minorHAnsi" w:cstheme="minorHAnsi"/>
        </w:rPr>
        <w:t xml:space="preserve">” </w:t>
      </w:r>
      <w:r w:rsidR="003C7752">
        <w:rPr>
          <w:rFonts w:asciiTheme="minorHAnsi" w:hAnsiTheme="minorHAnsi" w:cstheme="minorHAnsi"/>
        </w:rPr>
        <w:t xml:space="preserve">Sarvas, et al., Section on Oral Health; Council on Children with Disabilities; Section on Anesthesiology and Pain Medicine </w:t>
      </w:r>
      <w:r w:rsidR="00CF0822">
        <w:rPr>
          <w:rFonts w:asciiTheme="minorHAnsi" w:hAnsiTheme="minorHAnsi" w:cstheme="minorHAnsi"/>
        </w:rPr>
        <w:t>(Aug 1, 2014)</w:t>
      </w:r>
      <w:r w:rsidR="00872346" w:rsidRPr="00ED7F8A">
        <w:rPr>
          <w:rFonts w:asciiTheme="minorHAnsi" w:hAnsiTheme="minorHAnsi" w:cstheme="minorHAnsi"/>
        </w:rPr>
        <w:t>; See, also</w:t>
      </w:r>
      <w:r w:rsidR="003C7752">
        <w:rPr>
          <w:rFonts w:asciiTheme="minorHAnsi" w:hAnsiTheme="minorHAnsi" w:cstheme="minorHAnsi"/>
        </w:rPr>
        <w:t xml:space="preserve"> “</w:t>
      </w:r>
      <w:hyperlink r:id="rId18" w:history="1">
        <w:r w:rsidR="003C7752" w:rsidRPr="009F7B44">
          <w:rPr>
            <w:rStyle w:val="Hyperlink"/>
            <w:rFonts w:asciiTheme="minorHAnsi" w:hAnsiTheme="minorHAnsi" w:cstheme="minorHAnsi"/>
          </w:rPr>
          <w:t>Countering Identified Barriers to Delivered Oral Care for Children with Special Healthcare Needs: A Narrative Review</w:t>
        </w:r>
      </w:hyperlink>
      <w:r w:rsidR="003C7752">
        <w:rPr>
          <w:rFonts w:asciiTheme="minorHAnsi" w:hAnsiTheme="minorHAnsi" w:cstheme="minorHAnsi"/>
        </w:rPr>
        <w:t xml:space="preserve">,” </w:t>
      </w:r>
      <w:r w:rsidR="0083682E">
        <w:rPr>
          <w:rFonts w:asciiTheme="minorHAnsi" w:hAnsiTheme="minorHAnsi" w:cstheme="minorHAnsi"/>
        </w:rPr>
        <w:t>Alamri H.</w:t>
      </w:r>
      <w:r w:rsidR="003C7752">
        <w:rPr>
          <w:rFonts w:asciiTheme="minorHAnsi" w:hAnsiTheme="minorHAnsi" w:cstheme="minorHAnsi"/>
        </w:rPr>
        <w:t>, (Aug 23, 2024)</w:t>
      </w:r>
    </w:p>
  </w:footnote>
  <w:footnote w:id="22">
    <w:p w14:paraId="186852E5" w14:textId="1D70CEA3" w:rsidR="00EC0237" w:rsidRPr="00ED7F8A" w:rsidRDefault="00EC0237">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Id. </w:t>
      </w:r>
    </w:p>
  </w:footnote>
  <w:footnote w:id="23">
    <w:p w14:paraId="1E67A8B3" w14:textId="0DF34349" w:rsidR="00EC0237" w:rsidRPr="00ED7F8A" w:rsidRDefault="00EC0237" w:rsidP="00EC0237">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Id.</w:t>
      </w:r>
      <w:r w:rsidR="00872346" w:rsidRPr="00ED7F8A">
        <w:rPr>
          <w:rFonts w:asciiTheme="minorHAnsi" w:hAnsiTheme="minorHAnsi" w:cstheme="minorHAnsi"/>
        </w:rPr>
        <w:t xml:space="preserve">; See also, </w:t>
      </w:r>
      <w:r w:rsidR="006234E8">
        <w:rPr>
          <w:rFonts w:asciiTheme="minorHAnsi" w:hAnsiTheme="minorHAnsi" w:cstheme="minorHAnsi"/>
        </w:rPr>
        <w:t>“</w:t>
      </w:r>
      <w:hyperlink r:id="rId19" w:history="1">
        <w:r w:rsidR="006234E8" w:rsidRPr="004C709D">
          <w:rPr>
            <w:rStyle w:val="Hyperlink"/>
            <w:rFonts w:asciiTheme="minorHAnsi" w:hAnsiTheme="minorHAnsi" w:cstheme="minorHAnsi"/>
          </w:rPr>
          <w:t>Countering Identified Barriers to Delivered Oral Care for Children with Special Healthcare Needs: A Narrative Review</w:t>
        </w:r>
      </w:hyperlink>
      <w:r w:rsidR="006234E8">
        <w:rPr>
          <w:rFonts w:asciiTheme="minorHAnsi" w:hAnsiTheme="minorHAnsi" w:cstheme="minorHAnsi"/>
        </w:rPr>
        <w:t>,” Alamri H., (Aug 23, 2024)</w:t>
      </w:r>
    </w:p>
  </w:footnote>
  <w:footnote w:id="24">
    <w:p w14:paraId="0CF30B85" w14:textId="655476C4" w:rsidR="00773F01" w:rsidRPr="00ED7F8A" w:rsidRDefault="00773F01">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Id.</w:t>
      </w:r>
    </w:p>
  </w:footnote>
  <w:footnote w:id="25">
    <w:p w14:paraId="022A22FA" w14:textId="41404730" w:rsidR="009747AB" w:rsidRPr="00ED7F8A" w:rsidRDefault="009747AB">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Id. </w:t>
      </w:r>
    </w:p>
  </w:footnote>
  <w:footnote w:id="26">
    <w:p w14:paraId="30627298" w14:textId="1AA9E231" w:rsidR="00A86A2B" w:rsidRPr="00BC2E00" w:rsidRDefault="0051356D" w:rsidP="0051356D">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r w:rsidR="00BC2E00">
        <w:rPr>
          <w:rFonts w:asciiTheme="minorHAnsi" w:hAnsiTheme="minorHAnsi" w:cstheme="minorHAnsi"/>
          <w:i/>
          <w:iCs/>
        </w:rPr>
        <w:t>Supra</w:t>
      </w:r>
      <w:r w:rsidR="00BC2E00">
        <w:rPr>
          <w:rFonts w:asciiTheme="minorHAnsi" w:hAnsiTheme="minorHAnsi" w:cstheme="minorHAnsi"/>
        </w:rPr>
        <w:t xml:space="preserve"> note 8</w:t>
      </w:r>
    </w:p>
  </w:footnote>
  <w:footnote w:id="27">
    <w:p w14:paraId="0C1DA788" w14:textId="6EC3C791" w:rsidR="0051356D" w:rsidRPr="00ED7F8A" w:rsidRDefault="0051356D" w:rsidP="0051356D">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r w:rsidR="00FB6AEB">
        <w:rPr>
          <w:rFonts w:asciiTheme="minorHAnsi" w:hAnsiTheme="minorHAnsi" w:cstheme="minorHAnsi"/>
          <w:i/>
          <w:iCs/>
        </w:rPr>
        <w:t xml:space="preserve">Supra </w:t>
      </w:r>
      <w:r w:rsidR="00FB6AEB">
        <w:rPr>
          <w:rFonts w:asciiTheme="minorHAnsi" w:hAnsiTheme="minorHAnsi" w:cstheme="minorHAnsi"/>
        </w:rPr>
        <w:t>note 1; See also</w:t>
      </w:r>
      <w:r w:rsidR="00892C28">
        <w:rPr>
          <w:rFonts w:asciiTheme="minorHAnsi" w:hAnsiTheme="minorHAnsi" w:cstheme="minorHAnsi"/>
        </w:rPr>
        <w:t>,</w:t>
      </w:r>
      <w:r w:rsidR="00FB6AEB">
        <w:rPr>
          <w:rFonts w:asciiTheme="minorHAnsi" w:hAnsiTheme="minorHAnsi" w:cstheme="minorHAnsi"/>
        </w:rPr>
        <w:t xml:space="preserve"> </w:t>
      </w:r>
      <w:r w:rsidR="00892C28" w:rsidRPr="00892C28">
        <w:rPr>
          <w:rFonts w:asciiTheme="minorHAnsi" w:hAnsiTheme="minorHAnsi" w:cstheme="minorHAnsi"/>
          <w:i/>
          <w:iCs/>
        </w:rPr>
        <w:t>supra</w:t>
      </w:r>
      <w:r w:rsidR="00892C28">
        <w:rPr>
          <w:rFonts w:asciiTheme="minorHAnsi" w:hAnsiTheme="minorHAnsi" w:cstheme="minorHAnsi"/>
        </w:rPr>
        <w:t xml:space="preserve"> note 2</w:t>
      </w:r>
    </w:p>
  </w:footnote>
  <w:footnote w:id="28">
    <w:p w14:paraId="0191F878" w14:textId="55F37607" w:rsidR="004B4CCC" w:rsidRPr="00137F09" w:rsidRDefault="004B4CCC">
      <w:pPr>
        <w:pStyle w:val="FootnoteText"/>
        <w:rPr>
          <w:rFonts w:asciiTheme="minorHAnsi" w:hAnsiTheme="minorHAnsi" w:cstheme="minorHAnsi"/>
          <w:highlight w:val="yellow"/>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r w:rsidR="009E5CFC" w:rsidRPr="009E5CFC">
        <w:rPr>
          <w:rFonts w:asciiTheme="minorHAnsi" w:hAnsiTheme="minorHAnsi" w:cstheme="minorHAnsi"/>
          <w:i/>
          <w:iCs/>
        </w:rPr>
        <w:t>Supra</w:t>
      </w:r>
      <w:r w:rsidR="009E5CFC" w:rsidRPr="009E5CFC">
        <w:rPr>
          <w:rFonts w:asciiTheme="minorHAnsi" w:hAnsiTheme="minorHAnsi" w:cstheme="minorHAnsi"/>
        </w:rPr>
        <w:t xml:space="preserve"> note 12, </w:t>
      </w:r>
      <w:r w:rsidR="00796F67">
        <w:rPr>
          <w:rFonts w:asciiTheme="minorHAnsi" w:hAnsiTheme="minorHAnsi" w:cstheme="minorHAnsi"/>
        </w:rPr>
        <w:t xml:space="preserve">Oral Health Commission </w:t>
      </w:r>
      <w:r w:rsidR="009E5CFC" w:rsidRPr="009E5CFC">
        <w:rPr>
          <w:rFonts w:asciiTheme="minorHAnsi" w:hAnsiTheme="minorHAnsi" w:cstheme="minorHAnsi"/>
        </w:rPr>
        <w:t>Subcommittee meeting minutes</w:t>
      </w:r>
    </w:p>
  </w:footnote>
  <w:footnote w:id="29">
    <w:p w14:paraId="68B0CB45" w14:textId="3E536E4C" w:rsidR="0051356D" w:rsidRPr="00ED1112" w:rsidRDefault="0051356D" w:rsidP="0051356D">
      <w:pPr>
        <w:pStyle w:val="FootnoteText"/>
        <w:rPr>
          <w:rFonts w:asciiTheme="minorHAnsi" w:hAnsiTheme="minorHAnsi" w:cstheme="minorHAnsi"/>
        </w:rPr>
      </w:pPr>
      <w:r w:rsidRPr="00ED1112">
        <w:rPr>
          <w:rStyle w:val="FootnoteReference"/>
          <w:rFonts w:asciiTheme="minorHAnsi" w:hAnsiTheme="minorHAnsi" w:cstheme="minorHAnsi"/>
        </w:rPr>
        <w:footnoteRef/>
      </w:r>
      <w:r w:rsidRPr="00ED1112">
        <w:rPr>
          <w:rFonts w:asciiTheme="minorHAnsi" w:hAnsiTheme="minorHAnsi" w:cstheme="minorHAnsi"/>
        </w:rPr>
        <w:t xml:space="preserve"> </w:t>
      </w:r>
      <w:r w:rsidR="00ED1112" w:rsidRPr="00ED1112">
        <w:rPr>
          <w:rFonts w:asciiTheme="minorHAnsi" w:hAnsiTheme="minorHAnsi" w:cstheme="minorHAnsi"/>
        </w:rPr>
        <w:t xml:space="preserve">HPC </w:t>
      </w:r>
      <w:proofErr w:type="spellStart"/>
      <w:r w:rsidR="00ED1112" w:rsidRPr="00ED1112">
        <w:rPr>
          <w:rFonts w:asciiTheme="minorHAnsi" w:hAnsiTheme="minorHAnsi" w:cstheme="minorHAnsi"/>
        </w:rPr>
        <w:t>DataPoints</w:t>
      </w:r>
      <w:proofErr w:type="spellEnd"/>
      <w:r w:rsidR="00ED1112" w:rsidRPr="00ED1112">
        <w:rPr>
          <w:rFonts w:asciiTheme="minorHAnsi" w:hAnsiTheme="minorHAnsi" w:cstheme="minorHAnsi"/>
        </w:rPr>
        <w:t xml:space="preserve">, Issue 20: </w:t>
      </w:r>
      <w:hyperlink r:id="rId20" w:history="1">
        <w:r w:rsidR="00ED1112" w:rsidRPr="0040752A">
          <w:rPr>
            <w:rStyle w:val="Hyperlink"/>
            <w:rFonts w:asciiTheme="minorHAnsi" w:hAnsiTheme="minorHAnsi" w:cstheme="minorHAnsi"/>
          </w:rPr>
          <w:t>Oral Health Access and Equity in the Commonwealth</w:t>
        </w:r>
      </w:hyperlink>
      <w:r w:rsidR="00ED1112" w:rsidRPr="00ED1112">
        <w:rPr>
          <w:rFonts w:asciiTheme="minorHAnsi" w:hAnsiTheme="minorHAnsi" w:cstheme="minorHAnsi"/>
        </w:rPr>
        <w:t>, HPC (July 2021);</w:t>
      </w:r>
    </w:p>
  </w:footnote>
  <w:footnote w:id="30">
    <w:p w14:paraId="3A5219FF" w14:textId="5F5B88C6" w:rsidR="002E6823" w:rsidRPr="00137F09" w:rsidRDefault="002E6823">
      <w:pPr>
        <w:pStyle w:val="FootnoteText"/>
        <w:rPr>
          <w:rFonts w:asciiTheme="minorHAnsi" w:hAnsiTheme="minorHAnsi" w:cstheme="minorHAnsi"/>
          <w:highlight w:val="yellow"/>
        </w:rPr>
      </w:pPr>
      <w:r w:rsidRPr="00ED1112">
        <w:rPr>
          <w:rStyle w:val="FootnoteReference"/>
          <w:rFonts w:asciiTheme="minorHAnsi" w:hAnsiTheme="minorHAnsi" w:cstheme="minorHAnsi"/>
        </w:rPr>
        <w:footnoteRef/>
      </w:r>
      <w:r w:rsidRPr="00ED1112">
        <w:rPr>
          <w:rFonts w:asciiTheme="minorHAnsi" w:hAnsiTheme="minorHAnsi" w:cstheme="minorHAnsi"/>
        </w:rPr>
        <w:t xml:space="preserve"> </w:t>
      </w:r>
      <w:r w:rsidR="00ED1112" w:rsidRPr="00ED1112">
        <w:rPr>
          <w:rFonts w:asciiTheme="minorHAnsi" w:hAnsiTheme="minorHAnsi" w:cstheme="minorHAnsi"/>
        </w:rPr>
        <w:t>Id.</w:t>
      </w:r>
    </w:p>
  </w:footnote>
  <w:footnote w:id="31">
    <w:p w14:paraId="6172FF1D" w14:textId="0874068B" w:rsidR="0051356D" w:rsidRPr="00137F09" w:rsidRDefault="0051356D" w:rsidP="0051356D">
      <w:pPr>
        <w:pStyle w:val="FootnoteText"/>
        <w:rPr>
          <w:rFonts w:asciiTheme="minorHAnsi" w:hAnsiTheme="minorHAnsi" w:cstheme="minorHAnsi"/>
          <w:highlight w:val="yellow"/>
        </w:rPr>
      </w:pPr>
      <w:r w:rsidRPr="00ED1112">
        <w:rPr>
          <w:rStyle w:val="FootnoteReference"/>
          <w:rFonts w:asciiTheme="minorHAnsi" w:hAnsiTheme="minorHAnsi" w:cstheme="minorHAnsi"/>
        </w:rPr>
        <w:footnoteRef/>
      </w:r>
      <w:r w:rsidRPr="00ED1112">
        <w:rPr>
          <w:rFonts w:asciiTheme="minorHAnsi" w:hAnsiTheme="minorHAnsi" w:cstheme="minorHAnsi"/>
        </w:rPr>
        <w:t xml:space="preserve"> </w:t>
      </w:r>
      <w:r w:rsidR="00ED1112" w:rsidRPr="00ED1112">
        <w:rPr>
          <w:rFonts w:asciiTheme="minorHAnsi" w:hAnsiTheme="minorHAnsi" w:cstheme="minorHAnsi"/>
        </w:rPr>
        <w:t xml:space="preserve">MassHealth RFR for a Dental </w:t>
      </w:r>
      <w:proofErr w:type="gramStart"/>
      <w:r w:rsidR="00ED1112" w:rsidRPr="00ED1112">
        <w:rPr>
          <w:rFonts w:asciiTheme="minorHAnsi" w:hAnsiTheme="minorHAnsi" w:cstheme="minorHAnsi"/>
        </w:rPr>
        <w:t>Third Party</w:t>
      </w:r>
      <w:proofErr w:type="gramEnd"/>
      <w:r w:rsidR="00ED1112" w:rsidRPr="00ED1112">
        <w:rPr>
          <w:rFonts w:asciiTheme="minorHAnsi" w:hAnsiTheme="minorHAnsi" w:cstheme="minorHAnsi"/>
        </w:rPr>
        <w:t xml:space="preserve"> Administrator issue date: May 17, 2023 (EHS Docket Number: 24EHSKADENTALTPARFR)</w:t>
      </w:r>
    </w:p>
  </w:footnote>
  <w:footnote w:id="32">
    <w:p w14:paraId="3A026C03" w14:textId="08726AA3" w:rsidR="00A333BA" w:rsidRPr="00ED7F8A" w:rsidRDefault="00A333BA">
      <w:pPr>
        <w:pStyle w:val="FootnoteText"/>
        <w:rPr>
          <w:rFonts w:asciiTheme="minorHAnsi" w:hAnsiTheme="minorHAnsi" w:cstheme="minorHAnsi"/>
        </w:rPr>
      </w:pPr>
      <w:r w:rsidRPr="00764605">
        <w:rPr>
          <w:rStyle w:val="FootnoteReference"/>
          <w:rFonts w:asciiTheme="minorHAnsi" w:hAnsiTheme="minorHAnsi" w:cstheme="minorHAnsi"/>
        </w:rPr>
        <w:footnoteRef/>
      </w:r>
      <w:r w:rsidRPr="00764605">
        <w:rPr>
          <w:rFonts w:asciiTheme="minorHAnsi" w:hAnsiTheme="minorHAnsi" w:cstheme="minorHAnsi"/>
        </w:rPr>
        <w:t xml:space="preserve"> Northeast Dental Anesthesia Associates, McCarthy Anesthesiology, LLC, Pediatric Dental Anesthesia Associates and America Anesthesia Partners.</w:t>
      </w:r>
    </w:p>
    <w:p w14:paraId="36AD3678" w14:textId="77777777" w:rsidR="00B137E5" w:rsidRPr="00ED7F8A" w:rsidRDefault="00B137E5">
      <w:pPr>
        <w:pStyle w:val="FootnoteText"/>
        <w:rPr>
          <w:rFonts w:asciiTheme="minorHAnsi" w:hAnsiTheme="minorHAnsi" w:cstheme="minorHAnsi"/>
        </w:rPr>
      </w:pPr>
    </w:p>
  </w:footnote>
  <w:footnote w:id="33">
    <w:p w14:paraId="138D1691" w14:textId="428E9D71" w:rsidR="005C7CC2" w:rsidRPr="00084EF4" w:rsidRDefault="005C7CC2" w:rsidP="005C7CC2">
      <w:pPr>
        <w:pStyle w:val="FootnoteText"/>
        <w:rPr>
          <w:rFonts w:asciiTheme="minorHAnsi" w:hAnsiTheme="minorHAnsi" w:cstheme="minorHAnsi"/>
        </w:rPr>
      </w:pPr>
      <w:r w:rsidRPr="00084EF4">
        <w:rPr>
          <w:rStyle w:val="FootnoteReference"/>
          <w:rFonts w:asciiTheme="minorHAnsi" w:hAnsiTheme="minorHAnsi" w:cstheme="minorHAnsi"/>
        </w:rPr>
        <w:footnoteRef/>
      </w:r>
      <w:r w:rsidRPr="00084EF4">
        <w:rPr>
          <w:rFonts w:asciiTheme="minorHAnsi" w:hAnsiTheme="minorHAnsi" w:cstheme="minorHAnsi"/>
        </w:rPr>
        <w:t xml:space="preserve"> </w:t>
      </w:r>
      <w:hyperlink r:id="rId21" w:history="1">
        <w:r w:rsidRPr="00003FDE">
          <w:rPr>
            <w:rStyle w:val="Hyperlink"/>
            <w:rFonts w:asciiTheme="minorHAnsi" w:hAnsiTheme="minorHAnsi" w:cstheme="minorHAnsi"/>
          </w:rPr>
          <w:t>Ambulatory Surgery Centers Versus Hospital-Based Outpatient Departments: What’s the Difference?</w:t>
        </w:r>
      </w:hyperlink>
      <w:r w:rsidRPr="00084EF4">
        <w:rPr>
          <w:rFonts w:asciiTheme="minorHAnsi" w:hAnsiTheme="minorHAnsi" w:cstheme="minorHAnsi"/>
        </w:rPr>
        <w:t xml:space="preserve">, </w:t>
      </w:r>
      <w:r w:rsidR="003A522B" w:rsidRPr="00084EF4">
        <w:rPr>
          <w:rFonts w:asciiTheme="minorHAnsi" w:hAnsiTheme="minorHAnsi" w:cstheme="minorHAnsi"/>
        </w:rPr>
        <w:t>American Academy of Orthopedic Surgeons</w:t>
      </w:r>
      <w:r w:rsidR="00084EF4" w:rsidRPr="00084EF4">
        <w:rPr>
          <w:rFonts w:asciiTheme="minorHAnsi" w:hAnsiTheme="minorHAnsi" w:cstheme="minorHAnsi"/>
        </w:rPr>
        <w:t xml:space="preserve"> </w:t>
      </w:r>
      <w:r w:rsidRPr="00084EF4">
        <w:rPr>
          <w:rFonts w:asciiTheme="minorHAnsi" w:hAnsiTheme="minorHAnsi" w:cstheme="minorHAnsi"/>
        </w:rPr>
        <w:t>(last visited May 8, 2026)</w:t>
      </w:r>
      <w:r w:rsidR="0052404E" w:rsidRPr="00084EF4">
        <w:rPr>
          <w:rFonts w:asciiTheme="minorHAnsi" w:hAnsiTheme="minorHAnsi" w:cstheme="minorHAnsi"/>
        </w:rPr>
        <w:t xml:space="preserve">, See also, Kranz AM, Zhao X, Lee J, Whaley C, Munnich EL. Medicaid Payments and Outcomes for Pediatric Dental Surgical Procedures by Site of Care. </w:t>
      </w:r>
      <w:r w:rsidR="0052404E" w:rsidRPr="00084EF4">
        <w:rPr>
          <w:rFonts w:asciiTheme="minorHAnsi" w:hAnsiTheme="minorHAnsi" w:cstheme="minorHAnsi"/>
          <w:i/>
          <w:iCs/>
        </w:rPr>
        <w:t>JAMA Network Open</w:t>
      </w:r>
      <w:r w:rsidR="0052404E" w:rsidRPr="00084EF4">
        <w:rPr>
          <w:rFonts w:asciiTheme="minorHAnsi" w:hAnsiTheme="minorHAnsi" w:cstheme="minorHAnsi"/>
        </w:rPr>
        <w:t>. 2025;8(10</w:t>
      </w:r>
      <w:proofErr w:type="gramStart"/>
      <w:r w:rsidR="0052404E" w:rsidRPr="00084EF4">
        <w:rPr>
          <w:rFonts w:asciiTheme="minorHAnsi" w:hAnsiTheme="minorHAnsi" w:cstheme="minorHAnsi"/>
        </w:rPr>
        <w:t>):e</w:t>
      </w:r>
      <w:proofErr w:type="gramEnd"/>
      <w:r w:rsidR="0052404E" w:rsidRPr="00084EF4">
        <w:rPr>
          <w:rFonts w:asciiTheme="minorHAnsi" w:hAnsiTheme="minorHAnsi" w:cstheme="minorHAnsi"/>
        </w:rPr>
        <w:t xml:space="preserve">2537081. </w:t>
      </w:r>
    </w:p>
  </w:footnote>
  <w:footnote w:id="34">
    <w:p w14:paraId="3BA14570" w14:textId="32812F65" w:rsidR="0052404E" w:rsidRPr="00084EF4" w:rsidRDefault="0052404E">
      <w:pPr>
        <w:pStyle w:val="FootnoteText"/>
        <w:rPr>
          <w:rFonts w:asciiTheme="minorHAnsi" w:hAnsiTheme="minorHAnsi" w:cstheme="minorHAnsi"/>
        </w:rPr>
      </w:pPr>
      <w:r w:rsidRPr="00084EF4">
        <w:rPr>
          <w:rStyle w:val="FootnoteReference"/>
          <w:rFonts w:asciiTheme="minorHAnsi" w:hAnsiTheme="minorHAnsi" w:cstheme="minorHAnsi"/>
        </w:rPr>
        <w:footnoteRef/>
      </w:r>
      <w:r w:rsidRPr="00084EF4">
        <w:rPr>
          <w:rFonts w:asciiTheme="minorHAnsi" w:hAnsiTheme="minorHAnsi" w:cstheme="minorHAnsi"/>
        </w:rPr>
        <w:t xml:space="preserve"> Kranz AM, Zhao X, Lee J, Whaley C, Munnich EL. Medicaid Payments and Outcomes for Pediatric Dental Surgical Procedures by Site of Care. JAMA Network Open. 2025;8(10</w:t>
      </w:r>
      <w:proofErr w:type="gramStart"/>
      <w:r w:rsidRPr="00084EF4">
        <w:rPr>
          <w:rFonts w:asciiTheme="minorHAnsi" w:hAnsiTheme="minorHAnsi" w:cstheme="minorHAnsi"/>
        </w:rPr>
        <w:t>):e</w:t>
      </w:r>
      <w:proofErr w:type="gramEnd"/>
      <w:r w:rsidRPr="00084EF4">
        <w:rPr>
          <w:rFonts w:asciiTheme="minorHAnsi" w:hAnsiTheme="minorHAnsi" w:cstheme="minorHAnsi"/>
        </w:rPr>
        <w:t xml:space="preserve">2537081. </w:t>
      </w:r>
    </w:p>
  </w:footnote>
  <w:footnote w:id="35">
    <w:p w14:paraId="771CB0DD" w14:textId="3A18C5E0" w:rsidR="002638F7" w:rsidRPr="00084EF4" w:rsidRDefault="002638F7" w:rsidP="00CF0822">
      <w:pPr>
        <w:pStyle w:val="BodyText"/>
        <w:rPr>
          <w:rFonts w:asciiTheme="minorHAnsi" w:hAnsiTheme="minorHAnsi" w:cstheme="minorHAnsi"/>
          <w:sz w:val="20"/>
          <w:szCs w:val="20"/>
        </w:rPr>
      </w:pPr>
      <w:r w:rsidRPr="00084EF4">
        <w:rPr>
          <w:rStyle w:val="FootnoteReference"/>
          <w:rFonts w:asciiTheme="minorHAnsi" w:hAnsiTheme="minorHAnsi" w:cstheme="minorHAnsi"/>
          <w:sz w:val="20"/>
          <w:szCs w:val="20"/>
        </w:rPr>
        <w:footnoteRef/>
      </w:r>
      <w:r w:rsidRPr="00084EF4">
        <w:rPr>
          <w:rFonts w:asciiTheme="minorHAnsi" w:hAnsiTheme="minorHAnsi" w:cstheme="minorHAnsi"/>
          <w:sz w:val="20"/>
          <w:szCs w:val="20"/>
        </w:rPr>
        <w:t xml:space="preserve"> </w:t>
      </w:r>
      <w:r w:rsidR="00D2605D">
        <w:rPr>
          <w:rFonts w:asciiTheme="minorHAnsi" w:hAnsiTheme="minorHAnsi" w:cstheme="minorHAnsi"/>
          <w:i/>
          <w:iCs/>
          <w:sz w:val="20"/>
          <w:szCs w:val="20"/>
        </w:rPr>
        <w:t>Supra</w:t>
      </w:r>
      <w:r w:rsidR="00D2605D">
        <w:rPr>
          <w:rFonts w:asciiTheme="minorHAnsi" w:hAnsiTheme="minorHAnsi" w:cstheme="minorHAnsi"/>
          <w:sz w:val="20"/>
          <w:szCs w:val="20"/>
        </w:rPr>
        <w:t xml:space="preserve">, note 1 </w:t>
      </w:r>
      <w:r w:rsidR="00CF0822" w:rsidRPr="00084EF4">
        <w:rPr>
          <w:rFonts w:asciiTheme="minorHAnsi" w:hAnsiTheme="minorHAnsi" w:cstheme="minorHAnsi"/>
          <w:sz w:val="20"/>
          <w:szCs w:val="20"/>
        </w:rPr>
        <w:t>(updating the June 2023 findings that Massachusetts has the six fewest ASCs per capita among all states),</w:t>
      </w:r>
    </w:p>
  </w:footnote>
  <w:footnote w:id="36">
    <w:p w14:paraId="22BA0EF0" w14:textId="44421137" w:rsidR="002638F7" w:rsidRPr="00084EF4" w:rsidRDefault="002638F7" w:rsidP="002638F7">
      <w:pPr>
        <w:pStyle w:val="BodyText"/>
        <w:rPr>
          <w:rFonts w:asciiTheme="minorHAnsi" w:hAnsiTheme="minorHAnsi" w:cstheme="minorHAnsi"/>
          <w:spacing w:val="-2"/>
          <w:sz w:val="20"/>
          <w:szCs w:val="20"/>
        </w:rPr>
      </w:pPr>
      <w:r w:rsidRPr="00084EF4">
        <w:rPr>
          <w:rStyle w:val="FootnoteReference"/>
          <w:rFonts w:asciiTheme="minorHAnsi" w:hAnsiTheme="minorHAnsi" w:cstheme="minorHAnsi"/>
          <w:sz w:val="20"/>
          <w:szCs w:val="20"/>
        </w:rPr>
        <w:footnoteRef/>
      </w:r>
      <w:r w:rsidRPr="00084EF4">
        <w:rPr>
          <w:rFonts w:asciiTheme="minorHAnsi" w:hAnsiTheme="minorHAnsi" w:cstheme="minorHAnsi"/>
          <w:sz w:val="20"/>
          <w:szCs w:val="20"/>
        </w:rPr>
        <w:t xml:space="preserve"> </w:t>
      </w:r>
      <w:r w:rsidRPr="00084EF4">
        <w:rPr>
          <w:rFonts w:asciiTheme="minorHAnsi" w:hAnsiTheme="minorHAnsi" w:cstheme="minorHAnsi"/>
          <w:i/>
          <w:sz w:val="20"/>
          <w:szCs w:val="20"/>
        </w:rPr>
        <w:t xml:space="preserve">See, </w:t>
      </w:r>
      <w:hyperlink r:id="rId22" w:history="1">
        <w:r w:rsidRPr="00772AC4">
          <w:rPr>
            <w:rStyle w:val="Hyperlink"/>
            <w:rFonts w:asciiTheme="minorHAnsi" w:hAnsiTheme="minorHAnsi" w:cstheme="minorHAnsi"/>
            <w:i/>
            <w:sz w:val="20"/>
            <w:szCs w:val="20"/>
          </w:rPr>
          <w:t>2023 Annual Health Care Cost Trends Report and Policy Recommendations</w:t>
        </w:r>
        <w:r w:rsidRPr="00772AC4">
          <w:rPr>
            <w:rStyle w:val="Hyperlink"/>
            <w:rFonts w:asciiTheme="minorHAnsi" w:hAnsiTheme="minorHAnsi" w:cstheme="minorHAnsi"/>
            <w:sz w:val="20"/>
            <w:szCs w:val="20"/>
          </w:rPr>
          <w:t xml:space="preserve"> </w:t>
        </w:r>
      </w:hyperlink>
      <w:r w:rsidRPr="00084EF4">
        <w:rPr>
          <w:rFonts w:asciiTheme="minorHAnsi" w:hAnsiTheme="minorHAnsi" w:cstheme="minorHAnsi"/>
          <w:sz w:val="20"/>
          <w:szCs w:val="20"/>
        </w:rPr>
        <w:t xml:space="preserve">28, </w:t>
      </w:r>
      <w:r w:rsidRPr="00084EF4">
        <w:rPr>
          <w:rFonts w:asciiTheme="minorHAnsi" w:hAnsiTheme="minorHAnsi" w:cstheme="minorHAnsi"/>
          <w:smallCaps/>
          <w:sz w:val="20"/>
          <w:szCs w:val="20"/>
        </w:rPr>
        <w:t>HPC</w:t>
      </w:r>
      <w:r w:rsidRPr="00084EF4">
        <w:rPr>
          <w:rFonts w:asciiTheme="minorHAnsi" w:hAnsiTheme="minorHAnsi" w:cstheme="minorHAnsi"/>
          <w:sz w:val="20"/>
          <w:szCs w:val="20"/>
        </w:rPr>
        <w:t xml:space="preserve"> (Sep. 2023) (finding that most prices for most ambulatory services provided in HOPDs typically exceeded the Medicare-based benchmark, most care delivered in HOPDs can be safely provided in ASCs, and that </w:t>
      </w:r>
      <w:bookmarkStart w:id="0" w:name="Exhibit_4.1._Percentage_of_Original_Medi"/>
      <w:bookmarkStart w:id="1" w:name="_bookmark0"/>
      <w:bookmarkEnd w:id="0"/>
      <w:bookmarkEnd w:id="1"/>
      <w:r w:rsidRPr="00084EF4">
        <w:rPr>
          <w:rFonts w:asciiTheme="minorHAnsi" w:hAnsiTheme="minorHAnsi" w:cstheme="minorHAnsi"/>
          <w:sz w:val="20"/>
          <w:szCs w:val="20"/>
        </w:rPr>
        <w:t>payments for ASCs are typically lower than for hospitals for the same procedure</w:t>
      </w:r>
      <w:r w:rsidRPr="00084EF4">
        <w:rPr>
          <w:rFonts w:asciiTheme="minorHAnsi" w:hAnsiTheme="minorHAnsi" w:cstheme="minorHAnsi"/>
          <w:spacing w:val="-2"/>
          <w:sz w:val="20"/>
          <w:szCs w:val="20"/>
        </w:rPr>
        <w:t xml:space="preserve">).  </w:t>
      </w:r>
    </w:p>
  </w:footnote>
  <w:footnote w:id="37">
    <w:p w14:paraId="56DBE261" w14:textId="62BF3EB6" w:rsidR="002638F7" w:rsidRPr="00BC2E00" w:rsidRDefault="002638F7" w:rsidP="002638F7">
      <w:pPr>
        <w:pStyle w:val="BodyText"/>
        <w:rPr>
          <w:rFonts w:asciiTheme="minorHAnsi" w:hAnsiTheme="minorHAnsi" w:cstheme="minorHAnsi"/>
          <w:color w:val="0000FF" w:themeColor="hyperlink"/>
          <w:sz w:val="20"/>
          <w:szCs w:val="20"/>
          <w:u w:val="single"/>
        </w:rPr>
      </w:pPr>
      <w:r w:rsidRPr="00084EF4">
        <w:rPr>
          <w:rStyle w:val="FootnoteReference"/>
          <w:rFonts w:asciiTheme="minorHAnsi" w:hAnsiTheme="minorHAnsi" w:cstheme="minorHAnsi"/>
          <w:sz w:val="20"/>
          <w:szCs w:val="20"/>
        </w:rPr>
        <w:footnoteRef/>
      </w:r>
      <w:r w:rsidRPr="00084EF4">
        <w:rPr>
          <w:rFonts w:asciiTheme="minorHAnsi" w:hAnsiTheme="minorHAnsi" w:cstheme="minorHAnsi"/>
          <w:sz w:val="20"/>
          <w:szCs w:val="20"/>
        </w:rPr>
        <w:t xml:space="preserve"> </w:t>
      </w:r>
      <w:hyperlink r:id="rId23" w:history="1">
        <w:r w:rsidR="00E61502" w:rsidRPr="00772AC4">
          <w:rPr>
            <w:rStyle w:val="Hyperlink"/>
            <w:rFonts w:asciiTheme="minorHAnsi" w:hAnsiTheme="minorHAnsi" w:cstheme="minorHAnsi"/>
            <w:sz w:val="20"/>
            <w:szCs w:val="20"/>
          </w:rPr>
          <w:t xml:space="preserve">Proposed Revisions of the Determination of Need Regulations </w:t>
        </w:r>
      </w:hyperlink>
      <w:r w:rsidR="00E61502" w:rsidRPr="00084EF4">
        <w:rPr>
          <w:rFonts w:asciiTheme="minorHAnsi" w:hAnsiTheme="minorHAnsi" w:cstheme="minorHAnsi"/>
          <w:sz w:val="20"/>
          <w:szCs w:val="20"/>
        </w:rPr>
        <w:t xml:space="preserve">105 CMR 100.100, </w:t>
      </w:r>
      <w:r w:rsidR="00790645" w:rsidRPr="00084EF4">
        <w:rPr>
          <w:rFonts w:asciiTheme="minorHAnsi" w:hAnsiTheme="minorHAnsi" w:cstheme="minorHAnsi"/>
          <w:sz w:val="20"/>
          <w:szCs w:val="20"/>
        </w:rPr>
        <w:t>Mass</w:t>
      </w:r>
      <w:r w:rsidR="00E61502" w:rsidRPr="00084EF4">
        <w:rPr>
          <w:rFonts w:asciiTheme="minorHAnsi" w:hAnsiTheme="minorHAnsi" w:cstheme="minorHAnsi"/>
          <w:sz w:val="20"/>
          <w:szCs w:val="20"/>
        </w:rPr>
        <w:t>. DPH (Aug. 23, 2016) (DPH recognized that the moratorium contributed to the current market’s imbalance among provider</w:t>
      </w:r>
      <w:r w:rsidR="00BC2E00">
        <w:rPr>
          <w:rFonts w:asciiTheme="minorHAnsi" w:hAnsiTheme="minorHAnsi" w:cstheme="minorHAnsi"/>
          <w:color w:val="0000FF" w:themeColor="hyperlink"/>
          <w:sz w:val="20"/>
          <w:szCs w:val="20"/>
        </w:rPr>
        <w:t xml:space="preserve"> </w:t>
      </w:r>
      <w:r w:rsidR="00E61502" w:rsidRPr="00084EF4">
        <w:rPr>
          <w:rFonts w:asciiTheme="minorHAnsi" w:hAnsiTheme="minorHAnsi" w:cstheme="minorHAnsi"/>
          <w:sz w:val="20"/>
          <w:szCs w:val="20"/>
        </w:rPr>
        <w:t>types and identified the need for controlled expansion of ASCs to im</w:t>
      </w:r>
      <w:r w:rsidR="00084EF4" w:rsidRPr="00084EF4">
        <w:rPr>
          <w:rFonts w:asciiTheme="minorHAnsi" w:hAnsiTheme="minorHAnsi" w:cstheme="minorHAnsi"/>
          <w:sz w:val="20"/>
          <w:szCs w:val="20"/>
        </w:rPr>
        <w:t>p</w:t>
      </w:r>
      <w:r w:rsidR="00E61502" w:rsidRPr="00084EF4">
        <w:rPr>
          <w:rFonts w:asciiTheme="minorHAnsi" w:hAnsiTheme="minorHAnsi" w:cstheme="minorHAnsi"/>
          <w:sz w:val="20"/>
          <w:szCs w:val="20"/>
        </w:rPr>
        <w:t>rove hospital sustainability, whiling ensuring</w:t>
      </w:r>
      <w:r w:rsidR="00BC2E00">
        <w:rPr>
          <w:rFonts w:asciiTheme="minorHAnsi" w:hAnsiTheme="minorHAnsi" w:cstheme="minorHAnsi"/>
          <w:color w:val="0000FF" w:themeColor="hyperlink"/>
          <w:sz w:val="20"/>
          <w:szCs w:val="20"/>
          <w:u w:val="single"/>
        </w:rPr>
        <w:t xml:space="preserve"> </w:t>
      </w:r>
      <w:r w:rsidR="00E61502" w:rsidRPr="00084EF4">
        <w:rPr>
          <w:rFonts w:asciiTheme="minorHAnsi" w:hAnsiTheme="minorHAnsi" w:cstheme="minorHAnsi"/>
          <w:sz w:val="20"/>
          <w:szCs w:val="20"/>
        </w:rPr>
        <w:t>growth in low-cost settings without impacts to quality of care).</w:t>
      </w:r>
    </w:p>
  </w:footnote>
  <w:footnote w:id="38">
    <w:p w14:paraId="4C88913C" w14:textId="63BE4850" w:rsidR="002638F7" w:rsidRPr="00ED7F8A" w:rsidRDefault="002638F7" w:rsidP="002638F7">
      <w:pPr>
        <w:pStyle w:val="BodyText"/>
        <w:rPr>
          <w:rFonts w:asciiTheme="minorHAnsi" w:hAnsiTheme="minorHAnsi" w:cstheme="minorHAnsi"/>
        </w:rPr>
      </w:pPr>
      <w:r w:rsidRPr="00084EF4">
        <w:rPr>
          <w:rStyle w:val="FootnoteReference"/>
          <w:rFonts w:asciiTheme="minorHAnsi" w:hAnsiTheme="minorHAnsi" w:cstheme="minorHAnsi"/>
          <w:sz w:val="20"/>
          <w:szCs w:val="20"/>
        </w:rPr>
        <w:footnoteRef/>
      </w:r>
      <w:r w:rsidRPr="00084EF4">
        <w:rPr>
          <w:rFonts w:asciiTheme="minorHAnsi" w:hAnsiTheme="minorHAnsi" w:cstheme="minorHAnsi"/>
          <w:sz w:val="20"/>
          <w:szCs w:val="20"/>
        </w:rPr>
        <w:t xml:space="preserve"> </w:t>
      </w:r>
      <w:r w:rsidR="00D408C3" w:rsidRPr="00D408C3">
        <w:rPr>
          <w:rFonts w:asciiTheme="minorHAnsi" w:hAnsiTheme="minorHAnsi" w:cstheme="minorHAnsi"/>
          <w:sz w:val="20"/>
          <w:szCs w:val="20"/>
        </w:rPr>
        <w:t>The Medicare Payment Advisory Commission</w:t>
      </w:r>
      <w:r w:rsidRPr="00D408C3">
        <w:rPr>
          <w:rFonts w:asciiTheme="minorHAnsi" w:hAnsiTheme="minorHAnsi" w:cstheme="minorHAnsi"/>
          <w:sz w:val="20"/>
          <w:szCs w:val="20"/>
        </w:rPr>
        <w:t xml:space="preserve">, March 2022 </w:t>
      </w:r>
      <w:hyperlink r:id="rId24" w:history="1">
        <w:r w:rsidRPr="002E3DFD">
          <w:rPr>
            <w:rStyle w:val="Hyperlink"/>
            <w:rFonts w:asciiTheme="minorHAnsi" w:hAnsiTheme="minorHAnsi" w:cstheme="minorHAnsi"/>
            <w:sz w:val="20"/>
            <w:szCs w:val="20"/>
          </w:rPr>
          <w:t>Report to the Congress: Medicare Payment Policy, Chapter 5: Ambulatory Surgical Center Service</w:t>
        </w:r>
      </w:hyperlink>
      <w:r w:rsidRPr="00084EF4">
        <w:rPr>
          <w:rFonts w:asciiTheme="minorHAnsi" w:hAnsiTheme="minorHAnsi" w:cstheme="minorHAnsi"/>
          <w:smallCaps/>
          <w:sz w:val="20"/>
          <w:szCs w:val="20"/>
        </w:rPr>
        <w:t xml:space="preserve"> 168</w:t>
      </w:r>
      <w:r w:rsidRPr="00084EF4">
        <w:rPr>
          <w:rFonts w:asciiTheme="minorHAnsi" w:hAnsiTheme="minorHAnsi" w:cstheme="minorHAnsi"/>
          <w:sz w:val="20"/>
          <w:szCs w:val="20"/>
        </w:rPr>
        <w:t xml:space="preserve"> (Mar. 15, 2022) (“evidence suggests that ASCs are a lower-cost setting than HOPDs. Studies that used data from the National Survey of Ambulatory Surgery found that the average length of time for ambulatory surgical visits for Medicare patients was 25 percent to 39 percent shorter in ASCs than in HOPDs, which likely contributes to lower costs in ASCs” (citing Hair et al. 2012, Munnich and Parente 2014)); </w:t>
      </w:r>
      <w:r w:rsidRPr="00941825">
        <w:rPr>
          <w:rFonts w:asciiTheme="minorHAnsi" w:hAnsiTheme="minorHAnsi" w:cstheme="minorHAnsi"/>
          <w:i/>
          <w:sz w:val="20"/>
          <w:szCs w:val="20"/>
        </w:rPr>
        <w:t>See also</w:t>
      </w:r>
      <w:r w:rsidRPr="00941825">
        <w:rPr>
          <w:rFonts w:asciiTheme="minorHAnsi" w:hAnsiTheme="minorHAnsi" w:cstheme="minorHAnsi"/>
          <w:sz w:val="20"/>
          <w:szCs w:val="20"/>
        </w:rPr>
        <w:t xml:space="preserve">, </w:t>
      </w:r>
      <w:r w:rsidRPr="00941825">
        <w:rPr>
          <w:rFonts w:asciiTheme="minorHAnsi" w:hAnsiTheme="minorHAnsi" w:cstheme="minorHAnsi"/>
          <w:i/>
          <w:sz w:val="20"/>
          <w:szCs w:val="20"/>
        </w:rPr>
        <w:t>supra</w:t>
      </w:r>
      <w:r w:rsidRPr="00941825">
        <w:rPr>
          <w:rFonts w:asciiTheme="minorHAnsi" w:hAnsiTheme="minorHAnsi" w:cstheme="minorHAnsi"/>
          <w:sz w:val="20"/>
          <w:szCs w:val="20"/>
        </w:rPr>
        <w:t xml:space="preserve">, note </w:t>
      </w:r>
      <w:r w:rsidR="00E61502" w:rsidRPr="00941825">
        <w:rPr>
          <w:rFonts w:asciiTheme="minorHAnsi" w:hAnsiTheme="minorHAnsi" w:cstheme="minorHAnsi"/>
          <w:sz w:val="20"/>
          <w:szCs w:val="20"/>
        </w:rPr>
        <w:t>23</w:t>
      </w:r>
      <w:r w:rsidRPr="00941825">
        <w:rPr>
          <w:rFonts w:asciiTheme="minorHAnsi" w:hAnsiTheme="minorHAnsi" w:cstheme="minorHAnsi"/>
          <w:sz w:val="20"/>
          <w:szCs w:val="20"/>
        </w:rPr>
        <w:t xml:space="preserve"> HPC </w:t>
      </w:r>
      <w:proofErr w:type="spellStart"/>
      <w:r w:rsidRPr="00941825">
        <w:rPr>
          <w:rFonts w:asciiTheme="minorHAnsi" w:hAnsiTheme="minorHAnsi" w:cstheme="minorHAnsi"/>
          <w:sz w:val="20"/>
          <w:szCs w:val="20"/>
        </w:rPr>
        <w:t>DataPoint</w:t>
      </w:r>
      <w:r w:rsidR="00E61502" w:rsidRPr="00941825">
        <w:rPr>
          <w:rFonts w:asciiTheme="minorHAnsi" w:hAnsiTheme="minorHAnsi" w:cstheme="minorHAnsi"/>
          <w:sz w:val="20"/>
          <w:szCs w:val="20"/>
        </w:rPr>
        <w:t>s</w:t>
      </w:r>
      <w:proofErr w:type="spellEnd"/>
      <w:r w:rsidRPr="00941825">
        <w:rPr>
          <w:rFonts w:asciiTheme="minorHAnsi" w:hAnsiTheme="minorHAnsi" w:cstheme="minorHAnsi"/>
        </w:rPr>
        <w:t>.</w:t>
      </w:r>
    </w:p>
  </w:footnote>
  <w:footnote w:id="39">
    <w:p w14:paraId="73FDE3F2" w14:textId="03C164D1" w:rsidR="00266A51" w:rsidRPr="00084EF4" w:rsidRDefault="00E74528">
      <w:pPr>
        <w:pStyle w:val="FootnoteText"/>
        <w:rPr>
          <w:rFonts w:asciiTheme="minorHAnsi" w:hAnsiTheme="minorHAnsi" w:cstheme="minorHAnsi"/>
        </w:rPr>
      </w:pPr>
      <w:r w:rsidRPr="00084EF4">
        <w:rPr>
          <w:rStyle w:val="FootnoteReference"/>
          <w:rFonts w:asciiTheme="minorHAnsi" w:hAnsiTheme="minorHAnsi" w:cstheme="minorHAnsi"/>
        </w:rPr>
        <w:footnoteRef/>
      </w:r>
      <w:r w:rsidRPr="00084EF4">
        <w:rPr>
          <w:rFonts w:asciiTheme="minorHAnsi" w:hAnsiTheme="minorHAnsi" w:cstheme="minorHAnsi"/>
          <w:lang w:val="fr-FR"/>
        </w:rPr>
        <w:t xml:space="preserve"> Douglas P, Sheller B, Nelson T, et al. </w:t>
      </w:r>
      <w:r w:rsidRPr="00084EF4">
        <w:rPr>
          <w:rFonts w:asciiTheme="minorHAnsi" w:hAnsiTheme="minorHAnsi" w:cstheme="minorHAnsi"/>
        </w:rPr>
        <w:t>Comparison of Pediatric Dentistry Under General Anesthesia in a Surgery Center vs a Hospital Operating Room. Anesthesia Progress. 2022;69(4).</w:t>
      </w:r>
      <w:r w:rsidR="00266A51" w:rsidRPr="00084EF4">
        <w:rPr>
          <w:rFonts w:asciiTheme="minorHAnsi" w:hAnsiTheme="minorHAnsi" w:cstheme="minorHAnsi"/>
        </w:rPr>
        <w:t xml:space="preserve">; See also, </w:t>
      </w:r>
      <w:proofErr w:type="spellStart"/>
      <w:r w:rsidR="00266A51" w:rsidRPr="00084EF4">
        <w:rPr>
          <w:rFonts w:asciiTheme="minorHAnsi" w:hAnsiTheme="minorHAnsi" w:cstheme="minorHAnsi"/>
        </w:rPr>
        <w:t>Rancaño</w:t>
      </w:r>
      <w:proofErr w:type="spellEnd"/>
      <w:r w:rsidR="00266A51" w:rsidRPr="00084EF4">
        <w:rPr>
          <w:rFonts w:asciiTheme="minorHAnsi" w:hAnsiTheme="minorHAnsi" w:cstheme="minorHAnsi"/>
        </w:rPr>
        <w:t xml:space="preserve"> KM, Kranz AM, et al. Dental Surgeries in Hospitals and Surgery Centers for Children </w:t>
      </w:r>
      <w:proofErr w:type="gramStart"/>
      <w:r w:rsidR="00266A51" w:rsidRPr="00084EF4">
        <w:rPr>
          <w:rFonts w:asciiTheme="minorHAnsi" w:hAnsiTheme="minorHAnsi" w:cstheme="minorHAnsi"/>
        </w:rPr>
        <w:t>With</w:t>
      </w:r>
      <w:proofErr w:type="gramEnd"/>
      <w:r w:rsidR="00266A51" w:rsidRPr="00084EF4">
        <w:rPr>
          <w:rFonts w:asciiTheme="minorHAnsi" w:hAnsiTheme="minorHAnsi" w:cstheme="minorHAnsi"/>
        </w:rPr>
        <w:t xml:space="preserve"> Intellectual and Developmental Disabilities and Autism. Hospital Pediatrics. 2026.</w:t>
      </w:r>
    </w:p>
  </w:footnote>
  <w:footnote w:id="40">
    <w:p w14:paraId="0F46C43A" w14:textId="69329EFE" w:rsidR="0052404E" w:rsidRPr="00084EF4" w:rsidRDefault="0052404E">
      <w:pPr>
        <w:pStyle w:val="FootnoteText"/>
        <w:rPr>
          <w:rFonts w:asciiTheme="minorHAnsi" w:hAnsiTheme="minorHAnsi" w:cstheme="minorHAnsi"/>
        </w:rPr>
      </w:pPr>
      <w:r w:rsidRPr="00084EF4">
        <w:rPr>
          <w:rStyle w:val="FootnoteReference"/>
          <w:rFonts w:asciiTheme="minorHAnsi" w:hAnsiTheme="minorHAnsi" w:cstheme="minorHAnsi"/>
        </w:rPr>
        <w:footnoteRef/>
      </w:r>
      <w:r w:rsidRPr="00084EF4">
        <w:rPr>
          <w:rFonts w:asciiTheme="minorHAnsi" w:hAnsiTheme="minorHAnsi" w:cstheme="minorHAnsi"/>
        </w:rPr>
        <w:t xml:space="preserve"> Id. </w:t>
      </w:r>
    </w:p>
  </w:footnote>
  <w:footnote w:id="41">
    <w:p w14:paraId="3090A117" w14:textId="76CCB304" w:rsidR="0051356D" w:rsidRPr="00084EF4" w:rsidRDefault="0051356D" w:rsidP="0051356D">
      <w:pPr>
        <w:pStyle w:val="FootnoteText"/>
        <w:rPr>
          <w:rFonts w:asciiTheme="minorHAnsi" w:hAnsiTheme="minorHAnsi" w:cstheme="minorHAnsi"/>
        </w:rPr>
      </w:pPr>
      <w:r w:rsidRPr="00084EF4">
        <w:rPr>
          <w:rStyle w:val="FootnoteReference"/>
          <w:rFonts w:asciiTheme="minorHAnsi" w:hAnsiTheme="minorHAnsi" w:cstheme="minorHAnsi"/>
        </w:rPr>
        <w:footnoteRef/>
      </w:r>
      <w:r w:rsidRPr="00084EF4">
        <w:rPr>
          <w:rFonts w:asciiTheme="minorHAnsi" w:hAnsiTheme="minorHAnsi" w:cstheme="minorHAnsi"/>
        </w:rPr>
        <w:t xml:space="preserve"> </w:t>
      </w:r>
      <w:r w:rsidR="00D2605D">
        <w:rPr>
          <w:rFonts w:asciiTheme="minorHAnsi" w:hAnsiTheme="minorHAnsi" w:cstheme="minorHAnsi"/>
          <w:i/>
          <w:iCs/>
        </w:rPr>
        <w:t>Supra</w:t>
      </w:r>
      <w:r w:rsidR="00D2605D">
        <w:rPr>
          <w:rFonts w:asciiTheme="minorHAnsi" w:hAnsiTheme="minorHAnsi" w:cstheme="minorHAnsi"/>
        </w:rPr>
        <w:t xml:space="preserve"> note 29</w:t>
      </w:r>
      <w:r w:rsidR="00536975">
        <w:rPr>
          <w:rFonts w:asciiTheme="minorHAnsi" w:hAnsiTheme="minorHAnsi" w:cstheme="minorHAnsi"/>
        </w:rPr>
        <w:t xml:space="preserve">; </w:t>
      </w:r>
      <w:r w:rsidR="006234E8" w:rsidRPr="00084EF4">
        <w:rPr>
          <w:rFonts w:asciiTheme="minorHAnsi" w:hAnsiTheme="minorHAnsi" w:cstheme="minorHAnsi"/>
        </w:rPr>
        <w:t>See also “</w:t>
      </w:r>
      <w:hyperlink r:id="rId25" w:history="1">
        <w:r w:rsidR="006234E8" w:rsidRPr="007A1045">
          <w:rPr>
            <w:rStyle w:val="Hyperlink"/>
            <w:rFonts w:asciiTheme="minorHAnsi" w:hAnsiTheme="minorHAnsi" w:cstheme="minorHAnsi"/>
          </w:rPr>
          <w:t>Access to Dental Care in Medicaid: Spotlight on Nonelderly Adults</w:t>
        </w:r>
      </w:hyperlink>
      <w:r w:rsidR="006234E8" w:rsidRPr="00084EF4">
        <w:rPr>
          <w:rFonts w:asciiTheme="minorHAnsi" w:hAnsiTheme="minorHAnsi" w:cstheme="minorHAnsi"/>
        </w:rPr>
        <w:t>,” Hinton E, Paradise J., Kaiser Family Foundation. (March 2016)</w:t>
      </w:r>
    </w:p>
  </w:footnote>
  <w:footnote w:id="42">
    <w:p w14:paraId="56115B9A" w14:textId="0AFA1D2D" w:rsidR="0051356D" w:rsidRPr="00F62038" w:rsidRDefault="0051356D" w:rsidP="0051356D">
      <w:pPr>
        <w:pStyle w:val="FootnoteText"/>
        <w:rPr>
          <w:rFonts w:asciiTheme="minorHAnsi" w:hAnsiTheme="minorHAnsi" w:cstheme="minorHAnsi"/>
          <w:b/>
          <w:bCs/>
          <w:lang w:val="it-IT"/>
        </w:rPr>
      </w:pPr>
      <w:r w:rsidRPr="00084EF4">
        <w:rPr>
          <w:rStyle w:val="FootnoteReference"/>
          <w:rFonts w:asciiTheme="minorHAnsi" w:hAnsiTheme="minorHAnsi" w:cstheme="minorHAnsi"/>
        </w:rPr>
        <w:footnoteRef/>
      </w:r>
      <w:r w:rsidRPr="00F62038">
        <w:rPr>
          <w:rFonts w:asciiTheme="minorHAnsi" w:hAnsiTheme="minorHAnsi" w:cstheme="minorHAnsi"/>
          <w:lang w:val="it-IT"/>
        </w:rPr>
        <w:t xml:space="preserve"> </w:t>
      </w:r>
      <w:r w:rsidR="00892C28" w:rsidRPr="00F62038">
        <w:rPr>
          <w:rFonts w:asciiTheme="minorHAnsi" w:hAnsiTheme="minorHAnsi" w:cstheme="minorHAnsi"/>
          <w:i/>
          <w:iCs/>
          <w:lang w:val="it-IT"/>
        </w:rPr>
        <w:t>Supra</w:t>
      </w:r>
      <w:r w:rsidR="00892C28" w:rsidRPr="00F62038">
        <w:rPr>
          <w:rFonts w:asciiTheme="minorHAnsi" w:hAnsiTheme="minorHAnsi" w:cstheme="minorHAnsi"/>
          <w:lang w:val="it-IT"/>
        </w:rPr>
        <w:t xml:space="preserve"> note </w:t>
      </w:r>
      <w:r w:rsidR="00536975" w:rsidRPr="00F62038">
        <w:rPr>
          <w:rFonts w:asciiTheme="minorHAnsi" w:hAnsiTheme="minorHAnsi" w:cstheme="minorHAnsi"/>
          <w:lang w:val="it-IT"/>
        </w:rPr>
        <w:t>29</w:t>
      </w:r>
    </w:p>
  </w:footnote>
  <w:footnote w:id="43">
    <w:p w14:paraId="3FE6D5EB" w14:textId="41C7E155" w:rsidR="00FB1259" w:rsidRPr="00F62038" w:rsidRDefault="00FB1259">
      <w:pPr>
        <w:pStyle w:val="FootnoteText"/>
        <w:rPr>
          <w:rFonts w:asciiTheme="minorHAnsi" w:hAnsiTheme="minorHAnsi" w:cstheme="minorHAnsi"/>
          <w:lang w:val="it-IT"/>
        </w:rPr>
      </w:pPr>
      <w:r w:rsidRPr="00ED7F8A">
        <w:rPr>
          <w:rStyle w:val="FootnoteReference"/>
          <w:rFonts w:asciiTheme="minorHAnsi" w:hAnsiTheme="minorHAnsi" w:cstheme="minorHAnsi"/>
        </w:rPr>
        <w:footnoteRef/>
      </w:r>
      <w:r w:rsidRPr="00F62038">
        <w:rPr>
          <w:rFonts w:asciiTheme="minorHAnsi" w:hAnsiTheme="minorHAnsi" w:cstheme="minorHAnsi"/>
          <w:lang w:val="it-IT"/>
        </w:rPr>
        <w:t xml:space="preserve"> </w:t>
      </w:r>
      <w:r w:rsidR="00892C28" w:rsidRPr="00F62038">
        <w:rPr>
          <w:rFonts w:asciiTheme="minorHAnsi" w:hAnsiTheme="minorHAnsi" w:cstheme="minorHAnsi"/>
          <w:i/>
          <w:iCs/>
          <w:lang w:val="it-IT"/>
        </w:rPr>
        <w:t xml:space="preserve">Supra </w:t>
      </w:r>
      <w:r w:rsidR="00892C28" w:rsidRPr="00F62038">
        <w:rPr>
          <w:rFonts w:asciiTheme="minorHAnsi" w:hAnsiTheme="minorHAnsi" w:cstheme="minorHAnsi"/>
          <w:lang w:val="it-IT"/>
        </w:rPr>
        <w:t>note 2</w:t>
      </w:r>
    </w:p>
  </w:footnote>
  <w:footnote w:id="44">
    <w:p w14:paraId="25697090" w14:textId="2141A781" w:rsidR="00FB1259" w:rsidRPr="00F62038" w:rsidRDefault="00FB1259">
      <w:pPr>
        <w:pStyle w:val="FootnoteText"/>
        <w:rPr>
          <w:rFonts w:asciiTheme="minorHAnsi" w:hAnsiTheme="minorHAnsi" w:cstheme="minorHAnsi"/>
          <w:lang w:val="it-IT"/>
        </w:rPr>
      </w:pPr>
      <w:r w:rsidRPr="00ED7F8A">
        <w:rPr>
          <w:rStyle w:val="FootnoteReference"/>
          <w:rFonts w:asciiTheme="minorHAnsi" w:hAnsiTheme="minorHAnsi" w:cstheme="minorHAnsi"/>
        </w:rPr>
        <w:footnoteRef/>
      </w:r>
      <w:r w:rsidRPr="00F62038">
        <w:rPr>
          <w:rFonts w:asciiTheme="minorHAnsi" w:hAnsiTheme="minorHAnsi" w:cstheme="minorHAnsi"/>
          <w:lang w:val="it-IT"/>
        </w:rPr>
        <w:t xml:space="preserve"> </w:t>
      </w:r>
      <w:r w:rsidR="00892C28" w:rsidRPr="00F62038">
        <w:rPr>
          <w:rFonts w:asciiTheme="minorHAnsi" w:hAnsiTheme="minorHAnsi" w:cstheme="minorHAnsi"/>
          <w:i/>
          <w:iCs/>
          <w:lang w:val="it-IT"/>
        </w:rPr>
        <w:t>Supra</w:t>
      </w:r>
      <w:r w:rsidR="00892C28" w:rsidRPr="00F62038">
        <w:rPr>
          <w:rFonts w:asciiTheme="minorHAnsi" w:hAnsiTheme="minorHAnsi" w:cstheme="minorHAnsi"/>
          <w:lang w:val="it-IT"/>
        </w:rPr>
        <w:t xml:space="preserve"> </w:t>
      </w:r>
      <w:r w:rsidR="00892C28" w:rsidRPr="00F62038">
        <w:rPr>
          <w:rFonts w:asciiTheme="minorHAnsi" w:hAnsiTheme="minorHAnsi" w:cstheme="minorHAnsi"/>
          <w:lang w:val="it-IT"/>
        </w:rPr>
        <w:t>note 2</w:t>
      </w:r>
    </w:p>
  </w:footnote>
  <w:footnote w:id="45">
    <w:p w14:paraId="50FE85A0" w14:textId="1268312A" w:rsidR="00805E0A" w:rsidRPr="00ED7F8A" w:rsidRDefault="00805E0A">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r w:rsidR="00B528D5">
        <w:rPr>
          <w:rFonts w:asciiTheme="minorHAnsi" w:hAnsiTheme="minorHAnsi" w:cstheme="minorHAnsi"/>
        </w:rPr>
        <w:t>Id.</w:t>
      </w:r>
    </w:p>
  </w:footnote>
  <w:footnote w:id="46">
    <w:p w14:paraId="63D5D71F" w14:textId="733C7129" w:rsidR="00FB1259" w:rsidRPr="00ED7F8A" w:rsidRDefault="00FB1259">
      <w:pPr>
        <w:pStyle w:val="FootnoteText"/>
        <w:rPr>
          <w:rFonts w:asciiTheme="minorHAnsi" w:hAnsiTheme="minorHAnsi" w:cstheme="minorHAnsi"/>
        </w:rPr>
      </w:pPr>
      <w:r w:rsidRPr="00941825">
        <w:rPr>
          <w:rStyle w:val="FootnoteReference"/>
          <w:rFonts w:asciiTheme="minorHAnsi" w:hAnsiTheme="minorHAnsi" w:cstheme="minorHAnsi"/>
        </w:rPr>
        <w:footnoteRef/>
      </w:r>
      <w:r w:rsidR="00941825" w:rsidRPr="00941825">
        <w:rPr>
          <w:rFonts w:asciiTheme="minorHAnsi" w:hAnsiTheme="minorHAnsi" w:cstheme="minorHAnsi"/>
        </w:rPr>
        <w:t xml:space="preserve"> HPC </w:t>
      </w:r>
      <w:proofErr w:type="spellStart"/>
      <w:r w:rsidR="00941825" w:rsidRPr="00941825">
        <w:rPr>
          <w:rFonts w:asciiTheme="minorHAnsi" w:hAnsiTheme="minorHAnsi" w:cstheme="minorHAnsi"/>
        </w:rPr>
        <w:t>DataPoints</w:t>
      </w:r>
      <w:proofErr w:type="spellEnd"/>
      <w:r w:rsidR="00941825" w:rsidRPr="00941825">
        <w:rPr>
          <w:rFonts w:asciiTheme="minorHAnsi" w:hAnsiTheme="minorHAnsi" w:cstheme="minorHAnsi"/>
        </w:rPr>
        <w:t>,</w:t>
      </w:r>
      <w:hyperlink r:id="rId26" w:history="1">
        <w:r w:rsidR="00941825" w:rsidRPr="003306CA">
          <w:rPr>
            <w:rStyle w:val="Hyperlink"/>
            <w:rFonts w:asciiTheme="minorHAnsi" w:hAnsiTheme="minorHAnsi" w:cstheme="minorHAnsi"/>
          </w:rPr>
          <w:t xml:space="preserve"> Issue 1: Nothing to Smile About: Update on preventable oral health ED visits in Massachusetts </w:t>
        </w:r>
      </w:hyperlink>
      <w:r w:rsidR="00941825" w:rsidRPr="00941825">
        <w:rPr>
          <w:rFonts w:asciiTheme="minorHAnsi" w:hAnsiTheme="minorHAnsi" w:cstheme="minorHAnsi"/>
        </w:rPr>
        <w:t>(April 27, 2017)</w:t>
      </w:r>
    </w:p>
  </w:footnote>
  <w:footnote w:id="47">
    <w:p w14:paraId="349F794E" w14:textId="63BD60BA" w:rsidR="00FB1259" w:rsidRPr="00D2605D" w:rsidRDefault="00FB1259">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r w:rsidR="00D2605D" w:rsidRPr="00BC2E00">
        <w:rPr>
          <w:rFonts w:asciiTheme="minorHAnsi" w:hAnsiTheme="minorHAnsi" w:cstheme="minorHAnsi"/>
          <w:i/>
          <w:iCs/>
        </w:rPr>
        <w:t>Supra</w:t>
      </w:r>
      <w:r w:rsidR="00D2605D" w:rsidRPr="00BC2E00">
        <w:rPr>
          <w:rFonts w:asciiTheme="minorHAnsi" w:hAnsiTheme="minorHAnsi" w:cstheme="minorHAnsi"/>
        </w:rPr>
        <w:t xml:space="preserve"> </w:t>
      </w:r>
      <w:r w:rsidR="00D2605D">
        <w:rPr>
          <w:rFonts w:asciiTheme="minorHAnsi" w:hAnsiTheme="minorHAnsi" w:cstheme="minorHAnsi"/>
        </w:rPr>
        <w:t>note 29</w:t>
      </w:r>
    </w:p>
  </w:footnote>
  <w:footnote w:id="48">
    <w:p w14:paraId="017C752A" w14:textId="7D8BF164" w:rsidR="00805E0A" w:rsidRPr="00ED7F8A" w:rsidRDefault="00805E0A" w:rsidP="00805E0A">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r w:rsidR="00B528D5">
        <w:rPr>
          <w:rFonts w:asciiTheme="minorHAnsi" w:hAnsiTheme="minorHAnsi" w:cstheme="minorHAnsi"/>
        </w:rPr>
        <w:t>Id.</w:t>
      </w:r>
    </w:p>
  </w:footnote>
  <w:footnote w:id="49">
    <w:p w14:paraId="1EA78488" w14:textId="2392A267" w:rsidR="00805E0A" w:rsidRPr="00ED7F8A" w:rsidRDefault="00805E0A" w:rsidP="00805E0A">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The Applicant could not find any more recent public data; however, this statistic has hopefully improved as the Commonwealth has instituted </w:t>
      </w:r>
      <w:proofErr w:type="gramStart"/>
      <w:r w:rsidRPr="00ED7F8A">
        <w:rPr>
          <w:rFonts w:asciiTheme="minorHAnsi" w:hAnsiTheme="minorHAnsi" w:cstheme="minorHAnsi"/>
        </w:rPr>
        <w:t>a number of</w:t>
      </w:r>
      <w:proofErr w:type="gramEnd"/>
      <w:r w:rsidRPr="00ED7F8A">
        <w:rPr>
          <w:rFonts w:asciiTheme="minorHAnsi" w:hAnsiTheme="minorHAnsi" w:cstheme="minorHAnsi"/>
        </w:rPr>
        <w:t xml:space="preserve"> programs to improve access, including expanding MassHealth coverage for root canals and crowns and increased payments for dental services at FQHCs. There is concern that current coverage limitations and fiscal challenges resulting from the One Big Beautiful Bill could have a negative impact on any progress that has been made.   </w:t>
      </w:r>
    </w:p>
  </w:footnote>
  <w:footnote w:id="50">
    <w:p w14:paraId="72BC2CEA" w14:textId="5E54774E" w:rsidR="00805E0A" w:rsidRPr="00ED7F8A" w:rsidRDefault="00805E0A">
      <w:pPr>
        <w:pStyle w:val="FootnoteText"/>
        <w:rPr>
          <w:rFonts w:asciiTheme="minorHAnsi" w:hAnsiTheme="minorHAnsi" w:cstheme="minorHAnsi"/>
        </w:rPr>
      </w:pPr>
      <w:r w:rsidRPr="00941825">
        <w:rPr>
          <w:rStyle w:val="FootnoteReference"/>
          <w:rFonts w:asciiTheme="minorHAnsi" w:hAnsiTheme="minorHAnsi" w:cstheme="minorHAnsi"/>
        </w:rPr>
        <w:footnoteRef/>
      </w:r>
      <w:r w:rsidRPr="00941825">
        <w:rPr>
          <w:rFonts w:asciiTheme="minorHAnsi" w:hAnsiTheme="minorHAnsi" w:cstheme="minorHAnsi"/>
        </w:rPr>
        <w:t xml:space="preserve"> </w:t>
      </w:r>
      <w:hyperlink r:id="rId27" w:history="1">
        <w:r w:rsidR="00941825" w:rsidRPr="003306CA">
          <w:rPr>
            <w:rStyle w:val="Hyperlink"/>
            <w:rFonts w:asciiTheme="minorHAnsi" w:hAnsiTheme="minorHAnsi" w:cstheme="minorHAnsi"/>
          </w:rPr>
          <w:t xml:space="preserve">Special Commission on Oral Health  </w:t>
        </w:r>
      </w:hyperlink>
      <w:r w:rsidR="00941825" w:rsidRPr="00941825">
        <w:rPr>
          <w:rFonts w:asciiTheme="minorHAnsi" w:hAnsiTheme="minorHAnsi" w:cstheme="minorHAnsi"/>
        </w:rPr>
        <w:t>(The Commission has not met since 2025, and the last public meeting minutes are from 2024.)</w:t>
      </w:r>
      <w:r w:rsidR="00941825">
        <w:rPr>
          <w:rFonts w:asciiTheme="minorHAnsi" w:hAnsiTheme="minorHAnsi" w:cstheme="minorHAnsi"/>
        </w:rPr>
        <w:t xml:space="preserve"> </w:t>
      </w:r>
    </w:p>
  </w:footnote>
  <w:footnote w:id="51">
    <w:p w14:paraId="72F41835" w14:textId="0CFB0897" w:rsidR="0051356D" w:rsidRPr="00BC2E00" w:rsidRDefault="0051356D" w:rsidP="0051356D">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r w:rsidR="00BC2E00">
        <w:rPr>
          <w:rFonts w:asciiTheme="minorHAnsi" w:hAnsiTheme="minorHAnsi" w:cstheme="minorHAnsi"/>
          <w:i/>
          <w:iCs/>
        </w:rPr>
        <w:t>Supra</w:t>
      </w:r>
      <w:r w:rsidR="00BC2E00">
        <w:rPr>
          <w:rFonts w:asciiTheme="minorHAnsi" w:hAnsiTheme="minorHAnsi" w:cstheme="minorHAnsi"/>
        </w:rPr>
        <w:t xml:space="preserve"> note 31</w:t>
      </w:r>
    </w:p>
  </w:footnote>
  <w:footnote w:id="52">
    <w:p w14:paraId="19518D5C" w14:textId="4802290F" w:rsidR="0051356D" w:rsidRPr="00ED7F8A" w:rsidRDefault="0051356D" w:rsidP="0051356D">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r w:rsidR="00892C28">
        <w:rPr>
          <w:rFonts w:asciiTheme="minorHAnsi" w:hAnsiTheme="minorHAnsi" w:cstheme="minorHAnsi"/>
        </w:rPr>
        <w:t>Id.</w:t>
      </w:r>
    </w:p>
  </w:footnote>
  <w:footnote w:id="53">
    <w:p w14:paraId="01F86643" w14:textId="3726C46C" w:rsidR="00805E0A" w:rsidRPr="00ED7F8A" w:rsidRDefault="00805E0A">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r w:rsidR="00CF0822">
        <w:rPr>
          <w:rFonts w:asciiTheme="minorHAnsi" w:hAnsiTheme="minorHAnsi" w:cstheme="minorHAnsi"/>
        </w:rPr>
        <w:t xml:space="preserve">Id. </w:t>
      </w:r>
    </w:p>
  </w:footnote>
  <w:footnote w:id="54">
    <w:p w14:paraId="68A8CFAC" w14:textId="3426656B" w:rsidR="0051356D" w:rsidRPr="00ED7F8A" w:rsidRDefault="0051356D" w:rsidP="0051356D">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r w:rsidR="00D2605D" w:rsidRPr="00D2605D">
        <w:rPr>
          <w:rFonts w:asciiTheme="minorHAnsi" w:hAnsiTheme="minorHAnsi" w:cstheme="minorHAnsi"/>
          <w:i/>
          <w:iCs/>
        </w:rPr>
        <w:t>Supra</w:t>
      </w:r>
      <w:r w:rsidR="00D2605D">
        <w:rPr>
          <w:rFonts w:asciiTheme="minorHAnsi" w:hAnsiTheme="minorHAnsi" w:cstheme="minorHAnsi"/>
        </w:rPr>
        <w:t xml:space="preserve"> note 29 </w:t>
      </w:r>
      <w:r w:rsidR="006234E8">
        <w:rPr>
          <w:rFonts w:asciiTheme="minorHAnsi" w:hAnsiTheme="minorHAnsi" w:cstheme="minorHAnsi"/>
        </w:rPr>
        <w:t>(prevalence of ED visits for nontraumatic dental conditions in the commonwealth)</w:t>
      </w:r>
    </w:p>
  </w:footnote>
  <w:footnote w:id="55">
    <w:p w14:paraId="2F33DDBD" w14:textId="58254AEF" w:rsidR="0051356D" w:rsidRPr="00ED7F8A" w:rsidRDefault="0051356D" w:rsidP="0051356D">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r w:rsidR="00B528D5">
        <w:rPr>
          <w:rFonts w:asciiTheme="minorHAnsi" w:hAnsiTheme="minorHAnsi" w:cstheme="minorHAnsi"/>
        </w:rPr>
        <w:t>Id.</w:t>
      </w:r>
    </w:p>
  </w:footnote>
  <w:footnote w:id="56">
    <w:p w14:paraId="41ED717B" w14:textId="2C611CE5" w:rsidR="0022652D" w:rsidRPr="00ED7F8A" w:rsidRDefault="0022652D">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r w:rsidR="00783167" w:rsidRPr="00ED7F8A">
        <w:rPr>
          <w:rFonts w:asciiTheme="minorHAnsi" w:hAnsiTheme="minorHAnsi" w:cstheme="minorHAnsi"/>
        </w:rPr>
        <w:t xml:space="preserve">The FQHCs include but are not limited to Lynn Community Health Center, North Shore Community Health Center, Greater Lawerence Community Health Center, CHA Windsor Street Care Center, Charles River Community Health, South Cove Community Health Center, Fenway Community Health Center, South Boston Community Health Center, Whittier Street Health Center, The Dimock Center, Brookside Community Health Center, and Upham’s Corner Health Center. </w:t>
      </w:r>
      <w:r w:rsidRPr="00ED7F8A">
        <w:rPr>
          <w:rFonts w:asciiTheme="minorHAnsi" w:hAnsiTheme="minorHAnsi" w:cstheme="minorHAnsi"/>
        </w:rPr>
        <w:t xml:space="preserve">   </w:t>
      </w:r>
    </w:p>
  </w:footnote>
  <w:footnote w:id="57">
    <w:p w14:paraId="056CD14C" w14:textId="452F9F91" w:rsidR="00C027C4" w:rsidRPr="00ED7F8A" w:rsidRDefault="00C027C4">
      <w:pPr>
        <w:pStyle w:val="FootnoteText"/>
        <w:rPr>
          <w:rFonts w:asciiTheme="minorHAnsi" w:hAnsiTheme="minorHAnsi" w:cstheme="minorHAnsi"/>
        </w:rPr>
      </w:pPr>
      <w:r w:rsidRPr="006832FE">
        <w:rPr>
          <w:rStyle w:val="FootnoteReference"/>
          <w:rFonts w:asciiTheme="minorHAnsi" w:hAnsiTheme="minorHAnsi" w:cstheme="minorHAnsi"/>
        </w:rPr>
        <w:footnoteRef/>
      </w:r>
      <w:r w:rsidR="00941825" w:rsidRPr="006832FE">
        <w:rPr>
          <w:rFonts w:asciiTheme="minorHAnsi" w:hAnsiTheme="minorHAnsi" w:cstheme="minorHAnsi"/>
        </w:rPr>
        <w:t xml:space="preserve"> </w:t>
      </w:r>
      <w:hyperlink r:id="rId28" w:history="1">
        <w:r w:rsidR="00941825" w:rsidRPr="00702A1E">
          <w:rPr>
            <w:rStyle w:val="Hyperlink"/>
            <w:rFonts w:asciiTheme="minorHAnsi" w:hAnsiTheme="minorHAnsi" w:cstheme="minorHAnsi"/>
          </w:rPr>
          <w:t>Apply for QIF-DNDD</w:t>
        </w:r>
      </w:hyperlink>
      <w:r w:rsidR="00941825" w:rsidRPr="006832FE">
        <w:rPr>
          <w:rFonts w:asciiTheme="minorHAnsi" w:hAnsiTheme="minorHAnsi" w:cstheme="minorHAnsi"/>
        </w:rPr>
        <w:t>, Health Resource and Service Administration</w:t>
      </w:r>
      <w:r w:rsidR="006832FE">
        <w:rPr>
          <w:rFonts w:asciiTheme="minorHAnsi" w:hAnsiTheme="minorHAnsi" w:cstheme="minorHAnsi"/>
        </w:rPr>
        <w:t xml:space="preserve"> (last reviewed May 2026)</w:t>
      </w:r>
    </w:p>
  </w:footnote>
  <w:footnote w:id="58">
    <w:p w14:paraId="6A214AAE" w14:textId="5BC08E2C" w:rsidR="00B520E0" w:rsidRPr="00ED7F8A" w:rsidRDefault="00B520E0">
      <w:pPr>
        <w:pStyle w:val="FootnoteText"/>
        <w:rPr>
          <w:rFonts w:asciiTheme="minorHAnsi" w:hAnsiTheme="minorHAnsi" w:cstheme="minorHAnsi"/>
        </w:rPr>
      </w:pPr>
      <w:r w:rsidRPr="00ED7F8A">
        <w:rPr>
          <w:rStyle w:val="FootnoteReference"/>
          <w:rFonts w:asciiTheme="minorHAnsi" w:hAnsiTheme="minorHAnsi" w:cstheme="minorHAnsi"/>
        </w:rPr>
        <w:footnoteRef/>
      </w:r>
      <w:r w:rsidRPr="00ED7F8A">
        <w:rPr>
          <w:rFonts w:asciiTheme="minorHAnsi" w:hAnsiTheme="minorHAnsi" w:cstheme="minorHAnsi"/>
        </w:rPr>
        <w:t xml:space="preserve"> </w:t>
      </w:r>
      <w:hyperlink r:id="rId29" w:history="1">
        <w:r w:rsidRPr="00CC50D8">
          <w:rPr>
            <w:rStyle w:val="Hyperlink"/>
            <w:rFonts w:asciiTheme="minorHAnsi" w:hAnsiTheme="minorHAnsi" w:cstheme="minorHAnsi"/>
          </w:rPr>
          <w:t>Massachusetts Health Policy Commission</w:t>
        </w:r>
      </w:hyperlink>
      <w:r w:rsidRPr="00ED7F8A">
        <w:rPr>
          <w:rFonts w:asciiTheme="minorHAnsi" w:hAnsiTheme="minorHAnsi" w:cstheme="minorHAnsi"/>
        </w:rPr>
        <w:t>, 2021 Cost Trends Report, pp. 18-19.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6753C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A05680"/>
    <w:multiLevelType w:val="hybridMultilevel"/>
    <w:tmpl w:val="91C6FDD8"/>
    <w:lvl w:ilvl="0" w:tplc="F5DED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1F76FB"/>
    <w:multiLevelType w:val="hybridMultilevel"/>
    <w:tmpl w:val="9E1C2B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4D35B9"/>
    <w:multiLevelType w:val="hybridMultilevel"/>
    <w:tmpl w:val="C74E92B4"/>
    <w:lvl w:ilvl="0" w:tplc="FFBA379A">
      <w:start w:val="1"/>
      <w:numFmt w:val="bullet"/>
      <w:lvlText w:val=""/>
      <w:lvlJc w:val="left"/>
      <w:pPr>
        <w:ind w:left="1440" w:hanging="360"/>
      </w:pPr>
      <w:rPr>
        <w:rFonts w:ascii="Symbol" w:hAnsi="Symbol" w:hint="default"/>
      </w:rPr>
    </w:lvl>
    <w:lvl w:ilvl="1" w:tplc="9E92D1C6" w:tentative="1">
      <w:start w:val="1"/>
      <w:numFmt w:val="bullet"/>
      <w:lvlText w:val="o"/>
      <w:lvlJc w:val="left"/>
      <w:pPr>
        <w:ind w:left="2160" w:hanging="360"/>
      </w:pPr>
      <w:rPr>
        <w:rFonts w:ascii="Courier New" w:hAnsi="Courier New" w:cs="Courier New" w:hint="default"/>
      </w:rPr>
    </w:lvl>
    <w:lvl w:ilvl="2" w:tplc="577A4FFA" w:tentative="1">
      <w:start w:val="1"/>
      <w:numFmt w:val="bullet"/>
      <w:lvlText w:val=""/>
      <w:lvlJc w:val="left"/>
      <w:pPr>
        <w:ind w:left="2880" w:hanging="360"/>
      </w:pPr>
      <w:rPr>
        <w:rFonts w:ascii="Wingdings" w:hAnsi="Wingdings" w:hint="default"/>
      </w:rPr>
    </w:lvl>
    <w:lvl w:ilvl="3" w:tplc="A33A7270" w:tentative="1">
      <w:start w:val="1"/>
      <w:numFmt w:val="bullet"/>
      <w:lvlText w:val=""/>
      <w:lvlJc w:val="left"/>
      <w:pPr>
        <w:ind w:left="3600" w:hanging="360"/>
      </w:pPr>
      <w:rPr>
        <w:rFonts w:ascii="Symbol" w:hAnsi="Symbol" w:hint="default"/>
      </w:rPr>
    </w:lvl>
    <w:lvl w:ilvl="4" w:tplc="B6D830E0" w:tentative="1">
      <w:start w:val="1"/>
      <w:numFmt w:val="bullet"/>
      <w:lvlText w:val="o"/>
      <w:lvlJc w:val="left"/>
      <w:pPr>
        <w:ind w:left="4320" w:hanging="360"/>
      </w:pPr>
      <w:rPr>
        <w:rFonts w:ascii="Courier New" w:hAnsi="Courier New" w:cs="Courier New" w:hint="default"/>
      </w:rPr>
    </w:lvl>
    <w:lvl w:ilvl="5" w:tplc="78DC1A78" w:tentative="1">
      <w:start w:val="1"/>
      <w:numFmt w:val="bullet"/>
      <w:lvlText w:val=""/>
      <w:lvlJc w:val="left"/>
      <w:pPr>
        <w:ind w:left="5040" w:hanging="360"/>
      </w:pPr>
      <w:rPr>
        <w:rFonts w:ascii="Wingdings" w:hAnsi="Wingdings" w:hint="default"/>
      </w:rPr>
    </w:lvl>
    <w:lvl w:ilvl="6" w:tplc="AC024CE2" w:tentative="1">
      <w:start w:val="1"/>
      <w:numFmt w:val="bullet"/>
      <w:lvlText w:val=""/>
      <w:lvlJc w:val="left"/>
      <w:pPr>
        <w:ind w:left="5760" w:hanging="360"/>
      </w:pPr>
      <w:rPr>
        <w:rFonts w:ascii="Symbol" w:hAnsi="Symbol" w:hint="default"/>
      </w:rPr>
    </w:lvl>
    <w:lvl w:ilvl="7" w:tplc="CEBA4282" w:tentative="1">
      <w:start w:val="1"/>
      <w:numFmt w:val="bullet"/>
      <w:lvlText w:val="o"/>
      <w:lvlJc w:val="left"/>
      <w:pPr>
        <w:ind w:left="6480" w:hanging="360"/>
      </w:pPr>
      <w:rPr>
        <w:rFonts w:ascii="Courier New" w:hAnsi="Courier New" w:cs="Courier New" w:hint="default"/>
      </w:rPr>
    </w:lvl>
    <w:lvl w:ilvl="8" w:tplc="F3DE54E4" w:tentative="1">
      <w:start w:val="1"/>
      <w:numFmt w:val="bullet"/>
      <w:lvlText w:val=""/>
      <w:lvlJc w:val="left"/>
      <w:pPr>
        <w:ind w:left="7200" w:hanging="360"/>
      </w:pPr>
      <w:rPr>
        <w:rFonts w:ascii="Wingdings" w:hAnsi="Wingdings" w:hint="default"/>
      </w:rPr>
    </w:lvl>
  </w:abstractNum>
  <w:abstractNum w:abstractNumId="4" w15:restartNumberingAfterBreak="0">
    <w:nsid w:val="1A5E4DB2"/>
    <w:multiLevelType w:val="hybridMultilevel"/>
    <w:tmpl w:val="DDE2DE14"/>
    <w:lvl w:ilvl="0" w:tplc="D086298A">
      <w:start w:val="1"/>
      <w:numFmt w:val="bullet"/>
      <w:lvlText w:val=""/>
      <w:lvlJc w:val="left"/>
      <w:pPr>
        <w:ind w:left="1440" w:hanging="360"/>
      </w:pPr>
      <w:rPr>
        <w:rFonts w:ascii="Symbol" w:hAnsi="Symbol" w:hint="default"/>
      </w:rPr>
    </w:lvl>
    <w:lvl w:ilvl="1" w:tplc="E75A088A" w:tentative="1">
      <w:start w:val="1"/>
      <w:numFmt w:val="bullet"/>
      <w:lvlText w:val="o"/>
      <w:lvlJc w:val="left"/>
      <w:pPr>
        <w:ind w:left="2160" w:hanging="360"/>
      </w:pPr>
      <w:rPr>
        <w:rFonts w:ascii="Courier New" w:hAnsi="Courier New" w:cs="Courier New" w:hint="default"/>
      </w:rPr>
    </w:lvl>
    <w:lvl w:ilvl="2" w:tplc="E8F82A0C" w:tentative="1">
      <w:start w:val="1"/>
      <w:numFmt w:val="bullet"/>
      <w:lvlText w:val=""/>
      <w:lvlJc w:val="left"/>
      <w:pPr>
        <w:ind w:left="2880" w:hanging="360"/>
      </w:pPr>
      <w:rPr>
        <w:rFonts w:ascii="Wingdings" w:hAnsi="Wingdings" w:hint="default"/>
      </w:rPr>
    </w:lvl>
    <w:lvl w:ilvl="3" w:tplc="8FB6D136" w:tentative="1">
      <w:start w:val="1"/>
      <w:numFmt w:val="bullet"/>
      <w:lvlText w:val=""/>
      <w:lvlJc w:val="left"/>
      <w:pPr>
        <w:ind w:left="3600" w:hanging="360"/>
      </w:pPr>
      <w:rPr>
        <w:rFonts w:ascii="Symbol" w:hAnsi="Symbol" w:hint="default"/>
      </w:rPr>
    </w:lvl>
    <w:lvl w:ilvl="4" w:tplc="B71C457E" w:tentative="1">
      <w:start w:val="1"/>
      <w:numFmt w:val="bullet"/>
      <w:lvlText w:val="o"/>
      <w:lvlJc w:val="left"/>
      <w:pPr>
        <w:ind w:left="4320" w:hanging="360"/>
      </w:pPr>
      <w:rPr>
        <w:rFonts w:ascii="Courier New" w:hAnsi="Courier New" w:cs="Courier New" w:hint="default"/>
      </w:rPr>
    </w:lvl>
    <w:lvl w:ilvl="5" w:tplc="6A887D10" w:tentative="1">
      <w:start w:val="1"/>
      <w:numFmt w:val="bullet"/>
      <w:lvlText w:val=""/>
      <w:lvlJc w:val="left"/>
      <w:pPr>
        <w:ind w:left="5040" w:hanging="360"/>
      </w:pPr>
      <w:rPr>
        <w:rFonts w:ascii="Wingdings" w:hAnsi="Wingdings" w:hint="default"/>
      </w:rPr>
    </w:lvl>
    <w:lvl w:ilvl="6" w:tplc="339C3704" w:tentative="1">
      <w:start w:val="1"/>
      <w:numFmt w:val="bullet"/>
      <w:lvlText w:val=""/>
      <w:lvlJc w:val="left"/>
      <w:pPr>
        <w:ind w:left="5760" w:hanging="360"/>
      </w:pPr>
      <w:rPr>
        <w:rFonts w:ascii="Symbol" w:hAnsi="Symbol" w:hint="default"/>
      </w:rPr>
    </w:lvl>
    <w:lvl w:ilvl="7" w:tplc="18E0CEE0" w:tentative="1">
      <w:start w:val="1"/>
      <w:numFmt w:val="bullet"/>
      <w:lvlText w:val="o"/>
      <w:lvlJc w:val="left"/>
      <w:pPr>
        <w:ind w:left="6480" w:hanging="360"/>
      </w:pPr>
      <w:rPr>
        <w:rFonts w:ascii="Courier New" w:hAnsi="Courier New" w:cs="Courier New" w:hint="default"/>
      </w:rPr>
    </w:lvl>
    <w:lvl w:ilvl="8" w:tplc="21B47720" w:tentative="1">
      <w:start w:val="1"/>
      <w:numFmt w:val="bullet"/>
      <w:lvlText w:val=""/>
      <w:lvlJc w:val="left"/>
      <w:pPr>
        <w:ind w:left="7200" w:hanging="360"/>
      </w:pPr>
      <w:rPr>
        <w:rFonts w:ascii="Wingdings" w:hAnsi="Wingdings" w:hint="default"/>
      </w:rPr>
    </w:lvl>
  </w:abstractNum>
  <w:abstractNum w:abstractNumId="5" w15:restartNumberingAfterBreak="0">
    <w:nsid w:val="1D115B5B"/>
    <w:multiLevelType w:val="hybridMultilevel"/>
    <w:tmpl w:val="F16A0A42"/>
    <w:lvl w:ilvl="0" w:tplc="78444A58">
      <w:start w:val="1"/>
      <w:numFmt w:val="bullet"/>
      <w:lvlText w:val=""/>
      <w:lvlJc w:val="left"/>
      <w:pPr>
        <w:ind w:left="720" w:hanging="360"/>
      </w:pPr>
      <w:rPr>
        <w:rFonts w:ascii="Symbol" w:hAnsi="Symbol" w:hint="default"/>
      </w:rPr>
    </w:lvl>
    <w:lvl w:ilvl="1" w:tplc="9C2A62DC" w:tentative="1">
      <w:start w:val="1"/>
      <w:numFmt w:val="bullet"/>
      <w:lvlText w:val="o"/>
      <w:lvlJc w:val="left"/>
      <w:pPr>
        <w:ind w:left="1440" w:hanging="360"/>
      </w:pPr>
      <w:rPr>
        <w:rFonts w:ascii="Courier New" w:hAnsi="Courier New" w:cs="Courier New" w:hint="default"/>
      </w:rPr>
    </w:lvl>
    <w:lvl w:ilvl="2" w:tplc="F1E20EEC" w:tentative="1">
      <w:start w:val="1"/>
      <w:numFmt w:val="bullet"/>
      <w:lvlText w:val=""/>
      <w:lvlJc w:val="left"/>
      <w:pPr>
        <w:ind w:left="2160" w:hanging="360"/>
      </w:pPr>
      <w:rPr>
        <w:rFonts w:ascii="Wingdings" w:hAnsi="Wingdings" w:hint="default"/>
      </w:rPr>
    </w:lvl>
    <w:lvl w:ilvl="3" w:tplc="E444B162" w:tentative="1">
      <w:start w:val="1"/>
      <w:numFmt w:val="bullet"/>
      <w:lvlText w:val=""/>
      <w:lvlJc w:val="left"/>
      <w:pPr>
        <w:ind w:left="2880" w:hanging="360"/>
      </w:pPr>
      <w:rPr>
        <w:rFonts w:ascii="Symbol" w:hAnsi="Symbol" w:hint="default"/>
      </w:rPr>
    </w:lvl>
    <w:lvl w:ilvl="4" w:tplc="90C8C8CC" w:tentative="1">
      <w:start w:val="1"/>
      <w:numFmt w:val="bullet"/>
      <w:lvlText w:val="o"/>
      <w:lvlJc w:val="left"/>
      <w:pPr>
        <w:ind w:left="3600" w:hanging="360"/>
      </w:pPr>
      <w:rPr>
        <w:rFonts w:ascii="Courier New" w:hAnsi="Courier New" w:cs="Courier New" w:hint="default"/>
      </w:rPr>
    </w:lvl>
    <w:lvl w:ilvl="5" w:tplc="BDD08FB8" w:tentative="1">
      <w:start w:val="1"/>
      <w:numFmt w:val="bullet"/>
      <w:lvlText w:val=""/>
      <w:lvlJc w:val="left"/>
      <w:pPr>
        <w:ind w:left="4320" w:hanging="360"/>
      </w:pPr>
      <w:rPr>
        <w:rFonts w:ascii="Wingdings" w:hAnsi="Wingdings" w:hint="default"/>
      </w:rPr>
    </w:lvl>
    <w:lvl w:ilvl="6" w:tplc="337C6EBA" w:tentative="1">
      <w:start w:val="1"/>
      <w:numFmt w:val="bullet"/>
      <w:lvlText w:val=""/>
      <w:lvlJc w:val="left"/>
      <w:pPr>
        <w:ind w:left="5040" w:hanging="360"/>
      </w:pPr>
      <w:rPr>
        <w:rFonts w:ascii="Symbol" w:hAnsi="Symbol" w:hint="default"/>
      </w:rPr>
    </w:lvl>
    <w:lvl w:ilvl="7" w:tplc="333AA094" w:tentative="1">
      <w:start w:val="1"/>
      <w:numFmt w:val="bullet"/>
      <w:lvlText w:val="o"/>
      <w:lvlJc w:val="left"/>
      <w:pPr>
        <w:ind w:left="5760" w:hanging="360"/>
      </w:pPr>
      <w:rPr>
        <w:rFonts w:ascii="Courier New" w:hAnsi="Courier New" w:cs="Courier New" w:hint="default"/>
      </w:rPr>
    </w:lvl>
    <w:lvl w:ilvl="8" w:tplc="F80EC742" w:tentative="1">
      <w:start w:val="1"/>
      <w:numFmt w:val="bullet"/>
      <w:lvlText w:val=""/>
      <w:lvlJc w:val="left"/>
      <w:pPr>
        <w:ind w:left="6480" w:hanging="360"/>
      </w:pPr>
      <w:rPr>
        <w:rFonts w:ascii="Wingdings" w:hAnsi="Wingdings" w:hint="default"/>
      </w:rPr>
    </w:lvl>
  </w:abstractNum>
  <w:abstractNum w:abstractNumId="6" w15:restartNumberingAfterBreak="0">
    <w:nsid w:val="1E514B11"/>
    <w:multiLevelType w:val="hybridMultilevel"/>
    <w:tmpl w:val="318C0E22"/>
    <w:lvl w:ilvl="0" w:tplc="1F9E51E0">
      <w:start w:val="1"/>
      <w:numFmt w:val="decimal"/>
      <w:lvlText w:val="%1."/>
      <w:lvlJc w:val="left"/>
      <w:pPr>
        <w:ind w:left="720" w:hanging="360"/>
      </w:pPr>
    </w:lvl>
    <w:lvl w:ilvl="1" w:tplc="5858B0EA">
      <w:start w:val="1"/>
      <w:numFmt w:val="lowerLetter"/>
      <w:lvlText w:val="%2."/>
      <w:lvlJc w:val="left"/>
      <w:pPr>
        <w:ind w:left="1440" w:hanging="360"/>
      </w:pPr>
    </w:lvl>
    <w:lvl w:ilvl="2" w:tplc="9D1EED14" w:tentative="1">
      <w:start w:val="1"/>
      <w:numFmt w:val="lowerRoman"/>
      <w:lvlText w:val="%3."/>
      <w:lvlJc w:val="right"/>
      <w:pPr>
        <w:ind w:left="2160" w:hanging="180"/>
      </w:pPr>
    </w:lvl>
    <w:lvl w:ilvl="3" w:tplc="C9B6F38C" w:tentative="1">
      <w:start w:val="1"/>
      <w:numFmt w:val="decimal"/>
      <w:lvlText w:val="%4."/>
      <w:lvlJc w:val="left"/>
      <w:pPr>
        <w:ind w:left="2880" w:hanging="360"/>
      </w:pPr>
    </w:lvl>
    <w:lvl w:ilvl="4" w:tplc="D05E4850" w:tentative="1">
      <w:start w:val="1"/>
      <w:numFmt w:val="lowerLetter"/>
      <w:lvlText w:val="%5."/>
      <w:lvlJc w:val="left"/>
      <w:pPr>
        <w:ind w:left="3600" w:hanging="360"/>
      </w:pPr>
    </w:lvl>
    <w:lvl w:ilvl="5" w:tplc="7D42ECD6" w:tentative="1">
      <w:start w:val="1"/>
      <w:numFmt w:val="lowerRoman"/>
      <w:lvlText w:val="%6."/>
      <w:lvlJc w:val="right"/>
      <w:pPr>
        <w:ind w:left="4320" w:hanging="180"/>
      </w:pPr>
    </w:lvl>
    <w:lvl w:ilvl="6" w:tplc="5964DEDE" w:tentative="1">
      <w:start w:val="1"/>
      <w:numFmt w:val="decimal"/>
      <w:lvlText w:val="%7."/>
      <w:lvlJc w:val="left"/>
      <w:pPr>
        <w:ind w:left="5040" w:hanging="360"/>
      </w:pPr>
    </w:lvl>
    <w:lvl w:ilvl="7" w:tplc="63A8950E" w:tentative="1">
      <w:start w:val="1"/>
      <w:numFmt w:val="lowerLetter"/>
      <w:lvlText w:val="%8."/>
      <w:lvlJc w:val="left"/>
      <w:pPr>
        <w:ind w:left="5760" w:hanging="360"/>
      </w:pPr>
    </w:lvl>
    <w:lvl w:ilvl="8" w:tplc="E26A85F6" w:tentative="1">
      <w:start w:val="1"/>
      <w:numFmt w:val="lowerRoman"/>
      <w:lvlText w:val="%9."/>
      <w:lvlJc w:val="right"/>
      <w:pPr>
        <w:ind w:left="6480" w:hanging="180"/>
      </w:pPr>
    </w:lvl>
  </w:abstractNum>
  <w:abstractNum w:abstractNumId="7" w15:restartNumberingAfterBreak="0">
    <w:nsid w:val="22584A7B"/>
    <w:multiLevelType w:val="hybridMultilevel"/>
    <w:tmpl w:val="B6E29062"/>
    <w:lvl w:ilvl="0" w:tplc="FBDCAD4C">
      <w:start w:val="1"/>
      <w:numFmt w:val="upperLetter"/>
      <w:lvlText w:val="%1."/>
      <w:lvlJc w:val="left"/>
      <w:pPr>
        <w:ind w:left="1131" w:hanging="360"/>
      </w:pPr>
      <w:rPr>
        <w:rFonts w:hint="default"/>
      </w:r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8" w15:restartNumberingAfterBreak="0">
    <w:nsid w:val="25293DB6"/>
    <w:multiLevelType w:val="hybridMultilevel"/>
    <w:tmpl w:val="5A36615E"/>
    <w:lvl w:ilvl="0" w:tplc="CAE687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7A7BE4"/>
    <w:multiLevelType w:val="hybridMultilevel"/>
    <w:tmpl w:val="3968B4C6"/>
    <w:lvl w:ilvl="0" w:tplc="2CE6C440">
      <w:start w:val="1"/>
      <w:numFmt w:val="bullet"/>
      <w:lvlText w:val=""/>
      <w:lvlJc w:val="left"/>
      <w:pPr>
        <w:ind w:left="720" w:hanging="360"/>
      </w:pPr>
      <w:rPr>
        <w:rFonts w:ascii="Symbol" w:hAnsi="Symbol" w:hint="default"/>
      </w:rPr>
    </w:lvl>
    <w:lvl w:ilvl="1" w:tplc="6A1644D2" w:tentative="1">
      <w:start w:val="1"/>
      <w:numFmt w:val="bullet"/>
      <w:lvlText w:val="o"/>
      <w:lvlJc w:val="left"/>
      <w:pPr>
        <w:ind w:left="1440" w:hanging="360"/>
      </w:pPr>
      <w:rPr>
        <w:rFonts w:ascii="Courier New" w:hAnsi="Courier New" w:cs="Courier New" w:hint="default"/>
      </w:rPr>
    </w:lvl>
    <w:lvl w:ilvl="2" w:tplc="85F44336" w:tentative="1">
      <w:start w:val="1"/>
      <w:numFmt w:val="bullet"/>
      <w:lvlText w:val=""/>
      <w:lvlJc w:val="left"/>
      <w:pPr>
        <w:ind w:left="2160" w:hanging="360"/>
      </w:pPr>
      <w:rPr>
        <w:rFonts w:ascii="Wingdings" w:hAnsi="Wingdings" w:hint="default"/>
      </w:rPr>
    </w:lvl>
    <w:lvl w:ilvl="3" w:tplc="D6E82562" w:tentative="1">
      <w:start w:val="1"/>
      <w:numFmt w:val="bullet"/>
      <w:lvlText w:val=""/>
      <w:lvlJc w:val="left"/>
      <w:pPr>
        <w:ind w:left="2880" w:hanging="360"/>
      </w:pPr>
      <w:rPr>
        <w:rFonts w:ascii="Symbol" w:hAnsi="Symbol" w:hint="default"/>
      </w:rPr>
    </w:lvl>
    <w:lvl w:ilvl="4" w:tplc="9934EEA8" w:tentative="1">
      <w:start w:val="1"/>
      <w:numFmt w:val="bullet"/>
      <w:lvlText w:val="o"/>
      <w:lvlJc w:val="left"/>
      <w:pPr>
        <w:ind w:left="3600" w:hanging="360"/>
      </w:pPr>
      <w:rPr>
        <w:rFonts w:ascii="Courier New" w:hAnsi="Courier New" w:cs="Courier New" w:hint="default"/>
      </w:rPr>
    </w:lvl>
    <w:lvl w:ilvl="5" w:tplc="21B8DBBC" w:tentative="1">
      <w:start w:val="1"/>
      <w:numFmt w:val="bullet"/>
      <w:lvlText w:val=""/>
      <w:lvlJc w:val="left"/>
      <w:pPr>
        <w:ind w:left="4320" w:hanging="360"/>
      </w:pPr>
      <w:rPr>
        <w:rFonts w:ascii="Wingdings" w:hAnsi="Wingdings" w:hint="default"/>
      </w:rPr>
    </w:lvl>
    <w:lvl w:ilvl="6" w:tplc="70028FF0" w:tentative="1">
      <w:start w:val="1"/>
      <w:numFmt w:val="bullet"/>
      <w:lvlText w:val=""/>
      <w:lvlJc w:val="left"/>
      <w:pPr>
        <w:ind w:left="5040" w:hanging="360"/>
      </w:pPr>
      <w:rPr>
        <w:rFonts w:ascii="Symbol" w:hAnsi="Symbol" w:hint="default"/>
      </w:rPr>
    </w:lvl>
    <w:lvl w:ilvl="7" w:tplc="6658A3FE" w:tentative="1">
      <w:start w:val="1"/>
      <w:numFmt w:val="bullet"/>
      <w:lvlText w:val="o"/>
      <w:lvlJc w:val="left"/>
      <w:pPr>
        <w:ind w:left="5760" w:hanging="360"/>
      </w:pPr>
      <w:rPr>
        <w:rFonts w:ascii="Courier New" w:hAnsi="Courier New" w:cs="Courier New" w:hint="default"/>
      </w:rPr>
    </w:lvl>
    <w:lvl w:ilvl="8" w:tplc="D65878EC" w:tentative="1">
      <w:start w:val="1"/>
      <w:numFmt w:val="bullet"/>
      <w:lvlText w:val=""/>
      <w:lvlJc w:val="left"/>
      <w:pPr>
        <w:ind w:left="6480" w:hanging="360"/>
      </w:pPr>
      <w:rPr>
        <w:rFonts w:ascii="Wingdings" w:hAnsi="Wingdings" w:hint="default"/>
      </w:rPr>
    </w:lvl>
  </w:abstractNum>
  <w:abstractNum w:abstractNumId="10" w15:restartNumberingAfterBreak="0">
    <w:nsid w:val="2C23679D"/>
    <w:multiLevelType w:val="hybridMultilevel"/>
    <w:tmpl w:val="11E037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309B8"/>
    <w:multiLevelType w:val="hybridMultilevel"/>
    <w:tmpl w:val="0E3205AC"/>
    <w:lvl w:ilvl="0" w:tplc="427AD8F8">
      <w:start w:val="1"/>
      <w:numFmt w:val="bullet"/>
      <w:lvlText w:val=""/>
      <w:lvlJc w:val="left"/>
      <w:pPr>
        <w:ind w:left="720" w:hanging="360"/>
      </w:pPr>
      <w:rPr>
        <w:rFonts w:ascii="Symbol" w:hAnsi="Symbol" w:hint="default"/>
      </w:rPr>
    </w:lvl>
    <w:lvl w:ilvl="1" w:tplc="62E092CE" w:tentative="1">
      <w:start w:val="1"/>
      <w:numFmt w:val="bullet"/>
      <w:lvlText w:val="o"/>
      <w:lvlJc w:val="left"/>
      <w:pPr>
        <w:ind w:left="1440" w:hanging="360"/>
      </w:pPr>
      <w:rPr>
        <w:rFonts w:ascii="Courier New" w:hAnsi="Courier New" w:cs="Courier New" w:hint="default"/>
      </w:rPr>
    </w:lvl>
    <w:lvl w:ilvl="2" w:tplc="6A92BDBA" w:tentative="1">
      <w:start w:val="1"/>
      <w:numFmt w:val="bullet"/>
      <w:lvlText w:val=""/>
      <w:lvlJc w:val="left"/>
      <w:pPr>
        <w:ind w:left="2160" w:hanging="360"/>
      </w:pPr>
      <w:rPr>
        <w:rFonts w:ascii="Wingdings" w:hAnsi="Wingdings" w:hint="default"/>
      </w:rPr>
    </w:lvl>
    <w:lvl w:ilvl="3" w:tplc="35E6091A" w:tentative="1">
      <w:start w:val="1"/>
      <w:numFmt w:val="bullet"/>
      <w:lvlText w:val=""/>
      <w:lvlJc w:val="left"/>
      <w:pPr>
        <w:ind w:left="2880" w:hanging="360"/>
      </w:pPr>
      <w:rPr>
        <w:rFonts w:ascii="Symbol" w:hAnsi="Symbol" w:hint="default"/>
      </w:rPr>
    </w:lvl>
    <w:lvl w:ilvl="4" w:tplc="853E34D4" w:tentative="1">
      <w:start w:val="1"/>
      <w:numFmt w:val="bullet"/>
      <w:lvlText w:val="o"/>
      <w:lvlJc w:val="left"/>
      <w:pPr>
        <w:ind w:left="3600" w:hanging="360"/>
      </w:pPr>
      <w:rPr>
        <w:rFonts w:ascii="Courier New" w:hAnsi="Courier New" w:cs="Courier New" w:hint="default"/>
      </w:rPr>
    </w:lvl>
    <w:lvl w:ilvl="5" w:tplc="2C4E2A64" w:tentative="1">
      <w:start w:val="1"/>
      <w:numFmt w:val="bullet"/>
      <w:lvlText w:val=""/>
      <w:lvlJc w:val="left"/>
      <w:pPr>
        <w:ind w:left="4320" w:hanging="360"/>
      </w:pPr>
      <w:rPr>
        <w:rFonts w:ascii="Wingdings" w:hAnsi="Wingdings" w:hint="default"/>
      </w:rPr>
    </w:lvl>
    <w:lvl w:ilvl="6" w:tplc="9D82F58A" w:tentative="1">
      <w:start w:val="1"/>
      <w:numFmt w:val="bullet"/>
      <w:lvlText w:val=""/>
      <w:lvlJc w:val="left"/>
      <w:pPr>
        <w:ind w:left="5040" w:hanging="360"/>
      </w:pPr>
      <w:rPr>
        <w:rFonts w:ascii="Symbol" w:hAnsi="Symbol" w:hint="default"/>
      </w:rPr>
    </w:lvl>
    <w:lvl w:ilvl="7" w:tplc="3B5803A8" w:tentative="1">
      <w:start w:val="1"/>
      <w:numFmt w:val="bullet"/>
      <w:lvlText w:val="o"/>
      <w:lvlJc w:val="left"/>
      <w:pPr>
        <w:ind w:left="5760" w:hanging="360"/>
      </w:pPr>
      <w:rPr>
        <w:rFonts w:ascii="Courier New" w:hAnsi="Courier New" w:cs="Courier New" w:hint="default"/>
      </w:rPr>
    </w:lvl>
    <w:lvl w:ilvl="8" w:tplc="A1FAA528" w:tentative="1">
      <w:start w:val="1"/>
      <w:numFmt w:val="bullet"/>
      <w:lvlText w:val=""/>
      <w:lvlJc w:val="left"/>
      <w:pPr>
        <w:ind w:left="6480" w:hanging="360"/>
      </w:pPr>
      <w:rPr>
        <w:rFonts w:ascii="Wingdings" w:hAnsi="Wingdings" w:hint="default"/>
      </w:rPr>
    </w:lvl>
  </w:abstractNum>
  <w:abstractNum w:abstractNumId="12" w15:restartNumberingAfterBreak="0">
    <w:nsid w:val="31386430"/>
    <w:multiLevelType w:val="hybridMultilevel"/>
    <w:tmpl w:val="D93EB406"/>
    <w:lvl w:ilvl="0" w:tplc="BA2838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B45352"/>
    <w:multiLevelType w:val="hybridMultilevel"/>
    <w:tmpl w:val="82AC6ADA"/>
    <w:lvl w:ilvl="0" w:tplc="8B828840">
      <w:start w:val="1"/>
      <w:numFmt w:val="decimal"/>
      <w:lvlText w:val="%1."/>
      <w:lvlJc w:val="left"/>
      <w:pPr>
        <w:ind w:left="1080" w:hanging="360"/>
      </w:pPr>
      <w:rPr>
        <w:rFonts w:hint="default"/>
        <w:b/>
      </w:rPr>
    </w:lvl>
    <w:lvl w:ilvl="1" w:tplc="687238E4" w:tentative="1">
      <w:start w:val="1"/>
      <w:numFmt w:val="lowerLetter"/>
      <w:lvlText w:val="%2."/>
      <w:lvlJc w:val="left"/>
      <w:pPr>
        <w:ind w:left="1800" w:hanging="360"/>
      </w:pPr>
    </w:lvl>
    <w:lvl w:ilvl="2" w:tplc="CD140484" w:tentative="1">
      <w:start w:val="1"/>
      <w:numFmt w:val="lowerRoman"/>
      <w:lvlText w:val="%3."/>
      <w:lvlJc w:val="right"/>
      <w:pPr>
        <w:ind w:left="2520" w:hanging="180"/>
      </w:pPr>
    </w:lvl>
    <w:lvl w:ilvl="3" w:tplc="9EC68F7C" w:tentative="1">
      <w:start w:val="1"/>
      <w:numFmt w:val="decimal"/>
      <w:lvlText w:val="%4."/>
      <w:lvlJc w:val="left"/>
      <w:pPr>
        <w:ind w:left="3240" w:hanging="360"/>
      </w:pPr>
    </w:lvl>
    <w:lvl w:ilvl="4" w:tplc="2A2EA540" w:tentative="1">
      <w:start w:val="1"/>
      <w:numFmt w:val="lowerLetter"/>
      <w:lvlText w:val="%5."/>
      <w:lvlJc w:val="left"/>
      <w:pPr>
        <w:ind w:left="3960" w:hanging="360"/>
      </w:pPr>
    </w:lvl>
    <w:lvl w:ilvl="5" w:tplc="21B44EF6" w:tentative="1">
      <w:start w:val="1"/>
      <w:numFmt w:val="lowerRoman"/>
      <w:lvlText w:val="%6."/>
      <w:lvlJc w:val="right"/>
      <w:pPr>
        <w:ind w:left="4680" w:hanging="180"/>
      </w:pPr>
    </w:lvl>
    <w:lvl w:ilvl="6" w:tplc="8E4A2B58" w:tentative="1">
      <w:start w:val="1"/>
      <w:numFmt w:val="decimal"/>
      <w:lvlText w:val="%7."/>
      <w:lvlJc w:val="left"/>
      <w:pPr>
        <w:ind w:left="5400" w:hanging="360"/>
      </w:pPr>
    </w:lvl>
    <w:lvl w:ilvl="7" w:tplc="17CC71AE" w:tentative="1">
      <w:start w:val="1"/>
      <w:numFmt w:val="lowerLetter"/>
      <w:lvlText w:val="%8."/>
      <w:lvlJc w:val="left"/>
      <w:pPr>
        <w:ind w:left="6120" w:hanging="360"/>
      </w:pPr>
    </w:lvl>
    <w:lvl w:ilvl="8" w:tplc="B71C461C" w:tentative="1">
      <w:start w:val="1"/>
      <w:numFmt w:val="lowerRoman"/>
      <w:lvlText w:val="%9."/>
      <w:lvlJc w:val="right"/>
      <w:pPr>
        <w:ind w:left="6840" w:hanging="180"/>
      </w:pPr>
    </w:lvl>
  </w:abstractNum>
  <w:abstractNum w:abstractNumId="14" w15:restartNumberingAfterBreak="0">
    <w:nsid w:val="351118E2"/>
    <w:multiLevelType w:val="hybridMultilevel"/>
    <w:tmpl w:val="B2088AFE"/>
    <w:lvl w:ilvl="0" w:tplc="845A154A">
      <w:start w:val="1"/>
      <w:numFmt w:val="bullet"/>
      <w:lvlText w:val=""/>
      <w:lvlJc w:val="left"/>
      <w:pPr>
        <w:ind w:left="1440" w:hanging="360"/>
      </w:pPr>
      <w:rPr>
        <w:rFonts w:ascii="Symbol" w:hAnsi="Symbol" w:hint="default"/>
      </w:rPr>
    </w:lvl>
    <w:lvl w:ilvl="1" w:tplc="11C64CDC" w:tentative="1">
      <w:start w:val="1"/>
      <w:numFmt w:val="bullet"/>
      <w:lvlText w:val="o"/>
      <w:lvlJc w:val="left"/>
      <w:pPr>
        <w:ind w:left="2160" w:hanging="360"/>
      </w:pPr>
      <w:rPr>
        <w:rFonts w:ascii="Courier New" w:hAnsi="Courier New" w:cs="Courier New" w:hint="default"/>
      </w:rPr>
    </w:lvl>
    <w:lvl w:ilvl="2" w:tplc="085AA8E4" w:tentative="1">
      <w:start w:val="1"/>
      <w:numFmt w:val="bullet"/>
      <w:lvlText w:val=""/>
      <w:lvlJc w:val="left"/>
      <w:pPr>
        <w:ind w:left="2880" w:hanging="360"/>
      </w:pPr>
      <w:rPr>
        <w:rFonts w:ascii="Wingdings" w:hAnsi="Wingdings" w:hint="default"/>
      </w:rPr>
    </w:lvl>
    <w:lvl w:ilvl="3" w:tplc="D6A2BD52" w:tentative="1">
      <w:start w:val="1"/>
      <w:numFmt w:val="bullet"/>
      <w:lvlText w:val=""/>
      <w:lvlJc w:val="left"/>
      <w:pPr>
        <w:ind w:left="3600" w:hanging="360"/>
      </w:pPr>
      <w:rPr>
        <w:rFonts w:ascii="Symbol" w:hAnsi="Symbol" w:hint="default"/>
      </w:rPr>
    </w:lvl>
    <w:lvl w:ilvl="4" w:tplc="7F7E8624" w:tentative="1">
      <w:start w:val="1"/>
      <w:numFmt w:val="bullet"/>
      <w:lvlText w:val="o"/>
      <w:lvlJc w:val="left"/>
      <w:pPr>
        <w:ind w:left="4320" w:hanging="360"/>
      </w:pPr>
      <w:rPr>
        <w:rFonts w:ascii="Courier New" w:hAnsi="Courier New" w:cs="Courier New" w:hint="default"/>
      </w:rPr>
    </w:lvl>
    <w:lvl w:ilvl="5" w:tplc="839A3BEE" w:tentative="1">
      <w:start w:val="1"/>
      <w:numFmt w:val="bullet"/>
      <w:lvlText w:val=""/>
      <w:lvlJc w:val="left"/>
      <w:pPr>
        <w:ind w:left="5040" w:hanging="360"/>
      </w:pPr>
      <w:rPr>
        <w:rFonts w:ascii="Wingdings" w:hAnsi="Wingdings" w:hint="default"/>
      </w:rPr>
    </w:lvl>
    <w:lvl w:ilvl="6" w:tplc="8EE2D526" w:tentative="1">
      <w:start w:val="1"/>
      <w:numFmt w:val="bullet"/>
      <w:lvlText w:val=""/>
      <w:lvlJc w:val="left"/>
      <w:pPr>
        <w:ind w:left="5760" w:hanging="360"/>
      </w:pPr>
      <w:rPr>
        <w:rFonts w:ascii="Symbol" w:hAnsi="Symbol" w:hint="default"/>
      </w:rPr>
    </w:lvl>
    <w:lvl w:ilvl="7" w:tplc="B880840A" w:tentative="1">
      <w:start w:val="1"/>
      <w:numFmt w:val="bullet"/>
      <w:lvlText w:val="o"/>
      <w:lvlJc w:val="left"/>
      <w:pPr>
        <w:ind w:left="6480" w:hanging="360"/>
      </w:pPr>
      <w:rPr>
        <w:rFonts w:ascii="Courier New" w:hAnsi="Courier New" w:cs="Courier New" w:hint="default"/>
      </w:rPr>
    </w:lvl>
    <w:lvl w:ilvl="8" w:tplc="DABAB1E2" w:tentative="1">
      <w:start w:val="1"/>
      <w:numFmt w:val="bullet"/>
      <w:lvlText w:val=""/>
      <w:lvlJc w:val="left"/>
      <w:pPr>
        <w:ind w:left="7200" w:hanging="360"/>
      </w:pPr>
      <w:rPr>
        <w:rFonts w:ascii="Wingdings" w:hAnsi="Wingdings" w:hint="default"/>
      </w:rPr>
    </w:lvl>
  </w:abstractNum>
  <w:abstractNum w:abstractNumId="15" w15:restartNumberingAfterBreak="0">
    <w:nsid w:val="36535F38"/>
    <w:multiLevelType w:val="hybridMultilevel"/>
    <w:tmpl w:val="5B30A2BA"/>
    <w:lvl w:ilvl="0" w:tplc="71C29856">
      <w:start w:val="1"/>
      <w:numFmt w:val="decimal"/>
      <w:lvlText w:val="%1."/>
      <w:lvlJc w:val="left"/>
      <w:pPr>
        <w:ind w:left="720" w:hanging="360"/>
      </w:pPr>
      <w:rPr>
        <w:rFonts w:hint="default"/>
      </w:rPr>
    </w:lvl>
    <w:lvl w:ilvl="1" w:tplc="93FC8F58">
      <w:start w:val="1"/>
      <w:numFmt w:val="lowerLetter"/>
      <w:lvlText w:val="%2."/>
      <w:lvlJc w:val="left"/>
      <w:pPr>
        <w:ind w:left="1440" w:hanging="360"/>
      </w:pPr>
    </w:lvl>
    <w:lvl w:ilvl="2" w:tplc="AB545434" w:tentative="1">
      <w:start w:val="1"/>
      <w:numFmt w:val="lowerRoman"/>
      <w:lvlText w:val="%3."/>
      <w:lvlJc w:val="right"/>
      <w:pPr>
        <w:ind w:left="2160" w:hanging="180"/>
      </w:pPr>
    </w:lvl>
    <w:lvl w:ilvl="3" w:tplc="E54C24A0" w:tentative="1">
      <w:start w:val="1"/>
      <w:numFmt w:val="decimal"/>
      <w:lvlText w:val="%4."/>
      <w:lvlJc w:val="left"/>
      <w:pPr>
        <w:ind w:left="2880" w:hanging="360"/>
      </w:pPr>
    </w:lvl>
    <w:lvl w:ilvl="4" w:tplc="90A0BCC2" w:tentative="1">
      <w:start w:val="1"/>
      <w:numFmt w:val="lowerLetter"/>
      <w:lvlText w:val="%5."/>
      <w:lvlJc w:val="left"/>
      <w:pPr>
        <w:ind w:left="3600" w:hanging="360"/>
      </w:pPr>
    </w:lvl>
    <w:lvl w:ilvl="5" w:tplc="F3EC5424" w:tentative="1">
      <w:start w:val="1"/>
      <w:numFmt w:val="lowerRoman"/>
      <w:lvlText w:val="%6."/>
      <w:lvlJc w:val="right"/>
      <w:pPr>
        <w:ind w:left="4320" w:hanging="180"/>
      </w:pPr>
    </w:lvl>
    <w:lvl w:ilvl="6" w:tplc="729420E8" w:tentative="1">
      <w:start w:val="1"/>
      <w:numFmt w:val="decimal"/>
      <w:lvlText w:val="%7."/>
      <w:lvlJc w:val="left"/>
      <w:pPr>
        <w:ind w:left="5040" w:hanging="360"/>
      </w:pPr>
    </w:lvl>
    <w:lvl w:ilvl="7" w:tplc="D3840C7E" w:tentative="1">
      <w:start w:val="1"/>
      <w:numFmt w:val="lowerLetter"/>
      <w:lvlText w:val="%8."/>
      <w:lvlJc w:val="left"/>
      <w:pPr>
        <w:ind w:left="5760" w:hanging="360"/>
      </w:pPr>
    </w:lvl>
    <w:lvl w:ilvl="8" w:tplc="B3B6EC9A" w:tentative="1">
      <w:start w:val="1"/>
      <w:numFmt w:val="lowerRoman"/>
      <w:lvlText w:val="%9."/>
      <w:lvlJc w:val="right"/>
      <w:pPr>
        <w:ind w:left="6480" w:hanging="180"/>
      </w:pPr>
    </w:lvl>
  </w:abstractNum>
  <w:abstractNum w:abstractNumId="16" w15:restartNumberingAfterBreak="0">
    <w:nsid w:val="39634BC5"/>
    <w:multiLevelType w:val="multilevel"/>
    <w:tmpl w:val="0C72C4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D12150B"/>
    <w:multiLevelType w:val="hybridMultilevel"/>
    <w:tmpl w:val="60809D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06080F"/>
    <w:multiLevelType w:val="hybridMultilevel"/>
    <w:tmpl w:val="7B0A9ACE"/>
    <w:lvl w:ilvl="0" w:tplc="C79C3900">
      <w:start w:val="1"/>
      <w:numFmt w:val="bullet"/>
      <w:lvlText w:val="o"/>
      <w:lvlJc w:val="left"/>
      <w:pPr>
        <w:ind w:left="2160" w:hanging="360"/>
      </w:pPr>
      <w:rPr>
        <w:rFonts w:ascii="Courier New" w:hAnsi="Courier New" w:cs="Courier New" w:hint="default"/>
      </w:rPr>
    </w:lvl>
    <w:lvl w:ilvl="1" w:tplc="35B24610" w:tentative="1">
      <w:start w:val="1"/>
      <w:numFmt w:val="bullet"/>
      <w:lvlText w:val="o"/>
      <w:lvlJc w:val="left"/>
      <w:pPr>
        <w:ind w:left="2880" w:hanging="360"/>
      </w:pPr>
      <w:rPr>
        <w:rFonts w:ascii="Courier New" w:hAnsi="Courier New" w:cs="Courier New" w:hint="default"/>
      </w:rPr>
    </w:lvl>
    <w:lvl w:ilvl="2" w:tplc="4FF4C026" w:tentative="1">
      <w:start w:val="1"/>
      <w:numFmt w:val="bullet"/>
      <w:lvlText w:val=""/>
      <w:lvlJc w:val="left"/>
      <w:pPr>
        <w:ind w:left="3600" w:hanging="360"/>
      </w:pPr>
      <w:rPr>
        <w:rFonts w:ascii="Wingdings" w:hAnsi="Wingdings" w:hint="default"/>
      </w:rPr>
    </w:lvl>
    <w:lvl w:ilvl="3" w:tplc="FCBEC406" w:tentative="1">
      <w:start w:val="1"/>
      <w:numFmt w:val="bullet"/>
      <w:lvlText w:val=""/>
      <w:lvlJc w:val="left"/>
      <w:pPr>
        <w:ind w:left="4320" w:hanging="360"/>
      </w:pPr>
      <w:rPr>
        <w:rFonts w:ascii="Symbol" w:hAnsi="Symbol" w:hint="default"/>
      </w:rPr>
    </w:lvl>
    <w:lvl w:ilvl="4" w:tplc="B5EEFE6C" w:tentative="1">
      <w:start w:val="1"/>
      <w:numFmt w:val="bullet"/>
      <w:lvlText w:val="o"/>
      <w:lvlJc w:val="left"/>
      <w:pPr>
        <w:ind w:left="5040" w:hanging="360"/>
      </w:pPr>
      <w:rPr>
        <w:rFonts w:ascii="Courier New" w:hAnsi="Courier New" w:cs="Courier New" w:hint="default"/>
      </w:rPr>
    </w:lvl>
    <w:lvl w:ilvl="5" w:tplc="25FECE40" w:tentative="1">
      <w:start w:val="1"/>
      <w:numFmt w:val="bullet"/>
      <w:lvlText w:val=""/>
      <w:lvlJc w:val="left"/>
      <w:pPr>
        <w:ind w:left="5760" w:hanging="360"/>
      </w:pPr>
      <w:rPr>
        <w:rFonts w:ascii="Wingdings" w:hAnsi="Wingdings" w:hint="default"/>
      </w:rPr>
    </w:lvl>
    <w:lvl w:ilvl="6" w:tplc="27761D86" w:tentative="1">
      <w:start w:val="1"/>
      <w:numFmt w:val="bullet"/>
      <w:lvlText w:val=""/>
      <w:lvlJc w:val="left"/>
      <w:pPr>
        <w:ind w:left="6480" w:hanging="360"/>
      </w:pPr>
      <w:rPr>
        <w:rFonts w:ascii="Symbol" w:hAnsi="Symbol" w:hint="default"/>
      </w:rPr>
    </w:lvl>
    <w:lvl w:ilvl="7" w:tplc="01F807C2" w:tentative="1">
      <w:start w:val="1"/>
      <w:numFmt w:val="bullet"/>
      <w:lvlText w:val="o"/>
      <w:lvlJc w:val="left"/>
      <w:pPr>
        <w:ind w:left="7200" w:hanging="360"/>
      </w:pPr>
      <w:rPr>
        <w:rFonts w:ascii="Courier New" w:hAnsi="Courier New" w:cs="Courier New" w:hint="default"/>
      </w:rPr>
    </w:lvl>
    <w:lvl w:ilvl="8" w:tplc="F81AB180" w:tentative="1">
      <w:start w:val="1"/>
      <w:numFmt w:val="bullet"/>
      <w:lvlText w:val=""/>
      <w:lvlJc w:val="left"/>
      <w:pPr>
        <w:ind w:left="7920" w:hanging="360"/>
      </w:pPr>
      <w:rPr>
        <w:rFonts w:ascii="Wingdings" w:hAnsi="Wingdings" w:hint="default"/>
      </w:rPr>
    </w:lvl>
  </w:abstractNum>
  <w:abstractNum w:abstractNumId="19" w15:restartNumberingAfterBreak="0">
    <w:nsid w:val="402C10CB"/>
    <w:multiLevelType w:val="hybridMultilevel"/>
    <w:tmpl w:val="14F0A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350D0C"/>
    <w:multiLevelType w:val="hybridMultilevel"/>
    <w:tmpl w:val="318C0E22"/>
    <w:lvl w:ilvl="0" w:tplc="D5E08CB2">
      <w:start w:val="1"/>
      <w:numFmt w:val="decimal"/>
      <w:lvlText w:val="%1."/>
      <w:lvlJc w:val="left"/>
      <w:pPr>
        <w:ind w:left="720" w:hanging="360"/>
      </w:pPr>
    </w:lvl>
    <w:lvl w:ilvl="1" w:tplc="290AB032">
      <w:start w:val="1"/>
      <w:numFmt w:val="lowerLetter"/>
      <w:lvlText w:val="%2."/>
      <w:lvlJc w:val="left"/>
      <w:pPr>
        <w:ind w:left="1440" w:hanging="360"/>
      </w:pPr>
    </w:lvl>
    <w:lvl w:ilvl="2" w:tplc="10E0BCB8" w:tentative="1">
      <w:start w:val="1"/>
      <w:numFmt w:val="lowerRoman"/>
      <w:lvlText w:val="%3."/>
      <w:lvlJc w:val="right"/>
      <w:pPr>
        <w:ind w:left="2160" w:hanging="180"/>
      </w:pPr>
    </w:lvl>
    <w:lvl w:ilvl="3" w:tplc="4D9254C0" w:tentative="1">
      <w:start w:val="1"/>
      <w:numFmt w:val="decimal"/>
      <w:lvlText w:val="%4."/>
      <w:lvlJc w:val="left"/>
      <w:pPr>
        <w:ind w:left="2880" w:hanging="360"/>
      </w:pPr>
    </w:lvl>
    <w:lvl w:ilvl="4" w:tplc="AA74ADC0" w:tentative="1">
      <w:start w:val="1"/>
      <w:numFmt w:val="lowerLetter"/>
      <w:lvlText w:val="%5."/>
      <w:lvlJc w:val="left"/>
      <w:pPr>
        <w:ind w:left="3600" w:hanging="360"/>
      </w:pPr>
    </w:lvl>
    <w:lvl w:ilvl="5" w:tplc="2BAE04C0" w:tentative="1">
      <w:start w:val="1"/>
      <w:numFmt w:val="lowerRoman"/>
      <w:lvlText w:val="%6."/>
      <w:lvlJc w:val="right"/>
      <w:pPr>
        <w:ind w:left="4320" w:hanging="180"/>
      </w:pPr>
    </w:lvl>
    <w:lvl w:ilvl="6" w:tplc="83E20484" w:tentative="1">
      <w:start w:val="1"/>
      <w:numFmt w:val="decimal"/>
      <w:lvlText w:val="%7."/>
      <w:lvlJc w:val="left"/>
      <w:pPr>
        <w:ind w:left="5040" w:hanging="360"/>
      </w:pPr>
    </w:lvl>
    <w:lvl w:ilvl="7" w:tplc="B73AAA86" w:tentative="1">
      <w:start w:val="1"/>
      <w:numFmt w:val="lowerLetter"/>
      <w:lvlText w:val="%8."/>
      <w:lvlJc w:val="left"/>
      <w:pPr>
        <w:ind w:left="5760" w:hanging="360"/>
      </w:pPr>
    </w:lvl>
    <w:lvl w:ilvl="8" w:tplc="64D477BA" w:tentative="1">
      <w:start w:val="1"/>
      <w:numFmt w:val="lowerRoman"/>
      <w:lvlText w:val="%9."/>
      <w:lvlJc w:val="right"/>
      <w:pPr>
        <w:ind w:left="6480" w:hanging="180"/>
      </w:pPr>
    </w:lvl>
  </w:abstractNum>
  <w:abstractNum w:abstractNumId="21" w15:restartNumberingAfterBreak="0">
    <w:nsid w:val="454C41D7"/>
    <w:multiLevelType w:val="hybridMultilevel"/>
    <w:tmpl w:val="51B0668E"/>
    <w:lvl w:ilvl="0" w:tplc="833C332A">
      <w:start w:val="1"/>
      <w:numFmt w:val="decimal"/>
      <w:lvlText w:val="%1."/>
      <w:lvlJc w:val="left"/>
      <w:pPr>
        <w:ind w:left="720" w:hanging="360"/>
      </w:pPr>
      <w:rPr>
        <w:rFonts w:hint="default"/>
      </w:rPr>
    </w:lvl>
    <w:lvl w:ilvl="1" w:tplc="1AF69D50" w:tentative="1">
      <w:start w:val="1"/>
      <w:numFmt w:val="lowerLetter"/>
      <w:lvlText w:val="%2."/>
      <w:lvlJc w:val="left"/>
      <w:pPr>
        <w:ind w:left="1440" w:hanging="360"/>
      </w:pPr>
    </w:lvl>
    <w:lvl w:ilvl="2" w:tplc="A43AF0DC" w:tentative="1">
      <w:start w:val="1"/>
      <w:numFmt w:val="lowerRoman"/>
      <w:lvlText w:val="%3."/>
      <w:lvlJc w:val="right"/>
      <w:pPr>
        <w:ind w:left="2160" w:hanging="180"/>
      </w:pPr>
    </w:lvl>
    <w:lvl w:ilvl="3" w:tplc="C442CE26" w:tentative="1">
      <w:start w:val="1"/>
      <w:numFmt w:val="decimal"/>
      <w:lvlText w:val="%4."/>
      <w:lvlJc w:val="left"/>
      <w:pPr>
        <w:ind w:left="2880" w:hanging="360"/>
      </w:pPr>
    </w:lvl>
    <w:lvl w:ilvl="4" w:tplc="42C86C76" w:tentative="1">
      <w:start w:val="1"/>
      <w:numFmt w:val="lowerLetter"/>
      <w:lvlText w:val="%5."/>
      <w:lvlJc w:val="left"/>
      <w:pPr>
        <w:ind w:left="3600" w:hanging="360"/>
      </w:pPr>
    </w:lvl>
    <w:lvl w:ilvl="5" w:tplc="464AE502" w:tentative="1">
      <w:start w:val="1"/>
      <w:numFmt w:val="lowerRoman"/>
      <w:lvlText w:val="%6."/>
      <w:lvlJc w:val="right"/>
      <w:pPr>
        <w:ind w:left="4320" w:hanging="180"/>
      </w:pPr>
    </w:lvl>
    <w:lvl w:ilvl="6" w:tplc="240C6014" w:tentative="1">
      <w:start w:val="1"/>
      <w:numFmt w:val="decimal"/>
      <w:lvlText w:val="%7."/>
      <w:lvlJc w:val="left"/>
      <w:pPr>
        <w:ind w:left="5040" w:hanging="360"/>
      </w:pPr>
    </w:lvl>
    <w:lvl w:ilvl="7" w:tplc="32F40EEC" w:tentative="1">
      <w:start w:val="1"/>
      <w:numFmt w:val="lowerLetter"/>
      <w:lvlText w:val="%8."/>
      <w:lvlJc w:val="left"/>
      <w:pPr>
        <w:ind w:left="5760" w:hanging="360"/>
      </w:pPr>
    </w:lvl>
    <w:lvl w:ilvl="8" w:tplc="E0A81844" w:tentative="1">
      <w:start w:val="1"/>
      <w:numFmt w:val="lowerRoman"/>
      <w:lvlText w:val="%9."/>
      <w:lvlJc w:val="right"/>
      <w:pPr>
        <w:ind w:left="6480" w:hanging="180"/>
      </w:pPr>
    </w:lvl>
  </w:abstractNum>
  <w:abstractNum w:abstractNumId="22" w15:restartNumberingAfterBreak="0">
    <w:nsid w:val="47542E0C"/>
    <w:multiLevelType w:val="hybridMultilevel"/>
    <w:tmpl w:val="613C9510"/>
    <w:lvl w:ilvl="0" w:tplc="FFFFFFFF">
      <w:start w:val="1"/>
      <w:numFmt w:val="upperLetter"/>
      <w:lvlText w:val="%1."/>
      <w:lvlJc w:val="left"/>
      <w:pPr>
        <w:ind w:left="720" w:hanging="360"/>
      </w:pPr>
      <w:rPr>
        <w:rFonts w:hint="default"/>
        <w:b/>
        <w:bCs w:val="0"/>
        <w:sz w:val="24"/>
        <w:szCs w:val="24"/>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2B509A"/>
    <w:multiLevelType w:val="hybridMultilevel"/>
    <w:tmpl w:val="BC8E0A0C"/>
    <w:lvl w:ilvl="0" w:tplc="C6A2AF46">
      <w:start w:val="1"/>
      <w:numFmt w:val="bullet"/>
      <w:lvlText w:val=""/>
      <w:lvlJc w:val="left"/>
      <w:pPr>
        <w:ind w:left="720" w:hanging="360"/>
      </w:pPr>
      <w:rPr>
        <w:rFonts w:ascii="Symbol" w:hAnsi="Symbol" w:hint="default"/>
      </w:rPr>
    </w:lvl>
    <w:lvl w:ilvl="1" w:tplc="C0121F86">
      <w:start w:val="1"/>
      <w:numFmt w:val="bullet"/>
      <w:lvlText w:val="o"/>
      <w:lvlJc w:val="left"/>
      <w:pPr>
        <w:ind w:left="1440" w:hanging="360"/>
      </w:pPr>
      <w:rPr>
        <w:rFonts w:ascii="Courier New" w:hAnsi="Courier New" w:cs="Courier New" w:hint="default"/>
      </w:rPr>
    </w:lvl>
    <w:lvl w:ilvl="2" w:tplc="C7A6B50C" w:tentative="1">
      <w:start w:val="1"/>
      <w:numFmt w:val="bullet"/>
      <w:lvlText w:val=""/>
      <w:lvlJc w:val="left"/>
      <w:pPr>
        <w:ind w:left="2160" w:hanging="360"/>
      </w:pPr>
      <w:rPr>
        <w:rFonts w:ascii="Wingdings" w:hAnsi="Wingdings" w:hint="default"/>
      </w:rPr>
    </w:lvl>
    <w:lvl w:ilvl="3" w:tplc="1C5ECD2A" w:tentative="1">
      <w:start w:val="1"/>
      <w:numFmt w:val="bullet"/>
      <w:lvlText w:val=""/>
      <w:lvlJc w:val="left"/>
      <w:pPr>
        <w:ind w:left="2880" w:hanging="360"/>
      </w:pPr>
      <w:rPr>
        <w:rFonts w:ascii="Symbol" w:hAnsi="Symbol" w:hint="default"/>
      </w:rPr>
    </w:lvl>
    <w:lvl w:ilvl="4" w:tplc="6D8044EA" w:tentative="1">
      <w:start w:val="1"/>
      <w:numFmt w:val="bullet"/>
      <w:lvlText w:val="o"/>
      <w:lvlJc w:val="left"/>
      <w:pPr>
        <w:ind w:left="3600" w:hanging="360"/>
      </w:pPr>
      <w:rPr>
        <w:rFonts w:ascii="Courier New" w:hAnsi="Courier New" w:cs="Courier New" w:hint="default"/>
      </w:rPr>
    </w:lvl>
    <w:lvl w:ilvl="5" w:tplc="2E18D7B8" w:tentative="1">
      <w:start w:val="1"/>
      <w:numFmt w:val="bullet"/>
      <w:lvlText w:val=""/>
      <w:lvlJc w:val="left"/>
      <w:pPr>
        <w:ind w:left="4320" w:hanging="360"/>
      </w:pPr>
      <w:rPr>
        <w:rFonts w:ascii="Wingdings" w:hAnsi="Wingdings" w:hint="default"/>
      </w:rPr>
    </w:lvl>
    <w:lvl w:ilvl="6" w:tplc="32C6367A" w:tentative="1">
      <w:start w:val="1"/>
      <w:numFmt w:val="bullet"/>
      <w:lvlText w:val=""/>
      <w:lvlJc w:val="left"/>
      <w:pPr>
        <w:ind w:left="5040" w:hanging="360"/>
      </w:pPr>
      <w:rPr>
        <w:rFonts w:ascii="Symbol" w:hAnsi="Symbol" w:hint="default"/>
      </w:rPr>
    </w:lvl>
    <w:lvl w:ilvl="7" w:tplc="2EDAD9B4" w:tentative="1">
      <w:start w:val="1"/>
      <w:numFmt w:val="bullet"/>
      <w:lvlText w:val="o"/>
      <w:lvlJc w:val="left"/>
      <w:pPr>
        <w:ind w:left="5760" w:hanging="360"/>
      </w:pPr>
      <w:rPr>
        <w:rFonts w:ascii="Courier New" w:hAnsi="Courier New" w:cs="Courier New" w:hint="default"/>
      </w:rPr>
    </w:lvl>
    <w:lvl w:ilvl="8" w:tplc="5A7EEDC6" w:tentative="1">
      <w:start w:val="1"/>
      <w:numFmt w:val="bullet"/>
      <w:lvlText w:val=""/>
      <w:lvlJc w:val="left"/>
      <w:pPr>
        <w:ind w:left="6480" w:hanging="360"/>
      </w:pPr>
      <w:rPr>
        <w:rFonts w:ascii="Wingdings" w:hAnsi="Wingdings" w:hint="default"/>
      </w:rPr>
    </w:lvl>
  </w:abstractNum>
  <w:abstractNum w:abstractNumId="24" w15:restartNumberingAfterBreak="0">
    <w:nsid w:val="4AA56A94"/>
    <w:multiLevelType w:val="hybridMultilevel"/>
    <w:tmpl w:val="F25665CA"/>
    <w:lvl w:ilvl="0" w:tplc="98E40DC2">
      <w:start w:val="1"/>
      <w:numFmt w:val="bullet"/>
      <w:lvlText w:val=""/>
      <w:lvlJc w:val="left"/>
      <w:pPr>
        <w:ind w:left="2160" w:hanging="360"/>
      </w:pPr>
      <w:rPr>
        <w:rFonts w:ascii="Symbol" w:hAnsi="Symbol" w:hint="default"/>
      </w:rPr>
    </w:lvl>
    <w:lvl w:ilvl="1" w:tplc="483A2B24" w:tentative="1">
      <w:start w:val="1"/>
      <w:numFmt w:val="bullet"/>
      <w:lvlText w:val="o"/>
      <w:lvlJc w:val="left"/>
      <w:pPr>
        <w:ind w:left="2880" w:hanging="360"/>
      </w:pPr>
      <w:rPr>
        <w:rFonts w:ascii="Courier New" w:hAnsi="Courier New" w:cs="Courier New" w:hint="default"/>
      </w:rPr>
    </w:lvl>
    <w:lvl w:ilvl="2" w:tplc="782A5536" w:tentative="1">
      <w:start w:val="1"/>
      <w:numFmt w:val="bullet"/>
      <w:lvlText w:val=""/>
      <w:lvlJc w:val="left"/>
      <w:pPr>
        <w:ind w:left="3600" w:hanging="360"/>
      </w:pPr>
      <w:rPr>
        <w:rFonts w:ascii="Wingdings" w:hAnsi="Wingdings" w:hint="default"/>
      </w:rPr>
    </w:lvl>
    <w:lvl w:ilvl="3" w:tplc="7918342C" w:tentative="1">
      <w:start w:val="1"/>
      <w:numFmt w:val="bullet"/>
      <w:lvlText w:val=""/>
      <w:lvlJc w:val="left"/>
      <w:pPr>
        <w:ind w:left="4320" w:hanging="360"/>
      </w:pPr>
      <w:rPr>
        <w:rFonts w:ascii="Symbol" w:hAnsi="Symbol" w:hint="default"/>
      </w:rPr>
    </w:lvl>
    <w:lvl w:ilvl="4" w:tplc="073E2160" w:tentative="1">
      <w:start w:val="1"/>
      <w:numFmt w:val="bullet"/>
      <w:lvlText w:val="o"/>
      <w:lvlJc w:val="left"/>
      <w:pPr>
        <w:ind w:left="5040" w:hanging="360"/>
      </w:pPr>
      <w:rPr>
        <w:rFonts w:ascii="Courier New" w:hAnsi="Courier New" w:cs="Courier New" w:hint="default"/>
      </w:rPr>
    </w:lvl>
    <w:lvl w:ilvl="5" w:tplc="E49261F6" w:tentative="1">
      <w:start w:val="1"/>
      <w:numFmt w:val="bullet"/>
      <w:lvlText w:val=""/>
      <w:lvlJc w:val="left"/>
      <w:pPr>
        <w:ind w:left="5760" w:hanging="360"/>
      </w:pPr>
      <w:rPr>
        <w:rFonts w:ascii="Wingdings" w:hAnsi="Wingdings" w:hint="default"/>
      </w:rPr>
    </w:lvl>
    <w:lvl w:ilvl="6" w:tplc="713A3484" w:tentative="1">
      <w:start w:val="1"/>
      <w:numFmt w:val="bullet"/>
      <w:lvlText w:val=""/>
      <w:lvlJc w:val="left"/>
      <w:pPr>
        <w:ind w:left="6480" w:hanging="360"/>
      </w:pPr>
      <w:rPr>
        <w:rFonts w:ascii="Symbol" w:hAnsi="Symbol" w:hint="default"/>
      </w:rPr>
    </w:lvl>
    <w:lvl w:ilvl="7" w:tplc="0D8E5A1E" w:tentative="1">
      <w:start w:val="1"/>
      <w:numFmt w:val="bullet"/>
      <w:lvlText w:val="o"/>
      <w:lvlJc w:val="left"/>
      <w:pPr>
        <w:ind w:left="7200" w:hanging="360"/>
      </w:pPr>
      <w:rPr>
        <w:rFonts w:ascii="Courier New" w:hAnsi="Courier New" w:cs="Courier New" w:hint="default"/>
      </w:rPr>
    </w:lvl>
    <w:lvl w:ilvl="8" w:tplc="9E883EB4" w:tentative="1">
      <w:start w:val="1"/>
      <w:numFmt w:val="bullet"/>
      <w:lvlText w:val=""/>
      <w:lvlJc w:val="left"/>
      <w:pPr>
        <w:ind w:left="7920" w:hanging="360"/>
      </w:pPr>
      <w:rPr>
        <w:rFonts w:ascii="Wingdings" w:hAnsi="Wingdings" w:hint="default"/>
      </w:rPr>
    </w:lvl>
  </w:abstractNum>
  <w:abstractNum w:abstractNumId="25" w15:restartNumberingAfterBreak="0">
    <w:nsid w:val="4AC23EA2"/>
    <w:multiLevelType w:val="hybridMultilevel"/>
    <w:tmpl w:val="1C508E48"/>
    <w:lvl w:ilvl="0" w:tplc="5F8E2540">
      <w:start w:val="1"/>
      <w:numFmt w:val="bullet"/>
      <w:lvlText w:val=""/>
      <w:lvlJc w:val="left"/>
      <w:pPr>
        <w:ind w:left="720" w:hanging="360"/>
      </w:pPr>
      <w:rPr>
        <w:rFonts w:ascii="Symbol" w:hAnsi="Symbol" w:hint="default"/>
      </w:rPr>
    </w:lvl>
    <w:lvl w:ilvl="1" w:tplc="65EA4034" w:tentative="1">
      <w:start w:val="1"/>
      <w:numFmt w:val="bullet"/>
      <w:lvlText w:val="o"/>
      <w:lvlJc w:val="left"/>
      <w:pPr>
        <w:ind w:left="1440" w:hanging="360"/>
      </w:pPr>
      <w:rPr>
        <w:rFonts w:ascii="Courier New" w:hAnsi="Courier New" w:cs="Courier New" w:hint="default"/>
      </w:rPr>
    </w:lvl>
    <w:lvl w:ilvl="2" w:tplc="6B3E9D32" w:tentative="1">
      <w:start w:val="1"/>
      <w:numFmt w:val="bullet"/>
      <w:lvlText w:val=""/>
      <w:lvlJc w:val="left"/>
      <w:pPr>
        <w:ind w:left="2160" w:hanging="360"/>
      </w:pPr>
      <w:rPr>
        <w:rFonts w:ascii="Wingdings" w:hAnsi="Wingdings" w:hint="default"/>
      </w:rPr>
    </w:lvl>
    <w:lvl w:ilvl="3" w:tplc="FA423C60" w:tentative="1">
      <w:start w:val="1"/>
      <w:numFmt w:val="bullet"/>
      <w:lvlText w:val=""/>
      <w:lvlJc w:val="left"/>
      <w:pPr>
        <w:ind w:left="2880" w:hanging="360"/>
      </w:pPr>
      <w:rPr>
        <w:rFonts w:ascii="Symbol" w:hAnsi="Symbol" w:hint="default"/>
      </w:rPr>
    </w:lvl>
    <w:lvl w:ilvl="4" w:tplc="88582748" w:tentative="1">
      <w:start w:val="1"/>
      <w:numFmt w:val="bullet"/>
      <w:lvlText w:val="o"/>
      <w:lvlJc w:val="left"/>
      <w:pPr>
        <w:ind w:left="3600" w:hanging="360"/>
      </w:pPr>
      <w:rPr>
        <w:rFonts w:ascii="Courier New" w:hAnsi="Courier New" w:cs="Courier New" w:hint="default"/>
      </w:rPr>
    </w:lvl>
    <w:lvl w:ilvl="5" w:tplc="79E6088E" w:tentative="1">
      <w:start w:val="1"/>
      <w:numFmt w:val="bullet"/>
      <w:lvlText w:val=""/>
      <w:lvlJc w:val="left"/>
      <w:pPr>
        <w:ind w:left="4320" w:hanging="360"/>
      </w:pPr>
      <w:rPr>
        <w:rFonts w:ascii="Wingdings" w:hAnsi="Wingdings" w:hint="default"/>
      </w:rPr>
    </w:lvl>
    <w:lvl w:ilvl="6" w:tplc="752A2764" w:tentative="1">
      <w:start w:val="1"/>
      <w:numFmt w:val="bullet"/>
      <w:lvlText w:val=""/>
      <w:lvlJc w:val="left"/>
      <w:pPr>
        <w:ind w:left="5040" w:hanging="360"/>
      </w:pPr>
      <w:rPr>
        <w:rFonts w:ascii="Symbol" w:hAnsi="Symbol" w:hint="default"/>
      </w:rPr>
    </w:lvl>
    <w:lvl w:ilvl="7" w:tplc="B0821FFE" w:tentative="1">
      <w:start w:val="1"/>
      <w:numFmt w:val="bullet"/>
      <w:lvlText w:val="o"/>
      <w:lvlJc w:val="left"/>
      <w:pPr>
        <w:ind w:left="5760" w:hanging="360"/>
      </w:pPr>
      <w:rPr>
        <w:rFonts w:ascii="Courier New" w:hAnsi="Courier New" w:cs="Courier New" w:hint="default"/>
      </w:rPr>
    </w:lvl>
    <w:lvl w:ilvl="8" w:tplc="C526F232" w:tentative="1">
      <w:start w:val="1"/>
      <w:numFmt w:val="bullet"/>
      <w:lvlText w:val=""/>
      <w:lvlJc w:val="left"/>
      <w:pPr>
        <w:ind w:left="6480" w:hanging="360"/>
      </w:pPr>
      <w:rPr>
        <w:rFonts w:ascii="Wingdings" w:hAnsi="Wingdings" w:hint="default"/>
      </w:rPr>
    </w:lvl>
  </w:abstractNum>
  <w:abstractNum w:abstractNumId="26" w15:restartNumberingAfterBreak="0">
    <w:nsid w:val="4D6A32DB"/>
    <w:multiLevelType w:val="hybridMultilevel"/>
    <w:tmpl w:val="318C0E22"/>
    <w:lvl w:ilvl="0" w:tplc="4E4044AE">
      <w:start w:val="1"/>
      <w:numFmt w:val="decimal"/>
      <w:lvlText w:val="%1."/>
      <w:lvlJc w:val="left"/>
      <w:pPr>
        <w:ind w:left="720" w:hanging="360"/>
      </w:pPr>
    </w:lvl>
    <w:lvl w:ilvl="1" w:tplc="28BAED76">
      <w:start w:val="1"/>
      <w:numFmt w:val="lowerLetter"/>
      <w:lvlText w:val="%2."/>
      <w:lvlJc w:val="left"/>
      <w:pPr>
        <w:ind w:left="1440" w:hanging="360"/>
      </w:pPr>
    </w:lvl>
    <w:lvl w:ilvl="2" w:tplc="77B6E02E" w:tentative="1">
      <w:start w:val="1"/>
      <w:numFmt w:val="lowerRoman"/>
      <w:lvlText w:val="%3."/>
      <w:lvlJc w:val="right"/>
      <w:pPr>
        <w:ind w:left="2160" w:hanging="180"/>
      </w:pPr>
    </w:lvl>
    <w:lvl w:ilvl="3" w:tplc="E4C642DC" w:tentative="1">
      <w:start w:val="1"/>
      <w:numFmt w:val="decimal"/>
      <w:lvlText w:val="%4."/>
      <w:lvlJc w:val="left"/>
      <w:pPr>
        <w:ind w:left="2880" w:hanging="360"/>
      </w:pPr>
    </w:lvl>
    <w:lvl w:ilvl="4" w:tplc="46661E1E" w:tentative="1">
      <w:start w:val="1"/>
      <w:numFmt w:val="lowerLetter"/>
      <w:lvlText w:val="%5."/>
      <w:lvlJc w:val="left"/>
      <w:pPr>
        <w:ind w:left="3600" w:hanging="360"/>
      </w:pPr>
    </w:lvl>
    <w:lvl w:ilvl="5" w:tplc="DB90A40A" w:tentative="1">
      <w:start w:val="1"/>
      <w:numFmt w:val="lowerRoman"/>
      <w:lvlText w:val="%6."/>
      <w:lvlJc w:val="right"/>
      <w:pPr>
        <w:ind w:left="4320" w:hanging="180"/>
      </w:pPr>
    </w:lvl>
    <w:lvl w:ilvl="6" w:tplc="9AF4283E" w:tentative="1">
      <w:start w:val="1"/>
      <w:numFmt w:val="decimal"/>
      <w:lvlText w:val="%7."/>
      <w:lvlJc w:val="left"/>
      <w:pPr>
        <w:ind w:left="5040" w:hanging="360"/>
      </w:pPr>
    </w:lvl>
    <w:lvl w:ilvl="7" w:tplc="6166229E" w:tentative="1">
      <w:start w:val="1"/>
      <w:numFmt w:val="lowerLetter"/>
      <w:lvlText w:val="%8."/>
      <w:lvlJc w:val="left"/>
      <w:pPr>
        <w:ind w:left="5760" w:hanging="360"/>
      </w:pPr>
    </w:lvl>
    <w:lvl w:ilvl="8" w:tplc="8FD2FE02" w:tentative="1">
      <w:start w:val="1"/>
      <w:numFmt w:val="lowerRoman"/>
      <w:lvlText w:val="%9."/>
      <w:lvlJc w:val="right"/>
      <w:pPr>
        <w:ind w:left="6480" w:hanging="180"/>
      </w:pPr>
    </w:lvl>
  </w:abstractNum>
  <w:abstractNum w:abstractNumId="27" w15:restartNumberingAfterBreak="0">
    <w:nsid w:val="4FC452C1"/>
    <w:multiLevelType w:val="hybridMultilevel"/>
    <w:tmpl w:val="613C9510"/>
    <w:lvl w:ilvl="0" w:tplc="FFFFFFFF">
      <w:start w:val="1"/>
      <w:numFmt w:val="upperLetter"/>
      <w:lvlText w:val="%1."/>
      <w:lvlJc w:val="left"/>
      <w:pPr>
        <w:ind w:left="720" w:hanging="360"/>
      </w:pPr>
      <w:rPr>
        <w:rFonts w:hint="default"/>
        <w:b/>
        <w:bCs w:val="0"/>
        <w:sz w:val="24"/>
        <w:szCs w:val="24"/>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151F49"/>
    <w:multiLevelType w:val="hybridMultilevel"/>
    <w:tmpl w:val="91C6FDD8"/>
    <w:lvl w:ilvl="0" w:tplc="F5DED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6E5660"/>
    <w:multiLevelType w:val="multilevel"/>
    <w:tmpl w:val="B896E7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5B60CD"/>
    <w:multiLevelType w:val="hybridMultilevel"/>
    <w:tmpl w:val="318C0E22"/>
    <w:lvl w:ilvl="0" w:tplc="C1EC027A">
      <w:start w:val="1"/>
      <w:numFmt w:val="decimal"/>
      <w:lvlText w:val="%1."/>
      <w:lvlJc w:val="left"/>
      <w:pPr>
        <w:ind w:left="720" w:hanging="360"/>
      </w:pPr>
    </w:lvl>
    <w:lvl w:ilvl="1" w:tplc="7700D522">
      <w:start w:val="1"/>
      <w:numFmt w:val="lowerLetter"/>
      <w:lvlText w:val="%2."/>
      <w:lvlJc w:val="left"/>
      <w:pPr>
        <w:ind w:left="1440" w:hanging="360"/>
      </w:pPr>
    </w:lvl>
    <w:lvl w:ilvl="2" w:tplc="23AE4548" w:tentative="1">
      <w:start w:val="1"/>
      <w:numFmt w:val="lowerRoman"/>
      <w:lvlText w:val="%3."/>
      <w:lvlJc w:val="right"/>
      <w:pPr>
        <w:ind w:left="2160" w:hanging="180"/>
      </w:pPr>
    </w:lvl>
    <w:lvl w:ilvl="3" w:tplc="322C1798" w:tentative="1">
      <w:start w:val="1"/>
      <w:numFmt w:val="decimal"/>
      <w:lvlText w:val="%4."/>
      <w:lvlJc w:val="left"/>
      <w:pPr>
        <w:ind w:left="2880" w:hanging="360"/>
      </w:pPr>
    </w:lvl>
    <w:lvl w:ilvl="4" w:tplc="A7C6EDCA" w:tentative="1">
      <w:start w:val="1"/>
      <w:numFmt w:val="lowerLetter"/>
      <w:lvlText w:val="%5."/>
      <w:lvlJc w:val="left"/>
      <w:pPr>
        <w:ind w:left="3600" w:hanging="360"/>
      </w:pPr>
    </w:lvl>
    <w:lvl w:ilvl="5" w:tplc="0C742148" w:tentative="1">
      <w:start w:val="1"/>
      <w:numFmt w:val="lowerRoman"/>
      <w:lvlText w:val="%6."/>
      <w:lvlJc w:val="right"/>
      <w:pPr>
        <w:ind w:left="4320" w:hanging="180"/>
      </w:pPr>
    </w:lvl>
    <w:lvl w:ilvl="6" w:tplc="2100421E" w:tentative="1">
      <w:start w:val="1"/>
      <w:numFmt w:val="decimal"/>
      <w:lvlText w:val="%7."/>
      <w:lvlJc w:val="left"/>
      <w:pPr>
        <w:ind w:left="5040" w:hanging="360"/>
      </w:pPr>
    </w:lvl>
    <w:lvl w:ilvl="7" w:tplc="0CB4BCBC" w:tentative="1">
      <w:start w:val="1"/>
      <w:numFmt w:val="lowerLetter"/>
      <w:lvlText w:val="%8."/>
      <w:lvlJc w:val="left"/>
      <w:pPr>
        <w:ind w:left="5760" w:hanging="360"/>
      </w:pPr>
    </w:lvl>
    <w:lvl w:ilvl="8" w:tplc="FE5A4E64" w:tentative="1">
      <w:start w:val="1"/>
      <w:numFmt w:val="lowerRoman"/>
      <w:lvlText w:val="%9."/>
      <w:lvlJc w:val="right"/>
      <w:pPr>
        <w:ind w:left="6480" w:hanging="180"/>
      </w:pPr>
    </w:lvl>
  </w:abstractNum>
  <w:abstractNum w:abstractNumId="31" w15:restartNumberingAfterBreak="0">
    <w:nsid w:val="648B6CA0"/>
    <w:multiLevelType w:val="hybridMultilevel"/>
    <w:tmpl w:val="613C9510"/>
    <w:lvl w:ilvl="0" w:tplc="38C2BF3C">
      <w:start w:val="1"/>
      <w:numFmt w:val="upperLetter"/>
      <w:lvlText w:val="%1."/>
      <w:lvlJc w:val="left"/>
      <w:pPr>
        <w:ind w:left="720" w:hanging="360"/>
      </w:pPr>
      <w:rPr>
        <w:rFonts w:hint="default"/>
        <w:b/>
        <w:bCs w:val="0"/>
        <w:sz w:val="24"/>
        <w:szCs w:val="24"/>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12F99"/>
    <w:multiLevelType w:val="hybridMultilevel"/>
    <w:tmpl w:val="769CBC2E"/>
    <w:lvl w:ilvl="0" w:tplc="BD063E34">
      <w:start w:val="1"/>
      <w:numFmt w:val="upperLetter"/>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B73CB0"/>
    <w:multiLevelType w:val="hybridMultilevel"/>
    <w:tmpl w:val="91C6FDD8"/>
    <w:lvl w:ilvl="0" w:tplc="F5DED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AD105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E88299E"/>
    <w:multiLevelType w:val="hybridMultilevel"/>
    <w:tmpl w:val="812E68BE"/>
    <w:lvl w:ilvl="0" w:tplc="D0EEE76C">
      <w:start w:val="1"/>
      <w:numFmt w:val="bullet"/>
      <w:lvlText w:val=""/>
      <w:lvlJc w:val="left"/>
      <w:pPr>
        <w:ind w:left="1440" w:hanging="360"/>
      </w:pPr>
      <w:rPr>
        <w:rFonts w:ascii="Symbol" w:hAnsi="Symbol" w:hint="default"/>
      </w:rPr>
    </w:lvl>
    <w:lvl w:ilvl="1" w:tplc="D65AB82A" w:tentative="1">
      <w:start w:val="1"/>
      <w:numFmt w:val="bullet"/>
      <w:lvlText w:val="o"/>
      <w:lvlJc w:val="left"/>
      <w:pPr>
        <w:ind w:left="2160" w:hanging="360"/>
      </w:pPr>
      <w:rPr>
        <w:rFonts w:ascii="Courier New" w:hAnsi="Courier New" w:cs="Courier New" w:hint="default"/>
      </w:rPr>
    </w:lvl>
    <w:lvl w:ilvl="2" w:tplc="A8AEA694" w:tentative="1">
      <w:start w:val="1"/>
      <w:numFmt w:val="bullet"/>
      <w:lvlText w:val=""/>
      <w:lvlJc w:val="left"/>
      <w:pPr>
        <w:ind w:left="2880" w:hanging="360"/>
      </w:pPr>
      <w:rPr>
        <w:rFonts w:ascii="Wingdings" w:hAnsi="Wingdings" w:hint="default"/>
      </w:rPr>
    </w:lvl>
    <w:lvl w:ilvl="3" w:tplc="1E5C34E0" w:tentative="1">
      <w:start w:val="1"/>
      <w:numFmt w:val="bullet"/>
      <w:lvlText w:val=""/>
      <w:lvlJc w:val="left"/>
      <w:pPr>
        <w:ind w:left="3600" w:hanging="360"/>
      </w:pPr>
      <w:rPr>
        <w:rFonts w:ascii="Symbol" w:hAnsi="Symbol" w:hint="default"/>
      </w:rPr>
    </w:lvl>
    <w:lvl w:ilvl="4" w:tplc="CC86B818" w:tentative="1">
      <w:start w:val="1"/>
      <w:numFmt w:val="bullet"/>
      <w:lvlText w:val="o"/>
      <w:lvlJc w:val="left"/>
      <w:pPr>
        <w:ind w:left="4320" w:hanging="360"/>
      </w:pPr>
      <w:rPr>
        <w:rFonts w:ascii="Courier New" w:hAnsi="Courier New" w:cs="Courier New" w:hint="default"/>
      </w:rPr>
    </w:lvl>
    <w:lvl w:ilvl="5" w:tplc="F92A679A" w:tentative="1">
      <w:start w:val="1"/>
      <w:numFmt w:val="bullet"/>
      <w:lvlText w:val=""/>
      <w:lvlJc w:val="left"/>
      <w:pPr>
        <w:ind w:left="5040" w:hanging="360"/>
      </w:pPr>
      <w:rPr>
        <w:rFonts w:ascii="Wingdings" w:hAnsi="Wingdings" w:hint="default"/>
      </w:rPr>
    </w:lvl>
    <w:lvl w:ilvl="6" w:tplc="0780F5D8" w:tentative="1">
      <w:start w:val="1"/>
      <w:numFmt w:val="bullet"/>
      <w:lvlText w:val=""/>
      <w:lvlJc w:val="left"/>
      <w:pPr>
        <w:ind w:left="5760" w:hanging="360"/>
      </w:pPr>
      <w:rPr>
        <w:rFonts w:ascii="Symbol" w:hAnsi="Symbol" w:hint="default"/>
      </w:rPr>
    </w:lvl>
    <w:lvl w:ilvl="7" w:tplc="210641FA" w:tentative="1">
      <w:start w:val="1"/>
      <w:numFmt w:val="bullet"/>
      <w:lvlText w:val="o"/>
      <w:lvlJc w:val="left"/>
      <w:pPr>
        <w:ind w:left="6480" w:hanging="360"/>
      </w:pPr>
      <w:rPr>
        <w:rFonts w:ascii="Courier New" w:hAnsi="Courier New" w:cs="Courier New" w:hint="default"/>
      </w:rPr>
    </w:lvl>
    <w:lvl w:ilvl="8" w:tplc="915CFCC6" w:tentative="1">
      <w:start w:val="1"/>
      <w:numFmt w:val="bullet"/>
      <w:lvlText w:val=""/>
      <w:lvlJc w:val="left"/>
      <w:pPr>
        <w:ind w:left="7200" w:hanging="360"/>
      </w:pPr>
      <w:rPr>
        <w:rFonts w:ascii="Wingdings" w:hAnsi="Wingdings" w:hint="default"/>
      </w:rPr>
    </w:lvl>
  </w:abstractNum>
  <w:abstractNum w:abstractNumId="36" w15:restartNumberingAfterBreak="0">
    <w:nsid w:val="6EDF373D"/>
    <w:multiLevelType w:val="hybridMultilevel"/>
    <w:tmpl w:val="D3FC225A"/>
    <w:lvl w:ilvl="0" w:tplc="FFFFFFFF">
      <w:start w:val="1"/>
      <w:numFmt w:val="upperLetter"/>
      <w:lvlText w:val="%1."/>
      <w:lvlJc w:val="left"/>
      <w:pPr>
        <w:ind w:left="720" w:hanging="360"/>
      </w:pPr>
      <w:rPr>
        <w:rFonts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0C62C6"/>
    <w:multiLevelType w:val="hybridMultilevel"/>
    <w:tmpl w:val="24B8ED9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876DAA"/>
    <w:multiLevelType w:val="hybridMultilevel"/>
    <w:tmpl w:val="14C88FFC"/>
    <w:lvl w:ilvl="0" w:tplc="FED6051A">
      <w:start w:val="1"/>
      <w:numFmt w:val="decimal"/>
      <w:lvlText w:val="%1."/>
      <w:lvlJc w:val="left"/>
      <w:pPr>
        <w:ind w:left="720" w:hanging="360"/>
      </w:pPr>
    </w:lvl>
    <w:lvl w:ilvl="1" w:tplc="2F065CDE">
      <w:start w:val="1"/>
      <w:numFmt w:val="lowerLetter"/>
      <w:lvlText w:val="%2."/>
      <w:lvlJc w:val="left"/>
      <w:pPr>
        <w:ind w:left="1440" w:hanging="360"/>
      </w:pPr>
    </w:lvl>
    <w:lvl w:ilvl="2" w:tplc="3A9E0952">
      <w:start w:val="1"/>
      <w:numFmt w:val="lowerRoman"/>
      <w:lvlText w:val="%3."/>
      <w:lvlJc w:val="right"/>
      <w:pPr>
        <w:ind w:left="2160" w:hanging="180"/>
      </w:pPr>
    </w:lvl>
    <w:lvl w:ilvl="3" w:tplc="103E7C2C">
      <w:start w:val="1"/>
      <w:numFmt w:val="decimal"/>
      <w:lvlText w:val="%4."/>
      <w:lvlJc w:val="left"/>
      <w:pPr>
        <w:ind w:left="2880" w:hanging="360"/>
      </w:pPr>
    </w:lvl>
    <w:lvl w:ilvl="4" w:tplc="0302AC92">
      <w:start w:val="1"/>
      <w:numFmt w:val="lowerLetter"/>
      <w:lvlText w:val="%5."/>
      <w:lvlJc w:val="left"/>
      <w:pPr>
        <w:ind w:left="3600" w:hanging="360"/>
      </w:pPr>
    </w:lvl>
    <w:lvl w:ilvl="5" w:tplc="F7122636">
      <w:start w:val="1"/>
      <w:numFmt w:val="lowerRoman"/>
      <w:lvlText w:val="%6."/>
      <w:lvlJc w:val="right"/>
      <w:pPr>
        <w:ind w:left="4320" w:hanging="180"/>
      </w:pPr>
    </w:lvl>
    <w:lvl w:ilvl="6" w:tplc="731EB2AA">
      <w:start w:val="1"/>
      <w:numFmt w:val="decimal"/>
      <w:lvlText w:val="%7."/>
      <w:lvlJc w:val="left"/>
      <w:pPr>
        <w:ind w:left="5040" w:hanging="360"/>
      </w:pPr>
    </w:lvl>
    <w:lvl w:ilvl="7" w:tplc="B3E2620C">
      <w:start w:val="1"/>
      <w:numFmt w:val="lowerLetter"/>
      <w:lvlText w:val="%8."/>
      <w:lvlJc w:val="left"/>
      <w:pPr>
        <w:ind w:left="5760" w:hanging="360"/>
      </w:pPr>
    </w:lvl>
    <w:lvl w:ilvl="8" w:tplc="CC6A87BC">
      <w:start w:val="1"/>
      <w:numFmt w:val="lowerRoman"/>
      <w:lvlText w:val="%9."/>
      <w:lvlJc w:val="right"/>
      <w:pPr>
        <w:ind w:left="6480" w:hanging="180"/>
      </w:pPr>
    </w:lvl>
  </w:abstractNum>
  <w:num w:numId="1" w16cid:durableId="1482575836">
    <w:abstractNumId w:val="13"/>
  </w:num>
  <w:num w:numId="2" w16cid:durableId="8751912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416537">
    <w:abstractNumId w:val="3"/>
  </w:num>
  <w:num w:numId="4" w16cid:durableId="240454201">
    <w:abstractNumId w:val="4"/>
  </w:num>
  <w:num w:numId="5" w16cid:durableId="489449507">
    <w:abstractNumId w:val="35"/>
  </w:num>
  <w:num w:numId="6" w16cid:durableId="410128539">
    <w:abstractNumId w:val="23"/>
  </w:num>
  <w:num w:numId="7" w16cid:durableId="967394863">
    <w:abstractNumId w:val="18"/>
  </w:num>
  <w:num w:numId="8" w16cid:durableId="1595744851">
    <w:abstractNumId w:val="9"/>
  </w:num>
  <w:num w:numId="9" w16cid:durableId="36131709">
    <w:abstractNumId w:val="25"/>
  </w:num>
  <w:num w:numId="10" w16cid:durableId="649867322">
    <w:abstractNumId w:val="15"/>
  </w:num>
  <w:num w:numId="11" w16cid:durableId="2098864902">
    <w:abstractNumId w:val="5"/>
  </w:num>
  <w:num w:numId="12" w16cid:durableId="1987661602">
    <w:abstractNumId w:val="14"/>
  </w:num>
  <w:num w:numId="13" w16cid:durableId="1775205805">
    <w:abstractNumId w:val="24"/>
  </w:num>
  <w:num w:numId="14" w16cid:durableId="2127694290">
    <w:abstractNumId w:val="26"/>
  </w:num>
  <w:num w:numId="15" w16cid:durableId="26638947">
    <w:abstractNumId w:val="6"/>
  </w:num>
  <w:num w:numId="16" w16cid:durableId="523400425">
    <w:abstractNumId w:val="20"/>
  </w:num>
  <w:num w:numId="17" w16cid:durableId="1403023117">
    <w:abstractNumId w:val="21"/>
  </w:num>
  <w:num w:numId="18" w16cid:durableId="844825941">
    <w:abstractNumId w:val="30"/>
  </w:num>
  <w:num w:numId="19" w16cid:durableId="907958844">
    <w:abstractNumId w:val="11"/>
  </w:num>
  <w:num w:numId="20" w16cid:durableId="2080980522">
    <w:abstractNumId w:val="10"/>
  </w:num>
  <w:num w:numId="21" w16cid:durableId="221066848">
    <w:abstractNumId w:val="17"/>
  </w:num>
  <w:num w:numId="22" w16cid:durableId="254411071">
    <w:abstractNumId w:val="12"/>
  </w:num>
  <w:num w:numId="23" w16cid:durableId="1597707134">
    <w:abstractNumId w:val="33"/>
  </w:num>
  <w:num w:numId="24" w16cid:durableId="556940076">
    <w:abstractNumId w:val="1"/>
  </w:num>
  <w:num w:numId="25" w16cid:durableId="1335762990">
    <w:abstractNumId w:val="28"/>
  </w:num>
  <w:num w:numId="26" w16cid:durableId="1069302338">
    <w:abstractNumId w:val="34"/>
  </w:num>
  <w:num w:numId="27" w16cid:durableId="377509059">
    <w:abstractNumId w:val="0"/>
  </w:num>
  <w:num w:numId="28" w16cid:durableId="810828265">
    <w:abstractNumId w:val="32"/>
  </w:num>
  <w:num w:numId="29" w16cid:durableId="279462680">
    <w:abstractNumId w:val="19"/>
  </w:num>
  <w:num w:numId="30" w16cid:durableId="1997125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3596733">
    <w:abstractNumId w:val="29"/>
  </w:num>
  <w:num w:numId="32" w16cid:durableId="722407952">
    <w:abstractNumId w:val="31"/>
  </w:num>
  <w:num w:numId="33" w16cid:durableId="112211388">
    <w:abstractNumId w:val="37"/>
  </w:num>
  <w:num w:numId="34" w16cid:durableId="1575046371">
    <w:abstractNumId w:val="36"/>
  </w:num>
  <w:num w:numId="35" w16cid:durableId="581836523">
    <w:abstractNumId w:val="8"/>
  </w:num>
  <w:num w:numId="36" w16cid:durableId="1085033693">
    <w:abstractNumId w:val="7"/>
  </w:num>
  <w:num w:numId="37" w16cid:durableId="817385522">
    <w:abstractNumId w:val="22"/>
  </w:num>
  <w:num w:numId="38" w16cid:durableId="118497112">
    <w:abstractNumId w:val="27"/>
  </w:num>
  <w:num w:numId="39" w16cid:durableId="1055158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4EA"/>
    <w:rsid w:val="000010B2"/>
    <w:rsid w:val="00002465"/>
    <w:rsid w:val="000039AC"/>
    <w:rsid w:val="00003FDE"/>
    <w:rsid w:val="00006505"/>
    <w:rsid w:val="00010942"/>
    <w:rsid w:val="0001126E"/>
    <w:rsid w:val="00012807"/>
    <w:rsid w:val="000140A0"/>
    <w:rsid w:val="0001410A"/>
    <w:rsid w:val="000156E1"/>
    <w:rsid w:val="00015B6D"/>
    <w:rsid w:val="000228EF"/>
    <w:rsid w:val="0002345C"/>
    <w:rsid w:val="000259A3"/>
    <w:rsid w:val="000337F3"/>
    <w:rsid w:val="0004169E"/>
    <w:rsid w:val="00044BA9"/>
    <w:rsid w:val="00051A2E"/>
    <w:rsid w:val="00052FFC"/>
    <w:rsid w:val="00053A9A"/>
    <w:rsid w:val="00055814"/>
    <w:rsid w:val="00055F59"/>
    <w:rsid w:val="00063DC5"/>
    <w:rsid w:val="000640D1"/>
    <w:rsid w:val="00067722"/>
    <w:rsid w:val="000708C5"/>
    <w:rsid w:val="00071417"/>
    <w:rsid w:val="0007424C"/>
    <w:rsid w:val="000745BB"/>
    <w:rsid w:val="00074FE4"/>
    <w:rsid w:val="00075DA0"/>
    <w:rsid w:val="00077A23"/>
    <w:rsid w:val="000800A0"/>
    <w:rsid w:val="00080CE3"/>
    <w:rsid w:val="00080D42"/>
    <w:rsid w:val="0008164F"/>
    <w:rsid w:val="000819D2"/>
    <w:rsid w:val="00081E18"/>
    <w:rsid w:val="000823F7"/>
    <w:rsid w:val="0008250E"/>
    <w:rsid w:val="000826B8"/>
    <w:rsid w:val="0008302E"/>
    <w:rsid w:val="0008336C"/>
    <w:rsid w:val="00084EF4"/>
    <w:rsid w:val="000854B6"/>
    <w:rsid w:val="000871FF"/>
    <w:rsid w:val="00090CBB"/>
    <w:rsid w:val="000926B7"/>
    <w:rsid w:val="000937BF"/>
    <w:rsid w:val="00094263"/>
    <w:rsid w:val="00096099"/>
    <w:rsid w:val="0009637F"/>
    <w:rsid w:val="000970AF"/>
    <w:rsid w:val="000A0038"/>
    <w:rsid w:val="000A05CC"/>
    <w:rsid w:val="000A16DF"/>
    <w:rsid w:val="000A1E48"/>
    <w:rsid w:val="000A221C"/>
    <w:rsid w:val="000A6840"/>
    <w:rsid w:val="000B2B3E"/>
    <w:rsid w:val="000B33AB"/>
    <w:rsid w:val="000B5A63"/>
    <w:rsid w:val="000B7394"/>
    <w:rsid w:val="000B7763"/>
    <w:rsid w:val="000B7CC8"/>
    <w:rsid w:val="000C2A92"/>
    <w:rsid w:val="000C445B"/>
    <w:rsid w:val="000C4C45"/>
    <w:rsid w:val="000C5130"/>
    <w:rsid w:val="000D09B1"/>
    <w:rsid w:val="000D10F5"/>
    <w:rsid w:val="000D1D99"/>
    <w:rsid w:val="000D225A"/>
    <w:rsid w:val="000D497B"/>
    <w:rsid w:val="000D4A49"/>
    <w:rsid w:val="000D5AE8"/>
    <w:rsid w:val="000D5CB1"/>
    <w:rsid w:val="000D6CE0"/>
    <w:rsid w:val="000D77A5"/>
    <w:rsid w:val="000E2CE5"/>
    <w:rsid w:val="000E30CB"/>
    <w:rsid w:val="000E405A"/>
    <w:rsid w:val="000E4751"/>
    <w:rsid w:val="000E5039"/>
    <w:rsid w:val="000E6719"/>
    <w:rsid w:val="000E6B91"/>
    <w:rsid w:val="000E77A0"/>
    <w:rsid w:val="000F12C9"/>
    <w:rsid w:val="000F228E"/>
    <w:rsid w:val="000F3841"/>
    <w:rsid w:val="000F53A7"/>
    <w:rsid w:val="0010514B"/>
    <w:rsid w:val="00105EA9"/>
    <w:rsid w:val="00110FBE"/>
    <w:rsid w:val="0011595B"/>
    <w:rsid w:val="001165BB"/>
    <w:rsid w:val="001170F0"/>
    <w:rsid w:val="001200AE"/>
    <w:rsid w:val="001207C1"/>
    <w:rsid w:val="0012156D"/>
    <w:rsid w:val="0012212D"/>
    <w:rsid w:val="00123A38"/>
    <w:rsid w:val="00125260"/>
    <w:rsid w:val="00125EB2"/>
    <w:rsid w:val="001261D0"/>
    <w:rsid w:val="00127CDD"/>
    <w:rsid w:val="00127F17"/>
    <w:rsid w:val="00131529"/>
    <w:rsid w:val="00132BDB"/>
    <w:rsid w:val="00132C06"/>
    <w:rsid w:val="00133C14"/>
    <w:rsid w:val="00133D16"/>
    <w:rsid w:val="00134A17"/>
    <w:rsid w:val="00134CD9"/>
    <w:rsid w:val="00137F09"/>
    <w:rsid w:val="0014071D"/>
    <w:rsid w:val="0014208D"/>
    <w:rsid w:val="00142780"/>
    <w:rsid w:val="001438FD"/>
    <w:rsid w:val="00143F42"/>
    <w:rsid w:val="00146775"/>
    <w:rsid w:val="00150BBB"/>
    <w:rsid w:val="00153273"/>
    <w:rsid w:val="00153B66"/>
    <w:rsid w:val="00160720"/>
    <w:rsid w:val="00163917"/>
    <w:rsid w:val="0016507F"/>
    <w:rsid w:val="00165812"/>
    <w:rsid w:val="0016656C"/>
    <w:rsid w:val="001669C5"/>
    <w:rsid w:val="00166B35"/>
    <w:rsid w:val="001700AF"/>
    <w:rsid w:val="001707E1"/>
    <w:rsid w:val="00172CB1"/>
    <w:rsid w:val="001739CE"/>
    <w:rsid w:val="00174474"/>
    <w:rsid w:val="001754FE"/>
    <w:rsid w:val="001758C2"/>
    <w:rsid w:val="0017638E"/>
    <w:rsid w:val="00182C6F"/>
    <w:rsid w:val="00184AE8"/>
    <w:rsid w:val="00184C98"/>
    <w:rsid w:val="00185B1C"/>
    <w:rsid w:val="0018635C"/>
    <w:rsid w:val="00187832"/>
    <w:rsid w:val="0019058A"/>
    <w:rsid w:val="001958E1"/>
    <w:rsid w:val="001A0939"/>
    <w:rsid w:val="001A0C5A"/>
    <w:rsid w:val="001A33DB"/>
    <w:rsid w:val="001A3977"/>
    <w:rsid w:val="001A504C"/>
    <w:rsid w:val="001B28D6"/>
    <w:rsid w:val="001B55DE"/>
    <w:rsid w:val="001B5832"/>
    <w:rsid w:val="001C083A"/>
    <w:rsid w:val="001C1030"/>
    <w:rsid w:val="001C43B8"/>
    <w:rsid w:val="001C4D03"/>
    <w:rsid w:val="001D241A"/>
    <w:rsid w:val="001D5E73"/>
    <w:rsid w:val="001D6117"/>
    <w:rsid w:val="001E00A5"/>
    <w:rsid w:val="001E01CA"/>
    <w:rsid w:val="001E2949"/>
    <w:rsid w:val="001E6BDA"/>
    <w:rsid w:val="001E73B2"/>
    <w:rsid w:val="001E73C0"/>
    <w:rsid w:val="001E756C"/>
    <w:rsid w:val="001E7AC9"/>
    <w:rsid w:val="001F00FA"/>
    <w:rsid w:val="001F647D"/>
    <w:rsid w:val="001F6879"/>
    <w:rsid w:val="001F68CF"/>
    <w:rsid w:val="001F7FE9"/>
    <w:rsid w:val="002007A4"/>
    <w:rsid w:val="002033AD"/>
    <w:rsid w:val="00203860"/>
    <w:rsid w:val="002058D0"/>
    <w:rsid w:val="00206AC6"/>
    <w:rsid w:val="0020744A"/>
    <w:rsid w:val="00210EA6"/>
    <w:rsid w:val="00211438"/>
    <w:rsid w:val="00211CDE"/>
    <w:rsid w:val="00215386"/>
    <w:rsid w:val="00220A74"/>
    <w:rsid w:val="00222EC9"/>
    <w:rsid w:val="0022652D"/>
    <w:rsid w:val="002344DC"/>
    <w:rsid w:val="0023749E"/>
    <w:rsid w:val="00247C20"/>
    <w:rsid w:val="002516B8"/>
    <w:rsid w:val="00252DAB"/>
    <w:rsid w:val="00257E76"/>
    <w:rsid w:val="00260915"/>
    <w:rsid w:val="002638F7"/>
    <w:rsid w:val="00263EA7"/>
    <w:rsid w:val="00265068"/>
    <w:rsid w:val="00265BC6"/>
    <w:rsid w:val="00265C1F"/>
    <w:rsid w:val="002660F4"/>
    <w:rsid w:val="00266528"/>
    <w:rsid w:val="0026680D"/>
    <w:rsid w:val="00266A51"/>
    <w:rsid w:val="0026731B"/>
    <w:rsid w:val="002717DF"/>
    <w:rsid w:val="0027193A"/>
    <w:rsid w:val="002723D9"/>
    <w:rsid w:val="0027393D"/>
    <w:rsid w:val="00273F60"/>
    <w:rsid w:val="00274344"/>
    <w:rsid w:val="0027492A"/>
    <w:rsid w:val="002756E4"/>
    <w:rsid w:val="0027683E"/>
    <w:rsid w:val="002816F1"/>
    <w:rsid w:val="00282B0D"/>
    <w:rsid w:val="00282B72"/>
    <w:rsid w:val="0028301F"/>
    <w:rsid w:val="00283354"/>
    <w:rsid w:val="002849AF"/>
    <w:rsid w:val="00284C1F"/>
    <w:rsid w:val="002856CC"/>
    <w:rsid w:val="00285CF5"/>
    <w:rsid w:val="0028718A"/>
    <w:rsid w:val="0029026E"/>
    <w:rsid w:val="002916E8"/>
    <w:rsid w:val="002916FD"/>
    <w:rsid w:val="00291CDB"/>
    <w:rsid w:val="00291E7C"/>
    <w:rsid w:val="002924C5"/>
    <w:rsid w:val="00292B24"/>
    <w:rsid w:val="00293B87"/>
    <w:rsid w:val="00294FC7"/>
    <w:rsid w:val="002959A6"/>
    <w:rsid w:val="00295CAA"/>
    <w:rsid w:val="002A1239"/>
    <w:rsid w:val="002A1A5E"/>
    <w:rsid w:val="002A3AC9"/>
    <w:rsid w:val="002A4352"/>
    <w:rsid w:val="002A460B"/>
    <w:rsid w:val="002A4E50"/>
    <w:rsid w:val="002A7AA6"/>
    <w:rsid w:val="002A7B87"/>
    <w:rsid w:val="002B04A4"/>
    <w:rsid w:val="002C2917"/>
    <w:rsid w:val="002C38F9"/>
    <w:rsid w:val="002C4282"/>
    <w:rsid w:val="002D0280"/>
    <w:rsid w:val="002D0B8F"/>
    <w:rsid w:val="002D1EE2"/>
    <w:rsid w:val="002D3030"/>
    <w:rsid w:val="002D3D85"/>
    <w:rsid w:val="002D7EC5"/>
    <w:rsid w:val="002E30FB"/>
    <w:rsid w:val="002E3DFD"/>
    <w:rsid w:val="002E6823"/>
    <w:rsid w:val="002F2378"/>
    <w:rsid w:val="002F2FFE"/>
    <w:rsid w:val="002F56B2"/>
    <w:rsid w:val="002F5A5A"/>
    <w:rsid w:val="002F5BF3"/>
    <w:rsid w:val="002F5F52"/>
    <w:rsid w:val="00300A76"/>
    <w:rsid w:val="00301F91"/>
    <w:rsid w:val="00312AE5"/>
    <w:rsid w:val="003131B6"/>
    <w:rsid w:val="00313A83"/>
    <w:rsid w:val="00316B7B"/>
    <w:rsid w:val="003218A0"/>
    <w:rsid w:val="003222EB"/>
    <w:rsid w:val="00322648"/>
    <w:rsid w:val="00322D43"/>
    <w:rsid w:val="003243FE"/>
    <w:rsid w:val="00325977"/>
    <w:rsid w:val="00326370"/>
    <w:rsid w:val="003306CA"/>
    <w:rsid w:val="003317CF"/>
    <w:rsid w:val="00337ADE"/>
    <w:rsid w:val="00337D42"/>
    <w:rsid w:val="003417C8"/>
    <w:rsid w:val="0034334A"/>
    <w:rsid w:val="00346049"/>
    <w:rsid w:val="00353131"/>
    <w:rsid w:val="0035488F"/>
    <w:rsid w:val="00354B08"/>
    <w:rsid w:val="003558DF"/>
    <w:rsid w:val="00355BBB"/>
    <w:rsid w:val="00355CC5"/>
    <w:rsid w:val="00356AB6"/>
    <w:rsid w:val="00357008"/>
    <w:rsid w:val="00357079"/>
    <w:rsid w:val="003648EA"/>
    <w:rsid w:val="00364F08"/>
    <w:rsid w:val="00366626"/>
    <w:rsid w:val="003672F5"/>
    <w:rsid w:val="003712A3"/>
    <w:rsid w:val="00372B13"/>
    <w:rsid w:val="00374CFA"/>
    <w:rsid w:val="00376990"/>
    <w:rsid w:val="0038080F"/>
    <w:rsid w:val="0038093B"/>
    <w:rsid w:val="003857EF"/>
    <w:rsid w:val="00387173"/>
    <w:rsid w:val="00387451"/>
    <w:rsid w:val="003907A9"/>
    <w:rsid w:val="00394520"/>
    <w:rsid w:val="003947A3"/>
    <w:rsid w:val="003949D0"/>
    <w:rsid w:val="003955C1"/>
    <w:rsid w:val="00397CE6"/>
    <w:rsid w:val="00397D7E"/>
    <w:rsid w:val="003A1956"/>
    <w:rsid w:val="003A2FB1"/>
    <w:rsid w:val="003A430C"/>
    <w:rsid w:val="003A522B"/>
    <w:rsid w:val="003A52D3"/>
    <w:rsid w:val="003A6000"/>
    <w:rsid w:val="003A72C4"/>
    <w:rsid w:val="003B1EE7"/>
    <w:rsid w:val="003B4E13"/>
    <w:rsid w:val="003C46BC"/>
    <w:rsid w:val="003C7752"/>
    <w:rsid w:val="003D4C50"/>
    <w:rsid w:val="003D628C"/>
    <w:rsid w:val="003E0084"/>
    <w:rsid w:val="003E22A1"/>
    <w:rsid w:val="003E6BF6"/>
    <w:rsid w:val="003F2DF3"/>
    <w:rsid w:val="003F6414"/>
    <w:rsid w:val="003F739A"/>
    <w:rsid w:val="003F78EB"/>
    <w:rsid w:val="00402BB4"/>
    <w:rsid w:val="004038AD"/>
    <w:rsid w:val="0040529A"/>
    <w:rsid w:val="00405695"/>
    <w:rsid w:val="0040616F"/>
    <w:rsid w:val="00406A39"/>
    <w:rsid w:val="0040752A"/>
    <w:rsid w:val="0041043E"/>
    <w:rsid w:val="00411CC8"/>
    <w:rsid w:val="00412D3D"/>
    <w:rsid w:val="00415386"/>
    <w:rsid w:val="00417A54"/>
    <w:rsid w:val="0042078D"/>
    <w:rsid w:val="00421874"/>
    <w:rsid w:val="004218D1"/>
    <w:rsid w:val="00421D44"/>
    <w:rsid w:val="00425A68"/>
    <w:rsid w:val="004346EA"/>
    <w:rsid w:val="004350F2"/>
    <w:rsid w:val="00435F2F"/>
    <w:rsid w:val="00442767"/>
    <w:rsid w:val="004434CE"/>
    <w:rsid w:val="0044387C"/>
    <w:rsid w:val="00446CA4"/>
    <w:rsid w:val="0045063E"/>
    <w:rsid w:val="004515E7"/>
    <w:rsid w:val="00453DCF"/>
    <w:rsid w:val="004546F0"/>
    <w:rsid w:val="004556B1"/>
    <w:rsid w:val="00456855"/>
    <w:rsid w:val="00457D71"/>
    <w:rsid w:val="004600DF"/>
    <w:rsid w:val="00460229"/>
    <w:rsid w:val="004622CE"/>
    <w:rsid w:val="0047175C"/>
    <w:rsid w:val="00471952"/>
    <w:rsid w:val="00474641"/>
    <w:rsid w:val="00474BF4"/>
    <w:rsid w:val="0047540C"/>
    <w:rsid w:val="00476003"/>
    <w:rsid w:val="004769CD"/>
    <w:rsid w:val="00480367"/>
    <w:rsid w:val="00481363"/>
    <w:rsid w:val="004838A2"/>
    <w:rsid w:val="00484C5D"/>
    <w:rsid w:val="004855F3"/>
    <w:rsid w:val="00492AD6"/>
    <w:rsid w:val="00496A4A"/>
    <w:rsid w:val="00497F2F"/>
    <w:rsid w:val="004A2A23"/>
    <w:rsid w:val="004B04EC"/>
    <w:rsid w:val="004B35D6"/>
    <w:rsid w:val="004B49F8"/>
    <w:rsid w:val="004B4CCC"/>
    <w:rsid w:val="004C1DBE"/>
    <w:rsid w:val="004C364B"/>
    <w:rsid w:val="004C39E8"/>
    <w:rsid w:val="004C3A96"/>
    <w:rsid w:val="004C4667"/>
    <w:rsid w:val="004C47D0"/>
    <w:rsid w:val="004C4874"/>
    <w:rsid w:val="004C5E1B"/>
    <w:rsid w:val="004C65A5"/>
    <w:rsid w:val="004C6993"/>
    <w:rsid w:val="004C709D"/>
    <w:rsid w:val="004D14FC"/>
    <w:rsid w:val="004D3227"/>
    <w:rsid w:val="004D37D9"/>
    <w:rsid w:val="004D3B9B"/>
    <w:rsid w:val="004D77EE"/>
    <w:rsid w:val="004D7C1F"/>
    <w:rsid w:val="004E37F7"/>
    <w:rsid w:val="004E6853"/>
    <w:rsid w:val="004E72F1"/>
    <w:rsid w:val="004F32C6"/>
    <w:rsid w:val="004F40C9"/>
    <w:rsid w:val="004F4988"/>
    <w:rsid w:val="004F54A0"/>
    <w:rsid w:val="004F59FB"/>
    <w:rsid w:val="004F5C82"/>
    <w:rsid w:val="004F6885"/>
    <w:rsid w:val="005038AA"/>
    <w:rsid w:val="00503F82"/>
    <w:rsid w:val="005066DA"/>
    <w:rsid w:val="00510C64"/>
    <w:rsid w:val="0051356D"/>
    <w:rsid w:val="005161CD"/>
    <w:rsid w:val="00522A4A"/>
    <w:rsid w:val="00523864"/>
    <w:rsid w:val="0052404E"/>
    <w:rsid w:val="0052422A"/>
    <w:rsid w:val="00524D62"/>
    <w:rsid w:val="00524E87"/>
    <w:rsid w:val="0052580A"/>
    <w:rsid w:val="00526828"/>
    <w:rsid w:val="00526AEB"/>
    <w:rsid w:val="00536975"/>
    <w:rsid w:val="00537907"/>
    <w:rsid w:val="0054105E"/>
    <w:rsid w:val="00541681"/>
    <w:rsid w:val="005416F3"/>
    <w:rsid w:val="00543CDD"/>
    <w:rsid w:val="0054609B"/>
    <w:rsid w:val="00553656"/>
    <w:rsid w:val="00553C14"/>
    <w:rsid w:val="00553F19"/>
    <w:rsid w:val="0055603A"/>
    <w:rsid w:val="00557102"/>
    <w:rsid w:val="00562AB1"/>
    <w:rsid w:val="00562FB8"/>
    <w:rsid w:val="005635BE"/>
    <w:rsid w:val="00563CF3"/>
    <w:rsid w:val="0056638A"/>
    <w:rsid w:val="00566CD7"/>
    <w:rsid w:val="00571E18"/>
    <w:rsid w:val="005730E2"/>
    <w:rsid w:val="005736AC"/>
    <w:rsid w:val="00575266"/>
    <w:rsid w:val="005756DF"/>
    <w:rsid w:val="00575851"/>
    <w:rsid w:val="005763C0"/>
    <w:rsid w:val="00576975"/>
    <w:rsid w:val="00580585"/>
    <w:rsid w:val="00584B7A"/>
    <w:rsid w:val="005854C2"/>
    <w:rsid w:val="005868C7"/>
    <w:rsid w:val="00586A80"/>
    <w:rsid w:val="00587893"/>
    <w:rsid w:val="00591C40"/>
    <w:rsid w:val="00592167"/>
    <w:rsid w:val="00594B91"/>
    <w:rsid w:val="005955D7"/>
    <w:rsid w:val="00595628"/>
    <w:rsid w:val="005A3490"/>
    <w:rsid w:val="005A3985"/>
    <w:rsid w:val="005A4592"/>
    <w:rsid w:val="005A46B2"/>
    <w:rsid w:val="005A7A54"/>
    <w:rsid w:val="005B0653"/>
    <w:rsid w:val="005B1324"/>
    <w:rsid w:val="005B35F8"/>
    <w:rsid w:val="005B46CC"/>
    <w:rsid w:val="005B54B0"/>
    <w:rsid w:val="005C0DC8"/>
    <w:rsid w:val="005C13AA"/>
    <w:rsid w:val="005C5B37"/>
    <w:rsid w:val="005C7CC2"/>
    <w:rsid w:val="005D1F59"/>
    <w:rsid w:val="005D44BE"/>
    <w:rsid w:val="005D7C31"/>
    <w:rsid w:val="005E2602"/>
    <w:rsid w:val="005E435E"/>
    <w:rsid w:val="005F14F4"/>
    <w:rsid w:val="005F2354"/>
    <w:rsid w:val="005F37A1"/>
    <w:rsid w:val="005F3939"/>
    <w:rsid w:val="005F4679"/>
    <w:rsid w:val="005F49F7"/>
    <w:rsid w:val="005F5563"/>
    <w:rsid w:val="005F6445"/>
    <w:rsid w:val="005F7D6A"/>
    <w:rsid w:val="00601D04"/>
    <w:rsid w:val="00601E46"/>
    <w:rsid w:val="0060254E"/>
    <w:rsid w:val="00602B55"/>
    <w:rsid w:val="0060660A"/>
    <w:rsid w:val="00612A5A"/>
    <w:rsid w:val="00613B9D"/>
    <w:rsid w:val="006146A8"/>
    <w:rsid w:val="0061674E"/>
    <w:rsid w:val="00622616"/>
    <w:rsid w:val="006234E8"/>
    <w:rsid w:val="00624318"/>
    <w:rsid w:val="00624B05"/>
    <w:rsid w:val="006302C7"/>
    <w:rsid w:val="00630F8E"/>
    <w:rsid w:val="00632344"/>
    <w:rsid w:val="006324A9"/>
    <w:rsid w:val="00634699"/>
    <w:rsid w:val="0063545E"/>
    <w:rsid w:val="00635783"/>
    <w:rsid w:val="00635CED"/>
    <w:rsid w:val="0063615F"/>
    <w:rsid w:val="00636201"/>
    <w:rsid w:val="00636535"/>
    <w:rsid w:val="00636E9A"/>
    <w:rsid w:val="006406F8"/>
    <w:rsid w:val="006432AF"/>
    <w:rsid w:val="00644BBB"/>
    <w:rsid w:val="006473F0"/>
    <w:rsid w:val="0065179D"/>
    <w:rsid w:val="00652A06"/>
    <w:rsid w:val="00654515"/>
    <w:rsid w:val="00654A13"/>
    <w:rsid w:val="00654D7E"/>
    <w:rsid w:val="00660AC4"/>
    <w:rsid w:val="006670C5"/>
    <w:rsid w:val="00672944"/>
    <w:rsid w:val="00673424"/>
    <w:rsid w:val="00675022"/>
    <w:rsid w:val="00683196"/>
    <w:rsid w:val="006832FE"/>
    <w:rsid w:val="00684B89"/>
    <w:rsid w:val="00686883"/>
    <w:rsid w:val="00690C02"/>
    <w:rsid w:val="0069183A"/>
    <w:rsid w:val="0069348E"/>
    <w:rsid w:val="00694790"/>
    <w:rsid w:val="006967EE"/>
    <w:rsid w:val="006A0061"/>
    <w:rsid w:val="006A0C07"/>
    <w:rsid w:val="006A1864"/>
    <w:rsid w:val="006A3C59"/>
    <w:rsid w:val="006A4827"/>
    <w:rsid w:val="006A4AE1"/>
    <w:rsid w:val="006A4C81"/>
    <w:rsid w:val="006A4F27"/>
    <w:rsid w:val="006A5A1D"/>
    <w:rsid w:val="006A6164"/>
    <w:rsid w:val="006A7AF3"/>
    <w:rsid w:val="006B2043"/>
    <w:rsid w:val="006B291F"/>
    <w:rsid w:val="006B2E06"/>
    <w:rsid w:val="006B63F2"/>
    <w:rsid w:val="006B7637"/>
    <w:rsid w:val="006C0DC8"/>
    <w:rsid w:val="006C2C66"/>
    <w:rsid w:val="006C2ED4"/>
    <w:rsid w:val="006C3F51"/>
    <w:rsid w:val="006C4556"/>
    <w:rsid w:val="006C7B21"/>
    <w:rsid w:val="006D16E8"/>
    <w:rsid w:val="006D34D3"/>
    <w:rsid w:val="006D35FB"/>
    <w:rsid w:val="006D73A9"/>
    <w:rsid w:val="006E01CF"/>
    <w:rsid w:val="006E05DB"/>
    <w:rsid w:val="006E1877"/>
    <w:rsid w:val="006E25EE"/>
    <w:rsid w:val="006E27AE"/>
    <w:rsid w:val="006E55FB"/>
    <w:rsid w:val="006E5A07"/>
    <w:rsid w:val="006F17CE"/>
    <w:rsid w:val="006F2114"/>
    <w:rsid w:val="006F371F"/>
    <w:rsid w:val="006F61E9"/>
    <w:rsid w:val="006F6A4A"/>
    <w:rsid w:val="006F6D5E"/>
    <w:rsid w:val="00700F5B"/>
    <w:rsid w:val="00702A1E"/>
    <w:rsid w:val="00702F44"/>
    <w:rsid w:val="00703C15"/>
    <w:rsid w:val="00706026"/>
    <w:rsid w:val="00714393"/>
    <w:rsid w:val="007167D8"/>
    <w:rsid w:val="00720BC5"/>
    <w:rsid w:val="0072160F"/>
    <w:rsid w:val="007220AF"/>
    <w:rsid w:val="00725106"/>
    <w:rsid w:val="00725FFE"/>
    <w:rsid w:val="00726451"/>
    <w:rsid w:val="00730DCC"/>
    <w:rsid w:val="0073581B"/>
    <w:rsid w:val="00735EA3"/>
    <w:rsid w:val="00737016"/>
    <w:rsid w:val="00737099"/>
    <w:rsid w:val="0074026B"/>
    <w:rsid w:val="007405A8"/>
    <w:rsid w:val="007436DB"/>
    <w:rsid w:val="00746071"/>
    <w:rsid w:val="00751711"/>
    <w:rsid w:val="007526F5"/>
    <w:rsid w:val="00754BDA"/>
    <w:rsid w:val="00757D4B"/>
    <w:rsid w:val="007602E9"/>
    <w:rsid w:val="007613A0"/>
    <w:rsid w:val="007618A0"/>
    <w:rsid w:val="007619CA"/>
    <w:rsid w:val="00764605"/>
    <w:rsid w:val="00767C5E"/>
    <w:rsid w:val="00770433"/>
    <w:rsid w:val="00770FE6"/>
    <w:rsid w:val="007720C0"/>
    <w:rsid w:val="00772341"/>
    <w:rsid w:val="0077259F"/>
    <w:rsid w:val="00772AC4"/>
    <w:rsid w:val="00772C36"/>
    <w:rsid w:val="00772C96"/>
    <w:rsid w:val="00773F01"/>
    <w:rsid w:val="00775FB6"/>
    <w:rsid w:val="00776012"/>
    <w:rsid w:val="007761D5"/>
    <w:rsid w:val="00776AB1"/>
    <w:rsid w:val="007771CC"/>
    <w:rsid w:val="00780370"/>
    <w:rsid w:val="00780614"/>
    <w:rsid w:val="0078269C"/>
    <w:rsid w:val="00782D86"/>
    <w:rsid w:val="00782F62"/>
    <w:rsid w:val="00783167"/>
    <w:rsid w:val="007859C4"/>
    <w:rsid w:val="00785E80"/>
    <w:rsid w:val="00787F82"/>
    <w:rsid w:val="00790645"/>
    <w:rsid w:val="00791DF3"/>
    <w:rsid w:val="0079568E"/>
    <w:rsid w:val="0079624D"/>
    <w:rsid w:val="00796F67"/>
    <w:rsid w:val="007A03FE"/>
    <w:rsid w:val="007A1045"/>
    <w:rsid w:val="007A45EA"/>
    <w:rsid w:val="007A5D69"/>
    <w:rsid w:val="007A7A03"/>
    <w:rsid w:val="007B1499"/>
    <w:rsid w:val="007B2000"/>
    <w:rsid w:val="007B385F"/>
    <w:rsid w:val="007B601C"/>
    <w:rsid w:val="007B7352"/>
    <w:rsid w:val="007B7DE5"/>
    <w:rsid w:val="007C1A3B"/>
    <w:rsid w:val="007C1B55"/>
    <w:rsid w:val="007C2AB0"/>
    <w:rsid w:val="007C5C36"/>
    <w:rsid w:val="007D04C0"/>
    <w:rsid w:val="007D0AFB"/>
    <w:rsid w:val="007D1151"/>
    <w:rsid w:val="007D1874"/>
    <w:rsid w:val="007D33B3"/>
    <w:rsid w:val="007D4B2B"/>
    <w:rsid w:val="007E0C5F"/>
    <w:rsid w:val="007E4551"/>
    <w:rsid w:val="007E4A58"/>
    <w:rsid w:val="007E5C1C"/>
    <w:rsid w:val="007E600E"/>
    <w:rsid w:val="007E6C24"/>
    <w:rsid w:val="007E7DB3"/>
    <w:rsid w:val="007F2966"/>
    <w:rsid w:val="007F30C1"/>
    <w:rsid w:val="007F3B06"/>
    <w:rsid w:val="007F4F10"/>
    <w:rsid w:val="007F5A8A"/>
    <w:rsid w:val="00801635"/>
    <w:rsid w:val="00803BAF"/>
    <w:rsid w:val="00805E0A"/>
    <w:rsid w:val="008073AB"/>
    <w:rsid w:val="00813276"/>
    <w:rsid w:val="00813791"/>
    <w:rsid w:val="00814416"/>
    <w:rsid w:val="008201C1"/>
    <w:rsid w:val="00820C1F"/>
    <w:rsid w:val="00822440"/>
    <w:rsid w:val="00824D74"/>
    <w:rsid w:val="008256C5"/>
    <w:rsid w:val="00825FFD"/>
    <w:rsid w:val="0082713C"/>
    <w:rsid w:val="0083306F"/>
    <w:rsid w:val="008334F8"/>
    <w:rsid w:val="00835134"/>
    <w:rsid w:val="008361D5"/>
    <w:rsid w:val="0083682E"/>
    <w:rsid w:val="00836F7B"/>
    <w:rsid w:val="008377E7"/>
    <w:rsid w:val="00841464"/>
    <w:rsid w:val="00841A46"/>
    <w:rsid w:val="008426AB"/>
    <w:rsid w:val="0084419A"/>
    <w:rsid w:val="0084747E"/>
    <w:rsid w:val="00847AB6"/>
    <w:rsid w:val="00847AD0"/>
    <w:rsid w:val="00852895"/>
    <w:rsid w:val="008544EA"/>
    <w:rsid w:val="0085560D"/>
    <w:rsid w:val="00855D1A"/>
    <w:rsid w:val="008617C6"/>
    <w:rsid w:val="00863397"/>
    <w:rsid w:val="00866AD1"/>
    <w:rsid w:val="008710A2"/>
    <w:rsid w:val="00871C84"/>
    <w:rsid w:val="00871E0F"/>
    <w:rsid w:val="00872346"/>
    <w:rsid w:val="00873656"/>
    <w:rsid w:val="008749CD"/>
    <w:rsid w:val="008816AF"/>
    <w:rsid w:val="0088279A"/>
    <w:rsid w:val="00882C44"/>
    <w:rsid w:val="008853ED"/>
    <w:rsid w:val="008879DC"/>
    <w:rsid w:val="00892C28"/>
    <w:rsid w:val="00894E8C"/>
    <w:rsid w:val="008972C8"/>
    <w:rsid w:val="008A0967"/>
    <w:rsid w:val="008A0FF6"/>
    <w:rsid w:val="008A2EA1"/>
    <w:rsid w:val="008A4186"/>
    <w:rsid w:val="008A6744"/>
    <w:rsid w:val="008A69C5"/>
    <w:rsid w:val="008A713C"/>
    <w:rsid w:val="008A78A6"/>
    <w:rsid w:val="008B0A22"/>
    <w:rsid w:val="008B38DF"/>
    <w:rsid w:val="008B5A28"/>
    <w:rsid w:val="008B6112"/>
    <w:rsid w:val="008C0343"/>
    <w:rsid w:val="008C3DB8"/>
    <w:rsid w:val="008C5547"/>
    <w:rsid w:val="008C5616"/>
    <w:rsid w:val="008C792A"/>
    <w:rsid w:val="008D039E"/>
    <w:rsid w:val="008D0F39"/>
    <w:rsid w:val="008D158C"/>
    <w:rsid w:val="008D2CC5"/>
    <w:rsid w:val="008D368C"/>
    <w:rsid w:val="008D4809"/>
    <w:rsid w:val="008D78B3"/>
    <w:rsid w:val="008E2CA1"/>
    <w:rsid w:val="008E3EF1"/>
    <w:rsid w:val="008E6B30"/>
    <w:rsid w:val="008E77FC"/>
    <w:rsid w:val="008E7F94"/>
    <w:rsid w:val="008F0936"/>
    <w:rsid w:val="008F1AA1"/>
    <w:rsid w:val="008F211B"/>
    <w:rsid w:val="008F36A6"/>
    <w:rsid w:val="008F511E"/>
    <w:rsid w:val="008F53D7"/>
    <w:rsid w:val="008F5B44"/>
    <w:rsid w:val="0090026C"/>
    <w:rsid w:val="00901EAC"/>
    <w:rsid w:val="00902692"/>
    <w:rsid w:val="00905809"/>
    <w:rsid w:val="00905E3F"/>
    <w:rsid w:val="00906A2B"/>
    <w:rsid w:val="00906E6D"/>
    <w:rsid w:val="00911DB9"/>
    <w:rsid w:val="009139E6"/>
    <w:rsid w:val="0091496D"/>
    <w:rsid w:val="0091556D"/>
    <w:rsid w:val="00915C7F"/>
    <w:rsid w:val="00915CE9"/>
    <w:rsid w:val="00915D15"/>
    <w:rsid w:val="00917007"/>
    <w:rsid w:val="00922EE2"/>
    <w:rsid w:val="00924B70"/>
    <w:rsid w:val="009311A9"/>
    <w:rsid w:val="009323DF"/>
    <w:rsid w:val="00933312"/>
    <w:rsid w:val="009355C9"/>
    <w:rsid w:val="0093741A"/>
    <w:rsid w:val="00941825"/>
    <w:rsid w:val="00946EC6"/>
    <w:rsid w:val="009502FC"/>
    <w:rsid w:val="009536F9"/>
    <w:rsid w:val="0095387E"/>
    <w:rsid w:val="00953A69"/>
    <w:rsid w:val="00954CC1"/>
    <w:rsid w:val="00956454"/>
    <w:rsid w:val="00960894"/>
    <w:rsid w:val="00961C6F"/>
    <w:rsid w:val="0096265B"/>
    <w:rsid w:val="00963619"/>
    <w:rsid w:val="00964999"/>
    <w:rsid w:val="009650CF"/>
    <w:rsid w:val="0096583D"/>
    <w:rsid w:val="009673B1"/>
    <w:rsid w:val="009678C3"/>
    <w:rsid w:val="00972A82"/>
    <w:rsid w:val="00972CB3"/>
    <w:rsid w:val="00973EF1"/>
    <w:rsid w:val="00973F08"/>
    <w:rsid w:val="00974772"/>
    <w:rsid w:val="009747AB"/>
    <w:rsid w:val="00976B59"/>
    <w:rsid w:val="009771C8"/>
    <w:rsid w:val="009810D7"/>
    <w:rsid w:val="00981A5D"/>
    <w:rsid w:val="00983594"/>
    <w:rsid w:val="00985171"/>
    <w:rsid w:val="0098520D"/>
    <w:rsid w:val="00985CA8"/>
    <w:rsid w:val="00986AC2"/>
    <w:rsid w:val="00991655"/>
    <w:rsid w:val="009937D1"/>
    <w:rsid w:val="00993A4E"/>
    <w:rsid w:val="009942E4"/>
    <w:rsid w:val="009961B1"/>
    <w:rsid w:val="009977F5"/>
    <w:rsid w:val="009A0C07"/>
    <w:rsid w:val="009A0DBB"/>
    <w:rsid w:val="009A2813"/>
    <w:rsid w:val="009A38CE"/>
    <w:rsid w:val="009A4B4C"/>
    <w:rsid w:val="009A74AC"/>
    <w:rsid w:val="009B3917"/>
    <w:rsid w:val="009B5F8C"/>
    <w:rsid w:val="009B605A"/>
    <w:rsid w:val="009B7BE1"/>
    <w:rsid w:val="009B7F87"/>
    <w:rsid w:val="009C0A41"/>
    <w:rsid w:val="009C1562"/>
    <w:rsid w:val="009C25A5"/>
    <w:rsid w:val="009C2833"/>
    <w:rsid w:val="009C2A38"/>
    <w:rsid w:val="009C505A"/>
    <w:rsid w:val="009C7089"/>
    <w:rsid w:val="009D1A5F"/>
    <w:rsid w:val="009D3CC7"/>
    <w:rsid w:val="009D7639"/>
    <w:rsid w:val="009E0B33"/>
    <w:rsid w:val="009E5589"/>
    <w:rsid w:val="009E5CFC"/>
    <w:rsid w:val="009E6831"/>
    <w:rsid w:val="009E6AB0"/>
    <w:rsid w:val="009E6F2C"/>
    <w:rsid w:val="009F59DD"/>
    <w:rsid w:val="009F7B44"/>
    <w:rsid w:val="009F7F1C"/>
    <w:rsid w:val="00A003D2"/>
    <w:rsid w:val="00A019AF"/>
    <w:rsid w:val="00A01D0C"/>
    <w:rsid w:val="00A03377"/>
    <w:rsid w:val="00A0367A"/>
    <w:rsid w:val="00A03843"/>
    <w:rsid w:val="00A043D5"/>
    <w:rsid w:val="00A05C3E"/>
    <w:rsid w:val="00A0772D"/>
    <w:rsid w:val="00A12174"/>
    <w:rsid w:val="00A12490"/>
    <w:rsid w:val="00A13DE8"/>
    <w:rsid w:val="00A1452C"/>
    <w:rsid w:val="00A14BA6"/>
    <w:rsid w:val="00A1776C"/>
    <w:rsid w:val="00A17E19"/>
    <w:rsid w:val="00A22EA2"/>
    <w:rsid w:val="00A236D9"/>
    <w:rsid w:val="00A24A04"/>
    <w:rsid w:val="00A251CC"/>
    <w:rsid w:val="00A27C16"/>
    <w:rsid w:val="00A3173D"/>
    <w:rsid w:val="00A33292"/>
    <w:rsid w:val="00A333BA"/>
    <w:rsid w:val="00A417F5"/>
    <w:rsid w:val="00A42D87"/>
    <w:rsid w:val="00A449B1"/>
    <w:rsid w:val="00A44D69"/>
    <w:rsid w:val="00A47C37"/>
    <w:rsid w:val="00A51FFB"/>
    <w:rsid w:val="00A52372"/>
    <w:rsid w:val="00A52710"/>
    <w:rsid w:val="00A55D03"/>
    <w:rsid w:val="00A55FC1"/>
    <w:rsid w:val="00A56C88"/>
    <w:rsid w:val="00A6135E"/>
    <w:rsid w:val="00A62207"/>
    <w:rsid w:val="00A641EA"/>
    <w:rsid w:val="00A65C75"/>
    <w:rsid w:val="00A6612F"/>
    <w:rsid w:val="00A664FF"/>
    <w:rsid w:val="00A66600"/>
    <w:rsid w:val="00A7225C"/>
    <w:rsid w:val="00A766AE"/>
    <w:rsid w:val="00A7755D"/>
    <w:rsid w:val="00A819EC"/>
    <w:rsid w:val="00A8341D"/>
    <w:rsid w:val="00A834B4"/>
    <w:rsid w:val="00A835F7"/>
    <w:rsid w:val="00A83F7B"/>
    <w:rsid w:val="00A84229"/>
    <w:rsid w:val="00A84650"/>
    <w:rsid w:val="00A867AC"/>
    <w:rsid w:val="00A86A2B"/>
    <w:rsid w:val="00A86C61"/>
    <w:rsid w:val="00A90722"/>
    <w:rsid w:val="00A92315"/>
    <w:rsid w:val="00A93E58"/>
    <w:rsid w:val="00A95331"/>
    <w:rsid w:val="00A9558A"/>
    <w:rsid w:val="00A97152"/>
    <w:rsid w:val="00AA022A"/>
    <w:rsid w:val="00AA2CFC"/>
    <w:rsid w:val="00AA46C2"/>
    <w:rsid w:val="00AA4F0F"/>
    <w:rsid w:val="00AA6D4D"/>
    <w:rsid w:val="00AA7395"/>
    <w:rsid w:val="00AA7A9C"/>
    <w:rsid w:val="00AB4939"/>
    <w:rsid w:val="00AB4B38"/>
    <w:rsid w:val="00AB6767"/>
    <w:rsid w:val="00AB6F78"/>
    <w:rsid w:val="00AB78D2"/>
    <w:rsid w:val="00AC0128"/>
    <w:rsid w:val="00AC0AD8"/>
    <w:rsid w:val="00AC0E1E"/>
    <w:rsid w:val="00AC1536"/>
    <w:rsid w:val="00AC1F3A"/>
    <w:rsid w:val="00AC4515"/>
    <w:rsid w:val="00AC5EFB"/>
    <w:rsid w:val="00AC6B0C"/>
    <w:rsid w:val="00AC6D5D"/>
    <w:rsid w:val="00AD04DC"/>
    <w:rsid w:val="00AD154B"/>
    <w:rsid w:val="00AD3261"/>
    <w:rsid w:val="00AD3557"/>
    <w:rsid w:val="00AD7BAE"/>
    <w:rsid w:val="00AE09E2"/>
    <w:rsid w:val="00AE1149"/>
    <w:rsid w:val="00AE3819"/>
    <w:rsid w:val="00AE4EE1"/>
    <w:rsid w:val="00AE7A8D"/>
    <w:rsid w:val="00AE7CD8"/>
    <w:rsid w:val="00AF0B06"/>
    <w:rsid w:val="00AF1928"/>
    <w:rsid w:val="00AF3F19"/>
    <w:rsid w:val="00AF462E"/>
    <w:rsid w:val="00AF5149"/>
    <w:rsid w:val="00AF7271"/>
    <w:rsid w:val="00B00324"/>
    <w:rsid w:val="00B032C8"/>
    <w:rsid w:val="00B048E1"/>
    <w:rsid w:val="00B05350"/>
    <w:rsid w:val="00B05803"/>
    <w:rsid w:val="00B05951"/>
    <w:rsid w:val="00B101CF"/>
    <w:rsid w:val="00B12B58"/>
    <w:rsid w:val="00B137E5"/>
    <w:rsid w:val="00B14A25"/>
    <w:rsid w:val="00B152DF"/>
    <w:rsid w:val="00B1721D"/>
    <w:rsid w:val="00B173A3"/>
    <w:rsid w:val="00B2146A"/>
    <w:rsid w:val="00B26B07"/>
    <w:rsid w:val="00B30DEF"/>
    <w:rsid w:val="00B32C08"/>
    <w:rsid w:val="00B37428"/>
    <w:rsid w:val="00B40383"/>
    <w:rsid w:val="00B42712"/>
    <w:rsid w:val="00B45B23"/>
    <w:rsid w:val="00B45E9F"/>
    <w:rsid w:val="00B46147"/>
    <w:rsid w:val="00B50A40"/>
    <w:rsid w:val="00B50AB9"/>
    <w:rsid w:val="00B510D3"/>
    <w:rsid w:val="00B520E0"/>
    <w:rsid w:val="00B528D5"/>
    <w:rsid w:val="00B52D70"/>
    <w:rsid w:val="00B54691"/>
    <w:rsid w:val="00B55E96"/>
    <w:rsid w:val="00B56154"/>
    <w:rsid w:val="00B57B8E"/>
    <w:rsid w:val="00B61B09"/>
    <w:rsid w:val="00B62A51"/>
    <w:rsid w:val="00B63945"/>
    <w:rsid w:val="00B64478"/>
    <w:rsid w:val="00B70A90"/>
    <w:rsid w:val="00B70F78"/>
    <w:rsid w:val="00B71500"/>
    <w:rsid w:val="00B72FA6"/>
    <w:rsid w:val="00B75355"/>
    <w:rsid w:val="00B759B2"/>
    <w:rsid w:val="00B82B17"/>
    <w:rsid w:val="00B8403C"/>
    <w:rsid w:val="00B87202"/>
    <w:rsid w:val="00B87368"/>
    <w:rsid w:val="00B90B03"/>
    <w:rsid w:val="00B912A6"/>
    <w:rsid w:val="00BA543A"/>
    <w:rsid w:val="00BA5698"/>
    <w:rsid w:val="00BA6021"/>
    <w:rsid w:val="00BB0199"/>
    <w:rsid w:val="00BB27E0"/>
    <w:rsid w:val="00BB5B72"/>
    <w:rsid w:val="00BB6E43"/>
    <w:rsid w:val="00BB7EF1"/>
    <w:rsid w:val="00BC1529"/>
    <w:rsid w:val="00BC1E72"/>
    <w:rsid w:val="00BC2E00"/>
    <w:rsid w:val="00BC42A1"/>
    <w:rsid w:val="00BC4990"/>
    <w:rsid w:val="00BC668A"/>
    <w:rsid w:val="00BC72C5"/>
    <w:rsid w:val="00BD0A19"/>
    <w:rsid w:val="00BD2626"/>
    <w:rsid w:val="00BD39A5"/>
    <w:rsid w:val="00BD524F"/>
    <w:rsid w:val="00BD538D"/>
    <w:rsid w:val="00BD66EC"/>
    <w:rsid w:val="00BE0622"/>
    <w:rsid w:val="00BE0B3C"/>
    <w:rsid w:val="00BE193D"/>
    <w:rsid w:val="00BE3C66"/>
    <w:rsid w:val="00BE45A9"/>
    <w:rsid w:val="00BE56E4"/>
    <w:rsid w:val="00BE61CA"/>
    <w:rsid w:val="00BF402D"/>
    <w:rsid w:val="00C0167C"/>
    <w:rsid w:val="00C021C0"/>
    <w:rsid w:val="00C027C4"/>
    <w:rsid w:val="00C02FD9"/>
    <w:rsid w:val="00C03790"/>
    <w:rsid w:val="00C03E9C"/>
    <w:rsid w:val="00C065CC"/>
    <w:rsid w:val="00C07C14"/>
    <w:rsid w:val="00C10A58"/>
    <w:rsid w:val="00C137E4"/>
    <w:rsid w:val="00C14A01"/>
    <w:rsid w:val="00C15428"/>
    <w:rsid w:val="00C1644E"/>
    <w:rsid w:val="00C22BFB"/>
    <w:rsid w:val="00C231B1"/>
    <w:rsid w:val="00C2392D"/>
    <w:rsid w:val="00C239A7"/>
    <w:rsid w:val="00C253C6"/>
    <w:rsid w:val="00C27DE2"/>
    <w:rsid w:val="00C30A4C"/>
    <w:rsid w:val="00C3294A"/>
    <w:rsid w:val="00C343FA"/>
    <w:rsid w:val="00C3498E"/>
    <w:rsid w:val="00C34AF8"/>
    <w:rsid w:val="00C36B8D"/>
    <w:rsid w:val="00C37ABB"/>
    <w:rsid w:val="00C42F87"/>
    <w:rsid w:val="00C43765"/>
    <w:rsid w:val="00C44668"/>
    <w:rsid w:val="00C45D5F"/>
    <w:rsid w:val="00C46562"/>
    <w:rsid w:val="00C46746"/>
    <w:rsid w:val="00C46EFA"/>
    <w:rsid w:val="00C50AD4"/>
    <w:rsid w:val="00C5167A"/>
    <w:rsid w:val="00C52997"/>
    <w:rsid w:val="00C54835"/>
    <w:rsid w:val="00C551DA"/>
    <w:rsid w:val="00C56117"/>
    <w:rsid w:val="00C57986"/>
    <w:rsid w:val="00C606EC"/>
    <w:rsid w:val="00C6120E"/>
    <w:rsid w:val="00C625DD"/>
    <w:rsid w:val="00C62801"/>
    <w:rsid w:val="00C64528"/>
    <w:rsid w:val="00C64D19"/>
    <w:rsid w:val="00C65D8B"/>
    <w:rsid w:val="00C6785E"/>
    <w:rsid w:val="00C70615"/>
    <w:rsid w:val="00C70902"/>
    <w:rsid w:val="00C72E98"/>
    <w:rsid w:val="00C73EA6"/>
    <w:rsid w:val="00C75519"/>
    <w:rsid w:val="00C7572A"/>
    <w:rsid w:val="00C7641A"/>
    <w:rsid w:val="00C7676B"/>
    <w:rsid w:val="00C76AE8"/>
    <w:rsid w:val="00C81191"/>
    <w:rsid w:val="00C857AC"/>
    <w:rsid w:val="00C86DA0"/>
    <w:rsid w:val="00C94C5E"/>
    <w:rsid w:val="00C94E84"/>
    <w:rsid w:val="00CB0FEA"/>
    <w:rsid w:val="00CB3C31"/>
    <w:rsid w:val="00CB6C3A"/>
    <w:rsid w:val="00CB7A76"/>
    <w:rsid w:val="00CB7E9B"/>
    <w:rsid w:val="00CC1FB5"/>
    <w:rsid w:val="00CC4121"/>
    <w:rsid w:val="00CC50D8"/>
    <w:rsid w:val="00CC5D2A"/>
    <w:rsid w:val="00CC6CF8"/>
    <w:rsid w:val="00CD211B"/>
    <w:rsid w:val="00CD3489"/>
    <w:rsid w:val="00CD34BB"/>
    <w:rsid w:val="00CD45A6"/>
    <w:rsid w:val="00CE0BCF"/>
    <w:rsid w:val="00CE115E"/>
    <w:rsid w:val="00CE1214"/>
    <w:rsid w:val="00CE16A8"/>
    <w:rsid w:val="00CE3D35"/>
    <w:rsid w:val="00CE42AC"/>
    <w:rsid w:val="00CE4F79"/>
    <w:rsid w:val="00CE5A78"/>
    <w:rsid w:val="00CE5ABC"/>
    <w:rsid w:val="00CF0822"/>
    <w:rsid w:val="00CF3EED"/>
    <w:rsid w:val="00CF5761"/>
    <w:rsid w:val="00CF6288"/>
    <w:rsid w:val="00D003B1"/>
    <w:rsid w:val="00D01AD5"/>
    <w:rsid w:val="00D02507"/>
    <w:rsid w:val="00D0252B"/>
    <w:rsid w:val="00D04081"/>
    <w:rsid w:val="00D05696"/>
    <w:rsid w:val="00D07F66"/>
    <w:rsid w:val="00D114A5"/>
    <w:rsid w:val="00D12F04"/>
    <w:rsid w:val="00D13061"/>
    <w:rsid w:val="00D1489D"/>
    <w:rsid w:val="00D14B83"/>
    <w:rsid w:val="00D14DB1"/>
    <w:rsid w:val="00D171C5"/>
    <w:rsid w:val="00D2605D"/>
    <w:rsid w:val="00D26DED"/>
    <w:rsid w:val="00D26F79"/>
    <w:rsid w:val="00D276B9"/>
    <w:rsid w:val="00D31BC5"/>
    <w:rsid w:val="00D321FD"/>
    <w:rsid w:val="00D348BA"/>
    <w:rsid w:val="00D351C5"/>
    <w:rsid w:val="00D3623A"/>
    <w:rsid w:val="00D408C3"/>
    <w:rsid w:val="00D41700"/>
    <w:rsid w:val="00D43958"/>
    <w:rsid w:val="00D44345"/>
    <w:rsid w:val="00D453B1"/>
    <w:rsid w:val="00D4564D"/>
    <w:rsid w:val="00D50E38"/>
    <w:rsid w:val="00D51423"/>
    <w:rsid w:val="00D52932"/>
    <w:rsid w:val="00D53195"/>
    <w:rsid w:val="00D533A4"/>
    <w:rsid w:val="00D54079"/>
    <w:rsid w:val="00D56CA2"/>
    <w:rsid w:val="00D6512A"/>
    <w:rsid w:val="00D65540"/>
    <w:rsid w:val="00D657C8"/>
    <w:rsid w:val="00D664A4"/>
    <w:rsid w:val="00D66D06"/>
    <w:rsid w:val="00D72AB8"/>
    <w:rsid w:val="00D80179"/>
    <w:rsid w:val="00D822AF"/>
    <w:rsid w:val="00D82D0E"/>
    <w:rsid w:val="00D843C4"/>
    <w:rsid w:val="00D85214"/>
    <w:rsid w:val="00D85BE4"/>
    <w:rsid w:val="00D85CD5"/>
    <w:rsid w:val="00D87597"/>
    <w:rsid w:val="00D912ED"/>
    <w:rsid w:val="00D91481"/>
    <w:rsid w:val="00D9425F"/>
    <w:rsid w:val="00DA006E"/>
    <w:rsid w:val="00DA05EB"/>
    <w:rsid w:val="00DA267F"/>
    <w:rsid w:val="00DA2A14"/>
    <w:rsid w:val="00DA3CD2"/>
    <w:rsid w:val="00DA4F2A"/>
    <w:rsid w:val="00DA6E08"/>
    <w:rsid w:val="00DB287B"/>
    <w:rsid w:val="00DB4133"/>
    <w:rsid w:val="00DB518D"/>
    <w:rsid w:val="00DC09BB"/>
    <w:rsid w:val="00DC0D1B"/>
    <w:rsid w:val="00DC11CE"/>
    <w:rsid w:val="00DC384F"/>
    <w:rsid w:val="00DC56C4"/>
    <w:rsid w:val="00DD188A"/>
    <w:rsid w:val="00DD41A1"/>
    <w:rsid w:val="00DD41AF"/>
    <w:rsid w:val="00DD5EB8"/>
    <w:rsid w:val="00DD5EFC"/>
    <w:rsid w:val="00DD6756"/>
    <w:rsid w:val="00DD7B85"/>
    <w:rsid w:val="00DE0935"/>
    <w:rsid w:val="00DE541F"/>
    <w:rsid w:val="00DE5E03"/>
    <w:rsid w:val="00DE6E8E"/>
    <w:rsid w:val="00DE798F"/>
    <w:rsid w:val="00DE7BED"/>
    <w:rsid w:val="00DE7D14"/>
    <w:rsid w:val="00DF00A2"/>
    <w:rsid w:val="00DF07BA"/>
    <w:rsid w:val="00DF1825"/>
    <w:rsid w:val="00DF269A"/>
    <w:rsid w:val="00DF3D70"/>
    <w:rsid w:val="00DF4ADA"/>
    <w:rsid w:val="00DF56A3"/>
    <w:rsid w:val="00DF5892"/>
    <w:rsid w:val="00E0186A"/>
    <w:rsid w:val="00E0333D"/>
    <w:rsid w:val="00E034EC"/>
    <w:rsid w:val="00E05C50"/>
    <w:rsid w:val="00E072C4"/>
    <w:rsid w:val="00E10954"/>
    <w:rsid w:val="00E10A43"/>
    <w:rsid w:val="00E10F1E"/>
    <w:rsid w:val="00E12253"/>
    <w:rsid w:val="00E13124"/>
    <w:rsid w:val="00E1361C"/>
    <w:rsid w:val="00E151E6"/>
    <w:rsid w:val="00E15791"/>
    <w:rsid w:val="00E16A87"/>
    <w:rsid w:val="00E20C7A"/>
    <w:rsid w:val="00E22B92"/>
    <w:rsid w:val="00E23E3D"/>
    <w:rsid w:val="00E2555B"/>
    <w:rsid w:val="00E330DC"/>
    <w:rsid w:val="00E37940"/>
    <w:rsid w:val="00E40549"/>
    <w:rsid w:val="00E42533"/>
    <w:rsid w:val="00E433E4"/>
    <w:rsid w:val="00E43851"/>
    <w:rsid w:val="00E439EF"/>
    <w:rsid w:val="00E45702"/>
    <w:rsid w:val="00E45E85"/>
    <w:rsid w:val="00E46CB0"/>
    <w:rsid w:val="00E52552"/>
    <w:rsid w:val="00E544F2"/>
    <w:rsid w:val="00E55D88"/>
    <w:rsid w:val="00E55E77"/>
    <w:rsid w:val="00E61502"/>
    <w:rsid w:val="00E642F7"/>
    <w:rsid w:val="00E65EF9"/>
    <w:rsid w:val="00E67703"/>
    <w:rsid w:val="00E71920"/>
    <w:rsid w:val="00E71CEA"/>
    <w:rsid w:val="00E71F17"/>
    <w:rsid w:val="00E72A54"/>
    <w:rsid w:val="00E73734"/>
    <w:rsid w:val="00E73C2B"/>
    <w:rsid w:val="00E74528"/>
    <w:rsid w:val="00E74E0B"/>
    <w:rsid w:val="00E763FA"/>
    <w:rsid w:val="00E810FF"/>
    <w:rsid w:val="00E81568"/>
    <w:rsid w:val="00E81A51"/>
    <w:rsid w:val="00E83680"/>
    <w:rsid w:val="00E837F0"/>
    <w:rsid w:val="00E83EF8"/>
    <w:rsid w:val="00E84AF2"/>
    <w:rsid w:val="00E85B84"/>
    <w:rsid w:val="00E85CA4"/>
    <w:rsid w:val="00E872E7"/>
    <w:rsid w:val="00E903B4"/>
    <w:rsid w:val="00EA057E"/>
    <w:rsid w:val="00EA3B76"/>
    <w:rsid w:val="00EA4C84"/>
    <w:rsid w:val="00EB02DD"/>
    <w:rsid w:val="00EB3102"/>
    <w:rsid w:val="00EB5725"/>
    <w:rsid w:val="00EB5FFC"/>
    <w:rsid w:val="00EB6B43"/>
    <w:rsid w:val="00EB70D9"/>
    <w:rsid w:val="00EC0237"/>
    <w:rsid w:val="00EC032D"/>
    <w:rsid w:val="00EC2C7D"/>
    <w:rsid w:val="00EC5294"/>
    <w:rsid w:val="00ED0A38"/>
    <w:rsid w:val="00ED1055"/>
    <w:rsid w:val="00ED1112"/>
    <w:rsid w:val="00ED2745"/>
    <w:rsid w:val="00ED3184"/>
    <w:rsid w:val="00ED412F"/>
    <w:rsid w:val="00ED7F8A"/>
    <w:rsid w:val="00EE02B4"/>
    <w:rsid w:val="00EE0CB1"/>
    <w:rsid w:val="00EE0EF5"/>
    <w:rsid w:val="00EE3F4C"/>
    <w:rsid w:val="00EE4317"/>
    <w:rsid w:val="00EE7CB6"/>
    <w:rsid w:val="00EF1C5D"/>
    <w:rsid w:val="00EF53D1"/>
    <w:rsid w:val="00EF6552"/>
    <w:rsid w:val="00EF6C37"/>
    <w:rsid w:val="00F01A20"/>
    <w:rsid w:val="00F0204A"/>
    <w:rsid w:val="00F0596D"/>
    <w:rsid w:val="00F10B65"/>
    <w:rsid w:val="00F13692"/>
    <w:rsid w:val="00F143FE"/>
    <w:rsid w:val="00F15592"/>
    <w:rsid w:val="00F15E73"/>
    <w:rsid w:val="00F17194"/>
    <w:rsid w:val="00F17EA0"/>
    <w:rsid w:val="00F229DF"/>
    <w:rsid w:val="00F2382D"/>
    <w:rsid w:val="00F25AB0"/>
    <w:rsid w:val="00F27842"/>
    <w:rsid w:val="00F27F8B"/>
    <w:rsid w:val="00F301B2"/>
    <w:rsid w:val="00F30B38"/>
    <w:rsid w:val="00F31F03"/>
    <w:rsid w:val="00F325A6"/>
    <w:rsid w:val="00F332CC"/>
    <w:rsid w:val="00F35C1F"/>
    <w:rsid w:val="00F37892"/>
    <w:rsid w:val="00F37E79"/>
    <w:rsid w:val="00F407F9"/>
    <w:rsid w:val="00F4210C"/>
    <w:rsid w:val="00F4250A"/>
    <w:rsid w:val="00F47AB2"/>
    <w:rsid w:val="00F532B5"/>
    <w:rsid w:val="00F5657F"/>
    <w:rsid w:val="00F5681B"/>
    <w:rsid w:val="00F60F33"/>
    <w:rsid w:val="00F619E2"/>
    <w:rsid w:val="00F62038"/>
    <w:rsid w:val="00F62349"/>
    <w:rsid w:val="00F6270F"/>
    <w:rsid w:val="00F665EC"/>
    <w:rsid w:val="00F701C4"/>
    <w:rsid w:val="00F714B4"/>
    <w:rsid w:val="00F7217C"/>
    <w:rsid w:val="00F74292"/>
    <w:rsid w:val="00F74B5C"/>
    <w:rsid w:val="00F74B60"/>
    <w:rsid w:val="00F74C02"/>
    <w:rsid w:val="00F75ADA"/>
    <w:rsid w:val="00F7780C"/>
    <w:rsid w:val="00F86F84"/>
    <w:rsid w:val="00F94131"/>
    <w:rsid w:val="00F95A7E"/>
    <w:rsid w:val="00FA1B4D"/>
    <w:rsid w:val="00FA36BA"/>
    <w:rsid w:val="00FA38E3"/>
    <w:rsid w:val="00FA4E6E"/>
    <w:rsid w:val="00FA5D7B"/>
    <w:rsid w:val="00FA6A22"/>
    <w:rsid w:val="00FA6EA4"/>
    <w:rsid w:val="00FB1259"/>
    <w:rsid w:val="00FB3129"/>
    <w:rsid w:val="00FB6AEB"/>
    <w:rsid w:val="00FB781F"/>
    <w:rsid w:val="00FC056F"/>
    <w:rsid w:val="00FC3CA4"/>
    <w:rsid w:val="00FC617A"/>
    <w:rsid w:val="00FC63E7"/>
    <w:rsid w:val="00FD1DE2"/>
    <w:rsid w:val="00FD2A79"/>
    <w:rsid w:val="00FD2DD8"/>
    <w:rsid w:val="00FD2E73"/>
    <w:rsid w:val="00FE15E1"/>
    <w:rsid w:val="00FE529F"/>
    <w:rsid w:val="00FF3130"/>
    <w:rsid w:val="00FF4250"/>
    <w:rsid w:val="00FF55EF"/>
    <w:rsid w:val="00FF6C39"/>
    <w:rsid w:val="00FF6F30"/>
    <w:rsid w:val="00FF70AF"/>
    <w:rsid w:val="00FF7AAE"/>
    <w:rsid w:val="01E99E96"/>
    <w:rsid w:val="0C909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C37F7"/>
  <w15:chartTrackingRefBased/>
  <w15:docId w15:val="{C06391BF-A320-47D2-B579-E9140B12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2DF"/>
    <w:pPr>
      <w:jc w:val="both"/>
      <w:outlineLvl w:val="0"/>
    </w:pPr>
    <w:rPr>
      <w:rFonts w:cs="Times New Roman"/>
      <w:b/>
      <w:szCs w:val="24"/>
      <w:u w:val="single"/>
    </w:rPr>
  </w:style>
  <w:style w:type="paragraph" w:styleId="Heading2">
    <w:name w:val="heading 2"/>
    <w:basedOn w:val="Heading1"/>
    <w:next w:val="Normal"/>
    <w:link w:val="Heading2Char"/>
    <w:uiPriority w:val="9"/>
    <w:unhideWhenUsed/>
    <w:qFormat/>
    <w:rsid w:val="00CE3D35"/>
    <w:pPr>
      <w:outlineLvl w:val="1"/>
    </w:pPr>
    <w:rPr>
      <w:rFonts w:asciiTheme="minorHAnsi" w:hAnsiTheme="minorHAnsi" w:cstheme="minorHAnsi"/>
      <w:u w:val="none"/>
    </w:rPr>
  </w:style>
  <w:style w:type="paragraph" w:styleId="Heading3">
    <w:name w:val="heading 3"/>
    <w:basedOn w:val="Heading2"/>
    <w:next w:val="Normal"/>
    <w:link w:val="Heading3Char"/>
    <w:uiPriority w:val="9"/>
    <w:unhideWhenUsed/>
    <w:qFormat/>
    <w:rsid w:val="0001126E"/>
    <w:pPr>
      <w:outlineLvl w:val="2"/>
    </w:pPr>
  </w:style>
  <w:style w:type="paragraph" w:styleId="Heading4">
    <w:name w:val="heading 4"/>
    <w:basedOn w:val="ListParagraph"/>
    <w:next w:val="Normal"/>
    <w:link w:val="Heading4Char"/>
    <w:uiPriority w:val="9"/>
    <w:unhideWhenUsed/>
    <w:qFormat/>
    <w:rsid w:val="00FB3129"/>
    <w:pPr>
      <w:numPr>
        <w:numId w:val="28"/>
      </w:numPr>
      <w:autoSpaceDE w:val="0"/>
      <w:autoSpaceDN w:val="0"/>
      <w:adjustRightInd w:val="0"/>
      <w:spacing w:after="200" w:line="276" w:lineRule="auto"/>
      <w:outlineLvl w:val="3"/>
    </w:pPr>
    <w:rPr>
      <w:rFonts w:cstheme="minorHAns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E02B4"/>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unhideWhenUsed/>
    <w:rsid w:val="00EE02B4"/>
    <w:pPr>
      <w:spacing w:after="0" w:line="240" w:lineRule="auto"/>
    </w:pPr>
    <w:rPr>
      <w:rFonts w:eastAsiaTheme="majorEastAsia" w:cstheme="majorBidi"/>
      <w:sz w:val="20"/>
      <w:szCs w:val="20"/>
    </w:rPr>
  </w:style>
  <w:style w:type="paragraph" w:customStyle="1" w:styleId="DocID">
    <w:name w:val="DocID"/>
    <w:basedOn w:val="Footer"/>
    <w:next w:val="Footer"/>
    <w:link w:val="DocIDChar"/>
    <w:rsid w:val="000C4C45"/>
    <w:pPr>
      <w:tabs>
        <w:tab w:val="clear" w:pos="4680"/>
        <w:tab w:val="clear" w:pos="9360"/>
      </w:tabs>
    </w:pPr>
    <w:rPr>
      <w:rFonts w:eastAsia="Times New Roman" w:cs="Times New Roman"/>
      <w:sz w:val="16"/>
      <w:szCs w:val="20"/>
    </w:rPr>
  </w:style>
  <w:style w:type="character" w:customStyle="1" w:styleId="DocIDChar">
    <w:name w:val="DocID Char"/>
    <w:basedOn w:val="DefaultParagraphFont"/>
    <w:link w:val="DocID"/>
    <w:rsid w:val="000C4C45"/>
    <w:rPr>
      <w:rFonts w:eastAsia="Times New Roman" w:cs="Times New Roman"/>
      <w:sz w:val="16"/>
      <w:szCs w:val="20"/>
      <w:lang w:val="en-US" w:eastAsia="en-US"/>
    </w:rPr>
  </w:style>
  <w:style w:type="paragraph" w:styleId="Footer">
    <w:name w:val="footer"/>
    <w:basedOn w:val="Normal"/>
    <w:link w:val="FooterChar"/>
    <w:uiPriority w:val="99"/>
    <w:unhideWhenUsed/>
    <w:rsid w:val="000C4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C45"/>
  </w:style>
  <w:style w:type="table" w:styleId="TableGrid">
    <w:name w:val="Table Grid"/>
    <w:basedOn w:val="TableNormal"/>
    <w:uiPriority w:val="39"/>
    <w:rsid w:val="0026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4A04"/>
    <w:rPr>
      <w:sz w:val="16"/>
      <w:szCs w:val="16"/>
    </w:rPr>
  </w:style>
  <w:style w:type="paragraph" w:styleId="CommentText">
    <w:name w:val="annotation text"/>
    <w:basedOn w:val="Normal"/>
    <w:link w:val="CommentTextChar"/>
    <w:uiPriority w:val="99"/>
    <w:unhideWhenUsed/>
    <w:rsid w:val="00A24A04"/>
    <w:pPr>
      <w:spacing w:line="240" w:lineRule="auto"/>
    </w:pPr>
    <w:rPr>
      <w:sz w:val="20"/>
      <w:szCs w:val="20"/>
    </w:rPr>
  </w:style>
  <w:style w:type="character" w:customStyle="1" w:styleId="CommentTextChar">
    <w:name w:val="Comment Text Char"/>
    <w:basedOn w:val="DefaultParagraphFont"/>
    <w:link w:val="CommentText"/>
    <w:uiPriority w:val="99"/>
    <w:rsid w:val="00A24A04"/>
    <w:rPr>
      <w:sz w:val="20"/>
      <w:szCs w:val="20"/>
    </w:rPr>
  </w:style>
  <w:style w:type="paragraph" w:styleId="CommentSubject">
    <w:name w:val="annotation subject"/>
    <w:basedOn w:val="CommentText"/>
    <w:next w:val="CommentText"/>
    <w:link w:val="CommentSubjectChar"/>
    <w:uiPriority w:val="99"/>
    <w:semiHidden/>
    <w:unhideWhenUsed/>
    <w:rsid w:val="00A24A04"/>
    <w:rPr>
      <w:b/>
      <w:bCs/>
    </w:rPr>
  </w:style>
  <w:style w:type="character" w:customStyle="1" w:styleId="CommentSubjectChar">
    <w:name w:val="Comment Subject Char"/>
    <w:basedOn w:val="CommentTextChar"/>
    <w:link w:val="CommentSubject"/>
    <w:uiPriority w:val="99"/>
    <w:semiHidden/>
    <w:rsid w:val="00A24A04"/>
    <w:rPr>
      <w:b/>
      <w:bCs/>
      <w:sz w:val="20"/>
      <w:szCs w:val="20"/>
    </w:rPr>
  </w:style>
  <w:style w:type="paragraph" w:styleId="BalloonText">
    <w:name w:val="Balloon Text"/>
    <w:basedOn w:val="Normal"/>
    <w:link w:val="BalloonTextChar"/>
    <w:uiPriority w:val="99"/>
    <w:semiHidden/>
    <w:unhideWhenUsed/>
    <w:rsid w:val="00A24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A04"/>
    <w:rPr>
      <w:rFonts w:ascii="Segoe UI" w:hAnsi="Segoe UI" w:cs="Segoe UI"/>
      <w:sz w:val="18"/>
      <w:szCs w:val="18"/>
    </w:rPr>
  </w:style>
  <w:style w:type="paragraph" w:styleId="FootnoteText">
    <w:name w:val="footnote text"/>
    <w:basedOn w:val="Normal"/>
    <w:link w:val="FootnoteTextChar"/>
    <w:uiPriority w:val="99"/>
    <w:unhideWhenUsed/>
    <w:rsid w:val="001758C2"/>
    <w:pPr>
      <w:spacing w:after="0" w:line="240" w:lineRule="auto"/>
    </w:pPr>
    <w:rPr>
      <w:sz w:val="20"/>
      <w:szCs w:val="20"/>
    </w:rPr>
  </w:style>
  <w:style w:type="character" w:customStyle="1" w:styleId="FootnoteTextChar">
    <w:name w:val="Footnote Text Char"/>
    <w:basedOn w:val="DefaultParagraphFont"/>
    <w:link w:val="FootnoteText"/>
    <w:uiPriority w:val="99"/>
    <w:rsid w:val="001758C2"/>
    <w:rPr>
      <w:sz w:val="20"/>
      <w:szCs w:val="20"/>
    </w:rPr>
  </w:style>
  <w:style w:type="character" w:styleId="FootnoteReference">
    <w:name w:val="footnote reference"/>
    <w:basedOn w:val="DefaultParagraphFont"/>
    <w:uiPriority w:val="99"/>
    <w:semiHidden/>
    <w:unhideWhenUsed/>
    <w:rsid w:val="001758C2"/>
    <w:rPr>
      <w:vertAlign w:val="superscript"/>
    </w:rPr>
  </w:style>
  <w:style w:type="paragraph" w:styleId="ListParagraph">
    <w:name w:val="List Paragraph"/>
    <w:basedOn w:val="Normal"/>
    <w:link w:val="ListParagraphChar"/>
    <w:uiPriority w:val="34"/>
    <w:qFormat/>
    <w:rsid w:val="001707E1"/>
    <w:pPr>
      <w:spacing w:after="0" w:line="240" w:lineRule="auto"/>
      <w:ind w:left="720"/>
      <w:contextualSpacing/>
    </w:pPr>
    <w:rPr>
      <w:rFonts w:asciiTheme="minorHAnsi" w:hAnsiTheme="minorHAnsi"/>
      <w:sz w:val="22"/>
    </w:rPr>
  </w:style>
  <w:style w:type="paragraph" w:styleId="Header">
    <w:name w:val="header"/>
    <w:basedOn w:val="Normal"/>
    <w:link w:val="HeaderChar"/>
    <w:uiPriority w:val="99"/>
    <w:unhideWhenUsed/>
    <w:rsid w:val="001F6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879"/>
  </w:style>
  <w:style w:type="paragraph" w:styleId="EndnoteText">
    <w:name w:val="endnote text"/>
    <w:basedOn w:val="Normal"/>
    <w:link w:val="EndnoteTextChar"/>
    <w:uiPriority w:val="99"/>
    <w:semiHidden/>
    <w:unhideWhenUsed/>
    <w:rsid w:val="002F23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2378"/>
    <w:rPr>
      <w:sz w:val="20"/>
      <w:szCs w:val="20"/>
    </w:rPr>
  </w:style>
  <w:style w:type="character" w:styleId="EndnoteReference">
    <w:name w:val="endnote reference"/>
    <w:basedOn w:val="DefaultParagraphFont"/>
    <w:uiPriority w:val="99"/>
    <w:semiHidden/>
    <w:unhideWhenUsed/>
    <w:rsid w:val="002F2378"/>
    <w:rPr>
      <w:vertAlign w:val="superscript"/>
    </w:rPr>
  </w:style>
  <w:style w:type="character" w:styleId="Hyperlink">
    <w:name w:val="Hyperlink"/>
    <w:basedOn w:val="DefaultParagraphFont"/>
    <w:uiPriority w:val="99"/>
    <w:unhideWhenUsed/>
    <w:rsid w:val="002F2378"/>
    <w:rPr>
      <w:color w:val="0000FF" w:themeColor="hyperlink"/>
      <w:u w:val="single"/>
    </w:rPr>
  </w:style>
  <w:style w:type="character" w:styleId="FollowedHyperlink">
    <w:name w:val="FollowedHyperlink"/>
    <w:basedOn w:val="DefaultParagraphFont"/>
    <w:uiPriority w:val="99"/>
    <w:semiHidden/>
    <w:unhideWhenUsed/>
    <w:rsid w:val="00D12F04"/>
    <w:rPr>
      <w:color w:val="800080" w:themeColor="followedHyperlink"/>
      <w:u w:val="single"/>
    </w:rPr>
  </w:style>
  <w:style w:type="paragraph" w:customStyle="1" w:styleId="xmsonormal">
    <w:name w:val="x_msonormal"/>
    <w:basedOn w:val="Normal"/>
    <w:rsid w:val="00B56154"/>
    <w:pPr>
      <w:spacing w:after="0" w:line="240" w:lineRule="auto"/>
    </w:pPr>
    <w:rPr>
      <w:rFonts w:cs="Times New Roman"/>
      <w:szCs w:val="24"/>
    </w:rPr>
  </w:style>
  <w:style w:type="character" w:customStyle="1" w:styleId="ListParagraphChar">
    <w:name w:val="List Paragraph Char"/>
    <w:basedOn w:val="DefaultParagraphFont"/>
    <w:link w:val="ListParagraph"/>
    <w:uiPriority w:val="34"/>
    <w:rsid w:val="001F647D"/>
    <w:rPr>
      <w:rFonts w:asciiTheme="minorHAnsi" w:hAnsiTheme="minorHAnsi"/>
      <w:sz w:val="22"/>
    </w:rPr>
  </w:style>
  <w:style w:type="paragraph" w:styleId="Revision">
    <w:name w:val="Revision"/>
    <w:hidden/>
    <w:uiPriority w:val="99"/>
    <w:semiHidden/>
    <w:rsid w:val="00B26B07"/>
    <w:pPr>
      <w:spacing w:after="0" w:line="240" w:lineRule="auto"/>
    </w:pPr>
  </w:style>
  <w:style w:type="character" w:customStyle="1" w:styleId="Heading1Char">
    <w:name w:val="Heading 1 Char"/>
    <w:basedOn w:val="DefaultParagraphFont"/>
    <w:link w:val="Heading1"/>
    <w:uiPriority w:val="9"/>
    <w:rsid w:val="00B152DF"/>
    <w:rPr>
      <w:rFonts w:cs="Times New Roman"/>
      <w:b/>
      <w:szCs w:val="24"/>
      <w:u w:val="single"/>
    </w:rPr>
  </w:style>
  <w:style w:type="character" w:customStyle="1" w:styleId="Heading2Char">
    <w:name w:val="Heading 2 Char"/>
    <w:basedOn w:val="DefaultParagraphFont"/>
    <w:link w:val="Heading2"/>
    <w:uiPriority w:val="9"/>
    <w:rsid w:val="00CE3D35"/>
    <w:rPr>
      <w:rFonts w:asciiTheme="minorHAnsi" w:hAnsiTheme="minorHAnsi" w:cstheme="minorHAnsi"/>
      <w:b/>
      <w:szCs w:val="24"/>
    </w:rPr>
  </w:style>
  <w:style w:type="character" w:styleId="UnresolvedMention">
    <w:name w:val="Unresolved Mention"/>
    <w:basedOn w:val="DefaultParagraphFont"/>
    <w:uiPriority w:val="99"/>
    <w:semiHidden/>
    <w:unhideWhenUsed/>
    <w:rsid w:val="00F01A20"/>
    <w:rPr>
      <w:color w:val="605E5C"/>
      <w:shd w:val="clear" w:color="auto" w:fill="E1DFDD"/>
    </w:rPr>
  </w:style>
  <w:style w:type="table" w:styleId="ListTable3-Accent1">
    <w:name w:val="List Table 3 Accent 1"/>
    <w:basedOn w:val="TableNormal"/>
    <w:uiPriority w:val="48"/>
    <w:rsid w:val="00E810FF"/>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
    <w:name w:val="Body Text"/>
    <w:basedOn w:val="Normal"/>
    <w:link w:val="BodyTextChar"/>
    <w:uiPriority w:val="1"/>
    <w:qFormat/>
    <w:rsid w:val="002638F7"/>
    <w:pPr>
      <w:autoSpaceDE w:val="0"/>
      <w:autoSpaceDN w:val="0"/>
      <w:adjustRightInd w:val="0"/>
      <w:spacing w:after="0" w:line="240" w:lineRule="auto"/>
    </w:pPr>
    <w:rPr>
      <w:rFonts w:ascii="Book Antiqua" w:hAnsi="Book Antiqua" w:cs="Book Antiqua"/>
      <w:sz w:val="18"/>
      <w:szCs w:val="18"/>
    </w:rPr>
  </w:style>
  <w:style w:type="character" w:customStyle="1" w:styleId="BodyTextChar">
    <w:name w:val="Body Text Char"/>
    <w:basedOn w:val="DefaultParagraphFont"/>
    <w:link w:val="BodyText"/>
    <w:uiPriority w:val="1"/>
    <w:rsid w:val="002638F7"/>
    <w:rPr>
      <w:rFonts w:ascii="Book Antiqua" w:hAnsi="Book Antiqua" w:cs="Book Antiqua"/>
      <w:sz w:val="18"/>
      <w:szCs w:val="18"/>
    </w:rPr>
  </w:style>
  <w:style w:type="paragraph" w:styleId="NormalWeb">
    <w:name w:val="Normal (Web)"/>
    <w:basedOn w:val="Normal"/>
    <w:uiPriority w:val="99"/>
    <w:semiHidden/>
    <w:unhideWhenUsed/>
    <w:rsid w:val="004D37D9"/>
    <w:pPr>
      <w:spacing w:before="100" w:beforeAutospacing="1" w:after="100" w:afterAutospacing="1" w:line="240" w:lineRule="auto"/>
    </w:pPr>
    <w:rPr>
      <w:rFonts w:eastAsia="Times New Roman" w:cs="Times New Roman"/>
      <w:szCs w:val="24"/>
    </w:rPr>
  </w:style>
  <w:style w:type="table" w:styleId="GridTable4-Accent1">
    <w:name w:val="Grid Table 4 Accent 1"/>
    <w:basedOn w:val="TableNormal"/>
    <w:uiPriority w:val="49"/>
    <w:rsid w:val="00460229"/>
    <w:pPr>
      <w:spacing w:after="0" w:line="240" w:lineRule="auto"/>
    </w:pPr>
    <w:rPr>
      <w:rFonts w:asciiTheme="minorHAnsi" w:hAnsiTheme="minorHAnsi"/>
      <w:kern w:val="2"/>
      <w:szCs w:val="24"/>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16391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Spacing">
    <w:name w:val="No Spacing"/>
    <w:uiPriority w:val="1"/>
    <w:qFormat/>
    <w:rsid w:val="00E10A43"/>
    <w:pPr>
      <w:spacing w:after="0" w:line="240" w:lineRule="auto"/>
    </w:pPr>
  </w:style>
  <w:style w:type="character" w:customStyle="1" w:styleId="Heading3Char">
    <w:name w:val="Heading 3 Char"/>
    <w:basedOn w:val="DefaultParagraphFont"/>
    <w:link w:val="Heading3"/>
    <w:uiPriority w:val="9"/>
    <w:rsid w:val="0001126E"/>
    <w:rPr>
      <w:rFonts w:asciiTheme="minorHAnsi" w:hAnsiTheme="minorHAnsi" w:cstheme="minorHAnsi"/>
      <w:b/>
      <w:szCs w:val="24"/>
    </w:rPr>
  </w:style>
  <w:style w:type="character" w:customStyle="1" w:styleId="Heading4Char">
    <w:name w:val="Heading 4 Char"/>
    <w:basedOn w:val="DefaultParagraphFont"/>
    <w:link w:val="Heading4"/>
    <w:uiPriority w:val="9"/>
    <w:rsid w:val="00FB3129"/>
    <w:rPr>
      <w:rFonts w:asciiTheme="minorHAnsi" w:hAnsiTheme="minorHAnsi" w:cs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05130">
      <w:bodyDiv w:val="1"/>
      <w:marLeft w:val="0"/>
      <w:marRight w:val="0"/>
      <w:marTop w:val="0"/>
      <w:marBottom w:val="0"/>
      <w:divBdr>
        <w:top w:val="none" w:sz="0" w:space="0" w:color="auto"/>
        <w:left w:val="none" w:sz="0" w:space="0" w:color="auto"/>
        <w:bottom w:val="none" w:sz="0" w:space="0" w:color="auto"/>
        <w:right w:val="none" w:sz="0" w:space="0" w:color="auto"/>
      </w:divBdr>
    </w:div>
    <w:div w:id="1027220381">
      <w:bodyDiv w:val="1"/>
      <w:marLeft w:val="0"/>
      <w:marRight w:val="0"/>
      <w:marTop w:val="0"/>
      <w:marBottom w:val="0"/>
      <w:divBdr>
        <w:top w:val="none" w:sz="0" w:space="0" w:color="auto"/>
        <w:left w:val="none" w:sz="0" w:space="0" w:color="auto"/>
        <w:bottom w:val="none" w:sz="0" w:space="0" w:color="auto"/>
        <w:right w:val="none" w:sz="0" w:space="0" w:color="auto"/>
      </w:divBdr>
    </w:div>
    <w:div w:id="1137911533">
      <w:bodyDiv w:val="1"/>
      <w:marLeft w:val="0"/>
      <w:marRight w:val="0"/>
      <w:marTop w:val="0"/>
      <w:marBottom w:val="0"/>
      <w:divBdr>
        <w:top w:val="none" w:sz="0" w:space="0" w:color="auto"/>
        <w:left w:val="none" w:sz="0" w:space="0" w:color="auto"/>
        <w:bottom w:val="none" w:sz="0" w:space="0" w:color="auto"/>
        <w:right w:val="none" w:sz="0" w:space="0" w:color="auto"/>
      </w:divBdr>
    </w:div>
    <w:div w:id="1550919857">
      <w:bodyDiv w:val="1"/>
      <w:marLeft w:val="0"/>
      <w:marRight w:val="0"/>
      <w:marTop w:val="0"/>
      <w:marBottom w:val="0"/>
      <w:divBdr>
        <w:top w:val="none" w:sz="0" w:space="0" w:color="auto"/>
        <w:left w:val="none" w:sz="0" w:space="0" w:color="auto"/>
        <w:bottom w:val="none" w:sz="0" w:space="0" w:color="auto"/>
        <w:right w:val="none" w:sz="0" w:space="0" w:color="auto"/>
      </w:divBdr>
    </w:div>
    <w:div w:id="1964655438">
      <w:bodyDiv w:val="1"/>
      <w:marLeft w:val="0"/>
      <w:marRight w:val="0"/>
      <w:marTop w:val="0"/>
      <w:marBottom w:val="0"/>
      <w:divBdr>
        <w:top w:val="none" w:sz="0" w:space="0" w:color="auto"/>
        <w:left w:val="none" w:sz="0" w:space="0" w:color="auto"/>
        <w:bottom w:val="none" w:sz="0" w:space="0" w:color="auto"/>
        <w:right w:val="none" w:sz="0" w:space="0" w:color="auto"/>
      </w:divBdr>
    </w:div>
    <w:div w:id="213571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budget.digital.mass.gov/summary/fy23/outside-section/section-167-special-commission-on-oral-health?_gl=1*12zen9j*_ga*MTc2NzU0MTIyOC4xNzQxNzA1MTky*_ga_SW2TVH2WBY*czE3Nzg1OTQ4MTMkbzQwOCRnMSR0MTc3ODU5NTQwNSRqNjAkbDAkaDA." TargetMode="External"/><Relationship Id="rId13" Type="http://schemas.openxmlformats.org/officeDocument/2006/relationships/hyperlink" Target="https://pmc.ncbi.nlm.nih.gov/articles/PMC3576783/" TargetMode="External"/><Relationship Id="rId18" Type="http://schemas.openxmlformats.org/officeDocument/2006/relationships/hyperlink" Target="https://pubmed.ncbi.nlm.nih.gov/39310384/" TargetMode="External"/><Relationship Id="rId26" Type="http://schemas.openxmlformats.org/officeDocument/2006/relationships/hyperlink" Target="https://masshpc.gov/sites/default/files/datapoints-issue1.pdf" TargetMode="External"/><Relationship Id="rId3" Type="http://schemas.openxmlformats.org/officeDocument/2006/relationships/hyperlink" Target="https://masshpc.gov/sites/default/files/2023-01/oral-health-policy-brief.pdf" TargetMode="External"/><Relationship Id="rId21" Type="http://schemas.openxmlformats.org/officeDocument/2006/relationships/hyperlink" Target="https://www.aaos.org/aaosnow/2019/sep/managing/managing02/" TargetMode="External"/><Relationship Id="rId7" Type="http://schemas.openxmlformats.org/officeDocument/2006/relationships/hyperlink" Target="https://www.mass.gov/orgs/office-of-oral-health" TargetMode="External"/><Relationship Id="rId12" Type="http://schemas.openxmlformats.org/officeDocument/2006/relationships/hyperlink" Target="https://www.mass.gov/doc/child-and-adolescent-oral-health-provider-fact-sheet-1/download" TargetMode="External"/><Relationship Id="rId17" Type="http://schemas.openxmlformats.org/officeDocument/2006/relationships/hyperlink" Target="https://pubmed.ncbi.nlm.nih.gov/39034828/" TargetMode="External"/><Relationship Id="rId25" Type="http://schemas.openxmlformats.org/officeDocument/2006/relationships/hyperlink" Target="https://www.kff.org/medicaid/issue-brief/access-to-dental-care-in-medicaid-spotlight-on-nonelderly-adults/" TargetMode="External"/><Relationship Id="rId2" Type="http://schemas.openxmlformats.org/officeDocument/2006/relationships/hyperlink" Target="https://www.mass.gov/doc/presentation-board-meeting-june-7-2023/download" TargetMode="External"/><Relationship Id="rId16" Type="http://schemas.openxmlformats.org/officeDocument/2006/relationships/hyperlink" Target="https://pmc.ncbi.nlm.nih.gov/articles/PMC3222359/" TargetMode="External"/><Relationship Id="rId20" Type="http://schemas.openxmlformats.org/officeDocument/2006/relationships/hyperlink" Target="https://masshpc.gov/publications/datapoints-series/issue-20-oral-health-access-and-equity-commonwealth" TargetMode="External"/><Relationship Id="rId29" Type="http://schemas.openxmlformats.org/officeDocument/2006/relationships/hyperlink" Target="https://www.mass.gov/doc/2021-health-care-cost-trends-report/download" TargetMode="External"/><Relationship Id="rId1" Type="http://schemas.openxmlformats.org/officeDocument/2006/relationships/hyperlink" Target="https://masshpc.gov/publications/datapoints-series/issue-26-trends-ambulatory-surgical-centers-massachusetts" TargetMode="External"/><Relationship Id="rId6" Type="http://schemas.openxmlformats.org/officeDocument/2006/relationships/hyperlink" Target="https://www.healthypeople.gov/" TargetMode="External"/><Relationship Id="rId11" Type="http://schemas.openxmlformats.org/officeDocument/2006/relationships/hyperlink" Target="https://www.cdc.gov/oral-health/health-equity/index.html" TargetMode="External"/><Relationship Id="rId24" Type="http://schemas.openxmlformats.org/officeDocument/2006/relationships/hyperlink" Target="https://www.medpac.gov/document/march-2022-report-to-the-congress-medicare-payment-policy/" TargetMode="External"/><Relationship Id="rId5" Type="http://schemas.openxmlformats.org/officeDocument/2006/relationships/hyperlink" Target="https://www.mass.gov/doc/child-and-adolescent-oral-health-overview-0/download" TargetMode="External"/><Relationship Id="rId15" Type="http://schemas.openxmlformats.org/officeDocument/2006/relationships/hyperlink" Target="https://publications.aap.org/journal-blogs/blog/24676/Oral-Health-Inequities-in-Children-The-Case-for?autologincheck=redirected" TargetMode="External"/><Relationship Id="rId23" Type="http://schemas.openxmlformats.org/officeDocument/2006/relationships/hyperlink" Target="https://www.mintz.com/sites/default/files/viewpoints/orig/8/2016/08/Proposed-Revision-Presentation-8.23.16.pdf" TargetMode="External"/><Relationship Id="rId28" Type="http://schemas.openxmlformats.org/officeDocument/2006/relationships/hyperlink" Target="https://bphc.hrsa.gov/funding/funding-opportunities/quality-improvement-fund-dental-services-children-neurodevelopmental-disorders" TargetMode="External"/><Relationship Id="rId10" Type="http://schemas.openxmlformats.org/officeDocument/2006/relationships/hyperlink" Target="https://odphp.health.gov/healthypeople/objectives-and-data/browse-objectives/health-care/increase-use-oral-health-care-system-oh-08/infographic" TargetMode="External"/><Relationship Id="rId19" Type="http://schemas.openxmlformats.org/officeDocument/2006/relationships/hyperlink" Target="https://pubmed.ncbi.nlm.nih.gov/39310384/" TargetMode="External"/><Relationship Id="rId4" Type="http://schemas.openxmlformats.org/officeDocument/2006/relationships/hyperlink" Target="https://www.komodohealth.com/company/" TargetMode="External"/><Relationship Id="rId9" Type="http://schemas.openxmlformats.org/officeDocument/2006/relationships/hyperlink" Target="https://www.mass.gov/info-details/subcommittee-meetings-of-the-special-commission-on-oral-health" TargetMode="External"/><Relationship Id="rId14" Type="http://schemas.openxmlformats.org/officeDocument/2006/relationships/hyperlink" Target="https://pmc.ncbi.nlm.nih.gov/articles/PMC11275158/" TargetMode="External"/><Relationship Id="rId22" Type="http://schemas.openxmlformats.org/officeDocument/2006/relationships/hyperlink" Target="https://www.mass.gov/doc/2023-health-care-cost-trends-report/download" TargetMode="External"/><Relationship Id="rId27" Type="http://schemas.openxmlformats.org/officeDocument/2006/relationships/hyperlink" Target="https://www.mass.gov/info-details/special-commission-on-or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KBIMANAGE!2327874.4</documentid>
  <senderid>EBK</senderid>
  <senderemail>EKRETCHMER@KB-LAW.COM</senderemail>
  <lastmodified>2026-06-30T15:30:00.0000000-04:00</lastmodified>
  <database>KBIMANAGE</database>
</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f7a7189-2349-4c6a-9f0d-0b26262106d7" xsi:nil="true"/>
    <lcf76f155ced4ddcb4097134ff3c332f xmlns="3bd1da96-6ed6-4da3-9135-eb41a80be4b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BB0046146AD845A419FBEB894D6F1C" ma:contentTypeVersion="20" ma:contentTypeDescription="Create a new document." ma:contentTypeScope="" ma:versionID="c18c4eaa35beed4405af51da3b1a5d1f">
  <xsd:schema xmlns:xsd="http://www.w3.org/2001/XMLSchema" xmlns:xs="http://www.w3.org/2001/XMLSchema" xmlns:p="http://schemas.microsoft.com/office/2006/metadata/properties" xmlns:ns1="http://schemas.microsoft.com/sharepoint/v3" xmlns:ns2="3bd1da96-6ed6-4da3-9135-eb41a80be4b8" xmlns:ns3="9f7a7189-2349-4c6a-9f0d-0b26262106d7" targetNamespace="http://schemas.microsoft.com/office/2006/metadata/properties" ma:root="true" ma:fieldsID="290d3da78fb9312ea04514cd40451b95" ns1:_="" ns2:_="" ns3:_="">
    <xsd:import namespace="http://schemas.microsoft.com/sharepoint/v3"/>
    <xsd:import namespace="3bd1da96-6ed6-4da3-9135-eb41a80be4b8"/>
    <xsd:import namespace="9f7a7189-2349-4c6a-9f0d-0b26262106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a96-6ed6-4da3-9135-eb41a80be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1ea919-cf17-4c33-9148-c9ecbe7f6f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a7189-2349-4c6a-9f0d-0b26262106d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f6f1cb-8ecc-4241-a813-5d5ccaf70bd4}" ma:internalName="TaxCatchAll" ma:showField="CatchAllData" ma:web="9f7a7189-2349-4c6a-9f0d-0b2626210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A504A-AC5A-4D80-A91F-55AF65A2AA35}">
  <ds:schemaRefs>
    <ds:schemaRef ds:uri="http://schemas.microsoft.com/sharepoint/v3/contenttype/forms"/>
  </ds:schemaRefs>
</ds:datastoreItem>
</file>

<file path=customXml/itemProps2.xml><?xml version="1.0" encoding="utf-8"?>
<ds:datastoreItem xmlns:ds="http://schemas.openxmlformats.org/officeDocument/2006/customXml" ds:itemID="{872BD53C-FA83-4187-BF59-3BEA4DF17046}">
  <ds:schemaRefs>
    <ds:schemaRef ds:uri="http://www.imanage.com/work/xmlschema"/>
  </ds:schemaRefs>
</ds:datastoreItem>
</file>

<file path=customXml/itemProps3.xml><?xml version="1.0" encoding="utf-8"?>
<ds:datastoreItem xmlns:ds="http://schemas.openxmlformats.org/officeDocument/2006/customXml" ds:itemID="{C2E1BE7F-75EF-472A-970B-15D1E78866E2}">
  <ds:schemaRefs>
    <ds:schemaRef ds:uri="http://schemas.microsoft.com/office/2006/metadata/properties"/>
    <ds:schemaRef ds:uri="http://schemas.microsoft.com/office/infopath/2007/PartnerControls"/>
    <ds:schemaRef ds:uri="http://schemas.microsoft.com/sharepoint/v3"/>
    <ds:schemaRef ds:uri="9f7a7189-2349-4c6a-9f0d-0b26262106d7"/>
    <ds:schemaRef ds:uri="3bd1da96-6ed6-4da3-9135-eb41a80be4b8"/>
  </ds:schemaRefs>
</ds:datastoreItem>
</file>

<file path=customXml/itemProps4.xml><?xml version="1.0" encoding="utf-8"?>
<ds:datastoreItem xmlns:ds="http://schemas.openxmlformats.org/officeDocument/2006/customXml" ds:itemID="{D584B786-36D7-4042-A689-A33C428AE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d1da96-6ed6-4da3-9135-eb41a80be4b8"/>
    <ds:schemaRef ds:uri="9f7a7189-2349-4c6a-9f0d-0b2626210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43D364-7F50-4FF9-B0FF-70BE58AA8C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 id="{68c04d62-7811-498c-aaf4-0d823c29dcf6}" enabled="1" method="Standard" siteId="{86df42e4-32b7-48ab-8b76-c21fdb19a0e7}" removed="0"/>
</clbl:labelList>
</file>

<file path=docProps/app.xml><?xml version="1.0" encoding="utf-8"?>
<Properties xmlns="http://schemas.openxmlformats.org/officeDocument/2006/extended-properties" xmlns:vt="http://schemas.openxmlformats.org/officeDocument/2006/docPropsVTypes">
  <Template>Normal</Template>
  <TotalTime>1559</TotalTime>
  <Pages>37</Pages>
  <Words>10341</Words>
  <Characters>58949</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Cloud Pediatric Narrative</dc:title>
  <dc:subject/>
  <dc:creator>Lester Schindel</dc:creator>
  <cp:keywords/>
  <dc:description/>
  <cp:lastModifiedBy>Marks, Brett (DPH)</cp:lastModifiedBy>
  <cp:revision>138</cp:revision>
  <cp:lastPrinted>2026-05-20T17:49:00Z</cp:lastPrinted>
  <dcterms:created xsi:type="dcterms:W3CDTF">2026-06-30T19:24:00Z</dcterms:created>
  <dcterms:modified xsi:type="dcterms:W3CDTF">2026-07-07T13:35:00Z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END_OF_DOCUMENT</vt:lpwstr>
  </property>
  <property fmtid="{D5CDD505-2E9C-101B-9397-08002B2CF9AE}" pid="4" name="CUS_DocIDReference">
    <vt:lpwstr>endOfDocument</vt:lpwstr>
  </property>
  <property fmtid="{D5CDD505-2E9C-101B-9397-08002B2CF9AE}" pid="5" name="CUS_DocIDString">
    <vt:lpwstr>4517\0001\2327874.v4</vt:lpwstr>
  </property>
  <property fmtid="{D5CDD505-2E9C-101B-9397-08002B2CF9AE}" pid="6" name="CUS_DocIDChunk0">
    <vt:lpwstr>4517\0001\2327874.v4</vt:lpwstr>
  </property>
  <property fmtid="{D5CDD505-2E9C-101B-9397-08002B2CF9AE}" pid="7" name="ContentTypeId">
    <vt:lpwstr>0x010100ACBB0046146AD845A419FBEB894D6F1C</vt:lpwstr>
  </property>
  <property fmtid="{D5CDD505-2E9C-101B-9397-08002B2CF9AE}" pid="8" name="MediaServiceImageTags">
    <vt:lpwstr/>
  </property>
</Properties>
</file>