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CFE7" w14:textId="6E0E4D78" w:rsidR="00D83419" w:rsidRPr="006B27A3" w:rsidRDefault="002B01FB" w:rsidP="006B27A3">
      <w:pPr>
        <w:pStyle w:val="Heading1"/>
      </w:pPr>
      <w:r w:rsidRPr="006B27A3">
        <w:t xml:space="preserve">2. </w:t>
      </w:r>
      <w:r w:rsidR="00D56D3B" w:rsidRPr="006B27A3">
        <w:t>Project Description</w:t>
      </w:r>
    </w:p>
    <w:p w14:paraId="0A3B7FF1" w14:textId="73946D61" w:rsidR="00701112" w:rsidRPr="00701112" w:rsidRDefault="00701112" w:rsidP="005655CA">
      <w:pPr>
        <w:spacing w:after="120"/>
        <w:jc w:val="both"/>
        <w:rPr>
          <w:rFonts w:asciiTheme="minorHAnsi" w:hAnsiTheme="minorHAnsi"/>
          <w:sz w:val="21"/>
          <w:szCs w:val="21"/>
        </w:rPr>
      </w:pPr>
      <w:r w:rsidRPr="00701112">
        <w:rPr>
          <w:rFonts w:asciiTheme="minorHAnsi" w:hAnsiTheme="minorHAnsi"/>
          <w:sz w:val="21"/>
          <w:szCs w:val="21"/>
        </w:rPr>
        <w:t>Beth Israel Lahey Health, Inc. (the “Applicant” or BILH), with a principal place of business at 20 University Road, Suite 700, Cambridge, MA 02138, is filing a Notice of Determination of Need (</w:t>
      </w:r>
      <w:proofErr w:type="spellStart"/>
      <w:r w:rsidRPr="00701112">
        <w:rPr>
          <w:rFonts w:asciiTheme="minorHAnsi" w:hAnsiTheme="minorHAnsi"/>
          <w:sz w:val="21"/>
          <w:szCs w:val="21"/>
        </w:rPr>
        <w:t>DoN</w:t>
      </w:r>
      <w:proofErr w:type="spellEnd"/>
      <w:r w:rsidRPr="00701112">
        <w:rPr>
          <w:rFonts w:asciiTheme="minorHAnsi" w:hAnsiTheme="minorHAnsi"/>
          <w:sz w:val="21"/>
          <w:szCs w:val="21"/>
        </w:rPr>
        <w:t xml:space="preserve">) (“Application”) with the Department of Public Health (DPH) for the expansion of </w:t>
      </w:r>
      <w:r>
        <w:rPr>
          <w:rFonts w:asciiTheme="minorHAnsi" w:hAnsiTheme="minorHAnsi"/>
          <w:sz w:val="21"/>
          <w:szCs w:val="21"/>
        </w:rPr>
        <w:t>endoscopy services by Winchester Hospital (the</w:t>
      </w:r>
      <w:r w:rsidRPr="00701112">
        <w:rPr>
          <w:rFonts w:asciiTheme="minorHAnsi" w:hAnsiTheme="minorHAnsi"/>
          <w:sz w:val="21"/>
          <w:szCs w:val="21"/>
        </w:rPr>
        <w:t xml:space="preserve"> “Hospital”)</w:t>
      </w:r>
      <w:r>
        <w:rPr>
          <w:rFonts w:asciiTheme="minorHAnsi" w:hAnsiTheme="minorHAnsi"/>
          <w:sz w:val="21"/>
          <w:szCs w:val="21"/>
        </w:rPr>
        <w:t xml:space="preserve"> </w:t>
      </w:r>
      <w:r w:rsidR="00FA05B4">
        <w:rPr>
          <w:rFonts w:asciiTheme="minorHAnsi" w:hAnsiTheme="minorHAnsi"/>
          <w:sz w:val="21"/>
          <w:szCs w:val="21"/>
        </w:rPr>
        <w:t>at</w:t>
      </w:r>
      <w:r>
        <w:rPr>
          <w:rFonts w:asciiTheme="minorHAnsi" w:hAnsiTheme="minorHAnsi"/>
          <w:sz w:val="21"/>
          <w:szCs w:val="21"/>
        </w:rPr>
        <w:t xml:space="preserve"> its satellite, Winchester </w:t>
      </w:r>
      <w:r w:rsidRPr="00431D3A">
        <w:rPr>
          <w:rFonts w:asciiTheme="minorHAnsi" w:hAnsiTheme="minorHAnsi"/>
          <w:sz w:val="21"/>
          <w:szCs w:val="21"/>
        </w:rPr>
        <w:t>Endoscopy Center</w:t>
      </w:r>
      <w:r w:rsidRPr="00701112">
        <w:rPr>
          <w:rFonts w:asciiTheme="minorHAnsi" w:hAnsiTheme="minorHAnsi"/>
          <w:sz w:val="21"/>
          <w:szCs w:val="21"/>
        </w:rPr>
        <w:t xml:space="preserve">, located at </w:t>
      </w:r>
      <w:r>
        <w:rPr>
          <w:rFonts w:asciiTheme="minorHAnsi" w:hAnsiTheme="minorHAnsi"/>
          <w:sz w:val="21"/>
          <w:szCs w:val="21"/>
        </w:rPr>
        <w:t xml:space="preserve">10P Commerce Way, Woburn, Massachusetts </w:t>
      </w:r>
      <w:r w:rsidRPr="00701112">
        <w:rPr>
          <w:rFonts w:asciiTheme="minorHAnsi" w:hAnsiTheme="minorHAnsi"/>
          <w:sz w:val="21"/>
          <w:szCs w:val="21"/>
        </w:rPr>
        <w:t>0</w:t>
      </w:r>
      <w:r>
        <w:rPr>
          <w:rFonts w:asciiTheme="minorHAnsi" w:hAnsiTheme="minorHAnsi"/>
          <w:sz w:val="21"/>
          <w:szCs w:val="21"/>
        </w:rPr>
        <w:t>1801</w:t>
      </w:r>
      <w:r w:rsidRPr="00701112">
        <w:rPr>
          <w:rFonts w:asciiTheme="minorHAnsi" w:hAnsiTheme="minorHAnsi"/>
          <w:sz w:val="21"/>
          <w:szCs w:val="21"/>
        </w:rPr>
        <w:t xml:space="preserve"> </w:t>
      </w:r>
      <w:r w:rsidR="00FA05B4">
        <w:rPr>
          <w:rFonts w:asciiTheme="minorHAnsi" w:hAnsiTheme="minorHAnsi"/>
          <w:sz w:val="21"/>
          <w:szCs w:val="21"/>
        </w:rPr>
        <w:t>(the “Endoscopy Center”)</w:t>
      </w:r>
      <w:r w:rsidRPr="00701112">
        <w:rPr>
          <w:rFonts w:asciiTheme="minorHAnsi" w:hAnsiTheme="minorHAnsi"/>
          <w:sz w:val="21"/>
          <w:szCs w:val="21"/>
        </w:rPr>
        <w:t xml:space="preserve">. </w:t>
      </w:r>
      <w:r>
        <w:rPr>
          <w:rFonts w:asciiTheme="minorHAnsi" w:hAnsiTheme="minorHAnsi"/>
          <w:sz w:val="21"/>
          <w:szCs w:val="21"/>
        </w:rPr>
        <w:t xml:space="preserve">The Proposed Project includes the addition of three (3) procedure rooms and </w:t>
      </w:r>
      <w:r w:rsidR="00B21CD2">
        <w:rPr>
          <w:rFonts w:asciiTheme="minorHAnsi" w:hAnsiTheme="minorHAnsi"/>
          <w:sz w:val="21"/>
          <w:szCs w:val="21"/>
        </w:rPr>
        <w:t xml:space="preserve">seven (7) </w:t>
      </w:r>
      <w:r>
        <w:rPr>
          <w:rFonts w:asciiTheme="minorHAnsi" w:hAnsiTheme="minorHAnsi"/>
          <w:sz w:val="21"/>
          <w:szCs w:val="21"/>
        </w:rPr>
        <w:t xml:space="preserve">pre/post procedure bays for a total of eight (8) procedure rooms and </w:t>
      </w:r>
      <w:r w:rsidR="00B21CD2">
        <w:rPr>
          <w:rFonts w:asciiTheme="minorHAnsi" w:hAnsiTheme="minorHAnsi"/>
          <w:sz w:val="21"/>
          <w:szCs w:val="21"/>
        </w:rPr>
        <w:t xml:space="preserve">22 </w:t>
      </w:r>
      <w:r>
        <w:rPr>
          <w:rFonts w:asciiTheme="minorHAnsi" w:hAnsiTheme="minorHAnsi"/>
          <w:sz w:val="21"/>
          <w:szCs w:val="21"/>
        </w:rPr>
        <w:t>pre/post procedure bays</w:t>
      </w:r>
      <w:r w:rsidR="00FA05B4">
        <w:rPr>
          <w:rFonts w:asciiTheme="minorHAnsi" w:hAnsiTheme="minorHAnsi"/>
          <w:sz w:val="21"/>
          <w:szCs w:val="21"/>
        </w:rPr>
        <w:t xml:space="preserve"> </w:t>
      </w:r>
      <w:r w:rsidR="00FA05B4" w:rsidRPr="00701112">
        <w:rPr>
          <w:rFonts w:asciiTheme="minorHAnsi" w:hAnsiTheme="minorHAnsi"/>
          <w:sz w:val="21"/>
          <w:szCs w:val="21"/>
        </w:rPr>
        <w:t>(the “Proposed Project”)</w:t>
      </w:r>
      <w:r>
        <w:rPr>
          <w:rFonts w:asciiTheme="minorHAnsi" w:hAnsiTheme="minorHAnsi"/>
          <w:sz w:val="21"/>
          <w:szCs w:val="21"/>
        </w:rPr>
        <w:t xml:space="preserve">. </w:t>
      </w:r>
    </w:p>
    <w:p w14:paraId="27A7FB72" w14:textId="2FF2FE56" w:rsidR="00701112" w:rsidRPr="00701112" w:rsidRDefault="00701112" w:rsidP="005655CA">
      <w:pPr>
        <w:spacing w:after="120"/>
        <w:jc w:val="both"/>
        <w:rPr>
          <w:rFonts w:asciiTheme="minorHAnsi" w:hAnsiTheme="minorHAnsi"/>
          <w:sz w:val="21"/>
          <w:szCs w:val="21"/>
        </w:rPr>
      </w:pPr>
      <w:r w:rsidRPr="00701112">
        <w:rPr>
          <w:rFonts w:asciiTheme="minorHAnsi" w:hAnsiTheme="minorHAnsi"/>
          <w:sz w:val="21"/>
          <w:szCs w:val="21"/>
        </w:rPr>
        <w:t>BILH is a Massachusetts, non-profit, tax-</w:t>
      </w:r>
      <w:r w:rsidRPr="00EA2A22">
        <w:rPr>
          <w:rFonts w:asciiTheme="minorHAnsi" w:hAnsiTheme="minorHAnsi"/>
          <w:sz w:val="21"/>
          <w:szCs w:val="21"/>
        </w:rPr>
        <w:t xml:space="preserve">exempt corporation that </w:t>
      </w:r>
      <w:r w:rsidR="00EA2A22" w:rsidRPr="00EA2A22">
        <w:rPr>
          <w:rFonts w:asciiTheme="minorHAnsi" w:hAnsiTheme="minorHAnsi"/>
          <w:sz w:val="21"/>
          <w:szCs w:val="21"/>
        </w:rPr>
        <w:t>operates</w:t>
      </w:r>
      <w:r w:rsidRPr="00EA2A22">
        <w:rPr>
          <w:rFonts w:asciiTheme="minorHAnsi" w:hAnsiTheme="minorHAnsi"/>
          <w:sz w:val="21"/>
          <w:szCs w:val="21"/>
        </w:rPr>
        <w:t xml:space="preserve"> an integrated health</w:t>
      </w:r>
      <w:r w:rsidRPr="00701112">
        <w:rPr>
          <w:rFonts w:asciiTheme="minorHAnsi" w:hAnsiTheme="minorHAnsi"/>
          <w:sz w:val="21"/>
          <w:szCs w:val="21"/>
        </w:rPr>
        <w:t xml:space="preserve"> care delivery system comprised of teaching and community hospitals, physician groups, behavioral health providers, post-acute care providers and other caregivers serving patients in Greater Boston and the surrounding communities in Eastern Massachusetts and Southeastern New Hampshire. Its member hospitals include Addison Gilbert Hospital; Anna Jaques Hospital; </w:t>
      </w:r>
      <w:proofErr w:type="spellStart"/>
      <w:r w:rsidR="00FA05B4">
        <w:rPr>
          <w:rFonts w:asciiTheme="minorHAnsi" w:hAnsiTheme="minorHAnsi"/>
          <w:sz w:val="21"/>
          <w:szCs w:val="21"/>
        </w:rPr>
        <w:t>BayRidge</w:t>
      </w:r>
      <w:proofErr w:type="spellEnd"/>
      <w:r w:rsidR="00FA05B4">
        <w:rPr>
          <w:rFonts w:asciiTheme="minorHAnsi" w:hAnsiTheme="minorHAnsi"/>
          <w:sz w:val="21"/>
          <w:szCs w:val="21"/>
        </w:rPr>
        <w:t xml:space="preserve"> Hospital, </w:t>
      </w:r>
      <w:r w:rsidRPr="00701112">
        <w:rPr>
          <w:rFonts w:asciiTheme="minorHAnsi" w:hAnsiTheme="minorHAnsi"/>
          <w:sz w:val="21"/>
          <w:szCs w:val="21"/>
        </w:rPr>
        <w:t xml:space="preserve">Beth Israel Deaconess Medical Center; Beth Israel Deaconess Hospital-Milton; Beth Israel Deaconess Hospital-Needham, </w:t>
      </w:r>
      <w:r w:rsidR="00FA05B4" w:rsidRPr="00701112">
        <w:rPr>
          <w:rFonts w:asciiTheme="minorHAnsi" w:hAnsiTheme="minorHAnsi"/>
          <w:sz w:val="21"/>
          <w:szCs w:val="21"/>
        </w:rPr>
        <w:t>Beth Israel Deaconess Hospital</w:t>
      </w:r>
      <w:r w:rsidRPr="00701112">
        <w:rPr>
          <w:rFonts w:asciiTheme="minorHAnsi" w:hAnsiTheme="minorHAnsi"/>
          <w:sz w:val="21"/>
          <w:szCs w:val="21"/>
        </w:rPr>
        <w:t xml:space="preserve">-Plymouth; Beverly Hospital; </w:t>
      </w:r>
      <w:r w:rsidR="00FA05B4">
        <w:rPr>
          <w:rFonts w:asciiTheme="minorHAnsi" w:hAnsiTheme="minorHAnsi"/>
          <w:sz w:val="21"/>
          <w:szCs w:val="21"/>
        </w:rPr>
        <w:t xml:space="preserve">Exeter Hospital, </w:t>
      </w:r>
      <w:r w:rsidRPr="00701112">
        <w:rPr>
          <w:rFonts w:asciiTheme="minorHAnsi" w:hAnsiTheme="minorHAnsi"/>
          <w:sz w:val="21"/>
          <w:szCs w:val="21"/>
        </w:rPr>
        <w:t>Lahey Hospital &amp; Medical Center; Mount Auburn Hospital; New England Baptist Hospital; and Winchester Hospital (collectively known as “BILH Hospitals”).</w:t>
      </w:r>
    </w:p>
    <w:p w14:paraId="5C128181" w14:textId="7223F4E3" w:rsidR="00FA06F3" w:rsidRDefault="00FA06F3" w:rsidP="005655CA">
      <w:pPr>
        <w:spacing w:after="120"/>
        <w:jc w:val="both"/>
        <w:rPr>
          <w:rFonts w:asciiTheme="minorHAnsi" w:hAnsiTheme="minorHAnsi"/>
          <w:sz w:val="21"/>
          <w:szCs w:val="21"/>
        </w:rPr>
      </w:pPr>
      <w:r w:rsidRPr="00FA06F3">
        <w:rPr>
          <w:rFonts w:asciiTheme="minorHAnsi" w:hAnsiTheme="minorHAnsi"/>
          <w:sz w:val="21"/>
          <w:szCs w:val="21"/>
        </w:rPr>
        <w:t>Winchester Hospital is a leading regional provider of comprehensive healthcare services in northwest suburban Boston</w:t>
      </w:r>
      <w:r>
        <w:rPr>
          <w:rFonts w:asciiTheme="minorHAnsi" w:hAnsiTheme="minorHAnsi"/>
          <w:sz w:val="21"/>
          <w:szCs w:val="21"/>
        </w:rPr>
        <w:t xml:space="preserve"> serving the communities of </w:t>
      </w:r>
      <w:r w:rsidRPr="00FA06F3">
        <w:rPr>
          <w:rFonts w:asciiTheme="minorHAnsi" w:hAnsiTheme="minorHAnsi"/>
          <w:sz w:val="21"/>
          <w:szCs w:val="21"/>
        </w:rPr>
        <w:t xml:space="preserve">Medford, North Reading, Reading, Stoneham, Tewksbury, Wakefield, Wilmington, Winchester, and Woburn. The </w:t>
      </w:r>
      <w:r>
        <w:rPr>
          <w:rFonts w:asciiTheme="minorHAnsi" w:hAnsiTheme="minorHAnsi"/>
          <w:sz w:val="21"/>
          <w:szCs w:val="21"/>
        </w:rPr>
        <w:t>H</w:t>
      </w:r>
      <w:r w:rsidRPr="00FA06F3">
        <w:rPr>
          <w:rFonts w:asciiTheme="minorHAnsi" w:hAnsiTheme="minorHAnsi"/>
          <w:sz w:val="21"/>
          <w:szCs w:val="21"/>
        </w:rPr>
        <w:t>ospital has 229 licensed inpatient beds with more than 2,400 employees and over 850 clinicians on active medical staff. Winchester Hospital offers acute care inpatient services and an extensive range of outpatient services</w:t>
      </w:r>
      <w:r>
        <w:rPr>
          <w:rFonts w:asciiTheme="minorHAnsi" w:hAnsiTheme="minorHAnsi"/>
          <w:sz w:val="21"/>
          <w:szCs w:val="21"/>
        </w:rPr>
        <w:t>.</w:t>
      </w:r>
    </w:p>
    <w:p w14:paraId="6CCA3C8A" w14:textId="5E542D70" w:rsidR="00817012" w:rsidRPr="00431D3A" w:rsidRDefault="00817012" w:rsidP="005655CA">
      <w:pPr>
        <w:spacing w:after="120"/>
        <w:jc w:val="both"/>
        <w:rPr>
          <w:rFonts w:asciiTheme="minorHAnsi" w:hAnsiTheme="minorHAnsi"/>
          <w:sz w:val="21"/>
          <w:szCs w:val="21"/>
        </w:rPr>
      </w:pPr>
      <w:r w:rsidRPr="00431D3A">
        <w:rPr>
          <w:rFonts w:asciiTheme="minorHAnsi" w:hAnsiTheme="minorHAnsi"/>
          <w:sz w:val="21"/>
          <w:szCs w:val="21"/>
        </w:rPr>
        <w:t xml:space="preserve">As cancer rates, particularly </w:t>
      </w:r>
      <w:r w:rsidR="00FA05B4">
        <w:rPr>
          <w:rFonts w:asciiTheme="minorHAnsi" w:hAnsiTheme="minorHAnsi"/>
          <w:sz w:val="21"/>
          <w:szCs w:val="21"/>
        </w:rPr>
        <w:t xml:space="preserve">rates of </w:t>
      </w:r>
      <w:r w:rsidRPr="00431D3A">
        <w:rPr>
          <w:rFonts w:asciiTheme="minorHAnsi" w:hAnsiTheme="minorHAnsi"/>
          <w:sz w:val="21"/>
          <w:szCs w:val="21"/>
        </w:rPr>
        <w:t>colorectal cancer, continue to rise both nationally and within Massachusetts, the demand for timely, high-quality screening and diagnostic procedures has s</w:t>
      </w:r>
      <w:r w:rsidR="00FA06F3">
        <w:rPr>
          <w:rFonts w:asciiTheme="minorHAnsi" w:hAnsiTheme="minorHAnsi"/>
          <w:sz w:val="21"/>
          <w:szCs w:val="21"/>
        </w:rPr>
        <w:t>ignificantly</w:t>
      </w:r>
      <w:r w:rsidRPr="00431D3A">
        <w:rPr>
          <w:rFonts w:asciiTheme="minorHAnsi" w:hAnsiTheme="minorHAnsi"/>
          <w:sz w:val="21"/>
          <w:szCs w:val="21"/>
        </w:rPr>
        <w:t xml:space="preserve"> increased. Colorectal cancer rates are </w:t>
      </w:r>
      <w:r w:rsidR="00CD4A10">
        <w:rPr>
          <w:rFonts w:asciiTheme="minorHAnsi" w:hAnsiTheme="minorHAnsi"/>
          <w:sz w:val="21"/>
          <w:szCs w:val="21"/>
        </w:rPr>
        <w:t>increasing</w:t>
      </w:r>
      <w:r w:rsidRPr="00431D3A">
        <w:rPr>
          <w:rFonts w:asciiTheme="minorHAnsi" w:hAnsiTheme="minorHAnsi"/>
          <w:sz w:val="21"/>
          <w:szCs w:val="21"/>
        </w:rPr>
        <w:t xml:space="preserve"> at a concerning rate even among younger adults, underscoring the need for expanded access to endoscopy services. The Endoscopy Center</w:t>
      </w:r>
      <w:r w:rsidR="00CD4A10">
        <w:rPr>
          <w:rFonts w:asciiTheme="minorHAnsi" w:hAnsiTheme="minorHAnsi"/>
          <w:sz w:val="21"/>
          <w:szCs w:val="21"/>
        </w:rPr>
        <w:t>’s</w:t>
      </w:r>
      <w:r w:rsidRPr="00431D3A">
        <w:rPr>
          <w:rFonts w:asciiTheme="minorHAnsi" w:hAnsiTheme="minorHAnsi"/>
          <w:sz w:val="21"/>
          <w:szCs w:val="21"/>
        </w:rPr>
        <w:t xml:space="preserve"> procedure volume </w:t>
      </w:r>
      <w:r w:rsidR="00CD4A10">
        <w:rPr>
          <w:rFonts w:asciiTheme="minorHAnsi" w:hAnsiTheme="minorHAnsi"/>
          <w:sz w:val="21"/>
          <w:szCs w:val="21"/>
        </w:rPr>
        <w:t xml:space="preserve">has </w:t>
      </w:r>
      <w:r w:rsidRPr="00431D3A">
        <w:rPr>
          <w:rFonts w:asciiTheme="minorHAnsi" w:hAnsiTheme="minorHAnsi"/>
          <w:sz w:val="21"/>
          <w:szCs w:val="21"/>
        </w:rPr>
        <w:t>triple</w:t>
      </w:r>
      <w:r w:rsidR="007D5827">
        <w:rPr>
          <w:rFonts w:asciiTheme="minorHAnsi" w:hAnsiTheme="minorHAnsi"/>
          <w:sz w:val="21"/>
          <w:szCs w:val="21"/>
        </w:rPr>
        <w:t>d</w:t>
      </w:r>
      <w:r w:rsidRPr="00431D3A">
        <w:rPr>
          <w:rFonts w:asciiTheme="minorHAnsi" w:hAnsiTheme="minorHAnsi"/>
          <w:sz w:val="21"/>
          <w:szCs w:val="21"/>
        </w:rPr>
        <w:t xml:space="preserve"> over the past three years, resulting in extended wait times and a backlog of patients awaiting </w:t>
      </w:r>
      <w:r w:rsidR="00CD4A10">
        <w:rPr>
          <w:rFonts w:asciiTheme="minorHAnsi" w:hAnsiTheme="minorHAnsi"/>
          <w:sz w:val="21"/>
          <w:szCs w:val="21"/>
        </w:rPr>
        <w:t>endoscopy services</w:t>
      </w:r>
      <w:r w:rsidRPr="00431D3A">
        <w:rPr>
          <w:rFonts w:asciiTheme="minorHAnsi" w:hAnsiTheme="minorHAnsi"/>
          <w:sz w:val="21"/>
          <w:szCs w:val="21"/>
        </w:rPr>
        <w:t>.</w:t>
      </w:r>
      <w:r w:rsidR="00CD4A10">
        <w:rPr>
          <w:rFonts w:asciiTheme="minorHAnsi" w:hAnsiTheme="minorHAnsi"/>
          <w:sz w:val="21"/>
          <w:szCs w:val="21"/>
        </w:rPr>
        <w:t xml:space="preserve"> The demand for endoscopy services is not limited to the Hospital; wait times for endoscopy at BILH Hospitals averages between six</w:t>
      </w:r>
      <w:r w:rsidR="00F80026">
        <w:rPr>
          <w:rFonts w:asciiTheme="minorHAnsi" w:hAnsiTheme="minorHAnsi"/>
          <w:sz w:val="21"/>
          <w:szCs w:val="21"/>
        </w:rPr>
        <w:t xml:space="preserve"> (6)</w:t>
      </w:r>
      <w:r w:rsidR="00CD4A10">
        <w:rPr>
          <w:rFonts w:asciiTheme="minorHAnsi" w:hAnsiTheme="minorHAnsi"/>
          <w:sz w:val="21"/>
          <w:szCs w:val="21"/>
        </w:rPr>
        <w:t xml:space="preserve"> and 12 months. </w:t>
      </w:r>
      <w:r w:rsidR="00FA06F3">
        <w:rPr>
          <w:rFonts w:asciiTheme="minorHAnsi" w:hAnsiTheme="minorHAnsi"/>
          <w:sz w:val="21"/>
          <w:szCs w:val="21"/>
        </w:rPr>
        <w:t xml:space="preserve"> </w:t>
      </w:r>
      <w:r w:rsidR="00CD4A10">
        <w:rPr>
          <w:rFonts w:asciiTheme="minorHAnsi" w:hAnsiTheme="minorHAnsi"/>
          <w:sz w:val="21"/>
          <w:szCs w:val="21"/>
        </w:rPr>
        <w:t>T</w:t>
      </w:r>
      <w:r w:rsidR="00FA06F3">
        <w:rPr>
          <w:rFonts w:asciiTheme="minorHAnsi" w:hAnsiTheme="minorHAnsi"/>
          <w:sz w:val="21"/>
          <w:szCs w:val="21"/>
        </w:rPr>
        <w:t xml:space="preserve">he Endoscopy Center’s </w:t>
      </w:r>
      <w:r w:rsidR="00CD4A10">
        <w:rPr>
          <w:rFonts w:asciiTheme="minorHAnsi" w:hAnsiTheme="minorHAnsi"/>
          <w:sz w:val="21"/>
          <w:szCs w:val="21"/>
        </w:rPr>
        <w:t>utilization</w:t>
      </w:r>
      <w:r w:rsidR="00FA06F3">
        <w:rPr>
          <w:rFonts w:asciiTheme="minorHAnsi" w:hAnsiTheme="minorHAnsi"/>
          <w:sz w:val="21"/>
          <w:szCs w:val="21"/>
        </w:rPr>
        <w:t xml:space="preserve"> </w:t>
      </w:r>
      <w:r w:rsidR="00281747">
        <w:rPr>
          <w:rFonts w:asciiTheme="minorHAnsi" w:hAnsiTheme="minorHAnsi"/>
          <w:sz w:val="21"/>
          <w:szCs w:val="21"/>
        </w:rPr>
        <w:t>was 89</w:t>
      </w:r>
      <w:r w:rsidR="00FA06F3">
        <w:rPr>
          <w:rFonts w:asciiTheme="minorHAnsi" w:hAnsiTheme="minorHAnsi"/>
          <w:sz w:val="21"/>
          <w:szCs w:val="21"/>
        </w:rPr>
        <w:t xml:space="preserve">% </w:t>
      </w:r>
      <w:r w:rsidR="00281747">
        <w:rPr>
          <w:rFonts w:asciiTheme="minorHAnsi" w:hAnsiTheme="minorHAnsi"/>
          <w:sz w:val="21"/>
          <w:szCs w:val="21"/>
        </w:rPr>
        <w:t>is FY25</w:t>
      </w:r>
      <w:r w:rsidR="00FA06F3">
        <w:rPr>
          <w:rFonts w:asciiTheme="minorHAnsi" w:hAnsiTheme="minorHAnsi"/>
          <w:sz w:val="21"/>
          <w:szCs w:val="21"/>
        </w:rPr>
        <w:t xml:space="preserve">and cannot accommodate additional patients. </w:t>
      </w:r>
    </w:p>
    <w:p w14:paraId="1B9CDCA8" w14:textId="55889EA8" w:rsidR="00817012" w:rsidRPr="00431D3A" w:rsidRDefault="00817012" w:rsidP="005655CA">
      <w:pPr>
        <w:spacing w:after="120"/>
        <w:jc w:val="both"/>
        <w:rPr>
          <w:rFonts w:asciiTheme="minorHAnsi" w:hAnsiTheme="minorHAnsi"/>
          <w:sz w:val="21"/>
          <w:szCs w:val="21"/>
        </w:rPr>
      </w:pPr>
      <w:r w:rsidRPr="00431D3A">
        <w:rPr>
          <w:rFonts w:asciiTheme="minorHAnsi" w:hAnsiTheme="minorHAnsi"/>
          <w:sz w:val="21"/>
          <w:szCs w:val="21"/>
        </w:rPr>
        <w:t xml:space="preserve">To address these </w:t>
      </w:r>
      <w:r w:rsidR="0025084B">
        <w:rPr>
          <w:rFonts w:asciiTheme="minorHAnsi" w:hAnsiTheme="minorHAnsi"/>
          <w:sz w:val="21"/>
          <w:szCs w:val="21"/>
        </w:rPr>
        <w:t>access limitations</w:t>
      </w:r>
      <w:r w:rsidRPr="00431D3A">
        <w:rPr>
          <w:rFonts w:asciiTheme="minorHAnsi" w:hAnsiTheme="minorHAnsi"/>
          <w:sz w:val="21"/>
          <w:szCs w:val="21"/>
        </w:rPr>
        <w:t xml:space="preserve">, </w:t>
      </w:r>
      <w:r w:rsidR="00CD4A10">
        <w:rPr>
          <w:rFonts w:asciiTheme="minorHAnsi" w:hAnsiTheme="minorHAnsi"/>
          <w:sz w:val="21"/>
          <w:szCs w:val="21"/>
        </w:rPr>
        <w:t>the Applicant</w:t>
      </w:r>
      <w:r w:rsidRPr="00431D3A">
        <w:rPr>
          <w:rFonts w:asciiTheme="minorHAnsi" w:hAnsiTheme="minorHAnsi"/>
          <w:sz w:val="21"/>
          <w:szCs w:val="21"/>
        </w:rPr>
        <w:t xml:space="preserve"> proposes to expand its Endoscopy Center through the addition of three </w:t>
      </w:r>
      <w:r w:rsidR="00F80026">
        <w:rPr>
          <w:rFonts w:asciiTheme="minorHAnsi" w:hAnsiTheme="minorHAnsi"/>
          <w:sz w:val="21"/>
          <w:szCs w:val="21"/>
        </w:rPr>
        <w:t>(3)</w:t>
      </w:r>
      <w:r w:rsidR="0025084B">
        <w:rPr>
          <w:rFonts w:asciiTheme="minorHAnsi" w:hAnsiTheme="minorHAnsi"/>
          <w:sz w:val="21"/>
          <w:szCs w:val="21"/>
        </w:rPr>
        <w:t xml:space="preserve"> </w:t>
      </w:r>
      <w:r w:rsidRPr="00431D3A">
        <w:rPr>
          <w:rFonts w:asciiTheme="minorHAnsi" w:hAnsiTheme="minorHAnsi"/>
          <w:sz w:val="21"/>
          <w:szCs w:val="21"/>
        </w:rPr>
        <w:t xml:space="preserve">new procedure rooms and </w:t>
      </w:r>
      <w:r w:rsidR="00B57EF4">
        <w:rPr>
          <w:rFonts w:asciiTheme="minorHAnsi" w:hAnsiTheme="minorHAnsi"/>
          <w:sz w:val="21"/>
          <w:szCs w:val="21"/>
        </w:rPr>
        <w:t>seven (7)</w:t>
      </w:r>
      <w:r w:rsidRPr="00431D3A">
        <w:rPr>
          <w:rFonts w:asciiTheme="minorHAnsi" w:hAnsiTheme="minorHAnsi"/>
          <w:sz w:val="21"/>
          <w:szCs w:val="21"/>
        </w:rPr>
        <w:t xml:space="preserve"> new pre/post-procedure bays. This expansion will enable the Endoscopy Center to accommodate </w:t>
      </w:r>
      <w:r w:rsidR="00F80026">
        <w:rPr>
          <w:rFonts w:asciiTheme="minorHAnsi" w:hAnsiTheme="minorHAnsi"/>
          <w:sz w:val="21"/>
          <w:szCs w:val="21"/>
        </w:rPr>
        <w:t>current and projected demand for endoscopy</w:t>
      </w:r>
      <w:r w:rsidRPr="00431D3A">
        <w:rPr>
          <w:rFonts w:asciiTheme="minorHAnsi" w:hAnsiTheme="minorHAnsi"/>
          <w:sz w:val="21"/>
          <w:szCs w:val="21"/>
        </w:rPr>
        <w:t>. By increasing procedural capacity, the Proposed Project aims to significantly reduce wait times to less than 40 days</w:t>
      </w:r>
      <w:r w:rsidR="00B57EF4">
        <w:rPr>
          <w:rFonts w:asciiTheme="minorHAnsi" w:hAnsiTheme="minorHAnsi"/>
          <w:sz w:val="21"/>
          <w:szCs w:val="21"/>
        </w:rPr>
        <w:t xml:space="preserve"> for all patients</w:t>
      </w:r>
      <w:r w:rsidRPr="00431D3A">
        <w:rPr>
          <w:rFonts w:asciiTheme="minorHAnsi" w:hAnsiTheme="minorHAnsi"/>
          <w:sz w:val="21"/>
          <w:szCs w:val="21"/>
        </w:rPr>
        <w:t>, ensuring that patients receive timely and effective care. The expanded facility will allow more patients to access screening and diagnostic services in a dedicated outpatient setting, improving convenience and patient experience.</w:t>
      </w:r>
    </w:p>
    <w:p w14:paraId="6009931D" w14:textId="5FB1779D" w:rsidR="00817012" w:rsidRPr="00431D3A" w:rsidRDefault="006C4C67" w:rsidP="005655CA">
      <w:pPr>
        <w:spacing w:after="120"/>
        <w:jc w:val="both"/>
        <w:rPr>
          <w:rFonts w:asciiTheme="minorHAnsi" w:hAnsiTheme="minorHAnsi"/>
          <w:sz w:val="21"/>
          <w:szCs w:val="21"/>
        </w:rPr>
      </w:pPr>
      <w:r w:rsidRPr="00431D3A">
        <w:rPr>
          <w:rFonts w:asciiTheme="minorHAnsi" w:hAnsiTheme="minorHAnsi"/>
          <w:sz w:val="21"/>
          <w:szCs w:val="21"/>
        </w:rPr>
        <w:t xml:space="preserve">Expanding the Endoscopy Center will support greater care coordination and efficiency, leveraging existing infrastructure, experienced staff, and established clinical pathways to streamline patient flow and optimize patient health outcomes. By meeting the </w:t>
      </w:r>
      <w:r w:rsidR="00F80026">
        <w:rPr>
          <w:rFonts w:asciiTheme="minorHAnsi" w:hAnsiTheme="minorHAnsi"/>
          <w:sz w:val="21"/>
          <w:szCs w:val="21"/>
        </w:rPr>
        <w:t>increasing</w:t>
      </w:r>
      <w:r w:rsidRPr="00431D3A">
        <w:rPr>
          <w:rFonts w:asciiTheme="minorHAnsi" w:hAnsiTheme="minorHAnsi"/>
          <w:sz w:val="21"/>
          <w:szCs w:val="21"/>
        </w:rPr>
        <w:t xml:space="preserve"> demand for endoscopy services within the community, the Proposed Project will advance early cancer detection, improve overall health outcomes, and support the Commonwealth’s goals of cost containment and equitable access to high-quality healthcare.</w:t>
      </w:r>
    </w:p>
    <w:p w14:paraId="3613DD0D" w14:textId="77777777" w:rsidR="005655CA" w:rsidRDefault="005655CA" w:rsidP="00242EFE">
      <w:pPr>
        <w:rPr>
          <w:rFonts w:eastAsia="Calibri"/>
        </w:rPr>
      </w:pPr>
    </w:p>
    <w:p w14:paraId="5B460F92" w14:textId="77777777" w:rsidR="00EA2A22" w:rsidRDefault="00EA2A22" w:rsidP="00242EFE">
      <w:pPr>
        <w:rPr>
          <w:rFonts w:eastAsia="Calibri"/>
        </w:rPr>
      </w:pPr>
    </w:p>
    <w:p w14:paraId="29A9F057" w14:textId="13AC7D0D" w:rsidR="00AB44E1" w:rsidRDefault="00AB44E1" w:rsidP="00706968">
      <w:pPr>
        <w:pStyle w:val="Heading1"/>
        <w:rPr>
          <w:rFonts w:eastAsia="Calibri"/>
        </w:rPr>
      </w:pPr>
      <w:r w:rsidRPr="00431D3A">
        <w:rPr>
          <w:rFonts w:eastAsia="Calibri"/>
        </w:rPr>
        <w:t>Factor 1: Applicant Patient Panel Need, Public Health Values and Operational Objectives</w:t>
      </w:r>
    </w:p>
    <w:p w14:paraId="19E15985" w14:textId="77777777" w:rsidR="00706968" w:rsidRPr="00706968" w:rsidRDefault="00706968" w:rsidP="00706968">
      <w:pPr>
        <w:rPr>
          <w:rFonts w:eastAsia="Calibri"/>
        </w:rPr>
      </w:pPr>
    </w:p>
    <w:p w14:paraId="77760E45" w14:textId="2528A155" w:rsidR="00AB44E1" w:rsidRPr="00706968" w:rsidRDefault="00031808" w:rsidP="00706968">
      <w:pPr>
        <w:pStyle w:val="Heading2"/>
      </w:pPr>
      <w:r w:rsidRPr="00706968">
        <w:lastRenderedPageBreak/>
        <w:t>F1.</w:t>
      </w:r>
      <w:proofErr w:type="gramStart"/>
      <w:r w:rsidRPr="00706968">
        <w:t>a.i</w:t>
      </w:r>
      <w:proofErr w:type="gramEnd"/>
      <w:r w:rsidRPr="00706968">
        <w:tab/>
      </w:r>
      <w:r w:rsidRPr="00706968">
        <w:tab/>
      </w:r>
      <w:r w:rsidR="00AB44E1" w:rsidRPr="00706968">
        <w:t>Patient Panel:</w:t>
      </w:r>
    </w:p>
    <w:p w14:paraId="070E7703" w14:textId="77777777" w:rsidR="00AB44E1" w:rsidRPr="00031808" w:rsidRDefault="00AB44E1" w:rsidP="00742B85">
      <w:pPr>
        <w:suppressAutoHyphens w:val="0"/>
        <w:spacing w:after="240"/>
        <w:ind w:left="1440"/>
        <w:jc w:val="both"/>
        <w:rPr>
          <w:rFonts w:asciiTheme="minorHAnsi" w:hAnsiTheme="minorHAnsi" w:cs="Arial"/>
          <w:b/>
          <w:kern w:val="2"/>
          <w:sz w:val="21"/>
          <w:szCs w:val="21"/>
        </w:rPr>
      </w:pPr>
      <w:r w:rsidRPr="00031808">
        <w:rPr>
          <w:rFonts w:asciiTheme="minorHAnsi" w:hAnsiTheme="minorHAnsi" w:cs="Arial"/>
          <w:b/>
          <w:kern w:val="2"/>
          <w:sz w:val="21"/>
          <w:szCs w:val="21"/>
        </w:rPr>
        <w:t xml:space="preserve">Describe your existing Patient Panel, including incidence or prevalence of disease or behavioral risk factors, acuity mix, noted health disparities, geographic breakdown expressed in zip codes or other appropriate </w:t>
      </w:r>
      <w:proofErr w:type="gramStart"/>
      <w:r w:rsidRPr="00031808">
        <w:rPr>
          <w:rFonts w:asciiTheme="minorHAnsi" w:hAnsiTheme="minorHAnsi" w:cs="Arial"/>
          <w:b/>
          <w:kern w:val="2"/>
          <w:sz w:val="21"/>
          <w:szCs w:val="21"/>
        </w:rPr>
        <w:t>measure</w:t>
      </w:r>
      <w:proofErr w:type="gramEnd"/>
      <w:r w:rsidRPr="00031808">
        <w:rPr>
          <w:rFonts w:asciiTheme="minorHAnsi" w:hAnsiTheme="minorHAnsi" w:cs="Arial"/>
          <w:b/>
          <w:kern w:val="2"/>
          <w:sz w:val="21"/>
          <w:szCs w:val="21"/>
        </w:rPr>
        <w:t>, demographics including age, gender and sexual identity, race, ethnicity, socioeconomic status and other priority populations relevant to the Applicant's existing patient panel and payer mix.</w:t>
      </w:r>
    </w:p>
    <w:p w14:paraId="0BB7E633" w14:textId="77777777" w:rsidR="00B8714D" w:rsidRPr="00AB44E1" w:rsidRDefault="00B8714D" w:rsidP="00B8714D">
      <w:pPr>
        <w:suppressAutoHyphens w:val="0"/>
        <w:spacing w:after="240"/>
        <w:rPr>
          <w:rFonts w:asciiTheme="minorHAnsi" w:eastAsia="Calibri" w:hAnsiTheme="minorHAnsi" w:cs="Arial"/>
          <w:i/>
          <w:iCs/>
          <w:sz w:val="22"/>
          <w:szCs w:val="22"/>
        </w:rPr>
      </w:pPr>
      <w:bookmarkStart w:id="0" w:name="_Hlk212706173"/>
      <w:r w:rsidRPr="00AB44E1">
        <w:rPr>
          <w:rFonts w:asciiTheme="minorHAnsi" w:eastAsia="Calibri" w:hAnsiTheme="minorHAnsi" w:cs="Arial"/>
          <w:i/>
          <w:iCs/>
          <w:sz w:val="22"/>
          <w:szCs w:val="22"/>
        </w:rPr>
        <w:t>Overall Patient Panel</w:t>
      </w:r>
    </w:p>
    <w:p w14:paraId="2906D765" w14:textId="77777777" w:rsidR="00B8714D" w:rsidRDefault="00B8714D" w:rsidP="00B8714D">
      <w:pPr>
        <w:numPr>
          <w:ilvl w:val="0"/>
          <w:numId w:val="5"/>
        </w:numPr>
        <w:suppressAutoHyphens w:val="0"/>
        <w:spacing w:after="240"/>
        <w:ind w:left="360"/>
        <w:jc w:val="both"/>
        <w:rPr>
          <w:rFonts w:asciiTheme="minorHAnsi" w:hAnsiTheme="minorHAnsi" w:cs="Arial"/>
          <w:color w:val="000000"/>
          <w:kern w:val="2"/>
          <w:sz w:val="22"/>
          <w:szCs w:val="22"/>
          <w:u w:val="single"/>
        </w:rPr>
      </w:pPr>
      <w:r w:rsidRPr="00AB44E1">
        <w:rPr>
          <w:rFonts w:asciiTheme="minorHAnsi" w:hAnsiTheme="minorHAnsi" w:cs="Arial"/>
          <w:color w:val="000000"/>
          <w:kern w:val="2"/>
          <w:sz w:val="22"/>
          <w:szCs w:val="22"/>
          <w:u w:val="single"/>
        </w:rPr>
        <w:t xml:space="preserve">Beth Israel Lahey Health </w:t>
      </w:r>
    </w:p>
    <w:p w14:paraId="0681FF42" w14:textId="39EFD13A" w:rsidR="00B8714D" w:rsidRPr="00AB44E1" w:rsidRDefault="00B8714D" w:rsidP="00B8714D">
      <w:pPr>
        <w:suppressAutoHyphens w:val="0"/>
        <w:spacing w:after="240"/>
        <w:jc w:val="both"/>
        <w:rPr>
          <w:rFonts w:asciiTheme="minorHAnsi" w:eastAsia="Calibri" w:hAnsiTheme="minorHAnsi" w:cs="Arial"/>
          <w:sz w:val="22"/>
          <w:szCs w:val="22"/>
        </w:rPr>
      </w:pPr>
      <w:r w:rsidRPr="00AB44E1">
        <w:rPr>
          <w:rFonts w:asciiTheme="minorHAnsi" w:eastAsia="Calibri" w:hAnsiTheme="minorHAnsi" w:cs="Arial"/>
          <w:sz w:val="22"/>
          <w:szCs w:val="22"/>
        </w:rPr>
        <w:t>BILH is an integrated health care delivery system of teaching and community hospitals, physician groups, behavioral health providers,</w:t>
      </w:r>
      <w:r w:rsidR="00F80026">
        <w:rPr>
          <w:rFonts w:asciiTheme="minorHAnsi" w:eastAsia="Calibri" w:hAnsiTheme="minorHAnsi" w:cs="Arial"/>
          <w:sz w:val="22"/>
          <w:szCs w:val="22"/>
        </w:rPr>
        <w:t xml:space="preserve"> and</w:t>
      </w:r>
      <w:r w:rsidRPr="00AB44E1">
        <w:rPr>
          <w:rFonts w:asciiTheme="minorHAnsi" w:eastAsia="Calibri" w:hAnsiTheme="minorHAnsi" w:cs="Arial"/>
          <w:sz w:val="22"/>
          <w:szCs w:val="22"/>
        </w:rPr>
        <w:t xml:space="preserve"> post-acute care providers serving patients in Greater Boston</w:t>
      </w:r>
      <w:r w:rsidRPr="00AB44E1">
        <w:rPr>
          <w:rFonts w:asciiTheme="minorHAnsi" w:eastAsia="Calibri" w:hAnsiTheme="minorHAnsi" w:cs="Arial"/>
          <w:sz w:val="22"/>
          <w:szCs w:val="22"/>
          <w:vertAlign w:val="superscript"/>
        </w:rPr>
        <w:footnoteReference w:id="1"/>
      </w:r>
      <w:r w:rsidRPr="00AB44E1">
        <w:rPr>
          <w:rFonts w:asciiTheme="minorHAnsi" w:eastAsia="Calibri" w:hAnsiTheme="minorHAnsi" w:cs="Arial"/>
          <w:sz w:val="22"/>
          <w:szCs w:val="22"/>
        </w:rPr>
        <w:t xml:space="preserve"> and the surrounding communities in Eastern Massachusetts and Southeastern New Hampshire. BILH aims to have a broader impact on the health care industry and patient populations in Massachusetts by sharing best practices, investing in foundational infrastructure to support population health management, and encouraging competition based on value.  </w:t>
      </w:r>
    </w:p>
    <w:p w14:paraId="442A37FB" w14:textId="3B3B3C43" w:rsidR="00B8714D" w:rsidRPr="00AB44E1" w:rsidRDefault="00B8714D" w:rsidP="00B21CD2">
      <w:pPr>
        <w:suppressAutoHyphens w:val="0"/>
        <w:spacing w:after="120" w:line="256" w:lineRule="auto"/>
        <w:jc w:val="both"/>
        <w:rPr>
          <w:rFonts w:asciiTheme="minorHAnsi" w:eastAsia="Calibri" w:hAnsiTheme="minorHAnsi" w:cs="Arial"/>
          <w:sz w:val="22"/>
          <w:szCs w:val="22"/>
        </w:rPr>
      </w:pPr>
      <w:r w:rsidRPr="00AB44E1">
        <w:rPr>
          <w:rFonts w:asciiTheme="minorHAnsi" w:eastAsia="Calibri" w:hAnsiTheme="minorHAnsi" w:cs="Arial"/>
          <w:sz w:val="22"/>
          <w:szCs w:val="22"/>
        </w:rPr>
        <w:t xml:space="preserve">BILH also operates Beth Israel Lahey Health Performance Network, LLC (BILHPN), a clinically integrated network of physicians, clinicians, and hospitals. BILHPN is a Health Policy Commission (HPC) certified Accountable Care Organization (ACO) committed to providing high-quality, cost-effective care to the patients and communities they serve, while effectively managing medical </w:t>
      </w:r>
      <w:r w:rsidR="00F80026">
        <w:rPr>
          <w:rFonts w:asciiTheme="minorHAnsi" w:eastAsia="Calibri" w:hAnsiTheme="minorHAnsi" w:cs="Arial"/>
          <w:sz w:val="22"/>
          <w:szCs w:val="22"/>
        </w:rPr>
        <w:t>expenditures</w:t>
      </w:r>
      <w:r w:rsidRPr="00AB44E1">
        <w:rPr>
          <w:rFonts w:asciiTheme="minorHAnsi" w:eastAsia="Calibri" w:hAnsiTheme="minorHAnsi" w:cs="Arial"/>
          <w:sz w:val="22"/>
          <w:szCs w:val="22"/>
        </w:rPr>
        <w:t xml:space="preserve">. By leveraging best practices in population health management and data analytics, BILHPN seeks to improve care quality and patient health outcomes across the system through population health initiatives. </w:t>
      </w:r>
    </w:p>
    <w:p w14:paraId="22B26A15" w14:textId="77777777" w:rsidR="00B8714D" w:rsidRPr="00AB44E1" w:rsidRDefault="00B8714D" w:rsidP="00B21CD2">
      <w:pPr>
        <w:suppressAutoHyphens w:val="0"/>
        <w:spacing w:after="120" w:line="256" w:lineRule="auto"/>
        <w:ind w:firstLine="360"/>
        <w:jc w:val="both"/>
        <w:rPr>
          <w:rFonts w:asciiTheme="minorHAnsi" w:eastAsia="Verdana" w:hAnsiTheme="minorHAnsi" w:cs="Arial"/>
          <w:i/>
          <w:iCs/>
          <w:sz w:val="22"/>
          <w:szCs w:val="22"/>
        </w:rPr>
      </w:pPr>
      <w:r w:rsidRPr="00AB44E1">
        <w:rPr>
          <w:rFonts w:asciiTheme="minorHAnsi" w:eastAsia="Calibri" w:hAnsiTheme="minorHAnsi" w:cs="Arial"/>
          <w:i/>
          <w:iCs/>
          <w:sz w:val="22"/>
          <w:szCs w:val="22"/>
        </w:rPr>
        <w:t>Patient Panel</w:t>
      </w:r>
    </w:p>
    <w:p w14:paraId="598BD4D7" w14:textId="505EF02A" w:rsidR="005B02F9" w:rsidRPr="00AB44E1" w:rsidRDefault="005B02F9" w:rsidP="00B21CD2">
      <w:pPr>
        <w:suppressAutoHyphens w:val="0"/>
        <w:spacing w:after="120"/>
        <w:jc w:val="both"/>
        <w:rPr>
          <w:rFonts w:asciiTheme="minorHAnsi" w:eastAsia="Verdana" w:hAnsiTheme="minorHAnsi" w:cs="Arial"/>
          <w:sz w:val="22"/>
          <w:szCs w:val="22"/>
        </w:rPr>
      </w:pPr>
      <w:r w:rsidRPr="005B02F9">
        <w:rPr>
          <w:rFonts w:asciiTheme="minorHAnsi" w:eastAsia="Verdana" w:hAnsiTheme="minorHAnsi" w:cs="Arial"/>
          <w:sz w:val="22"/>
          <w:szCs w:val="22"/>
        </w:rPr>
        <w:t xml:space="preserve">In FY25, </w:t>
      </w:r>
      <w:r w:rsidR="00C128D7">
        <w:rPr>
          <w:rFonts w:asciiTheme="minorHAnsi" w:eastAsia="Verdana" w:hAnsiTheme="minorHAnsi" w:cs="Arial"/>
          <w:sz w:val="22"/>
          <w:szCs w:val="22"/>
        </w:rPr>
        <w:t xml:space="preserve">60% of </w:t>
      </w:r>
      <w:r w:rsidRPr="005B02F9">
        <w:rPr>
          <w:rFonts w:asciiTheme="minorHAnsi" w:eastAsia="Verdana" w:hAnsiTheme="minorHAnsi" w:cs="Arial"/>
          <w:sz w:val="22"/>
          <w:szCs w:val="22"/>
        </w:rPr>
        <w:t>BILH’s Patient Panel was predominantly composed of individuals aged 18 to 64, who represented the largest age cohort. Patients aged 65 and older made up the second largest group, followed by those aged 0 to 17. Approximately 58% of patients were female, compared to 42% male, with gender distribution remaining consistent from FY23 through FY25. About 73% of patients self-identified as White, and 93% identified as Not</w:t>
      </w:r>
      <w:r w:rsidR="001F6E11">
        <w:rPr>
          <w:rFonts w:asciiTheme="minorHAnsi" w:eastAsia="Verdana" w:hAnsiTheme="minorHAnsi" w:cs="Arial"/>
          <w:sz w:val="22"/>
          <w:szCs w:val="22"/>
        </w:rPr>
        <w:t xml:space="preserve"> </w:t>
      </w:r>
      <w:r w:rsidRPr="005B02F9">
        <w:rPr>
          <w:rFonts w:asciiTheme="minorHAnsi" w:eastAsia="Verdana" w:hAnsiTheme="minorHAnsi" w:cs="Arial"/>
          <w:sz w:val="22"/>
          <w:szCs w:val="22"/>
        </w:rPr>
        <w:t>Hispanic/Latino</w:t>
      </w:r>
      <w:r>
        <w:rPr>
          <w:rFonts w:asciiTheme="minorHAnsi" w:eastAsia="Verdana" w:hAnsiTheme="minorHAnsi" w:cs="Arial"/>
          <w:sz w:val="22"/>
          <w:szCs w:val="22"/>
        </w:rPr>
        <w:t xml:space="preserve"> in FY25</w:t>
      </w:r>
      <w:r w:rsidR="001F6E11">
        <w:rPr>
          <w:rFonts w:asciiTheme="minorHAnsi" w:eastAsia="Verdana" w:hAnsiTheme="minorHAnsi" w:cs="Arial"/>
          <w:sz w:val="22"/>
          <w:szCs w:val="22"/>
        </w:rPr>
        <w:t>, which remained largely unchanged from FY23</w:t>
      </w:r>
      <w:r w:rsidRPr="005B02F9">
        <w:rPr>
          <w:rFonts w:asciiTheme="minorHAnsi" w:eastAsia="Verdana" w:hAnsiTheme="minorHAnsi" w:cs="Arial"/>
          <w:sz w:val="22"/>
          <w:szCs w:val="22"/>
        </w:rPr>
        <w:t xml:space="preserve">. </w:t>
      </w:r>
      <w:r>
        <w:rPr>
          <w:rFonts w:asciiTheme="minorHAnsi" w:eastAsia="Verdana" w:hAnsiTheme="minorHAnsi" w:cs="Arial"/>
          <w:sz w:val="22"/>
          <w:szCs w:val="22"/>
        </w:rPr>
        <w:t>Data shows that in FY25, c</w:t>
      </w:r>
      <w:r w:rsidRPr="005B02F9">
        <w:rPr>
          <w:rFonts w:asciiTheme="minorHAnsi" w:eastAsia="Verdana" w:hAnsiTheme="minorHAnsi" w:cs="Arial"/>
          <w:sz w:val="22"/>
          <w:szCs w:val="22"/>
        </w:rPr>
        <w:t>ommercial insurance was the primary payer source for approximately 50% of patients, followed by Medicare at around 29%</w:t>
      </w:r>
      <w:r w:rsidR="00F7679E">
        <w:rPr>
          <w:rFonts w:asciiTheme="minorHAnsi" w:eastAsia="Verdana" w:hAnsiTheme="minorHAnsi" w:cs="Arial"/>
          <w:sz w:val="22"/>
          <w:szCs w:val="22"/>
        </w:rPr>
        <w:t xml:space="preserve">, Medicaid at 15%, </w:t>
      </w:r>
      <w:r w:rsidR="00C128D7">
        <w:rPr>
          <w:rFonts w:asciiTheme="minorHAnsi" w:eastAsia="Verdana" w:hAnsiTheme="minorHAnsi" w:cs="Arial"/>
          <w:sz w:val="22"/>
          <w:szCs w:val="22"/>
        </w:rPr>
        <w:t xml:space="preserve">and 6% had </w:t>
      </w:r>
      <w:r w:rsidR="00F7679E">
        <w:rPr>
          <w:rFonts w:asciiTheme="minorHAnsi" w:eastAsia="Verdana" w:hAnsiTheme="minorHAnsi" w:cs="Arial"/>
          <w:sz w:val="22"/>
          <w:szCs w:val="22"/>
        </w:rPr>
        <w:t>another type of insurance</w:t>
      </w:r>
      <w:r w:rsidR="00C128D7">
        <w:rPr>
          <w:rFonts w:asciiTheme="minorHAnsi" w:eastAsia="Verdana" w:hAnsiTheme="minorHAnsi" w:cs="Arial"/>
          <w:sz w:val="22"/>
          <w:szCs w:val="22"/>
        </w:rPr>
        <w:t>.</w:t>
      </w:r>
    </w:p>
    <w:p w14:paraId="5970A92C" w14:textId="77777777" w:rsidR="00B8714D" w:rsidRDefault="00B8714D" w:rsidP="009B71C1">
      <w:pPr>
        <w:rPr>
          <w:rFonts w:eastAsia="Calibri"/>
          <w:snapToGrid w:val="0"/>
        </w:rPr>
        <w:sectPr w:rsidR="00B8714D" w:rsidSect="00B871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AB44E1">
        <w:rPr>
          <w:rFonts w:eastAsia="Calibri"/>
          <w:snapToGrid w:val="0"/>
        </w:rPr>
        <w:t xml:space="preserve"> </w:t>
      </w:r>
    </w:p>
    <w:p w14:paraId="5216F039" w14:textId="77777777" w:rsidR="00B8714D" w:rsidRPr="00AB44E1" w:rsidRDefault="00B8714D" w:rsidP="00156D48">
      <w:pPr>
        <w:pStyle w:val="Heading3"/>
      </w:pPr>
      <w:r w:rsidRPr="00AB44E1">
        <w:lastRenderedPageBreak/>
        <w:t xml:space="preserve">Table 1: BILH Patient Panel Demographics </w:t>
      </w:r>
    </w:p>
    <w:tbl>
      <w:tblPr>
        <w:tblStyle w:val="TableGrid1"/>
        <w:tblW w:w="14580" w:type="dxa"/>
        <w:tblInd w:w="-815" w:type="dxa"/>
        <w:tblLayout w:type="fixed"/>
        <w:tblLook w:val="04A0" w:firstRow="1" w:lastRow="0" w:firstColumn="1" w:lastColumn="0" w:noHBand="0" w:noVBand="1"/>
      </w:tblPr>
      <w:tblGrid>
        <w:gridCol w:w="4500"/>
        <w:gridCol w:w="1680"/>
        <w:gridCol w:w="1680"/>
        <w:gridCol w:w="1680"/>
        <w:gridCol w:w="1680"/>
        <w:gridCol w:w="1680"/>
        <w:gridCol w:w="1680"/>
      </w:tblGrid>
      <w:tr w:rsidR="00F80026" w:rsidRPr="00742B85" w14:paraId="7AB45BF6" w14:textId="77777777" w:rsidTr="0085342E">
        <w:trPr>
          <w:cantSplit/>
          <w:tblHeader/>
        </w:trPr>
        <w:tc>
          <w:tcPr>
            <w:tcW w:w="4500" w:type="dxa"/>
            <w:shd w:val="clear" w:color="auto" w:fill="B4C6E7"/>
            <w:vAlign w:val="center"/>
          </w:tcPr>
          <w:p w14:paraId="550AA27B" w14:textId="75B5A6DB" w:rsidR="00F80026" w:rsidRPr="00F8637E" w:rsidRDefault="00F80026" w:rsidP="00F80026">
            <w:pPr>
              <w:suppressAutoHyphens w:val="0"/>
              <w:spacing w:line="256" w:lineRule="auto"/>
              <w:rPr>
                <w:rFonts w:asciiTheme="minorHAnsi" w:hAnsiTheme="minorHAnsi" w:cs="Calibri Light"/>
                <w:b/>
                <w:bCs/>
                <w:sz w:val="20"/>
                <w:szCs w:val="20"/>
              </w:rPr>
            </w:pPr>
            <w:r w:rsidRPr="00F8637E">
              <w:rPr>
                <w:rFonts w:asciiTheme="minorHAnsi" w:hAnsiTheme="minorHAnsi" w:cs="Calibri Light"/>
                <w:b/>
                <w:bCs/>
                <w:sz w:val="20"/>
                <w:szCs w:val="20"/>
              </w:rPr>
              <w:t xml:space="preserve">Demographic </w:t>
            </w:r>
          </w:p>
        </w:tc>
        <w:tc>
          <w:tcPr>
            <w:tcW w:w="1680" w:type="dxa"/>
            <w:shd w:val="clear" w:color="auto" w:fill="B4C6E7"/>
            <w:vAlign w:val="center"/>
          </w:tcPr>
          <w:p w14:paraId="1408387B" w14:textId="40B4947F" w:rsidR="00F80026" w:rsidRPr="00AB44E1" w:rsidRDefault="00F80026" w:rsidP="00F80026">
            <w:pPr>
              <w:suppressAutoHyphens w:val="0"/>
              <w:jc w:val="center"/>
              <w:rPr>
                <w:rFonts w:asciiTheme="minorHAnsi" w:hAnsiTheme="minorHAnsi" w:cs="Calibri Light"/>
                <w:sz w:val="20"/>
                <w:szCs w:val="20"/>
              </w:rPr>
            </w:pPr>
            <w:proofErr w:type="gramStart"/>
            <w:r w:rsidRPr="00AB44E1">
              <w:rPr>
                <w:rFonts w:asciiTheme="minorHAnsi" w:hAnsiTheme="minorHAnsi" w:cs="Calibri Light"/>
                <w:b/>
                <w:bCs/>
                <w:color w:val="000000"/>
                <w:sz w:val="20"/>
                <w:szCs w:val="20"/>
              </w:rPr>
              <w:t xml:space="preserve">FY23 </w:t>
            </w:r>
            <w:r w:rsidRPr="00F80026">
              <w:rPr>
                <w:rFonts w:asciiTheme="minorHAnsi" w:hAnsiTheme="minorHAnsi" w:cs="Calibri Light"/>
                <w:i/>
                <w:iCs/>
                <w:color w:val="000000"/>
                <w:sz w:val="20"/>
                <w:szCs w:val="20"/>
              </w:rPr>
              <w:t>(#</w:t>
            </w:r>
            <w:proofErr w:type="gramEnd"/>
            <w:r w:rsidRPr="00F80026">
              <w:rPr>
                <w:rFonts w:asciiTheme="minorHAnsi" w:hAnsiTheme="minorHAnsi" w:cs="Calibri Light"/>
                <w:i/>
                <w:iCs/>
                <w:color w:val="000000"/>
                <w:sz w:val="20"/>
                <w:szCs w:val="20"/>
              </w:rPr>
              <w:t>)</w:t>
            </w:r>
          </w:p>
        </w:tc>
        <w:tc>
          <w:tcPr>
            <w:tcW w:w="1680" w:type="dxa"/>
            <w:shd w:val="clear" w:color="auto" w:fill="B4C6E7"/>
            <w:vAlign w:val="center"/>
          </w:tcPr>
          <w:p w14:paraId="2845C80D" w14:textId="3C86D600" w:rsidR="00F80026" w:rsidRPr="00B24F37" w:rsidRDefault="00F80026" w:rsidP="00F80026">
            <w:pPr>
              <w:suppressAutoHyphens w:val="0"/>
              <w:jc w:val="center"/>
              <w:rPr>
                <w:rFonts w:asciiTheme="minorHAnsi" w:hAnsiTheme="minorHAnsi" w:cs="Calibri Light"/>
                <w:b/>
                <w:bCs/>
                <w:color w:val="000000"/>
                <w:sz w:val="20"/>
                <w:szCs w:val="20"/>
              </w:rPr>
            </w:pPr>
            <w:r w:rsidRPr="00AB44E1">
              <w:rPr>
                <w:rFonts w:asciiTheme="minorHAnsi" w:hAnsiTheme="minorHAnsi" w:cs="Calibri Light"/>
                <w:b/>
                <w:bCs/>
                <w:color w:val="000000"/>
                <w:sz w:val="20"/>
                <w:szCs w:val="20"/>
              </w:rPr>
              <w:t>FY23</w:t>
            </w:r>
            <w:r>
              <w:rPr>
                <w:rFonts w:asciiTheme="minorHAnsi" w:hAnsiTheme="minorHAnsi" w:cs="Calibri Light"/>
                <w:b/>
                <w:bCs/>
                <w:color w:val="000000"/>
                <w:sz w:val="20"/>
                <w:szCs w:val="20"/>
              </w:rPr>
              <w:t xml:space="preserve"> </w:t>
            </w:r>
            <w:r w:rsidRPr="00F80026">
              <w:rPr>
                <w:rFonts w:asciiTheme="minorHAnsi" w:hAnsiTheme="minorHAnsi" w:cs="Calibri Light"/>
                <w:i/>
                <w:iCs/>
                <w:color w:val="000000"/>
                <w:sz w:val="20"/>
                <w:szCs w:val="20"/>
              </w:rPr>
              <w:t>(%)</w:t>
            </w:r>
          </w:p>
        </w:tc>
        <w:tc>
          <w:tcPr>
            <w:tcW w:w="1680" w:type="dxa"/>
            <w:shd w:val="clear" w:color="auto" w:fill="B4C6E7"/>
            <w:vAlign w:val="center"/>
          </w:tcPr>
          <w:p w14:paraId="181863A1" w14:textId="136B3EF6" w:rsidR="00F80026" w:rsidRPr="00AB44E1" w:rsidRDefault="00F80026" w:rsidP="00F80026">
            <w:pPr>
              <w:suppressAutoHyphens w:val="0"/>
              <w:jc w:val="center"/>
              <w:rPr>
                <w:rFonts w:asciiTheme="minorHAnsi" w:hAnsiTheme="minorHAnsi" w:cs="Calibri Light"/>
                <w:sz w:val="20"/>
                <w:szCs w:val="20"/>
              </w:rPr>
            </w:pPr>
            <w:proofErr w:type="gramStart"/>
            <w:r w:rsidRPr="00AB44E1">
              <w:rPr>
                <w:rFonts w:asciiTheme="minorHAnsi" w:hAnsiTheme="minorHAnsi" w:cs="Calibri Light"/>
                <w:b/>
                <w:bCs/>
                <w:color w:val="000000"/>
                <w:sz w:val="20"/>
                <w:szCs w:val="20"/>
              </w:rPr>
              <w:t xml:space="preserve">FY24 </w:t>
            </w:r>
            <w:r w:rsidRPr="00F80026">
              <w:rPr>
                <w:rFonts w:asciiTheme="minorHAnsi" w:hAnsiTheme="minorHAnsi" w:cs="Calibri Light"/>
                <w:i/>
                <w:iCs/>
                <w:color w:val="000000"/>
                <w:sz w:val="20"/>
                <w:szCs w:val="20"/>
              </w:rPr>
              <w:t>(#</w:t>
            </w:r>
            <w:proofErr w:type="gramEnd"/>
            <w:r w:rsidRPr="00F80026">
              <w:rPr>
                <w:rFonts w:asciiTheme="minorHAnsi" w:hAnsiTheme="minorHAnsi" w:cs="Calibri Light"/>
                <w:i/>
                <w:iCs/>
                <w:color w:val="000000"/>
                <w:sz w:val="20"/>
                <w:szCs w:val="20"/>
              </w:rPr>
              <w:t>)</w:t>
            </w:r>
          </w:p>
        </w:tc>
        <w:tc>
          <w:tcPr>
            <w:tcW w:w="1680" w:type="dxa"/>
            <w:shd w:val="clear" w:color="auto" w:fill="B4C6E7"/>
            <w:vAlign w:val="center"/>
          </w:tcPr>
          <w:p w14:paraId="3C5CE6A6" w14:textId="066B43ED" w:rsidR="00F80026" w:rsidRPr="00B24F37" w:rsidRDefault="00F80026" w:rsidP="00F80026">
            <w:pPr>
              <w:suppressAutoHyphens w:val="0"/>
              <w:jc w:val="center"/>
              <w:rPr>
                <w:rFonts w:asciiTheme="minorHAnsi" w:hAnsiTheme="minorHAnsi" w:cs="Calibri Light"/>
                <w:b/>
                <w:bCs/>
                <w:color w:val="000000"/>
                <w:sz w:val="20"/>
                <w:szCs w:val="20"/>
              </w:rPr>
            </w:pPr>
            <w:r w:rsidRPr="00AB44E1">
              <w:rPr>
                <w:rFonts w:asciiTheme="minorHAnsi" w:hAnsiTheme="minorHAnsi" w:cs="Calibri Light"/>
                <w:b/>
                <w:bCs/>
                <w:color w:val="000000"/>
                <w:sz w:val="20"/>
                <w:szCs w:val="20"/>
              </w:rPr>
              <w:t>FY24</w:t>
            </w:r>
            <w:r>
              <w:rPr>
                <w:rFonts w:asciiTheme="minorHAnsi" w:hAnsiTheme="minorHAnsi" w:cs="Calibri Light"/>
                <w:b/>
                <w:bCs/>
                <w:color w:val="000000"/>
                <w:sz w:val="20"/>
                <w:szCs w:val="20"/>
              </w:rPr>
              <w:t xml:space="preserve"> </w:t>
            </w:r>
            <w:r w:rsidRPr="00F80026">
              <w:rPr>
                <w:rFonts w:asciiTheme="minorHAnsi" w:hAnsiTheme="minorHAnsi" w:cs="Calibri Light"/>
                <w:i/>
                <w:iCs/>
                <w:color w:val="000000"/>
                <w:sz w:val="20"/>
                <w:szCs w:val="20"/>
              </w:rPr>
              <w:t>(%)</w:t>
            </w:r>
          </w:p>
        </w:tc>
        <w:tc>
          <w:tcPr>
            <w:tcW w:w="1680" w:type="dxa"/>
            <w:shd w:val="clear" w:color="auto" w:fill="B4C6E7"/>
            <w:vAlign w:val="center"/>
          </w:tcPr>
          <w:p w14:paraId="233626BD" w14:textId="5E622DD6" w:rsidR="00F80026" w:rsidRPr="00B24F37" w:rsidRDefault="00F80026" w:rsidP="00F80026">
            <w:pPr>
              <w:suppressAutoHyphens w:val="0"/>
              <w:jc w:val="center"/>
              <w:rPr>
                <w:rFonts w:asciiTheme="minorHAnsi" w:hAnsiTheme="minorHAnsi" w:cs="Calibri Light"/>
                <w:b/>
                <w:bCs/>
                <w:color w:val="000000"/>
                <w:sz w:val="20"/>
                <w:szCs w:val="20"/>
              </w:rPr>
            </w:pPr>
            <w:proofErr w:type="gramStart"/>
            <w:r w:rsidRPr="00AB44E1">
              <w:rPr>
                <w:rFonts w:asciiTheme="minorHAnsi" w:hAnsiTheme="minorHAnsi" w:cs="Calibri Light"/>
                <w:b/>
                <w:bCs/>
                <w:color w:val="000000"/>
                <w:sz w:val="20"/>
                <w:szCs w:val="20"/>
              </w:rPr>
              <w:t>FY25</w:t>
            </w:r>
            <w:r w:rsidRPr="00F80026">
              <w:rPr>
                <w:rFonts w:asciiTheme="minorHAnsi" w:hAnsiTheme="minorHAnsi" w:cs="Calibri Light"/>
                <w:i/>
                <w:iCs/>
                <w:color w:val="000000"/>
                <w:sz w:val="20"/>
                <w:szCs w:val="20"/>
              </w:rPr>
              <w:t>(#</w:t>
            </w:r>
            <w:proofErr w:type="gramEnd"/>
            <w:r w:rsidRPr="00F80026">
              <w:rPr>
                <w:rFonts w:asciiTheme="minorHAnsi" w:hAnsiTheme="minorHAnsi" w:cs="Calibri Light"/>
                <w:i/>
                <w:iCs/>
                <w:color w:val="000000"/>
                <w:sz w:val="20"/>
                <w:szCs w:val="20"/>
              </w:rPr>
              <w:t>)</w:t>
            </w:r>
          </w:p>
        </w:tc>
        <w:tc>
          <w:tcPr>
            <w:tcW w:w="1680" w:type="dxa"/>
            <w:shd w:val="clear" w:color="auto" w:fill="B4C6E7"/>
            <w:vAlign w:val="center"/>
          </w:tcPr>
          <w:p w14:paraId="0EB6179B" w14:textId="50D56095" w:rsidR="00F80026" w:rsidRPr="00B24F37" w:rsidRDefault="00F80026" w:rsidP="00F80026">
            <w:pPr>
              <w:suppressAutoHyphens w:val="0"/>
              <w:jc w:val="center"/>
              <w:rPr>
                <w:rFonts w:asciiTheme="minorHAnsi" w:hAnsiTheme="minorHAnsi" w:cs="Calibri Light"/>
                <w:b/>
                <w:bCs/>
                <w:color w:val="000000"/>
                <w:sz w:val="20"/>
                <w:szCs w:val="20"/>
              </w:rPr>
            </w:pPr>
            <w:r w:rsidRPr="00AB44E1">
              <w:rPr>
                <w:rFonts w:asciiTheme="minorHAnsi" w:hAnsiTheme="minorHAnsi" w:cs="Calibri Light"/>
                <w:b/>
                <w:bCs/>
                <w:color w:val="000000"/>
                <w:sz w:val="20"/>
                <w:szCs w:val="20"/>
              </w:rPr>
              <w:t>FY25</w:t>
            </w:r>
            <w:r>
              <w:rPr>
                <w:rFonts w:asciiTheme="minorHAnsi" w:hAnsiTheme="minorHAnsi" w:cs="Calibri Light"/>
                <w:b/>
                <w:bCs/>
                <w:color w:val="000000"/>
                <w:sz w:val="20"/>
                <w:szCs w:val="20"/>
              </w:rPr>
              <w:t xml:space="preserve"> </w:t>
            </w:r>
            <w:r w:rsidRPr="00F80026">
              <w:rPr>
                <w:rFonts w:asciiTheme="minorHAnsi" w:hAnsiTheme="minorHAnsi" w:cs="Calibri Light"/>
                <w:i/>
                <w:iCs/>
                <w:color w:val="000000"/>
                <w:sz w:val="20"/>
                <w:szCs w:val="20"/>
              </w:rPr>
              <w:t>(%)</w:t>
            </w:r>
          </w:p>
        </w:tc>
      </w:tr>
      <w:tr w:rsidR="003A101B" w:rsidRPr="00742B85" w14:paraId="772CB24A" w14:textId="77777777" w:rsidTr="0085342E">
        <w:trPr>
          <w:cantSplit/>
        </w:trPr>
        <w:tc>
          <w:tcPr>
            <w:tcW w:w="4500" w:type="dxa"/>
            <w:shd w:val="clear" w:color="auto" w:fill="D9E2F3"/>
            <w:vAlign w:val="center"/>
          </w:tcPr>
          <w:p w14:paraId="7438F795" w14:textId="77777777" w:rsidR="003A101B" w:rsidRPr="00B24F37" w:rsidRDefault="003A101B" w:rsidP="003A101B">
            <w:pPr>
              <w:suppressAutoHyphens w:val="0"/>
              <w:spacing w:line="256" w:lineRule="auto"/>
              <w:rPr>
                <w:rFonts w:asciiTheme="minorHAnsi" w:hAnsiTheme="minorHAnsi" w:cs="Calibri Light"/>
                <w:b/>
                <w:bCs/>
                <w:sz w:val="20"/>
                <w:szCs w:val="20"/>
              </w:rPr>
            </w:pPr>
            <w:r w:rsidRPr="00B24F37">
              <w:rPr>
                <w:rFonts w:asciiTheme="minorHAnsi" w:hAnsiTheme="minorHAnsi" w:cs="Calibri Light"/>
                <w:b/>
                <w:bCs/>
                <w:color w:val="000000"/>
                <w:sz w:val="20"/>
                <w:szCs w:val="20"/>
              </w:rPr>
              <w:t>Total</w:t>
            </w:r>
          </w:p>
        </w:tc>
        <w:tc>
          <w:tcPr>
            <w:tcW w:w="1680" w:type="dxa"/>
            <w:shd w:val="clear" w:color="auto" w:fill="D9E2F3"/>
            <w:vAlign w:val="center"/>
          </w:tcPr>
          <w:p w14:paraId="487EFBDA" w14:textId="640E6FF6" w:rsidR="003A101B" w:rsidRPr="00B24F37" w:rsidRDefault="003A101B" w:rsidP="003A101B">
            <w:pPr>
              <w:suppressAutoHyphens w:val="0"/>
              <w:spacing w:line="256" w:lineRule="auto"/>
              <w:jc w:val="center"/>
              <w:rPr>
                <w:rFonts w:asciiTheme="minorHAnsi" w:hAnsiTheme="minorHAnsi" w:cs="Calibri Light"/>
                <w:b/>
                <w:bCs/>
                <w:sz w:val="20"/>
                <w:szCs w:val="20"/>
              </w:rPr>
            </w:pPr>
            <w:r w:rsidRPr="00B24F37">
              <w:rPr>
                <w:b/>
                <w:bCs/>
                <w:color w:val="000000"/>
                <w:sz w:val="20"/>
                <w:szCs w:val="20"/>
              </w:rPr>
              <w:t>995,640</w:t>
            </w:r>
          </w:p>
        </w:tc>
        <w:tc>
          <w:tcPr>
            <w:tcW w:w="1680" w:type="dxa"/>
            <w:shd w:val="clear" w:color="auto" w:fill="D9E2F3"/>
            <w:vAlign w:val="center"/>
          </w:tcPr>
          <w:p w14:paraId="4A90A340" w14:textId="18EA130D" w:rsidR="003A101B" w:rsidRPr="00B24F37" w:rsidRDefault="003A101B" w:rsidP="003A101B">
            <w:pPr>
              <w:suppressAutoHyphens w:val="0"/>
              <w:spacing w:line="256" w:lineRule="auto"/>
              <w:jc w:val="center"/>
              <w:rPr>
                <w:rFonts w:asciiTheme="minorHAnsi" w:hAnsiTheme="minorHAnsi" w:cs="Calibri Light"/>
                <w:b/>
                <w:bCs/>
                <w:sz w:val="20"/>
                <w:szCs w:val="20"/>
              </w:rPr>
            </w:pPr>
            <w:r w:rsidRPr="00B24F37">
              <w:rPr>
                <w:b/>
                <w:bCs/>
                <w:color w:val="000000"/>
                <w:sz w:val="20"/>
                <w:szCs w:val="20"/>
              </w:rPr>
              <w:t>100%</w:t>
            </w:r>
          </w:p>
        </w:tc>
        <w:tc>
          <w:tcPr>
            <w:tcW w:w="1680" w:type="dxa"/>
            <w:shd w:val="clear" w:color="auto" w:fill="D9E2F3"/>
            <w:vAlign w:val="center"/>
          </w:tcPr>
          <w:p w14:paraId="29D3ABE9" w14:textId="66E995AA" w:rsidR="003A101B" w:rsidRPr="00B24F37" w:rsidRDefault="003A101B" w:rsidP="003A101B">
            <w:pPr>
              <w:suppressAutoHyphens w:val="0"/>
              <w:spacing w:line="256" w:lineRule="auto"/>
              <w:jc w:val="center"/>
              <w:rPr>
                <w:rFonts w:asciiTheme="minorHAnsi" w:hAnsiTheme="minorHAnsi" w:cs="Calibri Light"/>
                <w:b/>
                <w:bCs/>
                <w:sz w:val="20"/>
                <w:szCs w:val="20"/>
              </w:rPr>
            </w:pPr>
            <w:r w:rsidRPr="00B24F37">
              <w:rPr>
                <w:b/>
                <w:bCs/>
                <w:color w:val="000000"/>
                <w:sz w:val="20"/>
                <w:szCs w:val="20"/>
              </w:rPr>
              <w:t>1,097,931</w:t>
            </w:r>
          </w:p>
        </w:tc>
        <w:tc>
          <w:tcPr>
            <w:tcW w:w="1680" w:type="dxa"/>
            <w:shd w:val="clear" w:color="auto" w:fill="D9E2F3"/>
            <w:vAlign w:val="center"/>
          </w:tcPr>
          <w:p w14:paraId="3876E56F" w14:textId="2A1F8096" w:rsidR="003A101B" w:rsidRPr="00B24F37" w:rsidRDefault="003A101B" w:rsidP="003A101B">
            <w:pPr>
              <w:suppressAutoHyphens w:val="0"/>
              <w:spacing w:line="256" w:lineRule="auto"/>
              <w:jc w:val="center"/>
              <w:rPr>
                <w:rFonts w:asciiTheme="minorHAnsi" w:hAnsiTheme="minorHAnsi" w:cs="Calibri Light"/>
                <w:b/>
                <w:bCs/>
                <w:sz w:val="20"/>
                <w:szCs w:val="20"/>
              </w:rPr>
            </w:pPr>
            <w:r w:rsidRPr="00B24F37">
              <w:rPr>
                <w:b/>
                <w:bCs/>
                <w:color w:val="000000"/>
                <w:sz w:val="20"/>
                <w:szCs w:val="20"/>
              </w:rPr>
              <w:t>100%</w:t>
            </w:r>
          </w:p>
        </w:tc>
        <w:tc>
          <w:tcPr>
            <w:tcW w:w="1680" w:type="dxa"/>
            <w:shd w:val="clear" w:color="auto" w:fill="D9E2F3"/>
            <w:vAlign w:val="center"/>
          </w:tcPr>
          <w:p w14:paraId="444C9A5B" w14:textId="1594CE91" w:rsidR="003A101B" w:rsidRPr="00B24F37" w:rsidRDefault="003A101B" w:rsidP="003A101B">
            <w:pPr>
              <w:suppressAutoHyphens w:val="0"/>
              <w:spacing w:line="256" w:lineRule="auto"/>
              <w:jc w:val="center"/>
              <w:rPr>
                <w:rFonts w:asciiTheme="minorHAnsi" w:hAnsiTheme="minorHAnsi" w:cs="Calibri Light"/>
                <w:b/>
                <w:bCs/>
                <w:sz w:val="20"/>
                <w:szCs w:val="20"/>
              </w:rPr>
            </w:pPr>
            <w:r w:rsidRPr="00B24F37">
              <w:rPr>
                <w:b/>
                <w:bCs/>
                <w:color w:val="000000"/>
                <w:sz w:val="20"/>
                <w:szCs w:val="20"/>
              </w:rPr>
              <w:t>1,251,364</w:t>
            </w:r>
          </w:p>
        </w:tc>
        <w:tc>
          <w:tcPr>
            <w:tcW w:w="1680" w:type="dxa"/>
            <w:shd w:val="clear" w:color="auto" w:fill="D9E2F3"/>
            <w:vAlign w:val="center"/>
          </w:tcPr>
          <w:p w14:paraId="49CA7664" w14:textId="08C53C83" w:rsidR="003A101B" w:rsidRPr="00B24F37" w:rsidRDefault="003A101B" w:rsidP="003A101B">
            <w:pPr>
              <w:suppressAutoHyphens w:val="0"/>
              <w:spacing w:line="256" w:lineRule="auto"/>
              <w:jc w:val="center"/>
              <w:rPr>
                <w:rFonts w:asciiTheme="minorHAnsi" w:hAnsiTheme="minorHAnsi" w:cs="Calibri Light"/>
                <w:b/>
                <w:bCs/>
                <w:sz w:val="20"/>
                <w:szCs w:val="20"/>
              </w:rPr>
            </w:pPr>
            <w:r w:rsidRPr="00B24F37">
              <w:rPr>
                <w:b/>
                <w:bCs/>
                <w:color w:val="000000"/>
                <w:sz w:val="20"/>
                <w:szCs w:val="20"/>
              </w:rPr>
              <w:t>100%</w:t>
            </w:r>
          </w:p>
        </w:tc>
      </w:tr>
      <w:tr w:rsidR="00372EB0" w:rsidRPr="00AB44E1" w14:paraId="0B21AAAE" w14:textId="77777777" w:rsidTr="0085342E">
        <w:trPr>
          <w:cantSplit/>
        </w:trPr>
        <w:tc>
          <w:tcPr>
            <w:tcW w:w="4500" w:type="dxa"/>
            <w:vAlign w:val="bottom"/>
          </w:tcPr>
          <w:p w14:paraId="08C0CA88"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Age: 0 to 17</w:t>
            </w:r>
          </w:p>
        </w:tc>
        <w:tc>
          <w:tcPr>
            <w:tcW w:w="1680" w:type="dxa"/>
            <w:vAlign w:val="center"/>
          </w:tcPr>
          <w:p w14:paraId="67266A71" w14:textId="468FE7D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67,632</w:t>
            </w:r>
          </w:p>
        </w:tc>
        <w:tc>
          <w:tcPr>
            <w:tcW w:w="1680" w:type="dxa"/>
            <w:vAlign w:val="center"/>
          </w:tcPr>
          <w:p w14:paraId="47CE633E" w14:textId="19BF0EA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w:t>
            </w:r>
          </w:p>
        </w:tc>
        <w:tc>
          <w:tcPr>
            <w:tcW w:w="1680" w:type="dxa"/>
            <w:vAlign w:val="center"/>
          </w:tcPr>
          <w:p w14:paraId="53C21478" w14:textId="51A22928"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72,280</w:t>
            </w:r>
          </w:p>
        </w:tc>
        <w:tc>
          <w:tcPr>
            <w:tcW w:w="1680" w:type="dxa"/>
            <w:vAlign w:val="center"/>
          </w:tcPr>
          <w:p w14:paraId="57981C5B" w14:textId="5511D37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w:t>
            </w:r>
          </w:p>
        </w:tc>
        <w:tc>
          <w:tcPr>
            <w:tcW w:w="1680" w:type="dxa"/>
            <w:vAlign w:val="center"/>
          </w:tcPr>
          <w:p w14:paraId="0184A3F5" w14:textId="27EAB10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79,390</w:t>
            </w:r>
          </w:p>
        </w:tc>
        <w:tc>
          <w:tcPr>
            <w:tcW w:w="1680" w:type="dxa"/>
            <w:vAlign w:val="center"/>
          </w:tcPr>
          <w:p w14:paraId="589299C3" w14:textId="71966535"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w:t>
            </w:r>
          </w:p>
        </w:tc>
      </w:tr>
      <w:tr w:rsidR="00372EB0" w:rsidRPr="00AB44E1" w14:paraId="5C104A00" w14:textId="77777777" w:rsidTr="0085342E">
        <w:trPr>
          <w:cantSplit/>
        </w:trPr>
        <w:tc>
          <w:tcPr>
            <w:tcW w:w="4500" w:type="dxa"/>
            <w:vAlign w:val="bottom"/>
          </w:tcPr>
          <w:p w14:paraId="259D962D"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Age: 18 to 64</w:t>
            </w:r>
          </w:p>
        </w:tc>
        <w:tc>
          <w:tcPr>
            <w:tcW w:w="1680" w:type="dxa"/>
            <w:vAlign w:val="center"/>
          </w:tcPr>
          <w:p w14:paraId="29970255" w14:textId="31B59246"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600,125</w:t>
            </w:r>
          </w:p>
        </w:tc>
        <w:tc>
          <w:tcPr>
            <w:tcW w:w="1680" w:type="dxa"/>
            <w:vAlign w:val="center"/>
          </w:tcPr>
          <w:p w14:paraId="21414362" w14:textId="1DB95030"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60%</w:t>
            </w:r>
          </w:p>
        </w:tc>
        <w:tc>
          <w:tcPr>
            <w:tcW w:w="1680" w:type="dxa"/>
            <w:vAlign w:val="center"/>
          </w:tcPr>
          <w:p w14:paraId="5FC2CB89" w14:textId="6946033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657,034</w:t>
            </w:r>
          </w:p>
        </w:tc>
        <w:tc>
          <w:tcPr>
            <w:tcW w:w="1680" w:type="dxa"/>
            <w:vAlign w:val="center"/>
          </w:tcPr>
          <w:p w14:paraId="4F0724CE" w14:textId="3DF68DFB"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60%</w:t>
            </w:r>
          </w:p>
        </w:tc>
        <w:tc>
          <w:tcPr>
            <w:tcW w:w="1680" w:type="dxa"/>
            <w:vAlign w:val="center"/>
          </w:tcPr>
          <w:p w14:paraId="601BCB1A" w14:textId="36B19BB8"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748,361</w:t>
            </w:r>
          </w:p>
        </w:tc>
        <w:tc>
          <w:tcPr>
            <w:tcW w:w="1680" w:type="dxa"/>
            <w:vAlign w:val="center"/>
          </w:tcPr>
          <w:p w14:paraId="254B7D3D" w14:textId="56AFAAE6"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60%</w:t>
            </w:r>
          </w:p>
        </w:tc>
      </w:tr>
      <w:tr w:rsidR="00372EB0" w:rsidRPr="00AB44E1" w14:paraId="36A0AD8E" w14:textId="77777777" w:rsidTr="0085342E">
        <w:trPr>
          <w:cantSplit/>
        </w:trPr>
        <w:tc>
          <w:tcPr>
            <w:tcW w:w="4500" w:type="dxa"/>
            <w:vAlign w:val="bottom"/>
          </w:tcPr>
          <w:p w14:paraId="77F3CEB8"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Age: 65+</w:t>
            </w:r>
          </w:p>
        </w:tc>
        <w:tc>
          <w:tcPr>
            <w:tcW w:w="1680" w:type="dxa"/>
            <w:vAlign w:val="center"/>
          </w:tcPr>
          <w:p w14:paraId="5F4E5830" w14:textId="2C3C1737"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327,883</w:t>
            </w:r>
          </w:p>
        </w:tc>
        <w:tc>
          <w:tcPr>
            <w:tcW w:w="1680" w:type="dxa"/>
            <w:vAlign w:val="center"/>
          </w:tcPr>
          <w:p w14:paraId="5B9A0047" w14:textId="185374C5"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33%</w:t>
            </w:r>
          </w:p>
        </w:tc>
        <w:tc>
          <w:tcPr>
            <w:tcW w:w="1680" w:type="dxa"/>
            <w:vAlign w:val="center"/>
          </w:tcPr>
          <w:p w14:paraId="3E0991A3" w14:textId="54B3709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368,617</w:t>
            </w:r>
          </w:p>
        </w:tc>
        <w:tc>
          <w:tcPr>
            <w:tcW w:w="1680" w:type="dxa"/>
            <w:vAlign w:val="center"/>
          </w:tcPr>
          <w:p w14:paraId="1024FEFF" w14:textId="02F37EEB"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34%</w:t>
            </w:r>
          </w:p>
        </w:tc>
        <w:tc>
          <w:tcPr>
            <w:tcW w:w="1680" w:type="dxa"/>
            <w:vAlign w:val="center"/>
          </w:tcPr>
          <w:p w14:paraId="76573BE0" w14:textId="5258AEF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423,613</w:t>
            </w:r>
          </w:p>
        </w:tc>
        <w:tc>
          <w:tcPr>
            <w:tcW w:w="1680" w:type="dxa"/>
            <w:vAlign w:val="center"/>
          </w:tcPr>
          <w:p w14:paraId="0BA0E5E8" w14:textId="2F3D69B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34%</w:t>
            </w:r>
          </w:p>
        </w:tc>
      </w:tr>
      <w:tr w:rsidR="00372EB0" w:rsidRPr="00AB44E1" w14:paraId="1B761971" w14:textId="77777777" w:rsidTr="0085342E">
        <w:trPr>
          <w:cantSplit/>
        </w:trPr>
        <w:tc>
          <w:tcPr>
            <w:tcW w:w="4500" w:type="dxa"/>
            <w:vAlign w:val="bottom"/>
          </w:tcPr>
          <w:p w14:paraId="4D2EE3DF"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Gender: Male</w:t>
            </w:r>
          </w:p>
        </w:tc>
        <w:tc>
          <w:tcPr>
            <w:tcW w:w="1680" w:type="dxa"/>
            <w:vAlign w:val="center"/>
          </w:tcPr>
          <w:p w14:paraId="1AE8C033" w14:textId="620E5BFD"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418,638</w:t>
            </w:r>
          </w:p>
        </w:tc>
        <w:tc>
          <w:tcPr>
            <w:tcW w:w="1680" w:type="dxa"/>
            <w:vAlign w:val="center"/>
          </w:tcPr>
          <w:p w14:paraId="6E22245D" w14:textId="5BEBDB1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42%</w:t>
            </w:r>
          </w:p>
        </w:tc>
        <w:tc>
          <w:tcPr>
            <w:tcW w:w="1680" w:type="dxa"/>
            <w:vAlign w:val="center"/>
          </w:tcPr>
          <w:p w14:paraId="2ED9FAB3" w14:textId="023FF312"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457,517</w:t>
            </w:r>
          </w:p>
        </w:tc>
        <w:tc>
          <w:tcPr>
            <w:tcW w:w="1680" w:type="dxa"/>
            <w:vAlign w:val="center"/>
          </w:tcPr>
          <w:p w14:paraId="7B7362B1" w14:textId="6A5CAF7C"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46%</w:t>
            </w:r>
          </w:p>
        </w:tc>
        <w:tc>
          <w:tcPr>
            <w:tcW w:w="1680" w:type="dxa"/>
            <w:vAlign w:val="center"/>
          </w:tcPr>
          <w:p w14:paraId="149E0CF3" w14:textId="00C51FDD"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526,467</w:t>
            </w:r>
          </w:p>
        </w:tc>
        <w:tc>
          <w:tcPr>
            <w:tcW w:w="1680" w:type="dxa"/>
            <w:vAlign w:val="center"/>
          </w:tcPr>
          <w:p w14:paraId="0E638871" w14:textId="2564166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42%</w:t>
            </w:r>
          </w:p>
        </w:tc>
      </w:tr>
      <w:tr w:rsidR="00372EB0" w:rsidRPr="00AB44E1" w14:paraId="2C9556FD" w14:textId="77777777" w:rsidTr="0085342E">
        <w:trPr>
          <w:cantSplit/>
        </w:trPr>
        <w:tc>
          <w:tcPr>
            <w:tcW w:w="4500" w:type="dxa"/>
            <w:vAlign w:val="bottom"/>
          </w:tcPr>
          <w:p w14:paraId="1CBAB4FB"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Gender: Female</w:t>
            </w:r>
          </w:p>
        </w:tc>
        <w:tc>
          <w:tcPr>
            <w:tcW w:w="1680" w:type="dxa"/>
            <w:vAlign w:val="center"/>
          </w:tcPr>
          <w:p w14:paraId="41BDCC1D" w14:textId="0BBC8BAC"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576,512</w:t>
            </w:r>
          </w:p>
        </w:tc>
        <w:tc>
          <w:tcPr>
            <w:tcW w:w="1680" w:type="dxa"/>
            <w:vAlign w:val="center"/>
          </w:tcPr>
          <w:p w14:paraId="294C4097" w14:textId="5B46F613"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58%</w:t>
            </w:r>
          </w:p>
        </w:tc>
        <w:tc>
          <w:tcPr>
            <w:tcW w:w="1680" w:type="dxa"/>
            <w:vAlign w:val="center"/>
          </w:tcPr>
          <w:p w14:paraId="6D56A257" w14:textId="4C5B1C05"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638,844</w:t>
            </w:r>
          </w:p>
        </w:tc>
        <w:tc>
          <w:tcPr>
            <w:tcW w:w="1680" w:type="dxa"/>
            <w:vAlign w:val="center"/>
          </w:tcPr>
          <w:p w14:paraId="2F9EDA5E" w14:textId="5E4EB73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58%</w:t>
            </w:r>
          </w:p>
        </w:tc>
        <w:tc>
          <w:tcPr>
            <w:tcW w:w="1680" w:type="dxa"/>
            <w:vAlign w:val="center"/>
          </w:tcPr>
          <w:p w14:paraId="7C2C1E3D" w14:textId="0CD6C8AB"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723,051</w:t>
            </w:r>
          </w:p>
        </w:tc>
        <w:tc>
          <w:tcPr>
            <w:tcW w:w="1680" w:type="dxa"/>
            <w:vAlign w:val="center"/>
          </w:tcPr>
          <w:p w14:paraId="4390FF0C" w14:textId="26DCF0E2"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58%</w:t>
            </w:r>
          </w:p>
        </w:tc>
      </w:tr>
      <w:tr w:rsidR="00372EB0" w:rsidRPr="00AB44E1" w14:paraId="62846AC7" w14:textId="77777777" w:rsidTr="0085342E">
        <w:trPr>
          <w:cantSplit/>
        </w:trPr>
        <w:tc>
          <w:tcPr>
            <w:tcW w:w="4500" w:type="dxa"/>
            <w:vAlign w:val="bottom"/>
          </w:tcPr>
          <w:p w14:paraId="7836E366"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Gender: Other</w:t>
            </w:r>
            <w:r w:rsidRPr="00AB44E1">
              <w:rPr>
                <w:rFonts w:asciiTheme="minorHAnsi" w:hAnsiTheme="minorHAnsi" w:cs="Calibri"/>
                <w:color w:val="000000"/>
                <w:sz w:val="20"/>
                <w:szCs w:val="20"/>
                <w:vertAlign w:val="superscript"/>
              </w:rPr>
              <w:footnoteReference w:id="2"/>
            </w:r>
          </w:p>
        </w:tc>
        <w:tc>
          <w:tcPr>
            <w:tcW w:w="1680" w:type="dxa"/>
            <w:vAlign w:val="center"/>
          </w:tcPr>
          <w:p w14:paraId="6CBEC8CC" w14:textId="0511E0C0"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490</w:t>
            </w:r>
          </w:p>
        </w:tc>
        <w:tc>
          <w:tcPr>
            <w:tcW w:w="1680" w:type="dxa"/>
            <w:vAlign w:val="center"/>
          </w:tcPr>
          <w:p w14:paraId="6E2A26FA" w14:textId="19E7E6A4"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c>
          <w:tcPr>
            <w:tcW w:w="1680" w:type="dxa"/>
            <w:vAlign w:val="center"/>
          </w:tcPr>
          <w:p w14:paraId="6226422C" w14:textId="7087E097"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1,570</w:t>
            </w:r>
          </w:p>
        </w:tc>
        <w:tc>
          <w:tcPr>
            <w:tcW w:w="1680" w:type="dxa"/>
            <w:vAlign w:val="center"/>
          </w:tcPr>
          <w:p w14:paraId="70C58DD7" w14:textId="27BFF7D8"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c>
          <w:tcPr>
            <w:tcW w:w="1680" w:type="dxa"/>
            <w:vAlign w:val="center"/>
          </w:tcPr>
          <w:p w14:paraId="65DF549C" w14:textId="0A93DE08"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1,846</w:t>
            </w:r>
          </w:p>
        </w:tc>
        <w:tc>
          <w:tcPr>
            <w:tcW w:w="1680" w:type="dxa"/>
            <w:vAlign w:val="center"/>
          </w:tcPr>
          <w:p w14:paraId="43BDC6E7" w14:textId="65B9941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r>
      <w:tr w:rsidR="00372EB0" w:rsidRPr="00AB44E1" w14:paraId="4C6FEB17" w14:textId="77777777" w:rsidTr="0085342E">
        <w:trPr>
          <w:cantSplit/>
        </w:trPr>
        <w:tc>
          <w:tcPr>
            <w:tcW w:w="4500" w:type="dxa"/>
            <w:vAlign w:val="bottom"/>
          </w:tcPr>
          <w:p w14:paraId="0D012C7D"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Race: White</w:t>
            </w:r>
          </w:p>
        </w:tc>
        <w:tc>
          <w:tcPr>
            <w:tcW w:w="1680" w:type="dxa"/>
            <w:vAlign w:val="center"/>
          </w:tcPr>
          <w:p w14:paraId="011462DF" w14:textId="1B736FF5"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750,501</w:t>
            </w:r>
          </w:p>
        </w:tc>
        <w:tc>
          <w:tcPr>
            <w:tcW w:w="1680" w:type="dxa"/>
            <w:vAlign w:val="center"/>
          </w:tcPr>
          <w:p w14:paraId="0621C5FA" w14:textId="369ABA8F"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75%</w:t>
            </w:r>
          </w:p>
        </w:tc>
        <w:tc>
          <w:tcPr>
            <w:tcW w:w="1680" w:type="dxa"/>
            <w:vAlign w:val="center"/>
          </w:tcPr>
          <w:p w14:paraId="58B4CDCE" w14:textId="68F3CE66"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811,890</w:t>
            </w:r>
          </w:p>
        </w:tc>
        <w:tc>
          <w:tcPr>
            <w:tcW w:w="1680" w:type="dxa"/>
            <w:vAlign w:val="center"/>
          </w:tcPr>
          <w:p w14:paraId="2B482FD6" w14:textId="6C41FFB6"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74%</w:t>
            </w:r>
          </w:p>
        </w:tc>
        <w:tc>
          <w:tcPr>
            <w:tcW w:w="1680" w:type="dxa"/>
            <w:vAlign w:val="center"/>
          </w:tcPr>
          <w:p w14:paraId="0B5FF0B9" w14:textId="3AFBCF18"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912,924</w:t>
            </w:r>
          </w:p>
        </w:tc>
        <w:tc>
          <w:tcPr>
            <w:tcW w:w="1680" w:type="dxa"/>
            <w:vAlign w:val="center"/>
          </w:tcPr>
          <w:p w14:paraId="7AA2A3B9" w14:textId="6944ADCC"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73%</w:t>
            </w:r>
          </w:p>
        </w:tc>
      </w:tr>
      <w:tr w:rsidR="00372EB0" w:rsidRPr="00AB44E1" w14:paraId="146BF909" w14:textId="77777777" w:rsidTr="0085342E">
        <w:trPr>
          <w:cantSplit/>
        </w:trPr>
        <w:tc>
          <w:tcPr>
            <w:tcW w:w="4500" w:type="dxa"/>
            <w:vAlign w:val="bottom"/>
          </w:tcPr>
          <w:p w14:paraId="7C9AA6FF"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Race: Black or African American</w:t>
            </w:r>
          </w:p>
        </w:tc>
        <w:tc>
          <w:tcPr>
            <w:tcW w:w="1680" w:type="dxa"/>
            <w:vAlign w:val="center"/>
          </w:tcPr>
          <w:p w14:paraId="54057614" w14:textId="0ACC6266"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62,678</w:t>
            </w:r>
          </w:p>
        </w:tc>
        <w:tc>
          <w:tcPr>
            <w:tcW w:w="1680" w:type="dxa"/>
            <w:vAlign w:val="center"/>
          </w:tcPr>
          <w:p w14:paraId="708FB767" w14:textId="5DE79D1F"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w:t>
            </w:r>
          </w:p>
        </w:tc>
        <w:tc>
          <w:tcPr>
            <w:tcW w:w="1680" w:type="dxa"/>
            <w:vAlign w:val="center"/>
          </w:tcPr>
          <w:p w14:paraId="547BD7F6" w14:textId="1983A5B3"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69,994</w:t>
            </w:r>
          </w:p>
        </w:tc>
        <w:tc>
          <w:tcPr>
            <w:tcW w:w="1680" w:type="dxa"/>
            <w:vAlign w:val="center"/>
          </w:tcPr>
          <w:p w14:paraId="2E18E7C9" w14:textId="6A788C08"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w:t>
            </w:r>
          </w:p>
        </w:tc>
        <w:tc>
          <w:tcPr>
            <w:tcW w:w="1680" w:type="dxa"/>
            <w:vAlign w:val="center"/>
          </w:tcPr>
          <w:p w14:paraId="0C80E7AF" w14:textId="2DA0FE1A"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78,461</w:t>
            </w:r>
          </w:p>
        </w:tc>
        <w:tc>
          <w:tcPr>
            <w:tcW w:w="1680" w:type="dxa"/>
            <w:vAlign w:val="center"/>
          </w:tcPr>
          <w:p w14:paraId="4844D9FF" w14:textId="1440F434"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w:t>
            </w:r>
          </w:p>
        </w:tc>
      </w:tr>
      <w:tr w:rsidR="00372EB0" w:rsidRPr="00AB44E1" w14:paraId="33A54F63" w14:textId="77777777" w:rsidTr="0085342E">
        <w:trPr>
          <w:cantSplit/>
        </w:trPr>
        <w:tc>
          <w:tcPr>
            <w:tcW w:w="4500" w:type="dxa"/>
            <w:vAlign w:val="bottom"/>
          </w:tcPr>
          <w:p w14:paraId="0D3D893E"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Race: American Indian or Alaska Native</w:t>
            </w:r>
          </w:p>
        </w:tc>
        <w:tc>
          <w:tcPr>
            <w:tcW w:w="1680" w:type="dxa"/>
            <w:vAlign w:val="center"/>
          </w:tcPr>
          <w:p w14:paraId="0CC6C121" w14:textId="1AE530A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1,293</w:t>
            </w:r>
          </w:p>
        </w:tc>
        <w:tc>
          <w:tcPr>
            <w:tcW w:w="1680" w:type="dxa"/>
            <w:vAlign w:val="center"/>
          </w:tcPr>
          <w:p w14:paraId="3FEBCBE8" w14:textId="6589491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c>
          <w:tcPr>
            <w:tcW w:w="1680" w:type="dxa"/>
            <w:vAlign w:val="center"/>
          </w:tcPr>
          <w:p w14:paraId="53FA509B" w14:textId="5EC6EFCB"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1,541</w:t>
            </w:r>
          </w:p>
        </w:tc>
        <w:tc>
          <w:tcPr>
            <w:tcW w:w="1680" w:type="dxa"/>
            <w:vAlign w:val="center"/>
          </w:tcPr>
          <w:p w14:paraId="44F33588" w14:textId="10EA2E2B"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c>
          <w:tcPr>
            <w:tcW w:w="1680" w:type="dxa"/>
            <w:vAlign w:val="center"/>
          </w:tcPr>
          <w:p w14:paraId="41597979" w14:textId="02F9DEEC"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1,837</w:t>
            </w:r>
          </w:p>
        </w:tc>
        <w:tc>
          <w:tcPr>
            <w:tcW w:w="1680" w:type="dxa"/>
            <w:vAlign w:val="center"/>
          </w:tcPr>
          <w:p w14:paraId="2095F359" w14:textId="46E9B928"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r>
      <w:tr w:rsidR="00372EB0" w:rsidRPr="00AB44E1" w14:paraId="3F433073" w14:textId="77777777" w:rsidTr="0085342E">
        <w:trPr>
          <w:cantSplit/>
        </w:trPr>
        <w:tc>
          <w:tcPr>
            <w:tcW w:w="4500" w:type="dxa"/>
            <w:vAlign w:val="bottom"/>
          </w:tcPr>
          <w:p w14:paraId="67E34953"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Race: Asian</w:t>
            </w:r>
          </w:p>
        </w:tc>
        <w:tc>
          <w:tcPr>
            <w:tcW w:w="1680" w:type="dxa"/>
            <w:vAlign w:val="center"/>
          </w:tcPr>
          <w:p w14:paraId="1580F67B" w14:textId="0F7120EF"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77,450</w:t>
            </w:r>
          </w:p>
        </w:tc>
        <w:tc>
          <w:tcPr>
            <w:tcW w:w="1680" w:type="dxa"/>
            <w:vAlign w:val="center"/>
          </w:tcPr>
          <w:p w14:paraId="0F7C93CB" w14:textId="02091C70"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8%</w:t>
            </w:r>
          </w:p>
        </w:tc>
        <w:tc>
          <w:tcPr>
            <w:tcW w:w="1680" w:type="dxa"/>
            <w:vAlign w:val="center"/>
          </w:tcPr>
          <w:p w14:paraId="393E94AF" w14:textId="32949D3A"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85,723</w:t>
            </w:r>
          </w:p>
        </w:tc>
        <w:tc>
          <w:tcPr>
            <w:tcW w:w="1680" w:type="dxa"/>
            <w:vAlign w:val="center"/>
          </w:tcPr>
          <w:p w14:paraId="30DAD16C" w14:textId="0A6077D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8%</w:t>
            </w:r>
          </w:p>
        </w:tc>
        <w:tc>
          <w:tcPr>
            <w:tcW w:w="1680" w:type="dxa"/>
            <w:vAlign w:val="center"/>
          </w:tcPr>
          <w:p w14:paraId="55A0D986" w14:textId="31E14AD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96,989</w:t>
            </w:r>
          </w:p>
        </w:tc>
        <w:tc>
          <w:tcPr>
            <w:tcW w:w="1680" w:type="dxa"/>
            <w:vAlign w:val="center"/>
          </w:tcPr>
          <w:p w14:paraId="16C5D9DA" w14:textId="2B000F1D"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8%</w:t>
            </w:r>
          </w:p>
        </w:tc>
      </w:tr>
      <w:tr w:rsidR="00372EB0" w:rsidRPr="00AB44E1" w14:paraId="129CF88B" w14:textId="77777777" w:rsidTr="0085342E">
        <w:trPr>
          <w:cantSplit/>
        </w:trPr>
        <w:tc>
          <w:tcPr>
            <w:tcW w:w="4500" w:type="dxa"/>
            <w:vAlign w:val="bottom"/>
          </w:tcPr>
          <w:p w14:paraId="0FA684B8"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Race: Native Hawaiian or Other Pacific Islander</w:t>
            </w:r>
          </w:p>
        </w:tc>
        <w:tc>
          <w:tcPr>
            <w:tcW w:w="1680" w:type="dxa"/>
            <w:vAlign w:val="center"/>
          </w:tcPr>
          <w:p w14:paraId="023E51A0" w14:textId="3C50A78C"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671</w:t>
            </w:r>
          </w:p>
        </w:tc>
        <w:tc>
          <w:tcPr>
            <w:tcW w:w="1680" w:type="dxa"/>
            <w:vAlign w:val="center"/>
          </w:tcPr>
          <w:p w14:paraId="2BCE253E" w14:textId="7D3881CB"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c>
          <w:tcPr>
            <w:tcW w:w="1680" w:type="dxa"/>
            <w:vAlign w:val="center"/>
          </w:tcPr>
          <w:p w14:paraId="1E778542" w14:textId="7BD84413"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674</w:t>
            </w:r>
          </w:p>
        </w:tc>
        <w:tc>
          <w:tcPr>
            <w:tcW w:w="1680" w:type="dxa"/>
            <w:vAlign w:val="center"/>
          </w:tcPr>
          <w:p w14:paraId="6A3FF543" w14:textId="32B88C82"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c>
          <w:tcPr>
            <w:tcW w:w="1680" w:type="dxa"/>
            <w:vAlign w:val="center"/>
          </w:tcPr>
          <w:p w14:paraId="32B105B3" w14:textId="6CF31796"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828</w:t>
            </w:r>
          </w:p>
        </w:tc>
        <w:tc>
          <w:tcPr>
            <w:tcW w:w="1680" w:type="dxa"/>
            <w:vAlign w:val="center"/>
          </w:tcPr>
          <w:p w14:paraId="4C346F41" w14:textId="44DCD6D2"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r>
      <w:tr w:rsidR="00372EB0" w:rsidRPr="00AB44E1" w14:paraId="7B18D95E" w14:textId="77777777" w:rsidTr="0085342E">
        <w:trPr>
          <w:cantSplit/>
        </w:trPr>
        <w:tc>
          <w:tcPr>
            <w:tcW w:w="4500" w:type="dxa"/>
            <w:vAlign w:val="bottom"/>
          </w:tcPr>
          <w:p w14:paraId="2AF79D80"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Race: Other</w:t>
            </w:r>
          </w:p>
        </w:tc>
        <w:tc>
          <w:tcPr>
            <w:tcW w:w="1680" w:type="dxa"/>
            <w:vAlign w:val="center"/>
          </w:tcPr>
          <w:p w14:paraId="78620965" w14:textId="6729FD8B"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59,061</w:t>
            </w:r>
          </w:p>
        </w:tc>
        <w:tc>
          <w:tcPr>
            <w:tcW w:w="1680" w:type="dxa"/>
            <w:vAlign w:val="center"/>
          </w:tcPr>
          <w:p w14:paraId="640F55FC" w14:textId="50F0B3BB"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w:t>
            </w:r>
          </w:p>
        </w:tc>
        <w:tc>
          <w:tcPr>
            <w:tcW w:w="1680" w:type="dxa"/>
            <w:vAlign w:val="center"/>
          </w:tcPr>
          <w:p w14:paraId="3B628CC6" w14:textId="3D2BFEE6"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74,544</w:t>
            </w:r>
          </w:p>
        </w:tc>
        <w:tc>
          <w:tcPr>
            <w:tcW w:w="1680" w:type="dxa"/>
            <w:vAlign w:val="center"/>
          </w:tcPr>
          <w:p w14:paraId="4EBF54CE" w14:textId="5BDEA1F5"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w:t>
            </w:r>
          </w:p>
        </w:tc>
        <w:tc>
          <w:tcPr>
            <w:tcW w:w="1680" w:type="dxa"/>
            <w:vAlign w:val="center"/>
          </w:tcPr>
          <w:p w14:paraId="1D254A9D" w14:textId="06F81D22"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90,229</w:t>
            </w:r>
          </w:p>
        </w:tc>
        <w:tc>
          <w:tcPr>
            <w:tcW w:w="1680" w:type="dxa"/>
            <w:vAlign w:val="center"/>
          </w:tcPr>
          <w:p w14:paraId="3AAC3277" w14:textId="77824EC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w:t>
            </w:r>
          </w:p>
        </w:tc>
      </w:tr>
      <w:tr w:rsidR="00372EB0" w:rsidRPr="00AB44E1" w14:paraId="3E444A57" w14:textId="77777777" w:rsidTr="0085342E">
        <w:trPr>
          <w:cantSplit/>
        </w:trPr>
        <w:tc>
          <w:tcPr>
            <w:tcW w:w="4500" w:type="dxa"/>
            <w:vAlign w:val="bottom"/>
          </w:tcPr>
          <w:p w14:paraId="0357D8B3"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Race: Unknown</w:t>
            </w:r>
          </w:p>
        </w:tc>
        <w:tc>
          <w:tcPr>
            <w:tcW w:w="1680" w:type="dxa"/>
            <w:vAlign w:val="center"/>
          </w:tcPr>
          <w:p w14:paraId="5C20EDB8" w14:textId="5D14452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29,480</w:t>
            </w:r>
          </w:p>
        </w:tc>
        <w:tc>
          <w:tcPr>
            <w:tcW w:w="1680" w:type="dxa"/>
            <w:vAlign w:val="center"/>
          </w:tcPr>
          <w:p w14:paraId="764C8980" w14:textId="6DAE2A4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3%</w:t>
            </w:r>
          </w:p>
        </w:tc>
        <w:tc>
          <w:tcPr>
            <w:tcW w:w="1680" w:type="dxa"/>
            <w:vAlign w:val="center"/>
          </w:tcPr>
          <w:p w14:paraId="7143F5A6" w14:textId="4D980330"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35,294</w:t>
            </w:r>
          </w:p>
        </w:tc>
        <w:tc>
          <w:tcPr>
            <w:tcW w:w="1680" w:type="dxa"/>
            <w:vAlign w:val="center"/>
          </w:tcPr>
          <w:p w14:paraId="5733CEC6" w14:textId="5BBF20C7"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3%</w:t>
            </w:r>
          </w:p>
        </w:tc>
        <w:tc>
          <w:tcPr>
            <w:tcW w:w="1680" w:type="dxa"/>
            <w:vAlign w:val="center"/>
          </w:tcPr>
          <w:p w14:paraId="79906A4D" w14:textId="4E59520D"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45,599</w:t>
            </w:r>
          </w:p>
        </w:tc>
        <w:tc>
          <w:tcPr>
            <w:tcW w:w="1680" w:type="dxa"/>
            <w:vAlign w:val="center"/>
          </w:tcPr>
          <w:p w14:paraId="344B0D26" w14:textId="53AD9BC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w:t>
            </w:r>
          </w:p>
        </w:tc>
      </w:tr>
      <w:tr w:rsidR="00372EB0" w:rsidRPr="00AB44E1" w14:paraId="44D660D4" w14:textId="77777777" w:rsidTr="0085342E">
        <w:trPr>
          <w:cantSplit/>
        </w:trPr>
        <w:tc>
          <w:tcPr>
            <w:tcW w:w="4500" w:type="dxa"/>
            <w:vAlign w:val="bottom"/>
          </w:tcPr>
          <w:p w14:paraId="5CE4B5C8"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Race: Patient Declined</w:t>
            </w:r>
          </w:p>
        </w:tc>
        <w:tc>
          <w:tcPr>
            <w:tcW w:w="1680" w:type="dxa"/>
            <w:vAlign w:val="center"/>
          </w:tcPr>
          <w:p w14:paraId="4D1EB31D" w14:textId="463F1AE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14,506</w:t>
            </w:r>
          </w:p>
        </w:tc>
        <w:tc>
          <w:tcPr>
            <w:tcW w:w="1680" w:type="dxa"/>
            <w:vAlign w:val="center"/>
          </w:tcPr>
          <w:p w14:paraId="2DCA4A3C" w14:textId="7DF90847"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w:t>
            </w:r>
          </w:p>
        </w:tc>
        <w:tc>
          <w:tcPr>
            <w:tcW w:w="1680" w:type="dxa"/>
            <w:vAlign w:val="center"/>
          </w:tcPr>
          <w:p w14:paraId="448EAC73" w14:textId="55BF9A9B"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18,271</w:t>
            </w:r>
          </w:p>
        </w:tc>
        <w:tc>
          <w:tcPr>
            <w:tcW w:w="1680" w:type="dxa"/>
            <w:vAlign w:val="center"/>
          </w:tcPr>
          <w:p w14:paraId="307A8AA6" w14:textId="329B0E3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2%</w:t>
            </w:r>
          </w:p>
        </w:tc>
        <w:tc>
          <w:tcPr>
            <w:tcW w:w="1680" w:type="dxa"/>
            <w:vAlign w:val="center"/>
          </w:tcPr>
          <w:p w14:paraId="6825D818" w14:textId="017E2383"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24,497</w:t>
            </w:r>
          </w:p>
        </w:tc>
        <w:tc>
          <w:tcPr>
            <w:tcW w:w="1680" w:type="dxa"/>
            <w:vAlign w:val="center"/>
          </w:tcPr>
          <w:p w14:paraId="0EE0101A" w14:textId="5F251AE6"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2%</w:t>
            </w:r>
          </w:p>
        </w:tc>
      </w:tr>
      <w:tr w:rsidR="00372EB0" w:rsidRPr="00AB44E1" w14:paraId="1EF19B7B" w14:textId="77777777" w:rsidTr="0085342E">
        <w:trPr>
          <w:cantSplit/>
        </w:trPr>
        <w:tc>
          <w:tcPr>
            <w:tcW w:w="4500" w:type="dxa"/>
            <w:vAlign w:val="bottom"/>
          </w:tcPr>
          <w:p w14:paraId="6F4D855F"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Ethnicity: Hispanic or Latino</w:t>
            </w:r>
          </w:p>
        </w:tc>
        <w:tc>
          <w:tcPr>
            <w:tcW w:w="1680" w:type="dxa"/>
            <w:vAlign w:val="center"/>
          </w:tcPr>
          <w:p w14:paraId="0C027DFC" w14:textId="2D85E03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64,965</w:t>
            </w:r>
          </w:p>
        </w:tc>
        <w:tc>
          <w:tcPr>
            <w:tcW w:w="1680" w:type="dxa"/>
            <w:vAlign w:val="center"/>
          </w:tcPr>
          <w:p w14:paraId="56A7D262" w14:textId="03F8850A"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w:t>
            </w:r>
          </w:p>
        </w:tc>
        <w:tc>
          <w:tcPr>
            <w:tcW w:w="1680" w:type="dxa"/>
            <w:vAlign w:val="center"/>
          </w:tcPr>
          <w:p w14:paraId="7F3EEF63" w14:textId="7014944A"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77,311</w:t>
            </w:r>
          </w:p>
        </w:tc>
        <w:tc>
          <w:tcPr>
            <w:tcW w:w="1680" w:type="dxa"/>
            <w:vAlign w:val="center"/>
          </w:tcPr>
          <w:p w14:paraId="2C72977C" w14:textId="6089DBE8"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w:t>
            </w:r>
          </w:p>
        </w:tc>
        <w:tc>
          <w:tcPr>
            <w:tcW w:w="1680" w:type="dxa"/>
            <w:vAlign w:val="center"/>
          </w:tcPr>
          <w:p w14:paraId="432A46E4" w14:textId="23C64B65"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91,290</w:t>
            </w:r>
          </w:p>
        </w:tc>
        <w:tc>
          <w:tcPr>
            <w:tcW w:w="1680" w:type="dxa"/>
            <w:vAlign w:val="center"/>
          </w:tcPr>
          <w:p w14:paraId="47EE604F" w14:textId="09471BB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w:t>
            </w:r>
          </w:p>
        </w:tc>
      </w:tr>
      <w:tr w:rsidR="00372EB0" w:rsidRPr="00AB44E1" w14:paraId="10E30992" w14:textId="77777777" w:rsidTr="0085342E">
        <w:trPr>
          <w:cantSplit/>
        </w:trPr>
        <w:tc>
          <w:tcPr>
            <w:tcW w:w="4500" w:type="dxa"/>
            <w:vAlign w:val="bottom"/>
          </w:tcPr>
          <w:p w14:paraId="35E67CED"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Ethnicity: Not Hispanic or Latino</w:t>
            </w:r>
          </w:p>
        </w:tc>
        <w:tc>
          <w:tcPr>
            <w:tcW w:w="1680" w:type="dxa"/>
            <w:vAlign w:val="center"/>
          </w:tcPr>
          <w:p w14:paraId="66534F43" w14:textId="07FDF90C"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901,208</w:t>
            </w:r>
          </w:p>
        </w:tc>
        <w:tc>
          <w:tcPr>
            <w:tcW w:w="1680" w:type="dxa"/>
            <w:vAlign w:val="center"/>
          </w:tcPr>
          <w:p w14:paraId="25149BE7" w14:textId="3547E720"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91%</w:t>
            </w:r>
          </w:p>
        </w:tc>
        <w:tc>
          <w:tcPr>
            <w:tcW w:w="1680" w:type="dxa"/>
            <w:vAlign w:val="center"/>
          </w:tcPr>
          <w:p w14:paraId="22ADA93D" w14:textId="227A7F15"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995,359</w:t>
            </w:r>
          </w:p>
        </w:tc>
        <w:tc>
          <w:tcPr>
            <w:tcW w:w="1680" w:type="dxa"/>
            <w:vAlign w:val="center"/>
          </w:tcPr>
          <w:p w14:paraId="7B424519" w14:textId="506A14E8"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91%</w:t>
            </w:r>
          </w:p>
        </w:tc>
        <w:tc>
          <w:tcPr>
            <w:tcW w:w="1680" w:type="dxa"/>
            <w:vAlign w:val="center"/>
          </w:tcPr>
          <w:p w14:paraId="3861DC46" w14:textId="10B0DEAD"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1,158,869</w:t>
            </w:r>
          </w:p>
        </w:tc>
        <w:tc>
          <w:tcPr>
            <w:tcW w:w="1680" w:type="dxa"/>
            <w:vAlign w:val="center"/>
          </w:tcPr>
          <w:p w14:paraId="1D4C3D94" w14:textId="6C5B56E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93%</w:t>
            </w:r>
          </w:p>
        </w:tc>
      </w:tr>
      <w:tr w:rsidR="00372EB0" w:rsidRPr="00AB44E1" w14:paraId="53C2713C" w14:textId="77777777" w:rsidTr="0085342E">
        <w:trPr>
          <w:cantSplit/>
        </w:trPr>
        <w:tc>
          <w:tcPr>
            <w:tcW w:w="4500" w:type="dxa"/>
            <w:vAlign w:val="bottom"/>
          </w:tcPr>
          <w:p w14:paraId="70F2DF5B"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Ethnicity: Other</w:t>
            </w:r>
          </w:p>
        </w:tc>
        <w:tc>
          <w:tcPr>
            <w:tcW w:w="1680" w:type="dxa"/>
            <w:vAlign w:val="center"/>
          </w:tcPr>
          <w:p w14:paraId="306FA48A" w14:textId="0720F33F"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24,990</w:t>
            </w:r>
          </w:p>
        </w:tc>
        <w:tc>
          <w:tcPr>
            <w:tcW w:w="1680" w:type="dxa"/>
            <w:vAlign w:val="center"/>
          </w:tcPr>
          <w:p w14:paraId="46080CFC" w14:textId="162074F5"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3%</w:t>
            </w:r>
          </w:p>
        </w:tc>
        <w:tc>
          <w:tcPr>
            <w:tcW w:w="1680" w:type="dxa"/>
            <w:vAlign w:val="center"/>
          </w:tcPr>
          <w:p w14:paraId="3DE70AFF" w14:textId="76338FE6"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20,203</w:t>
            </w:r>
          </w:p>
        </w:tc>
        <w:tc>
          <w:tcPr>
            <w:tcW w:w="1680" w:type="dxa"/>
            <w:vAlign w:val="center"/>
          </w:tcPr>
          <w:p w14:paraId="639D9E3E" w14:textId="332473E6"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2%</w:t>
            </w:r>
          </w:p>
        </w:tc>
        <w:tc>
          <w:tcPr>
            <w:tcW w:w="1680" w:type="dxa"/>
            <w:vAlign w:val="center"/>
          </w:tcPr>
          <w:p w14:paraId="30CCA6E9" w14:textId="187F1673"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&lt;11</w:t>
            </w:r>
          </w:p>
        </w:tc>
        <w:tc>
          <w:tcPr>
            <w:tcW w:w="1680" w:type="dxa"/>
            <w:vAlign w:val="center"/>
          </w:tcPr>
          <w:p w14:paraId="362C122F" w14:textId="5E8CEFB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r>
      <w:tr w:rsidR="00372EB0" w:rsidRPr="00AB44E1" w14:paraId="0181C953" w14:textId="77777777" w:rsidTr="0085342E">
        <w:trPr>
          <w:cantSplit/>
        </w:trPr>
        <w:tc>
          <w:tcPr>
            <w:tcW w:w="4500" w:type="dxa"/>
            <w:vAlign w:val="bottom"/>
          </w:tcPr>
          <w:p w14:paraId="657EF4AB"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Ethnicity: Unknown</w:t>
            </w:r>
          </w:p>
        </w:tc>
        <w:tc>
          <w:tcPr>
            <w:tcW w:w="1680" w:type="dxa"/>
            <w:vAlign w:val="center"/>
          </w:tcPr>
          <w:p w14:paraId="527D3736" w14:textId="5FD58404"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749</w:t>
            </w:r>
          </w:p>
        </w:tc>
        <w:tc>
          <w:tcPr>
            <w:tcW w:w="1680" w:type="dxa"/>
            <w:vAlign w:val="center"/>
          </w:tcPr>
          <w:p w14:paraId="28BBEC75" w14:textId="1D36784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c>
          <w:tcPr>
            <w:tcW w:w="1680" w:type="dxa"/>
            <w:vAlign w:val="center"/>
          </w:tcPr>
          <w:p w14:paraId="4C6B162D" w14:textId="4DB1FC8F"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1,974</w:t>
            </w:r>
          </w:p>
        </w:tc>
        <w:tc>
          <w:tcPr>
            <w:tcW w:w="1680" w:type="dxa"/>
            <w:vAlign w:val="center"/>
          </w:tcPr>
          <w:p w14:paraId="433E95BD" w14:textId="4032EAF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c>
          <w:tcPr>
            <w:tcW w:w="1680" w:type="dxa"/>
            <w:vAlign w:val="center"/>
          </w:tcPr>
          <w:p w14:paraId="530341E2" w14:textId="7C6BF617"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1,205</w:t>
            </w:r>
          </w:p>
        </w:tc>
        <w:tc>
          <w:tcPr>
            <w:tcW w:w="1680" w:type="dxa"/>
            <w:vAlign w:val="center"/>
          </w:tcPr>
          <w:p w14:paraId="3F036D38" w14:textId="54CCC8B0"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r>
      <w:tr w:rsidR="00372EB0" w:rsidRPr="00AB44E1" w14:paraId="60FBEFFA" w14:textId="77777777" w:rsidTr="0085342E">
        <w:trPr>
          <w:cantSplit/>
        </w:trPr>
        <w:tc>
          <w:tcPr>
            <w:tcW w:w="4500" w:type="dxa"/>
            <w:vAlign w:val="bottom"/>
          </w:tcPr>
          <w:p w14:paraId="6B152FAB"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Ethnicity: Patient Declined</w:t>
            </w:r>
          </w:p>
        </w:tc>
        <w:tc>
          <w:tcPr>
            <w:tcW w:w="1680" w:type="dxa"/>
            <w:vAlign w:val="center"/>
          </w:tcPr>
          <w:p w14:paraId="26D2AE02" w14:textId="4F3BFD5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3,728</w:t>
            </w:r>
          </w:p>
        </w:tc>
        <w:tc>
          <w:tcPr>
            <w:tcW w:w="1680" w:type="dxa"/>
            <w:vAlign w:val="center"/>
          </w:tcPr>
          <w:p w14:paraId="7B6A3D8B" w14:textId="4B73315F"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c>
          <w:tcPr>
            <w:tcW w:w="1680" w:type="dxa"/>
            <w:vAlign w:val="center"/>
          </w:tcPr>
          <w:p w14:paraId="35C7EDE4" w14:textId="1D39F4E3"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3,084</w:t>
            </w:r>
          </w:p>
        </w:tc>
        <w:tc>
          <w:tcPr>
            <w:tcW w:w="1680" w:type="dxa"/>
            <w:vAlign w:val="center"/>
          </w:tcPr>
          <w:p w14:paraId="51FE08FC" w14:textId="5374671B"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c>
          <w:tcPr>
            <w:tcW w:w="1680" w:type="dxa"/>
            <w:vAlign w:val="center"/>
          </w:tcPr>
          <w:p w14:paraId="19AB9E7D" w14:textId="33A44AF4"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&lt;11</w:t>
            </w:r>
          </w:p>
        </w:tc>
        <w:tc>
          <w:tcPr>
            <w:tcW w:w="1680" w:type="dxa"/>
            <w:vAlign w:val="center"/>
          </w:tcPr>
          <w:p w14:paraId="67EBED4F" w14:textId="40DC4BC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0%</w:t>
            </w:r>
          </w:p>
        </w:tc>
      </w:tr>
      <w:tr w:rsidR="00372EB0" w:rsidRPr="00AB44E1" w14:paraId="7793727F" w14:textId="77777777" w:rsidTr="0085342E">
        <w:trPr>
          <w:cantSplit/>
        </w:trPr>
        <w:tc>
          <w:tcPr>
            <w:tcW w:w="4500" w:type="dxa"/>
            <w:vAlign w:val="bottom"/>
          </w:tcPr>
          <w:p w14:paraId="3C322276"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Payer: Commercial</w:t>
            </w:r>
          </w:p>
        </w:tc>
        <w:tc>
          <w:tcPr>
            <w:tcW w:w="1680" w:type="dxa"/>
            <w:vAlign w:val="center"/>
          </w:tcPr>
          <w:p w14:paraId="6A60DE22" w14:textId="5E54FD85"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480,609</w:t>
            </w:r>
          </w:p>
        </w:tc>
        <w:tc>
          <w:tcPr>
            <w:tcW w:w="1680" w:type="dxa"/>
            <w:vAlign w:val="center"/>
          </w:tcPr>
          <w:p w14:paraId="2136B351" w14:textId="7D8EAF6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48%</w:t>
            </w:r>
          </w:p>
        </w:tc>
        <w:tc>
          <w:tcPr>
            <w:tcW w:w="1680" w:type="dxa"/>
            <w:vAlign w:val="center"/>
          </w:tcPr>
          <w:p w14:paraId="4A89F2A8" w14:textId="65ED002D"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529,840</w:t>
            </w:r>
          </w:p>
        </w:tc>
        <w:tc>
          <w:tcPr>
            <w:tcW w:w="1680" w:type="dxa"/>
            <w:vAlign w:val="center"/>
          </w:tcPr>
          <w:p w14:paraId="292EF4C5" w14:textId="502CA9D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48%</w:t>
            </w:r>
          </w:p>
        </w:tc>
        <w:tc>
          <w:tcPr>
            <w:tcW w:w="1680" w:type="dxa"/>
            <w:vAlign w:val="center"/>
          </w:tcPr>
          <w:p w14:paraId="0970E5F6" w14:textId="5C7D9C96"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622,147</w:t>
            </w:r>
          </w:p>
        </w:tc>
        <w:tc>
          <w:tcPr>
            <w:tcW w:w="1680" w:type="dxa"/>
            <w:vAlign w:val="center"/>
          </w:tcPr>
          <w:p w14:paraId="4B32D147" w14:textId="59ED18C2"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50%</w:t>
            </w:r>
          </w:p>
        </w:tc>
      </w:tr>
      <w:tr w:rsidR="00372EB0" w:rsidRPr="00AB44E1" w14:paraId="6A24F663" w14:textId="77777777" w:rsidTr="0085342E">
        <w:trPr>
          <w:cantSplit/>
        </w:trPr>
        <w:tc>
          <w:tcPr>
            <w:tcW w:w="4500" w:type="dxa"/>
            <w:vAlign w:val="bottom"/>
          </w:tcPr>
          <w:p w14:paraId="6E9C6CF1"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Payer: Medicare</w:t>
            </w:r>
          </w:p>
        </w:tc>
        <w:tc>
          <w:tcPr>
            <w:tcW w:w="1680" w:type="dxa"/>
            <w:vAlign w:val="center"/>
          </w:tcPr>
          <w:p w14:paraId="020C4EAB" w14:textId="77DBA463"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190,394</w:t>
            </w:r>
          </w:p>
        </w:tc>
        <w:tc>
          <w:tcPr>
            <w:tcW w:w="1680" w:type="dxa"/>
            <w:vAlign w:val="center"/>
          </w:tcPr>
          <w:p w14:paraId="2D32A600" w14:textId="403E68F8"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19%</w:t>
            </w:r>
          </w:p>
        </w:tc>
        <w:tc>
          <w:tcPr>
            <w:tcW w:w="1680" w:type="dxa"/>
            <w:vAlign w:val="center"/>
          </w:tcPr>
          <w:p w14:paraId="0B172A78" w14:textId="354DC770"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210,334</w:t>
            </w:r>
          </w:p>
        </w:tc>
        <w:tc>
          <w:tcPr>
            <w:tcW w:w="1680" w:type="dxa"/>
            <w:vAlign w:val="center"/>
          </w:tcPr>
          <w:p w14:paraId="12C4E742" w14:textId="03E8E942"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19%</w:t>
            </w:r>
          </w:p>
        </w:tc>
        <w:tc>
          <w:tcPr>
            <w:tcW w:w="1680" w:type="dxa"/>
            <w:vAlign w:val="center"/>
          </w:tcPr>
          <w:p w14:paraId="26E88228" w14:textId="19494D17"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238,059</w:t>
            </w:r>
          </w:p>
        </w:tc>
        <w:tc>
          <w:tcPr>
            <w:tcW w:w="1680" w:type="dxa"/>
            <w:vAlign w:val="center"/>
          </w:tcPr>
          <w:p w14:paraId="40D5EE54" w14:textId="2C1F231B"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19%</w:t>
            </w:r>
          </w:p>
        </w:tc>
      </w:tr>
      <w:tr w:rsidR="00372EB0" w:rsidRPr="00AB44E1" w14:paraId="6EF10BB1" w14:textId="77777777" w:rsidTr="0085342E">
        <w:trPr>
          <w:cantSplit/>
        </w:trPr>
        <w:tc>
          <w:tcPr>
            <w:tcW w:w="4500" w:type="dxa"/>
            <w:vAlign w:val="bottom"/>
          </w:tcPr>
          <w:p w14:paraId="46E39AC8" w14:textId="0345C955" w:rsidR="00372EB0" w:rsidRPr="00AB44E1" w:rsidRDefault="00372EB0" w:rsidP="00372EB0">
            <w:pPr>
              <w:suppressAutoHyphens w:val="0"/>
              <w:spacing w:line="256" w:lineRule="auto"/>
              <w:rPr>
                <w:rFonts w:asciiTheme="minorHAnsi" w:hAnsiTheme="minorHAnsi" w:cs="Calibri"/>
                <w:color w:val="000000"/>
                <w:sz w:val="20"/>
                <w:szCs w:val="20"/>
              </w:rPr>
            </w:pPr>
            <w:r w:rsidRPr="00AB44E1">
              <w:rPr>
                <w:rFonts w:asciiTheme="minorHAnsi" w:hAnsiTheme="minorHAnsi" w:cs="Calibri"/>
                <w:color w:val="000000"/>
                <w:sz w:val="20"/>
                <w:szCs w:val="20"/>
              </w:rPr>
              <w:t>Payer: Medicare</w:t>
            </w:r>
            <w:r>
              <w:rPr>
                <w:rFonts w:asciiTheme="minorHAnsi" w:hAnsiTheme="minorHAnsi" w:cs="Calibri"/>
                <w:color w:val="000000"/>
                <w:sz w:val="20"/>
                <w:szCs w:val="20"/>
              </w:rPr>
              <w:t xml:space="preserve"> Managed Care</w:t>
            </w:r>
          </w:p>
        </w:tc>
        <w:tc>
          <w:tcPr>
            <w:tcW w:w="1680" w:type="dxa"/>
            <w:vAlign w:val="center"/>
          </w:tcPr>
          <w:p w14:paraId="24B5C2DA" w14:textId="41927BAE" w:rsidR="00372EB0" w:rsidRPr="00175FA9" w:rsidRDefault="00372EB0" w:rsidP="00372EB0">
            <w:pPr>
              <w:suppressAutoHyphens w:val="0"/>
              <w:spacing w:line="256" w:lineRule="auto"/>
              <w:jc w:val="center"/>
              <w:rPr>
                <w:rFonts w:asciiTheme="minorHAnsi" w:hAnsiTheme="minorHAnsi" w:cs="Calibri"/>
                <w:color w:val="000000"/>
                <w:sz w:val="20"/>
                <w:szCs w:val="20"/>
              </w:rPr>
            </w:pPr>
            <w:r>
              <w:rPr>
                <w:color w:val="000000"/>
                <w:sz w:val="20"/>
                <w:szCs w:val="20"/>
              </w:rPr>
              <w:t>119,336</w:t>
            </w:r>
          </w:p>
        </w:tc>
        <w:tc>
          <w:tcPr>
            <w:tcW w:w="1680" w:type="dxa"/>
            <w:vAlign w:val="center"/>
          </w:tcPr>
          <w:p w14:paraId="6C00E7A8" w14:textId="2B9F96E2" w:rsidR="00372EB0" w:rsidRPr="00175FA9" w:rsidRDefault="00372EB0" w:rsidP="00372EB0">
            <w:pPr>
              <w:suppressAutoHyphens w:val="0"/>
              <w:spacing w:line="256" w:lineRule="auto"/>
              <w:jc w:val="center"/>
              <w:rPr>
                <w:rFonts w:asciiTheme="minorHAnsi" w:hAnsiTheme="minorHAnsi" w:cs="Calibri"/>
                <w:color w:val="000000"/>
                <w:sz w:val="20"/>
                <w:szCs w:val="20"/>
              </w:rPr>
            </w:pPr>
            <w:r>
              <w:rPr>
                <w:color w:val="000000"/>
                <w:sz w:val="20"/>
                <w:szCs w:val="20"/>
              </w:rPr>
              <w:t>12%</w:t>
            </w:r>
          </w:p>
        </w:tc>
        <w:tc>
          <w:tcPr>
            <w:tcW w:w="1680" w:type="dxa"/>
            <w:vAlign w:val="center"/>
          </w:tcPr>
          <w:p w14:paraId="79C3F64A" w14:textId="246C1952"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122,456</w:t>
            </w:r>
          </w:p>
        </w:tc>
        <w:tc>
          <w:tcPr>
            <w:tcW w:w="1680" w:type="dxa"/>
            <w:vAlign w:val="center"/>
          </w:tcPr>
          <w:p w14:paraId="6DCC6233" w14:textId="621421A0"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11%</w:t>
            </w:r>
          </w:p>
        </w:tc>
        <w:tc>
          <w:tcPr>
            <w:tcW w:w="1680" w:type="dxa"/>
            <w:vAlign w:val="center"/>
          </w:tcPr>
          <w:p w14:paraId="54E03F54" w14:textId="395AD1DD"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126,164</w:t>
            </w:r>
          </w:p>
        </w:tc>
        <w:tc>
          <w:tcPr>
            <w:tcW w:w="1680" w:type="dxa"/>
            <w:vAlign w:val="center"/>
          </w:tcPr>
          <w:p w14:paraId="39EA5CA5" w14:textId="6C31E3D9"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10%</w:t>
            </w:r>
          </w:p>
        </w:tc>
      </w:tr>
      <w:tr w:rsidR="00372EB0" w:rsidRPr="00AB44E1" w14:paraId="49EA6443" w14:textId="77777777" w:rsidTr="0085342E">
        <w:trPr>
          <w:cantSplit/>
        </w:trPr>
        <w:tc>
          <w:tcPr>
            <w:tcW w:w="4500" w:type="dxa"/>
            <w:vAlign w:val="bottom"/>
          </w:tcPr>
          <w:p w14:paraId="270D270E"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Payer: Medicaid</w:t>
            </w:r>
          </w:p>
        </w:tc>
        <w:tc>
          <w:tcPr>
            <w:tcW w:w="1680" w:type="dxa"/>
            <w:vAlign w:val="center"/>
          </w:tcPr>
          <w:p w14:paraId="3EA01DED" w14:textId="50FEF07F"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82,491</w:t>
            </w:r>
          </w:p>
        </w:tc>
        <w:tc>
          <w:tcPr>
            <w:tcW w:w="1680" w:type="dxa"/>
            <w:vAlign w:val="center"/>
          </w:tcPr>
          <w:p w14:paraId="1FA8DEC6" w14:textId="5F5D0AE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8%</w:t>
            </w:r>
          </w:p>
        </w:tc>
        <w:tc>
          <w:tcPr>
            <w:tcW w:w="1680" w:type="dxa"/>
            <w:vAlign w:val="center"/>
          </w:tcPr>
          <w:p w14:paraId="2C7704F5" w14:textId="0F7941A7"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98,845</w:t>
            </w:r>
          </w:p>
        </w:tc>
        <w:tc>
          <w:tcPr>
            <w:tcW w:w="1680" w:type="dxa"/>
            <w:vAlign w:val="center"/>
          </w:tcPr>
          <w:p w14:paraId="6D05F93A" w14:textId="39D85A7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w:t>
            </w:r>
          </w:p>
        </w:tc>
        <w:tc>
          <w:tcPr>
            <w:tcW w:w="1680" w:type="dxa"/>
            <w:vAlign w:val="center"/>
          </w:tcPr>
          <w:p w14:paraId="19371830" w14:textId="3C12726C"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109,191</w:t>
            </w:r>
          </w:p>
        </w:tc>
        <w:tc>
          <w:tcPr>
            <w:tcW w:w="1680" w:type="dxa"/>
            <w:vAlign w:val="center"/>
          </w:tcPr>
          <w:p w14:paraId="71A7B57D" w14:textId="2ABC7D1E"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9%</w:t>
            </w:r>
          </w:p>
        </w:tc>
      </w:tr>
      <w:tr w:rsidR="00372EB0" w:rsidRPr="00AB44E1" w14:paraId="66FC5897" w14:textId="77777777" w:rsidTr="0085342E">
        <w:trPr>
          <w:cantSplit/>
        </w:trPr>
        <w:tc>
          <w:tcPr>
            <w:tcW w:w="4500" w:type="dxa"/>
            <w:vAlign w:val="bottom"/>
          </w:tcPr>
          <w:p w14:paraId="12DA170A" w14:textId="13A14AE6" w:rsidR="00372EB0" w:rsidRPr="00AB44E1" w:rsidRDefault="00372EB0" w:rsidP="00372EB0">
            <w:pPr>
              <w:suppressAutoHyphens w:val="0"/>
              <w:spacing w:line="256" w:lineRule="auto"/>
              <w:rPr>
                <w:rFonts w:asciiTheme="minorHAnsi" w:hAnsiTheme="minorHAnsi" w:cs="Calibri"/>
                <w:color w:val="000000"/>
                <w:sz w:val="20"/>
                <w:szCs w:val="20"/>
              </w:rPr>
            </w:pPr>
            <w:r w:rsidRPr="00AB44E1">
              <w:rPr>
                <w:rFonts w:asciiTheme="minorHAnsi" w:hAnsiTheme="minorHAnsi" w:cs="Calibri"/>
                <w:color w:val="000000"/>
                <w:sz w:val="20"/>
                <w:szCs w:val="20"/>
              </w:rPr>
              <w:t xml:space="preserve">Payer: </w:t>
            </w:r>
            <w:r>
              <w:rPr>
                <w:rFonts w:asciiTheme="minorHAnsi" w:hAnsiTheme="minorHAnsi" w:cs="Calibri"/>
                <w:color w:val="000000"/>
                <w:sz w:val="20"/>
                <w:szCs w:val="20"/>
              </w:rPr>
              <w:t>Medicaid Managed Care</w:t>
            </w:r>
          </w:p>
        </w:tc>
        <w:tc>
          <w:tcPr>
            <w:tcW w:w="1680" w:type="dxa"/>
            <w:vAlign w:val="center"/>
          </w:tcPr>
          <w:p w14:paraId="53B287E3" w14:textId="1C18A03F" w:rsidR="00372EB0" w:rsidRPr="00175FA9" w:rsidRDefault="00372EB0" w:rsidP="00372EB0">
            <w:pPr>
              <w:suppressAutoHyphens w:val="0"/>
              <w:spacing w:line="256" w:lineRule="auto"/>
              <w:jc w:val="center"/>
              <w:rPr>
                <w:rFonts w:asciiTheme="minorHAnsi" w:hAnsiTheme="minorHAnsi" w:cs="Calibri"/>
                <w:color w:val="000000"/>
                <w:sz w:val="20"/>
                <w:szCs w:val="20"/>
              </w:rPr>
            </w:pPr>
            <w:r>
              <w:rPr>
                <w:color w:val="000000"/>
                <w:sz w:val="20"/>
                <w:szCs w:val="20"/>
              </w:rPr>
              <w:t>73,848</w:t>
            </w:r>
          </w:p>
        </w:tc>
        <w:tc>
          <w:tcPr>
            <w:tcW w:w="1680" w:type="dxa"/>
            <w:vAlign w:val="center"/>
          </w:tcPr>
          <w:p w14:paraId="03140495" w14:textId="77C85B23" w:rsidR="00372EB0" w:rsidRPr="00175FA9" w:rsidRDefault="00372EB0" w:rsidP="00372EB0">
            <w:pPr>
              <w:suppressAutoHyphens w:val="0"/>
              <w:spacing w:line="256" w:lineRule="auto"/>
              <w:jc w:val="center"/>
              <w:rPr>
                <w:rFonts w:asciiTheme="minorHAnsi" w:hAnsiTheme="minorHAnsi" w:cs="Calibri"/>
                <w:color w:val="000000"/>
                <w:sz w:val="20"/>
                <w:szCs w:val="20"/>
              </w:rPr>
            </w:pPr>
            <w:r>
              <w:rPr>
                <w:color w:val="000000"/>
                <w:sz w:val="20"/>
                <w:szCs w:val="20"/>
              </w:rPr>
              <w:t>7%</w:t>
            </w:r>
          </w:p>
        </w:tc>
        <w:tc>
          <w:tcPr>
            <w:tcW w:w="1680" w:type="dxa"/>
            <w:vAlign w:val="center"/>
          </w:tcPr>
          <w:p w14:paraId="320077EF" w14:textId="5C5D4E24"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73,507</w:t>
            </w:r>
          </w:p>
        </w:tc>
        <w:tc>
          <w:tcPr>
            <w:tcW w:w="1680" w:type="dxa"/>
            <w:vAlign w:val="center"/>
          </w:tcPr>
          <w:p w14:paraId="5705E152" w14:textId="028BA1CF"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w:t>
            </w:r>
          </w:p>
        </w:tc>
        <w:tc>
          <w:tcPr>
            <w:tcW w:w="1680" w:type="dxa"/>
            <w:vAlign w:val="center"/>
          </w:tcPr>
          <w:p w14:paraId="17A1DAF0" w14:textId="41CB36CD"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77,624</w:t>
            </w:r>
          </w:p>
        </w:tc>
        <w:tc>
          <w:tcPr>
            <w:tcW w:w="1680" w:type="dxa"/>
            <w:vAlign w:val="center"/>
          </w:tcPr>
          <w:p w14:paraId="3758DBFD" w14:textId="2C021D95"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w:t>
            </w:r>
          </w:p>
        </w:tc>
      </w:tr>
      <w:tr w:rsidR="00372EB0" w:rsidRPr="00AB44E1" w14:paraId="416C38B7" w14:textId="77777777" w:rsidTr="0085342E">
        <w:trPr>
          <w:cantSplit/>
        </w:trPr>
        <w:tc>
          <w:tcPr>
            <w:tcW w:w="4500" w:type="dxa"/>
            <w:vAlign w:val="bottom"/>
          </w:tcPr>
          <w:p w14:paraId="40152EE3" w14:textId="77777777" w:rsidR="00372EB0" w:rsidRPr="00AB44E1" w:rsidRDefault="00372EB0" w:rsidP="00372EB0">
            <w:pPr>
              <w:suppressAutoHyphens w:val="0"/>
              <w:spacing w:line="256" w:lineRule="auto"/>
              <w:rPr>
                <w:rFonts w:asciiTheme="minorHAnsi" w:hAnsiTheme="minorHAnsi" w:cs="Calibri Light"/>
                <w:sz w:val="20"/>
                <w:szCs w:val="20"/>
              </w:rPr>
            </w:pPr>
            <w:r w:rsidRPr="00AB44E1">
              <w:rPr>
                <w:rFonts w:asciiTheme="minorHAnsi" w:hAnsiTheme="minorHAnsi" w:cs="Calibri"/>
                <w:color w:val="000000"/>
                <w:sz w:val="20"/>
                <w:szCs w:val="20"/>
              </w:rPr>
              <w:t>Payer: Other</w:t>
            </w:r>
            <w:r w:rsidRPr="00AB44E1">
              <w:rPr>
                <w:rFonts w:asciiTheme="minorHAnsi" w:hAnsiTheme="minorHAnsi" w:cs="Calibri"/>
                <w:color w:val="000000"/>
                <w:sz w:val="20"/>
                <w:szCs w:val="20"/>
                <w:vertAlign w:val="superscript"/>
              </w:rPr>
              <w:footnoteReference w:id="3"/>
            </w:r>
          </w:p>
        </w:tc>
        <w:tc>
          <w:tcPr>
            <w:tcW w:w="1680" w:type="dxa"/>
            <w:vAlign w:val="center"/>
          </w:tcPr>
          <w:p w14:paraId="07B49E6C" w14:textId="6835B61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48,962</w:t>
            </w:r>
          </w:p>
        </w:tc>
        <w:tc>
          <w:tcPr>
            <w:tcW w:w="1680" w:type="dxa"/>
            <w:vAlign w:val="center"/>
          </w:tcPr>
          <w:p w14:paraId="372E548D" w14:textId="6F969B51"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5%</w:t>
            </w:r>
          </w:p>
        </w:tc>
        <w:tc>
          <w:tcPr>
            <w:tcW w:w="1680" w:type="dxa"/>
            <w:vAlign w:val="center"/>
          </w:tcPr>
          <w:p w14:paraId="076E6B5C" w14:textId="7FD156E7"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62,949</w:t>
            </w:r>
          </w:p>
        </w:tc>
        <w:tc>
          <w:tcPr>
            <w:tcW w:w="1680" w:type="dxa"/>
            <w:vAlign w:val="center"/>
          </w:tcPr>
          <w:p w14:paraId="32195C80" w14:textId="1CFFCC17"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w:t>
            </w:r>
          </w:p>
        </w:tc>
        <w:tc>
          <w:tcPr>
            <w:tcW w:w="1680" w:type="dxa"/>
            <w:vAlign w:val="center"/>
          </w:tcPr>
          <w:p w14:paraId="11FE5732" w14:textId="1C453EB0"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78,179</w:t>
            </w:r>
          </w:p>
        </w:tc>
        <w:tc>
          <w:tcPr>
            <w:tcW w:w="1680" w:type="dxa"/>
            <w:vAlign w:val="center"/>
          </w:tcPr>
          <w:p w14:paraId="6563D195" w14:textId="27829F7C" w:rsidR="00372EB0" w:rsidRPr="00175FA9" w:rsidRDefault="00372EB0" w:rsidP="00372EB0">
            <w:pPr>
              <w:suppressAutoHyphens w:val="0"/>
              <w:spacing w:line="256" w:lineRule="auto"/>
              <w:jc w:val="center"/>
              <w:rPr>
                <w:rFonts w:asciiTheme="minorHAnsi" w:hAnsiTheme="minorHAnsi" w:cs="Calibri Light"/>
                <w:sz w:val="20"/>
                <w:szCs w:val="20"/>
              </w:rPr>
            </w:pPr>
            <w:r>
              <w:rPr>
                <w:color w:val="000000"/>
                <w:sz w:val="20"/>
                <w:szCs w:val="20"/>
              </w:rPr>
              <w:t>6%</w:t>
            </w:r>
          </w:p>
        </w:tc>
      </w:tr>
    </w:tbl>
    <w:p w14:paraId="4B973C21" w14:textId="77777777" w:rsidR="00B8714D" w:rsidRPr="00AB44E1" w:rsidRDefault="00B8714D" w:rsidP="00B8714D">
      <w:pPr>
        <w:suppressAutoHyphens w:val="0"/>
        <w:spacing w:after="240"/>
        <w:rPr>
          <w:rFonts w:ascii="Arial" w:eastAsia="Calibri" w:hAnsi="Arial" w:cs="Arial"/>
          <w:b/>
          <w:bCs/>
          <w:sz w:val="20"/>
          <w:szCs w:val="20"/>
        </w:rPr>
      </w:pPr>
    </w:p>
    <w:p w14:paraId="03EA92BC" w14:textId="77777777" w:rsidR="00B8714D" w:rsidRDefault="00B8714D" w:rsidP="00B8714D">
      <w:pPr>
        <w:suppressAutoHyphens w:val="0"/>
        <w:spacing w:after="240"/>
        <w:jc w:val="both"/>
        <w:rPr>
          <w:rFonts w:asciiTheme="minorHAnsi" w:eastAsia="Verdana" w:hAnsiTheme="minorHAnsi" w:cs="Arial"/>
          <w:b/>
          <w:bCs/>
          <w:sz w:val="22"/>
          <w:szCs w:val="22"/>
          <w:highlight w:val="yellow"/>
        </w:rPr>
        <w:sectPr w:rsidR="00B8714D" w:rsidSect="00B8714D">
          <w:pgSz w:w="15840" w:h="12240" w:orient="landscape"/>
          <w:pgMar w:top="1440" w:right="1440" w:bottom="1440" w:left="1440" w:header="720" w:footer="720" w:gutter="0"/>
          <w:cols w:space="720"/>
          <w:docGrid w:linePitch="360"/>
        </w:sectPr>
      </w:pPr>
    </w:p>
    <w:p w14:paraId="48B91172" w14:textId="77777777" w:rsidR="00B8714D" w:rsidRPr="00AB44E1" w:rsidRDefault="00B8714D" w:rsidP="00B8714D">
      <w:pPr>
        <w:numPr>
          <w:ilvl w:val="0"/>
          <w:numId w:val="5"/>
        </w:numPr>
        <w:suppressAutoHyphens w:val="0"/>
        <w:spacing w:after="240" w:line="257" w:lineRule="auto"/>
        <w:ind w:left="446" w:hanging="446"/>
        <w:jc w:val="both"/>
        <w:rPr>
          <w:rFonts w:asciiTheme="minorHAnsi" w:eastAsia="Calibri" w:hAnsiTheme="minorHAnsi" w:cs="Arial"/>
          <w:sz w:val="22"/>
          <w:szCs w:val="22"/>
          <w:u w:val="single"/>
        </w:rPr>
      </w:pPr>
      <w:r>
        <w:rPr>
          <w:rFonts w:asciiTheme="minorHAnsi" w:eastAsia="Calibri" w:hAnsiTheme="minorHAnsi" w:cs="Arial"/>
          <w:sz w:val="22"/>
          <w:szCs w:val="22"/>
          <w:u w:val="single"/>
        </w:rPr>
        <w:lastRenderedPageBreak/>
        <w:t xml:space="preserve">Winchester Hospital </w:t>
      </w:r>
    </w:p>
    <w:p w14:paraId="7EDF1F06" w14:textId="2069367A" w:rsidR="00B8714D" w:rsidRDefault="00B8714D" w:rsidP="00B8714D">
      <w:pPr>
        <w:suppressAutoHyphens w:val="0"/>
        <w:spacing w:after="240"/>
        <w:ind w:left="450"/>
        <w:contextualSpacing/>
        <w:jc w:val="both"/>
        <w:rPr>
          <w:rFonts w:asciiTheme="minorHAnsi" w:eastAsia="Calibri" w:hAnsiTheme="minorHAnsi" w:cs="Arial"/>
          <w:i/>
          <w:iCs/>
          <w:sz w:val="22"/>
          <w:szCs w:val="22"/>
        </w:rPr>
      </w:pPr>
      <w:r w:rsidRPr="00737C8D">
        <w:rPr>
          <w:rFonts w:asciiTheme="minorHAnsi" w:eastAsia="Calibri" w:hAnsiTheme="minorHAnsi" w:cs="Arial"/>
          <w:i/>
          <w:iCs/>
          <w:sz w:val="22"/>
          <w:szCs w:val="22"/>
        </w:rPr>
        <w:t>Overall Patient P</w:t>
      </w:r>
      <w:r w:rsidR="006867F8">
        <w:rPr>
          <w:rFonts w:asciiTheme="minorHAnsi" w:eastAsia="Calibri" w:hAnsiTheme="minorHAnsi" w:cs="Arial"/>
          <w:i/>
          <w:iCs/>
          <w:sz w:val="22"/>
          <w:szCs w:val="22"/>
        </w:rPr>
        <w:t>opulation</w:t>
      </w:r>
    </w:p>
    <w:p w14:paraId="50B61680" w14:textId="77777777" w:rsidR="00B8714D" w:rsidRPr="00737C8D" w:rsidRDefault="00B8714D" w:rsidP="00B8714D">
      <w:pPr>
        <w:suppressAutoHyphens w:val="0"/>
        <w:spacing w:after="240"/>
        <w:ind w:left="450"/>
        <w:contextualSpacing/>
        <w:jc w:val="both"/>
        <w:rPr>
          <w:rFonts w:asciiTheme="minorHAnsi" w:eastAsia="Calibri" w:hAnsiTheme="minorHAnsi" w:cs="Arial"/>
          <w:i/>
          <w:iCs/>
          <w:sz w:val="22"/>
          <w:szCs w:val="22"/>
        </w:rPr>
      </w:pPr>
    </w:p>
    <w:p w14:paraId="748A06F0" w14:textId="323B75ED" w:rsidR="00B8714D" w:rsidRDefault="00B8714D" w:rsidP="00B8714D">
      <w:pPr>
        <w:suppressAutoHyphens w:val="0"/>
        <w:spacing w:after="240"/>
        <w:jc w:val="both"/>
        <w:rPr>
          <w:rFonts w:asciiTheme="minorHAnsi" w:eastAsia="Calibri" w:hAnsiTheme="minorHAnsi" w:cs="Arial"/>
          <w:sz w:val="22"/>
          <w:szCs w:val="22"/>
        </w:rPr>
      </w:pPr>
      <w:r w:rsidRPr="00737C8D">
        <w:rPr>
          <w:rFonts w:asciiTheme="minorHAnsi" w:eastAsia="Calibri" w:hAnsiTheme="minorHAnsi" w:cs="Arial"/>
          <w:sz w:val="22"/>
          <w:szCs w:val="22"/>
        </w:rPr>
        <w:t>In FY25, Winchester</w:t>
      </w:r>
      <w:r w:rsidR="006867F8">
        <w:rPr>
          <w:rFonts w:asciiTheme="minorHAnsi" w:eastAsia="Calibri" w:hAnsiTheme="minorHAnsi" w:cs="Arial"/>
          <w:sz w:val="22"/>
          <w:szCs w:val="22"/>
        </w:rPr>
        <w:t xml:space="preserve"> Hospital</w:t>
      </w:r>
      <w:r w:rsidRPr="00737C8D">
        <w:rPr>
          <w:rFonts w:asciiTheme="minorHAnsi" w:eastAsia="Calibri" w:hAnsiTheme="minorHAnsi" w:cs="Arial"/>
          <w:sz w:val="22"/>
          <w:szCs w:val="22"/>
        </w:rPr>
        <w:t xml:space="preserve">’s overall patient </w:t>
      </w:r>
      <w:r w:rsidR="006867F8">
        <w:rPr>
          <w:rFonts w:asciiTheme="minorHAnsi" w:eastAsia="Calibri" w:hAnsiTheme="minorHAnsi" w:cs="Arial"/>
          <w:sz w:val="22"/>
          <w:szCs w:val="22"/>
        </w:rPr>
        <w:t>population</w:t>
      </w:r>
      <w:r w:rsidRPr="00737C8D">
        <w:rPr>
          <w:rFonts w:asciiTheme="minorHAnsi" w:eastAsia="Calibri" w:hAnsiTheme="minorHAnsi" w:cs="Arial"/>
          <w:sz w:val="22"/>
          <w:szCs w:val="22"/>
        </w:rPr>
        <w:t xml:space="preserve"> included </w:t>
      </w:r>
      <w:r w:rsidR="009D5D5B">
        <w:rPr>
          <w:rFonts w:asciiTheme="minorHAnsi" w:eastAsia="Calibri" w:hAnsiTheme="minorHAnsi" w:cs="Arial"/>
          <w:sz w:val="22"/>
          <w:szCs w:val="22"/>
        </w:rPr>
        <w:t>163</w:t>
      </w:r>
      <w:r w:rsidRPr="00737C8D">
        <w:rPr>
          <w:rFonts w:asciiTheme="minorHAnsi" w:eastAsia="Calibri" w:hAnsiTheme="minorHAnsi" w:cs="Arial"/>
          <w:sz w:val="22"/>
          <w:szCs w:val="22"/>
        </w:rPr>
        <w:t>,</w:t>
      </w:r>
      <w:r w:rsidR="009D5D5B">
        <w:rPr>
          <w:rFonts w:asciiTheme="minorHAnsi" w:eastAsia="Calibri" w:hAnsiTheme="minorHAnsi" w:cs="Arial"/>
          <w:sz w:val="22"/>
          <w:szCs w:val="22"/>
        </w:rPr>
        <w:t>740</w:t>
      </w:r>
      <w:r w:rsidRPr="00737C8D">
        <w:rPr>
          <w:rFonts w:asciiTheme="minorHAnsi" w:eastAsia="Calibri" w:hAnsiTheme="minorHAnsi" w:cs="Arial"/>
          <w:sz w:val="22"/>
          <w:szCs w:val="22"/>
        </w:rPr>
        <w:t xml:space="preserve"> unique patients. Patients aged 18-64 were the largest patient cohort, making up</w:t>
      </w:r>
      <w:r w:rsidR="009D5D5B">
        <w:rPr>
          <w:rFonts w:asciiTheme="minorHAnsi" w:eastAsia="Calibri" w:hAnsiTheme="minorHAnsi" w:cs="Arial"/>
          <w:sz w:val="22"/>
          <w:szCs w:val="22"/>
        </w:rPr>
        <w:t xml:space="preserve"> </w:t>
      </w:r>
      <w:r w:rsidRPr="00737C8D">
        <w:rPr>
          <w:rFonts w:asciiTheme="minorHAnsi" w:eastAsia="Calibri" w:hAnsiTheme="minorHAnsi" w:cs="Arial"/>
          <w:sz w:val="22"/>
          <w:szCs w:val="22"/>
        </w:rPr>
        <w:t>58% of unique patients. An additional 2</w:t>
      </w:r>
      <w:r w:rsidR="009D5D5B">
        <w:rPr>
          <w:rFonts w:asciiTheme="minorHAnsi" w:eastAsia="Calibri" w:hAnsiTheme="minorHAnsi" w:cs="Arial"/>
          <w:sz w:val="22"/>
          <w:szCs w:val="22"/>
        </w:rPr>
        <w:t>8</w:t>
      </w:r>
      <w:r w:rsidRPr="00737C8D">
        <w:rPr>
          <w:rFonts w:asciiTheme="minorHAnsi" w:eastAsia="Calibri" w:hAnsiTheme="minorHAnsi" w:cs="Arial"/>
          <w:sz w:val="22"/>
          <w:szCs w:val="22"/>
        </w:rPr>
        <w:t xml:space="preserve">% of patients were aged 65 and </w:t>
      </w:r>
      <w:r w:rsidR="00F80026">
        <w:rPr>
          <w:rFonts w:asciiTheme="minorHAnsi" w:eastAsia="Calibri" w:hAnsiTheme="minorHAnsi" w:cs="Arial"/>
          <w:sz w:val="22"/>
          <w:szCs w:val="22"/>
        </w:rPr>
        <w:t>older</w:t>
      </w:r>
      <w:r w:rsidRPr="00737C8D">
        <w:rPr>
          <w:rFonts w:asciiTheme="minorHAnsi" w:eastAsia="Calibri" w:hAnsiTheme="minorHAnsi" w:cs="Arial"/>
          <w:sz w:val="22"/>
          <w:szCs w:val="22"/>
        </w:rPr>
        <w:t>.</w:t>
      </w:r>
      <w:r w:rsidR="009D5D5B">
        <w:rPr>
          <w:rFonts w:asciiTheme="minorHAnsi" w:eastAsia="Calibri" w:hAnsiTheme="minorHAnsi" w:cs="Arial"/>
          <w:sz w:val="22"/>
          <w:szCs w:val="22"/>
        </w:rPr>
        <w:t xml:space="preserve"> Approximately</w:t>
      </w:r>
      <w:r w:rsidRPr="00737C8D">
        <w:rPr>
          <w:rFonts w:asciiTheme="minorHAnsi" w:eastAsia="Calibri" w:hAnsiTheme="minorHAnsi" w:cs="Arial"/>
          <w:sz w:val="22"/>
          <w:szCs w:val="22"/>
        </w:rPr>
        <w:t xml:space="preserve"> 5</w:t>
      </w:r>
      <w:r w:rsidR="009D5D5B">
        <w:rPr>
          <w:rFonts w:asciiTheme="minorHAnsi" w:eastAsia="Calibri" w:hAnsiTheme="minorHAnsi" w:cs="Arial"/>
          <w:sz w:val="22"/>
          <w:szCs w:val="22"/>
        </w:rPr>
        <w:t>8</w:t>
      </w:r>
      <w:r w:rsidRPr="00737C8D">
        <w:rPr>
          <w:rFonts w:asciiTheme="minorHAnsi" w:eastAsia="Calibri" w:hAnsiTheme="minorHAnsi" w:cs="Arial"/>
          <w:sz w:val="22"/>
          <w:szCs w:val="22"/>
        </w:rPr>
        <w:t>% of patients were female, compared to 4</w:t>
      </w:r>
      <w:r w:rsidR="009D5D5B">
        <w:rPr>
          <w:rFonts w:asciiTheme="minorHAnsi" w:eastAsia="Calibri" w:hAnsiTheme="minorHAnsi" w:cs="Arial"/>
          <w:sz w:val="22"/>
          <w:szCs w:val="22"/>
        </w:rPr>
        <w:t>2</w:t>
      </w:r>
      <w:r w:rsidRPr="00737C8D">
        <w:rPr>
          <w:rFonts w:asciiTheme="minorHAnsi" w:eastAsia="Calibri" w:hAnsiTheme="minorHAnsi" w:cs="Arial"/>
          <w:sz w:val="22"/>
          <w:szCs w:val="22"/>
        </w:rPr>
        <w:t>% male</w:t>
      </w:r>
      <w:r w:rsidR="00F8637E">
        <w:rPr>
          <w:rFonts w:asciiTheme="minorHAnsi" w:eastAsia="Calibri" w:hAnsiTheme="minorHAnsi" w:cs="Arial"/>
          <w:sz w:val="22"/>
          <w:szCs w:val="22"/>
        </w:rPr>
        <w:t xml:space="preserve"> in FY25</w:t>
      </w:r>
      <w:r w:rsidRPr="00737C8D">
        <w:rPr>
          <w:rFonts w:asciiTheme="minorHAnsi" w:eastAsia="Calibri" w:hAnsiTheme="minorHAnsi" w:cs="Arial"/>
          <w:sz w:val="22"/>
          <w:szCs w:val="22"/>
        </w:rPr>
        <w:t xml:space="preserve">. </w:t>
      </w:r>
      <w:r w:rsidR="00F80026">
        <w:rPr>
          <w:rFonts w:asciiTheme="minorHAnsi" w:eastAsia="Calibri" w:hAnsiTheme="minorHAnsi" w:cs="Arial"/>
          <w:sz w:val="22"/>
          <w:szCs w:val="22"/>
        </w:rPr>
        <w:t xml:space="preserve">In FY25, </w:t>
      </w:r>
      <w:r w:rsidRPr="00737C8D">
        <w:rPr>
          <w:rFonts w:asciiTheme="minorHAnsi" w:eastAsia="Calibri" w:hAnsiTheme="minorHAnsi" w:cs="Arial"/>
          <w:sz w:val="22"/>
          <w:szCs w:val="22"/>
        </w:rPr>
        <w:t>8</w:t>
      </w:r>
      <w:r w:rsidR="009D5D5B">
        <w:rPr>
          <w:rFonts w:asciiTheme="minorHAnsi" w:eastAsia="Calibri" w:hAnsiTheme="minorHAnsi" w:cs="Arial"/>
          <w:sz w:val="22"/>
          <w:szCs w:val="22"/>
        </w:rPr>
        <w:t>5</w:t>
      </w:r>
      <w:r w:rsidRPr="00737C8D">
        <w:rPr>
          <w:rFonts w:asciiTheme="minorHAnsi" w:eastAsia="Calibri" w:hAnsiTheme="minorHAnsi" w:cs="Arial"/>
          <w:sz w:val="22"/>
          <w:szCs w:val="22"/>
        </w:rPr>
        <w:t xml:space="preserve">% of </w:t>
      </w:r>
      <w:r w:rsidR="00F8637E">
        <w:rPr>
          <w:rFonts w:asciiTheme="minorHAnsi" w:eastAsia="Calibri" w:hAnsiTheme="minorHAnsi" w:cs="Arial"/>
          <w:sz w:val="22"/>
          <w:szCs w:val="22"/>
        </w:rPr>
        <w:t xml:space="preserve">the Hospital’s </w:t>
      </w:r>
      <w:r w:rsidRPr="00737C8D">
        <w:rPr>
          <w:rFonts w:asciiTheme="minorHAnsi" w:eastAsia="Calibri" w:hAnsiTheme="minorHAnsi" w:cs="Arial"/>
          <w:sz w:val="22"/>
          <w:szCs w:val="22"/>
        </w:rPr>
        <w:t>patients</w:t>
      </w:r>
      <w:r w:rsidR="00F8637E">
        <w:rPr>
          <w:rFonts w:asciiTheme="minorHAnsi" w:eastAsia="Calibri" w:hAnsiTheme="minorHAnsi" w:cs="Arial"/>
          <w:sz w:val="22"/>
          <w:szCs w:val="22"/>
        </w:rPr>
        <w:t xml:space="preserve"> </w:t>
      </w:r>
      <w:r w:rsidRPr="00737C8D">
        <w:rPr>
          <w:rFonts w:asciiTheme="minorHAnsi" w:eastAsia="Calibri" w:hAnsiTheme="minorHAnsi" w:cs="Arial"/>
          <w:sz w:val="22"/>
          <w:szCs w:val="22"/>
        </w:rPr>
        <w:t xml:space="preserve">self-identified as White, 3% of patients </w:t>
      </w:r>
      <w:r w:rsidR="00F80026">
        <w:rPr>
          <w:rFonts w:asciiTheme="minorHAnsi" w:eastAsia="Calibri" w:hAnsiTheme="minorHAnsi" w:cs="Arial"/>
          <w:sz w:val="22"/>
          <w:szCs w:val="22"/>
        </w:rPr>
        <w:t>self-</w:t>
      </w:r>
      <w:r w:rsidRPr="00737C8D">
        <w:rPr>
          <w:rFonts w:asciiTheme="minorHAnsi" w:eastAsia="Calibri" w:hAnsiTheme="minorHAnsi" w:cs="Arial"/>
          <w:sz w:val="22"/>
          <w:szCs w:val="22"/>
        </w:rPr>
        <w:t xml:space="preserve">identified as Black/African American and 6% </w:t>
      </w:r>
      <w:r w:rsidR="00F80026">
        <w:rPr>
          <w:rFonts w:asciiTheme="minorHAnsi" w:eastAsia="Calibri" w:hAnsiTheme="minorHAnsi" w:cs="Arial"/>
          <w:sz w:val="22"/>
          <w:szCs w:val="22"/>
        </w:rPr>
        <w:t xml:space="preserve">of patients self-identified </w:t>
      </w:r>
      <w:r w:rsidRPr="00737C8D">
        <w:rPr>
          <w:rFonts w:asciiTheme="minorHAnsi" w:eastAsia="Calibri" w:hAnsiTheme="minorHAnsi" w:cs="Arial"/>
          <w:sz w:val="22"/>
          <w:szCs w:val="22"/>
        </w:rPr>
        <w:t xml:space="preserve">as Asian. </w:t>
      </w:r>
      <w:r w:rsidR="00F8637E">
        <w:rPr>
          <w:rFonts w:asciiTheme="minorHAnsi" w:eastAsia="Calibri" w:hAnsiTheme="minorHAnsi" w:cs="Arial"/>
          <w:sz w:val="22"/>
          <w:szCs w:val="22"/>
        </w:rPr>
        <w:t>Lastly, a</w:t>
      </w:r>
      <w:r w:rsidRPr="00737C8D">
        <w:rPr>
          <w:rFonts w:asciiTheme="minorHAnsi" w:eastAsia="Calibri" w:hAnsiTheme="minorHAnsi" w:cs="Arial"/>
          <w:sz w:val="22"/>
          <w:szCs w:val="22"/>
        </w:rPr>
        <w:t>pproximately 6</w:t>
      </w:r>
      <w:r w:rsidR="009D5D5B">
        <w:rPr>
          <w:rFonts w:asciiTheme="minorHAnsi" w:eastAsia="Calibri" w:hAnsiTheme="minorHAnsi" w:cs="Arial"/>
          <w:sz w:val="22"/>
          <w:szCs w:val="22"/>
        </w:rPr>
        <w:t>2</w:t>
      </w:r>
      <w:r w:rsidRPr="00737C8D">
        <w:rPr>
          <w:rFonts w:asciiTheme="minorHAnsi" w:eastAsia="Calibri" w:hAnsiTheme="minorHAnsi" w:cs="Arial"/>
          <w:sz w:val="22"/>
          <w:szCs w:val="22"/>
        </w:rPr>
        <w:t>% of patients were covered by a commercial insurance plan</w:t>
      </w:r>
      <w:r w:rsidR="00F8637E">
        <w:rPr>
          <w:rFonts w:asciiTheme="minorHAnsi" w:eastAsia="Calibri" w:hAnsiTheme="minorHAnsi" w:cs="Arial"/>
          <w:sz w:val="22"/>
          <w:szCs w:val="22"/>
        </w:rPr>
        <w:t xml:space="preserve"> in FY25</w:t>
      </w:r>
      <w:r w:rsidRPr="00737C8D">
        <w:rPr>
          <w:rFonts w:asciiTheme="minorHAnsi" w:eastAsia="Calibri" w:hAnsiTheme="minorHAnsi" w:cs="Arial"/>
          <w:sz w:val="22"/>
          <w:szCs w:val="22"/>
        </w:rPr>
        <w:t>, compared to 2</w:t>
      </w:r>
      <w:r w:rsidR="009D5D5B">
        <w:rPr>
          <w:rFonts w:asciiTheme="minorHAnsi" w:eastAsia="Calibri" w:hAnsiTheme="minorHAnsi" w:cs="Arial"/>
          <w:sz w:val="22"/>
          <w:szCs w:val="22"/>
        </w:rPr>
        <w:t>3</w:t>
      </w:r>
      <w:r w:rsidRPr="00737C8D">
        <w:rPr>
          <w:rFonts w:asciiTheme="minorHAnsi" w:eastAsia="Calibri" w:hAnsiTheme="minorHAnsi" w:cs="Arial"/>
          <w:sz w:val="22"/>
          <w:szCs w:val="22"/>
        </w:rPr>
        <w:t>% who were insured through Medicare, 1</w:t>
      </w:r>
      <w:r w:rsidR="009D5D5B">
        <w:rPr>
          <w:rFonts w:asciiTheme="minorHAnsi" w:eastAsia="Calibri" w:hAnsiTheme="minorHAnsi" w:cs="Arial"/>
          <w:sz w:val="22"/>
          <w:szCs w:val="22"/>
        </w:rPr>
        <w:t>1</w:t>
      </w:r>
      <w:r w:rsidRPr="00737C8D">
        <w:rPr>
          <w:rFonts w:asciiTheme="minorHAnsi" w:eastAsia="Calibri" w:hAnsiTheme="minorHAnsi" w:cs="Arial"/>
          <w:sz w:val="22"/>
          <w:szCs w:val="22"/>
        </w:rPr>
        <w:t xml:space="preserve">% through Medicaid, and </w:t>
      </w:r>
      <w:r w:rsidR="009D5D5B">
        <w:rPr>
          <w:rFonts w:asciiTheme="minorHAnsi" w:eastAsia="Calibri" w:hAnsiTheme="minorHAnsi" w:cs="Arial"/>
          <w:sz w:val="22"/>
          <w:szCs w:val="22"/>
        </w:rPr>
        <w:t>4</w:t>
      </w:r>
      <w:r w:rsidRPr="00737C8D">
        <w:rPr>
          <w:rFonts w:asciiTheme="minorHAnsi" w:eastAsia="Calibri" w:hAnsiTheme="minorHAnsi" w:cs="Arial"/>
          <w:sz w:val="22"/>
          <w:szCs w:val="22"/>
        </w:rPr>
        <w:t>% who had another source of coverage.</w:t>
      </w:r>
      <w:r w:rsidRPr="00AB44E1">
        <w:rPr>
          <w:rFonts w:asciiTheme="minorHAnsi" w:eastAsia="Calibri" w:hAnsiTheme="minorHAnsi" w:cs="Arial"/>
          <w:sz w:val="22"/>
          <w:szCs w:val="22"/>
        </w:rPr>
        <w:t xml:space="preserve"> </w:t>
      </w:r>
    </w:p>
    <w:p w14:paraId="6E39083D" w14:textId="077E99BE" w:rsidR="00B8714D" w:rsidRDefault="00B8714D" w:rsidP="00B8714D">
      <w:pPr>
        <w:suppressAutoHyphens w:val="0"/>
        <w:spacing w:after="160" w:line="259" w:lineRule="auto"/>
        <w:rPr>
          <w:rFonts w:asciiTheme="minorHAnsi" w:eastAsia="Calibri" w:hAnsiTheme="minorHAnsi" w:cs="Arial"/>
          <w:b/>
          <w:bCs/>
          <w:sz w:val="22"/>
          <w:szCs w:val="22"/>
        </w:rPr>
      </w:pPr>
    </w:p>
    <w:p w14:paraId="616378D7" w14:textId="77777777" w:rsidR="003A101B" w:rsidRDefault="003A101B" w:rsidP="00B21CD2">
      <w:pPr>
        <w:suppressAutoHyphens w:val="0"/>
        <w:spacing w:after="240"/>
        <w:ind w:firstLine="630"/>
        <w:rPr>
          <w:rFonts w:asciiTheme="minorHAnsi" w:eastAsia="Calibri" w:hAnsiTheme="minorHAnsi" w:cs="Arial"/>
          <w:b/>
          <w:bCs/>
          <w:sz w:val="22"/>
          <w:szCs w:val="22"/>
        </w:rPr>
        <w:sectPr w:rsidR="003A101B" w:rsidSect="003A101B">
          <w:pgSz w:w="12240" w:h="15840"/>
          <w:pgMar w:top="1440" w:right="1440" w:bottom="1440" w:left="1440" w:header="720" w:footer="720" w:gutter="0"/>
          <w:cols w:space="720"/>
          <w:docGrid w:linePitch="360"/>
        </w:sectPr>
      </w:pPr>
    </w:p>
    <w:p w14:paraId="1CFE1176" w14:textId="77777777" w:rsidR="00B8714D" w:rsidRPr="00AB44E1" w:rsidRDefault="00B8714D" w:rsidP="00156D48">
      <w:pPr>
        <w:pStyle w:val="Heading3"/>
      </w:pPr>
      <w:r w:rsidRPr="00AB44E1">
        <w:lastRenderedPageBreak/>
        <w:t xml:space="preserve">Table 2: Winchester Hospital Patient Panel Demographics  </w:t>
      </w:r>
    </w:p>
    <w:tbl>
      <w:tblPr>
        <w:tblStyle w:val="TableGrid1"/>
        <w:tblW w:w="14400" w:type="dxa"/>
        <w:tblInd w:w="-995" w:type="dxa"/>
        <w:tblLook w:val="04A0" w:firstRow="1" w:lastRow="0" w:firstColumn="1" w:lastColumn="0" w:noHBand="0" w:noVBand="1"/>
      </w:tblPr>
      <w:tblGrid>
        <w:gridCol w:w="4410"/>
        <w:gridCol w:w="1665"/>
        <w:gridCol w:w="1665"/>
        <w:gridCol w:w="1665"/>
        <w:gridCol w:w="1665"/>
        <w:gridCol w:w="1665"/>
        <w:gridCol w:w="1665"/>
      </w:tblGrid>
      <w:tr w:rsidR="00B24F37" w:rsidRPr="00742B85" w14:paraId="42CB57B6" w14:textId="77777777" w:rsidTr="00021AA8">
        <w:trPr>
          <w:cantSplit/>
          <w:tblHeader/>
        </w:trPr>
        <w:tc>
          <w:tcPr>
            <w:tcW w:w="4410" w:type="dxa"/>
            <w:shd w:val="clear" w:color="auto" w:fill="B4C6E7"/>
          </w:tcPr>
          <w:p w14:paraId="59F094BD" w14:textId="77777777" w:rsidR="00B24F37" w:rsidRPr="00AB44E1" w:rsidRDefault="00B24F37" w:rsidP="00B24F37">
            <w:pPr>
              <w:suppressAutoHyphens w:val="0"/>
              <w:rPr>
                <w:rFonts w:asciiTheme="minorHAnsi" w:hAnsiTheme="minorHAnsi" w:cs="Calibri Light"/>
                <w:b/>
                <w:bCs/>
                <w:sz w:val="20"/>
                <w:szCs w:val="20"/>
              </w:rPr>
            </w:pPr>
            <w:bookmarkStart w:id="1" w:name="_Hlk213751249"/>
            <w:r w:rsidRPr="00AB44E1">
              <w:rPr>
                <w:rFonts w:asciiTheme="minorHAnsi" w:hAnsiTheme="minorHAnsi" w:cs="Calibri Light"/>
                <w:b/>
                <w:bCs/>
                <w:sz w:val="20"/>
                <w:szCs w:val="20"/>
              </w:rPr>
              <w:t xml:space="preserve">Demographic </w:t>
            </w:r>
          </w:p>
        </w:tc>
        <w:tc>
          <w:tcPr>
            <w:tcW w:w="1665" w:type="dxa"/>
            <w:shd w:val="clear" w:color="auto" w:fill="B4C6E7"/>
            <w:vAlign w:val="center"/>
          </w:tcPr>
          <w:p w14:paraId="7D86EB53" w14:textId="2E27C337" w:rsidR="00B24F37" w:rsidRPr="00B24F37" w:rsidRDefault="00B24F37" w:rsidP="00B24F37">
            <w:pPr>
              <w:suppressAutoHyphens w:val="0"/>
              <w:jc w:val="center"/>
              <w:rPr>
                <w:rFonts w:asciiTheme="minorHAnsi" w:hAnsiTheme="minorHAnsi" w:cs="Calibri Light"/>
                <w:b/>
                <w:bCs/>
                <w:color w:val="000000"/>
                <w:sz w:val="20"/>
                <w:szCs w:val="20"/>
              </w:rPr>
            </w:pPr>
            <w:proofErr w:type="gramStart"/>
            <w:r w:rsidRPr="00AB44E1">
              <w:rPr>
                <w:rFonts w:asciiTheme="minorHAnsi" w:hAnsiTheme="minorHAnsi" w:cs="Calibri Light"/>
                <w:b/>
                <w:bCs/>
                <w:color w:val="000000"/>
                <w:sz w:val="20"/>
                <w:szCs w:val="20"/>
              </w:rPr>
              <w:t xml:space="preserve">FY23 </w:t>
            </w:r>
            <w:r w:rsidRPr="00F80026">
              <w:rPr>
                <w:rFonts w:asciiTheme="minorHAnsi" w:hAnsiTheme="minorHAnsi" w:cs="Calibri Light"/>
                <w:i/>
                <w:iCs/>
                <w:color w:val="000000"/>
                <w:sz w:val="20"/>
                <w:szCs w:val="20"/>
              </w:rPr>
              <w:t>(#</w:t>
            </w:r>
            <w:proofErr w:type="gramEnd"/>
            <w:r w:rsidRPr="00F80026">
              <w:rPr>
                <w:rFonts w:asciiTheme="minorHAnsi" w:hAnsiTheme="minorHAnsi" w:cs="Calibri Light"/>
                <w:i/>
                <w:iCs/>
                <w:color w:val="000000"/>
                <w:sz w:val="20"/>
                <w:szCs w:val="20"/>
              </w:rPr>
              <w:t>)</w:t>
            </w:r>
          </w:p>
        </w:tc>
        <w:tc>
          <w:tcPr>
            <w:tcW w:w="1665" w:type="dxa"/>
            <w:shd w:val="clear" w:color="auto" w:fill="B4C6E7"/>
            <w:vAlign w:val="center"/>
          </w:tcPr>
          <w:p w14:paraId="3ADB56FE" w14:textId="4678DEB6" w:rsidR="00B24F37" w:rsidRPr="00B24F37" w:rsidRDefault="00B24F37" w:rsidP="00B24F37">
            <w:pPr>
              <w:suppressAutoHyphens w:val="0"/>
              <w:spacing w:line="256" w:lineRule="auto"/>
              <w:jc w:val="center"/>
              <w:rPr>
                <w:rFonts w:asciiTheme="minorHAnsi" w:hAnsiTheme="minorHAnsi" w:cs="Calibri Light"/>
                <w:b/>
                <w:bCs/>
                <w:color w:val="000000"/>
                <w:sz w:val="20"/>
                <w:szCs w:val="20"/>
              </w:rPr>
            </w:pPr>
            <w:r w:rsidRPr="00AB44E1">
              <w:rPr>
                <w:rFonts w:asciiTheme="minorHAnsi" w:hAnsiTheme="minorHAnsi" w:cs="Calibri Light"/>
                <w:b/>
                <w:bCs/>
                <w:color w:val="000000"/>
                <w:sz w:val="20"/>
                <w:szCs w:val="20"/>
              </w:rPr>
              <w:t>FY23</w:t>
            </w:r>
            <w:r>
              <w:rPr>
                <w:rFonts w:asciiTheme="minorHAnsi" w:hAnsiTheme="minorHAnsi" w:cs="Calibri Light"/>
                <w:b/>
                <w:bCs/>
                <w:color w:val="000000"/>
                <w:sz w:val="20"/>
                <w:szCs w:val="20"/>
              </w:rPr>
              <w:t xml:space="preserve"> </w:t>
            </w:r>
            <w:r w:rsidRPr="00F80026">
              <w:rPr>
                <w:rFonts w:asciiTheme="minorHAnsi" w:hAnsiTheme="minorHAnsi" w:cs="Calibri Light"/>
                <w:i/>
                <w:iCs/>
                <w:color w:val="000000"/>
                <w:sz w:val="20"/>
                <w:szCs w:val="20"/>
              </w:rPr>
              <w:t>(%)</w:t>
            </w:r>
          </w:p>
        </w:tc>
        <w:tc>
          <w:tcPr>
            <w:tcW w:w="1665" w:type="dxa"/>
            <w:shd w:val="clear" w:color="auto" w:fill="B4C6E7"/>
            <w:vAlign w:val="center"/>
          </w:tcPr>
          <w:p w14:paraId="0BA52FFC" w14:textId="7536BBB8" w:rsidR="00B24F37" w:rsidRPr="00B24F37" w:rsidRDefault="00B24F37" w:rsidP="00B24F37">
            <w:pPr>
              <w:suppressAutoHyphens w:val="0"/>
              <w:jc w:val="center"/>
              <w:rPr>
                <w:rFonts w:asciiTheme="minorHAnsi" w:hAnsiTheme="minorHAnsi" w:cs="Calibri Light"/>
                <w:b/>
                <w:bCs/>
                <w:color w:val="000000"/>
                <w:sz w:val="20"/>
                <w:szCs w:val="20"/>
              </w:rPr>
            </w:pPr>
            <w:proofErr w:type="gramStart"/>
            <w:r w:rsidRPr="00AB44E1">
              <w:rPr>
                <w:rFonts w:asciiTheme="minorHAnsi" w:hAnsiTheme="minorHAnsi" w:cs="Calibri Light"/>
                <w:b/>
                <w:bCs/>
                <w:color w:val="000000"/>
                <w:sz w:val="20"/>
                <w:szCs w:val="20"/>
              </w:rPr>
              <w:t xml:space="preserve">FY24 </w:t>
            </w:r>
            <w:r w:rsidR="00F80026" w:rsidRPr="00F80026">
              <w:rPr>
                <w:rFonts w:asciiTheme="minorHAnsi" w:hAnsiTheme="minorHAnsi" w:cs="Calibri Light"/>
                <w:i/>
                <w:iCs/>
                <w:color w:val="000000"/>
                <w:sz w:val="20"/>
                <w:szCs w:val="20"/>
              </w:rPr>
              <w:t>(#</w:t>
            </w:r>
            <w:proofErr w:type="gramEnd"/>
            <w:r w:rsidR="00F80026" w:rsidRPr="00F80026">
              <w:rPr>
                <w:rFonts w:asciiTheme="minorHAnsi" w:hAnsiTheme="minorHAnsi" w:cs="Calibri Light"/>
                <w:i/>
                <w:iCs/>
                <w:color w:val="000000"/>
                <w:sz w:val="20"/>
                <w:szCs w:val="20"/>
              </w:rPr>
              <w:t>)</w:t>
            </w:r>
          </w:p>
        </w:tc>
        <w:tc>
          <w:tcPr>
            <w:tcW w:w="1665" w:type="dxa"/>
            <w:shd w:val="clear" w:color="auto" w:fill="B4C6E7"/>
            <w:vAlign w:val="center"/>
          </w:tcPr>
          <w:p w14:paraId="22A2E32A" w14:textId="609A8154" w:rsidR="00B24F37" w:rsidRPr="00B24F37" w:rsidRDefault="00B24F37" w:rsidP="00B24F37">
            <w:pPr>
              <w:suppressAutoHyphens w:val="0"/>
              <w:spacing w:line="256" w:lineRule="auto"/>
              <w:jc w:val="center"/>
              <w:rPr>
                <w:rFonts w:asciiTheme="minorHAnsi" w:hAnsiTheme="minorHAnsi" w:cs="Calibri Light"/>
                <w:b/>
                <w:bCs/>
                <w:color w:val="000000"/>
                <w:sz w:val="20"/>
                <w:szCs w:val="20"/>
              </w:rPr>
            </w:pPr>
            <w:r w:rsidRPr="00AB44E1">
              <w:rPr>
                <w:rFonts w:asciiTheme="minorHAnsi" w:hAnsiTheme="minorHAnsi" w:cs="Calibri Light"/>
                <w:b/>
                <w:bCs/>
                <w:color w:val="000000"/>
                <w:sz w:val="20"/>
                <w:szCs w:val="20"/>
              </w:rPr>
              <w:t>FY24</w:t>
            </w:r>
            <w:r>
              <w:rPr>
                <w:rFonts w:asciiTheme="minorHAnsi" w:hAnsiTheme="minorHAnsi" w:cs="Calibri Light"/>
                <w:b/>
                <w:bCs/>
                <w:color w:val="000000"/>
                <w:sz w:val="20"/>
                <w:szCs w:val="20"/>
              </w:rPr>
              <w:t xml:space="preserve"> </w:t>
            </w:r>
            <w:r w:rsidR="00F80026" w:rsidRPr="00F80026">
              <w:rPr>
                <w:rFonts w:asciiTheme="minorHAnsi" w:hAnsiTheme="minorHAnsi" w:cs="Calibri Light"/>
                <w:i/>
                <w:iCs/>
                <w:color w:val="000000"/>
                <w:sz w:val="20"/>
                <w:szCs w:val="20"/>
              </w:rPr>
              <w:t>(%)</w:t>
            </w:r>
          </w:p>
        </w:tc>
        <w:tc>
          <w:tcPr>
            <w:tcW w:w="1665" w:type="dxa"/>
            <w:shd w:val="clear" w:color="auto" w:fill="B4C6E7"/>
            <w:vAlign w:val="center"/>
          </w:tcPr>
          <w:p w14:paraId="17660F1F" w14:textId="73CB4D6D" w:rsidR="00B24F37" w:rsidRPr="00B24F37" w:rsidRDefault="00B24F37" w:rsidP="00B24F37">
            <w:pPr>
              <w:suppressAutoHyphens w:val="0"/>
              <w:spacing w:line="256" w:lineRule="auto"/>
              <w:jc w:val="center"/>
              <w:rPr>
                <w:rFonts w:asciiTheme="minorHAnsi" w:hAnsiTheme="minorHAnsi" w:cs="Calibri Light"/>
                <w:b/>
                <w:bCs/>
                <w:color w:val="000000"/>
                <w:sz w:val="20"/>
                <w:szCs w:val="20"/>
              </w:rPr>
            </w:pPr>
            <w:proofErr w:type="gramStart"/>
            <w:r w:rsidRPr="00AB44E1">
              <w:rPr>
                <w:rFonts w:asciiTheme="minorHAnsi" w:hAnsiTheme="minorHAnsi" w:cs="Calibri Light"/>
                <w:b/>
                <w:bCs/>
                <w:color w:val="000000"/>
                <w:sz w:val="20"/>
                <w:szCs w:val="20"/>
              </w:rPr>
              <w:t>FY25</w:t>
            </w:r>
            <w:r w:rsidR="00F80026" w:rsidRPr="00F80026">
              <w:rPr>
                <w:rFonts w:asciiTheme="minorHAnsi" w:hAnsiTheme="minorHAnsi" w:cs="Calibri Light"/>
                <w:i/>
                <w:iCs/>
                <w:color w:val="000000"/>
                <w:sz w:val="20"/>
                <w:szCs w:val="20"/>
              </w:rPr>
              <w:t>(#</w:t>
            </w:r>
            <w:proofErr w:type="gramEnd"/>
            <w:r w:rsidR="00F80026" w:rsidRPr="00F80026">
              <w:rPr>
                <w:rFonts w:asciiTheme="minorHAnsi" w:hAnsiTheme="minorHAnsi" w:cs="Calibri Light"/>
                <w:i/>
                <w:iCs/>
                <w:color w:val="000000"/>
                <w:sz w:val="20"/>
                <w:szCs w:val="20"/>
              </w:rPr>
              <w:t>)</w:t>
            </w:r>
          </w:p>
        </w:tc>
        <w:tc>
          <w:tcPr>
            <w:tcW w:w="1665" w:type="dxa"/>
            <w:shd w:val="clear" w:color="auto" w:fill="B4C6E7"/>
            <w:vAlign w:val="center"/>
          </w:tcPr>
          <w:p w14:paraId="6E1F534B" w14:textId="65DD32B3" w:rsidR="00B24F37" w:rsidRPr="00B24F37" w:rsidRDefault="00B24F37" w:rsidP="00B24F37">
            <w:pPr>
              <w:suppressAutoHyphens w:val="0"/>
              <w:spacing w:line="256" w:lineRule="auto"/>
              <w:jc w:val="center"/>
              <w:rPr>
                <w:rFonts w:asciiTheme="minorHAnsi" w:hAnsiTheme="minorHAnsi" w:cs="Calibri Light"/>
                <w:b/>
                <w:bCs/>
                <w:color w:val="000000"/>
                <w:sz w:val="20"/>
                <w:szCs w:val="20"/>
              </w:rPr>
            </w:pPr>
            <w:r w:rsidRPr="00AB44E1">
              <w:rPr>
                <w:rFonts w:asciiTheme="minorHAnsi" w:hAnsiTheme="minorHAnsi" w:cs="Calibri Light"/>
                <w:b/>
                <w:bCs/>
                <w:color w:val="000000"/>
                <w:sz w:val="20"/>
                <w:szCs w:val="20"/>
              </w:rPr>
              <w:t>FY25</w:t>
            </w:r>
            <w:r>
              <w:rPr>
                <w:rFonts w:asciiTheme="minorHAnsi" w:hAnsiTheme="minorHAnsi" w:cs="Calibri Light"/>
                <w:b/>
                <w:bCs/>
                <w:color w:val="000000"/>
                <w:sz w:val="20"/>
                <w:szCs w:val="20"/>
              </w:rPr>
              <w:t xml:space="preserve"> </w:t>
            </w:r>
            <w:r w:rsidR="00F80026" w:rsidRPr="00F80026">
              <w:rPr>
                <w:rFonts w:asciiTheme="minorHAnsi" w:hAnsiTheme="minorHAnsi" w:cs="Calibri Light"/>
                <w:i/>
                <w:iCs/>
                <w:color w:val="000000"/>
                <w:sz w:val="20"/>
                <w:szCs w:val="20"/>
              </w:rPr>
              <w:t>(%)</w:t>
            </w:r>
          </w:p>
        </w:tc>
      </w:tr>
      <w:tr w:rsidR="003A101B" w:rsidRPr="00742B85" w14:paraId="09AE6C31" w14:textId="77777777" w:rsidTr="00021AA8">
        <w:trPr>
          <w:cantSplit/>
          <w:trHeight w:val="251"/>
        </w:trPr>
        <w:tc>
          <w:tcPr>
            <w:tcW w:w="4410" w:type="dxa"/>
            <w:shd w:val="clear" w:color="auto" w:fill="D9E2F3"/>
            <w:vAlign w:val="center"/>
          </w:tcPr>
          <w:p w14:paraId="0DF0B783" w14:textId="77777777" w:rsidR="003A101B" w:rsidRPr="00AB44E1" w:rsidRDefault="003A101B" w:rsidP="003A101B">
            <w:pPr>
              <w:suppressAutoHyphens w:val="0"/>
              <w:rPr>
                <w:rFonts w:asciiTheme="minorHAnsi" w:hAnsiTheme="minorHAnsi" w:cs="Calibri Light"/>
                <w:sz w:val="20"/>
                <w:szCs w:val="20"/>
              </w:rPr>
            </w:pPr>
            <w:r w:rsidRPr="00AB44E1">
              <w:rPr>
                <w:rFonts w:asciiTheme="minorHAnsi" w:hAnsiTheme="minorHAnsi" w:cs="Calibri Light"/>
                <w:b/>
                <w:bCs/>
                <w:color w:val="000000"/>
                <w:sz w:val="20"/>
                <w:szCs w:val="20"/>
              </w:rPr>
              <w:t>Total</w:t>
            </w:r>
          </w:p>
        </w:tc>
        <w:tc>
          <w:tcPr>
            <w:tcW w:w="1665" w:type="dxa"/>
            <w:tcBorders>
              <w:bottom w:val="single" w:sz="4" w:space="0" w:color="auto"/>
            </w:tcBorders>
            <w:shd w:val="clear" w:color="auto" w:fill="D9E2F3"/>
            <w:vAlign w:val="center"/>
          </w:tcPr>
          <w:p w14:paraId="66BCE09F" w14:textId="2197A31B" w:rsidR="003A101B" w:rsidRPr="004E47DA" w:rsidRDefault="003A101B" w:rsidP="003A101B">
            <w:pPr>
              <w:suppressAutoHyphens w:val="0"/>
              <w:jc w:val="center"/>
              <w:rPr>
                <w:rFonts w:cs="Calibri Light"/>
                <w:b/>
                <w:bCs/>
                <w:sz w:val="20"/>
                <w:szCs w:val="20"/>
              </w:rPr>
            </w:pPr>
            <w:r w:rsidRPr="004E47DA">
              <w:rPr>
                <w:b/>
                <w:bCs/>
                <w:color w:val="000000"/>
                <w:sz w:val="20"/>
                <w:szCs w:val="20"/>
              </w:rPr>
              <w:t>154</w:t>
            </w:r>
            <w:r w:rsidR="00654D04" w:rsidRPr="004E47DA">
              <w:rPr>
                <w:b/>
                <w:bCs/>
                <w:color w:val="000000"/>
                <w:sz w:val="20"/>
                <w:szCs w:val="20"/>
              </w:rPr>
              <w:t>,</w:t>
            </w:r>
            <w:r w:rsidRPr="004E47DA">
              <w:rPr>
                <w:b/>
                <w:bCs/>
                <w:color w:val="000000"/>
                <w:sz w:val="20"/>
                <w:szCs w:val="20"/>
              </w:rPr>
              <w:t>014</w:t>
            </w:r>
          </w:p>
        </w:tc>
        <w:tc>
          <w:tcPr>
            <w:tcW w:w="1665" w:type="dxa"/>
            <w:shd w:val="clear" w:color="auto" w:fill="D9E2F3"/>
            <w:vAlign w:val="center"/>
          </w:tcPr>
          <w:p w14:paraId="77023143" w14:textId="0DB0B94E" w:rsidR="003A101B" w:rsidRPr="004E47DA" w:rsidRDefault="003A101B" w:rsidP="003A101B">
            <w:pPr>
              <w:suppressAutoHyphens w:val="0"/>
              <w:jc w:val="center"/>
              <w:rPr>
                <w:rFonts w:cs="Calibri Light"/>
                <w:b/>
                <w:bCs/>
                <w:sz w:val="20"/>
                <w:szCs w:val="20"/>
              </w:rPr>
            </w:pPr>
            <w:r w:rsidRPr="004E47DA">
              <w:rPr>
                <w:b/>
                <w:bCs/>
                <w:color w:val="000000"/>
                <w:sz w:val="20"/>
                <w:szCs w:val="20"/>
              </w:rPr>
              <w:t>100%</w:t>
            </w:r>
          </w:p>
        </w:tc>
        <w:tc>
          <w:tcPr>
            <w:tcW w:w="1665" w:type="dxa"/>
            <w:tcBorders>
              <w:bottom w:val="single" w:sz="4" w:space="0" w:color="auto"/>
            </w:tcBorders>
            <w:shd w:val="clear" w:color="auto" w:fill="D9E2F3"/>
            <w:vAlign w:val="center"/>
          </w:tcPr>
          <w:p w14:paraId="2A28E10F" w14:textId="5159045F" w:rsidR="003A101B" w:rsidRPr="004E47DA" w:rsidRDefault="003A101B" w:rsidP="003A101B">
            <w:pPr>
              <w:suppressAutoHyphens w:val="0"/>
              <w:jc w:val="center"/>
              <w:rPr>
                <w:rFonts w:cs="Calibri Light"/>
                <w:b/>
                <w:bCs/>
                <w:sz w:val="20"/>
                <w:szCs w:val="20"/>
              </w:rPr>
            </w:pPr>
            <w:r w:rsidRPr="004E47DA">
              <w:rPr>
                <w:b/>
                <w:bCs/>
                <w:color w:val="000000"/>
                <w:sz w:val="20"/>
                <w:szCs w:val="20"/>
              </w:rPr>
              <w:t>158</w:t>
            </w:r>
            <w:r w:rsidR="00654D04" w:rsidRPr="004E47DA">
              <w:rPr>
                <w:b/>
                <w:bCs/>
                <w:color w:val="000000"/>
                <w:sz w:val="20"/>
                <w:szCs w:val="20"/>
              </w:rPr>
              <w:t>,</w:t>
            </w:r>
            <w:r w:rsidRPr="004E47DA">
              <w:rPr>
                <w:b/>
                <w:bCs/>
                <w:color w:val="000000"/>
                <w:sz w:val="20"/>
                <w:szCs w:val="20"/>
              </w:rPr>
              <w:t>383</w:t>
            </w:r>
          </w:p>
        </w:tc>
        <w:tc>
          <w:tcPr>
            <w:tcW w:w="1665" w:type="dxa"/>
            <w:shd w:val="clear" w:color="auto" w:fill="D9E2F3"/>
            <w:vAlign w:val="center"/>
          </w:tcPr>
          <w:p w14:paraId="7D4ED0E4" w14:textId="5A48974B" w:rsidR="003A101B" w:rsidRPr="004E47DA" w:rsidRDefault="003A101B" w:rsidP="003A101B">
            <w:pPr>
              <w:suppressAutoHyphens w:val="0"/>
              <w:jc w:val="center"/>
              <w:rPr>
                <w:rFonts w:cs="Calibri Light"/>
                <w:b/>
                <w:bCs/>
                <w:sz w:val="20"/>
                <w:szCs w:val="20"/>
              </w:rPr>
            </w:pPr>
            <w:r w:rsidRPr="004E47DA">
              <w:rPr>
                <w:b/>
                <w:bCs/>
                <w:color w:val="000000"/>
                <w:sz w:val="20"/>
                <w:szCs w:val="20"/>
              </w:rPr>
              <w:t>100%</w:t>
            </w:r>
          </w:p>
        </w:tc>
        <w:tc>
          <w:tcPr>
            <w:tcW w:w="1665" w:type="dxa"/>
            <w:shd w:val="clear" w:color="auto" w:fill="D9E2F3"/>
            <w:vAlign w:val="center"/>
          </w:tcPr>
          <w:p w14:paraId="53B0AFDE" w14:textId="5F0987E0" w:rsidR="003A101B" w:rsidRPr="004E47DA" w:rsidRDefault="003A101B" w:rsidP="003A101B">
            <w:pPr>
              <w:suppressAutoHyphens w:val="0"/>
              <w:jc w:val="center"/>
              <w:rPr>
                <w:rFonts w:cs="Calibri Light"/>
                <w:b/>
                <w:bCs/>
                <w:sz w:val="20"/>
                <w:szCs w:val="20"/>
              </w:rPr>
            </w:pPr>
            <w:r w:rsidRPr="004E47DA">
              <w:rPr>
                <w:b/>
                <w:bCs/>
                <w:color w:val="000000"/>
                <w:sz w:val="20"/>
                <w:szCs w:val="20"/>
              </w:rPr>
              <w:t>163</w:t>
            </w:r>
            <w:r w:rsidR="00654D04" w:rsidRPr="004E47DA">
              <w:rPr>
                <w:b/>
                <w:bCs/>
                <w:color w:val="000000"/>
                <w:sz w:val="20"/>
                <w:szCs w:val="20"/>
              </w:rPr>
              <w:t>,</w:t>
            </w:r>
            <w:r w:rsidRPr="004E47DA">
              <w:rPr>
                <w:b/>
                <w:bCs/>
                <w:color w:val="000000"/>
                <w:sz w:val="20"/>
                <w:szCs w:val="20"/>
              </w:rPr>
              <w:t>740</w:t>
            </w:r>
          </w:p>
        </w:tc>
        <w:tc>
          <w:tcPr>
            <w:tcW w:w="1665" w:type="dxa"/>
            <w:shd w:val="clear" w:color="auto" w:fill="D9E2F3"/>
            <w:vAlign w:val="center"/>
          </w:tcPr>
          <w:p w14:paraId="3C57A700" w14:textId="1887467A" w:rsidR="003A101B" w:rsidRPr="004E47DA" w:rsidRDefault="003A101B" w:rsidP="003A101B">
            <w:pPr>
              <w:suppressAutoHyphens w:val="0"/>
              <w:jc w:val="center"/>
              <w:rPr>
                <w:rFonts w:cs="Calibri Light"/>
                <w:b/>
                <w:bCs/>
                <w:sz w:val="20"/>
                <w:szCs w:val="20"/>
              </w:rPr>
            </w:pPr>
            <w:r w:rsidRPr="004E47DA">
              <w:rPr>
                <w:b/>
                <w:bCs/>
                <w:color w:val="000000"/>
                <w:sz w:val="20"/>
                <w:szCs w:val="20"/>
              </w:rPr>
              <w:t>100%</w:t>
            </w:r>
          </w:p>
        </w:tc>
      </w:tr>
      <w:tr w:rsidR="00654D04" w:rsidRPr="00AB44E1" w14:paraId="2D3D6428" w14:textId="77777777" w:rsidTr="00021AA8">
        <w:trPr>
          <w:cantSplit/>
        </w:trPr>
        <w:tc>
          <w:tcPr>
            <w:tcW w:w="4410" w:type="dxa"/>
            <w:vAlign w:val="bottom"/>
          </w:tcPr>
          <w:p w14:paraId="03794854" w14:textId="77777777" w:rsidR="00654D04" w:rsidRPr="00AB44E1" w:rsidRDefault="00654D04" w:rsidP="00654D04">
            <w:pPr>
              <w:suppressAutoHyphens w:val="0"/>
              <w:rPr>
                <w:rFonts w:asciiTheme="minorHAnsi" w:hAnsiTheme="minorHAnsi" w:cs="Calibri Light"/>
                <w:sz w:val="20"/>
                <w:szCs w:val="20"/>
              </w:rPr>
            </w:pPr>
            <w:r w:rsidRPr="00AB44E1">
              <w:rPr>
                <w:rFonts w:asciiTheme="minorHAnsi" w:hAnsiTheme="minorHAnsi" w:cs="Calibri"/>
                <w:color w:val="000000"/>
                <w:sz w:val="20"/>
                <w:szCs w:val="20"/>
              </w:rPr>
              <w:t xml:space="preserve">Age: 0 to </w:t>
            </w:r>
            <w:r>
              <w:rPr>
                <w:rFonts w:asciiTheme="minorHAnsi" w:hAnsiTheme="minorHAnsi" w:cs="Calibri"/>
                <w:color w:val="000000"/>
                <w:sz w:val="20"/>
                <w:szCs w:val="20"/>
              </w:rPr>
              <w:t>1</w:t>
            </w:r>
            <w:r w:rsidRPr="00AB44E1">
              <w:rPr>
                <w:rFonts w:asciiTheme="minorHAnsi" w:hAnsiTheme="minorHAnsi" w:cs="Calibri"/>
                <w:color w:val="000000"/>
                <w:sz w:val="20"/>
                <w:szCs w:val="20"/>
              </w:rPr>
              <w:t>7</w:t>
            </w:r>
          </w:p>
        </w:tc>
        <w:tc>
          <w:tcPr>
            <w:tcW w:w="1665" w:type="dxa"/>
            <w:tcBorders>
              <w:top w:val="single" w:sz="4" w:space="0" w:color="auto"/>
              <w:left w:val="nil"/>
              <w:bottom w:val="single" w:sz="4" w:space="0" w:color="auto"/>
              <w:right w:val="nil"/>
            </w:tcBorders>
          </w:tcPr>
          <w:p w14:paraId="5ED87EA7" w14:textId="63C30D70" w:rsidR="00654D04" w:rsidRPr="004E47DA" w:rsidRDefault="00654D04" w:rsidP="00654D04">
            <w:pPr>
              <w:suppressAutoHyphens w:val="0"/>
              <w:jc w:val="center"/>
              <w:rPr>
                <w:rFonts w:cs="Calibri"/>
                <w:sz w:val="20"/>
                <w:szCs w:val="20"/>
              </w:rPr>
            </w:pPr>
            <w:r w:rsidRPr="004E47DA">
              <w:rPr>
                <w:sz w:val="20"/>
                <w:szCs w:val="20"/>
              </w:rPr>
              <w:t>23,944</w:t>
            </w:r>
          </w:p>
        </w:tc>
        <w:tc>
          <w:tcPr>
            <w:tcW w:w="1665" w:type="dxa"/>
          </w:tcPr>
          <w:p w14:paraId="327FB917" w14:textId="64588893" w:rsidR="00654D04" w:rsidRPr="004E47DA" w:rsidRDefault="00654D04" w:rsidP="00654D04">
            <w:pPr>
              <w:suppressAutoHyphens w:val="0"/>
              <w:jc w:val="center"/>
              <w:rPr>
                <w:rFonts w:cs="Calibri Light"/>
                <w:sz w:val="20"/>
                <w:szCs w:val="20"/>
              </w:rPr>
            </w:pPr>
            <w:r w:rsidRPr="004E47DA">
              <w:rPr>
                <w:sz w:val="20"/>
                <w:szCs w:val="20"/>
              </w:rPr>
              <w:t>16%</w:t>
            </w:r>
          </w:p>
        </w:tc>
        <w:tc>
          <w:tcPr>
            <w:tcW w:w="1665" w:type="dxa"/>
            <w:tcBorders>
              <w:top w:val="single" w:sz="4" w:space="0" w:color="auto"/>
              <w:left w:val="nil"/>
              <w:bottom w:val="single" w:sz="4" w:space="0" w:color="auto"/>
              <w:right w:val="nil"/>
            </w:tcBorders>
          </w:tcPr>
          <w:p w14:paraId="68EC7AD3" w14:textId="4296DB3F" w:rsidR="00654D04" w:rsidRPr="004E47DA" w:rsidRDefault="00654D04" w:rsidP="00654D04">
            <w:pPr>
              <w:suppressAutoHyphens w:val="0"/>
              <w:jc w:val="center"/>
              <w:rPr>
                <w:rFonts w:cs="Calibri"/>
                <w:color w:val="000000"/>
                <w:sz w:val="20"/>
                <w:szCs w:val="20"/>
              </w:rPr>
            </w:pPr>
            <w:r w:rsidRPr="004E47DA">
              <w:rPr>
                <w:sz w:val="20"/>
                <w:szCs w:val="20"/>
              </w:rPr>
              <w:t>24,348</w:t>
            </w:r>
          </w:p>
        </w:tc>
        <w:tc>
          <w:tcPr>
            <w:tcW w:w="1665" w:type="dxa"/>
          </w:tcPr>
          <w:p w14:paraId="5330D7D4" w14:textId="4EA38323" w:rsidR="00654D04" w:rsidRPr="004E47DA" w:rsidRDefault="00654D04" w:rsidP="00654D04">
            <w:pPr>
              <w:suppressAutoHyphens w:val="0"/>
              <w:jc w:val="center"/>
              <w:rPr>
                <w:rFonts w:cs="Calibri Light"/>
                <w:sz w:val="20"/>
                <w:szCs w:val="20"/>
              </w:rPr>
            </w:pPr>
            <w:r w:rsidRPr="004E47DA">
              <w:rPr>
                <w:sz w:val="20"/>
                <w:szCs w:val="20"/>
              </w:rPr>
              <w:t>15%</w:t>
            </w:r>
          </w:p>
        </w:tc>
        <w:tc>
          <w:tcPr>
            <w:tcW w:w="1665" w:type="dxa"/>
          </w:tcPr>
          <w:p w14:paraId="13D4BE6E" w14:textId="55B95119" w:rsidR="00654D04" w:rsidRPr="004E47DA" w:rsidRDefault="00654D04" w:rsidP="00654D04">
            <w:pPr>
              <w:suppressAutoHyphens w:val="0"/>
              <w:jc w:val="center"/>
              <w:rPr>
                <w:rFonts w:cs="Calibri Light"/>
                <w:color w:val="000000"/>
                <w:sz w:val="20"/>
                <w:szCs w:val="20"/>
              </w:rPr>
            </w:pPr>
            <w:r w:rsidRPr="004E47DA">
              <w:rPr>
                <w:sz w:val="20"/>
                <w:szCs w:val="20"/>
              </w:rPr>
              <w:t>23,327</w:t>
            </w:r>
          </w:p>
        </w:tc>
        <w:tc>
          <w:tcPr>
            <w:tcW w:w="1665" w:type="dxa"/>
            <w:vAlign w:val="center"/>
          </w:tcPr>
          <w:p w14:paraId="639A3057" w14:textId="0828D93C" w:rsidR="00654D04" w:rsidRPr="004E47DA" w:rsidRDefault="00654D04" w:rsidP="00654D04">
            <w:pPr>
              <w:suppressAutoHyphens w:val="0"/>
              <w:jc w:val="center"/>
              <w:rPr>
                <w:rFonts w:cs="Calibri Light"/>
                <w:color w:val="000000"/>
                <w:sz w:val="20"/>
                <w:szCs w:val="20"/>
              </w:rPr>
            </w:pPr>
            <w:r w:rsidRPr="004E47DA">
              <w:rPr>
                <w:color w:val="000000"/>
                <w:sz w:val="20"/>
                <w:szCs w:val="20"/>
              </w:rPr>
              <w:t>14%</w:t>
            </w:r>
          </w:p>
        </w:tc>
      </w:tr>
      <w:tr w:rsidR="00654D04" w:rsidRPr="00AB44E1" w14:paraId="2992B30A" w14:textId="77777777" w:rsidTr="00021AA8">
        <w:trPr>
          <w:cantSplit/>
        </w:trPr>
        <w:tc>
          <w:tcPr>
            <w:tcW w:w="4410" w:type="dxa"/>
            <w:vAlign w:val="bottom"/>
          </w:tcPr>
          <w:p w14:paraId="27381140" w14:textId="77777777" w:rsidR="00654D04" w:rsidRPr="00AB44E1" w:rsidRDefault="00654D04" w:rsidP="00654D04">
            <w:pPr>
              <w:suppressAutoHyphens w:val="0"/>
              <w:rPr>
                <w:rFonts w:asciiTheme="minorHAnsi" w:hAnsiTheme="minorHAnsi" w:cs="Calibri Light"/>
                <w:sz w:val="20"/>
                <w:szCs w:val="20"/>
              </w:rPr>
            </w:pPr>
            <w:r w:rsidRPr="00AB44E1">
              <w:rPr>
                <w:rFonts w:asciiTheme="minorHAnsi" w:hAnsiTheme="minorHAnsi" w:cs="Calibri"/>
                <w:color w:val="000000"/>
                <w:sz w:val="20"/>
                <w:szCs w:val="20"/>
              </w:rPr>
              <w:t xml:space="preserve">Age: </w:t>
            </w:r>
            <w:r>
              <w:rPr>
                <w:rFonts w:asciiTheme="minorHAnsi" w:hAnsiTheme="minorHAnsi" w:cs="Calibri"/>
                <w:color w:val="000000"/>
                <w:sz w:val="20"/>
                <w:szCs w:val="20"/>
              </w:rPr>
              <w:t>18-64</w:t>
            </w:r>
          </w:p>
        </w:tc>
        <w:tc>
          <w:tcPr>
            <w:tcW w:w="1665" w:type="dxa"/>
            <w:tcBorders>
              <w:top w:val="single" w:sz="4" w:space="0" w:color="auto"/>
              <w:left w:val="nil"/>
              <w:bottom w:val="single" w:sz="4" w:space="0" w:color="auto"/>
              <w:right w:val="nil"/>
            </w:tcBorders>
          </w:tcPr>
          <w:p w14:paraId="2CFA7900" w14:textId="778D63F4" w:rsidR="00654D04" w:rsidRPr="004E47DA" w:rsidRDefault="00654D04" w:rsidP="00654D04">
            <w:pPr>
              <w:suppressAutoHyphens w:val="0"/>
              <w:jc w:val="center"/>
              <w:rPr>
                <w:rFonts w:cs="Calibri"/>
                <w:sz w:val="20"/>
                <w:szCs w:val="20"/>
              </w:rPr>
            </w:pPr>
            <w:r w:rsidRPr="004E47DA">
              <w:rPr>
                <w:sz w:val="20"/>
                <w:szCs w:val="20"/>
              </w:rPr>
              <w:t>88,813</w:t>
            </w:r>
          </w:p>
        </w:tc>
        <w:tc>
          <w:tcPr>
            <w:tcW w:w="1665" w:type="dxa"/>
          </w:tcPr>
          <w:p w14:paraId="2000CA0C" w14:textId="70F3A5E4" w:rsidR="00654D04" w:rsidRPr="004E47DA" w:rsidRDefault="00654D04" w:rsidP="00654D04">
            <w:pPr>
              <w:suppressAutoHyphens w:val="0"/>
              <w:jc w:val="center"/>
              <w:rPr>
                <w:rFonts w:cs="Calibri Light"/>
                <w:sz w:val="20"/>
                <w:szCs w:val="20"/>
              </w:rPr>
            </w:pPr>
            <w:r w:rsidRPr="004E47DA">
              <w:rPr>
                <w:sz w:val="20"/>
                <w:szCs w:val="20"/>
              </w:rPr>
              <w:t>58%</w:t>
            </w:r>
          </w:p>
        </w:tc>
        <w:tc>
          <w:tcPr>
            <w:tcW w:w="1665" w:type="dxa"/>
            <w:tcBorders>
              <w:top w:val="single" w:sz="4" w:space="0" w:color="auto"/>
              <w:left w:val="nil"/>
              <w:bottom w:val="single" w:sz="4" w:space="0" w:color="auto"/>
              <w:right w:val="nil"/>
            </w:tcBorders>
          </w:tcPr>
          <w:p w14:paraId="5953E80E" w14:textId="247FA9CC" w:rsidR="00654D04" w:rsidRPr="004E47DA" w:rsidRDefault="00654D04" w:rsidP="00654D04">
            <w:pPr>
              <w:suppressAutoHyphens w:val="0"/>
              <w:jc w:val="center"/>
              <w:rPr>
                <w:rFonts w:cs="Calibri"/>
                <w:color w:val="000000"/>
                <w:sz w:val="20"/>
                <w:szCs w:val="20"/>
              </w:rPr>
            </w:pPr>
            <w:r w:rsidRPr="004E47DA">
              <w:rPr>
                <w:sz w:val="20"/>
                <w:szCs w:val="20"/>
              </w:rPr>
              <w:t>91,045</w:t>
            </w:r>
          </w:p>
        </w:tc>
        <w:tc>
          <w:tcPr>
            <w:tcW w:w="1665" w:type="dxa"/>
          </w:tcPr>
          <w:p w14:paraId="02FA35AF" w14:textId="6A7AF037" w:rsidR="00654D04" w:rsidRPr="004E47DA" w:rsidRDefault="00654D04" w:rsidP="00654D04">
            <w:pPr>
              <w:suppressAutoHyphens w:val="0"/>
              <w:jc w:val="center"/>
              <w:rPr>
                <w:rFonts w:cs="Calibri Light"/>
                <w:sz w:val="20"/>
                <w:szCs w:val="20"/>
              </w:rPr>
            </w:pPr>
            <w:r w:rsidRPr="004E47DA">
              <w:rPr>
                <w:sz w:val="20"/>
                <w:szCs w:val="20"/>
              </w:rPr>
              <w:t>58%</w:t>
            </w:r>
          </w:p>
        </w:tc>
        <w:tc>
          <w:tcPr>
            <w:tcW w:w="1665" w:type="dxa"/>
          </w:tcPr>
          <w:p w14:paraId="53EA30D2" w14:textId="0406D1A9" w:rsidR="00654D04" w:rsidRPr="004E47DA" w:rsidRDefault="00654D04" w:rsidP="00654D04">
            <w:pPr>
              <w:suppressAutoHyphens w:val="0"/>
              <w:jc w:val="center"/>
              <w:rPr>
                <w:rFonts w:cs="Calibri Light"/>
                <w:color w:val="000000"/>
                <w:sz w:val="20"/>
                <w:szCs w:val="20"/>
              </w:rPr>
            </w:pPr>
            <w:r w:rsidRPr="004E47DA">
              <w:rPr>
                <w:sz w:val="20"/>
                <w:szCs w:val="20"/>
              </w:rPr>
              <w:t>94,618</w:t>
            </w:r>
          </w:p>
        </w:tc>
        <w:tc>
          <w:tcPr>
            <w:tcW w:w="1665" w:type="dxa"/>
            <w:vAlign w:val="center"/>
          </w:tcPr>
          <w:p w14:paraId="5A5FD59C" w14:textId="1D72918E" w:rsidR="00654D04" w:rsidRPr="004E47DA" w:rsidRDefault="00654D04" w:rsidP="00654D04">
            <w:pPr>
              <w:suppressAutoHyphens w:val="0"/>
              <w:jc w:val="center"/>
              <w:rPr>
                <w:rFonts w:cs="Calibri Light"/>
                <w:color w:val="000000"/>
                <w:sz w:val="20"/>
                <w:szCs w:val="20"/>
              </w:rPr>
            </w:pPr>
            <w:r w:rsidRPr="004E47DA">
              <w:rPr>
                <w:color w:val="000000"/>
                <w:sz w:val="20"/>
                <w:szCs w:val="20"/>
              </w:rPr>
              <w:t>58%</w:t>
            </w:r>
          </w:p>
        </w:tc>
      </w:tr>
      <w:tr w:rsidR="00654D04" w:rsidRPr="00AB44E1" w14:paraId="5E58393D" w14:textId="77777777" w:rsidTr="00021AA8">
        <w:trPr>
          <w:cantSplit/>
        </w:trPr>
        <w:tc>
          <w:tcPr>
            <w:tcW w:w="4410" w:type="dxa"/>
            <w:vAlign w:val="bottom"/>
          </w:tcPr>
          <w:p w14:paraId="7BEB59A6" w14:textId="77777777" w:rsidR="00654D04" w:rsidRPr="00AB44E1" w:rsidRDefault="00654D04" w:rsidP="00654D04">
            <w:pPr>
              <w:suppressAutoHyphens w:val="0"/>
              <w:rPr>
                <w:rFonts w:asciiTheme="minorHAnsi" w:hAnsiTheme="minorHAnsi" w:cs="Calibri Light"/>
                <w:sz w:val="20"/>
                <w:szCs w:val="20"/>
              </w:rPr>
            </w:pPr>
            <w:r w:rsidRPr="00AB44E1">
              <w:rPr>
                <w:rFonts w:asciiTheme="minorHAnsi" w:hAnsiTheme="minorHAnsi" w:cs="Calibri"/>
                <w:color w:val="000000"/>
                <w:sz w:val="20"/>
                <w:szCs w:val="20"/>
              </w:rPr>
              <w:t>Age: 65+</w:t>
            </w:r>
          </w:p>
        </w:tc>
        <w:tc>
          <w:tcPr>
            <w:tcW w:w="1665" w:type="dxa"/>
            <w:tcBorders>
              <w:top w:val="single" w:sz="4" w:space="0" w:color="auto"/>
              <w:left w:val="nil"/>
              <w:bottom w:val="single" w:sz="4" w:space="0" w:color="auto"/>
              <w:right w:val="nil"/>
            </w:tcBorders>
          </w:tcPr>
          <w:p w14:paraId="0EDB3F67" w14:textId="3B983A0F" w:rsidR="00654D04" w:rsidRPr="004E47DA" w:rsidRDefault="00654D04" w:rsidP="00654D04">
            <w:pPr>
              <w:suppressAutoHyphens w:val="0"/>
              <w:jc w:val="center"/>
              <w:rPr>
                <w:rFonts w:cs="Calibri"/>
                <w:sz w:val="20"/>
                <w:szCs w:val="20"/>
              </w:rPr>
            </w:pPr>
            <w:r w:rsidRPr="004E47DA">
              <w:rPr>
                <w:sz w:val="20"/>
                <w:szCs w:val="20"/>
              </w:rPr>
              <w:t>41,257</w:t>
            </w:r>
          </w:p>
        </w:tc>
        <w:tc>
          <w:tcPr>
            <w:tcW w:w="1665" w:type="dxa"/>
          </w:tcPr>
          <w:p w14:paraId="0C1BFCE8" w14:textId="1E2C03E1" w:rsidR="00654D04" w:rsidRPr="004E47DA" w:rsidRDefault="00654D04" w:rsidP="00654D04">
            <w:pPr>
              <w:suppressAutoHyphens w:val="0"/>
              <w:jc w:val="center"/>
              <w:rPr>
                <w:rFonts w:cs="Calibri Light"/>
                <w:sz w:val="20"/>
                <w:szCs w:val="20"/>
              </w:rPr>
            </w:pPr>
            <w:r w:rsidRPr="004E47DA">
              <w:rPr>
                <w:sz w:val="20"/>
                <w:szCs w:val="20"/>
              </w:rPr>
              <w:t>27%</w:t>
            </w:r>
          </w:p>
        </w:tc>
        <w:tc>
          <w:tcPr>
            <w:tcW w:w="1665" w:type="dxa"/>
            <w:tcBorders>
              <w:top w:val="single" w:sz="4" w:space="0" w:color="auto"/>
              <w:left w:val="nil"/>
              <w:bottom w:val="single" w:sz="4" w:space="0" w:color="auto"/>
              <w:right w:val="nil"/>
            </w:tcBorders>
          </w:tcPr>
          <w:p w14:paraId="28C20362" w14:textId="4D8D47A4" w:rsidR="00654D04" w:rsidRPr="004E47DA" w:rsidRDefault="00654D04" w:rsidP="00654D04">
            <w:pPr>
              <w:suppressAutoHyphens w:val="0"/>
              <w:jc w:val="center"/>
              <w:rPr>
                <w:rFonts w:cs="Calibri"/>
                <w:color w:val="000000"/>
                <w:sz w:val="20"/>
                <w:szCs w:val="20"/>
              </w:rPr>
            </w:pPr>
            <w:r w:rsidRPr="004E47DA">
              <w:rPr>
                <w:sz w:val="20"/>
                <w:szCs w:val="20"/>
              </w:rPr>
              <w:t>42,990</w:t>
            </w:r>
          </w:p>
        </w:tc>
        <w:tc>
          <w:tcPr>
            <w:tcW w:w="1665" w:type="dxa"/>
          </w:tcPr>
          <w:p w14:paraId="36089BCC" w14:textId="2EB72401" w:rsidR="00654D04" w:rsidRPr="004E47DA" w:rsidRDefault="00654D04" w:rsidP="00654D04">
            <w:pPr>
              <w:suppressAutoHyphens w:val="0"/>
              <w:jc w:val="center"/>
              <w:rPr>
                <w:rFonts w:cs="Calibri Light"/>
                <w:sz w:val="20"/>
                <w:szCs w:val="20"/>
              </w:rPr>
            </w:pPr>
            <w:r w:rsidRPr="004E47DA">
              <w:rPr>
                <w:sz w:val="20"/>
                <w:szCs w:val="20"/>
              </w:rPr>
              <w:t>27%</w:t>
            </w:r>
          </w:p>
        </w:tc>
        <w:tc>
          <w:tcPr>
            <w:tcW w:w="1665" w:type="dxa"/>
          </w:tcPr>
          <w:p w14:paraId="034DA8BF" w14:textId="193EA252" w:rsidR="00654D04" w:rsidRPr="004E47DA" w:rsidRDefault="00654D04" w:rsidP="00654D04">
            <w:pPr>
              <w:suppressAutoHyphens w:val="0"/>
              <w:jc w:val="center"/>
              <w:rPr>
                <w:rFonts w:cs="Calibri Light"/>
                <w:color w:val="000000"/>
                <w:sz w:val="20"/>
                <w:szCs w:val="20"/>
              </w:rPr>
            </w:pPr>
            <w:r w:rsidRPr="004E47DA">
              <w:rPr>
                <w:sz w:val="20"/>
                <w:szCs w:val="20"/>
              </w:rPr>
              <w:t>45,795</w:t>
            </w:r>
          </w:p>
        </w:tc>
        <w:tc>
          <w:tcPr>
            <w:tcW w:w="1665" w:type="dxa"/>
            <w:vAlign w:val="center"/>
          </w:tcPr>
          <w:p w14:paraId="554F4D60" w14:textId="60F70B43" w:rsidR="00654D04" w:rsidRPr="004E47DA" w:rsidRDefault="00654D04" w:rsidP="00654D04">
            <w:pPr>
              <w:suppressAutoHyphens w:val="0"/>
              <w:jc w:val="center"/>
              <w:rPr>
                <w:rFonts w:cs="Calibri Light"/>
                <w:color w:val="000000"/>
                <w:sz w:val="20"/>
                <w:szCs w:val="20"/>
              </w:rPr>
            </w:pPr>
            <w:r w:rsidRPr="004E47DA">
              <w:rPr>
                <w:color w:val="000000"/>
                <w:sz w:val="20"/>
                <w:szCs w:val="20"/>
              </w:rPr>
              <w:t>28%</w:t>
            </w:r>
          </w:p>
        </w:tc>
      </w:tr>
      <w:tr w:rsidR="00372EB0" w:rsidRPr="00AB44E1" w14:paraId="52579EAE" w14:textId="77777777" w:rsidTr="00021AA8">
        <w:trPr>
          <w:cantSplit/>
        </w:trPr>
        <w:tc>
          <w:tcPr>
            <w:tcW w:w="4410" w:type="dxa"/>
            <w:vAlign w:val="bottom"/>
          </w:tcPr>
          <w:p w14:paraId="7998B013" w14:textId="77777777" w:rsidR="00372EB0" w:rsidRPr="00AB44E1" w:rsidRDefault="00372EB0" w:rsidP="00372EB0">
            <w:pPr>
              <w:suppressAutoHyphens w:val="0"/>
              <w:rPr>
                <w:rFonts w:asciiTheme="minorHAnsi" w:hAnsiTheme="minorHAnsi" w:cs="Calibri Light"/>
                <w:sz w:val="20"/>
                <w:szCs w:val="20"/>
              </w:rPr>
            </w:pPr>
            <w:r w:rsidRPr="00AB44E1">
              <w:rPr>
                <w:rFonts w:asciiTheme="minorHAnsi" w:hAnsiTheme="minorHAnsi" w:cs="Calibri"/>
                <w:color w:val="000000"/>
                <w:sz w:val="20"/>
                <w:szCs w:val="20"/>
              </w:rPr>
              <w:t>Gender: Male</w:t>
            </w:r>
          </w:p>
        </w:tc>
        <w:tc>
          <w:tcPr>
            <w:tcW w:w="1665" w:type="dxa"/>
            <w:vAlign w:val="bottom"/>
          </w:tcPr>
          <w:p w14:paraId="71A7BDB6" w14:textId="695C13BA" w:rsidR="00372EB0" w:rsidRPr="004E47DA" w:rsidRDefault="00372EB0" w:rsidP="00372EB0">
            <w:pPr>
              <w:suppressAutoHyphens w:val="0"/>
              <w:jc w:val="center"/>
              <w:rPr>
                <w:rFonts w:cs="Calibri Light"/>
                <w:sz w:val="20"/>
                <w:szCs w:val="20"/>
              </w:rPr>
            </w:pPr>
            <w:r w:rsidRPr="004E47DA">
              <w:rPr>
                <w:color w:val="000000"/>
                <w:sz w:val="20"/>
                <w:szCs w:val="20"/>
              </w:rPr>
              <w:t>65,344</w:t>
            </w:r>
          </w:p>
        </w:tc>
        <w:tc>
          <w:tcPr>
            <w:tcW w:w="1665" w:type="dxa"/>
            <w:vAlign w:val="bottom"/>
          </w:tcPr>
          <w:p w14:paraId="4B25F636" w14:textId="5FBB80B7" w:rsidR="00372EB0" w:rsidRPr="004E47DA" w:rsidRDefault="00372EB0" w:rsidP="00372EB0">
            <w:pPr>
              <w:suppressAutoHyphens w:val="0"/>
              <w:jc w:val="center"/>
              <w:rPr>
                <w:rFonts w:cs="Calibri Light"/>
                <w:sz w:val="20"/>
                <w:szCs w:val="20"/>
              </w:rPr>
            </w:pPr>
            <w:r w:rsidRPr="004E47DA">
              <w:rPr>
                <w:color w:val="000000"/>
                <w:sz w:val="20"/>
                <w:szCs w:val="20"/>
              </w:rPr>
              <w:t>42%</w:t>
            </w:r>
          </w:p>
        </w:tc>
        <w:tc>
          <w:tcPr>
            <w:tcW w:w="1665" w:type="dxa"/>
            <w:tcBorders>
              <w:top w:val="single" w:sz="4" w:space="0" w:color="auto"/>
            </w:tcBorders>
            <w:vAlign w:val="bottom"/>
          </w:tcPr>
          <w:p w14:paraId="0A6362A4" w14:textId="697DF676" w:rsidR="00372EB0" w:rsidRPr="004E47DA" w:rsidRDefault="00372EB0" w:rsidP="00372EB0">
            <w:pPr>
              <w:suppressAutoHyphens w:val="0"/>
              <w:jc w:val="center"/>
              <w:rPr>
                <w:rFonts w:cs="Calibri Light"/>
                <w:sz w:val="20"/>
                <w:szCs w:val="20"/>
              </w:rPr>
            </w:pPr>
            <w:r w:rsidRPr="004E47DA">
              <w:rPr>
                <w:color w:val="000000"/>
                <w:sz w:val="20"/>
                <w:szCs w:val="20"/>
              </w:rPr>
              <w:t>67,096</w:t>
            </w:r>
          </w:p>
        </w:tc>
        <w:tc>
          <w:tcPr>
            <w:tcW w:w="1665" w:type="dxa"/>
            <w:vAlign w:val="bottom"/>
          </w:tcPr>
          <w:p w14:paraId="21CBEC12" w14:textId="082BCFAF" w:rsidR="00372EB0" w:rsidRPr="004E47DA" w:rsidRDefault="00372EB0" w:rsidP="00372EB0">
            <w:pPr>
              <w:suppressAutoHyphens w:val="0"/>
              <w:jc w:val="center"/>
              <w:rPr>
                <w:rFonts w:cs="Calibri Light"/>
                <w:sz w:val="20"/>
                <w:szCs w:val="20"/>
              </w:rPr>
            </w:pPr>
            <w:r w:rsidRPr="004E47DA">
              <w:rPr>
                <w:color w:val="000000"/>
                <w:sz w:val="20"/>
                <w:szCs w:val="20"/>
              </w:rPr>
              <w:t>42%</w:t>
            </w:r>
          </w:p>
        </w:tc>
        <w:tc>
          <w:tcPr>
            <w:tcW w:w="1665" w:type="dxa"/>
            <w:vAlign w:val="bottom"/>
          </w:tcPr>
          <w:p w14:paraId="272C34C0" w14:textId="5FC47C6F" w:rsidR="00372EB0" w:rsidRPr="004E47DA" w:rsidRDefault="00372EB0" w:rsidP="00372EB0">
            <w:pPr>
              <w:suppressAutoHyphens w:val="0"/>
              <w:jc w:val="center"/>
              <w:rPr>
                <w:rFonts w:cs="Calibri Light"/>
                <w:color w:val="000000"/>
                <w:sz w:val="20"/>
                <w:szCs w:val="20"/>
              </w:rPr>
            </w:pPr>
            <w:r w:rsidRPr="004E47DA">
              <w:rPr>
                <w:color w:val="000000"/>
                <w:sz w:val="20"/>
                <w:szCs w:val="20"/>
              </w:rPr>
              <w:t>69,265</w:t>
            </w:r>
          </w:p>
        </w:tc>
        <w:tc>
          <w:tcPr>
            <w:tcW w:w="1665" w:type="dxa"/>
            <w:vAlign w:val="bottom"/>
          </w:tcPr>
          <w:p w14:paraId="65F064CB" w14:textId="530BF984" w:rsidR="00372EB0" w:rsidRPr="004E47DA" w:rsidRDefault="00372EB0" w:rsidP="00372EB0">
            <w:pPr>
              <w:suppressAutoHyphens w:val="0"/>
              <w:jc w:val="center"/>
              <w:rPr>
                <w:rFonts w:cs="Calibri Light"/>
                <w:color w:val="000000"/>
                <w:sz w:val="20"/>
                <w:szCs w:val="20"/>
              </w:rPr>
            </w:pPr>
            <w:r w:rsidRPr="004E47DA">
              <w:rPr>
                <w:color w:val="000000"/>
                <w:sz w:val="20"/>
                <w:szCs w:val="20"/>
              </w:rPr>
              <w:t>42%</w:t>
            </w:r>
          </w:p>
        </w:tc>
      </w:tr>
      <w:tr w:rsidR="00372EB0" w:rsidRPr="00AB44E1" w14:paraId="288BF604" w14:textId="77777777" w:rsidTr="00021AA8">
        <w:trPr>
          <w:cantSplit/>
        </w:trPr>
        <w:tc>
          <w:tcPr>
            <w:tcW w:w="4410" w:type="dxa"/>
            <w:vAlign w:val="bottom"/>
          </w:tcPr>
          <w:p w14:paraId="066F5860" w14:textId="77777777" w:rsidR="00372EB0" w:rsidRPr="00AB44E1" w:rsidRDefault="00372EB0" w:rsidP="00372EB0">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Gender: Female</w:t>
            </w:r>
          </w:p>
        </w:tc>
        <w:tc>
          <w:tcPr>
            <w:tcW w:w="1665" w:type="dxa"/>
            <w:tcBorders>
              <w:bottom w:val="single" w:sz="4" w:space="0" w:color="auto"/>
            </w:tcBorders>
            <w:vAlign w:val="bottom"/>
          </w:tcPr>
          <w:p w14:paraId="789E0236" w14:textId="0C6DC07B" w:rsidR="00372EB0" w:rsidRPr="004E47DA" w:rsidRDefault="00372EB0" w:rsidP="00372EB0">
            <w:pPr>
              <w:suppressAutoHyphens w:val="0"/>
              <w:jc w:val="center"/>
              <w:rPr>
                <w:rFonts w:cs="Calibri Light"/>
                <w:color w:val="000000"/>
                <w:sz w:val="20"/>
                <w:szCs w:val="20"/>
              </w:rPr>
            </w:pPr>
            <w:r w:rsidRPr="004E47DA">
              <w:rPr>
                <w:color w:val="000000"/>
                <w:sz w:val="20"/>
                <w:szCs w:val="20"/>
              </w:rPr>
              <w:t>88,615</w:t>
            </w:r>
          </w:p>
        </w:tc>
        <w:tc>
          <w:tcPr>
            <w:tcW w:w="1665" w:type="dxa"/>
            <w:tcBorders>
              <w:bottom w:val="single" w:sz="4" w:space="0" w:color="auto"/>
            </w:tcBorders>
            <w:vAlign w:val="bottom"/>
          </w:tcPr>
          <w:p w14:paraId="60C7B951" w14:textId="0F9376FD" w:rsidR="00372EB0" w:rsidRPr="004E47DA" w:rsidRDefault="00372EB0" w:rsidP="00372EB0">
            <w:pPr>
              <w:suppressAutoHyphens w:val="0"/>
              <w:jc w:val="center"/>
              <w:rPr>
                <w:rFonts w:cs="Calibri Light"/>
                <w:color w:val="000000"/>
                <w:sz w:val="20"/>
                <w:szCs w:val="20"/>
              </w:rPr>
            </w:pPr>
            <w:r w:rsidRPr="004E47DA">
              <w:rPr>
                <w:color w:val="000000"/>
                <w:sz w:val="20"/>
                <w:szCs w:val="20"/>
              </w:rPr>
              <w:t>58%</w:t>
            </w:r>
          </w:p>
        </w:tc>
        <w:tc>
          <w:tcPr>
            <w:tcW w:w="1665" w:type="dxa"/>
            <w:tcBorders>
              <w:bottom w:val="single" w:sz="4" w:space="0" w:color="auto"/>
            </w:tcBorders>
            <w:vAlign w:val="bottom"/>
          </w:tcPr>
          <w:p w14:paraId="691D4140" w14:textId="20650D85" w:rsidR="00372EB0" w:rsidRPr="004E47DA" w:rsidRDefault="00372EB0" w:rsidP="00372EB0">
            <w:pPr>
              <w:suppressAutoHyphens w:val="0"/>
              <w:jc w:val="center"/>
              <w:rPr>
                <w:rFonts w:cs="Calibri Light"/>
                <w:color w:val="000000"/>
                <w:sz w:val="20"/>
                <w:szCs w:val="20"/>
              </w:rPr>
            </w:pPr>
            <w:r w:rsidRPr="004E47DA">
              <w:rPr>
                <w:color w:val="000000"/>
                <w:sz w:val="20"/>
                <w:szCs w:val="20"/>
              </w:rPr>
              <w:t>91,249</w:t>
            </w:r>
          </w:p>
        </w:tc>
        <w:tc>
          <w:tcPr>
            <w:tcW w:w="1665" w:type="dxa"/>
            <w:tcBorders>
              <w:bottom w:val="single" w:sz="4" w:space="0" w:color="auto"/>
            </w:tcBorders>
            <w:vAlign w:val="bottom"/>
          </w:tcPr>
          <w:p w14:paraId="225D1283" w14:textId="01186B86" w:rsidR="00372EB0" w:rsidRPr="004E47DA" w:rsidRDefault="00372EB0" w:rsidP="00372EB0">
            <w:pPr>
              <w:suppressAutoHyphens w:val="0"/>
              <w:jc w:val="center"/>
              <w:rPr>
                <w:rFonts w:cs="Calibri Light"/>
                <w:color w:val="000000"/>
                <w:sz w:val="20"/>
                <w:szCs w:val="20"/>
              </w:rPr>
            </w:pPr>
            <w:r w:rsidRPr="004E47DA">
              <w:rPr>
                <w:color w:val="000000"/>
                <w:sz w:val="20"/>
                <w:szCs w:val="20"/>
              </w:rPr>
              <w:t>58%</w:t>
            </w:r>
          </w:p>
        </w:tc>
        <w:tc>
          <w:tcPr>
            <w:tcW w:w="1665" w:type="dxa"/>
            <w:vAlign w:val="bottom"/>
          </w:tcPr>
          <w:p w14:paraId="679BF265" w14:textId="0FE6955B" w:rsidR="00372EB0" w:rsidRPr="004E47DA" w:rsidRDefault="00372EB0" w:rsidP="00372EB0">
            <w:pPr>
              <w:suppressAutoHyphens w:val="0"/>
              <w:jc w:val="center"/>
              <w:rPr>
                <w:rFonts w:cs="Calibri Light"/>
                <w:color w:val="000000"/>
                <w:sz w:val="20"/>
                <w:szCs w:val="20"/>
              </w:rPr>
            </w:pPr>
            <w:r w:rsidRPr="004E47DA">
              <w:rPr>
                <w:color w:val="000000"/>
                <w:sz w:val="20"/>
                <w:szCs w:val="20"/>
              </w:rPr>
              <w:t>94,433</w:t>
            </w:r>
          </w:p>
        </w:tc>
        <w:tc>
          <w:tcPr>
            <w:tcW w:w="1665" w:type="dxa"/>
            <w:vAlign w:val="bottom"/>
          </w:tcPr>
          <w:p w14:paraId="64AEFF7B" w14:textId="07E0B510" w:rsidR="00372EB0" w:rsidRPr="004E47DA" w:rsidRDefault="00372EB0" w:rsidP="00372EB0">
            <w:pPr>
              <w:suppressAutoHyphens w:val="0"/>
              <w:jc w:val="center"/>
              <w:rPr>
                <w:rFonts w:cs="Calibri Light"/>
                <w:color w:val="000000"/>
                <w:sz w:val="20"/>
                <w:szCs w:val="20"/>
              </w:rPr>
            </w:pPr>
            <w:r w:rsidRPr="004E47DA">
              <w:rPr>
                <w:color w:val="000000"/>
                <w:sz w:val="20"/>
                <w:szCs w:val="20"/>
              </w:rPr>
              <w:t>58%</w:t>
            </w:r>
          </w:p>
        </w:tc>
      </w:tr>
      <w:tr w:rsidR="00372EB0" w:rsidRPr="00AB44E1" w14:paraId="4D426AA8" w14:textId="77777777" w:rsidTr="00021AA8">
        <w:trPr>
          <w:cantSplit/>
        </w:trPr>
        <w:tc>
          <w:tcPr>
            <w:tcW w:w="4410" w:type="dxa"/>
            <w:vAlign w:val="bottom"/>
          </w:tcPr>
          <w:p w14:paraId="59E32574" w14:textId="4C3947A5" w:rsidR="00372EB0" w:rsidRPr="00AB44E1" w:rsidRDefault="00372EB0" w:rsidP="00372EB0">
            <w:pPr>
              <w:suppressAutoHyphens w:val="0"/>
              <w:rPr>
                <w:rFonts w:asciiTheme="minorHAnsi" w:hAnsiTheme="minorHAnsi" w:cs="Calibri"/>
                <w:color w:val="000000"/>
                <w:sz w:val="20"/>
                <w:szCs w:val="20"/>
              </w:rPr>
            </w:pPr>
            <w:r>
              <w:rPr>
                <w:rFonts w:asciiTheme="minorHAnsi" w:hAnsiTheme="minorHAnsi" w:cs="Calibri"/>
                <w:color w:val="000000"/>
                <w:sz w:val="20"/>
                <w:szCs w:val="20"/>
              </w:rPr>
              <w:t>Gender: Other</w:t>
            </w:r>
          </w:p>
        </w:tc>
        <w:tc>
          <w:tcPr>
            <w:tcW w:w="1665" w:type="dxa"/>
            <w:tcBorders>
              <w:bottom w:val="single" w:sz="4" w:space="0" w:color="auto"/>
            </w:tcBorders>
            <w:vAlign w:val="bottom"/>
          </w:tcPr>
          <w:p w14:paraId="7A20B3B8" w14:textId="528EE706" w:rsidR="00372EB0" w:rsidRPr="004E47DA" w:rsidRDefault="00372EB0" w:rsidP="00372EB0">
            <w:pPr>
              <w:suppressAutoHyphens w:val="0"/>
              <w:jc w:val="center"/>
              <w:rPr>
                <w:sz w:val="20"/>
                <w:szCs w:val="20"/>
              </w:rPr>
            </w:pPr>
            <w:r w:rsidRPr="004E47DA">
              <w:rPr>
                <w:color w:val="000000"/>
                <w:sz w:val="20"/>
                <w:szCs w:val="20"/>
              </w:rPr>
              <w:t>55</w:t>
            </w:r>
          </w:p>
        </w:tc>
        <w:tc>
          <w:tcPr>
            <w:tcW w:w="1665" w:type="dxa"/>
            <w:tcBorders>
              <w:bottom w:val="single" w:sz="4" w:space="0" w:color="auto"/>
            </w:tcBorders>
            <w:vAlign w:val="bottom"/>
          </w:tcPr>
          <w:p w14:paraId="539B9F37" w14:textId="4F41C492" w:rsidR="00372EB0" w:rsidRPr="004E47DA" w:rsidRDefault="00372EB0" w:rsidP="00372EB0">
            <w:pPr>
              <w:suppressAutoHyphens w:val="0"/>
              <w:jc w:val="center"/>
              <w:rPr>
                <w:sz w:val="20"/>
                <w:szCs w:val="20"/>
              </w:rPr>
            </w:pPr>
            <w:r w:rsidRPr="004E47DA">
              <w:rPr>
                <w:color w:val="000000"/>
                <w:sz w:val="20"/>
                <w:szCs w:val="20"/>
              </w:rPr>
              <w:t>0%</w:t>
            </w:r>
          </w:p>
        </w:tc>
        <w:tc>
          <w:tcPr>
            <w:tcW w:w="1665" w:type="dxa"/>
            <w:tcBorders>
              <w:bottom w:val="single" w:sz="4" w:space="0" w:color="auto"/>
            </w:tcBorders>
            <w:vAlign w:val="bottom"/>
          </w:tcPr>
          <w:p w14:paraId="1437E71C" w14:textId="291EE464" w:rsidR="00372EB0" w:rsidRPr="004E47DA" w:rsidRDefault="00372EB0" w:rsidP="00372EB0">
            <w:pPr>
              <w:suppressAutoHyphens w:val="0"/>
              <w:jc w:val="center"/>
              <w:rPr>
                <w:sz w:val="20"/>
                <w:szCs w:val="20"/>
              </w:rPr>
            </w:pPr>
            <w:r w:rsidRPr="004E47DA">
              <w:rPr>
                <w:color w:val="000000"/>
                <w:sz w:val="20"/>
                <w:szCs w:val="20"/>
              </w:rPr>
              <w:t>38</w:t>
            </w:r>
          </w:p>
        </w:tc>
        <w:tc>
          <w:tcPr>
            <w:tcW w:w="1665" w:type="dxa"/>
            <w:tcBorders>
              <w:bottom w:val="single" w:sz="4" w:space="0" w:color="auto"/>
            </w:tcBorders>
            <w:vAlign w:val="bottom"/>
          </w:tcPr>
          <w:p w14:paraId="3FA9E6C0" w14:textId="212C9185" w:rsidR="00372EB0" w:rsidRPr="004E47DA" w:rsidRDefault="00372EB0" w:rsidP="00372EB0">
            <w:pPr>
              <w:suppressAutoHyphens w:val="0"/>
              <w:jc w:val="center"/>
              <w:rPr>
                <w:sz w:val="20"/>
                <w:szCs w:val="20"/>
              </w:rPr>
            </w:pPr>
            <w:r w:rsidRPr="004E47DA">
              <w:rPr>
                <w:color w:val="000000"/>
                <w:sz w:val="20"/>
                <w:szCs w:val="20"/>
              </w:rPr>
              <w:t>0%</w:t>
            </w:r>
          </w:p>
        </w:tc>
        <w:tc>
          <w:tcPr>
            <w:tcW w:w="1665" w:type="dxa"/>
            <w:vAlign w:val="bottom"/>
          </w:tcPr>
          <w:p w14:paraId="74063BD3" w14:textId="45D74FD7" w:rsidR="00372EB0" w:rsidRPr="004E47DA" w:rsidRDefault="00372EB0" w:rsidP="00372EB0">
            <w:pPr>
              <w:suppressAutoHyphens w:val="0"/>
              <w:jc w:val="center"/>
              <w:rPr>
                <w:sz w:val="20"/>
                <w:szCs w:val="20"/>
              </w:rPr>
            </w:pPr>
            <w:r w:rsidRPr="004E47DA">
              <w:rPr>
                <w:color w:val="000000"/>
                <w:sz w:val="20"/>
                <w:szCs w:val="20"/>
              </w:rPr>
              <w:t>42</w:t>
            </w:r>
          </w:p>
        </w:tc>
        <w:tc>
          <w:tcPr>
            <w:tcW w:w="1665" w:type="dxa"/>
            <w:vAlign w:val="bottom"/>
          </w:tcPr>
          <w:p w14:paraId="2E31F2F5" w14:textId="701ED19B" w:rsidR="00372EB0" w:rsidRPr="004E47DA" w:rsidRDefault="00372EB0" w:rsidP="00372EB0">
            <w:pPr>
              <w:suppressAutoHyphens w:val="0"/>
              <w:jc w:val="center"/>
              <w:rPr>
                <w:color w:val="000000"/>
                <w:sz w:val="20"/>
                <w:szCs w:val="20"/>
              </w:rPr>
            </w:pPr>
            <w:r w:rsidRPr="004E47DA">
              <w:rPr>
                <w:color w:val="000000"/>
                <w:sz w:val="20"/>
                <w:szCs w:val="20"/>
              </w:rPr>
              <w:t>0%</w:t>
            </w:r>
          </w:p>
        </w:tc>
      </w:tr>
      <w:tr w:rsidR="004E47DA" w:rsidRPr="00AB44E1" w14:paraId="229EC1DF" w14:textId="77777777" w:rsidTr="00021AA8">
        <w:trPr>
          <w:cantSplit/>
        </w:trPr>
        <w:tc>
          <w:tcPr>
            <w:tcW w:w="4410" w:type="dxa"/>
            <w:vAlign w:val="bottom"/>
          </w:tcPr>
          <w:p w14:paraId="732C3B7D" w14:textId="31FD7114" w:rsidR="004E47DA" w:rsidRPr="00AB44E1" w:rsidRDefault="004E47DA" w:rsidP="004E47DA">
            <w:pPr>
              <w:suppressAutoHyphens w:val="0"/>
              <w:rPr>
                <w:rFonts w:asciiTheme="minorHAnsi" w:hAnsiTheme="minorHAnsi" w:cs="Calibri"/>
                <w:color w:val="000000"/>
                <w:sz w:val="20"/>
                <w:szCs w:val="20"/>
              </w:rPr>
            </w:pPr>
            <w:r>
              <w:rPr>
                <w:rFonts w:asciiTheme="minorHAnsi" w:hAnsiTheme="minorHAnsi" w:cs="Calibri"/>
                <w:color w:val="000000"/>
                <w:sz w:val="20"/>
                <w:szCs w:val="20"/>
              </w:rPr>
              <w:t>Race: American Indian or Alaska Native</w:t>
            </w:r>
          </w:p>
        </w:tc>
        <w:tc>
          <w:tcPr>
            <w:tcW w:w="1665" w:type="dxa"/>
            <w:tcBorders>
              <w:top w:val="single" w:sz="4" w:space="0" w:color="auto"/>
              <w:left w:val="nil"/>
              <w:bottom w:val="single" w:sz="4" w:space="0" w:color="auto"/>
              <w:right w:val="single" w:sz="4" w:space="0" w:color="auto"/>
            </w:tcBorders>
            <w:vAlign w:val="bottom"/>
          </w:tcPr>
          <w:p w14:paraId="02F331F6" w14:textId="36F1B27D" w:rsidR="004E47DA" w:rsidRPr="004E47DA" w:rsidRDefault="004E47DA" w:rsidP="004E47DA">
            <w:pPr>
              <w:suppressAutoHyphens w:val="0"/>
              <w:jc w:val="center"/>
              <w:rPr>
                <w:rFonts w:cs="Calibri"/>
                <w:color w:val="000000"/>
                <w:sz w:val="20"/>
                <w:szCs w:val="20"/>
              </w:rPr>
            </w:pPr>
            <w:r w:rsidRPr="004E47DA">
              <w:rPr>
                <w:color w:val="000000"/>
                <w:sz w:val="20"/>
                <w:szCs w:val="20"/>
              </w:rPr>
              <w:t>159</w:t>
            </w:r>
          </w:p>
        </w:tc>
        <w:tc>
          <w:tcPr>
            <w:tcW w:w="1665" w:type="dxa"/>
            <w:tcBorders>
              <w:top w:val="single" w:sz="4" w:space="0" w:color="auto"/>
              <w:left w:val="single" w:sz="4" w:space="0" w:color="auto"/>
              <w:bottom w:val="single" w:sz="4" w:space="0" w:color="auto"/>
              <w:right w:val="single" w:sz="4" w:space="0" w:color="auto"/>
            </w:tcBorders>
            <w:vAlign w:val="bottom"/>
          </w:tcPr>
          <w:p w14:paraId="46D04E1C" w14:textId="7159367B" w:rsidR="004E47DA" w:rsidRPr="004E47DA" w:rsidRDefault="004E47DA" w:rsidP="004E47DA">
            <w:pPr>
              <w:suppressAutoHyphens w:val="0"/>
              <w:jc w:val="center"/>
              <w:rPr>
                <w:rFonts w:cs="Calibri"/>
                <w:color w:val="000000"/>
                <w:sz w:val="20"/>
                <w:szCs w:val="20"/>
              </w:rPr>
            </w:pPr>
            <w:r w:rsidRPr="004E47DA">
              <w:rPr>
                <w:color w:val="000000"/>
                <w:sz w:val="20"/>
                <w:szCs w:val="20"/>
              </w:rPr>
              <w:t>0.1%</w:t>
            </w:r>
          </w:p>
        </w:tc>
        <w:tc>
          <w:tcPr>
            <w:tcW w:w="1665" w:type="dxa"/>
            <w:tcBorders>
              <w:top w:val="single" w:sz="4" w:space="0" w:color="auto"/>
              <w:left w:val="nil"/>
              <w:bottom w:val="single" w:sz="4" w:space="0" w:color="auto"/>
              <w:right w:val="single" w:sz="4" w:space="0" w:color="auto"/>
            </w:tcBorders>
            <w:vAlign w:val="bottom"/>
          </w:tcPr>
          <w:p w14:paraId="4051544D" w14:textId="068BFB0F" w:rsidR="004E47DA" w:rsidRPr="004E47DA" w:rsidRDefault="004E47DA" w:rsidP="004E47DA">
            <w:pPr>
              <w:suppressAutoHyphens w:val="0"/>
              <w:jc w:val="center"/>
              <w:rPr>
                <w:rFonts w:cs="Calibri"/>
                <w:color w:val="000000"/>
                <w:sz w:val="20"/>
                <w:szCs w:val="20"/>
              </w:rPr>
            </w:pPr>
            <w:r w:rsidRPr="004E47DA">
              <w:rPr>
                <w:color w:val="000000"/>
                <w:sz w:val="20"/>
                <w:szCs w:val="20"/>
              </w:rPr>
              <w:t>229</w:t>
            </w:r>
          </w:p>
        </w:tc>
        <w:tc>
          <w:tcPr>
            <w:tcW w:w="1665" w:type="dxa"/>
            <w:tcBorders>
              <w:top w:val="single" w:sz="4" w:space="0" w:color="auto"/>
              <w:left w:val="single" w:sz="4" w:space="0" w:color="auto"/>
              <w:bottom w:val="single" w:sz="4" w:space="0" w:color="auto"/>
              <w:right w:val="nil"/>
            </w:tcBorders>
            <w:vAlign w:val="bottom"/>
          </w:tcPr>
          <w:p w14:paraId="0B1BED6F" w14:textId="432B10FE" w:rsidR="004E47DA" w:rsidRPr="004E47DA" w:rsidRDefault="004E47DA" w:rsidP="004E47DA">
            <w:pPr>
              <w:suppressAutoHyphens w:val="0"/>
              <w:jc w:val="center"/>
              <w:rPr>
                <w:rFonts w:cs="Calibri"/>
                <w:color w:val="000000"/>
                <w:sz w:val="20"/>
                <w:szCs w:val="20"/>
              </w:rPr>
            </w:pPr>
            <w:r w:rsidRPr="004E47DA">
              <w:rPr>
                <w:color w:val="000000"/>
                <w:sz w:val="20"/>
                <w:szCs w:val="20"/>
              </w:rPr>
              <w:t>0.1%</w:t>
            </w:r>
          </w:p>
        </w:tc>
        <w:tc>
          <w:tcPr>
            <w:tcW w:w="1665" w:type="dxa"/>
            <w:vAlign w:val="bottom"/>
          </w:tcPr>
          <w:p w14:paraId="49707E89" w14:textId="6637AFFF" w:rsidR="004E47DA" w:rsidRPr="004E47DA" w:rsidRDefault="004E47DA" w:rsidP="004E47DA">
            <w:pPr>
              <w:suppressAutoHyphens w:val="0"/>
              <w:jc w:val="center"/>
              <w:rPr>
                <w:rFonts w:cs="Calibri Light"/>
                <w:color w:val="000000"/>
                <w:sz w:val="20"/>
                <w:szCs w:val="20"/>
              </w:rPr>
            </w:pPr>
            <w:r w:rsidRPr="004E47DA">
              <w:rPr>
                <w:color w:val="000000"/>
                <w:sz w:val="20"/>
                <w:szCs w:val="20"/>
              </w:rPr>
              <w:t>278</w:t>
            </w:r>
          </w:p>
        </w:tc>
        <w:tc>
          <w:tcPr>
            <w:tcW w:w="1665" w:type="dxa"/>
            <w:vAlign w:val="bottom"/>
          </w:tcPr>
          <w:p w14:paraId="7BB324FC" w14:textId="0167ADAC" w:rsidR="004E47DA" w:rsidRPr="004E47DA" w:rsidRDefault="004E47DA" w:rsidP="004E47DA">
            <w:pPr>
              <w:suppressAutoHyphens w:val="0"/>
              <w:jc w:val="center"/>
              <w:rPr>
                <w:rFonts w:cs="Calibri Light"/>
                <w:color w:val="000000"/>
                <w:sz w:val="20"/>
                <w:szCs w:val="20"/>
              </w:rPr>
            </w:pPr>
            <w:r w:rsidRPr="004E47DA">
              <w:rPr>
                <w:color w:val="000000"/>
                <w:sz w:val="20"/>
                <w:szCs w:val="20"/>
              </w:rPr>
              <w:t>0.2%</w:t>
            </w:r>
          </w:p>
        </w:tc>
      </w:tr>
      <w:tr w:rsidR="004E47DA" w:rsidRPr="00AB44E1" w14:paraId="2AF461FC" w14:textId="77777777" w:rsidTr="00021AA8">
        <w:trPr>
          <w:cantSplit/>
        </w:trPr>
        <w:tc>
          <w:tcPr>
            <w:tcW w:w="4410" w:type="dxa"/>
            <w:vAlign w:val="bottom"/>
          </w:tcPr>
          <w:p w14:paraId="1BFC8D8D" w14:textId="68FC5841" w:rsidR="004E47DA" w:rsidRPr="00AB44E1" w:rsidRDefault="004E47DA" w:rsidP="004E47DA">
            <w:pPr>
              <w:suppressAutoHyphens w:val="0"/>
              <w:rPr>
                <w:rFonts w:asciiTheme="minorHAnsi" w:hAnsiTheme="minorHAnsi" w:cs="Calibri"/>
                <w:color w:val="000000"/>
                <w:sz w:val="20"/>
                <w:szCs w:val="20"/>
              </w:rPr>
            </w:pPr>
            <w:r w:rsidRPr="00AB44E1">
              <w:rPr>
                <w:rFonts w:asciiTheme="minorHAnsi" w:hAnsiTheme="minorHAnsi" w:cs="Calibri"/>
                <w:color w:val="000000"/>
                <w:sz w:val="20"/>
                <w:szCs w:val="20"/>
              </w:rPr>
              <w:t>Race: Asian</w:t>
            </w:r>
          </w:p>
        </w:tc>
        <w:tc>
          <w:tcPr>
            <w:tcW w:w="1665" w:type="dxa"/>
            <w:tcBorders>
              <w:top w:val="single" w:sz="4" w:space="0" w:color="auto"/>
              <w:left w:val="nil"/>
              <w:bottom w:val="single" w:sz="4" w:space="0" w:color="auto"/>
              <w:right w:val="single" w:sz="4" w:space="0" w:color="auto"/>
            </w:tcBorders>
            <w:vAlign w:val="bottom"/>
          </w:tcPr>
          <w:p w14:paraId="42CF2C6B" w14:textId="7BA12D81" w:rsidR="004E47DA" w:rsidRPr="004E47DA" w:rsidRDefault="004E47DA" w:rsidP="004E47DA">
            <w:pPr>
              <w:suppressAutoHyphens w:val="0"/>
              <w:jc w:val="center"/>
              <w:rPr>
                <w:rFonts w:cs="Calibri"/>
                <w:color w:val="000000"/>
                <w:sz w:val="20"/>
                <w:szCs w:val="20"/>
              </w:rPr>
            </w:pPr>
            <w:r w:rsidRPr="004E47DA">
              <w:rPr>
                <w:color w:val="000000"/>
                <w:sz w:val="20"/>
                <w:szCs w:val="20"/>
              </w:rPr>
              <w:t>8</w:t>
            </w:r>
            <w:r>
              <w:rPr>
                <w:color w:val="000000"/>
                <w:sz w:val="20"/>
                <w:szCs w:val="20"/>
              </w:rPr>
              <w:t>,</w:t>
            </w:r>
            <w:r w:rsidRPr="004E47DA">
              <w:rPr>
                <w:color w:val="000000"/>
                <w:sz w:val="20"/>
                <w:szCs w:val="20"/>
              </w:rPr>
              <w:t>662</w:t>
            </w:r>
          </w:p>
        </w:tc>
        <w:tc>
          <w:tcPr>
            <w:tcW w:w="1665" w:type="dxa"/>
            <w:tcBorders>
              <w:top w:val="single" w:sz="4" w:space="0" w:color="auto"/>
              <w:left w:val="single" w:sz="4" w:space="0" w:color="auto"/>
              <w:bottom w:val="single" w:sz="4" w:space="0" w:color="auto"/>
              <w:right w:val="single" w:sz="4" w:space="0" w:color="auto"/>
            </w:tcBorders>
            <w:vAlign w:val="bottom"/>
          </w:tcPr>
          <w:p w14:paraId="20E7E8AE" w14:textId="63533ACB" w:rsidR="004E47DA" w:rsidRPr="004E47DA" w:rsidRDefault="004E47DA" w:rsidP="004E47DA">
            <w:pPr>
              <w:suppressAutoHyphens w:val="0"/>
              <w:jc w:val="center"/>
              <w:rPr>
                <w:rFonts w:cs="Calibri"/>
                <w:color w:val="000000"/>
                <w:sz w:val="20"/>
                <w:szCs w:val="20"/>
              </w:rPr>
            </w:pPr>
            <w:r w:rsidRPr="004E47DA">
              <w:rPr>
                <w:color w:val="000000"/>
                <w:sz w:val="20"/>
                <w:szCs w:val="20"/>
              </w:rPr>
              <w:t>5.6%</w:t>
            </w:r>
          </w:p>
        </w:tc>
        <w:tc>
          <w:tcPr>
            <w:tcW w:w="1665" w:type="dxa"/>
            <w:tcBorders>
              <w:top w:val="single" w:sz="4" w:space="0" w:color="auto"/>
              <w:left w:val="nil"/>
              <w:bottom w:val="single" w:sz="4" w:space="0" w:color="auto"/>
              <w:right w:val="single" w:sz="4" w:space="0" w:color="auto"/>
            </w:tcBorders>
            <w:vAlign w:val="bottom"/>
          </w:tcPr>
          <w:p w14:paraId="7BD60C96" w14:textId="047FF6E3" w:rsidR="004E47DA" w:rsidRPr="004E47DA" w:rsidRDefault="004E47DA" w:rsidP="004E47DA">
            <w:pPr>
              <w:suppressAutoHyphens w:val="0"/>
              <w:jc w:val="center"/>
              <w:rPr>
                <w:rFonts w:cs="Calibri"/>
                <w:color w:val="000000"/>
                <w:sz w:val="20"/>
                <w:szCs w:val="20"/>
              </w:rPr>
            </w:pPr>
            <w:r w:rsidRPr="004E47DA">
              <w:rPr>
                <w:color w:val="000000"/>
                <w:sz w:val="20"/>
                <w:szCs w:val="20"/>
              </w:rPr>
              <w:t>9</w:t>
            </w:r>
            <w:r>
              <w:rPr>
                <w:color w:val="000000"/>
                <w:sz w:val="20"/>
                <w:szCs w:val="20"/>
              </w:rPr>
              <w:t>,</w:t>
            </w:r>
            <w:r w:rsidRPr="004E47DA">
              <w:rPr>
                <w:color w:val="000000"/>
                <w:sz w:val="20"/>
                <w:szCs w:val="20"/>
              </w:rPr>
              <w:t>243</w:t>
            </w:r>
          </w:p>
        </w:tc>
        <w:tc>
          <w:tcPr>
            <w:tcW w:w="1665" w:type="dxa"/>
            <w:tcBorders>
              <w:top w:val="single" w:sz="4" w:space="0" w:color="auto"/>
              <w:left w:val="single" w:sz="4" w:space="0" w:color="auto"/>
              <w:bottom w:val="single" w:sz="4" w:space="0" w:color="auto"/>
              <w:right w:val="nil"/>
            </w:tcBorders>
            <w:vAlign w:val="bottom"/>
          </w:tcPr>
          <w:p w14:paraId="5DADCB3B" w14:textId="1C226AAB" w:rsidR="004E47DA" w:rsidRPr="004E47DA" w:rsidRDefault="004E47DA" w:rsidP="004E47DA">
            <w:pPr>
              <w:suppressAutoHyphens w:val="0"/>
              <w:jc w:val="center"/>
              <w:rPr>
                <w:rFonts w:cs="Calibri"/>
                <w:color w:val="000000"/>
                <w:sz w:val="20"/>
                <w:szCs w:val="20"/>
              </w:rPr>
            </w:pPr>
            <w:r w:rsidRPr="004E47DA">
              <w:rPr>
                <w:color w:val="000000"/>
                <w:sz w:val="20"/>
                <w:szCs w:val="20"/>
              </w:rPr>
              <w:t>5.8%</w:t>
            </w:r>
          </w:p>
        </w:tc>
        <w:tc>
          <w:tcPr>
            <w:tcW w:w="1665" w:type="dxa"/>
            <w:vAlign w:val="bottom"/>
          </w:tcPr>
          <w:p w14:paraId="6F5A7045" w14:textId="73B4A3E1" w:rsidR="004E47DA" w:rsidRPr="004E47DA" w:rsidRDefault="004E47DA" w:rsidP="004E47DA">
            <w:pPr>
              <w:suppressAutoHyphens w:val="0"/>
              <w:jc w:val="center"/>
              <w:rPr>
                <w:rFonts w:cs="Calibri Light"/>
                <w:color w:val="000000"/>
                <w:sz w:val="20"/>
                <w:szCs w:val="20"/>
              </w:rPr>
            </w:pPr>
            <w:r w:rsidRPr="004E47DA">
              <w:rPr>
                <w:color w:val="000000"/>
                <w:sz w:val="20"/>
                <w:szCs w:val="20"/>
              </w:rPr>
              <w:t>9</w:t>
            </w:r>
            <w:r>
              <w:rPr>
                <w:color w:val="000000"/>
                <w:sz w:val="20"/>
                <w:szCs w:val="20"/>
              </w:rPr>
              <w:t>,</w:t>
            </w:r>
            <w:r w:rsidRPr="004E47DA">
              <w:rPr>
                <w:color w:val="000000"/>
                <w:sz w:val="20"/>
                <w:szCs w:val="20"/>
              </w:rPr>
              <w:t>963</w:t>
            </w:r>
          </w:p>
        </w:tc>
        <w:tc>
          <w:tcPr>
            <w:tcW w:w="1665" w:type="dxa"/>
            <w:vAlign w:val="bottom"/>
          </w:tcPr>
          <w:p w14:paraId="7B91FF19" w14:textId="402183CD" w:rsidR="004E47DA" w:rsidRPr="004E47DA" w:rsidRDefault="004E47DA" w:rsidP="004E47DA">
            <w:pPr>
              <w:suppressAutoHyphens w:val="0"/>
              <w:jc w:val="center"/>
              <w:rPr>
                <w:rFonts w:cs="Calibri Light"/>
                <w:color w:val="000000"/>
                <w:sz w:val="20"/>
                <w:szCs w:val="20"/>
              </w:rPr>
            </w:pPr>
            <w:r w:rsidRPr="004E47DA">
              <w:rPr>
                <w:color w:val="000000"/>
                <w:sz w:val="20"/>
                <w:szCs w:val="20"/>
              </w:rPr>
              <w:t>6.1%</w:t>
            </w:r>
          </w:p>
        </w:tc>
      </w:tr>
      <w:tr w:rsidR="004E47DA" w:rsidRPr="00AB44E1" w14:paraId="6B269F64" w14:textId="77777777" w:rsidTr="00021AA8">
        <w:trPr>
          <w:cantSplit/>
        </w:trPr>
        <w:tc>
          <w:tcPr>
            <w:tcW w:w="4410" w:type="dxa"/>
            <w:vAlign w:val="bottom"/>
          </w:tcPr>
          <w:p w14:paraId="1C69B340" w14:textId="2173C7E2" w:rsidR="004E47DA" w:rsidRPr="00AB44E1" w:rsidRDefault="004E47DA" w:rsidP="004E47DA">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Race: Black or African American</w:t>
            </w:r>
          </w:p>
        </w:tc>
        <w:tc>
          <w:tcPr>
            <w:tcW w:w="1665" w:type="dxa"/>
            <w:tcBorders>
              <w:top w:val="single" w:sz="4" w:space="0" w:color="auto"/>
              <w:left w:val="nil"/>
              <w:bottom w:val="single" w:sz="4" w:space="0" w:color="auto"/>
              <w:right w:val="single" w:sz="4" w:space="0" w:color="auto"/>
            </w:tcBorders>
            <w:vAlign w:val="bottom"/>
          </w:tcPr>
          <w:p w14:paraId="1E0E4FC8" w14:textId="715BA8F8" w:rsidR="004E47DA" w:rsidRPr="004E47DA" w:rsidRDefault="004E47DA" w:rsidP="004E47DA">
            <w:pPr>
              <w:suppressAutoHyphens w:val="0"/>
              <w:jc w:val="center"/>
              <w:rPr>
                <w:rFonts w:cs="Calibri"/>
                <w:color w:val="000000"/>
                <w:sz w:val="20"/>
                <w:szCs w:val="20"/>
              </w:rPr>
            </w:pPr>
            <w:r w:rsidRPr="004E47DA">
              <w:rPr>
                <w:color w:val="000000"/>
                <w:sz w:val="20"/>
                <w:szCs w:val="20"/>
              </w:rPr>
              <w:t>4</w:t>
            </w:r>
            <w:r>
              <w:rPr>
                <w:color w:val="000000"/>
                <w:sz w:val="20"/>
                <w:szCs w:val="20"/>
              </w:rPr>
              <w:t>,</w:t>
            </w:r>
            <w:r w:rsidRPr="004E47DA">
              <w:rPr>
                <w:color w:val="000000"/>
                <w:sz w:val="20"/>
                <w:szCs w:val="20"/>
              </w:rPr>
              <w:t>229</w:t>
            </w:r>
          </w:p>
        </w:tc>
        <w:tc>
          <w:tcPr>
            <w:tcW w:w="1665" w:type="dxa"/>
            <w:tcBorders>
              <w:top w:val="single" w:sz="4" w:space="0" w:color="auto"/>
              <w:left w:val="single" w:sz="4" w:space="0" w:color="auto"/>
              <w:bottom w:val="single" w:sz="4" w:space="0" w:color="auto"/>
              <w:right w:val="single" w:sz="4" w:space="0" w:color="auto"/>
            </w:tcBorders>
            <w:vAlign w:val="bottom"/>
          </w:tcPr>
          <w:p w14:paraId="2617619B" w14:textId="48B09BF0" w:rsidR="004E47DA" w:rsidRPr="004E47DA" w:rsidRDefault="004E47DA" w:rsidP="004E47DA">
            <w:pPr>
              <w:suppressAutoHyphens w:val="0"/>
              <w:jc w:val="center"/>
              <w:rPr>
                <w:rFonts w:cs="Calibri"/>
                <w:color w:val="000000"/>
                <w:sz w:val="20"/>
                <w:szCs w:val="20"/>
              </w:rPr>
            </w:pPr>
            <w:r w:rsidRPr="004E47DA">
              <w:rPr>
                <w:color w:val="000000"/>
                <w:sz w:val="20"/>
                <w:szCs w:val="20"/>
              </w:rPr>
              <w:t>2.7%</w:t>
            </w:r>
          </w:p>
        </w:tc>
        <w:tc>
          <w:tcPr>
            <w:tcW w:w="1665" w:type="dxa"/>
            <w:tcBorders>
              <w:top w:val="single" w:sz="4" w:space="0" w:color="auto"/>
              <w:left w:val="nil"/>
              <w:bottom w:val="single" w:sz="4" w:space="0" w:color="auto"/>
              <w:right w:val="single" w:sz="4" w:space="0" w:color="auto"/>
            </w:tcBorders>
            <w:vAlign w:val="bottom"/>
          </w:tcPr>
          <w:p w14:paraId="6A0848C1" w14:textId="3C2F0A8D" w:rsidR="004E47DA" w:rsidRPr="004E47DA" w:rsidRDefault="004E47DA" w:rsidP="004E47DA">
            <w:pPr>
              <w:suppressAutoHyphens w:val="0"/>
              <w:jc w:val="center"/>
              <w:rPr>
                <w:rFonts w:cs="Calibri"/>
                <w:color w:val="000000"/>
                <w:sz w:val="20"/>
                <w:szCs w:val="20"/>
              </w:rPr>
            </w:pPr>
            <w:r w:rsidRPr="004E47DA">
              <w:rPr>
                <w:color w:val="000000"/>
                <w:sz w:val="20"/>
                <w:szCs w:val="20"/>
              </w:rPr>
              <w:t>4</w:t>
            </w:r>
            <w:r>
              <w:rPr>
                <w:color w:val="000000"/>
                <w:sz w:val="20"/>
                <w:szCs w:val="20"/>
              </w:rPr>
              <w:t>,</w:t>
            </w:r>
            <w:r w:rsidRPr="004E47DA">
              <w:rPr>
                <w:color w:val="000000"/>
                <w:sz w:val="20"/>
                <w:szCs w:val="20"/>
              </w:rPr>
              <w:t>768</w:t>
            </w:r>
          </w:p>
        </w:tc>
        <w:tc>
          <w:tcPr>
            <w:tcW w:w="1665" w:type="dxa"/>
            <w:tcBorders>
              <w:top w:val="single" w:sz="4" w:space="0" w:color="auto"/>
              <w:left w:val="single" w:sz="4" w:space="0" w:color="auto"/>
              <w:bottom w:val="single" w:sz="4" w:space="0" w:color="auto"/>
              <w:right w:val="nil"/>
            </w:tcBorders>
            <w:vAlign w:val="bottom"/>
          </w:tcPr>
          <w:p w14:paraId="5ADBFEF6" w14:textId="56302F78" w:rsidR="004E47DA" w:rsidRPr="004E47DA" w:rsidRDefault="004E47DA" w:rsidP="004E47DA">
            <w:pPr>
              <w:suppressAutoHyphens w:val="0"/>
              <w:jc w:val="center"/>
              <w:rPr>
                <w:rFonts w:cs="Calibri"/>
                <w:color w:val="000000"/>
                <w:sz w:val="20"/>
                <w:szCs w:val="20"/>
              </w:rPr>
            </w:pPr>
            <w:r w:rsidRPr="004E47DA">
              <w:rPr>
                <w:color w:val="000000"/>
                <w:sz w:val="20"/>
                <w:szCs w:val="20"/>
              </w:rPr>
              <w:t>3.0%</w:t>
            </w:r>
          </w:p>
        </w:tc>
        <w:tc>
          <w:tcPr>
            <w:tcW w:w="1665" w:type="dxa"/>
            <w:vAlign w:val="bottom"/>
          </w:tcPr>
          <w:p w14:paraId="44D0FDF5" w14:textId="73FFD4B6" w:rsidR="004E47DA" w:rsidRPr="004E47DA" w:rsidRDefault="004E47DA" w:rsidP="004E47DA">
            <w:pPr>
              <w:suppressAutoHyphens w:val="0"/>
              <w:jc w:val="center"/>
              <w:rPr>
                <w:rFonts w:cs="Calibri Light"/>
                <w:color w:val="000000"/>
                <w:sz w:val="20"/>
                <w:szCs w:val="20"/>
              </w:rPr>
            </w:pPr>
            <w:r w:rsidRPr="004E47DA">
              <w:rPr>
                <w:color w:val="000000"/>
                <w:sz w:val="20"/>
                <w:szCs w:val="20"/>
              </w:rPr>
              <w:t>5</w:t>
            </w:r>
            <w:r>
              <w:rPr>
                <w:color w:val="000000"/>
                <w:sz w:val="20"/>
                <w:szCs w:val="20"/>
              </w:rPr>
              <w:t>,</w:t>
            </w:r>
            <w:r w:rsidRPr="004E47DA">
              <w:rPr>
                <w:color w:val="000000"/>
                <w:sz w:val="20"/>
                <w:szCs w:val="20"/>
              </w:rPr>
              <w:t>093</w:t>
            </w:r>
          </w:p>
        </w:tc>
        <w:tc>
          <w:tcPr>
            <w:tcW w:w="1665" w:type="dxa"/>
            <w:vAlign w:val="bottom"/>
          </w:tcPr>
          <w:p w14:paraId="20AB6AA2" w14:textId="5CBB0ADA" w:rsidR="004E47DA" w:rsidRPr="004E47DA" w:rsidRDefault="004E47DA" w:rsidP="004E47DA">
            <w:pPr>
              <w:suppressAutoHyphens w:val="0"/>
              <w:jc w:val="center"/>
              <w:rPr>
                <w:rFonts w:cs="Calibri Light"/>
                <w:color w:val="000000"/>
                <w:sz w:val="20"/>
                <w:szCs w:val="20"/>
              </w:rPr>
            </w:pPr>
            <w:r w:rsidRPr="004E47DA">
              <w:rPr>
                <w:color w:val="000000"/>
                <w:sz w:val="20"/>
                <w:szCs w:val="20"/>
              </w:rPr>
              <w:t>3.1%</w:t>
            </w:r>
          </w:p>
        </w:tc>
      </w:tr>
      <w:tr w:rsidR="004E47DA" w:rsidRPr="00AB44E1" w14:paraId="32A3BF39" w14:textId="77777777" w:rsidTr="00021AA8">
        <w:trPr>
          <w:cantSplit/>
        </w:trPr>
        <w:tc>
          <w:tcPr>
            <w:tcW w:w="4410" w:type="dxa"/>
            <w:vAlign w:val="bottom"/>
          </w:tcPr>
          <w:p w14:paraId="43BDB7AA" w14:textId="4DC2AFE9" w:rsidR="004E47DA" w:rsidRPr="00AB44E1" w:rsidRDefault="004E47DA" w:rsidP="004E47DA">
            <w:pPr>
              <w:suppressAutoHyphens w:val="0"/>
              <w:rPr>
                <w:rFonts w:asciiTheme="minorHAnsi" w:hAnsiTheme="minorHAnsi" w:cs="Calibri Light"/>
                <w:b/>
                <w:bCs/>
                <w:color w:val="000000"/>
                <w:sz w:val="20"/>
                <w:szCs w:val="20"/>
              </w:rPr>
            </w:pPr>
            <w:r>
              <w:rPr>
                <w:rFonts w:asciiTheme="minorHAnsi" w:hAnsiTheme="minorHAnsi" w:cs="Calibri"/>
                <w:color w:val="000000"/>
                <w:sz w:val="20"/>
                <w:szCs w:val="20"/>
              </w:rPr>
              <w:t>Race: Native Hawaiian or Other Pacific Islander</w:t>
            </w:r>
          </w:p>
        </w:tc>
        <w:tc>
          <w:tcPr>
            <w:tcW w:w="1665" w:type="dxa"/>
            <w:tcBorders>
              <w:top w:val="single" w:sz="4" w:space="0" w:color="auto"/>
              <w:left w:val="nil"/>
              <w:bottom w:val="single" w:sz="4" w:space="0" w:color="auto"/>
              <w:right w:val="single" w:sz="4" w:space="0" w:color="auto"/>
            </w:tcBorders>
            <w:vAlign w:val="bottom"/>
          </w:tcPr>
          <w:p w14:paraId="603BC3CE" w14:textId="0E9C2D7B" w:rsidR="004E47DA" w:rsidRPr="004E47DA" w:rsidRDefault="004E47DA" w:rsidP="004E47DA">
            <w:pPr>
              <w:suppressAutoHyphens w:val="0"/>
              <w:jc w:val="center"/>
              <w:rPr>
                <w:rFonts w:cs="Calibri"/>
                <w:color w:val="000000"/>
                <w:sz w:val="20"/>
                <w:szCs w:val="20"/>
              </w:rPr>
            </w:pPr>
            <w:r w:rsidRPr="004E47DA">
              <w:rPr>
                <w:color w:val="000000"/>
                <w:sz w:val="20"/>
                <w:szCs w:val="20"/>
              </w:rPr>
              <w:t>55</w:t>
            </w:r>
          </w:p>
        </w:tc>
        <w:tc>
          <w:tcPr>
            <w:tcW w:w="1665" w:type="dxa"/>
            <w:tcBorders>
              <w:top w:val="single" w:sz="4" w:space="0" w:color="auto"/>
              <w:left w:val="single" w:sz="4" w:space="0" w:color="auto"/>
              <w:bottom w:val="single" w:sz="4" w:space="0" w:color="auto"/>
              <w:right w:val="single" w:sz="4" w:space="0" w:color="auto"/>
            </w:tcBorders>
            <w:vAlign w:val="bottom"/>
          </w:tcPr>
          <w:p w14:paraId="6FD3A7E0" w14:textId="18898AD2" w:rsidR="004E47DA" w:rsidRPr="004E47DA" w:rsidRDefault="004E47DA" w:rsidP="004E47DA">
            <w:pPr>
              <w:suppressAutoHyphens w:val="0"/>
              <w:jc w:val="center"/>
              <w:rPr>
                <w:rFonts w:cs="Calibri"/>
                <w:color w:val="000000"/>
                <w:sz w:val="20"/>
                <w:szCs w:val="20"/>
              </w:rPr>
            </w:pPr>
            <w:r w:rsidRPr="004E47DA">
              <w:rPr>
                <w:color w:val="000000"/>
                <w:sz w:val="20"/>
                <w:szCs w:val="20"/>
              </w:rPr>
              <w:t>0.0%</w:t>
            </w:r>
          </w:p>
        </w:tc>
        <w:tc>
          <w:tcPr>
            <w:tcW w:w="1665" w:type="dxa"/>
            <w:tcBorders>
              <w:top w:val="single" w:sz="4" w:space="0" w:color="auto"/>
              <w:left w:val="nil"/>
              <w:bottom w:val="single" w:sz="4" w:space="0" w:color="auto"/>
              <w:right w:val="single" w:sz="4" w:space="0" w:color="auto"/>
            </w:tcBorders>
            <w:vAlign w:val="bottom"/>
          </w:tcPr>
          <w:p w14:paraId="25DC27C0" w14:textId="6F9F6A89" w:rsidR="004E47DA" w:rsidRPr="004E47DA" w:rsidRDefault="004E47DA" w:rsidP="004E47DA">
            <w:pPr>
              <w:suppressAutoHyphens w:val="0"/>
              <w:jc w:val="center"/>
              <w:rPr>
                <w:rFonts w:cs="Calibri"/>
                <w:color w:val="000000"/>
                <w:sz w:val="20"/>
                <w:szCs w:val="20"/>
              </w:rPr>
            </w:pPr>
            <w:r w:rsidRPr="004E47DA">
              <w:rPr>
                <w:color w:val="000000"/>
                <w:sz w:val="20"/>
                <w:szCs w:val="20"/>
              </w:rPr>
              <w:t>58</w:t>
            </w:r>
          </w:p>
        </w:tc>
        <w:tc>
          <w:tcPr>
            <w:tcW w:w="1665" w:type="dxa"/>
            <w:tcBorders>
              <w:top w:val="single" w:sz="4" w:space="0" w:color="auto"/>
              <w:left w:val="single" w:sz="4" w:space="0" w:color="auto"/>
              <w:bottom w:val="single" w:sz="4" w:space="0" w:color="auto"/>
              <w:right w:val="nil"/>
            </w:tcBorders>
            <w:vAlign w:val="bottom"/>
          </w:tcPr>
          <w:p w14:paraId="09EDAF78" w14:textId="51C6F837" w:rsidR="004E47DA" w:rsidRPr="004E47DA" w:rsidRDefault="004E47DA" w:rsidP="004E47DA">
            <w:pPr>
              <w:suppressAutoHyphens w:val="0"/>
              <w:jc w:val="center"/>
              <w:rPr>
                <w:rFonts w:cs="Calibri"/>
                <w:color w:val="000000"/>
                <w:sz w:val="20"/>
                <w:szCs w:val="20"/>
              </w:rPr>
            </w:pPr>
            <w:r w:rsidRPr="004E47DA">
              <w:rPr>
                <w:color w:val="000000"/>
                <w:sz w:val="20"/>
                <w:szCs w:val="20"/>
              </w:rPr>
              <w:t>0.0%</w:t>
            </w:r>
          </w:p>
        </w:tc>
        <w:tc>
          <w:tcPr>
            <w:tcW w:w="1665" w:type="dxa"/>
            <w:vAlign w:val="bottom"/>
          </w:tcPr>
          <w:p w14:paraId="7E714357" w14:textId="592D25EE" w:rsidR="004E47DA" w:rsidRPr="004E47DA" w:rsidRDefault="004E47DA" w:rsidP="004E47DA">
            <w:pPr>
              <w:suppressAutoHyphens w:val="0"/>
              <w:jc w:val="center"/>
              <w:rPr>
                <w:rFonts w:cs="Calibri Light"/>
                <w:color w:val="000000"/>
                <w:sz w:val="20"/>
                <w:szCs w:val="20"/>
              </w:rPr>
            </w:pPr>
            <w:r w:rsidRPr="004E47DA">
              <w:rPr>
                <w:color w:val="000000"/>
                <w:sz w:val="20"/>
                <w:szCs w:val="20"/>
              </w:rPr>
              <w:t>57</w:t>
            </w:r>
          </w:p>
        </w:tc>
        <w:tc>
          <w:tcPr>
            <w:tcW w:w="1665" w:type="dxa"/>
            <w:vAlign w:val="bottom"/>
          </w:tcPr>
          <w:p w14:paraId="5A315C03" w14:textId="3414EE08" w:rsidR="004E47DA" w:rsidRPr="004E47DA" w:rsidRDefault="004E47DA" w:rsidP="004E47DA">
            <w:pPr>
              <w:suppressAutoHyphens w:val="0"/>
              <w:jc w:val="center"/>
              <w:rPr>
                <w:rFonts w:cs="Calibri Light"/>
                <w:color w:val="000000"/>
                <w:sz w:val="20"/>
                <w:szCs w:val="20"/>
              </w:rPr>
            </w:pPr>
            <w:r w:rsidRPr="004E47DA">
              <w:rPr>
                <w:color w:val="000000"/>
                <w:sz w:val="20"/>
                <w:szCs w:val="20"/>
              </w:rPr>
              <w:t>0.0%</w:t>
            </w:r>
          </w:p>
        </w:tc>
      </w:tr>
      <w:tr w:rsidR="004E47DA" w:rsidRPr="00AB44E1" w14:paraId="06444920" w14:textId="77777777" w:rsidTr="00021AA8">
        <w:trPr>
          <w:cantSplit/>
        </w:trPr>
        <w:tc>
          <w:tcPr>
            <w:tcW w:w="4410" w:type="dxa"/>
            <w:vAlign w:val="bottom"/>
          </w:tcPr>
          <w:p w14:paraId="4EEBC945" w14:textId="3FE198CB" w:rsidR="004E47DA" w:rsidRPr="00372EB0" w:rsidRDefault="004E47DA" w:rsidP="004E47DA">
            <w:pPr>
              <w:suppressAutoHyphens w:val="0"/>
              <w:rPr>
                <w:rFonts w:asciiTheme="minorHAnsi" w:hAnsiTheme="minorHAnsi" w:cs="Calibri"/>
                <w:color w:val="000000"/>
                <w:sz w:val="20"/>
                <w:szCs w:val="20"/>
              </w:rPr>
            </w:pPr>
            <w:r w:rsidRPr="00AB44E1">
              <w:rPr>
                <w:rFonts w:asciiTheme="minorHAnsi" w:hAnsiTheme="minorHAnsi" w:cs="Calibri"/>
                <w:color w:val="000000"/>
                <w:sz w:val="20"/>
                <w:szCs w:val="20"/>
              </w:rPr>
              <w:t xml:space="preserve">Race: </w:t>
            </w:r>
            <w:r>
              <w:rPr>
                <w:rFonts w:asciiTheme="minorHAnsi" w:hAnsiTheme="minorHAnsi" w:cs="Calibri"/>
                <w:color w:val="000000"/>
                <w:sz w:val="20"/>
                <w:szCs w:val="20"/>
              </w:rPr>
              <w:t>Other</w:t>
            </w:r>
          </w:p>
        </w:tc>
        <w:tc>
          <w:tcPr>
            <w:tcW w:w="1665" w:type="dxa"/>
            <w:tcBorders>
              <w:top w:val="single" w:sz="4" w:space="0" w:color="auto"/>
              <w:left w:val="nil"/>
              <w:bottom w:val="single" w:sz="4" w:space="0" w:color="auto"/>
              <w:right w:val="single" w:sz="4" w:space="0" w:color="auto"/>
            </w:tcBorders>
            <w:vAlign w:val="bottom"/>
          </w:tcPr>
          <w:p w14:paraId="4695348F" w14:textId="646E1CB7" w:rsidR="004E47DA" w:rsidRPr="004E47DA" w:rsidRDefault="004E47DA" w:rsidP="004E47DA">
            <w:pPr>
              <w:suppressAutoHyphens w:val="0"/>
              <w:jc w:val="center"/>
              <w:rPr>
                <w:rFonts w:cs="Calibri"/>
                <w:color w:val="000000"/>
                <w:sz w:val="20"/>
                <w:szCs w:val="20"/>
              </w:rPr>
            </w:pPr>
            <w:r w:rsidRPr="004E47DA">
              <w:rPr>
                <w:color w:val="000000"/>
                <w:sz w:val="20"/>
                <w:szCs w:val="20"/>
              </w:rPr>
              <w:t>5</w:t>
            </w:r>
            <w:r>
              <w:rPr>
                <w:color w:val="000000"/>
                <w:sz w:val="20"/>
                <w:szCs w:val="20"/>
              </w:rPr>
              <w:t>,</w:t>
            </w:r>
            <w:r w:rsidRPr="004E47DA">
              <w:rPr>
                <w:color w:val="000000"/>
                <w:sz w:val="20"/>
                <w:szCs w:val="20"/>
              </w:rPr>
              <w:t>382</w:t>
            </w:r>
          </w:p>
        </w:tc>
        <w:tc>
          <w:tcPr>
            <w:tcW w:w="1665" w:type="dxa"/>
            <w:tcBorders>
              <w:top w:val="single" w:sz="4" w:space="0" w:color="auto"/>
              <w:left w:val="single" w:sz="4" w:space="0" w:color="auto"/>
              <w:bottom w:val="single" w:sz="4" w:space="0" w:color="auto"/>
              <w:right w:val="single" w:sz="4" w:space="0" w:color="auto"/>
            </w:tcBorders>
            <w:vAlign w:val="bottom"/>
          </w:tcPr>
          <w:p w14:paraId="650E1947" w14:textId="7027DFEF" w:rsidR="004E47DA" w:rsidRPr="004E47DA" w:rsidRDefault="004E47DA" w:rsidP="004E47DA">
            <w:pPr>
              <w:suppressAutoHyphens w:val="0"/>
              <w:jc w:val="center"/>
              <w:rPr>
                <w:rFonts w:cs="Calibri"/>
                <w:color w:val="000000"/>
                <w:sz w:val="20"/>
                <w:szCs w:val="20"/>
              </w:rPr>
            </w:pPr>
            <w:r w:rsidRPr="004E47DA">
              <w:rPr>
                <w:color w:val="000000"/>
                <w:sz w:val="20"/>
                <w:szCs w:val="20"/>
              </w:rPr>
              <w:t>3.5%</w:t>
            </w:r>
          </w:p>
        </w:tc>
        <w:tc>
          <w:tcPr>
            <w:tcW w:w="1665" w:type="dxa"/>
            <w:tcBorders>
              <w:top w:val="single" w:sz="4" w:space="0" w:color="auto"/>
              <w:left w:val="nil"/>
              <w:bottom w:val="single" w:sz="4" w:space="0" w:color="auto"/>
              <w:right w:val="single" w:sz="4" w:space="0" w:color="auto"/>
            </w:tcBorders>
            <w:vAlign w:val="bottom"/>
          </w:tcPr>
          <w:p w14:paraId="68ECB5FF" w14:textId="44C6CA70" w:rsidR="004E47DA" w:rsidRPr="004E47DA" w:rsidRDefault="004E47DA" w:rsidP="004E47DA">
            <w:pPr>
              <w:suppressAutoHyphens w:val="0"/>
              <w:jc w:val="center"/>
              <w:rPr>
                <w:rFonts w:cs="Calibri"/>
                <w:color w:val="000000"/>
                <w:sz w:val="20"/>
                <w:szCs w:val="20"/>
              </w:rPr>
            </w:pPr>
            <w:r w:rsidRPr="004E47DA">
              <w:rPr>
                <w:color w:val="000000"/>
                <w:sz w:val="20"/>
                <w:szCs w:val="20"/>
              </w:rPr>
              <w:t>5902</w:t>
            </w:r>
          </w:p>
        </w:tc>
        <w:tc>
          <w:tcPr>
            <w:tcW w:w="1665" w:type="dxa"/>
            <w:tcBorders>
              <w:top w:val="single" w:sz="4" w:space="0" w:color="auto"/>
              <w:left w:val="single" w:sz="4" w:space="0" w:color="auto"/>
              <w:bottom w:val="single" w:sz="4" w:space="0" w:color="auto"/>
              <w:right w:val="nil"/>
            </w:tcBorders>
            <w:vAlign w:val="bottom"/>
          </w:tcPr>
          <w:p w14:paraId="5C0EE57B" w14:textId="1950F2D9" w:rsidR="004E47DA" w:rsidRPr="004E47DA" w:rsidRDefault="004E47DA" w:rsidP="004E47DA">
            <w:pPr>
              <w:suppressAutoHyphens w:val="0"/>
              <w:jc w:val="center"/>
              <w:rPr>
                <w:rFonts w:cs="Calibri"/>
                <w:color w:val="000000"/>
                <w:sz w:val="20"/>
                <w:szCs w:val="20"/>
              </w:rPr>
            </w:pPr>
            <w:r w:rsidRPr="004E47DA">
              <w:rPr>
                <w:color w:val="000000"/>
                <w:sz w:val="20"/>
                <w:szCs w:val="20"/>
              </w:rPr>
              <w:t>3.7%</w:t>
            </w:r>
          </w:p>
        </w:tc>
        <w:tc>
          <w:tcPr>
            <w:tcW w:w="1665" w:type="dxa"/>
            <w:vAlign w:val="bottom"/>
          </w:tcPr>
          <w:p w14:paraId="42868476" w14:textId="38905290" w:rsidR="004E47DA" w:rsidRPr="004E47DA" w:rsidRDefault="004E47DA" w:rsidP="004E47DA">
            <w:pPr>
              <w:suppressAutoHyphens w:val="0"/>
              <w:jc w:val="center"/>
              <w:rPr>
                <w:rFonts w:cs="Calibri Light"/>
                <w:color w:val="000000"/>
                <w:sz w:val="20"/>
                <w:szCs w:val="20"/>
              </w:rPr>
            </w:pPr>
            <w:r w:rsidRPr="004E47DA">
              <w:rPr>
                <w:color w:val="000000"/>
                <w:sz w:val="20"/>
                <w:szCs w:val="20"/>
              </w:rPr>
              <w:t>6</w:t>
            </w:r>
            <w:r>
              <w:rPr>
                <w:color w:val="000000"/>
                <w:sz w:val="20"/>
                <w:szCs w:val="20"/>
              </w:rPr>
              <w:t>,</w:t>
            </w:r>
            <w:r w:rsidRPr="004E47DA">
              <w:rPr>
                <w:color w:val="000000"/>
                <w:sz w:val="20"/>
                <w:szCs w:val="20"/>
              </w:rPr>
              <w:t>404</w:t>
            </w:r>
          </w:p>
        </w:tc>
        <w:tc>
          <w:tcPr>
            <w:tcW w:w="1665" w:type="dxa"/>
            <w:vAlign w:val="bottom"/>
          </w:tcPr>
          <w:p w14:paraId="3D948878" w14:textId="619827AC" w:rsidR="004E47DA" w:rsidRPr="004E47DA" w:rsidRDefault="004E47DA" w:rsidP="004E47DA">
            <w:pPr>
              <w:suppressAutoHyphens w:val="0"/>
              <w:jc w:val="center"/>
              <w:rPr>
                <w:rFonts w:cs="Calibri Light"/>
                <w:color w:val="000000"/>
                <w:sz w:val="20"/>
                <w:szCs w:val="20"/>
              </w:rPr>
            </w:pPr>
            <w:r w:rsidRPr="004E47DA">
              <w:rPr>
                <w:color w:val="000000"/>
                <w:sz w:val="20"/>
                <w:szCs w:val="20"/>
              </w:rPr>
              <w:t>3.9%</w:t>
            </w:r>
          </w:p>
        </w:tc>
      </w:tr>
      <w:tr w:rsidR="004E47DA" w:rsidRPr="00AB44E1" w14:paraId="2484F127" w14:textId="77777777" w:rsidTr="00021AA8">
        <w:trPr>
          <w:cantSplit/>
        </w:trPr>
        <w:tc>
          <w:tcPr>
            <w:tcW w:w="4410" w:type="dxa"/>
            <w:vAlign w:val="bottom"/>
          </w:tcPr>
          <w:p w14:paraId="2817AC4E" w14:textId="48F1957A" w:rsidR="004E47DA" w:rsidRPr="00AB44E1" w:rsidRDefault="004E47DA" w:rsidP="004E47DA">
            <w:pPr>
              <w:suppressAutoHyphens w:val="0"/>
              <w:rPr>
                <w:rFonts w:asciiTheme="minorHAnsi" w:hAnsiTheme="minorHAnsi" w:cs="Calibri"/>
                <w:color w:val="000000"/>
                <w:sz w:val="20"/>
                <w:szCs w:val="20"/>
              </w:rPr>
            </w:pPr>
            <w:r>
              <w:rPr>
                <w:rFonts w:asciiTheme="minorHAnsi" w:hAnsiTheme="minorHAnsi" w:cs="Calibri"/>
                <w:color w:val="000000"/>
                <w:sz w:val="20"/>
                <w:szCs w:val="20"/>
              </w:rPr>
              <w:t>Race: White</w:t>
            </w:r>
          </w:p>
        </w:tc>
        <w:tc>
          <w:tcPr>
            <w:tcW w:w="1665" w:type="dxa"/>
            <w:tcBorders>
              <w:top w:val="single" w:sz="4" w:space="0" w:color="auto"/>
              <w:left w:val="nil"/>
              <w:bottom w:val="single" w:sz="4" w:space="0" w:color="auto"/>
              <w:right w:val="single" w:sz="4" w:space="0" w:color="auto"/>
            </w:tcBorders>
            <w:vAlign w:val="bottom"/>
          </w:tcPr>
          <w:p w14:paraId="2F39E668" w14:textId="6F508499" w:rsidR="004E47DA" w:rsidRPr="004E47DA" w:rsidRDefault="004E47DA" w:rsidP="004E47DA">
            <w:pPr>
              <w:suppressAutoHyphens w:val="0"/>
              <w:jc w:val="center"/>
              <w:rPr>
                <w:rFonts w:cs="Calibri"/>
                <w:color w:val="000000"/>
                <w:sz w:val="20"/>
                <w:szCs w:val="20"/>
              </w:rPr>
            </w:pPr>
            <w:r w:rsidRPr="004E47DA">
              <w:rPr>
                <w:color w:val="000000"/>
                <w:sz w:val="20"/>
                <w:szCs w:val="20"/>
              </w:rPr>
              <w:t>133</w:t>
            </w:r>
            <w:r>
              <w:rPr>
                <w:color w:val="000000"/>
                <w:sz w:val="20"/>
                <w:szCs w:val="20"/>
              </w:rPr>
              <w:t>,</w:t>
            </w:r>
            <w:r w:rsidRPr="004E47DA">
              <w:rPr>
                <w:color w:val="000000"/>
                <w:sz w:val="20"/>
                <w:szCs w:val="20"/>
              </w:rPr>
              <w:t>038</w:t>
            </w:r>
          </w:p>
        </w:tc>
        <w:tc>
          <w:tcPr>
            <w:tcW w:w="1665" w:type="dxa"/>
            <w:tcBorders>
              <w:top w:val="single" w:sz="4" w:space="0" w:color="auto"/>
              <w:left w:val="single" w:sz="4" w:space="0" w:color="auto"/>
              <w:bottom w:val="single" w:sz="4" w:space="0" w:color="auto"/>
              <w:right w:val="single" w:sz="4" w:space="0" w:color="auto"/>
            </w:tcBorders>
            <w:vAlign w:val="bottom"/>
          </w:tcPr>
          <w:p w14:paraId="5B48F4DA" w14:textId="4464C6D4" w:rsidR="004E47DA" w:rsidRPr="004E47DA" w:rsidRDefault="004E47DA" w:rsidP="004E47DA">
            <w:pPr>
              <w:suppressAutoHyphens w:val="0"/>
              <w:jc w:val="center"/>
              <w:rPr>
                <w:rFonts w:cs="Calibri"/>
                <w:color w:val="000000"/>
                <w:sz w:val="20"/>
                <w:szCs w:val="20"/>
              </w:rPr>
            </w:pPr>
            <w:r w:rsidRPr="004E47DA">
              <w:rPr>
                <w:color w:val="000000"/>
                <w:sz w:val="20"/>
                <w:szCs w:val="20"/>
              </w:rPr>
              <w:t>86.4%</w:t>
            </w:r>
          </w:p>
        </w:tc>
        <w:tc>
          <w:tcPr>
            <w:tcW w:w="1665" w:type="dxa"/>
            <w:tcBorders>
              <w:top w:val="single" w:sz="4" w:space="0" w:color="auto"/>
              <w:left w:val="nil"/>
              <w:bottom w:val="single" w:sz="4" w:space="0" w:color="auto"/>
              <w:right w:val="single" w:sz="4" w:space="0" w:color="auto"/>
            </w:tcBorders>
            <w:vAlign w:val="bottom"/>
          </w:tcPr>
          <w:p w14:paraId="18E63D91" w14:textId="1267B87F" w:rsidR="004E47DA" w:rsidRPr="004E47DA" w:rsidRDefault="004E47DA" w:rsidP="004E47DA">
            <w:pPr>
              <w:suppressAutoHyphens w:val="0"/>
              <w:jc w:val="center"/>
              <w:rPr>
                <w:rFonts w:cs="Calibri"/>
                <w:color w:val="000000"/>
                <w:sz w:val="20"/>
                <w:szCs w:val="20"/>
              </w:rPr>
            </w:pPr>
            <w:r w:rsidRPr="004E47DA">
              <w:rPr>
                <w:color w:val="000000"/>
                <w:sz w:val="20"/>
                <w:szCs w:val="20"/>
              </w:rPr>
              <w:t>135</w:t>
            </w:r>
            <w:r>
              <w:rPr>
                <w:color w:val="000000"/>
                <w:sz w:val="20"/>
                <w:szCs w:val="20"/>
              </w:rPr>
              <w:t>,</w:t>
            </w:r>
            <w:r w:rsidRPr="004E47DA">
              <w:rPr>
                <w:color w:val="000000"/>
                <w:sz w:val="20"/>
                <w:szCs w:val="20"/>
              </w:rPr>
              <w:t>650</w:t>
            </w:r>
          </w:p>
        </w:tc>
        <w:tc>
          <w:tcPr>
            <w:tcW w:w="1665" w:type="dxa"/>
            <w:tcBorders>
              <w:top w:val="single" w:sz="4" w:space="0" w:color="auto"/>
              <w:left w:val="single" w:sz="4" w:space="0" w:color="auto"/>
              <w:bottom w:val="single" w:sz="4" w:space="0" w:color="auto"/>
              <w:right w:val="nil"/>
            </w:tcBorders>
            <w:vAlign w:val="bottom"/>
          </w:tcPr>
          <w:p w14:paraId="53D4AC81" w14:textId="6F6C04FA" w:rsidR="004E47DA" w:rsidRPr="004E47DA" w:rsidRDefault="004E47DA" w:rsidP="004E47DA">
            <w:pPr>
              <w:suppressAutoHyphens w:val="0"/>
              <w:jc w:val="center"/>
              <w:rPr>
                <w:rFonts w:cs="Calibri"/>
                <w:color w:val="000000"/>
                <w:sz w:val="20"/>
                <w:szCs w:val="20"/>
              </w:rPr>
            </w:pPr>
            <w:r w:rsidRPr="004E47DA">
              <w:rPr>
                <w:color w:val="000000"/>
                <w:sz w:val="20"/>
                <w:szCs w:val="20"/>
              </w:rPr>
              <w:t>85.6%</w:t>
            </w:r>
          </w:p>
        </w:tc>
        <w:tc>
          <w:tcPr>
            <w:tcW w:w="1665" w:type="dxa"/>
            <w:vAlign w:val="bottom"/>
          </w:tcPr>
          <w:p w14:paraId="20EABFFC" w14:textId="13BC2F50" w:rsidR="004E47DA" w:rsidRPr="004E47DA" w:rsidRDefault="004E47DA" w:rsidP="004E47DA">
            <w:pPr>
              <w:suppressAutoHyphens w:val="0"/>
              <w:jc w:val="center"/>
              <w:rPr>
                <w:rFonts w:cs="Calibri Light"/>
                <w:color w:val="000000"/>
                <w:sz w:val="20"/>
                <w:szCs w:val="20"/>
              </w:rPr>
            </w:pPr>
            <w:r w:rsidRPr="004E47DA">
              <w:rPr>
                <w:color w:val="000000"/>
                <w:sz w:val="20"/>
                <w:szCs w:val="20"/>
              </w:rPr>
              <w:t>139</w:t>
            </w:r>
            <w:r>
              <w:rPr>
                <w:color w:val="000000"/>
                <w:sz w:val="20"/>
                <w:szCs w:val="20"/>
              </w:rPr>
              <w:t>,</w:t>
            </w:r>
            <w:r w:rsidRPr="004E47DA">
              <w:rPr>
                <w:color w:val="000000"/>
                <w:sz w:val="20"/>
                <w:szCs w:val="20"/>
              </w:rPr>
              <w:t>095</w:t>
            </w:r>
          </w:p>
        </w:tc>
        <w:tc>
          <w:tcPr>
            <w:tcW w:w="1665" w:type="dxa"/>
            <w:vAlign w:val="bottom"/>
          </w:tcPr>
          <w:p w14:paraId="68D3E855" w14:textId="2C1BAD0A" w:rsidR="004E47DA" w:rsidRPr="004E47DA" w:rsidRDefault="004E47DA" w:rsidP="004E47DA">
            <w:pPr>
              <w:suppressAutoHyphens w:val="0"/>
              <w:jc w:val="center"/>
              <w:rPr>
                <w:rFonts w:cs="Calibri Light"/>
                <w:color w:val="000000"/>
                <w:sz w:val="20"/>
                <w:szCs w:val="20"/>
              </w:rPr>
            </w:pPr>
            <w:r w:rsidRPr="004E47DA">
              <w:rPr>
                <w:color w:val="000000"/>
                <w:sz w:val="20"/>
                <w:szCs w:val="20"/>
              </w:rPr>
              <w:t>84.9%</w:t>
            </w:r>
          </w:p>
        </w:tc>
      </w:tr>
      <w:tr w:rsidR="004E47DA" w:rsidRPr="00AB44E1" w14:paraId="4D0622C1" w14:textId="77777777" w:rsidTr="00021AA8">
        <w:trPr>
          <w:cantSplit/>
        </w:trPr>
        <w:tc>
          <w:tcPr>
            <w:tcW w:w="4410" w:type="dxa"/>
            <w:vAlign w:val="bottom"/>
          </w:tcPr>
          <w:p w14:paraId="09DFD60B" w14:textId="77777777" w:rsidR="004E47DA" w:rsidRPr="00AB44E1" w:rsidRDefault="004E47DA" w:rsidP="004E47DA">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Race: Unknown</w:t>
            </w:r>
          </w:p>
        </w:tc>
        <w:tc>
          <w:tcPr>
            <w:tcW w:w="1665" w:type="dxa"/>
            <w:tcBorders>
              <w:top w:val="single" w:sz="4" w:space="0" w:color="auto"/>
              <w:left w:val="nil"/>
              <w:bottom w:val="single" w:sz="4" w:space="0" w:color="auto"/>
              <w:right w:val="single" w:sz="4" w:space="0" w:color="auto"/>
            </w:tcBorders>
            <w:vAlign w:val="bottom"/>
          </w:tcPr>
          <w:p w14:paraId="6B231752" w14:textId="7EFBE5E7" w:rsidR="004E47DA" w:rsidRPr="004E47DA" w:rsidRDefault="004E47DA" w:rsidP="004E47DA">
            <w:pPr>
              <w:suppressAutoHyphens w:val="0"/>
              <w:jc w:val="center"/>
              <w:rPr>
                <w:rFonts w:cs="Calibri"/>
                <w:color w:val="000000"/>
                <w:sz w:val="20"/>
                <w:szCs w:val="20"/>
              </w:rPr>
            </w:pPr>
            <w:r w:rsidRPr="004E47DA">
              <w:rPr>
                <w:color w:val="000000"/>
                <w:sz w:val="20"/>
                <w:szCs w:val="20"/>
              </w:rPr>
              <w:t>1</w:t>
            </w:r>
            <w:r>
              <w:rPr>
                <w:color w:val="000000"/>
                <w:sz w:val="20"/>
                <w:szCs w:val="20"/>
              </w:rPr>
              <w:t>,</w:t>
            </w:r>
            <w:r w:rsidRPr="004E47DA">
              <w:rPr>
                <w:color w:val="000000"/>
                <w:sz w:val="20"/>
                <w:szCs w:val="20"/>
              </w:rPr>
              <w:t>473</w:t>
            </w:r>
          </w:p>
        </w:tc>
        <w:tc>
          <w:tcPr>
            <w:tcW w:w="1665" w:type="dxa"/>
            <w:tcBorders>
              <w:top w:val="single" w:sz="4" w:space="0" w:color="auto"/>
              <w:left w:val="single" w:sz="4" w:space="0" w:color="auto"/>
              <w:bottom w:val="single" w:sz="4" w:space="0" w:color="auto"/>
              <w:right w:val="single" w:sz="4" w:space="0" w:color="auto"/>
            </w:tcBorders>
            <w:vAlign w:val="bottom"/>
          </w:tcPr>
          <w:p w14:paraId="3C428EE3" w14:textId="33FC3DC2" w:rsidR="004E47DA" w:rsidRPr="004E47DA" w:rsidRDefault="004E47DA" w:rsidP="004E47DA">
            <w:pPr>
              <w:suppressAutoHyphens w:val="0"/>
              <w:jc w:val="center"/>
              <w:rPr>
                <w:rFonts w:cs="Calibri"/>
                <w:color w:val="000000"/>
                <w:sz w:val="20"/>
                <w:szCs w:val="20"/>
              </w:rPr>
            </w:pPr>
            <w:r w:rsidRPr="004E47DA">
              <w:rPr>
                <w:color w:val="000000"/>
                <w:sz w:val="20"/>
                <w:szCs w:val="20"/>
              </w:rPr>
              <w:t>1.0%</w:t>
            </w:r>
          </w:p>
        </w:tc>
        <w:tc>
          <w:tcPr>
            <w:tcW w:w="1665" w:type="dxa"/>
            <w:tcBorders>
              <w:top w:val="single" w:sz="4" w:space="0" w:color="auto"/>
              <w:left w:val="nil"/>
              <w:bottom w:val="single" w:sz="4" w:space="0" w:color="auto"/>
              <w:right w:val="single" w:sz="4" w:space="0" w:color="auto"/>
            </w:tcBorders>
            <w:vAlign w:val="bottom"/>
          </w:tcPr>
          <w:p w14:paraId="60707C18" w14:textId="301D9B55" w:rsidR="004E47DA" w:rsidRPr="004E47DA" w:rsidRDefault="004E47DA" w:rsidP="004E47DA">
            <w:pPr>
              <w:suppressAutoHyphens w:val="0"/>
              <w:jc w:val="center"/>
              <w:rPr>
                <w:rFonts w:cs="Calibri"/>
                <w:color w:val="000000"/>
                <w:sz w:val="20"/>
                <w:szCs w:val="20"/>
              </w:rPr>
            </w:pPr>
            <w:r w:rsidRPr="004E47DA">
              <w:rPr>
                <w:color w:val="000000"/>
                <w:sz w:val="20"/>
                <w:szCs w:val="20"/>
              </w:rPr>
              <w:t>1</w:t>
            </w:r>
            <w:r>
              <w:rPr>
                <w:color w:val="000000"/>
                <w:sz w:val="20"/>
                <w:szCs w:val="20"/>
              </w:rPr>
              <w:t>,</w:t>
            </w:r>
            <w:r w:rsidRPr="004E47DA">
              <w:rPr>
                <w:color w:val="000000"/>
                <w:sz w:val="20"/>
                <w:szCs w:val="20"/>
              </w:rPr>
              <w:t>486</w:t>
            </w:r>
          </w:p>
        </w:tc>
        <w:tc>
          <w:tcPr>
            <w:tcW w:w="1665" w:type="dxa"/>
            <w:tcBorders>
              <w:top w:val="single" w:sz="4" w:space="0" w:color="auto"/>
              <w:left w:val="single" w:sz="4" w:space="0" w:color="auto"/>
              <w:bottom w:val="single" w:sz="4" w:space="0" w:color="auto"/>
              <w:right w:val="nil"/>
            </w:tcBorders>
            <w:vAlign w:val="bottom"/>
          </w:tcPr>
          <w:p w14:paraId="5655988F" w14:textId="3FFD6FC3" w:rsidR="004E47DA" w:rsidRPr="004E47DA" w:rsidRDefault="004E47DA" w:rsidP="004E47DA">
            <w:pPr>
              <w:suppressAutoHyphens w:val="0"/>
              <w:jc w:val="center"/>
              <w:rPr>
                <w:rFonts w:cs="Calibri"/>
                <w:color w:val="000000"/>
                <w:sz w:val="20"/>
                <w:szCs w:val="20"/>
              </w:rPr>
            </w:pPr>
            <w:r w:rsidRPr="004E47DA">
              <w:rPr>
                <w:color w:val="000000"/>
                <w:sz w:val="20"/>
                <w:szCs w:val="20"/>
              </w:rPr>
              <w:t>0.9%</w:t>
            </w:r>
          </w:p>
        </w:tc>
        <w:tc>
          <w:tcPr>
            <w:tcW w:w="1665" w:type="dxa"/>
            <w:vAlign w:val="bottom"/>
          </w:tcPr>
          <w:p w14:paraId="2CCA78BF" w14:textId="356FD11A" w:rsidR="004E47DA" w:rsidRPr="004E47DA" w:rsidRDefault="004E47DA" w:rsidP="004E47DA">
            <w:pPr>
              <w:suppressAutoHyphens w:val="0"/>
              <w:jc w:val="center"/>
              <w:rPr>
                <w:rFonts w:cs="Calibri Light"/>
                <w:color w:val="000000"/>
                <w:sz w:val="20"/>
                <w:szCs w:val="20"/>
              </w:rPr>
            </w:pPr>
            <w:r w:rsidRPr="004E47DA">
              <w:rPr>
                <w:color w:val="000000"/>
                <w:sz w:val="20"/>
                <w:szCs w:val="20"/>
              </w:rPr>
              <w:t>1</w:t>
            </w:r>
            <w:r>
              <w:rPr>
                <w:color w:val="000000"/>
                <w:sz w:val="20"/>
                <w:szCs w:val="20"/>
              </w:rPr>
              <w:t>,</w:t>
            </w:r>
            <w:r w:rsidRPr="004E47DA">
              <w:rPr>
                <w:color w:val="000000"/>
                <w:sz w:val="20"/>
                <w:szCs w:val="20"/>
              </w:rPr>
              <w:t>675</w:t>
            </w:r>
          </w:p>
        </w:tc>
        <w:tc>
          <w:tcPr>
            <w:tcW w:w="1665" w:type="dxa"/>
            <w:vAlign w:val="bottom"/>
          </w:tcPr>
          <w:p w14:paraId="6E870635" w14:textId="607827FD" w:rsidR="004E47DA" w:rsidRPr="004E47DA" w:rsidRDefault="004E47DA" w:rsidP="004E47DA">
            <w:pPr>
              <w:suppressAutoHyphens w:val="0"/>
              <w:jc w:val="center"/>
              <w:rPr>
                <w:rFonts w:cs="Calibri Light"/>
                <w:color w:val="000000"/>
                <w:sz w:val="20"/>
                <w:szCs w:val="20"/>
              </w:rPr>
            </w:pPr>
            <w:r w:rsidRPr="004E47DA">
              <w:rPr>
                <w:color w:val="000000"/>
                <w:sz w:val="20"/>
                <w:szCs w:val="20"/>
              </w:rPr>
              <w:t>1.0%</w:t>
            </w:r>
          </w:p>
        </w:tc>
      </w:tr>
      <w:tr w:rsidR="004E47DA" w:rsidRPr="00AB44E1" w14:paraId="2FEFF6D9" w14:textId="77777777" w:rsidTr="00021AA8">
        <w:trPr>
          <w:cantSplit/>
        </w:trPr>
        <w:tc>
          <w:tcPr>
            <w:tcW w:w="4410" w:type="dxa"/>
            <w:vAlign w:val="bottom"/>
          </w:tcPr>
          <w:p w14:paraId="7F70178F" w14:textId="77777777" w:rsidR="004E47DA" w:rsidRPr="00AB44E1" w:rsidRDefault="004E47DA" w:rsidP="004E47DA">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Race: Patient Declined</w:t>
            </w:r>
          </w:p>
        </w:tc>
        <w:tc>
          <w:tcPr>
            <w:tcW w:w="1665" w:type="dxa"/>
            <w:tcBorders>
              <w:top w:val="single" w:sz="4" w:space="0" w:color="auto"/>
              <w:left w:val="nil"/>
              <w:bottom w:val="single" w:sz="4" w:space="0" w:color="auto"/>
              <w:right w:val="single" w:sz="4" w:space="0" w:color="auto"/>
            </w:tcBorders>
            <w:vAlign w:val="bottom"/>
          </w:tcPr>
          <w:p w14:paraId="0A44B3CD" w14:textId="20AFC6BB" w:rsidR="004E47DA" w:rsidRPr="004E47DA" w:rsidRDefault="004E47DA" w:rsidP="004E47DA">
            <w:pPr>
              <w:suppressAutoHyphens w:val="0"/>
              <w:jc w:val="center"/>
              <w:rPr>
                <w:rFonts w:cs="Calibri"/>
                <w:color w:val="000000"/>
                <w:sz w:val="20"/>
                <w:szCs w:val="20"/>
              </w:rPr>
            </w:pPr>
            <w:r w:rsidRPr="004E47DA">
              <w:rPr>
                <w:color w:val="000000"/>
                <w:sz w:val="20"/>
                <w:szCs w:val="20"/>
              </w:rPr>
              <w:t>1</w:t>
            </w:r>
            <w:r>
              <w:rPr>
                <w:color w:val="000000"/>
                <w:sz w:val="20"/>
                <w:szCs w:val="20"/>
              </w:rPr>
              <w:t>,</w:t>
            </w:r>
            <w:r w:rsidRPr="004E47DA">
              <w:rPr>
                <w:color w:val="000000"/>
                <w:sz w:val="20"/>
                <w:szCs w:val="20"/>
              </w:rPr>
              <w:t>016</w:t>
            </w:r>
          </w:p>
        </w:tc>
        <w:tc>
          <w:tcPr>
            <w:tcW w:w="1665" w:type="dxa"/>
            <w:tcBorders>
              <w:top w:val="single" w:sz="4" w:space="0" w:color="auto"/>
              <w:left w:val="single" w:sz="4" w:space="0" w:color="auto"/>
              <w:bottom w:val="single" w:sz="4" w:space="0" w:color="auto"/>
              <w:right w:val="single" w:sz="4" w:space="0" w:color="auto"/>
            </w:tcBorders>
            <w:vAlign w:val="bottom"/>
          </w:tcPr>
          <w:p w14:paraId="08B273DA" w14:textId="11DC0B5B" w:rsidR="004E47DA" w:rsidRPr="004E47DA" w:rsidRDefault="004E47DA" w:rsidP="004E47DA">
            <w:pPr>
              <w:suppressAutoHyphens w:val="0"/>
              <w:jc w:val="center"/>
              <w:rPr>
                <w:rFonts w:cs="Calibri"/>
                <w:color w:val="000000"/>
                <w:sz w:val="20"/>
                <w:szCs w:val="20"/>
              </w:rPr>
            </w:pPr>
            <w:r w:rsidRPr="004E47DA">
              <w:rPr>
                <w:color w:val="000000"/>
                <w:sz w:val="20"/>
                <w:szCs w:val="20"/>
              </w:rPr>
              <w:t>0.7%</w:t>
            </w:r>
          </w:p>
        </w:tc>
        <w:tc>
          <w:tcPr>
            <w:tcW w:w="1665" w:type="dxa"/>
            <w:tcBorders>
              <w:top w:val="single" w:sz="4" w:space="0" w:color="auto"/>
              <w:left w:val="nil"/>
              <w:bottom w:val="single" w:sz="4" w:space="0" w:color="auto"/>
              <w:right w:val="single" w:sz="4" w:space="0" w:color="auto"/>
            </w:tcBorders>
            <w:vAlign w:val="bottom"/>
          </w:tcPr>
          <w:p w14:paraId="41132466" w14:textId="7ADCD262" w:rsidR="004E47DA" w:rsidRPr="004E47DA" w:rsidRDefault="004E47DA" w:rsidP="004E47DA">
            <w:pPr>
              <w:suppressAutoHyphens w:val="0"/>
              <w:jc w:val="center"/>
              <w:rPr>
                <w:rFonts w:cs="Calibri"/>
                <w:color w:val="000000"/>
                <w:sz w:val="20"/>
                <w:szCs w:val="20"/>
              </w:rPr>
            </w:pPr>
            <w:r w:rsidRPr="004E47DA">
              <w:rPr>
                <w:color w:val="000000"/>
                <w:sz w:val="20"/>
                <w:szCs w:val="20"/>
              </w:rPr>
              <w:t>1</w:t>
            </w:r>
            <w:r>
              <w:rPr>
                <w:color w:val="000000"/>
                <w:sz w:val="20"/>
                <w:szCs w:val="20"/>
              </w:rPr>
              <w:t>,</w:t>
            </w:r>
            <w:r w:rsidRPr="004E47DA">
              <w:rPr>
                <w:color w:val="000000"/>
                <w:sz w:val="20"/>
                <w:szCs w:val="20"/>
              </w:rPr>
              <w:t>047</w:t>
            </w:r>
          </w:p>
        </w:tc>
        <w:tc>
          <w:tcPr>
            <w:tcW w:w="1665" w:type="dxa"/>
            <w:tcBorders>
              <w:top w:val="single" w:sz="4" w:space="0" w:color="auto"/>
              <w:left w:val="single" w:sz="4" w:space="0" w:color="auto"/>
              <w:bottom w:val="single" w:sz="4" w:space="0" w:color="auto"/>
              <w:right w:val="nil"/>
            </w:tcBorders>
            <w:vAlign w:val="bottom"/>
          </w:tcPr>
          <w:p w14:paraId="16682B5C" w14:textId="0CECA857" w:rsidR="004E47DA" w:rsidRPr="004E47DA" w:rsidRDefault="004E47DA" w:rsidP="004E47DA">
            <w:pPr>
              <w:suppressAutoHyphens w:val="0"/>
              <w:jc w:val="center"/>
              <w:rPr>
                <w:rFonts w:cs="Calibri"/>
                <w:color w:val="000000"/>
                <w:sz w:val="20"/>
                <w:szCs w:val="20"/>
              </w:rPr>
            </w:pPr>
            <w:r w:rsidRPr="004E47DA">
              <w:rPr>
                <w:color w:val="000000"/>
                <w:sz w:val="20"/>
                <w:szCs w:val="20"/>
              </w:rPr>
              <w:t>0.7%</w:t>
            </w:r>
          </w:p>
        </w:tc>
        <w:tc>
          <w:tcPr>
            <w:tcW w:w="1665" w:type="dxa"/>
            <w:vAlign w:val="bottom"/>
          </w:tcPr>
          <w:p w14:paraId="355414C8" w14:textId="1DB59F66" w:rsidR="004E47DA" w:rsidRPr="004E47DA" w:rsidRDefault="004E47DA" w:rsidP="004E47DA">
            <w:pPr>
              <w:suppressAutoHyphens w:val="0"/>
              <w:jc w:val="center"/>
              <w:rPr>
                <w:rFonts w:cs="Calibri Light"/>
                <w:color w:val="000000"/>
                <w:sz w:val="20"/>
                <w:szCs w:val="20"/>
              </w:rPr>
            </w:pPr>
            <w:r w:rsidRPr="004E47DA">
              <w:rPr>
                <w:color w:val="000000"/>
                <w:sz w:val="20"/>
                <w:szCs w:val="20"/>
              </w:rPr>
              <w:t>1</w:t>
            </w:r>
            <w:r>
              <w:rPr>
                <w:color w:val="000000"/>
                <w:sz w:val="20"/>
                <w:szCs w:val="20"/>
              </w:rPr>
              <w:t>,</w:t>
            </w:r>
            <w:r w:rsidRPr="004E47DA">
              <w:rPr>
                <w:color w:val="000000"/>
                <w:sz w:val="20"/>
                <w:szCs w:val="20"/>
              </w:rPr>
              <w:t>175</w:t>
            </w:r>
          </w:p>
        </w:tc>
        <w:tc>
          <w:tcPr>
            <w:tcW w:w="1665" w:type="dxa"/>
            <w:vAlign w:val="bottom"/>
          </w:tcPr>
          <w:p w14:paraId="75AE0482" w14:textId="7B04CBA9" w:rsidR="004E47DA" w:rsidRPr="004E47DA" w:rsidRDefault="004E47DA" w:rsidP="004E47DA">
            <w:pPr>
              <w:suppressAutoHyphens w:val="0"/>
              <w:jc w:val="center"/>
              <w:rPr>
                <w:rFonts w:cs="Calibri Light"/>
                <w:color w:val="000000"/>
                <w:sz w:val="20"/>
                <w:szCs w:val="20"/>
              </w:rPr>
            </w:pPr>
            <w:r w:rsidRPr="004E47DA">
              <w:rPr>
                <w:color w:val="000000"/>
                <w:sz w:val="20"/>
                <w:szCs w:val="20"/>
              </w:rPr>
              <w:t>0.7%</w:t>
            </w:r>
          </w:p>
        </w:tc>
      </w:tr>
      <w:tr w:rsidR="00654D04" w:rsidRPr="00AB44E1" w14:paraId="173F6071" w14:textId="77777777" w:rsidTr="00021AA8">
        <w:trPr>
          <w:cantSplit/>
        </w:trPr>
        <w:tc>
          <w:tcPr>
            <w:tcW w:w="4410" w:type="dxa"/>
            <w:vAlign w:val="bottom"/>
          </w:tcPr>
          <w:p w14:paraId="23DDB3FB" w14:textId="77777777" w:rsidR="00654D04" w:rsidRPr="00AB44E1" w:rsidRDefault="00654D04" w:rsidP="00654D04">
            <w:pPr>
              <w:suppressAutoHyphens w:val="0"/>
              <w:rPr>
                <w:rFonts w:asciiTheme="minorHAnsi" w:hAnsiTheme="minorHAnsi" w:cs="Calibri Light"/>
                <w:b/>
                <w:bCs/>
                <w:color w:val="000000"/>
                <w:sz w:val="20"/>
                <w:szCs w:val="20"/>
              </w:rPr>
            </w:pPr>
            <w:r w:rsidRPr="00AB44E1">
              <w:rPr>
                <w:rFonts w:asciiTheme="minorHAnsi" w:hAnsiTheme="minorHAnsi" w:cs="Calibri"/>
                <w:color w:val="000000"/>
                <w:sz w:val="20"/>
                <w:szCs w:val="20"/>
              </w:rPr>
              <w:t>Ethnicity: Hispanic or Latino</w:t>
            </w:r>
          </w:p>
        </w:tc>
        <w:tc>
          <w:tcPr>
            <w:tcW w:w="1665" w:type="dxa"/>
            <w:tcBorders>
              <w:top w:val="single" w:sz="4" w:space="0" w:color="auto"/>
              <w:bottom w:val="single" w:sz="4" w:space="0" w:color="auto"/>
              <w:right w:val="single" w:sz="4" w:space="0" w:color="auto"/>
            </w:tcBorders>
          </w:tcPr>
          <w:p w14:paraId="0B4E7329" w14:textId="56677C9F" w:rsidR="00654D04" w:rsidRPr="004E47DA" w:rsidRDefault="00654D04" w:rsidP="00654D04">
            <w:pPr>
              <w:suppressAutoHyphens w:val="0"/>
              <w:jc w:val="center"/>
              <w:rPr>
                <w:rFonts w:cs="Calibri"/>
                <w:color w:val="000000"/>
                <w:sz w:val="20"/>
                <w:szCs w:val="20"/>
              </w:rPr>
            </w:pPr>
            <w:r w:rsidRPr="004E47DA">
              <w:rPr>
                <w:sz w:val="20"/>
                <w:szCs w:val="20"/>
              </w:rPr>
              <w:t>7,128</w:t>
            </w:r>
          </w:p>
        </w:tc>
        <w:tc>
          <w:tcPr>
            <w:tcW w:w="1665" w:type="dxa"/>
            <w:tcBorders>
              <w:top w:val="single" w:sz="4" w:space="0" w:color="auto"/>
              <w:left w:val="single" w:sz="4" w:space="0" w:color="auto"/>
              <w:bottom w:val="single" w:sz="4" w:space="0" w:color="auto"/>
              <w:right w:val="single" w:sz="4" w:space="0" w:color="auto"/>
            </w:tcBorders>
          </w:tcPr>
          <w:p w14:paraId="5BA4B09A" w14:textId="2E3B54BA" w:rsidR="00654D04" w:rsidRPr="004E47DA" w:rsidRDefault="00654D04" w:rsidP="00654D04">
            <w:pPr>
              <w:suppressAutoHyphens w:val="0"/>
              <w:jc w:val="center"/>
              <w:rPr>
                <w:rFonts w:cs="Calibri"/>
                <w:color w:val="000000"/>
                <w:sz w:val="20"/>
                <w:szCs w:val="20"/>
              </w:rPr>
            </w:pPr>
            <w:r w:rsidRPr="004E47DA">
              <w:rPr>
                <w:sz w:val="20"/>
                <w:szCs w:val="20"/>
              </w:rPr>
              <w:t>5%</w:t>
            </w:r>
          </w:p>
        </w:tc>
        <w:tc>
          <w:tcPr>
            <w:tcW w:w="1665" w:type="dxa"/>
            <w:tcBorders>
              <w:top w:val="single" w:sz="4" w:space="0" w:color="auto"/>
              <w:left w:val="single" w:sz="4" w:space="0" w:color="auto"/>
              <w:bottom w:val="single" w:sz="4" w:space="0" w:color="auto"/>
              <w:right w:val="single" w:sz="4" w:space="0" w:color="auto"/>
            </w:tcBorders>
          </w:tcPr>
          <w:p w14:paraId="5817F370" w14:textId="472AF705" w:rsidR="00654D04" w:rsidRPr="004E47DA" w:rsidRDefault="00654D04" w:rsidP="00654D04">
            <w:pPr>
              <w:suppressAutoHyphens w:val="0"/>
              <w:jc w:val="center"/>
              <w:rPr>
                <w:rFonts w:cs="Calibri"/>
                <w:color w:val="000000"/>
                <w:sz w:val="20"/>
                <w:szCs w:val="20"/>
              </w:rPr>
            </w:pPr>
            <w:r w:rsidRPr="004E47DA">
              <w:rPr>
                <w:sz w:val="20"/>
                <w:szCs w:val="20"/>
              </w:rPr>
              <w:t>7,725</w:t>
            </w:r>
          </w:p>
        </w:tc>
        <w:tc>
          <w:tcPr>
            <w:tcW w:w="1665" w:type="dxa"/>
            <w:tcBorders>
              <w:top w:val="single" w:sz="4" w:space="0" w:color="auto"/>
              <w:left w:val="single" w:sz="4" w:space="0" w:color="auto"/>
              <w:bottom w:val="single" w:sz="4" w:space="0" w:color="auto"/>
              <w:right w:val="nil"/>
            </w:tcBorders>
          </w:tcPr>
          <w:p w14:paraId="29E2F451" w14:textId="545F7429" w:rsidR="00654D04" w:rsidRPr="004E47DA" w:rsidRDefault="00654D04" w:rsidP="00654D04">
            <w:pPr>
              <w:suppressAutoHyphens w:val="0"/>
              <w:jc w:val="center"/>
              <w:rPr>
                <w:rFonts w:cs="Calibri"/>
                <w:color w:val="000000"/>
                <w:sz w:val="20"/>
                <w:szCs w:val="20"/>
              </w:rPr>
            </w:pPr>
            <w:r w:rsidRPr="004E47DA">
              <w:rPr>
                <w:sz w:val="20"/>
                <w:szCs w:val="20"/>
              </w:rPr>
              <w:t>5%</w:t>
            </w:r>
          </w:p>
        </w:tc>
        <w:tc>
          <w:tcPr>
            <w:tcW w:w="1665" w:type="dxa"/>
          </w:tcPr>
          <w:p w14:paraId="02C39F19" w14:textId="092AD783" w:rsidR="00654D04" w:rsidRPr="004E47DA" w:rsidRDefault="00654D04" w:rsidP="00654D04">
            <w:pPr>
              <w:suppressAutoHyphens w:val="0"/>
              <w:jc w:val="center"/>
              <w:rPr>
                <w:rFonts w:cs="Calibri Light"/>
                <w:color w:val="000000"/>
                <w:sz w:val="20"/>
                <w:szCs w:val="20"/>
              </w:rPr>
            </w:pPr>
            <w:r w:rsidRPr="004E47DA">
              <w:rPr>
                <w:sz w:val="20"/>
                <w:szCs w:val="20"/>
              </w:rPr>
              <w:t>8,221</w:t>
            </w:r>
          </w:p>
        </w:tc>
        <w:tc>
          <w:tcPr>
            <w:tcW w:w="1665" w:type="dxa"/>
            <w:vAlign w:val="center"/>
          </w:tcPr>
          <w:p w14:paraId="25BB2321" w14:textId="537C33AF" w:rsidR="00654D04" w:rsidRPr="004E47DA" w:rsidRDefault="00654D04" w:rsidP="00654D04">
            <w:pPr>
              <w:suppressAutoHyphens w:val="0"/>
              <w:jc w:val="center"/>
              <w:rPr>
                <w:rFonts w:cs="Calibri Light"/>
                <w:color w:val="000000"/>
                <w:sz w:val="20"/>
                <w:szCs w:val="20"/>
              </w:rPr>
            </w:pPr>
            <w:r w:rsidRPr="004E47DA">
              <w:rPr>
                <w:color w:val="000000"/>
                <w:sz w:val="20"/>
                <w:szCs w:val="20"/>
              </w:rPr>
              <w:t>5%</w:t>
            </w:r>
          </w:p>
        </w:tc>
      </w:tr>
      <w:tr w:rsidR="00654D04" w:rsidRPr="00AB44E1" w14:paraId="27268549" w14:textId="77777777" w:rsidTr="00021AA8">
        <w:trPr>
          <w:cantSplit/>
        </w:trPr>
        <w:tc>
          <w:tcPr>
            <w:tcW w:w="4410" w:type="dxa"/>
            <w:vAlign w:val="bottom"/>
          </w:tcPr>
          <w:p w14:paraId="7563830C" w14:textId="77777777" w:rsidR="00654D04" w:rsidRPr="00AB44E1" w:rsidRDefault="00654D04" w:rsidP="00654D04">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Ethnicity: Not Hispanic or Latino</w:t>
            </w:r>
          </w:p>
        </w:tc>
        <w:tc>
          <w:tcPr>
            <w:tcW w:w="1665" w:type="dxa"/>
            <w:tcBorders>
              <w:top w:val="single" w:sz="4" w:space="0" w:color="auto"/>
              <w:left w:val="nil"/>
              <w:bottom w:val="single" w:sz="4" w:space="0" w:color="auto"/>
              <w:right w:val="single" w:sz="4" w:space="0" w:color="auto"/>
            </w:tcBorders>
          </w:tcPr>
          <w:p w14:paraId="05A765D0" w14:textId="7EF24C09" w:rsidR="00654D04" w:rsidRPr="004E47DA" w:rsidRDefault="00654D04" w:rsidP="00654D04">
            <w:pPr>
              <w:suppressAutoHyphens w:val="0"/>
              <w:jc w:val="center"/>
              <w:rPr>
                <w:rFonts w:cs="Calibri"/>
                <w:color w:val="000000"/>
                <w:sz w:val="20"/>
                <w:szCs w:val="20"/>
              </w:rPr>
            </w:pPr>
            <w:r w:rsidRPr="004E47DA">
              <w:rPr>
                <w:sz w:val="20"/>
                <w:szCs w:val="20"/>
              </w:rPr>
              <w:t>146,859</w:t>
            </w:r>
          </w:p>
        </w:tc>
        <w:tc>
          <w:tcPr>
            <w:tcW w:w="1665" w:type="dxa"/>
            <w:tcBorders>
              <w:top w:val="single" w:sz="4" w:space="0" w:color="auto"/>
              <w:left w:val="single" w:sz="4" w:space="0" w:color="auto"/>
              <w:bottom w:val="single" w:sz="4" w:space="0" w:color="auto"/>
              <w:right w:val="single" w:sz="4" w:space="0" w:color="auto"/>
            </w:tcBorders>
          </w:tcPr>
          <w:p w14:paraId="01F9992F" w14:textId="4FEE16D8" w:rsidR="00654D04" w:rsidRPr="004E47DA" w:rsidRDefault="00654D04" w:rsidP="00654D04">
            <w:pPr>
              <w:suppressAutoHyphens w:val="0"/>
              <w:jc w:val="center"/>
              <w:rPr>
                <w:rFonts w:cs="Calibri"/>
                <w:color w:val="000000"/>
                <w:sz w:val="20"/>
                <w:szCs w:val="20"/>
              </w:rPr>
            </w:pPr>
            <w:r w:rsidRPr="004E47DA">
              <w:rPr>
                <w:sz w:val="20"/>
                <w:szCs w:val="20"/>
              </w:rPr>
              <w:t>95%</w:t>
            </w:r>
          </w:p>
        </w:tc>
        <w:tc>
          <w:tcPr>
            <w:tcW w:w="1665" w:type="dxa"/>
            <w:tcBorders>
              <w:top w:val="single" w:sz="4" w:space="0" w:color="auto"/>
              <w:left w:val="single" w:sz="4" w:space="0" w:color="auto"/>
              <w:bottom w:val="single" w:sz="4" w:space="0" w:color="auto"/>
              <w:right w:val="single" w:sz="4" w:space="0" w:color="auto"/>
            </w:tcBorders>
          </w:tcPr>
          <w:p w14:paraId="5F765186" w14:textId="260E4353" w:rsidR="00654D04" w:rsidRPr="004E47DA" w:rsidRDefault="00654D04" w:rsidP="00654D04">
            <w:pPr>
              <w:suppressAutoHyphens w:val="0"/>
              <w:jc w:val="center"/>
              <w:rPr>
                <w:rFonts w:cs="Calibri"/>
                <w:color w:val="000000"/>
                <w:sz w:val="20"/>
                <w:szCs w:val="20"/>
              </w:rPr>
            </w:pPr>
            <w:r w:rsidRPr="004E47DA">
              <w:rPr>
                <w:sz w:val="20"/>
                <w:szCs w:val="20"/>
              </w:rPr>
              <w:t>150,642</w:t>
            </w:r>
          </w:p>
        </w:tc>
        <w:tc>
          <w:tcPr>
            <w:tcW w:w="1665" w:type="dxa"/>
            <w:tcBorders>
              <w:top w:val="single" w:sz="4" w:space="0" w:color="auto"/>
              <w:left w:val="single" w:sz="4" w:space="0" w:color="auto"/>
              <w:bottom w:val="single" w:sz="4" w:space="0" w:color="auto"/>
              <w:right w:val="nil"/>
            </w:tcBorders>
          </w:tcPr>
          <w:p w14:paraId="59227D63" w14:textId="192FC9F7" w:rsidR="00654D04" w:rsidRPr="004E47DA" w:rsidRDefault="00654D04" w:rsidP="00654D04">
            <w:pPr>
              <w:suppressAutoHyphens w:val="0"/>
              <w:jc w:val="center"/>
              <w:rPr>
                <w:rFonts w:cs="Calibri"/>
                <w:color w:val="000000"/>
                <w:sz w:val="20"/>
                <w:szCs w:val="20"/>
              </w:rPr>
            </w:pPr>
            <w:r w:rsidRPr="004E47DA">
              <w:rPr>
                <w:sz w:val="20"/>
                <w:szCs w:val="20"/>
              </w:rPr>
              <w:t>95%</w:t>
            </w:r>
          </w:p>
        </w:tc>
        <w:tc>
          <w:tcPr>
            <w:tcW w:w="1665" w:type="dxa"/>
          </w:tcPr>
          <w:p w14:paraId="1B312B8A" w14:textId="65F263FD" w:rsidR="00654D04" w:rsidRPr="004E47DA" w:rsidRDefault="00654D04" w:rsidP="00654D04">
            <w:pPr>
              <w:suppressAutoHyphens w:val="0"/>
              <w:jc w:val="center"/>
              <w:rPr>
                <w:rFonts w:cs="Calibri Light"/>
                <w:color w:val="000000"/>
                <w:sz w:val="20"/>
                <w:szCs w:val="20"/>
              </w:rPr>
            </w:pPr>
            <w:r w:rsidRPr="004E47DA">
              <w:rPr>
                <w:sz w:val="20"/>
                <w:szCs w:val="20"/>
              </w:rPr>
              <w:t>155,511</w:t>
            </w:r>
          </w:p>
        </w:tc>
        <w:tc>
          <w:tcPr>
            <w:tcW w:w="1665" w:type="dxa"/>
            <w:vAlign w:val="center"/>
          </w:tcPr>
          <w:p w14:paraId="4860082D" w14:textId="50CECF6B" w:rsidR="00654D04" w:rsidRPr="004E47DA" w:rsidRDefault="00654D04" w:rsidP="00654D04">
            <w:pPr>
              <w:suppressAutoHyphens w:val="0"/>
              <w:jc w:val="center"/>
              <w:rPr>
                <w:rFonts w:cs="Calibri Light"/>
                <w:color w:val="000000"/>
                <w:sz w:val="20"/>
                <w:szCs w:val="20"/>
              </w:rPr>
            </w:pPr>
            <w:r w:rsidRPr="004E47DA">
              <w:rPr>
                <w:color w:val="000000"/>
                <w:sz w:val="20"/>
                <w:szCs w:val="20"/>
              </w:rPr>
              <w:t>95%</w:t>
            </w:r>
          </w:p>
        </w:tc>
      </w:tr>
      <w:tr w:rsidR="00654D04" w:rsidRPr="00AB44E1" w14:paraId="545C86D4" w14:textId="77777777" w:rsidTr="00021AA8">
        <w:trPr>
          <w:cantSplit/>
        </w:trPr>
        <w:tc>
          <w:tcPr>
            <w:tcW w:w="4410" w:type="dxa"/>
            <w:vAlign w:val="bottom"/>
          </w:tcPr>
          <w:p w14:paraId="0BD3FA52" w14:textId="77777777" w:rsidR="00654D04" w:rsidRPr="00AB44E1" w:rsidRDefault="00654D04" w:rsidP="00654D04">
            <w:pPr>
              <w:suppressAutoHyphens w:val="0"/>
              <w:rPr>
                <w:rFonts w:asciiTheme="minorHAnsi" w:hAnsiTheme="minorHAnsi" w:cs="Calibri Light"/>
                <w:b/>
                <w:bCs/>
                <w:color w:val="000000"/>
                <w:sz w:val="20"/>
                <w:szCs w:val="20"/>
              </w:rPr>
            </w:pPr>
            <w:r w:rsidRPr="00AB44E1">
              <w:rPr>
                <w:rFonts w:asciiTheme="minorHAnsi" w:hAnsiTheme="minorHAnsi" w:cs="Calibri"/>
                <w:color w:val="000000"/>
                <w:sz w:val="20"/>
                <w:szCs w:val="20"/>
              </w:rPr>
              <w:t>Ethnicity: Unknown</w:t>
            </w:r>
          </w:p>
        </w:tc>
        <w:tc>
          <w:tcPr>
            <w:tcW w:w="1665" w:type="dxa"/>
            <w:tcBorders>
              <w:top w:val="single" w:sz="4" w:space="0" w:color="auto"/>
              <w:left w:val="nil"/>
              <w:bottom w:val="single" w:sz="4" w:space="0" w:color="auto"/>
              <w:right w:val="single" w:sz="4" w:space="0" w:color="auto"/>
            </w:tcBorders>
          </w:tcPr>
          <w:p w14:paraId="5E36C320" w14:textId="62D053F4" w:rsidR="00654D04" w:rsidRPr="004E47DA" w:rsidRDefault="00654D04" w:rsidP="00654D04">
            <w:pPr>
              <w:suppressAutoHyphens w:val="0"/>
              <w:jc w:val="center"/>
              <w:rPr>
                <w:rFonts w:cs="Calibri"/>
                <w:color w:val="000000"/>
                <w:sz w:val="20"/>
                <w:szCs w:val="20"/>
              </w:rPr>
            </w:pPr>
            <w:r w:rsidRPr="004E47DA">
              <w:rPr>
                <w:sz w:val="20"/>
                <w:szCs w:val="20"/>
              </w:rPr>
              <w:t>27</w:t>
            </w:r>
          </w:p>
        </w:tc>
        <w:tc>
          <w:tcPr>
            <w:tcW w:w="1665" w:type="dxa"/>
            <w:tcBorders>
              <w:top w:val="single" w:sz="4" w:space="0" w:color="auto"/>
              <w:left w:val="single" w:sz="4" w:space="0" w:color="auto"/>
              <w:bottom w:val="single" w:sz="4" w:space="0" w:color="auto"/>
              <w:right w:val="single" w:sz="4" w:space="0" w:color="auto"/>
            </w:tcBorders>
          </w:tcPr>
          <w:p w14:paraId="75E88A53" w14:textId="228CE303" w:rsidR="00654D04" w:rsidRPr="004E47DA" w:rsidRDefault="00654D04" w:rsidP="00654D04">
            <w:pPr>
              <w:suppressAutoHyphens w:val="0"/>
              <w:jc w:val="center"/>
              <w:rPr>
                <w:rFonts w:cs="Calibri"/>
                <w:color w:val="000000"/>
                <w:sz w:val="20"/>
                <w:szCs w:val="20"/>
              </w:rPr>
            </w:pPr>
            <w:r w:rsidRPr="004E47DA">
              <w:rPr>
                <w:sz w:val="20"/>
                <w:szCs w:val="20"/>
              </w:rPr>
              <w:t>0%</w:t>
            </w:r>
          </w:p>
        </w:tc>
        <w:tc>
          <w:tcPr>
            <w:tcW w:w="1665" w:type="dxa"/>
            <w:tcBorders>
              <w:top w:val="single" w:sz="4" w:space="0" w:color="auto"/>
              <w:left w:val="single" w:sz="4" w:space="0" w:color="auto"/>
              <w:bottom w:val="single" w:sz="4" w:space="0" w:color="auto"/>
              <w:right w:val="single" w:sz="4" w:space="0" w:color="auto"/>
            </w:tcBorders>
          </w:tcPr>
          <w:p w14:paraId="750F7AF9" w14:textId="660CFAF7" w:rsidR="00654D04" w:rsidRPr="004E47DA" w:rsidRDefault="00654D04" w:rsidP="00654D04">
            <w:pPr>
              <w:suppressAutoHyphens w:val="0"/>
              <w:jc w:val="center"/>
              <w:rPr>
                <w:rFonts w:cs="Calibri"/>
                <w:color w:val="000000"/>
                <w:sz w:val="20"/>
                <w:szCs w:val="20"/>
              </w:rPr>
            </w:pPr>
            <w:r w:rsidRPr="004E47DA">
              <w:rPr>
                <w:sz w:val="20"/>
                <w:szCs w:val="20"/>
              </w:rPr>
              <w:t>16</w:t>
            </w:r>
          </w:p>
        </w:tc>
        <w:tc>
          <w:tcPr>
            <w:tcW w:w="1665" w:type="dxa"/>
            <w:tcBorders>
              <w:top w:val="single" w:sz="4" w:space="0" w:color="auto"/>
              <w:left w:val="single" w:sz="4" w:space="0" w:color="auto"/>
              <w:bottom w:val="single" w:sz="4" w:space="0" w:color="auto"/>
              <w:right w:val="nil"/>
            </w:tcBorders>
          </w:tcPr>
          <w:p w14:paraId="6DEDA727" w14:textId="1E3D80CD" w:rsidR="00654D04" w:rsidRPr="004E47DA" w:rsidRDefault="00654D04" w:rsidP="00654D04">
            <w:pPr>
              <w:suppressAutoHyphens w:val="0"/>
              <w:jc w:val="center"/>
              <w:rPr>
                <w:rFonts w:cs="Calibri"/>
                <w:color w:val="000000"/>
                <w:sz w:val="20"/>
                <w:szCs w:val="20"/>
              </w:rPr>
            </w:pPr>
            <w:r w:rsidRPr="004E47DA">
              <w:rPr>
                <w:sz w:val="20"/>
                <w:szCs w:val="20"/>
              </w:rPr>
              <w:t>0%</w:t>
            </w:r>
          </w:p>
        </w:tc>
        <w:tc>
          <w:tcPr>
            <w:tcW w:w="1665" w:type="dxa"/>
          </w:tcPr>
          <w:p w14:paraId="51327762" w14:textId="1118A129" w:rsidR="00654D04" w:rsidRPr="004E47DA" w:rsidRDefault="00654D04" w:rsidP="00654D04">
            <w:pPr>
              <w:suppressAutoHyphens w:val="0"/>
              <w:jc w:val="center"/>
              <w:rPr>
                <w:rFonts w:cs="Calibri Light"/>
                <w:color w:val="000000"/>
                <w:sz w:val="20"/>
                <w:szCs w:val="20"/>
              </w:rPr>
            </w:pPr>
            <w:r w:rsidRPr="004E47DA">
              <w:rPr>
                <w:sz w:val="20"/>
                <w:szCs w:val="20"/>
              </w:rPr>
              <w:t>&lt;11</w:t>
            </w:r>
          </w:p>
        </w:tc>
        <w:tc>
          <w:tcPr>
            <w:tcW w:w="1665" w:type="dxa"/>
            <w:vAlign w:val="center"/>
          </w:tcPr>
          <w:p w14:paraId="181AB9F4" w14:textId="3E441418" w:rsidR="00654D04" w:rsidRPr="004E47DA" w:rsidRDefault="00654D04" w:rsidP="00654D04">
            <w:pPr>
              <w:suppressAutoHyphens w:val="0"/>
              <w:jc w:val="center"/>
              <w:rPr>
                <w:rFonts w:cs="Calibri Light"/>
                <w:color w:val="000000"/>
                <w:sz w:val="20"/>
                <w:szCs w:val="20"/>
              </w:rPr>
            </w:pPr>
            <w:r w:rsidRPr="004E47DA">
              <w:rPr>
                <w:color w:val="000000"/>
                <w:sz w:val="20"/>
                <w:szCs w:val="20"/>
              </w:rPr>
              <w:t>0%</w:t>
            </w:r>
          </w:p>
        </w:tc>
      </w:tr>
      <w:tr w:rsidR="00654D04" w:rsidRPr="00AB44E1" w14:paraId="1880EF30" w14:textId="77777777" w:rsidTr="00021AA8">
        <w:trPr>
          <w:cantSplit/>
        </w:trPr>
        <w:tc>
          <w:tcPr>
            <w:tcW w:w="4410" w:type="dxa"/>
            <w:vAlign w:val="bottom"/>
          </w:tcPr>
          <w:p w14:paraId="7CAD4DE6" w14:textId="77777777" w:rsidR="00654D04" w:rsidRPr="00AB44E1" w:rsidRDefault="00654D04" w:rsidP="00654D04">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Payer: Commercial</w:t>
            </w:r>
          </w:p>
        </w:tc>
        <w:tc>
          <w:tcPr>
            <w:tcW w:w="1665" w:type="dxa"/>
            <w:tcBorders>
              <w:top w:val="single" w:sz="4" w:space="0" w:color="auto"/>
              <w:left w:val="nil"/>
              <w:bottom w:val="single" w:sz="4" w:space="0" w:color="auto"/>
              <w:right w:val="single" w:sz="4" w:space="0" w:color="auto"/>
            </w:tcBorders>
          </w:tcPr>
          <w:p w14:paraId="1F927D6C" w14:textId="780BA59C" w:rsidR="00654D04" w:rsidRPr="004E47DA" w:rsidRDefault="00654D04" w:rsidP="00654D04">
            <w:pPr>
              <w:suppressAutoHyphens w:val="0"/>
              <w:jc w:val="center"/>
              <w:rPr>
                <w:rFonts w:cs="Calibri"/>
                <w:sz w:val="20"/>
                <w:szCs w:val="20"/>
              </w:rPr>
            </w:pPr>
            <w:r w:rsidRPr="004E47DA">
              <w:rPr>
                <w:sz w:val="20"/>
                <w:szCs w:val="20"/>
              </w:rPr>
              <w:t>96,545</w:t>
            </w:r>
          </w:p>
        </w:tc>
        <w:tc>
          <w:tcPr>
            <w:tcW w:w="1665" w:type="dxa"/>
            <w:tcBorders>
              <w:top w:val="single" w:sz="4" w:space="0" w:color="auto"/>
              <w:left w:val="single" w:sz="4" w:space="0" w:color="auto"/>
              <w:bottom w:val="single" w:sz="4" w:space="0" w:color="auto"/>
              <w:right w:val="single" w:sz="4" w:space="0" w:color="auto"/>
            </w:tcBorders>
          </w:tcPr>
          <w:p w14:paraId="51E25E4B" w14:textId="52D44D89" w:rsidR="00654D04" w:rsidRPr="004E47DA" w:rsidRDefault="00654D04" w:rsidP="00654D04">
            <w:pPr>
              <w:suppressAutoHyphens w:val="0"/>
              <w:jc w:val="center"/>
              <w:rPr>
                <w:rFonts w:cs="Calibri"/>
                <w:sz w:val="20"/>
                <w:szCs w:val="20"/>
              </w:rPr>
            </w:pPr>
            <w:r w:rsidRPr="004E47DA">
              <w:rPr>
                <w:sz w:val="20"/>
                <w:szCs w:val="20"/>
              </w:rPr>
              <w:t>63%</w:t>
            </w:r>
          </w:p>
        </w:tc>
        <w:tc>
          <w:tcPr>
            <w:tcW w:w="1665" w:type="dxa"/>
            <w:tcBorders>
              <w:top w:val="single" w:sz="4" w:space="0" w:color="auto"/>
              <w:left w:val="single" w:sz="4" w:space="0" w:color="auto"/>
              <w:bottom w:val="single" w:sz="4" w:space="0" w:color="auto"/>
              <w:right w:val="single" w:sz="4" w:space="0" w:color="auto"/>
            </w:tcBorders>
          </w:tcPr>
          <w:p w14:paraId="744836B7" w14:textId="235662CB" w:rsidR="00654D04" w:rsidRPr="004E47DA" w:rsidRDefault="00654D04" w:rsidP="00654D04">
            <w:pPr>
              <w:suppressAutoHyphens w:val="0"/>
              <w:jc w:val="center"/>
              <w:rPr>
                <w:rFonts w:cs="Calibri"/>
                <w:sz w:val="20"/>
                <w:szCs w:val="20"/>
              </w:rPr>
            </w:pPr>
            <w:r w:rsidRPr="004E47DA">
              <w:rPr>
                <w:sz w:val="20"/>
                <w:szCs w:val="20"/>
              </w:rPr>
              <w:t>98,585</w:t>
            </w:r>
          </w:p>
        </w:tc>
        <w:tc>
          <w:tcPr>
            <w:tcW w:w="1665" w:type="dxa"/>
            <w:tcBorders>
              <w:top w:val="single" w:sz="4" w:space="0" w:color="auto"/>
              <w:left w:val="single" w:sz="4" w:space="0" w:color="auto"/>
              <w:bottom w:val="single" w:sz="4" w:space="0" w:color="auto"/>
              <w:right w:val="nil"/>
            </w:tcBorders>
          </w:tcPr>
          <w:p w14:paraId="1167F1A9" w14:textId="078BA315" w:rsidR="00654D04" w:rsidRPr="004E47DA" w:rsidRDefault="00654D04" w:rsidP="00654D04">
            <w:pPr>
              <w:suppressAutoHyphens w:val="0"/>
              <w:jc w:val="center"/>
              <w:rPr>
                <w:rFonts w:cs="Calibri"/>
                <w:sz w:val="20"/>
                <w:szCs w:val="20"/>
              </w:rPr>
            </w:pPr>
            <w:r w:rsidRPr="004E47DA">
              <w:rPr>
                <w:sz w:val="20"/>
                <w:szCs w:val="20"/>
              </w:rPr>
              <w:t>62%</w:t>
            </w:r>
          </w:p>
        </w:tc>
        <w:tc>
          <w:tcPr>
            <w:tcW w:w="1665" w:type="dxa"/>
          </w:tcPr>
          <w:p w14:paraId="5BAE9884" w14:textId="6E108A4D" w:rsidR="00654D04" w:rsidRPr="004E47DA" w:rsidRDefault="00654D04" w:rsidP="00654D04">
            <w:pPr>
              <w:suppressAutoHyphens w:val="0"/>
              <w:jc w:val="center"/>
              <w:rPr>
                <w:rFonts w:cs="Calibri Light"/>
                <w:color w:val="000000"/>
                <w:sz w:val="20"/>
                <w:szCs w:val="20"/>
              </w:rPr>
            </w:pPr>
            <w:r w:rsidRPr="004E47DA">
              <w:rPr>
                <w:sz w:val="20"/>
                <w:szCs w:val="20"/>
              </w:rPr>
              <w:t>101,477</w:t>
            </w:r>
          </w:p>
        </w:tc>
        <w:tc>
          <w:tcPr>
            <w:tcW w:w="1665" w:type="dxa"/>
            <w:vAlign w:val="center"/>
          </w:tcPr>
          <w:p w14:paraId="541DDBAA" w14:textId="735A4CDC" w:rsidR="00654D04" w:rsidRPr="004E47DA" w:rsidRDefault="00654D04" w:rsidP="00654D04">
            <w:pPr>
              <w:suppressAutoHyphens w:val="0"/>
              <w:jc w:val="center"/>
              <w:rPr>
                <w:rFonts w:cs="Calibri Light"/>
                <w:color w:val="000000"/>
                <w:sz w:val="20"/>
                <w:szCs w:val="20"/>
              </w:rPr>
            </w:pPr>
            <w:r w:rsidRPr="004E47DA">
              <w:rPr>
                <w:color w:val="000000"/>
                <w:sz w:val="20"/>
                <w:szCs w:val="20"/>
              </w:rPr>
              <w:t>62%</w:t>
            </w:r>
          </w:p>
        </w:tc>
      </w:tr>
      <w:tr w:rsidR="00654D04" w:rsidRPr="00AB44E1" w14:paraId="61722CAE" w14:textId="77777777" w:rsidTr="00021AA8">
        <w:trPr>
          <w:cantSplit/>
        </w:trPr>
        <w:tc>
          <w:tcPr>
            <w:tcW w:w="4410" w:type="dxa"/>
            <w:vAlign w:val="bottom"/>
          </w:tcPr>
          <w:p w14:paraId="2564C387" w14:textId="77777777" w:rsidR="00654D04" w:rsidRPr="00AB44E1" w:rsidRDefault="00654D04" w:rsidP="00654D04">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Payer: Medicare</w:t>
            </w:r>
          </w:p>
        </w:tc>
        <w:tc>
          <w:tcPr>
            <w:tcW w:w="1665" w:type="dxa"/>
            <w:tcBorders>
              <w:top w:val="single" w:sz="4" w:space="0" w:color="auto"/>
              <w:left w:val="nil"/>
              <w:bottom w:val="single" w:sz="4" w:space="0" w:color="auto"/>
              <w:right w:val="single" w:sz="4" w:space="0" w:color="auto"/>
            </w:tcBorders>
          </w:tcPr>
          <w:p w14:paraId="25ADE9A3" w14:textId="2D04DB5B" w:rsidR="00654D04" w:rsidRPr="004E47DA" w:rsidRDefault="00654D04" w:rsidP="00654D04">
            <w:pPr>
              <w:suppressAutoHyphens w:val="0"/>
              <w:jc w:val="center"/>
              <w:rPr>
                <w:rFonts w:cs="Calibri"/>
                <w:sz w:val="20"/>
                <w:szCs w:val="20"/>
              </w:rPr>
            </w:pPr>
            <w:r w:rsidRPr="004E47DA">
              <w:rPr>
                <w:sz w:val="20"/>
                <w:szCs w:val="20"/>
              </w:rPr>
              <w:t>24,266</w:t>
            </w:r>
          </w:p>
        </w:tc>
        <w:tc>
          <w:tcPr>
            <w:tcW w:w="1665" w:type="dxa"/>
            <w:tcBorders>
              <w:top w:val="single" w:sz="4" w:space="0" w:color="auto"/>
              <w:left w:val="single" w:sz="4" w:space="0" w:color="auto"/>
              <w:bottom w:val="single" w:sz="4" w:space="0" w:color="auto"/>
              <w:right w:val="single" w:sz="4" w:space="0" w:color="auto"/>
            </w:tcBorders>
          </w:tcPr>
          <w:p w14:paraId="1BE8D2A8" w14:textId="34D23272" w:rsidR="00654D04" w:rsidRPr="004E47DA" w:rsidRDefault="00654D04" w:rsidP="00654D04">
            <w:pPr>
              <w:suppressAutoHyphens w:val="0"/>
              <w:jc w:val="center"/>
              <w:rPr>
                <w:rFonts w:cs="Calibri"/>
                <w:sz w:val="20"/>
                <w:szCs w:val="20"/>
              </w:rPr>
            </w:pPr>
            <w:r w:rsidRPr="004E47DA">
              <w:rPr>
                <w:sz w:val="20"/>
                <w:szCs w:val="20"/>
              </w:rPr>
              <w:t>16%</w:t>
            </w:r>
          </w:p>
        </w:tc>
        <w:tc>
          <w:tcPr>
            <w:tcW w:w="1665" w:type="dxa"/>
            <w:tcBorders>
              <w:top w:val="single" w:sz="4" w:space="0" w:color="auto"/>
              <w:left w:val="single" w:sz="4" w:space="0" w:color="auto"/>
              <w:bottom w:val="single" w:sz="4" w:space="0" w:color="auto"/>
              <w:right w:val="single" w:sz="4" w:space="0" w:color="auto"/>
            </w:tcBorders>
          </w:tcPr>
          <w:p w14:paraId="4DE63299" w14:textId="595E6713" w:rsidR="00654D04" w:rsidRPr="004E47DA" w:rsidRDefault="00654D04" w:rsidP="00654D04">
            <w:pPr>
              <w:suppressAutoHyphens w:val="0"/>
              <w:jc w:val="center"/>
              <w:rPr>
                <w:rFonts w:cs="Calibri"/>
                <w:sz w:val="20"/>
                <w:szCs w:val="20"/>
              </w:rPr>
            </w:pPr>
            <w:r w:rsidRPr="004E47DA">
              <w:rPr>
                <w:sz w:val="20"/>
                <w:szCs w:val="20"/>
              </w:rPr>
              <w:t>24,474</w:t>
            </w:r>
          </w:p>
        </w:tc>
        <w:tc>
          <w:tcPr>
            <w:tcW w:w="1665" w:type="dxa"/>
            <w:tcBorders>
              <w:top w:val="single" w:sz="4" w:space="0" w:color="auto"/>
              <w:left w:val="single" w:sz="4" w:space="0" w:color="auto"/>
              <w:bottom w:val="single" w:sz="4" w:space="0" w:color="auto"/>
              <w:right w:val="nil"/>
            </w:tcBorders>
          </w:tcPr>
          <w:p w14:paraId="133000EF" w14:textId="79CC1B31" w:rsidR="00654D04" w:rsidRPr="004E47DA" w:rsidRDefault="00654D04" w:rsidP="00654D04">
            <w:pPr>
              <w:suppressAutoHyphens w:val="0"/>
              <w:jc w:val="center"/>
              <w:rPr>
                <w:rFonts w:cs="Calibri"/>
                <w:sz w:val="20"/>
                <w:szCs w:val="20"/>
              </w:rPr>
            </w:pPr>
            <w:r w:rsidRPr="004E47DA">
              <w:rPr>
                <w:sz w:val="20"/>
                <w:szCs w:val="20"/>
              </w:rPr>
              <w:t>16%</w:t>
            </w:r>
          </w:p>
        </w:tc>
        <w:tc>
          <w:tcPr>
            <w:tcW w:w="1665" w:type="dxa"/>
          </w:tcPr>
          <w:p w14:paraId="33A09323" w14:textId="6DF314A0" w:rsidR="00654D04" w:rsidRPr="004E47DA" w:rsidRDefault="00654D04" w:rsidP="00654D04">
            <w:pPr>
              <w:suppressAutoHyphens w:val="0"/>
              <w:jc w:val="center"/>
              <w:rPr>
                <w:rFonts w:cs="Calibri Light"/>
                <w:color w:val="000000"/>
                <w:sz w:val="20"/>
                <w:szCs w:val="20"/>
              </w:rPr>
            </w:pPr>
            <w:r w:rsidRPr="004E47DA">
              <w:rPr>
                <w:sz w:val="20"/>
                <w:szCs w:val="20"/>
              </w:rPr>
              <w:t>25,831</w:t>
            </w:r>
          </w:p>
        </w:tc>
        <w:tc>
          <w:tcPr>
            <w:tcW w:w="1665" w:type="dxa"/>
            <w:vAlign w:val="center"/>
          </w:tcPr>
          <w:p w14:paraId="3239760A" w14:textId="1444245C" w:rsidR="00654D04" w:rsidRPr="004E47DA" w:rsidRDefault="00654D04" w:rsidP="00654D04">
            <w:pPr>
              <w:suppressAutoHyphens w:val="0"/>
              <w:jc w:val="center"/>
              <w:rPr>
                <w:rFonts w:cs="Calibri Light"/>
                <w:color w:val="000000"/>
                <w:sz w:val="20"/>
                <w:szCs w:val="20"/>
              </w:rPr>
            </w:pPr>
            <w:r w:rsidRPr="004E47DA">
              <w:rPr>
                <w:color w:val="000000"/>
                <w:sz w:val="20"/>
                <w:szCs w:val="20"/>
              </w:rPr>
              <w:t>16%</w:t>
            </w:r>
          </w:p>
        </w:tc>
      </w:tr>
      <w:tr w:rsidR="00654D04" w:rsidRPr="00AB44E1" w14:paraId="5854BBFA" w14:textId="77777777" w:rsidTr="00021AA8">
        <w:trPr>
          <w:cantSplit/>
        </w:trPr>
        <w:tc>
          <w:tcPr>
            <w:tcW w:w="4410" w:type="dxa"/>
            <w:vAlign w:val="bottom"/>
          </w:tcPr>
          <w:p w14:paraId="74290140" w14:textId="77777777" w:rsidR="00654D04" w:rsidRPr="00AB44E1" w:rsidRDefault="00654D04" w:rsidP="00654D04">
            <w:pPr>
              <w:suppressAutoHyphens w:val="0"/>
              <w:rPr>
                <w:rFonts w:asciiTheme="minorHAnsi" w:hAnsiTheme="minorHAnsi" w:cs="Calibri"/>
                <w:color w:val="000000"/>
                <w:sz w:val="20"/>
                <w:szCs w:val="20"/>
              </w:rPr>
            </w:pPr>
            <w:r w:rsidRPr="00AB44E1">
              <w:rPr>
                <w:rFonts w:asciiTheme="minorHAnsi" w:hAnsiTheme="minorHAnsi" w:cs="Calibri"/>
                <w:color w:val="000000"/>
                <w:sz w:val="20"/>
                <w:szCs w:val="20"/>
              </w:rPr>
              <w:t>Payer: Medicare</w:t>
            </w:r>
            <w:r>
              <w:rPr>
                <w:rFonts w:asciiTheme="minorHAnsi" w:hAnsiTheme="minorHAnsi" w:cs="Calibri"/>
                <w:color w:val="000000"/>
                <w:sz w:val="20"/>
                <w:szCs w:val="20"/>
              </w:rPr>
              <w:t xml:space="preserve"> Managed Care</w:t>
            </w:r>
          </w:p>
        </w:tc>
        <w:tc>
          <w:tcPr>
            <w:tcW w:w="1665" w:type="dxa"/>
            <w:tcBorders>
              <w:top w:val="single" w:sz="4" w:space="0" w:color="auto"/>
              <w:left w:val="nil"/>
              <w:bottom w:val="single" w:sz="4" w:space="0" w:color="auto"/>
              <w:right w:val="single" w:sz="4" w:space="0" w:color="auto"/>
            </w:tcBorders>
          </w:tcPr>
          <w:p w14:paraId="6421DF9F" w14:textId="254F475F" w:rsidR="00654D04" w:rsidRPr="004E47DA" w:rsidRDefault="00654D04" w:rsidP="00654D04">
            <w:pPr>
              <w:suppressAutoHyphens w:val="0"/>
              <w:jc w:val="center"/>
              <w:rPr>
                <w:rFonts w:cs="Calibri"/>
                <w:color w:val="000000"/>
                <w:sz w:val="20"/>
                <w:szCs w:val="20"/>
              </w:rPr>
            </w:pPr>
            <w:r w:rsidRPr="004E47DA">
              <w:rPr>
                <w:sz w:val="20"/>
                <w:szCs w:val="20"/>
              </w:rPr>
              <w:t>11,045</w:t>
            </w:r>
          </w:p>
        </w:tc>
        <w:tc>
          <w:tcPr>
            <w:tcW w:w="1665" w:type="dxa"/>
            <w:tcBorders>
              <w:top w:val="single" w:sz="4" w:space="0" w:color="auto"/>
              <w:left w:val="single" w:sz="4" w:space="0" w:color="auto"/>
              <w:bottom w:val="single" w:sz="4" w:space="0" w:color="auto"/>
              <w:right w:val="single" w:sz="4" w:space="0" w:color="auto"/>
            </w:tcBorders>
          </w:tcPr>
          <w:p w14:paraId="028CBBD8" w14:textId="4349BD9A" w:rsidR="00654D04" w:rsidRPr="004E47DA" w:rsidRDefault="00654D04" w:rsidP="00654D04">
            <w:pPr>
              <w:suppressAutoHyphens w:val="0"/>
              <w:jc w:val="center"/>
              <w:rPr>
                <w:rFonts w:cs="Calibri"/>
                <w:color w:val="000000"/>
                <w:sz w:val="20"/>
                <w:szCs w:val="20"/>
              </w:rPr>
            </w:pPr>
            <w:r w:rsidRPr="004E47DA">
              <w:rPr>
                <w:sz w:val="20"/>
                <w:szCs w:val="20"/>
              </w:rPr>
              <w:t>7%</w:t>
            </w:r>
          </w:p>
        </w:tc>
        <w:tc>
          <w:tcPr>
            <w:tcW w:w="1665" w:type="dxa"/>
            <w:tcBorders>
              <w:top w:val="single" w:sz="4" w:space="0" w:color="auto"/>
              <w:left w:val="single" w:sz="4" w:space="0" w:color="auto"/>
              <w:bottom w:val="single" w:sz="4" w:space="0" w:color="auto"/>
              <w:right w:val="single" w:sz="4" w:space="0" w:color="auto"/>
            </w:tcBorders>
          </w:tcPr>
          <w:p w14:paraId="6C0F0237" w14:textId="159DA5A4" w:rsidR="00654D04" w:rsidRPr="004E47DA" w:rsidRDefault="00654D04" w:rsidP="00654D04">
            <w:pPr>
              <w:suppressAutoHyphens w:val="0"/>
              <w:jc w:val="center"/>
              <w:rPr>
                <w:rFonts w:cs="Calibri"/>
                <w:color w:val="000000"/>
                <w:sz w:val="20"/>
                <w:szCs w:val="20"/>
              </w:rPr>
            </w:pPr>
            <w:r w:rsidRPr="004E47DA">
              <w:rPr>
                <w:sz w:val="20"/>
                <w:szCs w:val="20"/>
              </w:rPr>
              <w:t>11,968</w:t>
            </w:r>
          </w:p>
        </w:tc>
        <w:tc>
          <w:tcPr>
            <w:tcW w:w="1665" w:type="dxa"/>
            <w:tcBorders>
              <w:top w:val="single" w:sz="4" w:space="0" w:color="auto"/>
              <w:left w:val="single" w:sz="4" w:space="0" w:color="auto"/>
              <w:bottom w:val="single" w:sz="4" w:space="0" w:color="auto"/>
              <w:right w:val="nil"/>
            </w:tcBorders>
          </w:tcPr>
          <w:p w14:paraId="16D4F364" w14:textId="796D23B7" w:rsidR="00654D04" w:rsidRPr="004E47DA" w:rsidRDefault="00654D04" w:rsidP="00654D04">
            <w:pPr>
              <w:suppressAutoHyphens w:val="0"/>
              <w:jc w:val="center"/>
              <w:rPr>
                <w:rFonts w:cs="Calibri"/>
                <w:color w:val="000000"/>
                <w:sz w:val="20"/>
                <w:szCs w:val="20"/>
              </w:rPr>
            </w:pPr>
            <w:r w:rsidRPr="004E47DA">
              <w:rPr>
                <w:sz w:val="20"/>
                <w:szCs w:val="20"/>
              </w:rPr>
              <w:t>8%</w:t>
            </w:r>
          </w:p>
        </w:tc>
        <w:tc>
          <w:tcPr>
            <w:tcW w:w="1665" w:type="dxa"/>
          </w:tcPr>
          <w:p w14:paraId="028A1408" w14:textId="0096749E" w:rsidR="00654D04" w:rsidRPr="004E47DA" w:rsidRDefault="00654D04" w:rsidP="00654D04">
            <w:pPr>
              <w:suppressAutoHyphens w:val="0"/>
              <w:jc w:val="center"/>
              <w:rPr>
                <w:rFonts w:cs="Calibri Light"/>
                <w:color w:val="000000"/>
                <w:sz w:val="20"/>
                <w:szCs w:val="20"/>
              </w:rPr>
            </w:pPr>
            <w:r w:rsidRPr="004E47DA">
              <w:rPr>
                <w:sz w:val="20"/>
                <w:szCs w:val="20"/>
              </w:rPr>
              <w:t>12,844</w:t>
            </w:r>
          </w:p>
        </w:tc>
        <w:tc>
          <w:tcPr>
            <w:tcW w:w="1665" w:type="dxa"/>
            <w:vAlign w:val="center"/>
          </w:tcPr>
          <w:p w14:paraId="062F1C13" w14:textId="7EE8985F" w:rsidR="00654D04" w:rsidRPr="004E47DA" w:rsidRDefault="00654D04" w:rsidP="00654D04">
            <w:pPr>
              <w:suppressAutoHyphens w:val="0"/>
              <w:jc w:val="center"/>
              <w:rPr>
                <w:rFonts w:cs="Calibri Light"/>
                <w:color w:val="000000"/>
                <w:sz w:val="20"/>
                <w:szCs w:val="20"/>
              </w:rPr>
            </w:pPr>
            <w:r w:rsidRPr="004E47DA">
              <w:rPr>
                <w:color w:val="000000"/>
                <w:sz w:val="20"/>
                <w:szCs w:val="20"/>
              </w:rPr>
              <w:t>8%</w:t>
            </w:r>
          </w:p>
        </w:tc>
      </w:tr>
      <w:tr w:rsidR="00654D04" w:rsidRPr="00AB44E1" w14:paraId="7D4B6071" w14:textId="77777777" w:rsidTr="00021AA8">
        <w:trPr>
          <w:cantSplit/>
        </w:trPr>
        <w:tc>
          <w:tcPr>
            <w:tcW w:w="4410" w:type="dxa"/>
            <w:vAlign w:val="bottom"/>
          </w:tcPr>
          <w:p w14:paraId="45BC43B2" w14:textId="77777777" w:rsidR="00654D04" w:rsidRPr="00AB44E1" w:rsidRDefault="00654D04" w:rsidP="00654D04">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Payer: Medicaid</w:t>
            </w:r>
          </w:p>
        </w:tc>
        <w:tc>
          <w:tcPr>
            <w:tcW w:w="1665" w:type="dxa"/>
            <w:tcBorders>
              <w:top w:val="single" w:sz="4" w:space="0" w:color="auto"/>
              <w:left w:val="nil"/>
              <w:bottom w:val="single" w:sz="4" w:space="0" w:color="auto"/>
              <w:right w:val="single" w:sz="4" w:space="0" w:color="auto"/>
            </w:tcBorders>
          </w:tcPr>
          <w:p w14:paraId="627DE512" w14:textId="722E2545" w:rsidR="00654D04" w:rsidRPr="004E47DA" w:rsidRDefault="00654D04" w:rsidP="00654D04">
            <w:pPr>
              <w:suppressAutoHyphens w:val="0"/>
              <w:jc w:val="center"/>
              <w:rPr>
                <w:rFonts w:cs="Calibri"/>
                <w:sz w:val="20"/>
                <w:szCs w:val="20"/>
              </w:rPr>
            </w:pPr>
            <w:r w:rsidRPr="004E47DA">
              <w:rPr>
                <w:sz w:val="20"/>
                <w:szCs w:val="20"/>
              </w:rPr>
              <w:t>12,562</w:t>
            </w:r>
          </w:p>
        </w:tc>
        <w:tc>
          <w:tcPr>
            <w:tcW w:w="1665" w:type="dxa"/>
            <w:tcBorders>
              <w:top w:val="single" w:sz="4" w:space="0" w:color="auto"/>
              <w:left w:val="single" w:sz="4" w:space="0" w:color="auto"/>
              <w:bottom w:val="single" w:sz="4" w:space="0" w:color="auto"/>
              <w:right w:val="single" w:sz="4" w:space="0" w:color="auto"/>
            </w:tcBorders>
          </w:tcPr>
          <w:p w14:paraId="12C9C27A" w14:textId="3CA199EF" w:rsidR="00654D04" w:rsidRPr="004E47DA" w:rsidRDefault="00654D04" w:rsidP="00654D04">
            <w:pPr>
              <w:suppressAutoHyphens w:val="0"/>
              <w:jc w:val="center"/>
              <w:rPr>
                <w:rFonts w:cs="Calibri"/>
                <w:sz w:val="20"/>
                <w:szCs w:val="20"/>
              </w:rPr>
            </w:pPr>
            <w:r w:rsidRPr="004E47DA">
              <w:rPr>
                <w:sz w:val="20"/>
                <w:szCs w:val="20"/>
              </w:rPr>
              <w:t>8%</w:t>
            </w:r>
          </w:p>
        </w:tc>
        <w:tc>
          <w:tcPr>
            <w:tcW w:w="1665" w:type="dxa"/>
            <w:tcBorders>
              <w:top w:val="single" w:sz="4" w:space="0" w:color="auto"/>
              <w:left w:val="single" w:sz="4" w:space="0" w:color="auto"/>
              <w:bottom w:val="single" w:sz="4" w:space="0" w:color="auto"/>
              <w:right w:val="single" w:sz="4" w:space="0" w:color="auto"/>
            </w:tcBorders>
          </w:tcPr>
          <w:p w14:paraId="61367B1D" w14:textId="421D4E81" w:rsidR="00654D04" w:rsidRPr="004E47DA" w:rsidRDefault="00654D04" w:rsidP="00654D04">
            <w:pPr>
              <w:suppressAutoHyphens w:val="0"/>
              <w:jc w:val="center"/>
              <w:rPr>
                <w:rFonts w:cs="Calibri"/>
                <w:sz w:val="20"/>
                <w:szCs w:val="20"/>
              </w:rPr>
            </w:pPr>
            <w:r w:rsidRPr="004E47DA">
              <w:rPr>
                <w:sz w:val="20"/>
                <w:szCs w:val="20"/>
              </w:rPr>
              <w:t>9,030</w:t>
            </w:r>
          </w:p>
        </w:tc>
        <w:tc>
          <w:tcPr>
            <w:tcW w:w="1665" w:type="dxa"/>
            <w:tcBorders>
              <w:top w:val="single" w:sz="4" w:space="0" w:color="auto"/>
              <w:left w:val="single" w:sz="4" w:space="0" w:color="auto"/>
              <w:bottom w:val="single" w:sz="4" w:space="0" w:color="auto"/>
              <w:right w:val="nil"/>
            </w:tcBorders>
          </w:tcPr>
          <w:p w14:paraId="021DFB9A" w14:textId="782297A2" w:rsidR="00654D04" w:rsidRPr="004E47DA" w:rsidRDefault="00654D04" w:rsidP="00654D04">
            <w:pPr>
              <w:suppressAutoHyphens w:val="0"/>
              <w:jc w:val="center"/>
              <w:rPr>
                <w:rFonts w:cs="Calibri"/>
                <w:sz w:val="20"/>
                <w:szCs w:val="20"/>
              </w:rPr>
            </w:pPr>
            <w:r w:rsidRPr="004E47DA">
              <w:rPr>
                <w:sz w:val="20"/>
                <w:szCs w:val="20"/>
              </w:rPr>
              <w:t>6%</w:t>
            </w:r>
          </w:p>
        </w:tc>
        <w:tc>
          <w:tcPr>
            <w:tcW w:w="1665" w:type="dxa"/>
          </w:tcPr>
          <w:p w14:paraId="534A0448" w14:textId="0251ECAB" w:rsidR="00654D04" w:rsidRPr="004E47DA" w:rsidRDefault="00654D04" w:rsidP="00654D04">
            <w:pPr>
              <w:suppressAutoHyphens w:val="0"/>
              <w:jc w:val="center"/>
              <w:rPr>
                <w:rFonts w:cs="Calibri Light"/>
                <w:color w:val="000000"/>
                <w:sz w:val="20"/>
                <w:szCs w:val="20"/>
              </w:rPr>
            </w:pPr>
            <w:r w:rsidRPr="004E47DA">
              <w:rPr>
                <w:sz w:val="20"/>
                <w:szCs w:val="20"/>
              </w:rPr>
              <w:t>8,939</w:t>
            </w:r>
          </w:p>
        </w:tc>
        <w:tc>
          <w:tcPr>
            <w:tcW w:w="1665" w:type="dxa"/>
            <w:vAlign w:val="center"/>
          </w:tcPr>
          <w:p w14:paraId="599326FB" w14:textId="1C78D088" w:rsidR="00654D04" w:rsidRPr="004E47DA" w:rsidRDefault="00654D04" w:rsidP="00654D04">
            <w:pPr>
              <w:suppressAutoHyphens w:val="0"/>
              <w:jc w:val="center"/>
              <w:rPr>
                <w:rFonts w:cs="Calibri Light"/>
                <w:color w:val="000000"/>
                <w:sz w:val="20"/>
                <w:szCs w:val="20"/>
              </w:rPr>
            </w:pPr>
            <w:r w:rsidRPr="004E47DA">
              <w:rPr>
                <w:color w:val="000000"/>
                <w:sz w:val="20"/>
                <w:szCs w:val="20"/>
              </w:rPr>
              <w:t>6%</w:t>
            </w:r>
          </w:p>
        </w:tc>
      </w:tr>
      <w:tr w:rsidR="00654D04" w:rsidRPr="00AB44E1" w14:paraId="4DD11768" w14:textId="77777777" w:rsidTr="00021AA8">
        <w:trPr>
          <w:cantSplit/>
        </w:trPr>
        <w:tc>
          <w:tcPr>
            <w:tcW w:w="4410" w:type="dxa"/>
            <w:vAlign w:val="bottom"/>
          </w:tcPr>
          <w:p w14:paraId="4FBFD985" w14:textId="77777777" w:rsidR="00654D04" w:rsidRPr="00AB44E1" w:rsidRDefault="00654D04" w:rsidP="00654D04">
            <w:pPr>
              <w:suppressAutoHyphens w:val="0"/>
              <w:rPr>
                <w:rFonts w:asciiTheme="minorHAnsi" w:hAnsiTheme="minorHAnsi" w:cs="Calibri"/>
                <w:color w:val="000000"/>
                <w:sz w:val="20"/>
                <w:szCs w:val="20"/>
              </w:rPr>
            </w:pPr>
            <w:r>
              <w:rPr>
                <w:rFonts w:asciiTheme="minorHAnsi" w:hAnsiTheme="minorHAnsi" w:cs="Calibri"/>
                <w:color w:val="000000"/>
                <w:sz w:val="20"/>
                <w:szCs w:val="20"/>
              </w:rPr>
              <w:t>Payer: Medicaid Managed Care</w:t>
            </w:r>
          </w:p>
        </w:tc>
        <w:tc>
          <w:tcPr>
            <w:tcW w:w="1665" w:type="dxa"/>
            <w:tcBorders>
              <w:top w:val="single" w:sz="4" w:space="0" w:color="auto"/>
              <w:left w:val="nil"/>
              <w:bottom w:val="single" w:sz="4" w:space="0" w:color="auto"/>
              <w:right w:val="single" w:sz="4" w:space="0" w:color="auto"/>
            </w:tcBorders>
          </w:tcPr>
          <w:p w14:paraId="0E089092" w14:textId="0B68C151" w:rsidR="00654D04" w:rsidRPr="004E47DA" w:rsidRDefault="00654D04" w:rsidP="00654D04">
            <w:pPr>
              <w:suppressAutoHyphens w:val="0"/>
              <w:jc w:val="center"/>
              <w:rPr>
                <w:rFonts w:cs="Calibri"/>
                <w:color w:val="000000"/>
                <w:sz w:val="20"/>
                <w:szCs w:val="20"/>
              </w:rPr>
            </w:pPr>
            <w:r w:rsidRPr="004E47DA">
              <w:rPr>
                <w:sz w:val="20"/>
                <w:szCs w:val="20"/>
              </w:rPr>
              <w:t>4,638</w:t>
            </w:r>
          </w:p>
        </w:tc>
        <w:tc>
          <w:tcPr>
            <w:tcW w:w="1665" w:type="dxa"/>
            <w:tcBorders>
              <w:top w:val="single" w:sz="4" w:space="0" w:color="auto"/>
              <w:left w:val="single" w:sz="4" w:space="0" w:color="auto"/>
              <w:bottom w:val="single" w:sz="4" w:space="0" w:color="auto"/>
              <w:right w:val="single" w:sz="4" w:space="0" w:color="auto"/>
            </w:tcBorders>
          </w:tcPr>
          <w:p w14:paraId="799EEEED" w14:textId="70AC9472" w:rsidR="00654D04" w:rsidRPr="004E47DA" w:rsidRDefault="00654D04" w:rsidP="00654D04">
            <w:pPr>
              <w:suppressAutoHyphens w:val="0"/>
              <w:jc w:val="center"/>
              <w:rPr>
                <w:rFonts w:cs="Calibri"/>
                <w:color w:val="000000"/>
                <w:sz w:val="20"/>
                <w:szCs w:val="20"/>
              </w:rPr>
            </w:pPr>
            <w:r w:rsidRPr="004E47DA">
              <w:rPr>
                <w:sz w:val="20"/>
                <w:szCs w:val="20"/>
              </w:rPr>
              <w:t>3%</w:t>
            </w:r>
          </w:p>
        </w:tc>
        <w:tc>
          <w:tcPr>
            <w:tcW w:w="1665" w:type="dxa"/>
            <w:tcBorders>
              <w:top w:val="single" w:sz="4" w:space="0" w:color="auto"/>
              <w:left w:val="single" w:sz="4" w:space="0" w:color="auto"/>
              <w:bottom w:val="single" w:sz="4" w:space="0" w:color="auto"/>
              <w:right w:val="single" w:sz="4" w:space="0" w:color="auto"/>
            </w:tcBorders>
          </w:tcPr>
          <w:p w14:paraId="6140FBA6" w14:textId="36D22CB8" w:rsidR="00654D04" w:rsidRPr="004E47DA" w:rsidRDefault="00654D04" w:rsidP="00654D04">
            <w:pPr>
              <w:suppressAutoHyphens w:val="0"/>
              <w:jc w:val="center"/>
              <w:rPr>
                <w:rFonts w:cs="Calibri"/>
                <w:color w:val="000000"/>
                <w:sz w:val="20"/>
                <w:szCs w:val="20"/>
              </w:rPr>
            </w:pPr>
            <w:r w:rsidRPr="004E47DA">
              <w:rPr>
                <w:sz w:val="20"/>
                <w:szCs w:val="20"/>
              </w:rPr>
              <w:t>8,328</w:t>
            </w:r>
          </w:p>
        </w:tc>
        <w:tc>
          <w:tcPr>
            <w:tcW w:w="1665" w:type="dxa"/>
            <w:tcBorders>
              <w:top w:val="single" w:sz="4" w:space="0" w:color="auto"/>
              <w:left w:val="single" w:sz="4" w:space="0" w:color="auto"/>
              <w:bottom w:val="single" w:sz="4" w:space="0" w:color="auto"/>
              <w:right w:val="nil"/>
            </w:tcBorders>
          </w:tcPr>
          <w:p w14:paraId="1502EB65" w14:textId="7FF4CF0C" w:rsidR="00654D04" w:rsidRPr="004E47DA" w:rsidRDefault="00654D04" w:rsidP="00654D04">
            <w:pPr>
              <w:suppressAutoHyphens w:val="0"/>
              <w:jc w:val="center"/>
              <w:rPr>
                <w:rFonts w:cs="Calibri"/>
                <w:color w:val="000000"/>
                <w:sz w:val="20"/>
                <w:szCs w:val="20"/>
              </w:rPr>
            </w:pPr>
            <w:r w:rsidRPr="004E47DA">
              <w:rPr>
                <w:sz w:val="20"/>
                <w:szCs w:val="20"/>
              </w:rPr>
              <w:t>5%</w:t>
            </w:r>
          </w:p>
        </w:tc>
        <w:tc>
          <w:tcPr>
            <w:tcW w:w="1665" w:type="dxa"/>
          </w:tcPr>
          <w:p w14:paraId="2C0D3E3C" w14:textId="474FA393" w:rsidR="00654D04" w:rsidRPr="004E47DA" w:rsidRDefault="00654D04" w:rsidP="00654D04">
            <w:pPr>
              <w:suppressAutoHyphens w:val="0"/>
              <w:jc w:val="center"/>
              <w:rPr>
                <w:rFonts w:cs="Calibri Light"/>
                <w:color w:val="000000"/>
                <w:sz w:val="20"/>
                <w:szCs w:val="20"/>
              </w:rPr>
            </w:pPr>
            <w:r w:rsidRPr="004E47DA">
              <w:rPr>
                <w:sz w:val="20"/>
                <w:szCs w:val="20"/>
              </w:rPr>
              <w:t>8,535</w:t>
            </w:r>
          </w:p>
        </w:tc>
        <w:tc>
          <w:tcPr>
            <w:tcW w:w="1665" w:type="dxa"/>
            <w:vAlign w:val="center"/>
          </w:tcPr>
          <w:p w14:paraId="131954A6" w14:textId="142D3245" w:rsidR="00654D04" w:rsidRPr="004E47DA" w:rsidRDefault="00654D04" w:rsidP="00654D04">
            <w:pPr>
              <w:suppressAutoHyphens w:val="0"/>
              <w:jc w:val="center"/>
              <w:rPr>
                <w:rFonts w:cs="Calibri Light"/>
                <w:color w:val="000000"/>
                <w:sz w:val="20"/>
                <w:szCs w:val="20"/>
              </w:rPr>
            </w:pPr>
            <w:r w:rsidRPr="004E47DA">
              <w:rPr>
                <w:color w:val="000000"/>
                <w:sz w:val="20"/>
                <w:szCs w:val="20"/>
              </w:rPr>
              <w:t>5%</w:t>
            </w:r>
          </w:p>
        </w:tc>
      </w:tr>
      <w:tr w:rsidR="00654D04" w:rsidRPr="00AB44E1" w14:paraId="4D52FC4A" w14:textId="77777777" w:rsidTr="00021AA8">
        <w:trPr>
          <w:cantSplit/>
        </w:trPr>
        <w:tc>
          <w:tcPr>
            <w:tcW w:w="4410" w:type="dxa"/>
            <w:vAlign w:val="bottom"/>
          </w:tcPr>
          <w:p w14:paraId="697BC5F9" w14:textId="77777777" w:rsidR="00654D04" w:rsidRPr="00AB44E1" w:rsidRDefault="00654D04" w:rsidP="00654D04">
            <w:pPr>
              <w:suppressAutoHyphens w:val="0"/>
              <w:rPr>
                <w:rFonts w:asciiTheme="minorHAnsi" w:hAnsiTheme="minorHAnsi" w:cs="Calibri"/>
                <w:color w:val="000000"/>
                <w:sz w:val="20"/>
                <w:szCs w:val="20"/>
              </w:rPr>
            </w:pPr>
            <w:r w:rsidRPr="00AB44E1">
              <w:rPr>
                <w:rFonts w:asciiTheme="minorHAnsi" w:hAnsiTheme="minorHAnsi" w:cs="Calibri"/>
                <w:color w:val="000000"/>
                <w:sz w:val="20"/>
                <w:szCs w:val="20"/>
              </w:rPr>
              <w:t xml:space="preserve">Payer: </w:t>
            </w:r>
            <w:proofErr w:type="gramStart"/>
            <w:r w:rsidRPr="00AB44E1">
              <w:rPr>
                <w:rFonts w:asciiTheme="minorHAnsi" w:hAnsiTheme="minorHAnsi" w:cs="Calibri"/>
                <w:color w:val="000000"/>
                <w:sz w:val="20"/>
                <w:szCs w:val="20"/>
              </w:rPr>
              <w:t>Other</w:t>
            </w:r>
            <w:proofErr w:type="gramEnd"/>
            <w:r w:rsidRPr="00AB44E1">
              <w:rPr>
                <w:rFonts w:asciiTheme="minorHAnsi" w:hAnsiTheme="minorHAnsi" w:cs="Calibri"/>
                <w:color w:val="000000"/>
                <w:sz w:val="20"/>
                <w:szCs w:val="20"/>
                <w:vertAlign w:val="superscript"/>
              </w:rPr>
              <w:footnoteReference w:id="4"/>
            </w:r>
            <w:r w:rsidRPr="00AB44E1">
              <w:rPr>
                <w:rFonts w:asciiTheme="minorHAnsi" w:hAnsiTheme="minorHAnsi" w:cs="Calibri"/>
                <w:color w:val="000000"/>
                <w:sz w:val="20"/>
                <w:szCs w:val="20"/>
              </w:rPr>
              <w:t xml:space="preserve"> / Unknown</w:t>
            </w:r>
          </w:p>
        </w:tc>
        <w:tc>
          <w:tcPr>
            <w:tcW w:w="1665" w:type="dxa"/>
            <w:tcBorders>
              <w:top w:val="single" w:sz="4" w:space="0" w:color="auto"/>
              <w:left w:val="nil"/>
              <w:bottom w:val="single" w:sz="4" w:space="0" w:color="auto"/>
              <w:right w:val="single" w:sz="4" w:space="0" w:color="auto"/>
            </w:tcBorders>
          </w:tcPr>
          <w:p w14:paraId="4C66CF74" w14:textId="087EE5CA" w:rsidR="00654D04" w:rsidRPr="004E47DA" w:rsidRDefault="00654D04" w:rsidP="00654D04">
            <w:pPr>
              <w:suppressAutoHyphens w:val="0"/>
              <w:jc w:val="center"/>
              <w:rPr>
                <w:rFonts w:cs="Calibri"/>
                <w:sz w:val="20"/>
                <w:szCs w:val="20"/>
              </w:rPr>
            </w:pPr>
            <w:r w:rsidRPr="004E47DA">
              <w:rPr>
                <w:sz w:val="20"/>
                <w:szCs w:val="20"/>
              </w:rPr>
              <w:t>4,958</w:t>
            </w:r>
          </w:p>
        </w:tc>
        <w:tc>
          <w:tcPr>
            <w:tcW w:w="1665" w:type="dxa"/>
            <w:tcBorders>
              <w:top w:val="single" w:sz="4" w:space="0" w:color="auto"/>
              <w:left w:val="single" w:sz="4" w:space="0" w:color="auto"/>
              <w:bottom w:val="single" w:sz="4" w:space="0" w:color="auto"/>
              <w:right w:val="single" w:sz="4" w:space="0" w:color="auto"/>
            </w:tcBorders>
          </w:tcPr>
          <w:p w14:paraId="1F31617F" w14:textId="0DFC893D" w:rsidR="00654D04" w:rsidRPr="004E47DA" w:rsidRDefault="00654D04" w:rsidP="00654D04">
            <w:pPr>
              <w:suppressAutoHyphens w:val="0"/>
              <w:jc w:val="center"/>
              <w:rPr>
                <w:rFonts w:cs="Calibri"/>
                <w:sz w:val="20"/>
                <w:szCs w:val="20"/>
              </w:rPr>
            </w:pPr>
            <w:r w:rsidRPr="004E47DA">
              <w:rPr>
                <w:sz w:val="20"/>
                <w:szCs w:val="20"/>
              </w:rPr>
              <w:t>3%</w:t>
            </w:r>
          </w:p>
        </w:tc>
        <w:tc>
          <w:tcPr>
            <w:tcW w:w="1665" w:type="dxa"/>
            <w:tcBorders>
              <w:top w:val="single" w:sz="4" w:space="0" w:color="auto"/>
              <w:left w:val="single" w:sz="4" w:space="0" w:color="auto"/>
              <w:bottom w:val="single" w:sz="4" w:space="0" w:color="auto"/>
              <w:right w:val="single" w:sz="4" w:space="0" w:color="auto"/>
            </w:tcBorders>
          </w:tcPr>
          <w:p w14:paraId="4475FC22" w14:textId="54176320" w:rsidR="00654D04" w:rsidRPr="004E47DA" w:rsidRDefault="00654D04" w:rsidP="00654D04">
            <w:pPr>
              <w:suppressAutoHyphens w:val="0"/>
              <w:jc w:val="center"/>
              <w:rPr>
                <w:rFonts w:cs="Calibri"/>
                <w:sz w:val="20"/>
                <w:szCs w:val="20"/>
              </w:rPr>
            </w:pPr>
            <w:r w:rsidRPr="004E47DA">
              <w:rPr>
                <w:sz w:val="20"/>
                <w:szCs w:val="20"/>
              </w:rPr>
              <w:t>5,998</w:t>
            </w:r>
          </w:p>
        </w:tc>
        <w:tc>
          <w:tcPr>
            <w:tcW w:w="1665" w:type="dxa"/>
            <w:tcBorders>
              <w:top w:val="single" w:sz="4" w:space="0" w:color="auto"/>
              <w:left w:val="single" w:sz="4" w:space="0" w:color="auto"/>
              <w:bottom w:val="single" w:sz="4" w:space="0" w:color="auto"/>
              <w:right w:val="nil"/>
            </w:tcBorders>
          </w:tcPr>
          <w:p w14:paraId="7D568AA0" w14:textId="39986EF3" w:rsidR="00654D04" w:rsidRPr="004E47DA" w:rsidRDefault="00654D04" w:rsidP="00654D04">
            <w:pPr>
              <w:suppressAutoHyphens w:val="0"/>
              <w:jc w:val="center"/>
              <w:rPr>
                <w:rFonts w:cs="Calibri"/>
                <w:sz w:val="20"/>
                <w:szCs w:val="20"/>
              </w:rPr>
            </w:pPr>
            <w:r w:rsidRPr="004E47DA">
              <w:rPr>
                <w:sz w:val="20"/>
                <w:szCs w:val="20"/>
              </w:rPr>
              <w:t>4%</w:t>
            </w:r>
          </w:p>
        </w:tc>
        <w:tc>
          <w:tcPr>
            <w:tcW w:w="1665" w:type="dxa"/>
          </w:tcPr>
          <w:p w14:paraId="7C111A00" w14:textId="20AB5A4C" w:rsidR="00654D04" w:rsidRPr="004E47DA" w:rsidRDefault="00654D04" w:rsidP="00654D04">
            <w:pPr>
              <w:suppressAutoHyphens w:val="0"/>
              <w:jc w:val="center"/>
              <w:rPr>
                <w:rFonts w:cs="Calibri Light"/>
                <w:color w:val="000000"/>
                <w:sz w:val="20"/>
                <w:szCs w:val="20"/>
              </w:rPr>
            </w:pPr>
            <w:r w:rsidRPr="004E47DA">
              <w:rPr>
                <w:sz w:val="20"/>
                <w:szCs w:val="20"/>
              </w:rPr>
              <w:t>6,114</w:t>
            </w:r>
          </w:p>
        </w:tc>
        <w:tc>
          <w:tcPr>
            <w:tcW w:w="1665" w:type="dxa"/>
            <w:vAlign w:val="center"/>
          </w:tcPr>
          <w:p w14:paraId="371F7833" w14:textId="6413F51B" w:rsidR="00654D04" w:rsidRPr="004E47DA" w:rsidRDefault="00654D04" w:rsidP="00654D04">
            <w:pPr>
              <w:suppressAutoHyphens w:val="0"/>
              <w:jc w:val="center"/>
              <w:rPr>
                <w:rFonts w:cs="Calibri Light"/>
                <w:color w:val="000000"/>
                <w:sz w:val="20"/>
                <w:szCs w:val="20"/>
              </w:rPr>
            </w:pPr>
            <w:r w:rsidRPr="004E47DA">
              <w:rPr>
                <w:color w:val="000000"/>
                <w:sz w:val="20"/>
                <w:szCs w:val="20"/>
              </w:rPr>
              <w:t>4%</w:t>
            </w:r>
          </w:p>
        </w:tc>
      </w:tr>
      <w:bookmarkEnd w:id="1"/>
    </w:tbl>
    <w:p w14:paraId="401FB017" w14:textId="77777777" w:rsidR="003A101B" w:rsidRDefault="003A101B" w:rsidP="00B8714D">
      <w:pPr>
        <w:suppressAutoHyphens w:val="0"/>
        <w:spacing w:after="240"/>
        <w:jc w:val="both"/>
        <w:rPr>
          <w:rFonts w:asciiTheme="minorHAnsi" w:eastAsia="Calibri" w:hAnsiTheme="minorHAnsi" w:cs="Arial"/>
          <w:b/>
          <w:bCs/>
          <w:sz w:val="22"/>
          <w:szCs w:val="22"/>
        </w:rPr>
        <w:sectPr w:rsidR="003A101B" w:rsidSect="003A101B">
          <w:pgSz w:w="15840" w:h="12240" w:orient="landscape"/>
          <w:pgMar w:top="1440" w:right="1440" w:bottom="1440" w:left="1440" w:header="720" w:footer="720" w:gutter="0"/>
          <w:cols w:space="720"/>
          <w:docGrid w:linePitch="360"/>
        </w:sectPr>
      </w:pPr>
    </w:p>
    <w:p w14:paraId="03A592D4" w14:textId="77777777" w:rsidR="00B8714D" w:rsidRDefault="00B8714D" w:rsidP="00B8714D">
      <w:pPr>
        <w:suppressAutoHyphens w:val="0"/>
        <w:spacing w:after="240"/>
        <w:jc w:val="both"/>
        <w:rPr>
          <w:rFonts w:asciiTheme="minorHAnsi" w:eastAsia="Calibri" w:hAnsiTheme="minorHAnsi" w:cs="Arial"/>
          <w:b/>
          <w:bCs/>
          <w:sz w:val="22"/>
          <w:szCs w:val="22"/>
        </w:rPr>
      </w:pPr>
    </w:p>
    <w:p w14:paraId="752FDA0B" w14:textId="15417447" w:rsidR="00B8714D" w:rsidRPr="003A101B" w:rsidRDefault="00B8714D" w:rsidP="003A101B">
      <w:pPr>
        <w:pStyle w:val="ListParagraph"/>
        <w:numPr>
          <w:ilvl w:val="0"/>
          <w:numId w:val="5"/>
        </w:numPr>
        <w:suppressAutoHyphens w:val="0"/>
        <w:spacing w:after="240"/>
        <w:ind w:left="450" w:hanging="450"/>
        <w:jc w:val="both"/>
        <w:rPr>
          <w:rFonts w:asciiTheme="minorHAnsi" w:eastAsia="Calibri" w:hAnsiTheme="minorHAnsi" w:cs="Arial"/>
          <w:sz w:val="22"/>
          <w:szCs w:val="22"/>
        </w:rPr>
      </w:pPr>
      <w:r w:rsidRPr="003A101B">
        <w:rPr>
          <w:rFonts w:asciiTheme="minorHAnsi" w:eastAsia="Calibri" w:hAnsiTheme="minorHAnsi" w:cs="Arial"/>
          <w:sz w:val="22"/>
          <w:szCs w:val="22"/>
        </w:rPr>
        <w:t xml:space="preserve">Winchester Hospital Endoscopy Patients </w:t>
      </w:r>
    </w:p>
    <w:p w14:paraId="47CCD02E" w14:textId="51832021" w:rsidR="00B8714D" w:rsidRPr="00AB44E1" w:rsidRDefault="00B8714D" w:rsidP="00B8714D">
      <w:pPr>
        <w:suppressAutoHyphens w:val="0"/>
        <w:spacing w:after="240"/>
        <w:jc w:val="both"/>
        <w:rPr>
          <w:rFonts w:asciiTheme="minorHAnsi" w:eastAsia="Verdana" w:hAnsiTheme="minorHAnsi" w:cs="Arial"/>
          <w:sz w:val="22"/>
          <w:szCs w:val="22"/>
        </w:rPr>
      </w:pPr>
      <w:r>
        <w:rPr>
          <w:rFonts w:asciiTheme="minorHAnsi" w:eastAsia="Verdana" w:hAnsiTheme="minorHAnsi" w:cs="Arial"/>
          <w:sz w:val="22"/>
          <w:szCs w:val="22"/>
        </w:rPr>
        <w:t>In</w:t>
      </w:r>
      <w:r w:rsidRPr="0070003A">
        <w:rPr>
          <w:rFonts w:asciiTheme="minorHAnsi" w:eastAsia="Verdana" w:hAnsiTheme="minorHAnsi" w:cs="Arial"/>
          <w:sz w:val="22"/>
          <w:szCs w:val="22"/>
        </w:rPr>
        <w:t xml:space="preserve"> FY25</w:t>
      </w:r>
      <w:r>
        <w:rPr>
          <w:rFonts w:asciiTheme="minorHAnsi" w:eastAsia="Verdana" w:hAnsiTheme="minorHAnsi" w:cs="Arial"/>
          <w:sz w:val="22"/>
          <w:szCs w:val="22"/>
        </w:rPr>
        <w:t xml:space="preserve">, slightly less than half of the Hospital’s endoscopy patients were between </w:t>
      </w:r>
      <w:r w:rsidR="00F80026">
        <w:rPr>
          <w:rFonts w:asciiTheme="minorHAnsi" w:eastAsia="Verdana" w:hAnsiTheme="minorHAnsi" w:cs="Arial"/>
          <w:sz w:val="22"/>
          <w:szCs w:val="22"/>
        </w:rPr>
        <w:t xml:space="preserve">the ages of </w:t>
      </w:r>
      <w:r>
        <w:rPr>
          <w:rFonts w:asciiTheme="minorHAnsi" w:eastAsia="Verdana" w:hAnsiTheme="minorHAnsi" w:cs="Arial"/>
          <w:sz w:val="22"/>
          <w:szCs w:val="22"/>
        </w:rPr>
        <w:t xml:space="preserve">46 and 64 (46%). </w:t>
      </w:r>
      <w:r w:rsidRPr="0070003A">
        <w:rPr>
          <w:rFonts w:asciiTheme="minorHAnsi" w:eastAsia="Verdana" w:hAnsiTheme="minorHAnsi" w:cs="Arial"/>
          <w:sz w:val="22"/>
          <w:szCs w:val="22"/>
        </w:rPr>
        <w:t xml:space="preserve"> 30% of </w:t>
      </w:r>
      <w:r>
        <w:rPr>
          <w:rFonts w:asciiTheme="minorHAnsi" w:eastAsia="Verdana" w:hAnsiTheme="minorHAnsi" w:cs="Arial"/>
          <w:sz w:val="22"/>
          <w:szCs w:val="22"/>
        </w:rPr>
        <w:t>the Hospital’s</w:t>
      </w:r>
      <w:r w:rsidRPr="0070003A">
        <w:rPr>
          <w:rFonts w:asciiTheme="minorHAnsi" w:eastAsia="Verdana" w:hAnsiTheme="minorHAnsi" w:cs="Arial"/>
          <w:sz w:val="22"/>
          <w:szCs w:val="22"/>
        </w:rPr>
        <w:t xml:space="preserve"> </w:t>
      </w:r>
      <w:r>
        <w:rPr>
          <w:rFonts w:asciiTheme="minorHAnsi" w:eastAsia="Verdana" w:hAnsiTheme="minorHAnsi" w:cs="Arial"/>
          <w:sz w:val="22"/>
          <w:szCs w:val="22"/>
        </w:rPr>
        <w:t>e</w:t>
      </w:r>
      <w:r w:rsidRPr="0070003A">
        <w:rPr>
          <w:rFonts w:asciiTheme="minorHAnsi" w:eastAsia="Verdana" w:hAnsiTheme="minorHAnsi" w:cs="Arial"/>
          <w:sz w:val="22"/>
          <w:szCs w:val="22"/>
        </w:rPr>
        <w:t xml:space="preserve">ndoscopy </w:t>
      </w:r>
      <w:r>
        <w:rPr>
          <w:rFonts w:asciiTheme="minorHAnsi" w:eastAsia="Verdana" w:hAnsiTheme="minorHAnsi" w:cs="Arial"/>
          <w:sz w:val="22"/>
          <w:szCs w:val="22"/>
        </w:rPr>
        <w:t>patients were</w:t>
      </w:r>
      <w:r w:rsidRPr="0070003A">
        <w:rPr>
          <w:rFonts w:asciiTheme="minorHAnsi" w:eastAsia="Verdana" w:hAnsiTheme="minorHAnsi" w:cs="Arial"/>
          <w:sz w:val="22"/>
          <w:szCs w:val="22"/>
        </w:rPr>
        <w:t xml:space="preserve"> </w:t>
      </w:r>
      <w:r w:rsidR="00F80026">
        <w:rPr>
          <w:rFonts w:asciiTheme="minorHAnsi" w:eastAsia="Verdana" w:hAnsiTheme="minorHAnsi" w:cs="Arial"/>
          <w:sz w:val="22"/>
          <w:szCs w:val="22"/>
        </w:rPr>
        <w:t xml:space="preserve">age </w:t>
      </w:r>
      <w:r w:rsidRPr="0070003A">
        <w:rPr>
          <w:rFonts w:asciiTheme="minorHAnsi" w:eastAsia="Verdana" w:hAnsiTheme="minorHAnsi" w:cs="Arial"/>
          <w:sz w:val="22"/>
          <w:szCs w:val="22"/>
        </w:rPr>
        <w:t xml:space="preserve">65 and older, and 24% of </w:t>
      </w:r>
      <w:r>
        <w:rPr>
          <w:rFonts w:asciiTheme="minorHAnsi" w:eastAsia="Verdana" w:hAnsiTheme="minorHAnsi" w:cs="Arial"/>
          <w:sz w:val="22"/>
          <w:szCs w:val="22"/>
        </w:rPr>
        <w:t>patients were</w:t>
      </w:r>
      <w:r w:rsidRPr="0070003A">
        <w:rPr>
          <w:rFonts w:asciiTheme="minorHAnsi" w:eastAsia="Verdana" w:hAnsiTheme="minorHAnsi" w:cs="Arial"/>
          <w:sz w:val="22"/>
          <w:szCs w:val="22"/>
        </w:rPr>
        <w:t xml:space="preserve"> </w:t>
      </w:r>
      <w:r>
        <w:rPr>
          <w:rFonts w:asciiTheme="minorHAnsi" w:eastAsia="Verdana" w:hAnsiTheme="minorHAnsi" w:cs="Arial"/>
          <w:sz w:val="22"/>
          <w:szCs w:val="22"/>
        </w:rPr>
        <w:t xml:space="preserve">under </w:t>
      </w:r>
      <w:r w:rsidR="00F80026">
        <w:rPr>
          <w:rFonts w:asciiTheme="minorHAnsi" w:eastAsia="Verdana" w:hAnsiTheme="minorHAnsi" w:cs="Arial"/>
          <w:sz w:val="22"/>
          <w:szCs w:val="22"/>
        </w:rPr>
        <w:t xml:space="preserve">the age of </w:t>
      </w:r>
      <w:r>
        <w:rPr>
          <w:rFonts w:asciiTheme="minorHAnsi" w:eastAsia="Verdana" w:hAnsiTheme="minorHAnsi" w:cs="Arial"/>
          <w:sz w:val="22"/>
          <w:szCs w:val="22"/>
        </w:rPr>
        <w:t>45</w:t>
      </w:r>
      <w:r w:rsidRPr="0070003A">
        <w:rPr>
          <w:rFonts w:asciiTheme="minorHAnsi" w:eastAsia="Verdana" w:hAnsiTheme="minorHAnsi" w:cs="Arial"/>
          <w:sz w:val="22"/>
          <w:szCs w:val="22"/>
        </w:rPr>
        <w:t xml:space="preserve">. Approximately 53% </w:t>
      </w:r>
      <w:r w:rsidR="00F8637E">
        <w:rPr>
          <w:rFonts w:asciiTheme="minorHAnsi" w:eastAsia="Verdana" w:hAnsiTheme="minorHAnsi" w:cs="Arial"/>
          <w:sz w:val="22"/>
          <w:szCs w:val="22"/>
        </w:rPr>
        <w:t xml:space="preserve">of these patients </w:t>
      </w:r>
      <w:r w:rsidRPr="0070003A">
        <w:rPr>
          <w:rFonts w:asciiTheme="minorHAnsi" w:eastAsia="Verdana" w:hAnsiTheme="minorHAnsi" w:cs="Arial"/>
          <w:sz w:val="22"/>
          <w:szCs w:val="22"/>
        </w:rPr>
        <w:t>were female while 47% were male. These numbers are largely unchanged from FY24.</w:t>
      </w:r>
      <w:r>
        <w:rPr>
          <w:rFonts w:asciiTheme="minorHAnsi" w:eastAsia="Verdana" w:hAnsiTheme="minorHAnsi" w:cs="Arial"/>
          <w:sz w:val="22"/>
          <w:szCs w:val="22"/>
        </w:rPr>
        <w:t xml:space="preserve"> </w:t>
      </w:r>
      <w:r w:rsidRPr="008F4BC7">
        <w:rPr>
          <w:rFonts w:asciiTheme="minorHAnsi" w:eastAsia="Verdana" w:hAnsiTheme="minorHAnsi" w:cs="Arial"/>
          <w:sz w:val="22"/>
          <w:szCs w:val="22"/>
        </w:rPr>
        <w:t xml:space="preserve">Most of the </w:t>
      </w:r>
      <w:r w:rsidR="00F8637E">
        <w:rPr>
          <w:rFonts w:asciiTheme="minorHAnsi" w:eastAsia="Verdana" w:hAnsiTheme="minorHAnsi" w:cs="Arial"/>
          <w:sz w:val="22"/>
          <w:szCs w:val="22"/>
        </w:rPr>
        <w:t>Hospital’s endoscopy patients</w:t>
      </w:r>
      <w:r w:rsidRPr="008F4BC7">
        <w:rPr>
          <w:rFonts w:asciiTheme="minorHAnsi" w:eastAsia="Verdana" w:hAnsiTheme="minorHAnsi" w:cs="Arial"/>
          <w:sz w:val="22"/>
          <w:szCs w:val="22"/>
        </w:rPr>
        <w:t xml:space="preserve"> self-identified as White and Not</w:t>
      </w:r>
      <w:r>
        <w:rPr>
          <w:rFonts w:asciiTheme="minorHAnsi" w:eastAsia="Verdana" w:hAnsiTheme="minorHAnsi" w:cs="Arial"/>
          <w:sz w:val="22"/>
          <w:szCs w:val="22"/>
        </w:rPr>
        <w:t xml:space="preserve"> </w:t>
      </w:r>
      <w:r w:rsidRPr="008F4BC7">
        <w:rPr>
          <w:rFonts w:asciiTheme="minorHAnsi" w:eastAsia="Verdana" w:hAnsiTheme="minorHAnsi" w:cs="Arial"/>
          <w:sz w:val="22"/>
          <w:szCs w:val="22"/>
        </w:rPr>
        <w:t>Hispanic</w:t>
      </w:r>
      <w:r>
        <w:rPr>
          <w:rFonts w:asciiTheme="minorHAnsi" w:eastAsia="Verdana" w:hAnsiTheme="minorHAnsi" w:cs="Arial"/>
          <w:sz w:val="22"/>
          <w:szCs w:val="22"/>
        </w:rPr>
        <w:t xml:space="preserve"> or </w:t>
      </w:r>
      <w:r w:rsidRPr="008F4BC7">
        <w:rPr>
          <w:rFonts w:asciiTheme="minorHAnsi" w:eastAsia="Verdana" w:hAnsiTheme="minorHAnsi" w:cs="Arial"/>
          <w:sz w:val="22"/>
          <w:szCs w:val="22"/>
        </w:rPr>
        <w:t>Latino in FY25</w:t>
      </w:r>
      <w:r>
        <w:rPr>
          <w:rFonts w:asciiTheme="minorHAnsi" w:eastAsia="Verdana" w:hAnsiTheme="minorHAnsi" w:cs="Arial"/>
          <w:sz w:val="22"/>
          <w:szCs w:val="22"/>
        </w:rPr>
        <w:t xml:space="preserve">. </w:t>
      </w:r>
      <w:r w:rsidRPr="008F6A42">
        <w:rPr>
          <w:rFonts w:asciiTheme="minorHAnsi" w:eastAsia="Verdana" w:hAnsiTheme="minorHAnsi" w:cs="Arial"/>
          <w:sz w:val="22"/>
          <w:szCs w:val="22"/>
        </w:rPr>
        <w:t xml:space="preserve">Commercial payers </w:t>
      </w:r>
      <w:r w:rsidR="00F8637E">
        <w:rPr>
          <w:rFonts w:asciiTheme="minorHAnsi" w:eastAsia="Verdana" w:hAnsiTheme="minorHAnsi" w:cs="Arial"/>
          <w:sz w:val="22"/>
          <w:szCs w:val="22"/>
        </w:rPr>
        <w:t xml:space="preserve">were </w:t>
      </w:r>
      <w:r w:rsidRPr="008F6A42">
        <w:rPr>
          <w:rFonts w:asciiTheme="minorHAnsi" w:eastAsia="Verdana" w:hAnsiTheme="minorHAnsi" w:cs="Arial"/>
          <w:sz w:val="22"/>
          <w:szCs w:val="22"/>
        </w:rPr>
        <w:t xml:space="preserve">the primary payer </w:t>
      </w:r>
      <w:r w:rsidR="00F8637E">
        <w:rPr>
          <w:rFonts w:asciiTheme="minorHAnsi" w:eastAsia="Verdana" w:hAnsiTheme="minorHAnsi" w:cs="Arial"/>
          <w:sz w:val="22"/>
          <w:szCs w:val="22"/>
        </w:rPr>
        <w:t>in FY25</w:t>
      </w:r>
      <w:r w:rsidRPr="008F6A42">
        <w:rPr>
          <w:rFonts w:asciiTheme="minorHAnsi" w:eastAsia="Verdana" w:hAnsiTheme="minorHAnsi" w:cs="Arial"/>
          <w:sz w:val="22"/>
          <w:szCs w:val="22"/>
        </w:rPr>
        <w:t xml:space="preserve"> (58%), followed by Medicare</w:t>
      </w:r>
      <w:r>
        <w:rPr>
          <w:rFonts w:asciiTheme="minorHAnsi" w:eastAsia="Verdana" w:hAnsiTheme="minorHAnsi" w:cs="Arial"/>
          <w:sz w:val="22"/>
          <w:szCs w:val="22"/>
        </w:rPr>
        <w:t>, inclusive of Managed Medicare</w:t>
      </w:r>
      <w:r w:rsidRPr="008F6A42">
        <w:rPr>
          <w:rFonts w:asciiTheme="minorHAnsi" w:eastAsia="Verdana" w:hAnsiTheme="minorHAnsi" w:cs="Arial"/>
          <w:sz w:val="22"/>
          <w:szCs w:val="22"/>
        </w:rPr>
        <w:t xml:space="preserve"> (approximately 27%).</w:t>
      </w:r>
    </w:p>
    <w:bookmarkEnd w:id="0"/>
    <w:p w14:paraId="175B5C0A" w14:textId="77777777" w:rsidR="00B8714D" w:rsidRDefault="00B8714D" w:rsidP="00B8714D">
      <w:pPr>
        <w:suppressAutoHyphens w:val="0"/>
        <w:spacing w:after="240"/>
        <w:rPr>
          <w:rFonts w:asciiTheme="minorHAnsi" w:eastAsia="Calibri" w:hAnsiTheme="minorHAnsi" w:cs="Arial"/>
          <w:b/>
          <w:bCs/>
          <w:sz w:val="22"/>
          <w:szCs w:val="22"/>
        </w:rPr>
        <w:sectPr w:rsidR="00B8714D" w:rsidSect="003A101B">
          <w:pgSz w:w="12240" w:h="15840"/>
          <w:pgMar w:top="1440" w:right="1440" w:bottom="1440" w:left="1440" w:header="720" w:footer="720" w:gutter="0"/>
          <w:cols w:space="720"/>
          <w:docGrid w:linePitch="360"/>
        </w:sectPr>
      </w:pPr>
    </w:p>
    <w:p w14:paraId="26E6B19E" w14:textId="77777777" w:rsidR="00B8714D" w:rsidRPr="00AB44E1" w:rsidRDefault="00B8714D" w:rsidP="00CD567F">
      <w:pPr>
        <w:pStyle w:val="Heading3"/>
      </w:pPr>
      <w:r w:rsidRPr="00AB44E1">
        <w:lastRenderedPageBreak/>
        <w:t xml:space="preserve">Table </w:t>
      </w:r>
      <w:r>
        <w:t>3</w:t>
      </w:r>
      <w:r w:rsidRPr="00AB44E1">
        <w:t xml:space="preserve">: Winchester Hospital Endoscopy Patient Panel Demographics  </w:t>
      </w:r>
    </w:p>
    <w:tbl>
      <w:tblPr>
        <w:tblStyle w:val="TableGrid1"/>
        <w:tblW w:w="13050" w:type="dxa"/>
        <w:tblInd w:w="-455" w:type="dxa"/>
        <w:tblLook w:val="04A0" w:firstRow="1" w:lastRow="0" w:firstColumn="1" w:lastColumn="0" w:noHBand="0" w:noVBand="1"/>
      </w:tblPr>
      <w:tblGrid>
        <w:gridCol w:w="3870"/>
        <w:gridCol w:w="1530"/>
        <w:gridCol w:w="1530"/>
        <w:gridCol w:w="1530"/>
        <w:gridCol w:w="1530"/>
        <w:gridCol w:w="1530"/>
        <w:gridCol w:w="1530"/>
      </w:tblGrid>
      <w:tr w:rsidR="00F80026" w:rsidRPr="00742B85" w14:paraId="47892CB1" w14:textId="77777777" w:rsidTr="0080060E">
        <w:trPr>
          <w:cantSplit/>
          <w:tblHeader/>
        </w:trPr>
        <w:tc>
          <w:tcPr>
            <w:tcW w:w="3870" w:type="dxa"/>
            <w:shd w:val="clear" w:color="auto" w:fill="B4C6E7"/>
          </w:tcPr>
          <w:p w14:paraId="7B38C6E6" w14:textId="77777777" w:rsidR="00F80026" w:rsidRPr="00AB44E1" w:rsidRDefault="00F80026" w:rsidP="00F80026">
            <w:pPr>
              <w:suppressAutoHyphens w:val="0"/>
              <w:rPr>
                <w:rFonts w:asciiTheme="minorHAnsi" w:hAnsiTheme="minorHAnsi" w:cs="Calibri Light"/>
                <w:b/>
                <w:bCs/>
                <w:sz w:val="20"/>
                <w:szCs w:val="20"/>
              </w:rPr>
            </w:pPr>
            <w:r w:rsidRPr="00AB44E1">
              <w:rPr>
                <w:rFonts w:asciiTheme="minorHAnsi" w:hAnsiTheme="minorHAnsi" w:cs="Calibri Light"/>
                <w:b/>
                <w:bCs/>
                <w:sz w:val="20"/>
                <w:szCs w:val="20"/>
              </w:rPr>
              <w:t xml:space="preserve">Demographic </w:t>
            </w:r>
          </w:p>
        </w:tc>
        <w:tc>
          <w:tcPr>
            <w:tcW w:w="1530" w:type="dxa"/>
            <w:shd w:val="clear" w:color="auto" w:fill="B4C6E7"/>
            <w:vAlign w:val="center"/>
          </w:tcPr>
          <w:p w14:paraId="4C3350DA" w14:textId="5856CB21" w:rsidR="00F80026" w:rsidRPr="00AB44E1" w:rsidRDefault="00F80026" w:rsidP="00F80026">
            <w:pPr>
              <w:suppressAutoHyphens w:val="0"/>
              <w:jc w:val="center"/>
              <w:rPr>
                <w:rFonts w:asciiTheme="minorHAnsi" w:hAnsiTheme="minorHAnsi" w:cs="Calibri Light"/>
                <w:b/>
                <w:bCs/>
                <w:sz w:val="20"/>
                <w:szCs w:val="20"/>
              </w:rPr>
            </w:pPr>
            <w:proofErr w:type="gramStart"/>
            <w:r w:rsidRPr="00AB44E1">
              <w:rPr>
                <w:rFonts w:asciiTheme="minorHAnsi" w:hAnsiTheme="minorHAnsi" w:cs="Calibri Light"/>
                <w:b/>
                <w:bCs/>
                <w:color w:val="000000"/>
                <w:sz w:val="20"/>
                <w:szCs w:val="20"/>
              </w:rPr>
              <w:t xml:space="preserve">FY23 </w:t>
            </w:r>
            <w:r w:rsidRPr="00F80026">
              <w:rPr>
                <w:rFonts w:asciiTheme="minorHAnsi" w:hAnsiTheme="minorHAnsi" w:cs="Calibri Light"/>
                <w:i/>
                <w:iCs/>
                <w:color w:val="000000"/>
                <w:sz w:val="20"/>
                <w:szCs w:val="20"/>
              </w:rPr>
              <w:t>(#</w:t>
            </w:r>
            <w:proofErr w:type="gramEnd"/>
            <w:r w:rsidRPr="00F80026">
              <w:rPr>
                <w:rFonts w:asciiTheme="minorHAnsi" w:hAnsiTheme="minorHAnsi" w:cs="Calibri Light"/>
                <w:i/>
                <w:iCs/>
                <w:color w:val="000000"/>
                <w:sz w:val="20"/>
                <w:szCs w:val="20"/>
              </w:rPr>
              <w:t>)</w:t>
            </w:r>
          </w:p>
        </w:tc>
        <w:tc>
          <w:tcPr>
            <w:tcW w:w="1530" w:type="dxa"/>
            <w:shd w:val="clear" w:color="auto" w:fill="B4C6E7"/>
            <w:vAlign w:val="center"/>
          </w:tcPr>
          <w:p w14:paraId="235044B4" w14:textId="7A67D192" w:rsidR="00F80026" w:rsidRPr="00B24F37" w:rsidRDefault="00F80026" w:rsidP="00F80026">
            <w:pPr>
              <w:suppressAutoHyphens w:val="0"/>
              <w:spacing w:line="256" w:lineRule="auto"/>
              <w:jc w:val="center"/>
              <w:rPr>
                <w:rFonts w:asciiTheme="minorHAnsi" w:hAnsiTheme="minorHAnsi" w:cs="Calibri Light"/>
                <w:b/>
                <w:bCs/>
                <w:color w:val="000000"/>
                <w:sz w:val="20"/>
                <w:szCs w:val="20"/>
              </w:rPr>
            </w:pPr>
            <w:r w:rsidRPr="00AB44E1">
              <w:rPr>
                <w:rFonts w:asciiTheme="minorHAnsi" w:hAnsiTheme="minorHAnsi" w:cs="Calibri Light"/>
                <w:b/>
                <w:bCs/>
                <w:color w:val="000000"/>
                <w:sz w:val="20"/>
                <w:szCs w:val="20"/>
              </w:rPr>
              <w:t>FY23</w:t>
            </w:r>
            <w:r>
              <w:rPr>
                <w:rFonts w:asciiTheme="minorHAnsi" w:hAnsiTheme="minorHAnsi" w:cs="Calibri Light"/>
                <w:b/>
                <w:bCs/>
                <w:color w:val="000000"/>
                <w:sz w:val="20"/>
                <w:szCs w:val="20"/>
              </w:rPr>
              <w:t xml:space="preserve"> </w:t>
            </w:r>
            <w:r w:rsidRPr="00F80026">
              <w:rPr>
                <w:rFonts w:asciiTheme="minorHAnsi" w:hAnsiTheme="minorHAnsi" w:cs="Calibri Light"/>
                <w:i/>
                <w:iCs/>
                <w:color w:val="000000"/>
                <w:sz w:val="20"/>
                <w:szCs w:val="20"/>
              </w:rPr>
              <w:t>(%)</w:t>
            </w:r>
          </w:p>
        </w:tc>
        <w:tc>
          <w:tcPr>
            <w:tcW w:w="1530" w:type="dxa"/>
            <w:shd w:val="clear" w:color="auto" w:fill="B4C6E7"/>
            <w:vAlign w:val="center"/>
          </w:tcPr>
          <w:p w14:paraId="59685FD1" w14:textId="546DCCE4" w:rsidR="00F80026" w:rsidRPr="00AB44E1" w:rsidRDefault="00F80026" w:rsidP="00F80026">
            <w:pPr>
              <w:suppressAutoHyphens w:val="0"/>
              <w:jc w:val="center"/>
              <w:rPr>
                <w:rFonts w:asciiTheme="minorHAnsi" w:hAnsiTheme="minorHAnsi" w:cs="Calibri Light"/>
                <w:b/>
                <w:bCs/>
                <w:sz w:val="20"/>
                <w:szCs w:val="20"/>
              </w:rPr>
            </w:pPr>
            <w:proofErr w:type="gramStart"/>
            <w:r w:rsidRPr="00AB44E1">
              <w:rPr>
                <w:rFonts w:asciiTheme="minorHAnsi" w:hAnsiTheme="minorHAnsi" w:cs="Calibri Light"/>
                <w:b/>
                <w:bCs/>
                <w:color w:val="000000"/>
                <w:sz w:val="20"/>
                <w:szCs w:val="20"/>
              </w:rPr>
              <w:t xml:space="preserve">FY24 </w:t>
            </w:r>
            <w:r w:rsidRPr="00F80026">
              <w:rPr>
                <w:rFonts w:asciiTheme="minorHAnsi" w:hAnsiTheme="minorHAnsi" w:cs="Calibri Light"/>
                <w:i/>
                <w:iCs/>
                <w:color w:val="000000"/>
                <w:sz w:val="20"/>
                <w:szCs w:val="20"/>
              </w:rPr>
              <w:t>(#</w:t>
            </w:r>
            <w:proofErr w:type="gramEnd"/>
            <w:r w:rsidRPr="00F80026">
              <w:rPr>
                <w:rFonts w:asciiTheme="minorHAnsi" w:hAnsiTheme="minorHAnsi" w:cs="Calibri Light"/>
                <w:i/>
                <w:iCs/>
                <w:color w:val="000000"/>
                <w:sz w:val="20"/>
                <w:szCs w:val="20"/>
              </w:rPr>
              <w:t>)</w:t>
            </w:r>
          </w:p>
        </w:tc>
        <w:tc>
          <w:tcPr>
            <w:tcW w:w="1530" w:type="dxa"/>
            <w:shd w:val="clear" w:color="auto" w:fill="B4C6E7"/>
            <w:vAlign w:val="center"/>
          </w:tcPr>
          <w:p w14:paraId="2C14B6B6" w14:textId="07026B00" w:rsidR="00F80026" w:rsidRPr="00B24F37" w:rsidRDefault="00F80026" w:rsidP="00F80026">
            <w:pPr>
              <w:suppressAutoHyphens w:val="0"/>
              <w:spacing w:line="256" w:lineRule="auto"/>
              <w:jc w:val="center"/>
              <w:rPr>
                <w:rFonts w:asciiTheme="minorHAnsi" w:hAnsiTheme="minorHAnsi" w:cs="Calibri Light"/>
                <w:b/>
                <w:bCs/>
                <w:color w:val="000000"/>
                <w:sz w:val="20"/>
                <w:szCs w:val="20"/>
              </w:rPr>
            </w:pPr>
            <w:r w:rsidRPr="00AB44E1">
              <w:rPr>
                <w:rFonts w:asciiTheme="minorHAnsi" w:hAnsiTheme="minorHAnsi" w:cs="Calibri Light"/>
                <w:b/>
                <w:bCs/>
                <w:color w:val="000000"/>
                <w:sz w:val="20"/>
                <w:szCs w:val="20"/>
              </w:rPr>
              <w:t>FY24</w:t>
            </w:r>
            <w:r>
              <w:rPr>
                <w:rFonts w:asciiTheme="minorHAnsi" w:hAnsiTheme="minorHAnsi" w:cs="Calibri Light"/>
                <w:b/>
                <w:bCs/>
                <w:color w:val="000000"/>
                <w:sz w:val="20"/>
                <w:szCs w:val="20"/>
              </w:rPr>
              <w:t xml:space="preserve"> </w:t>
            </w:r>
            <w:r w:rsidRPr="00F80026">
              <w:rPr>
                <w:rFonts w:asciiTheme="minorHAnsi" w:hAnsiTheme="minorHAnsi" w:cs="Calibri Light"/>
                <w:i/>
                <w:iCs/>
                <w:color w:val="000000"/>
                <w:sz w:val="20"/>
                <w:szCs w:val="20"/>
              </w:rPr>
              <w:t>(%)</w:t>
            </w:r>
          </w:p>
        </w:tc>
        <w:tc>
          <w:tcPr>
            <w:tcW w:w="1530" w:type="dxa"/>
            <w:shd w:val="clear" w:color="auto" w:fill="B4C6E7"/>
            <w:vAlign w:val="center"/>
          </w:tcPr>
          <w:p w14:paraId="1B78EEC7" w14:textId="6ED473C4" w:rsidR="00F80026" w:rsidRPr="00B24F37" w:rsidRDefault="00F80026" w:rsidP="00F80026">
            <w:pPr>
              <w:suppressAutoHyphens w:val="0"/>
              <w:spacing w:line="256" w:lineRule="auto"/>
              <w:jc w:val="center"/>
              <w:rPr>
                <w:rFonts w:asciiTheme="minorHAnsi" w:hAnsiTheme="minorHAnsi" w:cs="Calibri Light"/>
                <w:b/>
                <w:bCs/>
                <w:color w:val="000000"/>
                <w:sz w:val="20"/>
                <w:szCs w:val="20"/>
              </w:rPr>
            </w:pPr>
            <w:proofErr w:type="gramStart"/>
            <w:r w:rsidRPr="00AB44E1">
              <w:rPr>
                <w:rFonts w:asciiTheme="minorHAnsi" w:hAnsiTheme="minorHAnsi" w:cs="Calibri Light"/>
                <w:b/>
                <w:bCs/>
                <w:color w:val="000000"/>
                <w:sz w:val="20"/>
                <w:szCs w:val="20"/>
              </w:rPr>
              <w:t>FY25</w:t>
            </w:r>
            <w:r w:rsidRPr="00F80026">
              <w:rPr>
                <w:rFonts w:asciiTheme="minorHAnsi" w:hAnsiTheme="minorHAnsi" w:cs="Calibri Light"/>
                <w:i/>
                <w:iCs/>
                <w:color w:val="000000"/>
                <w:sz w:val="20"/>
                <w:szCs w:val="20"/>
              </w:rPr>
              <w:t>(#</w:t>
            </w:r>
            <w:proofErr w:type="gramEnd"/>
            <w:r w:rsidRPr="00F80026">
              <w:rPr>
                <w:rFonts w:asciiTheme="minorHAnsi" w:hAnsiTheme="minorHAnsi" w:cs="Calibri Light"/>
                <w:i/>
                <w:iCs/>
                <w:color w:val="000000"/>
                <w:sz w:val="20"/>
                <w:szCs w:val="20"/>
              </w:rPr>
              <w:t>)</w:t>
            </w:r>
          </w:p>
        </w:tc>
        <w:tc>
          <w:tcPr>
            <w:tcW w:w="1530" w:type="dxa"/>
            <w:shd w:val="clear" w:color="auto" w:fill="B4C6E7"/>
            <w:vAlign w:val="center"/>
          </w:tcPr>
          <w:p w14:paraId="35EC5BC4" w14:textId="6EDA463F" w:rsidR="00F80026" w:rsidRPr="00B24F37" w:rsidRDefault="00F80026" w:rsidP="00F80026">
            <w:pPr>
              <w:suppressAutoHyphens w:val="0"/>
              <w:spacing w:line="256" w:lineRule="auto"/>
              <w:jc w:val="center"/>
              <w:rPr>
                <w:rFonts w:asciiTheme="minorHAnsi" w:hAnsiTheme="minorHAnsi" w:cs="Calibri Light"/>
                <w:b/>
                <w:bCs/>
                <w:color w:val="000000"/>
                <w:sz w:val="20"/>
                <w:szCs w:val="20"/>
              </w:rPr>
            </w:pPr>
            <w:r w:rsidRPr="00AB44E1">
              <w:rPr>
                <w:rFonts w:asciiTheme="minorHAnsi" w:hAnsiTheme="minorHAnsi" w:cs="Calibri Light"/>
                <w:b/>
                <w:bCs/>
                <w:color w:val="000000"/>
                <w:sz w:val="20"/>
                <w:szCs w:val="20"/>
              </w:rPr>
              <w:t>FY25</w:t>
            </w:r>
            <w:r>
              <w:rPr>
                <w:rFonts w:asciiTheme="minorHAnsi" w:hAnsiTheme="minorHAnsi" w:cs="Calibri Light"/>
                <w:b/>
                <w:bCs/>
                <w:color w:val="000000"/>
                <w:sz w:val="20"/>
                <w:szCs w:val="20"/>
              </w:rPr>
              <w:t xml:space="preserve"> </w:t>
            </w:r>
            <w:r w:rsidRPr="00F80026">
              <w:rPr>
                <w:rFonts w:asciiTheme="minorHAnsi" w:hAnsiTheme="minorHAnsi" w:cs="Calibri Light"/>
                <w:i/>
                <w:iCs/>
                <w:color w:val="000000"/>
                <w:sz w:val="20"/>
                <w:szCs w:val="20"/>
              </w:rPr>
              <w:t>(%)</w:t>
            </w:r>
          </w:p>
        </w:tc>
      </w:tr>
      <w:tr w:rsidR="00B8714D" w:rsidRPr="00742B85" w14:paraId="6489B722" w14:textId="77777777" w:rsidTr="0080060E">
        <w:trPr>
          <w:cantSplit/>
          <w:trHeight w:val="251"/>
        </w:trPr>
        <w:tc>
          <w:tcPr>
            <w:tcW w:w="3870" w:type="dxa"/>
            <w:shd w:val="clear" w:color="auto" w:fill="D9E2F3"/>
            <w:vAlign w:val="center"/>
          </w:tcPr>
          <w:p w14:paraId="74846EDE" w14:textId="77777777" w:rsidR="00B8714D" w:rsidRPr="00AB44E1" w:rsidRDefault="00B8714D" w:rsidP="00C444AB">
            <w:pPr>
              <w:suppressAutoHyphens w:val="0"/>
              <w:rPr>
                <w:rFonts w:asciiTheme="minorHAnsi" w:hAnsiTheme="minorHAnsi" w:cs="Calibri Light"/>
                <w:sz w:val="20"/>
                <w:szCs w:val="20"/>
              </w:rPr>
            </w:pPr>
            <w:r w:rsidRPr="00AB44E1">
              <w:rPr>
                <w:rFonts w:asciiTheme="minorHAnsi" w:hAnsiTheme="minorHAnsi" w:cs="Calibri Light"/>
                <w:b/>
                <w:bCs/>
                <w:color w:val="000000"/>
                <w:sz w:val="20"/>
                <w:szCs w:val="20"/>
              </w:rPr>
              <w:t>Total</w:t>
            </w:r>
          </w:p>
        </w:tc>
        <w:tc>
          <w:tcPr>
            <w:tcW w:w="1530" w:type="dxa"/>
            <w:tcBorders>
              <w:bottom w:val="single" w:sz="4" w:space="0" w:color="auto"/>
            </w:tcBorders>
            <w:shd w:val="clear" w:color="auto" w:fill="D9E2F3"/>
            <w:vAlign w:val="center"/>
          </w:tcPr>
          <w:p w14:paraId="179E426C" w14:textId="77777777" w:rsidR="00B8714D" w:rsidRPr="00AB44E1" w:rsidRDefault="00B8714D" w:rsidP="00C444AB">
            <w:pPr>
              <w:suppressAutoHyphens w:val="0"/>
              <w:jc w:val="center"/>
              <w:rPr>
                <w:rFonts w:asciiTheme="minorHAnsi" w:hAnsiTheme="minorHAnsi" w:cs="Calibri Light"/>
                <w:b/>
                <w:bCs/>
                <w:sz w:val="20"/>
                <w:szCs w:val="20"/>
              </w:rPr>
            </w:pPr>
            <w:r w:rsidRPr="00AB44E1">
              <w:rPr>
                <w:rFonts w:asciiTheme="minorHAnsi" w:hAnsiTheme="minorHAnsi" w:cs="Calibri Light"/>
                <w:b/>
                <w:bCs/>
                <w:sz w:val="20"/>
                <w:szCs w:val="20"/>
              </w:rPr>
              <w:t>6,452</w:t>
            </w:r>
          </w:p>
        </w:tc>
        <w:tc>
          <w:tcPr>
            <w:tcW w:w="1530" w:type="dxa"/>
            <w:shd w:val="clear" w:color="auto" w:fill="D9E2F3"/>
            <w:vAlign w:val="center"/>
          </w:tcPr>
          <w:p w14:paraId="2D66E1CF" w14:textId="77777777" w:rsidR="00B8714D" w:rsidRPr="00AB44E1" w:rsidRDefault="00B8714D" w:rsidP="00C444AB">
            <w:pPr>
              <w:suppressAutoHyphens w:val="0"/>
              <w:jc w:val="center"/>
              <w:rPr>
                <w:rFonts w:asciiTheme="minorHAnsi" w:hAnsiTheme="minorHAnsi" w:cs="Calibri Light"/>
                <w:b/>
                <w:bCs/>
                <w:sz w:val="20"/>
                <w:szCs w:val="20"/>
              </w:rPr>
            </w:pPr>
            <w:r w:rsidRPr="00AB44E1">
              <w:rPr>
                <w:rFonts w:asciiTheme="minorHAnsi" w:hAnsiTheme="minorHAnsi" w:cs="Calibri Light"/>
                <w:b/>
                <w:bCs/>
                <w:sz w:val="20"/>
                <w:szCs w:val="20"/>
              </w:rPr>
              <w:t>100%</w:t>
            </w:r>
          </w:p>
        </w:tc>
        <w:tc>
          <w:tcPr>
            <w:tcW w:w="1530" w:type="dxa"/>
            <w:tcBorders>
              <w:bottom w:val="single" w:sz="4" w:space="0" w:color="auto"/>
            </w:tcBorders>
            <w:shd w:val="clear" w:color="auto" w:fill="D9E2F3"/>
            <w:vAlign w:val="center"/>
          </w:tcPr>
          <w:p w14:paraId="5EF17AFE" w14:textId="77777777" w:rsidR="00B8714D" w:rsidRPr="00AB44E1" w:rsidRDefault="00B8714D" w:rsidP="00C444AB">
            <w:pPr>
              <w:suppressAutoHyphens w:val="0"/>
              <w:jc w:val="center"/>
              <w:rPr>
                <w:rFonts w:asciiTheme="minorHAnsi" w:hAnsiTheme="minorHAnsi" w:cs="Calibri Light"/>
                <w:b/>
                <w:bCs/>
                <w:sz w:val="20"/>
                <w:szCs w:val="20"/>
              </w:rPr>
            </w:pPr>
            <w:r w:rsidRPr="00AB44E1">
              <w:rPr>
                <w:rFonts w:asciiTheme="minorHAnsi" w:hAnsiTheme="minorHAnsi" w:cs="Calibri Light"/>
                <w:b/>
                <w:bCs/>
                <w:sz w:val="20"/>
                <w:szCs w:val="20"/>
              </w:rPr>
              <w:t>8,614</w:t>
            </w:r>
          </w:p>
        </w:tc>
        <w:tc>
          <w:tcPr>
            <w:tcW w:w="1530" w:type="dxa"/>
            <w:shd w:val="clear" w:color="auto" w:fill="D9E2F3"/>
            <w:vAlign w:val="center"/>
          </w:tcPr>
          <w:p w14:paraId="71085656" w14:textId="77777777" w:rsidR="00B8714D" w:rsidRPr="00AB44E1" w:rsidRDefault="00B8714D" w:rsidP="00C444AB">
            <w:pPr>
              <w:suppressAutoHyphens w:val="0"/>
              <w:jc w:val="center"/>
              <w:rPr>
                <w:rFonts w:asciiTheme="minorHAnsi" w:hAnsiTheme="minorHAnsi" w:cs="Calibri Light"/>
                <w:b/>
                <w:bCs/>
                <w:sz w:val="20"/>
                <w:szCs w:val="20"/>
              </w:rPr>
            </w:pPr>
            <w:r w:rsidRPr="00AB44E1">
              <w:rPr>
                <w:rFonts w:asciiTheme="minorHAnsi" w:hAnsiTheme="minorHAnsi" w:cs="Calibri Light"/>
                <w:b/>
                <w:bCs/>
                <w:sz w:val="20"/>
                <w:szCs w:val="20"/>
              </w:rPr>
              <w:t>100%</w:t>
            </w:r>
          </w:p>
        </w:tc>
        <w:tc>
          <w:tcPr>
            <w:tcW w:w="1530" w:type="dxa"/>
            <w:shd w:val="clear" w:color="auto" w:fill="D9E2F3"/>
          </w:tcPr>
          <w:p w14:paraId="67E508F1" w14:textId="77777777" w:rsidR="00B8714D" w:rsidRPr="00AB44E1" w:rsidRDefault="00B8714D" w:rsidP="00C444AB">
            <w:pPr>
              <w:suppressAutoHyphens w:val="0"/>
              <w:jc w:val="center"/>
              <w:rPr>
                <w:rFonts w:asciiTheme="minorHAnsi" w:hAnsiTheme="minorHAnsi" w:cs="Calibri Light"/>
                <w:b/>
                <w:bCs/>
                <w:sz w:val="20"/>
                <w:szCs w:val="20"/>
              </w:rPr>
            </w:pPr>
            <w:r>
              <w:rPr>
                <w:rFonts w:asciiTheme="minorHAnsi" w:hAnsiTheme="minorHAnsi" w:cs="Calibri Light"/>
                <w:b/>
                <w:bCs/>
                <w:sz w:val="20"/>
                <w:szCs w:val="20"/>
              </w:rPr>
              <w:t>10,944</w:t>
            </w:r>
          </w:p>
        </w:tc>
        <w:tc>
          <w:tcPr>
            <w:tcW w:w="1530" w:type="dxa"/>
            <w:shd w:val="clear" w:color="auto" w:fill="D9E2F3"/>
          </w:tcPr>
          <w:p w14:paraId="5894EE60" w14:textId="77777777" w:rsidR="00B8714D" w:rsidRPr="00AB44E1" w:rsidRDefault="00B8714D" w:rsidP="00C444AB">
            <w:pPr>
              <w:suppressAutoHyphens w:val="0"/>
              <w:jc w:val="center"/>
              <w:rPr>
                <w:rFonts w:asciiTheme="minorHAnsi" w:hAnsiTheme="minorHAnsi" w:cs="Calibri Light"/>
                <w:b/>
                <w:bCs/>
                <w:sz w:val="20"/>
                <w:szCs w:val="20"/>
              </w:rPr>
            </w:pPr>
            <w:r>
              <w:rPr>
                <w:rFonts w:asciiTheme="minorHAnsi" w:hAnsiTheme="minorHAnsi" w:cs="Calibri Light"/>
                <w:b/>
                <w:bCs/>
                <w:sz w:val="20"/>
                <w:szCs w:val="20"/>
              </w:rPr>
              <w:t>100%</w:t>
            </w:r>
          </w:p>
        </w:tc>
      </w:tr>
      <w:tr w:rsidR="00BD615F" w:rsidRPr="00AB44E1" w14:paraId="2DBCF17A" w14:textId="77777777" w:rsidTr="0080060E">
        <w:trPr>
          <w:cantSplit/>
        </w:trPr>
        <w:tc>
          <w:tcPr>
            <w:tcW w:w="3870" w:type="dxa"/>
            <w:vAlign w:val="bottom"/>
          </w:tcPr>
          <w:p w14:paraId="12438086" w14:textId="77777777" w:rsidR="00BD615F" w:rsidRPr="00AB44E1" w:rsidRDefault="00BD615F" w:rsidP="00BD615F">
            <w:pPr>
              <w:suppressAutoHyphens w:val="0"/>
              <w:rPr>
                <w:rFonts w:asciiTheme="minorHAnsi" w:hAnsiTheme="minorHAnsi" w:cs="Calibri Light"/>
                <w:sz w:val="20"/>
                <w:szCs w:val="20"/>
              </w:rPr>
            </w:pPr>
            <w:bookmarkStart w:id="2" w:name="_Hlk213752807"/>
            <w:r w:rsidRPr="00AB44E1">
              <w:rPr>
                <w:rFonts w:asciiTheme="minorHAnsi" w:hAnsiTheme="minorHAnsi" w:cs="Calibri"/>
                <w:color w:val="000000"/>
                <w:sz w:val="20"/>
                <w:szCs w:val="20"/>
              </w:rPr>
              <w:t>Age: 0 to 27</w:t>
            </w:r>
          </w:p>
        </w:tc>
        <w:tc>
          <w:tcPr>
            <w:tcW w:w="1530" w:type="dxa"/>
            <w:tcBorders>
              <w:top w:val="single" w:sz="4" w:space="0" w:color="auto"/>
              <w:left w:val="nil"/>
              <w:bottom w:val="single" w:sz="4" w:space="0" w:color="auto"/>
              <w:right w:val="nil"/>
            </w:tcBorders>
            <w:vAlign w:val="bottom"/>
          </w:tcPr>
          <w:p w14:paraId="42A6611B" w14:textId="2746EBF8"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212</w:t>
            </w:r>
          </w:p>
        </w:tc>
        <w:tc>
          <w:tcPr>
            <w:tcW w:w="1530" w:type="dxa"/>
            <w:vAlign w:val="center"/>
          </w:tcPr>
          <w:p w14:paraId="03E82D24" w14:textId="70123B75"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w:t>
            </w:r>
          </w:p>
        </w:tc>
        <w:tc>
          <w:tcPr>
            <w:tcW w:w="1530" w:type="dxa"/>
            <w:tcBorders>
              <w:top w:val="single" w:sz="4" w:space="0" w:color="auto"/>
              <w:left w:val="nil"/>
              <w:bottom w:val="single" w:sz="4" w:space="0" w:color="auto"/>
              <w:right w:val="nil"/>
            </w:tcBorders>
            <w:vAlign w:val="bottom"/>
          </w:tcPr>
          <w:p w14:paraId="7D1879DE" w14:textId="770C63F6"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318</w:t>
            </w:r>
          </w:p>
        </w:tc>
        <w:tc>
          <w:tcPr>
            <w:tcW w:w="1530" w:type="dxa"/>
            <w:vAlign w:val="center"/>
          </w:tcPr>
          <w:p w14:paraId="2F0837E7" w14:textId="77777777" w:rsidR="00BD615F" w:rsidRPr="00AB44E1" w:rsidRDefault="00BD615F" w:rsidP="00BD615F">
            <w:pPr>
              <w:suppressAutoHyphens w:val="0"/>
              <w:jc w:val="center"/>
              <w:rPr>
                <w:rFonts w:asciiTheme="minorHAnsi" w:hAnsiTheme="minorHAnsi" w:cs="Calibri Light"/>
                <w:sz w:val="20"/>
                <w:szCs w:val="20"/>
              </w:rPr>
            </w:pPr>
            <w:r w:rsidRPr="00AB44E1">
              <w:rPr>
                <w:rFonts w:asciiTheme="minorHAnsi" w:hAnsiTheme="minorHAnsi" w:cs="Calibri Light"/>
                <w:sz w:val="20"/>
                <w:szCs w:val="20"/>
              </w:rPr>
              <w:t>4%</w:t>
            </w:r>
          </w:p>
        </w:tc>
        <w:tc>
          <w:tcPr>
            <w:tcW w:w="1530" w:type="dxa"/>
          </w:tcPr>
          <w:p w14:paraId="6955754D"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410</w:t>
            </w:r>
          </w:p>
        </w:tc>
        <w:tc>
          <w:tcPr>
            <w:tcW w:w="1530" w:type="dxa"/>
          </w:tcPr>
          <w:p w14:paraId="0E8209C1"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4%</w:t>
            </w:r>
          </w:p>
        </w:tc>
      </w:tr>
      <w:tr w:rsidR="00BD615F" w:rsidRPr="00AB44E1" w14:paraId="08FB07C8" w14:textId="77777777" w:rsidTr="0080060E">
        <w:trPr>
          <w:cantSplit/>
        </w:trPr>
        <w:tc>
          <w:tcPr>
            <w:tcW w:w="3870" w:type="dxa"/>
            <w:vAlign w:val="bottom"/>
          </w:tcPr>
          <w:p w14:paraId="4488B049" w14:textId="77777777" w:rsidR="00BD615F" w:rsidRPr="00AB44E1" w:rsidRDefault="00BD615F" w:rsidP="00BD615F">
            <w:pPr>
              <w:suppressAutoHyphens w:val="0"/>
              <w:rPr>
                <w:rFonts w:asciiTheme="minorHAnsi" w:hAnsiTheme="minorHAnsi" w:cs="Calibri Light"/>
                <w:sz w:val="20"/>
                <w:szCs w:val="20"/>
              </w:rPr>
            </w:pPr>
            <w:r w:rsidRPr="00AB44E1">
              <w:rPr>
                <w:rFonts w:asciiTheme="minorHAnsi" w:hAnsiTheme="minorHAnsi" w:cs="Calibri"/>
                <w:color w:val="000000"/>
                <w:sz w:val="20"/>
                <w:szCs w:val="20"/>
              </w:rPr>
              <w:t>Age: 28-45</w:t>
            </w:r>
          </w:p>
        </w:tc>
        <w:tc>
          <w:tcPr>
            <w:tcW w:w="1530" w:type="dxa"/>
            <w:tcBorders>
              <w:top w:val="single" w:sz="4" w:space="0" w:color="auto"/>
              <w:left w:val="nil"/>
              <w:bottom w:val="single" w:sz="4" w:space="0" w:color="auto"/>
              <w:right w:val="nil"/>
            </w:tcBorders>
            <w:vAlign w:val="bottom"/>
          </w:tcPr>
          <w:p w14:paraId="4ADFA7A0" w14:textId="5E549168"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980</w:t>
            </w:r>
          </w:p>
        </w:tc>
        <w:tc>
          <w:tcPr>
            <w:tcW w:w="1530" w:type="dxa"/>
            <w:vAlign w:val="center"/>
          </w:tcPr>
          <w:p w14:paraId="012E8D6E" w14:textId="5EC14AC3"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15%</w:t>
            </w:r>
          </w:p>
        </w:tc>
        <w:tc>
          <w:tcPr>
            <w:tcW w:w="1530" w:type="dxa"/>
            <w:tcBorders>
              <w:top w:val="single" w:sz="4" w:space="0" w:color="auto"/>
              <w:left w:val="nil"/>
              <w:bottom w:val="single" w:sz="4" w:space="0" w:color="auto"/>
              <w:right w:val="nil"/>
            </w:tcBorders>
            <w:vAlign w:val="bottom"/>
          </w:tcPr>
          <w:p w14:paraId="71F46271" w14:textId="0C828F35"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1,439</w:t>
            </w:r>
          </w:p>
        </w:tc>
        <w:tc>
          <w:tcPr>
            <w:tcW w:w="1530" w:type="dxa"/>
            <w:vAlign w:val="center"/>
          </w:tcPr>
          <w:p w14:paraId="47716CB5" w14:textId="77777777" w:rsidR="00BD615F" w:rsidRPr="00AB44E1" w:rsidRDefault="00BD615F" w:rsidP="00BD615F">
            <w:pPr>
              <w:suppressAutoHyphens w:val="0"/>
              <w:jc w:val="center"/>
              <w:rPr>
                <w:rFonts w:asciiTheme="minorHAnsi" w:hAnsiTheme="minorHAnsi" w:cs="Calibri Light"/>
                <w:sz w:val="20"/>
                <w:szCs w:val="20"/>
              </w:rPr>
            </w:pPr>
            <w:r w:rsidRPr="00AB44E1">
              <w:rPr>
                <w:rFonts w:asciiTheme="minorHAnsi" w:hAnsiTheme="minorHAnsi" w:cs="Calibri Light"/>
                <w:sz w:val="20"/>
                <w:szCs w:val="20"/>
              </w:rPr>
              <w:t>17%</w:t>
            </w:r>
          </w:p>
        </w:tc>
        <w:tc>
          <w:tcPr>
            <w:tcW w:w="1530" w:type="dxa"/>
          </w:tcPr>
          <w:p w14:paraId="65643118"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2,233</w:t>
            </w:r>
          </w:p>
        </w:tc>
        <w:tc>
          <w:tcPr>
            <w:tcW w:w="1530" w:type="dxa"/>
          </w:tcPr>
          <w:p w14:paraId="4FBC61A6"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20%</w:t>
            </w:r>
          </w:p>
        </w:tc>
      </w:tr>
      <w:tr w:rsidR="00BD615F" w:rsidRPr="00AB44E1" w14:paraId="5BD3B1CF" w14:textId="77777777" w:rsidTr="0080060E">
        <w:trPr>
          <w:cantSplit/>
        </w:trPr>
        <w:tc>
          <w:tcPr>
            <w:tcW w:w="3870" w:type="dxa"/>
            <w:vAlign w:val="bottom"/>
          </w:tcPr>
          <w:p w14:paraId="21663B68" w14:textId="77777777" w:rsidR="00BD615F" w:rsidRPr="00AB44E1" w:rsidRDefault="00BD615F" w:rsidP="00BD615F">
            <w:pPr>
              <w:suppressAutoHyphens w:val="0"/>
              <w:rPr>
                <w:rFonts w:asciiTheme="minorHAnsi" w:hAnsiTheme="minorHAnsi" w:cs="Calibri"/>
                <w:color w:val="000000"/>
                <w:sz w:val="20"/>
                <w:szCs w:val="20"/>
              </w:rPr>
            </w:pPr>
            <w:r w:rsidRPr="00AB44E1">
              <w:rPr>
                <w:rFonts w:asciiTheme="minorHAnsi" w:hAnsiTheme="minorHAnsi" w:cs="Calibri"/>
                <w:color w:val="000000"/>
                <w:sz w:val="20"/>
                <w:szCs w:val="20"/>
              </w:rPr>
              <w:t>Age: 46-54</w:t>
            </w:r>
          </w:p>
        </w:tc>
        <w:tc>
          <w:tcPr>
            <w:tcW w:w="1530" w:type="dxa"/>
            <w:tcBorders>
              <w:top w:val="single" w:sz="4" w:space="0" w:color="auto"/>
              <w:left w:val="nil"/>
              <w:bottom w:val="single" w:sz="4" w:space="0" w:color="auto"/>
              <w:right w:val="nil"/>
            </w:tcBorders>
            <w:vAlign w:val="bottom"/>
          </w:tcPr>
          <w:p w14:paraId="6A01BDA6" w14:textId="6988AD6E"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1,689</w:t>
            </w:r>
          </w:p>
        </w:tc>
        <w:tc>
          <w:tcPr>
            <w:tcW w:w="1530" w:type="dxa"/>
            <w:vAlign w:val="center"/>
          </w:tcPr>
          <w:p w14:paraId="5FD58456" w14:textId="2A73D25D"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26%</w:t>
            </w:r>
          </w:p>
        </w:tc>
        <w:tc>
          <w:tcPr>
            <w:tcW w:w="1530" w:type="dxa"/>
            <w:tcBorders>
              <w:top w:val="single" w:sz="4" w:space="0" w:color="auto"/>
              <w:left w:val="nil"/>
              <w:bottom w:val="single" w:sz="4" w:space="0" w:color="auto"/>
              <w:right w:val="nil"/>
            </w:tcBorders>
            <w:vAlign w:val="bottom"/>
          </w:tcPr>
          <w:p w14:paraId="1D42BAD3" w14:textId="72763561"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2,002</w:t>
            </w:r>
          </w:p>
        </w:tc>
        <w:tc>
          <w:tcPr>
            <w:tcW w:w="1530" w:type="dxa"/>
            <w:vAlign w:val="center"/>
          </w:tcPr>
          <w:p w14:paraId="2405F37E" w14:textId="77777777" w:rsidR="00BD615F" w:rsidRPr="00AB44E1" w:rsidRDefault="00BD615F" w:rsidP="00BD615F">
            <w:pPr>
              <w:suppressAutoHyphens w:val="0"/>
              <w:jc w:val="center"/>
              <w:rPr>
                <w:rFonts w:asciiTheme="minorHAnsi" w:hAnsiTheme="minorHAnsi" w:cs="Calibri Light"/>
                <w:sz w:val="20"/>
                <w:szCs w:val="20"/>
              </w:rPr>
            </w:pPr>
            <w:r w:rsidRPr="00AB44E1">
              <w:rPr>
                <w:rFonts w:asciiTheme="minorHAnsi" w:hAnsiTheme="minorHAnsi" w:cs="Calibri Light"/>
                <w:sz w:val="20"/>
                <w:szCs w:val="20"/>
              </w:rPr>
              <w:t>23%</w:t>
            </w:r>
          </w:p>
        </w:tc>
        <w:tc>
          <w:tcPr>
            <w:tcW w:w="1530" w:type="dxa"/>
          </w:tcPr>
          <w:p w14:paraId="135ADD27"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2,506</w:t>
            </w:r>
          </w:p>
        </w:tc>
        <w:tc>
          <w:tcPr>
            <w:tcW w:w="1530" w:type="dxa"/>
          </w:tcPr>
          <w:p w14:paraId="1FE2D35F"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23%</w:t>
            </w:r>
          </w:p>
        </w:tc>
      </w:tr>
      <w:tr w:rsidR="00BD615F" w:rsidRPr="00AB44E1" w14:paraId="75A23BE5" w14:textId="77777777" w:rsidTr="0080060E">
        <w:trPr>
          <w:cantSplit/>
        </w:trPr>
        <w:tc>
          <w:tcPr>
            <w:tcW w:w="3870" w:type="dxa"/>
            <w:vAlign w:val="bottom"/>
          </w:tcPr>
          <w:p w14:paraId="63594B48" w14:textId="77777777" w:rsidR="00BD615F" w:rsidRPr="00AB44E1" w:rsidRDefault="00BD615F" w:rsidP="00BD615F">
            <w:pPr>
              <w:suppressAutoHyphens w:val="0"/>
              <w:rPr>
                <w:rFonts w:asciiTheme="minorHAnsi" w:hAnsiTheme="minorHAnsi" w:cs="Calibri"/>
                <w:color w:val="000000"/>
                <w:sz w:val="20"/>
                <w:szCs w:val="20"/>
              </w:rPr>
            </w:pPr>
            <w:r w:rsidRPr="00AB44E1">
              <w:rPr>
                <w:rFonts w:asciiTheme="minorHAnsi" w:hAnsiTheme="minorHAnsi" w:cs="Calibri"/>
                <w:color w:val="000000"/>
                <w:sz w:val="20"/>
                <w:szCs w:val="20"/>
              </w:rPr>
              <w:t>Age: 55-64</w:t>
            </w:r>
          </w:p>
        </w:tc>
        <w:tc>
          <w:tcPr>
            <w:tcW w:w="1530" w:type="dxa"/>
            <w:tcBorders>
              <w:top w:val="single" w:sz="4" w:space="0" w:color="auto"/>
              <w:left w:val="nil"/>
              <w:bottom w:val="single" w:sz="4" w:space="0" w:color="auto"/>
              <w:right w:val="nil"/>
            </w:tcBorders>
            <w:vAlign w:val="bottom"/>
          </w:tcPr>
          <w:p w14:paraId="73A9F75F" w14:textId="3A2E59BF"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1,615</w:t>
            </w:r>
          </w:p>
        </w:tc>
        <w:tc>
          <w:tcPr>
            <w:tcW w:w="1530" w:type="dxa"/>
            <w:vAlign w:val="center"/>
          </w:tcPr>
          <w:p w14:paraId="5A83FF21" w14:textId="6C32CFE4"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25%</w:t>
            </w:r>
          </w:p>
        </w:tc>
        <w:tc>
          <w:tcPr>
            <w:tcW w:w="1530" w:type="dxa"/>
            <w:tcBorders>
              <w:top w:val="single" w:sz="4" w:space="0" w:color="auto"/>
              <w:left w:val="nil"/>
              <w:bottom w:val="single" w:sz="4" w:space="0" w:color="auto"/>
              <w:right w:val="nil"/>
            </w:tcBorders>
            <w:vAlign w:val="bottom"/>
          </w:tcPr>
          <w:p w14:paraId="14DF8C80" w14:textId="5EC97E96"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2,175</w:t>
            </w:r>
          </w:p>
        </w:tc>
        <w:tc>
          <w:tcPr>
            <w:tcW w:w="1530" w:type="dxa"/>
            <w:vAlign w:val="center"/>
          </w:tcPr>
          <w:p w14:paraId="5F1DD979" w14:textId="77777777" w:rsidR="00BD615F" w:rsidRPr="00AB44E1" w:rsidRDefault="00BD615F" w:rsidP="00BD615F">
            <w:pPr>
              <w:suppressAutoHyphens w:val="0"/>
              <w:jc w:val="center"/>
              <w:rPr>
                <w:rFonts w:asciiTheme="minorHAnsi" w:hAnsiTheme="minorHAnsi" w:cs="Calibri Light"/>
                <w:sz w:val="20"/>
                <w:szCs w:val="20"/>
              </w:rPr>
            </w:pPr>
            <w:r w:rsidRPr="00AB44E1">
              <w:rPr>
                <w:rFonts w:asciiTheme="minorHAnsi" w:hAnsiTheme="minorHAnsi" w:cs="Calibri Light"/>
                <w:sz w:val="20"/>
                <w:szCs w:val="20"/>
              </w:rPr>
              <w:t>25%</w:t>
            </w:r>
          </w:p>
        </w:tc>
        <w:tc>
          <w:tcPr>
            <w:tcW w:w="1530" w:type="dxa"/>
          </w:tcPr>
          <w:p w14:paraId="172CE208"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2,507</w:t>
            </w:r>
          </w:p>
        </w:tc>
        <w:tc>
          <w:tcPr>
            <w:tcW w:w="1530" w:type="dxa"/>
          </w:tcPr>
          <w:p w14:paraId="2FE8160A"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23%</w:t>
            </w:r>
          </w:p>
        </w:tc>
      </w:tr>
      <w:tr w:rsidR="00BD615F" w:rsidRPr="00AB44E1" w14:paraId="32A0ED8B" w14:textId="77777777" w:rsidTr="0080060E">
        <w:trPr>
          <w:cantSplit/>
        </w:trPr>
        <w:tc>
          <w:tcPr>
            <w:tcW w:w="3870" w:type="dxa"/>
            <w:vAlign w:val="bottom"/>
          </w:tcPr>
          <w:p w14:paraId="6BE0BE38" w14:textId="77777777" w:rsidR="00BD615F" w:rsidRPr="00AB44E1" w:rsidRDefault="00BD615F" w:rsidP="00BD615F">
            <w:pPr>
              <w:suppressAutoHyphens w:val="0"/>
              <w:rPr>
                <w:rFonts w:asciiTheme="minorHAnsi" w:hAnsiTheme="minorHAnsi" w:cs="Calibri Light"/>
                <w:sz w:val="20"/>
                <w:szCs w:val="20"/>
              </w:rPr>
            </w:pPr>
            <w:r w:rsidRPr="00AB44E1">
              <w:rPr>
                <w:rFonts w:asciiTheme="minorHAnsi" w:hAnsiTheme="minorHAnsi" w:cs="Calibri"/>
                <w:color w:val="000000"/>
                <w:sz w:val="20"/>
                <w:szCs w:val="20"/>
              </w:rPr>
              <w:t>Age: 65+</w:t>
            </w:r>
          </w:p>
        </w:tc>
        <w:tc>
          <w:tcPr>
            <w:tcW w:w="1530" w:type="dxa"/>
            <w:tcBorders>
              <w:top w:val="single" w:sz="4" w:space="0" w:color="auto"/>
              <w:left w:val="nil"/>
              <w:bottom w:val="single" w:sz="4" w:space="0" w:color="auto"/>
              <w:right w:val="nil"/>
            </w:tcBorders>
            <w:vAlign w:val="bottom"/>
          </w:tcPr>
          <w:p w14:paraId="27EE5844" w14:textId="68196419"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1,956</w:t>
            </w:r>
          </w:p>
        </w:tc>
        <w:tc>
          <w:tcPr>
            <w:tcW w:w="1530" w:type="dxa"/>
            <w:vAlign w:val="center"/>
          </w:tcPr>
          <w:p w14:paraId="7DBCEE29" w14:textId="7F9BD39B"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30%</w:t>
            </w:r>
          </w:p>
        </w:tc>
        <w:tc>
          <w:tcPr>
            <w:tcW w:w="1530" w:type="dxa"/>
            <w:tcBorders>
              <w:top w:val="single" w:sz="4" w:space="0" w:color="auto"/>
              <w:left w:val="nil"/>
              <w:bottom w:val="single" w:sz="4" w:space="0" w:color="auto"/>
              <w:right w:val="nil"/>
            </w:tcBorders>
            <w:vAlign w:val="bottom"/>
          </w:tcPr>
          <w:p w14:paraId="54098358" w14:textId="024CE199"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2,680</w:t>
            </w:r>
          </w:p>
        </w:tc>
        <w:tc>
          <w:tcPr>
            <w:tcW w:w="1530" w:type="dxa"/>
            <w:vAlign w:val="center"/>
          </w:tcPr>
          <w:p w14:paraId="0C00A8E7" w14:textId="77777777" w:rsidR="00BD615F" w:rsidRPr="00AB44E1" w:rsidRDefault="00BD615F" w:rsidP="00BD615F">
            <w:pPr>
              <w:suppressAutoHyphens w:val="0"/>
              <w:jc w:val="center"/>
              <w:rPr>
                <w:rFonts w:asciiTheme="minorHAnsi" w:hAnsiTheme="minorHAnsi" w:cs="Calibri Light"/>
                <w:sz w:val="20"/>
                <w:szCs w:val="20"/>
              </w:rPr>
            </w:pPr>
            <w:r w:rsidRPr="00AB44E1">
              <w:rPr>
                <w:rFonts w:asciiTheme="minorHAnsi" w:hAnsiTheme="minorHAnsi" w:cs="Calibri Light"/>
                <w:sz w:val="20"/>
                <w:szCs w:val="20"/>
              </w:rPr>
              <w:t>31%</w:t>
            </w:r>
          </w:p>
        </w:tc>
        <w:tc>
          <w:tcPr>
            <w:tcW w:w="1530" w:type="dxa"/>
          </w:tcPr>
          <w:p w14:paraId="105C68E8"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3,288</w:t>
            </w:r>
          </w:p>
        </w:tc>
        <w:tc>
          <w:tcPr>
            <w:tcW w:w="1530" w:type="dxa"/>
          </w:tcPr>
          <w:p w14:paraId="44314E98"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30%</w:t>
            </w:r>
          </w:p>
        </w:tc>
      </w:tr>
      <w:tr w:rsidR="00BD615F" w:rsidRPr="00AB44E1" w14:paraId="34DBCC89" w14:textId="77777777" w:rsidTr="0080060E">
        <w:trPr>
          <w:cantSplit/>
        </w:trPr>
        <w:tc>
          <w:tcPr>
            <w:tcW w:w="3870" w:type="dxa"/>
            <w:vAlign w:val="bottom"/>
          </w:tcPr>
          <w:p w14:paraId="62C5BC8B" w14:textId="77777777" w:rsidR="00BD615F" w:rsidRPr="00AB44E1" w:rsidRDefault="00BD615F" w:rsidP="00BD615F">
            <w:pPr>
              <w:suppressAutoHyphens w:val="0"/>
              <w:rPr>
                <w:rFonts w:asciiTheme="minorHAnsi" w:hAnsiTheme="minorHAnsi" w:cs="Calibri Light"/>
                <w:sz w:val="20"/>
                <w:szCs w:val="20"/>
              </w:rPr>
            </w:pPr>
            <w:r w:rsidRPr="00AB44E1">
              <w:rPr>
                <w:rFonts w:asciiTheme="minorHAnsi" w:hAnsiTheme="minorHAnsi" w:cs="Calibri"/>
                <w:color w:val="000000"/>
                <w:sz w:val="20"/>
                <w:szCs w:val="20"/>
              </w:rPr>
              <w:t>Gender: Male</w:t>
            </w:r>
          </w:p>
        </w:tc>
        <w:tc>
          <w:tcPr>
            <w:tcW w:w="1530" w:type="dxa"/>
            <w:vAlign w:val="center"/>
          </w:tcPr>
          <w:p w14:paraId="56DF1289" w14:textId="2FF01C2B"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3,040</w:t>
            </w:r>
          </w:p>
        </w:tc>
        <w:tc>
          <w:tcPr>
            <w:tcW w:w="1530" w:type="dxa"/>
            <w:vAlign w:val="center"/>
          </w:tcPr>
          <w:p w14:paraId="46D6FD24" w14:textId="192D0A49"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47%</w:t>
            </w:r>
          </w:p>
        </w:tc>
        <w:tc>
          <w:tcPr>
            <w:tcW w:w="1530" w:type="dxa"/>
            <w:tcBorders>
              <w:top w:val="single" w:sz="4" w:space="0" w:color="auto"/>
            </w:tcBorders>
            <w:vAlign w:val="center"/>
          </w:tcPr>
          <w:p w14:paraId="40BA3315" w14:textId="711309C9"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4,005</w:t>
            </w:r>
          </w:p>
        </w:tc>
        <w:tc>
          <w:tcPr>
            <w:tcW w:w="1530" w:type="dxa"/>
            <w:vAlign w:val="center"/>
          </w:tcPr>
          <w:p w14:paraId="424680C6" w14:textId="77777777" w:rsidR="00BD615F" w:rsidRPr="00AB44E1" w:rsidRDefault="00BD615F" w:rsidP="00BD615F">
            <w:pPr>
              <w:suppressAutoHyphens w:val="0"/>
              <w:jc w:val="center"/>
              <w:rPr>
                <w:rFonts w:asciiTheme="minorHAnsi" w:hAnsiTheme="minorHAnsi" w:cs="Calibri Light"/>
                <w:sz w:val="20"/>
                <w:szCs w:val="20"/>
              </w:rPr>
            </w:pPr>
            <w:r w:rsidRPr="00AB44E1">
              <w:rPr>
                <w:rFonts w:asciiTheme="minorHAnsi" w:hAnsiTheme="minorHAnsi" w:cs="Calibri Light"/>
                <w:sz w:val="20"/>
                <w:szCs w:val="20"/>
              </w:rPr>
              <w:t>46%</w:t>
            </w:r>
          </w:p>
        </w:tc>
        <w:tc>
          <w:tcPr>
            <w:tcW w:w="1530" w:type="dxa"/>
          </w:tcPr>
          <w:p w14:paraId="25C70519"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5,163</w:t>
            </w:r>
          </w:p>
        </w:tc>
        <w:tc>
          <w:tcPr>
            <w:tcW w:w="1530" w:type="dxa"/>
          </w:tcPr>
          <w:p w14:paraId="5F1B4967"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47%</w:t>
            </w:r>
          </w:p>
        </w:tc>
      </w:tr>
      <w:tr w:rsidR="00BD615F" w:rsidRPr="00AB44E1" w14:paraId="35B50C65" w14:textId="77777777" w:rsidTr="0080060E">
        <w:trPr>
          <w:cantSplit/>
        </w:trPr>
        <w:tc>
          <w:tcPr>
            <w:tcW w:w="3870" w:type="dxa"/>
            <w:vAlign w:val="bottom"/>
          </w:tcPr>
          <w:p w14:paraId="6F426E9F" w14:textId="42FD3E6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Gender: Female</w:t>
            </w:r>
            <w:r w:rsidR="004E47DA">
              <w:rPr>
                <w:rFonts w:asciiTheme="minorHAnsi" w:hAnsiTheme="minorHAnsi" w:cs="Calibri"/>
                <w:color w:val="000000"/>
                <w:sz w:val="20"/>
                <w:szCs w:val="20"/>
              </w:rPr>
              <w:t>/Other</w:t>
            </w:r>
          </w:p>
        </w:tc>
        <w:tc>
          <w:tcPr>
            <w:tcW w:w="1530" w:type="dxa"/>
            <w:tcBorders>
              <w:bottom w:val="single" w:sz="4" w:space="0" w:color="auto"/>
            </w:tcBorders>
            <w:vAlign w:val="center"/>
          </w:tcPr>
          <w:p w14:paraId="629AB535" w14:textId="6D8629BA"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3,412</w:t>
            </w:r>
          </w:p>
        </w:tc>
        <w:tc>
          <w:tcPr>
            <w:tcW w:w="1530" w:type="dxa"/>
            <w:tcBorders>
              <w:bottom w:val="single" w:sz="4" w:space="0" w:color="auto"/>
            </w:tcBorders>
            <w:vAlign w:val="center"/>
          </w:tcPr>
          <w:p w14:paraId="64269E60" w14:textId="2954843A"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53%</w:t>
            </w:r>
          </w:p>
        </w:tc>
        <w:tc>
          <w:tcPr>
            <w:tcW w:w="1530" w:type="dxa"/>
            <w:tcBorders>
              <w:bottom w:val="single" w:sz="4" w:space="0" w:color="auto"/>
            </w:tcBorders>
            <w:vAlign w:val="center"/>
          </w:tcPr>
          <w:p w14:paraId="3896A6D6" w14:textId="783D6E99"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4,609</w:t>
            </w:r>
          </w:p>
        </w:tc>
        <w:tc>
          <w:tcPr>
            <w:tcW w:w="1530" w:type="dxa"/>
            <w:tcBorders>
              <w:bottom w:val="single" w:sz="4" w:space="0" w:color="auto"/>
            </w:tcBorders>
            <w:vAlign w:val="center"/>
          </w:tcPr>
          <w:p w14:paraId="068B310B" w14:textId="77777777" w:rsidR="00BD615F" w:rsidRPr="00AB44E1" w:rsidRDefault="00BD615F" w:rsidP="00BD615F">
            <w:pPr>
              <w:suppressAutoHyphens w:val="0"/>
              <w:jc w:val="center"/>
              <w:rPr>
                <w:rFonts w:asciiTheme="minorHAnsi" w:hAnsiTheme="minorHAnsi" w:cs="Calibri Light"/>
                <w:color w:val="000000"/>
                <w:sz w:val="20"/>
                <w:szCs w:val="20"/>
              </w:rPr>
            </w:pPr>
            <w:r w:rsidRPr="00AB44E1">
              <w:rPr>
                <w:rFonts w:asciiTheme="minorHAnsi" w:hAnsiTheme="minorHAnsi" w:cs="Calibri Light"/>
                <w:sz w:val="20"/>
                <w:szCs w:val="20"/>
              </w:rPr>
              <w:t>54%</w:t>
            </w:r>
          </w:p>
        </w:tc>
        <w:tc>
          <w:tcPr>
            <w:tcW w:w="1530" w:type="dxa"/>
          </w:tcPr>
          <w:p w14:paraId="24E5298C" w14:textId="78B509CF" w:rsidR="00BD615F" w:rsidRPr="00AB44E1" w:rsidRDefault="00BD615F" w:rsidP="00BD615F">
            <w:pPr>
              <w:suppressAutoHyphens w:val="0"/>
              <w:jc w:val="center"/>
              <w:rPr>
                <w:rFonts w:asciiTheme="minorHAnsi" w:hAnsiTheme="minorHAnsi" w:cs="Calibri Light"/>
                <w:color w:val="000000"/>
                <w:sz w:val="20"/>
                <w:szCs w:val="20"/>
              </w:rPr>
            </w:pPr>
            <w:r w:rsidRPr="00C74B0E">
              <w:rPr>
                <w:rFonts w:asciiTheme="minorHAnsi" w:hAnsiTheme="minorHAnsi" w:cs="Calibri Light"/>
                <w:color w:val="000000"/>
                <w:sz w:val="20"/>
                <w:szCs w:val="20"/>
              </w:rPr>
              <w:t>5</w:t>
            </w:r>
            <w:r>
              <w:rPr>
                <w:rFonts w:asciiTheme="minorHAnsi" w:hAnsiTheme="minorHAnsi" w:cs="Calibri Light"/>
                <w:color w:val="000000"/>
                <w:sz w:val="20"/>
                <w:szCs w:val="20"/>
              </w:rPr>
              <w:t>,</w:t>
            </w:r>
            <w:r w:rsidRPr="00C74B0E">
              <w:rPr>
                <w:rFonts w:asciiTheme="minorHAnsi" w:hAnsiTheme="minorHAnsi" w:cs="Calibri Light"/>
                <w:color w:val="000000"/>
                <w:sz w:val="20"/>
                <w:szCs w:val="20"/>
              </w:rPr>
              <w:t>78</w:t>
            </w:r>
            <w:r w:rsidR="004E47DA">
              <w:rPr>
                <w:rFonts w:asciiTheme="minorHAnsi" w:hAnsiTheme="minorHAnsi" w:cs="Calibri Light"/>
                <w:color w:val="000000"/>
                <w:sz w:val="20"/>
                <w:szCs w:val="20"/>
              </w:rPr>
              <w:t>1</w:t>
            </w:r>
          </w:p>
        </w:tc>
        <w:tc>
          <w:tcPr>
            <w:tcW w:w="1530" w:type="dxa"/>
          </w:tcPr>
          <w:p w14:paraId="06779C55"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53%</w:t>
            </w:r>
          </w:p>
        </w:tc>
      </w:tr>
      <w:tr w:rsidR="00BD615F" w:rsidRPr="00AB44E1" w14:paraId="20362EB8" w14:textId="77777777" w:rsidTr="0080060E">
        <w:trPr>
          <w:cantSplit/>
        </w:trPr>
        <w:tc>
          <w:tcPr>
            <w:tcW w:w="3870" w:type="dxa"/>
            <w:vAlign w:val="bottom"/>
          </w:tcPr>
          <w:p w14:paraId="7DA95C46" w14:textId="7777777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Race: White</w:t>
            </w:r>
          </w:p>
        </w:tc>
        <w:tc>
          <w:tcPr>
            <w:tcW w:w="1530" w:type="dxa"/>
            <w:tcBorders>
              <w:top w:val="single" w:sz="4" w:space="0" w:color="auto"/>
              <w:left w:val="nil"/>
              <w:bottom w:val="single" w:sz="4" w:space="0" w:color="auto"/>
              <w:right w:val="single" w:sz="4" w:space="0" w:color="auto"/>
            </w:tcBorders>
            <w:vAlign w:val="bottom"/>
          </w:tcPr>
          <w:p w14:paraId="6545E49C" w14:textId="21F3FB0A"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5,551</w:t>
            </w:r>
          </w:p>
        </w:tc>
        <w:tc>
          <w:tcPr>
            <w:tcW w:w="1530" w:type="dxa"/>
            <w:tcBorders>
              <w:top w:val="single" w:sz="4" w:space="0" w:color="auto"/>
              <w:left w:val="single" w:sz="4" w:space="0" w:color="auto"/>
              <w:bottom w:val="single" w:sz="4" w:space="0" w:color="auto"/>
              <w:right w:val="single" w:sz="4" w:space="0" w:color="auto"/>
            </w:tcBorders>
            <w:vAlign w:val="bottom"/>
          </w:tcPr>
          <w:p w14:paraId="45602630" w14:textId="1CC98E62"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86%</w:t>
            </w:r>
          </w:p>
        </w:tc>
        <w:tc>
          <w:tcPr>
            <w:tcW w:w="1530" w:type="dxa"/>
            <w:tcBorders>
              <w:top w:val="single" w:sz="4" w:space="0" w:color="auto"/>
              <w:left w:val="nil"/>
              <w:bottom w:val="single" w:sz="4" w:space="0" w:color="auto"/>
              <w:right w:val="single" w:sz="4" w:space="0" w:color="auto"/>
            </w:tcBorders>
            <w:vAlign w:val="bottom"/>
          </w:tcPr>
          <w:p w14:paraId="14A5E066" w14:textId="620A008F"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7,310</w:t>
            </w:r>
          </w:p>
        </w:tc>
        <w:tc>
          <w:tcPr>
            <w:tcW w:w="1530" w:type="dxa"/>
            <w:tcBorders>
              <w:top w:val="single" w:sz="4" w:space="0" w:color="auto"/>
              <w:left w:val="single" w:sz="4" w:space="0" w:color="auto"/>
              <w:bottom w:val="single" w:sz="4" w:space="0" w:color="auto"/>
              <w:right w:val="nil"/>
            </w:tcBorders>
            <w:vAlign w:val="bottom"/>
          </w:tcPr>
          <w:p w14:paraId="3A9E5E2E" w14:textId="77777777" w:rsidR="00BD615F" w:rsidRPr="00AB44E1" w:rsidRDefault="00BD615F" w:rsidP="00BD615F">
            <w:pPr>
              <w:suppressAutoHyphens w:val="0"/>
              <w:jc w:val="center"/>
              <w:rPr>
                <w:rFonts w:asciiTheme="minorHAnsi" w:hAnsiTheme="minorHAnsi" w:cs="Calibri"/>
                <w:color w:val="000000"/>
                <w:sz w:val="20"/>
                <w:szCs w:val="20"/>
              </w:rPr>
            </w:pPr>
            <w:r w:rsidRPr="00AB44E1">
              <w:rPr>
                <w:rFonts w:asciiTheme="minorHAnsi" w:hAnsiTheme="minorHAnsi" w:cs="Calibri"/>
                <w:color w:val="000000"/>
                <w:sz w:val="20"/>
                <w:szCs w:val="20"/>
              </w:rPr>
              <w:t>85%</w:t>
            </w:r>
          </w:p>
        </w:tc>
        <w:tc>
          <w:tcPr>
            <w:tcW w:w="1530" w:type="dxa"/>
          </w:tcPr>
          <w:p w14:paraId="688FDC3B"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9,274</w:t>
            </w:r>
          </w:p>
        </w:tc>
        <w:tc>
          <w:tcPr>
            <w:tcW w:w="1530" w:type="dxa"/>
          </w:tcPr>
          <w:p w14:paraId="7200B53F"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85%</w:t>
            </w:r>
          </w:p>
        </w:tc>
      </w:tr>
      <w:tr w:rsidR="00BD615F" w:rsidRPr="00AB44E1" w14:paraId="6B2DA1D5" w14:textId="77777777" w:rsidTr="0080060E">
        <w:trPr>
          <w:cantSplit/>
        </w:trPr>
        <w:tc>
          <w:tcPr>
            <w:tcW w:w="3870" w:type="dxa"/>
            <w:vAlign w:val="bottom"/>
          </w:tcPr>
          <w:p w14:paraId="59AB13FF" w14:textId="77777777" w:rsidR="00BD615F" w:rsidRPr="00AB44E1" w:rsidRDefault="00BD615F" w:rsidP="00BD615F">
            <w:pPr>
              <w:suppressAutoHyphens w:val="0"/>
              <w:rPr>
                <w:rFonts w:asciiTheme="minorHAnsi" w:hAnsiTheme="minorHAnsi" w:cs="Calibri Light"/>
                <w:b/>
                <w:bCs/>
                <w:color w:val="000000"/>
                <w:sz w:val="20"/>
                <w:szCs w:val="20"/>
              </w:rPr>
            </w:pPr>
            <w:r w:rsidRPr="00AB44E1">
              <w:rPr>
                <w:rFonts w:asciiTheme="minorHAnsi" w:hAnsiTheme="minorHAnsi" w:cs="Calibri"/>
                <w:color w:val="000000"/>
                <w:sz w:val="20"/>
                <w:szCs w:val="20"/>
              </w:rPr>
              <w:t>Race: Black or African American</w:t>
            </w:r>
          </w:p>
        </w:tc>
        <w:tc>
          <w:tcPr>
            <w:tcW w:w="1530" w:type="dxa"/>
            <w:tcBorders>
              <w:top w:val="single" w:sz="4" w:space="0" w:color="auto"/>
              <w:left w:val="nil"/>
              <w:bottom w:val="single" w:sz="4" w:space="0" w:color="auto"/>
              <w:right w:val="single" w:sz="4" w:space="0" w:color="auto"/>
            </w:tcBorders>
            <w:vAlign w:val="bottom"/>
          </w:tcPr>
          <w:p w14:paraId="132AFE99" w14:textId="6E722375"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197</w:t>
            </w:r>
          </w:p>
        </w:tc>
        <w:tc>
          <w:tcPr>
            <w:tcW w:w="1530" w:type="dxa"/>
            <w:tcBorders>
              <w:top w:val="single" w:sz="4" w:space="0" w:color="auto"/>
              <w:left w:val="single" w:sz="4" w:space="0" w:color="auto"/>
              <w:bottom w:val="single" w:sz="4" w:space="0" w:color="auto"/>
              <w:right w:val="single" w:sz="4" w:space="0" w:color="auto"/>
            </w:tcBorders>
            <w:vAlign w:val="bottom"/>
          </w:tcPr>
          <w:p w14:paraId="7375E8B4" w14:textId="15DE14C3"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w:t>
            </w:r>
          </w:p>
        </w:tc>
        <w:tc>
          <w:tcPr>
            <w:tcW w:w="1530" w:type="dxa"/>
            <w:tcBorders>
              <w:top w:val="single" w:sz="4" w:space="0" w:color="auto"/>
              <w:left w:val="nil"/>
              <w:bottom w:val="single" w:sz="4" w:space="0" w:color="auto"/>
              <w:right w:val="single" w:sz="4" w:space="0" w:color="auto"/>
            </w:tcBorders>
            <w:vAlign w:val="bottom"/>
          </w:tcPr>
          <w:p w14:paraId="0D6D3948" w14:textId="40B3AB9F"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239</w:t>
            </w:r>
          </w:p>
        </w:tc>
        <w:tc>
          <w:tcPr>
            <w:tcW w:w="1530" w:type="dxa"/>
            <w:tcBorders>
              <w:top w:val="single" w:sz="4" w:space="0" w:color="auto"/>
              <w:left w:val="single" w:sz="4" w:space="0" w:color="auto"/>
              <w:bottom w:val="single" w:sz="4" w:space="0" w:color="auto"/>
              <w:right w:val="nil"/>
            </w:tcBorders>
            <w:vAlign w:val="bottom"/>
          </w:tcPr>
          <w:p w14:paraId="323B243F" w14:textId="77777777" w:rsidR="00BD615F" w:rsidRPr="00AB44E1" w:rsidRDefault="00BD615F" w:rsidP="00BD615F">
            <w:pPr>
              <w:suppressAutoHyphens w:val="0"/>
              <w:jc w:val="center"/>
              <w:rPr>
                <w:rFonts w:asciiTheme="minorHAnsi" w:hAnsiTheme="minorHAnsi" w:cs="Calibri"/>
                <w:color w:val="000000"/>
                <w:sz w:val="20"/>
                <w:szCs w:val="20"/>
              </w:rPr>
            </w:pPr>
            <w:r w:rsidRPr="00AB44E1">
              <w:rPr>
                <w:rFonts w:asciiTheme="minorHAnsi" w:hAnsiTheme="minorHAnsi" w:cs="Calibri"/>
                <w:color w:val="000000"/>
                <w:sz w:val="20"/>
                <w:szCs w:val="20"/>
              </w:rPr>
              <w:t>3%</w:t>
            </w:r>
          </w:p>
        </w:tc>
        <w:tc>
          <w:tcPr>
            <w:tcW w:w="1530" w:type="dxa"/>
          </w:tcPr>
          <w:p w14:paraId="21EA5B5B"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311</w:t>
            </w:r>
          </w:p>
        </w:tc>
        <w:tc>
          <w:tcPr>
            <w:tcW w:w="1530" w:type="dxa"/>
          </w:tcPr>
          <w:p w14:paraId="36BF7D10"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3%</w:t>
            </w:r>
          </w:p>
        </w:tc>
      </w:tr>
      <w:tr w:rsidR="00BD615F" w:rsidRPr="00AB44E1" w14:paraId="092FADE1" w14:textId="77777777" w:rsidTr="0080060E">
        <w:trPr>
          <w:cantSplit/>
        </w:trPr>
        <w:tc>
          <w:tcPr>
            <w:tcW w:w="3870" w:type="dxa"/>
            <w:vAlign w:val="bottom"/>
          </w:tcPr>
          <w:p w14:paraId="50A64C1C" w14:textId="7777777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Race: Asian</w:t>
            </w:r>
          </w:p>
        </w:tc>
        <w:tc>
          <w:tcPr>
            <w:tcW w:w="1530" w:type="dxa"/>
            <w:tcBorders>
              <w:top w:val="single" w:sz="4" w:space="0" w:color="auto"/>
              <w:left w:val="nil"/>
              <w:bottom w:val="single" w:sz="4" w:space="0" w:color="auto"/>
              <w:right w:val="single" w:sz="4" w:space="0" w:color="auto"/>
            </w:tcBorders>
            <w:vAlign w:val="bottom"/>
          </w:tcPr>
          <w:p w14:paraId="16C29F06" w14:textId="6F752D20"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330</w:t>
            </w:r>
          </w:p>
        </w:tc>
        <w:tc>
          <w:tcPr>
            <w:tcW w:w="1530" w:type="dxa"/>
            <w:tcBorders>
              <w:top w:val="single" w:sz="4" w:space="0" w:color="auto"/>
              <w:left w:val="single" w:sz="4" w:space="0" w:color="auto"/>
              <w:bottom w:val="single" w:sz="4" w:space="0" w:color="auto"/>
              <w:right w:val="single" w:sz="4" w:space="0" w:color="auto"/>
            </w:tcBorders>
            <w:vAlign w:val="bottom"/>
          </w:tcPr>
          <w:p w14:paraId="435B5C48" w14:textId="2A66A890"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5%</w:t>
            </w:r>
          </w:p>
        </w:tc>
        <w:tc>
          <w:tcPr>
            <w:tcW w:w="1530" w:type="dxa"/>
            <w:tcBorders>
              <w:top w:val="single" w:sz="4" w:space="0" w:color="auto"/>
              <w:left w:val="nil"/>
              <w:bottom w:val="single" w:sz="4" w:space="0" w:color="auto"/>
              <w:right w:val="single" w:sz="4" w:space="0" w:color="auto"/>
            </w:tcBorders>
            <w:vAlign w:val="bottom"/>
          </w:tcPr>
          <w:p w14:paraId="22F00B5A" w14:textId="7E6B14C5"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571</w:t>
            </w:r>
          </w:p>
        </w:tc>
        <w:tc>
          <w:tcPr>
            <w:tcW w:w="1530" w:type="dxa"/>
            <w:tcBorders>
              <w:top w:val="single" w:sz="4" w:space="0" w:color="auto"/>
              <w:left w:val="single" w:sz="4" w:space="0" w:color="auto"/>
              <w:bottom w:val="single" w:sz="4" w:space="0" w:color="auto"/>
              <w:right w:val="nil"/>
            </w:tcBorders>
            <w:vAlign w:val="bottom"/>
          </w:tcPr>
          <w:p w14:paraId="6DF04353" w14:textId="77777777" w:rsidR="00BD615F" w:rsidRPr="00AB44E1" w:rsidRDefault="00BD615F" w:rsidP="00BD615F">
            <w:pPr>
              <w:suppressAutoHyphens w:val="0"/>
              <w:jc w:val="center"/>
              <w:rPr>
                <w:rFonts w:asciiTheme="minorHAnsi" w:hAnsiTheme="minorHAnsi" w:cs="Calibri"/>
                <w:color w:val="000000"/>
                <w:sz w:val="20"/>
                <w:szCs w:val="20"/>
              </w:rPr>
            </w:pPr>
            <w:r w:rsidRPr="00AB44E1">
              <w:rPr>
                <w:rFonts w:asciiTheme="minorHAnsi" w:hAnsiTheme="minorHAnsi" w:cs="Calibri"/>
                <w:color w:val="000000"/>
                <w:sz w:val="20"/>
                <w:szCs w:val="20"/>
              </w:rPr>
              <w:t>7%</w:t>
            </w:r>
          </w:p>
        </w:tc>
        <w:tc>
          <w:tcPr>
            <w:tcW w:w="1530" w:type="dxa"/>
          </w:tcPr>
          <w:p w14:paraId="3553B9DE"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655</w:t>
            </w:r>
          </w:p>
        </w:tc>
        <w:tc>
          <w:tcPr>
            <w:tcW w:w="1530" w:type="dxa"/>
          </w:tcPr>
          <w:p w14:paraId="680E5715"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6%</w:t>
            </w:r>
          </w:p>
        </w:tc>
      </w:tr>
      <w:tr w:rsidR="00BD615F" w:rsidRPr="00AB44E1" w14:paraId="479D47F0" w14:textId="77777777" w:rsidTr="0080060E">
        <w:trPr>
          <w:cantSplit/>
        </w:trPr>
        <w:tc>
          <w:tcPr>
            <w:tcW w:w="3870" w:type="dxa"/>
            <w:vAlign w:val="bottom"/>
          </w:tcPr>
          <w:p w14:paraId="052E3DC6" w14:textId="7777777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Race: Other</w:t>
            </w:r>
          </w:p>
        </w:tc>
        <w:tc>
          <w:tcPr>
            <w:tcW w:w="1530" w:type="dxa"/>
            <w:tcBorders>
              <w:top w:val="single" w:sz="4" w:space="0" w:color="auto"/>
              <w:left w:val="nil"/>
              <w:bottom w:val="single" w:sz="4" w:space="0" w:color="auto"/>
              <w:right w:val="single" w:sz="4" w:space="0" w:color="auto"/>
            </w:tcBorders>
            <w:vAlign w:val="bottom"/>
          </w:tcPr>
          <w:p w14:paraId="5A048EC6" w14:textId="03A4AE2A"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171</w:t>
            </w:r>
          </w:p>
        </w:tc>
        <w:tc>
          <w:tcPr>
            <w:tcW w:w="1530" w:type="dxa"/>
            <w:tcBorders>
              <w:top w:val="single" w:sz="4" w:space="0" w:color="auto"/>
              <w:left w:val="single" w:sz="4" w:space="0" w:color="auto"/>
              <w:bottom w:val="single" w:sz="4" w:space="0" w:color="auto"/>
              <w:right w:val="single" w:sz="4" w:space="0" w:color="auto"/>
            </w:tcBorders>
            <w:vAlign w:val="bottom"/>
          </w:tcPr>
          <w:p w14:paraId="7BE62475" w14:textId="0580223B"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w:t>
            </w:r>
          </w:p>
        </w:tc>
        <w:tc>
          <w:tcPr>
            <w:tcW w:w="1530" w:type="dxa"/>
            <w:tcBorders>
              <w:top w:val="single" w:sz="4" w:space="0" w:color="auto"/>
              <w:left w:val="nil"/>
              <w:bottom w:val="single" w:sz="4" w:space="0" w:color="auto"/>
              <w:right w:val="single" w:sz="4" w:space="0" w:color="auto"/>
            </w:tcBorders>
            <w:vAlign w:val="bottom"/>
          </w:tcPr>
          <w:p w14:paraId="4711973D" w14:textId="6E5E82DD"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233</w:t>
            </w:r>
          </w:p>
        </w:tc>
        <w:tc>
          <w:tcPr>
            <w:tcW w:w="1530" w:type="dxa"/>
            <w:tcBorders>
              <w:top w:val="single" w:sz="4" w:space="0" w:color="auto"/>
              <w:left w:val="single" w:sz="4" w:space="0" w:color="auto"/>
              <w:bottom w:val="single" w:sz="4" w:space="0" w:color="auto"/>
              <w:right w:val="nil"/>
            </w:tcBorders>
            <w:vAlign w:val="bottom"/>
          </w:tcPr>
          <w:p w14:paraId="08E3C705" w14:textId="77777777" w:rsidR="00BD615F" w:rsidRPr="00AB44E1" w:rsidRDefault="00BD615F" w:rsidP="00BD615F">
            <w:pPr>
              <w:suppressAutoHyphens w:val="0"/>
              <w:jc w:val="center"/>
              <w:rPr>
                <w:rFonts w:asciiTheme="minorHAnsi" w:hAnsiTheme="minorHAnsi" w:cs="Calibri"/>
                <w:color w:val="000000"/>
                <w:sz w:val="20"/>
                <w:szCs w:val="20"/>
              </w:rPr>
            </w:pPr>
            <w:r w:rsidRPr="00AB44E1">
              <w:rPr>
                <w:rFonts w:asciiTheme="minorHAnsi" w:hAnsiTheme="minorHAnsi" w:cs="Calibri"/>
                <w:color w:val="000000"/>
                <w:sz w:val="20"/>
                <w:szCs w:val="20"/>
              </w:rPr>
              <w:t>3%</w:t>
            </w:r>
          </w:p>
        </w:tc>
        <w:tc>
          <w:tcPr>
            <w:tcW w:w="1530" w:type="dxa"/>
          </w:tcPr>
          <w:p w14:paraId="2556C5B6"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356</w:t>
            </w:r>
          </w:p>
        </w:tc>
        <w:tc>
          <w:tcPr>
            <w:tcW w:w="1530" w:type="dxa"/>
          </w:tcPr>
          <w:p w14:paraId="0CEBA81E"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3%</w:t>
            </w:r>
          </w:p>
        </w:tc>
      </w:tr>
      <w:tr w:rsidR="00BD615F" w:rsidRPr="00AB44E1" w14:paraId="57087A05" w14:textId="77777777" w:rsidTr="0080060E">
        <w:trPr>
          <w:cantSplit/>
        </w:trPr>
        <w:tc>
          <w:tcPr>
            <w:tcW w:w="3870" w:type="dxa"/>
            <w:vAlign w:val="bottom"/>
          </w:tcPr>
          <w:p w14:paraId="77DD8F23" w14:textId="7777777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Race: Unknown</w:t>
            </w:r>
          </w:p>
        </w:tc>
        <w:tc>
          <w:tcPr>
            <w:tcW w:w="1530" w:type="dxa"/>
            <w:tcBorders>
              <w:top w:val="single" w:sz="4" w:space="0" w:color="auto"/>
              <w:left w:val="nil"/>
              <w:bottom w:val="single" w:sz="4" w:space="0" w:color="auto"/>
              <w:right w:val="single" w:sz="4" w:space="0" w:color="auto"/>
            </w:tcBorders>
            <w:vAlign w:val="bottom"/>
          </w:tcPr>
          <w:p w14:paraId="09C92076" w14:textId="3E745150"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108</w:t>
            </w:r>
          </w:p>
        </w:tc>
        <w:tc>
          <w:tcPr>
            <w:tcW w:w="1530" w:type="dxa"/>
            <w:tcBorders>
              <w:top w:val="single" w:sz="4" w:space="0" w:color="auto"/>
              <w:left w:val="single" w:sz="4" w:space="0" w:color="auto"/>
              <w:bottom w:val="single" w:sz="4" w:space="0" w:color="auto"/>
              <w:right w:val="single" w:sz="4" w:space="0" w:color="auto"/>
            </w:tcBorders>
            <w:vAlign w:val="bottom"/>
          </w:tcPr>
          <w:p w14:paraId="03EF1454" w14:textId="7CA394DE"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w:t>
            </w:r>
          </w:p>
        </w:tc>
        <w:tc>
          <w:tcPr>
            <w:tcW w:w="1530" w:type="dxa"/>
            <w:tcBorders>
              <w:top w:val="single" w:sz="4" w:space="0" w:color="auto"/>
              <w:left w:val="nil"/>
              <w:bottom w:val="single" w:sz="4" w:space="0" w:color="auto"/>
              <w:right w:val="single" w:sz="4" w:space="0" w:color="auto"/>
            </w:tcBorders>
            <w:vAlign w:val="bottom"/>
          </w:tcPr>
          <w:p w14:paraId="05EB9C9B" w14:textId="6756F30A"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161</w:t>
            </w:r>
          </w:p>
        </w:tc>
        <w:tc>
          <w:tcPr>
            <w:tcW w:w="1530" w:type="dxa"/>
            <w:tcBorders>
              <w:top w:val="single" w:sz="4" w:space="0" w:color="auto"/>
              <w:left w:val="single" w:sz="4" w:space="0" w:color="auto"/>
              <w:bottom w:val="single" w:sz="4" w:space="0" w:color="auto"/>
              <w:right w:val="nil"/>
            </w:tcBorders>
            <w:vAlign w:val="bottom"/>
          </w:tcPr>
          <w:p w14:paraId="3AE3A1BA" w14:textId="77777777" w:rsidR="00BD615F" w:rsidRPr="00AB44E1" w:rsidRDefault="00BD615F" w:rsidP="00BD615F">
            <w:pPr>
              <w:suppressAutoHyphens w:val="0"/>
              <w:jc w:val="center"/>
              <w:rPr>
                <w:rFonts w:asciiTheme="minorHAnsi" w:hAnsiTheme="minorHAnsi" w:cs="Calibri"/>
                <w:color w:val="000000"/>
                <w:sz w:val="20"/>
                <w:szCs w:val="20"/>
              </w:rPr>
            </w:pPr>
            <w:r w:rsidRPr="00AB44E1">
              <w:rPr>
                <w:rFonts w:asciiTheme="minorHAnsi" w:hAnsiTheme="minorHAnsi" w:cs="Calibri"/>
                <w:color w:val="000000"/>
                <w:sz w:val="20"/>
                <w:szCs w:val="20"/>
              </w:rPr>
              <w:t>2%</w:t>
            </w:r>
          </w:p>
        </w:tc>
        <w:tc>
          <w:tcPr>
            <w:tcW w:w="1530" w:type="dxa"/>
          </w:tcPr>
          <w:p w14:paraId="49C037FC"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212</w:t>
            </w:r>
          </w:p>
        </w:tc>
        <w:tc>
          <w:tcPr>
            <w:tcW w:w="1530" w:type="dxa"/>
          </w:tcPr>
          <w:p w14:paraId="6E308919"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w:t>
            </w:r>
          </w:p>
        </w:tc>
      </w:tr>
      <w:tr w:rsidR="00BD615F" w:rsidRPr="00AB44E1" w14:paraId="4B9973B1" w14:textId="77777777" w:rsidTr="0080060E">
        <w:trPr>
          <w:cantSplit/>
        </w:trPr>
        <w:tc>
          <w:tcPr>
            <w:tcW w:w="3870" w:type="dxa"/>
            <w:vAlign w:val="bottom"/>
          </w:tcPr>
          <w:p w14:paraId="7B3DE80E" w14:textId="7777777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Race: Patient Declined</w:t>
            </w:r>
          </w:p>
        </w:tc>
        <w:tc>
          <w:tcPr>
            <w:tcW w:w="1530" w:type="dxa"/>
            <w:tcBorders>
              <w:top w:val="single" w:sz="4" w:space="0" w:color="auto"/>
              <w:left w:val="nil"/>
              <w:bottom w:val="single" w:sz="4" w:space="0" w:color="auto"/>
              <w:right w:val="single" w:sz="4" w:space="0" w:color="auto"/>
            </w:tcBorders>
            <w:vAlign w:val="bottom"/>
          </w:tcPr>
          <w:p w14:paraId="10FC63EA" w14:textId="34A117D3"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95</w:t>
            </w:r>
          </w:p>
        </w:tc>
        <w:tc>
          <w:tcPr>
            <w:tcW w:w="1530" w:type="dxa"/>
            <w:tcBorders>
              <w:top w:val="single" w:sz="4" w:space="0" w:color="auto"/>
              <w:left w:val="single" w:sz="4" w:space="0" w:color="auto"/>
              <w:bottom w:val="single" w:sz="4" w:space="0" w:color="auto"/>
              <w:right w:val="single" w:sz="4" w:space="0" w:color="auto"/>
            </w:tcBorders>
            <w:vAlign w:val="bottom"/>
          </w:tcPr>
          <w:p w14:paraId="3D91C12E" w14:textId="7CEF418E"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w:t>
            </w:r>
          </w:p>
        </w:tc>
        <w:tc>
          <w:tcPr>
            <w:tcW w:w="1530" w:type="dxa"/>
            <w:tcBorders>
              <w:top w:val="single" w:sz="4" w:space="0" w:color="auto"/>
              <w:left w:val="nil"/>
              <w:bottom w:val="single" w:sz="4" w:space="0" w:color="auto"/>
              <w:right w:val="single" w:sz="4" w:space="0" w:color="auto"/>
            </w:tcBorders>
            <w:vAlign w:val="bottom"/>
          </w:tcPr>
          <w:p w14:paraId="1BACCBE4" w14:textId="4667920F"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100</w:t>
            </w:r>
          </w:p>
        </w:tc>
        <w:tc>
          <w:tcPr>
            <w:tcW w:w="1530" w:type="dxa"/>
            <w:tcBorders>
              <w:top w:val="single" w:sz="4" w:space="0" w:color="auto"/>
              <w:left w:val="single" w:sz="4" w:space="0" w:color="auto"/>
              <w:bottom w:val="single" w:sz="4" w:space="0" w:color="auto"/>
              <w:right w:val="nil"/>
            </w:tcBorders>
            <w:vAlign w:val="bottom"/>
          </w:tcPr>
          <w:p w14:paraId="4F16BCEC" w14:textId="77777777" w:rsidR="00BD615F" w:rsidRPr="00AB44E1" w:rsidRDefault="00BD615F" w:rsidP="00BD615F">
            <w:pPr>
              <w:suppressAutoHyphens w:val="0"/>
              <w:jc w:val="center"/>
              <w:rPr>
                <w:rFonts w:asciiTheme="minorHAnsi" w:hAnsiTheme="minorHAnsi" w:cs="Calibri"/>
                <w:color w:val="000000"/>
                <w:sz w:val="20"/>
                <w:szCs w:val="20"/>
              </w:rPr>
            </w:pPr>
            <w:r w:rsidRPr="00AB44E1">
              <w:rPr>
                <w:rFonts w:asciiTheme="minorHAnsi" w:hAnsiTheme="minorHAnsi" w:cs="Calibri"/>
                <w:color w:val="000000"/>
                <w:sz w:val="20"/>
                <w:szCs w:val="20"/>
              </w:rPr>
              <w:t>1%</w:t>
            </w:r>
          </w:p>
        </w:tc>
        <w:tc>
          <w:tcPr>
            <w:tcW w:w="1530" w:type="dxa"/>
          </w:tcPr>
          <w:p w14:paraId="365A946F"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136</w:t>
            </w:r>
          </w:p>
        </w:tc>
        <w:tc>
          <w:tcPr>
            <w:tcW w:w="1530" w:type="dxa"/>
          </w:tcPr>
          <w:p w14:paraId="4BFD32FA"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1%</w:t>
            </w:r>
          </w:p>
        </w:tc>
      </w:tr>
      <w:tr w:rsidR="00BD615F" w:rsidRPr="00AB44E1" w14:paraId="3B110596" w14:textId="77777777" w:rsidTr="0080060E">
        <w:trPr>
          <w:cantSplit/>
        </w:trPr>
        <w:tc>
          <w:tcPr>
            <w:tcW w:w="3870" w:type="dxa"/>
            <w:vAlign w:val="bottom"/>
          </w:tcPr>
          <w:p w14:paraId="58F82318" w14:textId="77777777" w:rsidR="00BD615F" w:rsidRPr="00AB44E1" w:rsidRDefault="00BD615F" w:rsidP="00BD615F">
            <w:pPr>
              <w:suppressAutoHyphens w:val="0"/>
              <w:rPr>
                <w:rFonts w:asciiTheme="minorHAnsi" w:hAnsiTheme="minorHAnsi" w:cs="Calibri Light"/>
                <w:b/>
                <w:bCs/>
                <w:color w:val="000000"/>
                <w:sz w:val="20"/>
                <w:szCs w:val="20"/>
              </w:rPr>
            </w:pPr>
            <w:r w:rsidRPr="00AB44E1">
              <w:rPr>
                <w:rFonts w:asciiTheme="minorHAnsi" w:hAnsiTheme="minorHAnsi" w:cs="Calibri"/>
                <w:color w:val="000000"/>
                <w:sz w:val="20"/>
                <w:szCs w:val="20"/>
              </w:rPr>
              <w:t>Ethnicity: Hispanic or Latino</w:t>
            </w:r>
          </w:p>
        </w:tc>
        <w:tc>
          <w:tcPr>
            <w:tcW w:w="1530" w:type="dxa"/>
            <w:tcBorders>
              <w:top w:val="single" w:sz="4" w:space="0" w:color="auto"/>
              <w:bottom w:val="single" w:sz="4" w:space="0" w:color="auto"/>
              <w:right w:val="single" w:sz="4" w:space="0" w:color="auto"/>
            </w:tcBorders>
            <w:vAlign w:val="center"/>
          </w:tcPr>
          <w:p w14:paraId="426728BC" w14:textId="59A7D395"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&lt;11</w:t>
            </w:r>
          </w:p>
        </w:tc>
        <w:tc>
          <w:tcPr>
            <w:tcW w:w="1530" w:type="dxa"/>
            <w:tcBorders>
              <w:top w:val="single" w:sz="4" w:space="0" w:color="auto"/>
              <w:left w:val="single" w:sz="4" w:space="0" w:color="auto"/>
              <w:bottom w:val="single" w:sz="4" w:space="0" w:color="auto"/>
              <w:right w:val="single" w:sz="4" w:space="0" w:color="auto"/>
            </w:tcBorders>
            <w:vAlign w:val="center"/>
          </w:tcPr>
          <w:p w14:paraId="0A92860C" w14:textId="69D0ED24"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0%</w:t>
            </w:r>
          </w:p>
        </w:tc>
        <w:tc>
          <w:tcPr>
            <w:tcW w:w="1530" w:type="dxa"/>
            <w:tcBorders>
              <w:top w:val="single" w:sz="4" w:space="0" w:color="auto"/>
              <w:left w:val="single" w:sz="4" w:space="0" w:color="auto"/>
              <w:bottom w:val="single" w:sz="4" w:space="0" w:color="auto"/>
              <w:right w:val="single" w:sz="4" w:space="0" w:color="auto"/>
            </w:tcBorders>
            <w:vAlign w:val="bottom"/>
          </w:tcPr>
          <w:p w14:paraId="322D345B" w14:textId="500441A4"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19</w:t>
            </w:r>
          </w:p>
        </w:tc>
        <w:tc>
          <w:tcPr>
            <w:tcW w:w="1530" w:type="dxa"/>
            <w:tcBorders>
              <w:top w:val="single" w:sz="4" w:space="0" w:color="auto"/>
              <w:left w:val="single" w:sz="4" w:space="0" w:color="auto"/>
              <w:bottom w:val="single" w:sz="4" w:space="0" w:color="auto"/>
              <w:right w:val="nil"/>
            </w:tcBorders>
            <w:vAlign w:val="bottom"/>
          </w:tcPr>
          <w:p w14:paraId="0B3E512B" w14:textId="77777777" w:rsidR="00BD615F" w:rsidRPr="00AB44E1" w:rsidRDefault="00BD615F" w:rsidP="00BD615F">
            <w:pPr>
              <w:suppressAutoHyphens w:val="0"/>
              <w:jc w:val="center"/>
              <w:rPr>
                <w:rFonts w:asciiTheme="minorHAnsi" w:hAnsiTheme="minorHAnsi" w:cs="Calibri"/>
                <w:color w:val="000000"/>
                <w:sz w:val="20"/>
                <w:szCs w:val="20"/>
              </w:rPr>
            </w:pPr>
            <w:r w:rsidRPr="00AB44E1">
              <w:rPr>
                <w:rFonts w:asciiTheme="minorHAnsi" w:hAnsiTheme="minorHAnsi" w:cs="Calibri"/>
                <w:color w:val="000000"/>
                <w:sz w:val="20"/>
                <w:szCs w:val="20"/>
              </w:rPr>
              <w:t>0%</w:t>
            </w:r>
          </w:p>
        </w:tc>
        <w:tc>
          <w:tcPr>
            <w:tcW w:w="1530" w:type="dxa"/>
          </w:tcPr>
          <w:p w14:paraId="70BC8462"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28</w:t>
            </w:r>
          </w:p>
        </w:tc>
        <w:tc>
          <w:tcPr>
            <w:tcW w:w="1530" w:type="dxa"/>
          </w:tcPr>
          <w:p w14:paraId="0B2F926D"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0%</w:t>
            </w:r>
          </w:p>
        </w:tc>
      </w:tr>
      <w:tr w:rsidR="00BD615F" w:rsidRPr="00AB44E1" w14:paraId="492C17A3" w14:textId="77777777" w:rsidTr="0080060E">
        <w:trPr>
          <w:cantSplit/>
        </w:trPr>
        <w:tc>
          <w:tcPr>
            <w:tcW w:w="3870" w:type="dxa"/>
            <w:vAlign w:val="bottom"/>
          </w:tcPr>
          <w:p w14:paraId="171028DB" w14:textId="7777777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Ethnicity: Not Hispanic or Latino</w:t>
            </w:r>
          </w:p>
        </w:tc>
        <w:tc>
          <w:tcPr>
            <w:tcW w:w="1530" w:type="dxa"/>
            <w:tcBorders>
              <w:top w:val="single" w:sz="4" w:space="0" w:color="auto"/>
              <w:left w:val="nil"/>
              <w:bottom w:val="single" w:sz="4" w:space="0" w:color="auto"/>
              <w:right w:val="single" w:sz="4" w:space="0" w:color="auto"/>
            </w:tcBorders>
            <w:vAlign w:val="bottom"/>
          </w:tcPr>
          <w:p w14:paraId="61FC1978" w14:textId="7E98E11F"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6,073</w:t>
            </w:r>
          </w:p>
        </w:tc>
        <w:tc>
          <w:tcPr>
            <w:tcW w:w="1530" w:type="dxa"/>
            <w:tcBorders>
              <w:top w:val="single" w:sz="4" w:space="0" w:color="auto"/>
              <w:left w:val="single" w:sz="4" w:space="0" w:color="auto"/>
              <w:bottom w:val="single" w:sz="4" w:space="0" w:color="auto"/>
              <w:right w:val="single" w:sz="4" w:space="0" w:color="auto"/>
            </w:tcBorders>
            <w:vAlign w:val="bottom"/>
          </w:tcPr>
          <w:p w14:paraId="1F6A0E7A" w14:textId="336772C1"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94%</w:t>
            </w:r>
          </w:p>
        </w:tc>
        <w:tc>
          <w:tcPr>
            <w:tcW w:w="1530" w:type="dxa"/>
            <w:tcBorders>
              <w:top w:val="single" w:sz="4" w:space="0" w:color="auto"/>
              <w:left w:val="single" w:sz="4" w:space="0" w:color="auto"/>
              <w:bottom w:val="single" w:sz="4" w:space="0" w:color="auto"/>
              <w:right w:val="single" w:sz="4" w:space="0" w:color="auto"/>
            </w:tcBorders>
            <w:vAlign w:val="bottom"/>
          </w:tcPr>
          <w:p w14:paraId="42BA17CA" w14:textId="7247001E"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8,101</w:t>
            </w:r>
          </w:p>
        </w:tc>
        <w:tc>
          <w:tcPr>
            <w:tcW w:w="1530" w:type="dxa"/>
            <w:tcBorders>
              <w:top w:val="single" w:sz="4" w:space="0" w:color="auto"/>
              <w:left w:val="single" w:sz="4" w:space="0" w:color="auto"/>
              <w:bottom w:val="single" w:sz="4" w:space="0" w:color="auto"/>
              <w:right w:val="nil"/>
            </w:tcBorders>
            <w:vAlign w:val="bottom"/>
          </w:tcPr>
          <w:p w14:paraId="782F866F" w14:textId="77777777" w:rsidR="00BD615F" w:rsidRPr="00AB44E1" w:rsidRDefault="00BD615F" w:rsidP="00BD615F">
            <w:pPr>
              <w:suppressAutoHyphens w:val="0"/>
              <w:jc w:val="center"/>
              <w:rPr>
                <w:rFonts w:asciiTheme="minorHAnsi" w:hAnsiTheme="minorHAnsi" w:cs="Calibri"/>
                <w:color w:val="000000"/>
                <w:sz w:val="20"/>
                <w:szCs w:val="20"/>
              </w:rPr>
            </w:pPr>
            <w:r w:rsidRPr="00AB44E1">
              <w:rPr>
                <w:rFonts w:asciiTheme="minorHAnsi" w:hAnsiTheme="minorHAnsi" w:cs="Calibri"/>
                <w:color w:val="000000"/>
                <w:sz w:val="20"/>
                <w:szCs w:val="20"/>
              </w:rPr>
              <w:t>94%</w:t>
            </w:r>
          </w:p>
        </w:tc>
        <w:tc>
          <w:tcPr>
            <w:tcW w:w="1530" w:type="dxa"/>
          </w:tcPr>
          <w:p w14:paraId="5245394C"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10,286</w:t>
            </w:r>
          </w:p>
        </w:tc>
        <w:tc>
          <w:tcPr>
            <w:tcW w:w="1530" w:type="dxa"/>
          </w:tcPr>
          <w:p w14:paraId="44B404E1"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93%</w:t>
            </w:r>
          </w:p>
        </w:tc>
      </w:tr>
      <w:tr w:rsidR="00BD615F" w:rsidRPr="00AB44E1" w14:paraId="635D3B85" w14:textId="77777777" w:rsidTr="0080060E">
        <w:trPr>
          <w:cantSplit/>
        </w:trPr>
        <w:tc>
          <w:tcPr>
            <w:tcW w:w="3870" w:type="dxa"/>
            <w:vAlign w:val="bottom"/>
          </w:tcPr>
          <w:p w14:paraId="3B939145" w14:textId="7777777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Ethnicity: Other</w:t>
            </w:r>
          </w:p>
        </w:tc>
        <w:tc>
          <w:tcPr>
            <w:tcW w:w="1530" w:type="dxa"/>
            <w:tcBorders>
              <w:top w:val="single" w:sz="4" w:space="0" w:color="auto"/>
              <w:left w:val="nil"/>
              <w:bottom w:val="single" w:sz="4" w:space="0" w:color="auto"/>
              <w:right w:val="single" w:sz="4" w:space="0" w:color="auto"/>
            </w:tcBorders>
            <w:vAlign w:val="bottom"/>
          </w:tcPr>
          <w:p w14:paraId="2738E1BB" w14:textId="2B671867"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171</w:t>
            </w:r>
          </w:p>
        </w:tc>
        <w:tc>
          <w:tcPr>
            <w:tcW w:w="1530" w:type="dxa"/>
            <w:tcBorders>
              <w:top w:val="single" w:sz="4" w:space="0" w:color="auto"/>
              <w:left w:val="single" w:sz="4" w:space="0" w:color="auto"/>
              <w:bottom w:val="single" w:sz="4" w:space="0" w:color="auto"/>
              <w:right w:val="single" w:sz="4" w:space="0" w:color="auto"/>
            </w:tcBorders>
            <w:vAlign w:val="bottom"/>
          </w:tcPr>
          <w:p w14:paraId="4C38785B" w14:textId="3C4DDBA5"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w:t>
            </w:r>
          </w:p>
        </w:tc>
        <w:tc>
          <w:tcPr>
            <w:tcW w:w="1530" w:type="dxa"/>
            <w:tcBorders>
              <w:top w:val="single" w:sz="4" w:space="0" w:color="auto"/>
              <w:left w:val="single" w:sz="4" w:space="0" w:color="auto"/>
              <w:bottom w:val="single" w:sz="4" w:space="0" w:color="auto"/>
              <w:right w:val="single" w:sz="4" w:space="0" w:color="auto"/>
            </w:tcBorders>
            <w:vAlign w:val="bottom"/>
          </w:tcPr>
          <w:p w14:paraId="2D6E2875" w14:textId="44AF819D"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233</w:t>
            </w:r>
          </w:p>
        </w:tc>
        <w:tc>
          <w:tcPr>
            <w:tcW w:w="1530" w:type="dxa"/>
            <w:tcBorders>
              <w:top w:val="single" w:sz="4" w:space="0" w:color="auto"/>
              <w:left w:val="single" w:sz="4" w:space="0" w:color="auto"/>
              <w:bottom w:val="single" w:sz="4" w:space="0" w:color="auto"/>
              <w:right w:val="nil"/>
            </w:tcBorders>
            <w:vAlign w:val="bottom"/>
          </w:tcPr>
          <w:p w14:paraId="7612CB78" w14:textId="77777777" w:rsidR="00BD615F" w:rsidRPr="00AB44E1" w:rsidRDefault="00BD615F" w:rsidP="00BD615F">
            <w:pPr>
              <w:suppressAutoHyphens w:val="0"/>
              <w:jc w:val="center"/>
              <w:rPr>
                <w:rFonts w:asciiTheme="minorHAnsi" w:hAnsiTheme="minorHAnsi" w:cs="Calibri"/>
                <w:color w:val="000000"/>
                <w:sz w:val="20"/>
                <w:szCs w:val="20"/>
              </w:rPr>
            </w:pPr>
            <w:r w:rsidRPr="00AB44E1">
              <w:rPr>
                <w:rFonts w:asciiTheme="minorHAnsi" w:hAnsiTheme="minorHAnsi" w:cs="Calibri"/>
                <w:color w:val="000000"/>
                <w:sz w:val="20"/>
                <w:szCs w:val="20"/>
              </w:rPr>
              <w:t>3%</w:t>
            </w:r>
          </w:p>
        </w:tc>
        <w:tc>
          <w:tcPr>
            <w:tcW w:w="1530" w:type="dxa"/>
          </w:tcPr>
          <w:p w14:paraId="4A14B8EC"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310</w:t>
            </w:r>
          </w:p>
        </w:tc>
        <w:tc>
          <w:tcPr>
            <w:tcW w:w="1530" w:type="dxa"/>
          </w:tcPr>
          <w:p w14:paraId="1807192B"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3%</w:t>
            </w:r>
          </w:p>
        </w:tc>
      </w:tr>
      <w:tr w:rsidR="00BD615F" w:rsidRPr="00AB44E1" w14:paraId="1D47744F" w14:textId="77777777" w:rsidTr="0080060E">
        <w:trPr>
          <w:cantSplit/>
        </w:trPr>
        <w:tc>
          <w:tcPr>
            <w:tcW w:w="3870" w:type="dxa"/>
            <w:vAlign w:val="bottom"/>
          </w:tcPr>
          <w:p w14:paraId="0AC1404D" w14:textId="77777777" w:rsidR="00BD615F" w:rsidRPr="00AB44E1" w:rsidRDefault="00BD615F" w:rsidP="00BD615F">
            <w:pPr>
              <w:suppressAutoHyphens w:val="0"/>
              <w:rPr>
                <w:rFonts w:asciiTheme="minorHAnsi" w:hAnsiTheme="minorHAnsi" w:cs="Calibri Light"/>
                <w:b/>
                <w:bCs/>
                <w:color w:val="000000"/>
                <w:sz w:val="20"/>
                <w:szCs w:val="20"/>
              </w:rPr>
            </w:pPr>
            <w:r w:rsidRPr="00AB44E1">
              <w:rPr>
                <w:rFonts w:asciiTheme="minorHAnsi" w:hAnsiTheme="minorHAnsi" w:cs="Calibri"/>
                <w:color w:val="000000"/>
                <w:sz w:val="20"/>
                <w:szCs w:val="20"/>
              </w:rPr>
              <w:t>Ethnicity: Unknown</w:t>
            </w:r>
          </w:p>
        </w:tc>
        <w:tc>
          <w:tcPr>
            <w:tcW w:w="1530" w:type="dxa"/>
            <w:tcBorders>
              <w:top w:val="single" w:sz="4" w:space="0" w:color="auto"/>
              <w:left w:val="nil"/>
              <w:bottom w:val="single" w:sz="4" w:space="0" w:color="auto"/>
              <w:right w:val="single" w:sz="4" w:space="0" w:color="auto"/>
            </w:tcBorders>
            <w:vAlign w:val="bottom"/>
          </w:tcPr>
          <w:p w14:paraId="32CC7B6D" w14:textId="1B24BDC4"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108</w:t>
            </w:r>
          </w:p>
        </w:tc>
        <w:tc>
          <w:tcPr>
            <w:tcW w:w="1530" w:type="dxa"/>
            <w:tcBorders>
              <w:top w:val="single" w:sz="4" w:space="0" w:color="auto"/>
              <w:left w:val="single" w:sz="4" w:space="0" w:color="auto"/>
              <w:bottom w:val="single" w:sz="4" w:space="0" w:color="auto"/>
              <w:right w:val="single" w:sz="4" w:space="0" w:color="auto"/>
            </w:tcBorders>
            <w:vAlign w:val="bottom"/>
          </w:tcPr>
          <w:p w14:paraId="69A7D9F0" w14:textId="2E8A8533"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w:t>
            </w:r>
          </w:p>
        </w:tc>
        <w:tc>
          <w:tcPr>
            <w:tcW w:w="1530" w:type="dxa"/>
            <w:tcBorders>
              <w:top w:val="single" w:sz="4" w:space="0" w:color="auto"/>
              <w:left w:val="single" w:sz="4" w:space="0" w:color="auto"/>
              <w:bottom w:val="single" w:sz="4" w:space="0" w:color="auto"/>
              <w:right w:val="single" w:sz="4" w:space="0" w:color="auto"/>
            </w:tcBorders>
            <w:vAlign w:val="bottom"/>
          </w:tcPr>
          <w:p w14:paraId="6760C81E" w14:textId="01AACF12"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161</w:t>
            </w:r>
          </w:p>
        </w:tc>
        <w:tc>
          <w:tcPr>
            <w:tcW w:w="1530" w:type="dxa"/>
            <w:tcBorders>
              <w:top w:val="single" w:sz="4" w:space="0" w:color="auto"/>
              <w:left w:val="single" w:sz="4" w:space="0" w:color="auto"/>
              <w:bottom w:val="single" w:sz="4" w:space="0" w:color="auto"/>
              <w:right w:val="nil"/>
            </w:tcBorders>
            <w:vAlign w:val="bottom"/>
          </w:tcPr>
          <w:p w14:paraId="06EA1160" w14:textId="77777777" w:rsidR="00BD615F" w:rsidRPr="00AB44E1" w:rsidRDefault="00BD615F" w:rsidP="00BD615F">
            <w:pPr>
              <w:suppressAutoHyphens w:val="0"/>
              <w:jc w:val="center"/>
              <w:rPr>
                <w:rFonts w:asciiTheme="minorHAnsi" w:hAnsiTheme="minorHAnsi" w:cs="Calibri"/>
                <w:color w:val="000000"/>
                <w:sz w:val="20"/>
                <w:szCs w:val="20"/>
              </w:rPr>
            </w:pPr>
            <w:r w:rsidRPr="00AB44E1">
              <w:rPr>
                <w:rFonts w:asciiTheme="minorHAnsi" w:hAnsiTheme="minorHAnsi" w:cs="Calibri"/>
                <w:color w:val="000000"/>
                <w:sz w:val="20"/>
                <w:szCs w:val="20"/>
              </w:rPr>
              <w:t>2%</w:t>
            </w:r>
          </w:p>
        </w:tc>
        <w:tc>
          <w:tcPr>
            <w:tcW w:w="1530" w:type="dxa"/>
          </w:tcPr>
          <w:p w14:paraId="5CA9479F"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207</w:t>
            </w:r>
          </w:p>
        </w:tc>
        <w:tc>
          <w:tcPr>
            <w:tcW w:w="1530" w:type="dxa"/>
          </w:tcPr>
          <w:p w14:paraId="652D7DFE"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w:t>
            </w:r>
          </w:p>
        </w:tc>
      </w:tr>
      <w:tr w:rsidR="00BD615F" w:rsidRPr="00AB44E1" w14:paraId="16DD2A1A" w14:textId="77777777" w:rsidTr="0080060E">
        <w:trPr>
          <w:cantSplit/>
        </w:trPr>
        <w:tc>
          <w:tcPr>
            <w:tcW w:w="3870" w:type="dxa"/>
            <w:vAlign w:val="bottom"/>
          </w:tcPr>
          <w:p w14:paraId="5945B7EA" w14:textId="7777777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Ethnicity: Patient Declined</w:t>
            </w:r>
          </w:p>
        </w:tc>
        <w:tc>
          <w:tcPr>
            <w:tcW w:w="1530" w:type="dxa"/>
            <w:tcBorders>
              <w:top w:val="single" w:sz="4" w:space="0" w:color="auto"/>
              <w:left w:val="nil"/>
              <w:bottom w:val="single" w:sz="4" w:space="0" w:color="auto"/>
              <w:right w:val="single" w:sz="4" w:space="0" w:color="auto"/>
            </w:tcBorders>
            <w:vAlign w:val="bottom"/>
          </w:tcPr>
          <w:p w14:paraId="62AD7535" w14:textId="15F22686"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95</w:t>
            </w:r>
          </w:p>
        </w:tc>
        <w:tc>
          <w:tcPr>
            <w:tcW w:w="1530" w:type="dxa"/>
            <w:tcBorders>
              <w:top w:val="single" w:sz="4" w:space="0" w:color="auto"/>
              <w:left w:val="single" w:sz="4" w:space="0" w:color="auto"/>
              <w:bottom w:val="single" w:sz="4" w:space="0" w:color="auto"/>
              <w:right w:val="single" w:sz="4" w:space="0" w:color="auto"/>
            </w:tcBorders>
            <w:vAlign w:val="bottom"/>
          </w:tcPr>
          <w:p w14:paraId="33764CFE" w14:textId="30ADD920"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w:t>
            </w:r>
          </w:p>
        </w:tc>
        <w:tc>
          <w:tcPr>
            <w:tcW w:w="1530" w:type="dxa"/>
            <w:tcBorders>
              <w:top w:val="single" w:sz="4" w:space="0" w:color="auto"/>
              <w:left w:val="single" w:sz="4" w:space="0" w:color="auto"/>
              <w:bottom w:val="single" w:sz="4" w:space="0" w:color="auto"/>
              <w:right w:val="single" w:sz="4" w:space="0" w:color="auto"/>
            </w:tcBorders>
            <w:vAlign w:val="bottom"/>
          </w:tcPr>
          <w:p w14:paraId="5C7484D6" w14:textId="04BA7B70"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100</w:t>
            </w:r>
          </w:p>
        </w:tc>
        <w:tc>
          <w:tcPr>
            <w:tcW w:w="1530" w:type="dxa"/>
            <w:tcBorders>
              <w:top w:val="single" w:sz="4" w:space="0" w:color="auto"/>
              <w:left w:val="single" w:sz="4" w:space="0" w:color="auto"/>
              <w:bottom w:val="single" w:sz="4" w:space="0" w:color="auto"/>
              <w:right w:val="nil"/>
            </w:tcBorders>
            <w:vAlign w:val="bottom"/>
          </w:tcPr>
          <w:p w14:paraId="7D18FA67" w14:textId="77777777" w:rsidR="00BD615F" w:rsidRPr="00AB44E1" w:rsidRDefault="00BD615F" w:rsidP="00BD615F">
            <w:pPr>
              <w:suppressAutoHyphens w:val="0"/>
              <w:jc w:val="center"/>
              <w:rPr>
                <w:rFonts w:asciiTheme="minorHAnsi" w:hAnsiTheme="minorHAnsi" w:cs="Calibri"/>
                <w:sz w:val="20"/>
                <w:szCs w:val="20"/>
              </w:rPr>
            </w:pPr>
            <w:r w:rsidRPr="00AB44E1">
              <w:rPr>
                <w:rFonts w:asciiTheme="minorHAnsi" w:hAnsiTheme="minorHAnsi" w:cs="Calibri"/>
                <w:color w:val="000000"/>
                <w:sz w:val="20"/>
                <w:szCs w:val="20"/>
              </w:rPr>
              <w:t>1%</w:t>
            </w:r>
          </w:p>
        </w:tc>
        <w:tc>
          <w:tcPr>
            <w:tcW w:w="1530" w:type="dxa"/>
          </w:tcPr>
          <w:p w14:paraId="424B3A81"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141</w:t>
            </w:r>
          </w:p>
        </w:tc>
        <w:tc>
          <w:tcPr>
            <w:tcW w:w="1530" w:type="dxa"/>
          </w:tcPr>
          <w:p w14:paraId="5B102EB8"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1%</w:t>
            </w:r>
          </w:p>
        </w:tc>
      </w:tr>
      <w:tr w:rsidR="00BD615F" w:rsidRPr="00AB44E1" w14:paraId="16C8D1B6" w14:textId="77777777" w:rsidTr="0080060E">
        <w:trPr>
          <w:cantSplit/>
        </w:trPr>
        <w:tc>
          <w:tcPr>
            <w:tcW w:w="3870" w:type="dxa"/>
            <w:vAlign w:val="bottom"/>
          </w:tcPr>
          <w:p w14:paraId="3DA4F871" w14:textId="7777777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Payer: Commercial</w:t>
            </w:r>
          </w:p>
        </w:tc>
        <w:tc>
          <w:tcPr>
            <w:tcW w:w="1530" w:type="dxa"/>
            <w:tcBorders>
              <w:top w:val="single" w:sz="4" w:space="0" w:color="auto"/>
              <w:left w:val="nil"/>
              <w:bottom w:val="single" w:sz="4" w:space="0" w:color="auto"/>
              <w:right w:val="single" w:sz="4" w:space="0" w:color="auto"/>
            </w:tcBorders>
            <w:vAlign w:val="bottom"/>
          </w:tcPr>
          <w:p w14:paraId="7CDBEE73" w14:textId="7B84F1C8"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3,709</w:t>
            </w:r>
          </w:p>
        </w:tc>
        <w:tc>
          <w:tcPr>
            <w:tcW w:w="1530" w:type="dxa"/>
            <w:tcBorders>
              <w:top w:val="single" w:sz="4" w:space="0" w:color="auto"/>
              <w:left w:val="single" w:sz="4" w:space="0" w:color="auto"/>
              <w:bottom w:val="single" w:sz="4" w:space="0" w:color="auto"/>
              <w:right w:val="single" w:sz="4" w:space="0" w:color="auto"/>
            </w:tcBorders>
            <w:vAlign w:val="bottom"/>
          </w:tcPr>
          <w:p w14:paraId="1C57A518" w14:textId="4BB9FCB1"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57%</w:t>
            </w:r>
          </w:p>
        </w:tc>
        <w:tc>
          <w:tcPr>
            <w:tcW w:w="1530" w:type="dxa"/>
            <w:tcBorders>
              <w:top w:val="single" w:sz="4" w:space="0" w:color="auto"/>
              <w:left w:val="single" w:sz="4" w:space="0" w:color="auto"/>
              <w:bottom w:val="single" w:sz="4" w:space="0" w:color="auto"/>
              <w:right w:val="single" w:sz="4" w:space="0" w:color="auto"/>
            </w:tcBorders>
            <w:vAlign w:val="bottom"/>
          </w:tcPr>
          <w:p w14:paraId="6965522C" w14:textId="19624ADD"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4,864</w:t>
            </w:r>
          </w:p>
        </w:tc>
        <w:tc>
          <w:tcPr>
            <w:tcW w:w="1530" w:type="dxa"/>
            <w:tcBorders>
              <w:top w:val="single" w:sz="4" w:space="0" w:color="auto"/>
              <w:left w:val="single" w:sz="4" w:space="0" w:color="auto"/>
              <w:bottom w:val="single" w:sz="4" w:space="0" w:color="auto"/>
              <w:right w:val="nil"/>
            </w:tcBorders>
            <w:vAlign w:val="bottom"/>
          </w:tcPr>
          <w:p w14:paraId="6F0E549F" w14:textId="77777777" w:rsidR="00BD615F" w:rsidRPr="00AB44E1" w:rsidRDefault="00BD615F" w:rsidP="00BD615F">
            <w:pPr>
              <w:suppressAutoHyphens w:val="0"/>
              <w:jc w:val="center"/>
              <w:rPr>
                <w:rFonts w:asciiTheme="minorHAnsi" w:hAnsiTheme="minorHAnsi" w:cs="Calibri"/>
                <w:sz w:val="20"/>
                <w:szCs w:val="20"/>
              </w:rPr>
            </w:pPr>
            <w:r>
              <w:rPr>
                <w:rFonts w:asciiTheme="minorHAnsi" w:hAnsiTheme="minorHAnsi" w:cs="Calibri"/>
                <w:color w:val="000000"/>
                <w:sz w:val="20"/>
                <w:szCs w:val="20"/>
              </w:rPr>
              <w:t>56</w:t>
            </w:r>
            <w:r w:rsidRPr="00AB44E1">
              <w:rPr>
                <w:rFonts w:asciiTheme="minorHAnsi" w:hAnsiTheme="minorHAnsi" w:cs="Calibri"/>
                <w:color w:val="000000"/>
                <w:sz w:val="20"/>
                <w:szCs w:val="20"/>
              </w:rPr>
              <w:t>%</w:t>
            </w:r>
          </w:p>
        </w:tc>
        <w:tc>
          <w:tcPr>
            <w:tcW w:w="1530" w:type="dxa"/>
          </w:tcPr>
          <w:p w14:paraId="13D15485"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6,400</w:t>
            </w:r>
          </w:p>
        </w:tc>
        <w:tc>
          <w:tcPr>
            <w:tcW w:w="1530" w:type="dxa"/>
          </w:tcPr>
          <w:p w14:paraId="60A4366D"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58%</w:t>
            </w:r>
          </w:p>
        </w:tc>
      </w:tr>
      <w:tr w:rsidR="00BD615F" w:rsidRPr="00AB44E1" w14:paraId="2236C9E9" w14:textId="77777777" w:rsidTr="0080060E">
        <w:trPr>
          <w:cantSplit/>
        </w:trPr>
        <w:tc>
          <w:tcPr>
            <w:tcW w:w="3870" w:type="dxa"/>
            <w:vAlign w:val="bottom"/>
          </w:tcPr>
          <w:p w14:paraId="3121EBFD" w14:textId="7777777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Payer: Medicare</w:t>
            </w:r>
          </w:p>
        </w:tc>
        <w:tc>
          <w:tcPr>
            <w:tcW w:w="1530" w:type="dxa"/>
            <w:tcBorders>
              <w:top w:val="single" w:sz="4" w:space="0" w:color="auto"/>
              <w:left w:val="nil"/>
              <w:bottom w:val="single" w:sz="4" w:space="0" w:color="auto"/>
              <w:right w:val="single" w:sz="4" w:space="0" w:color="auto"/>
            </w:tcBorders>
            <w:vAlign w:val="bottom"/>
          </w:tcPr>
          <w:p w14:paraId="7D671D93" w14:textId="7F2414AB"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1,717</w:t>
            </w:r>
          </w:p>
        </w:tc>
        <w:tc>
          <w:tcPr>
            <w:tcW w:w="1530" w:type="dxa"/>
            <w:tcBorders>
              <w:top w:val="single" w:sz="4" w:space="0" w:color="auto"/>
              <w:left w:val="single" w:sz="4" w:space="0" w:color="auto"/>
              <w:bottom w:val="single" w:sz="4" w:space="0" w:color="auto"/>
              <w:right w:val="single" w:sz="4" w:space="0" w:color="auto"/>
            </w:tcBorders>
            <w:vAlign w:val="bottom"/>
          </w:tcPr>
          <w:p w14:paraId="77E69A58" w14:textId="162CD393"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27%</w:t>
            </w:r>
          </w:p>
        </w:tc>
        <w:tc>
          <w:tcPr>
            <w:tcW w:w="1530" w:type="dxa"/>
            <w:tcBorders>
              <w:top w:val="single" w:sz="4" w:space="0" w:color="auto"/>
              <w:left w:val="single" w:sz="4" w:space="0" w:color="auto"/>
              <w:bottom w:val="single" w:sz="4" w:space="0" w:color="auto"/>
              <w:right w:val="single" w:sz="4" w:space="0" w:color="auto"/>
            </w:tcBorders>
            <w:vAlign w:val="bottom"/>
          </w:tcPr>
          <w:p w14:paraId="64BC0B3E" w14:textId="0DBC96C4"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2,406</w:t>
            </w:r>
          </w:p>
        </w:tc>
        <w:tc>
          <w:tcPr>
            <w:tcW w:w="1530" w:type="dxa"/>
            <w:tcBorders>
              <w:top w:val="single" w:sz="4" w:space="0" w:color="auto"/>
              <w:left w:val="single" w:sz="4" w:space="0" w:color="auto"/>
              <w:bottom w:val="single" w:sz="4" w:space="0" w:color="auto"/>
              <w:right w:val="nil"/>
            </w:tcBorders>
            <w:vAlign w:val="bottom"/>
          </w:tcPr>
          <w:p w14:paraId="1D082B4F" w14:textId="77777777" w:rsidR="00BD615F" w:rsidRPr="00AB44E1" w:rsidRDefault="00BD615F" w:rsidP="00BD615F">
            <w:pPr>
              <w:suppressAutoHyphens w:val="0"/>
              <w:jc w:val="center"/>
              <w:rPr>
                <w:rFonts w:asciiTheme="minorHAnsi" w:hAnsiTheme="minorHAnsi" w:cs="Calibri"/>
                <w:sz w:val="20"/>
                <w:szCs w:val="20"/>
              </w:rPr>
            </w:pPr>
            <w:r w:rsidRPr="00AB44E1">
              <w:rPr>
                <w:rFonts w:asciiTheme="minorHAnsi" w:hAnsiTheme="minorHAnsi" w:cs="Calibri"/>
                <w:color w:val="000000"/>
                <w:sz w:val="20"/>
                <w:szCs w:val="20"/>
              </w:rPr>
              <w:t>28%</w:t>
            </w:r>
          </w:p>
        </w:tc>
        <w:tc>
          <w:tcPr>
            <w:tcW w:w="1530" w:type="dxa"/>
          </w:tcPr>
          <w:p w14:paraId="5D722ABF"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2,944</w:t>
            </w:r>
          </w:p>
        </w:tc>
        <w:tc>
          <w:tcPr>
            <w:tcW w:w="1530" w:type="dxa"/>
          </w:tcPr>
          <w:p w14:paraId="7FDED24D"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27%</w:t>
            </w:r>
          </w:p>
        </w:tc>
      </w:tr>
      <w:tr w:rsidR="00BD615F" w:rsidRPr="00AB44E1" w14:paraId="66DFF628" w14:textId="77777777" w:rsidTr="0080060E">
        <w:trPr>
          <w:cantSplit/>
        </w:trPr>
        <w:tc>
          <w:tcPr>
            <w:tcW w:w="3870" w:type="dxa"/>
            <w:vAlign w:val="bottom"/>
          </w:tcPr>
          <w:p w14:paraId="2AECC5E3" w14:textId="77777777" w:rsidR="00BD615F" w:rsidRPr="00AB44E1" w:rsidRDefault="00BD615F" w:rsidP="00BD615F">
            <w:pPr>
              <w:suppressAutoHyphens w:val="0"/>
              <w:rPr>
                <w:rFonts w:asciiTheme="minorHAnsi" w:hAnsiTheme="minorHAnsi" w:cs="Calibri Light"/>
                <w:color w:val="000000"/>
                <w:sz w:val="20"/>
                <w:szCs w:val="20"/>
              </w:rPr>
            </w:pPr>
            <w:r w:rsidRPr="00AB44E1">
              <w:rPr>
                <w:rFonts w:asciiTheme="minorHAnsi" w:hAnsiTheme="minorHAnsi" w:cs="Calibri"/>
                <w:color w:val="000000"/>
                <w:sz w:val="20"/>
                <w:szCs w:val="20"/>
              </w:rPr>
              <w:t>Payer: Medicaid</w:t>
            </w:r>
          </w:p>
        </w:tc>
        <w:tc>
          <w:tcPr>
            <w:tcW w:w="1530" w:type="dxa"/>
            <w:tcBorders>
              <w:top w:val="single" w:sz="4" w:space="0" w:color="auto"/>
              <w:left w:val="nil"/>
              <w:bottom w:val="single" w:sz="4" w:space="0" w:color="auto"/>
              <w:right w:val="single" w:sz="4" w:space="0" w:color="auto"/>
            </w:tcBorders>
            <w:vAlign w:val="bottom"/>
          </w:tcPr>
          <w:p w14:paraId="587071ED" w14:textId="25DCD588"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420</w:t>
            </w:r>
          </w:p>
        </w:tc>
        <w:tc>
          <w:tcPr>
            <w:tcW w:w="1530" w:type="dxa"/>
            <w:tcBorders>
              <w:top w:val="single" w:sz="4" w:space="0" w:color="auto"/>
              <w:left w:val="single" w:sz="4" w:space="0" w:color="auto"/>
              <w:bottom w:val="single" w:sz="4" w:space="0" w:color="auto"/>
              <w:right w:val="single" w:sz="4" w:space="0" w:color="auto"/>
            </w:tcBorders>
            <w:vAlign w:val="bottom"/>
          </w:tcPr>
          <w:p w14:paraId="6CCF707B" w14:textId="10D46DFD"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7%</w:t>
            </w:r>
          </w:p>
        </w:tc>
        <w:tc>
          <w:tcPr>
            <w:tcW w:w="1530" w:type="dxa"/>
            <w:tcBorders>
              <w:top w:val="single" w:sz="4" w:space="0" w:color="auto"/>
              <w:left w:val="single" w:sz="4" w:space="0" w:color="auto"/>
              <w:bottom w:val="single" w:sz="4" w:space="0" w:color="auto"/>
              <w:right w:val="single" w:sz="4" w:space="0" w:color="auto"/>
            </w:tcBorders>
            <w:vAlign w:val="bottom"/>
          </w:tcPr>
          <w:p w14:paraId="6D1B0149" w14:textId="5E965F8F"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517</w:t>
            </w:r>
          </w:p>
        </w:tc>
        <w:tc>
          <w:tcPr>
            <w:tcW w:w="1530" w:type="dxa"/>
            <w:tcBorders>
              <w:top w:val="single" w:sz="4" w:space="0" w:color="auto"/>
              <w:left w:val="single" w:sz="4" w:space="0" w:color="auto"/>
              <w:bottom w:val="single" w:sz="4" w:space="0" w:color="auto"/>
              <w:right w:val="nil"/>
            </w:tcBorders>
            <w:vAlign w:val="bottom"/>
          </w:tcPr>
          <w:p w14:paraId="400D4F39" w14:textId="77777777" w:rsidR="00BD615F" w:rsidRPr="00AB44E1" w:rsidRDefault="00BD615F" w:rsidP="00BD615F">
            <w:pPr>
              <w:suppressAutoHyphens w:val="0"/>
              <w:jc w:val="center"/>
              <w:rPr>
                <w:rFonts w:asciiTheme="minorHAnsi" w:hAnsiTheme="minorHAnsi" w:cs="Calibri"/>
                <w:sz w:val="20"/>
                <w:szCs w:val="20"/>
              </w:rPr>
            </w:pPr>
            <w:r w:rsidRPr="00AB44E1">
              <w:rPr>
                <w:rFonts w:asciiTheme="minorHAnsi" w:hAnsiTheme="minorHAnsi" w:cs="Calibri"/>
                <w:color w:val="000000"/>
                <w:sz w:val="20"/>
                <w:szCs w:val="20"/>
              </w:rPr>
              <w:t>6%</w:t>
            </w:r>
          </w:p>
        </w:tc>
        <w:tc>
          <w:tcPr>
            <w:tcW w:w="1530" w:type="dxa"/>
          </w:tcPr>
          <w:p w14:paraId="59A5015E"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540</w:t>
            </w:r>
          </w:p>
        </w:tc>
        <w:tc>
          <w:tcPr>
            <w:tcW w:w="1530" w:type="dxa"/>
          </w:tcPr>
          <w:p w14:paraId="2A324DD0"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5%</w:t>
            </w:r>
          </w:p>
        </w:tc>
      </w:tr>
      <w:tr w:rsidR="00BD615F" w:rsidRPr="00AB44E1" w14:paraId="15C13DA5" w14:textId="77777777" w:rsidTr="0080060E">
        <w:trPr>
          <w:cantSplit/>
        </w:trPr>
        <w:tc>
          <w:tcPr>
            <w:tcW w:w="3870" w:type="dxa"/>
            <w:vAlign w:val="bottom"/>
          </w:tcPr>
          <w:p w14:paraId="38F35551" w14:textId="77777777" w:rsidR="00BD615F" w:rsidRPr="00AB44E1" w:rsidRDefault="00BD615F" w:rsidP="00BD615F">
            <w:pPr>
              <w:suppressAutoHyphens w:val="0"/>
              <w:rPr>
                <w:rFonts w:asciiTheme="minorHAnsi" w:hAnsiTheme="minorHAnsi" w:cs="Calibri"/>
                <w:color w:val="000000"/>
                <w:sz w:val="20"/>
                <w:szCs w:val="20"/>
              </w:rPr>
            </w:pPr>
            <w:r>
              <w:rPr>
                <w:rFonts w:asciiTheme="minorHAnsi" w:hAnsiTheme="minorHAnsi" w:cs="Calibri"/>
                <w:color w:val="000000"/>
                <w:sz w:val="20"/>
                <w:szCs w:val="20"/>
              </w:rPr>
              <w:t>Payer: Low Income State Payer</w:t>
            </w:r>
            <w:r>
              <w:rPr>
                <w:rStyle w:val="FootnoteReference"/>
                <w:rFonts w:asciiTheme="minorHAnsi" w:hAnsiTheme="minorHAnsi" w:cs="Calibri"/>
                <w:color w:val="000000"/>
                <w:sz w:val="20"/>
                <w:szCs w:val="20"/>
              </w:rPr>
              <w:footnoteReference w:id="5"/>
            </w:r>
          </w:p>
        </w:tc>
        <w:tc>
          <w:tcPr>
            <w:tcW w:w="1530" w:type="dxa"/>
            <w:tcBorders>
              <w:top w:val="single" w:sz="4" w:space="0" w:color="auto"/>
              <w:left w:val="nil"/>
              <w:bottom w:val="single" w:sz="4" w:space="0" w:color="auto"/>
              <w:right w:val="single" w:sz="4" w:space="0" w:color="auto"/>
            </w:tcBorders>
            <w:vAlign w:val="bottom"/>
          </w:tcPr>
          <w:p w14:paraId="6A1CD6C5" w14:textId="36035D11"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292</w:t>
            </w:r>
          </w:p>
        </w:tc>
        <w:tc>
          <w:tcPr>
            <w:tcW w:w="1530" w:type="dxa"/>
            <w:tcBorders>
              <w:top w:val="single" w:sz="4" w:space="0" w:color="auto"/>
              <w:left w:val="single" w:sz="4" w:space="0" w:color="auto"/>
              <w:bottom w:val="single" w:sz="4" w:space="0" w:color="auto"/>
              <w:right w:val="single" w:sz="4" w:space="0" w:color="auto"/>
            </w:tcBorders>
            <w:vAlign w:val="bottom"/>
          </w:tcPr>
          <w:p w14:paraId="6F68354E" w14:textId="7C2B4B42"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4%</w:t>
            </w:r>
          </w:p>
        </w:tc>
        <w:tc>
          <w:tcPr>
            <w:tcW w:w="1530" w:type="dxa"/>
            <w:tcBorders>
              <w:top w:val="single" w:sz="4" w:space="0" w:color="auto"/>
              <w:left w:val="single" w:sz="4" w:space="0" w:color="auto"/>
              <w:bottom w:val="single" w:sz="4" w:space="0" w:color="auto"/>
              <w:right w:val="single" w:sz="4" w:space="0" w:color="auto"/>
            </w:tcBorders>
            <w:vAlign w:val="bottom"/>
          </w:tcPr>
          <w:p w14:paraId="0BD1E734" w14:textId="3E99EFEA" w:rsidR="00BD615F" w:rsidRPr="00AB44E1"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390</w:t>
            </w:r>
          </w:p>
        </w:tc>
        <w:tc>
          <w:tcPr>
            <w:tcW w:w="1530" w:type="dxa"/>
            <w:tcBorders>
              <w:top w:val="single" w:sz="4" w:space="0" w:color="auto"/>
              <w:left w:val="single" w:sz="4" w:space="0" w:color="auto"/>
              <w:bottom w:val="single" w:sz="4" w:space="0" w:color="auto"/>
              <w:right w:val="nil"/>
            </w:tcBorders>
            <w:vAlign w:val="bottom"/>
          </w:tcPr>
          <w:p w14:paraId="0E9F5EBB" w14:textId="77777777" w:rsidR="00BD615F" w:rsidRPr="00AB44E1" w:rsidRDefault="00BD615F" w:rsidP="00BD615F">
            <w:pPr>
              <w:suppressAutoHyphens w:val="0"/>
              <w:jc w:val="center"/>
              <w:rPr>
                <w:rFonts w:asciiTheme="minorHAnsi" w:hAnsiTheme="minorHAnsi" w:cs="Calibri"/>
                <w:color w:val="000000"/>
                <w:sz w:val="20"/>
                <w:szCs w:val="20"/>
              </w:rPr>
            </w:pPr>
            <w:r>
              <w:rPr>
                <w:rFonts w:asciiTheme="minorHAnsi" w:hAnsiTheme="minorHAnsi" w:cs="Calibri"/>
                <w:color w:val="000000"/>
                <w:sz w:val="20"/>
                <w:szCs w:val="20"/>
              </w:rPr>
              <w:t>4%</w:t>
            </w:r>
          </w:p>
        </w:tc>
        <w:tc>
          <w:tcPr>
            <w:tcW w:w="1530" w:type="dxa"/>
          </w:tcPr>
          <w:p w14:paraId="1301DF30"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425</w:t>
            </w:r>
          </w:p>
        </w:tc>
        <w:tc>
          <w:tcPr>
            <w:tcW w:w="1530" w:type="dxa"/>
          </w:tcPr>
          <w:p w14:paraId="49DBF134"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4%</w:t>
            </w:r>
          </w:p>
        </w:tc>
      </w:tr>
      <w:tr w:rsidR="00BD615F" w:rsidRPr="00AB44E1" w14:paraId="35CF2D4A" w14:textId="77777777" w:rsidTr="0080060E">
        <w:trPr>
          <w:cantSplit/>
        </w:trPr>
        <w:tc>
          <w:tcPr>
            <w:tcW w:w="3870" w:type="dxa"/>
            <w:vAlign w:val="bottom"/>
          </w:tcPr>
          <w:p w14:paraId="3166B00B" w14:textId="77777777" w:rsidR="00BD615F" w:rsidRPr="00AB44E1" w:rsidRDefault="00BD615F" w:rsidP="00BD615F">
            <w:pPr>
              <w:suppressAutoHyphens w:val="0"/>
              <w:rPr>
                <w:rFonts w:asciiTheme="minorHAnsi" w:hAnsiTheme="minorHAnsi" w:cs="Calibri"/>
                <w:color w:val="000000"/>
                <w:sz w:val="20"/>
                <w:szCs w:val="20"/>
              </w:rPr>
            </w:pPr>
            <w:r w:rsidRPr="00AB44E1">
              <w:rPr>
                <w:rFonts w:asciiTheme="minorHAnsi" w:hAnsiTheme="minorHAnsi" w:cs="Calibri"/>
                <w:color w:val="000000"/>
                <w:sz w:val="20"/>
                <w:szCs w:val="20"/>
              </w:rPr>
              <w:t xml:space="preserve">Payer: </w:t>
            </w:r>
            <w:proofErr w:type="gramStart"/>
            <w:r w:rsidRPr="00AB44E1">
              <w:rPr>
                <w:rFonts w:asciiTheme="minorHAnsi" w:hAnsiTheme="minorHAnsi" w:cs="Calibri"/>
                <w:color w:val="000000"/>
                <w:sz w:val="20"/>
                <w:szCs w:val="20"/>
              </w:rPr>
              <w:t>Other</w:t>
            </w:r>
            <w:proofErr w:type="gramEnd"/>
            <w:r w:rsidRPr="00AB44E1">
              <w:rPr>
                <w:rFonts w:asciiTheme="minorHAnsi" w:hAnsiTheme="minorHAnsi" w:cs="Calibri"/>
                <w:color w:val="000000"/>
                <w:sz w:val="20"/>
                <w:szCs w:val="20"/>
                <w:vertAlign w:val="superscript"/>
              </w:rPr>
              <w:footnoteReference w:id="6"/>
            </w:r>
            <w:r w:rsidRPr="00AB44E1">
              <w:rPr>
                <w:rFonts w:asciiTheme="minorHAnsi" w:hAnsiTheme="minorHAnsi" w:cs="Calibri"/>
                <w:color w:val="000000"/>
                <w:sz w:val="20"/>
                <w:szCs w:val="20"/>
              </w:rPr>
              <w:t xml:space="preserve"> / Unknown</w:t>
            </w:r>
          </w:p>
        </w:tc>
        <w:tc>
          <w:tcPr>
            <w:tcW w:w="1530" w:type="dxa"/>
            <w:tcBorders>
              <w:top w:val="single" w:sz="4" w:space="0" w:color="auto"/>
              <w:left w:val="nil"/>
              <w:bottom w:val="single" w:sz="4" w:space="0" w:color="auto"/>
              <w:right w:val="single" w:sz="4" w:space="0" w:color="auto"/>
            </w:tcBorders>
            <w:vAlign w:val="bottom"/>
          </w:tcPr>
          <w:p w14:paraId="4B7C6C50" w14:textId="33BB355C"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314</w:t>
            </w:r>
          </w:p>
        </w:tc>
        <w:tc>
          <w:tcPr>
            <w:tcW w:w="1530" w:type="dxa"/>
            <w:tcBorders>
              <w:top w:val="single" w:sz="4" w:space="0" w:color="auto"/>
              <w:left w:val="single" w:sz="4" w:space="0" w:color="auto"/>
              <w:bottom w:val="single" w:sz="4" w:space="0" w:color="auto"/>
              <w:right w:val="single" w:sz="4" w:space="0" w:color="auto"/>
            </w:tcBorders>
            <w:vAlign w:val="bottom"/>
          </w:tcPr>
          <w:p w14:paraId="7F541C7D" w14:textId="47E58692"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5%</w:t>
            </w:r>
          </w:p>
        </w:tc>
        <w:tc>
          <w:tcPr>
            <w:tcW w:w="1530" w:type="dxa"/>
            <w:tcBorders>
              <w:top w:val="single" w:sz="4" w:space="0" w:color="auto"/>
              <w:left w:val="single" w:sz="4" w:space="0" w:color="auto"/>
              <w:bottom w:val="single" w:sz="4" w:space="0" w:color="auto"/>
              <w:right w:val="single" w:sz="4" w:space="0" w:color="auto"/>
            </w:tcBorders>
            <w:vAlign w:val="bottom"/>
          </w:tcPr>
          <w:p w14:paraId="58D5E909" w14:textId="0063E7B7" w:rsidR="00BD615F" w:rsidRPr="00BD615F" w:rsidRDefault="00BD615F" w:rsidP="00BD615F">
            <w:pPr>
              <w:suppressAutoHyphens w:val="0"/>
              <w:jc w:val="center"/>
              <w:rPr>
                <w:rFonts w:asciiTheme="minorHAnsi" w:hAnsiTheme="minorHAnsi" w:cs="Calibri"/>
                <w:color w:val="000000"/>
                <w:sz w:val="20"/>
                <w:szCs w:val="20"/>
              </w:rPr>
            </w:pPr>
            <w:r w:rsidRPr="00BD615F">
              <w:rPr>
                <w:rFonts w:asciiTheme="minorHAnsi" w:hAnsiTheme="minorHAnsi" w:cs="Calibri"/>
                <w:color w:val="000000"/>
                <w:sz w:val="20"/>
                <w:szCs w:val="20"/>
              </w:rPr>
              <w:t>437</w:t>
            </w:r>
          </w:p>
        </w:tc>
        <w:tc>
          <w:tcPr>
            <w:tcW w:w="1530" w:type="dxa"/>
            <w:tcBorders>
              <w:top w:val="single" w:sz="4" w:space="0" w:color="auto"/>
              <w:left w:val="single" w:sz="4" w:space="0" w:color="auto"/>
              <w:bottom w:val="single" w:sz="4" w:space="0" w:color="auto"/>
              <w:right w:val="nil"/>
            </w:tcBorders>
            <w:vAlign w:val="bottom"/>
          </w:tcPr>
          <w:p w14:paraId="2159E167" w14:textId="77777777" w:rsidR="00BD615F" w:rsidRPr="00AB44E1" w:rsidRDefault="00BD615F" w:rsidP="00BD615F">
            <w:pPr>
              <w:suppressAutoHyphens w:val="0"/>
              <w:jc w:val="center"/>
              <w:rPr>
                <w:rFonts w:asciiTheme="minorHAnsi" w:hAnsiTheme="minorHAnsi" w:cs="Calibri"/>
                <w:sz w:val="20"/>
                <w:szCs w:val="20"/>
              </w:rPr>
            </w:pPr>
            <w:r w:rsidRPr="00AB44E1">
              <w:rPr>
                <w:rFonts w:asciiTheme="minorHAnsi" w:hAnsiTheme="minorHAnsi" w:cs="Calibri"/>
                <w:color w:val="000000"/>
                <w:sz w:val="20"/>
                <w:szCs w:val="20"/>
              </w:rPr>
              <w:t>5%</w:t>
            </w:r>
          </w:p>
        </w:tc>
        <w:tc>
          <w:tcPr>
            <w:tcW w:w="1530" w:type="dxa"/>
          </w:tcPr>
          <w:p w14:paraId="1028EBD0"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635</w:t>
            </w:r>
          </w:p>
        </w:tc>
        <w:tc>
          <w:tcPr>
            <w:tcW w:w="1530" w:type="dxa"/>
          </w:tcPr>
          <w:p w14:paraId="0CEB314E" w14:textId="77777777" w:rsidR="00BD615F" w:rsidRPr="00AB44E1" w:rsidRDefault="00BD615F" w:rsidP="00BD615F">
            <w:pPr>
              <w:suppressAutoHyphens w:val="0"/>
              <w:jc w:val="center"/>
              <w:rPr>
                <w:rFonts w:asciiTheme="minorHAnsi" w:hAnsiTheme="minorHAnsi" w:cs="Calibri Light"/>
                <w:color w:val="000000"/>
                <w:sz w:val="20"/>
                <w:szCs w:val="20"/>
              </w:rPr>
            </w:pPr>
            <w:r>
              <w:rPr>
                <w:rFonts w:asciiTheme="minorHAnsi" w:hAnsiTheme="minorHAnsi" w:cs="Calibri Light"/>
                <w:color w:val="000000"/>
                <w:sz w:val="20"/>
                <w:szCs w:val="20"/>
              </w:rPr>
              <w:t>6%</w:t>
            </w:r>
          </w:p>
        </w:tc>
      </w:tr>
      <w:bookmarkEnd w:id="2"/>
    </w:tbl>
    <w:p w14:paraId="39BD89FC" w14:textId="77777777" w:rsidR="00AB44E1" w:rsidRPr="00431D3A" w:rsidRDefault="00AB44E1" w:rsidP="00742B85">
      <w:pPr>
        <w:suppressAutoHyphens w:val="0"/>
        <w:spacing w:after="240"/>
        <w:jc w:val="both"/>
        <w:rPr>
          <w:rFonts w:ascii="Calibri" w:eastAsia="Calibri" w:hAnsi="Calibri"/>
          <w:sz w:val="21"/>
          <w:szCs w:val="21"/>
        </w:rPr>
      </w:pPr>
    </w:p>
    <w:p w14:paraId="71EAF205" w14:textId="77777777" w:rsidR="00837A03" w:rsidRDefault="00837A03" w:rsidP="00742B85">
      <w:pPr>
        <w:spacing w:after="240"/>
        <w:jc w:val="both"/>
        <w:rPr>
          <w:rFonts w:eastAsia="Calibri" w:cs="Arial"/>
          <w:b/>
          <w:sz w:val="21"/>
          <w:szCs w:val="21"/>
        </w:rPr>
        <w:sectPr w:rsidR="00837A03" w:rsidSect="00837A03">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1440" w:right="1440" w:bottom="1440" w:left="1440" w:header="720" w:footer="720" w:gutter="0"/>
          <w:cols w:space="720"/>
          <w:docGrid w:linePitch="360"/>
        </w:sectPr>
      </w:pPr>
    </w:p>
    <w:p w14:paraId="51F4BCAE" w14:textId="26CDB9F0" w:rsidR="00A25460" w:rsidRPr="00837A03" w:rsidRDefault="00A25460" w:rsidP="00CD567F">
      <w:pPr>
        <w:pStyle w:val="Heading2"/>
      </w:pPr>
      <w:r w:rsidRPr="00431D3A">
        <w:lastRenderedPageBreak/>
        <w:t>F1.</w:t>
      </w:r>
      <w:proofErr w:type="gramStart"/>
      <w:r w:rsidRPr="00431D3A">
        <w:t>a.ii</w:t>
      </w:r>
      <w:proofErr w:type="gramEnd"/>
      <w:r w:rsidRPr="00431D3A">
        <w:tab/>
      </w:r>
      <w:r w:rsidRPr="00431D3A">
        <w:tab/>
        <w:t>Need by Patient Panel:</w:t>
      </w:r>
    </w:p>
    <w:p w14:paraId="34F73C33" w14:textId="77777777" w:rsidR="00A25460" w:rsidRPr="00031808" w:rsidRDefault="00A25460" w:rsidP="005655CA">
      <w:pPr>
        <w:spacing w:after="120"/>
        <w:ind w:left="1440"/>
        <w:jc w:val="both"/>
        <w:rPr>
          <w:rFonts w:cs="Arial"/>
          <w:b/>
          <w:sz w:val="21"/>
          <w:szCs w:val="21"/>
        </w:rPr>
      </w:pPr>
      <w:r w:rsidRPr="00031808">
        <w:rPr>
          <w:rFonts w:cs="Arial"/>
          <w:b/>
          <w:sz w:val="21"/>
          <w:szCs w:val="21"/>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685FE830" w14:textId="0EEE9458" w:rsidR="005655CA" w:rsidRPr="005655CA" w:rsidRDefault="005655CA" w:rsidP="005655CA">
      <w:pPr>
        <w:spacing w:after="120"/>
        <w:jc w:val="both"/>
        <w:rPr>
          <w:rFonts w:cs="Arial"/>
          <w:bCs/>
          <w:sz w:val="21"/>
          <w:szCs w:val="21"/>
        </w:rPr>
      </w:pPr>
      <w:r w:rsidRPr="005655CA">
        <w:rPr>
          <w:rFonts w:cs="Arial"/>
          <w:bCs/>
          <w:sz w:val="21"/>
          <w:szCs w:val="21"/>
        </w:rPr>
        <w:t>Colorectal cancer is a significant public health risk throughout the United State</w:t>
      </w:r>
      <w:r w:rsidR="0025084B">
        <w:rPr>
          <w:rFonts w:cs="Arial"/>
          <w:bCs/>
          <w:sz w:val="21"/>
          <w:szCs w:val="21"/>
        </w:rPr>
        <w:t>s, including Massachusetts</w:t>
      </w:r>
      <w:r w:rsidRPr="005655CA">
        <w:rPr>
          <w:rFonts w:cs="Arial"/>
          <w:bCs/>
          <w:sz w:val="21"/>
          <w:szCs w:val="21"/>
        </w:rPr>
        <w:t>. In 2025, an estimated 154,200 adults will be diagnosed with colorectal cancer nationally, with over 50,000 expected deaths.</w:t>
      </w:r>
      <w:bookmarkStart w:id="3" w:name="_Ref213765646"/>
      <w:r w:rsidRPr="005655CA">
        <w:rPr>
          <w:rFonts w:cs="Arial"/>
          <w:bCs/>
          <w:sz w:val="21"/>
          <w:szCs w:val="21"/>
          <w:vertAlign w:val="superscript"/>
        </w:rPr>
        <w:footnoteReference w:id="7"/>
      </w:r>
      <w:bookmarkEnd w:id="3"/>
      <w:r w:rsidRPr="005655CA">
        <w:rPr>
          <w:rFonts w:cs="Arial"/>
          <w:bCs/>
          <w:sz w:val="21"/>
          <w:szCs w:val="21"/>
        </w:rPr>
        <w:t xml:space="preserve"> Notably, while cancer rates historically have increased with age, recent trends reveal a concerning 2% annual rise in colorectal cancer rates among younger adults aged 20-39 since the 1990s.</w:t>
      </w:r>
      <w:r w:rsidRPr="005655CA">
        <w:rPr>
          <w:rFonts w:cs="Arial"/>
          <w:bCs/>
          <w:sz w:val="21"/>
          <w:szCs w:val="21"/>
          <w:vertAlign w:val="superscript"/>
        </w:rPr>
        <w:footnoteReference w:id="8"/>
      </w:r>
      <w:r w:rsidRPr="005655CA">
        <w:rPr>
          <w:rFonts w:cs="Arial"/>
          <w:bCs/>
          <w:sz w:val="21"/>
          <w:szCs w:val="21"/>
        </w:rPr>
        <w:t xml:space="preserve"> Massachusetts is not immune to the public health burden of colorectal cancer; in 2025 alone, the Commonwealth anticipates 2,770 new cases and 820 related deaths.</w:t>
      </w:r>
      <w:r w:rsidRPr="005655CA">
        <w:rPr>
          <w:rFonts w:cs="Arial"/>
          <w:bCs/>
          <w:sz w:val="21"/>
          <w:szCs w:val="21"/>
          <w:vertAlign w:val="superscript"/>
        </w:rPr>
        <w:footnoteReference w:id="9"/>
      </w:r>
      <w:r w:rsidRPr="005655CA">
        <w:rPr>
          <w:rFonts w:cs="Arial"/>
          <w:bCs/>
          <w:sz w:val="21"/>
          <w:szCs w:val="21"/>
        </w:rPr>
        <w:t xml:space="preserve"> Early detection through screening is the most effective strategy to reduce both incidence and mortality, as well as overall costs of colorectal cancer. </w:t>
      </w:r>
    </w:p>
    <w:p w14:paraId="425B6569" w14:textId="77777777" w:rsidR="005655CA" w:rsidRPr="005655CA" w:rsidRDefault="005655CA" w:rsidP="005655CA">
      <w:pPr>
        <w:spacing w:after="120"/>
        <w:jc w:val="both"/>
        <w:rPr>
          <w:rFonts w:cs="Arial"/>
          <w:bCs/>
          <w:sz w:val="21"/>
          <w:szCs w:val="21"/>
        </w:rPr>
      </w:pPr>
      <w:r w:rsidRPr="005655CA">
        <w:rPr>
          <w:rFonts w:cs="Arial"/>
          <w:bCs/>
          <w:sz w:val="21"/>
          <w:szCs w:val="21"/>
        </w:rPr>
        <w:t>Colonoscopy remains the gold standard for colorectal cancer screening and prevention, associated with a 69% decrease in new colorectal cancer cases and an 88% reduction in colorectal cancer mortality.</w:t>
      </w:r>
      <w:r w:rsidRPr="005655CA">
        <w:rPr>
          <w:rFonts w:cs="Arial"/>
          <w:bCs/>
          <w:sz w:val="21"/>
          <w:szCs w:val="21"/>
          <w:vertAlign w:val="superscript"/>
        </w:rPr>
        <w:footnoteReference w:id="10"/>
      </w:r>
      <w:r w:rsidRPr="005655CA">
        <w:rPr>
          <w:rFonts w:cs="Arial"/>
          <w:bCs/>
          <w:sz w:val="21"/>
          <w:szCs w:val="21"/>
        </w:rPr>
        <w:t xml:space="preserve"> However, access barriers, including limited procedural capacity and increasing wait times, threaten to undermine the benefits of widespread colonoscopy. As demand for endoscopic procedures, including colonoscopy, grows, timely access is critical to ensure early detection and intervention, ultimately improving patient outcomes and reducing healthcare costs.</w:t>
      </w:r>
    </w:p>
    <w:p w14:paraId="474E3D2B" w14:textId="370397C4" w:rsidR="005655CA" w:rsidRPr="005655CA" w:rsidRDefault="005655CA" w:rsidP="005655CA">
      <w:pPr>
        <w:spacing w:after="120"/>
        <w:jc w:val="both"/>
        <w:rPr>
          <w:rFonts w:cs="Arial"/>
          <w:b/>
          <w:bCs/>
          <w:sz w:val="21"/>
          <w:szCs w:val="21"/>
        </w:rPr>
      </w:pPr>
      <w:r w:rsidRPr="005655CA">
        <w:rPr>
          <w:rFonts w:cs="Arial"/>
          <w:bCs/>
          <w:sz w:val="21"/>
          <w:szCs w:val="21"/>
        </w:rPr>
        <w:t xml:space="preserve">The Applicant has seen a significant increase in the need for colonoscopy and endoscopy services by its Patient Panel, resulting in a substantial backlog and wait times up to 12 months across the system. The Endoscopy Center, which opened in </w:t>
      </w:r>
      <w:r w:rsidR="00CF473B">
        <w:rPr>
          <w:rFonts w:cs="Arial"/>
          <w:bCs/>
          <w:sz w:val="21"/>
          <w:szCs w:val="21"/>
        </w:rPr>
        <w:t>2006</w:t>
      </w:r>
      <w:r w:rsidRPr="005655CA">
        <w:rPr>
          <w:rFonts w:cs="Arial"/>
          <w:bCs/>
          <w:sz w:val="21"/>
          <w:szCs w:val="21"/>
        </w:rPr>
        <w:t xml:space="preserve">, currently operates five procedure rooms. As further detailed below, endoscopy procedure volume </w:t>
      </w:r>
      <w:r w:rsidR="00F8637E">
        <w:rPr>
          <w:rFonts w:cs="Arial"/>
          <w:bCs/>
          <w:sz w:val="21"/>
          <w:szCs w:val="21"/>
        </w:rPr>
        <w:t xml:space="preserve">at the Endoscopy Center has </w:t>
      </w:r>
      <w:r w:rsidRPr="005655CA">
        <w:rPr>
          <w:rFonts w:cs="Arial"/>
          <w:bCs/>
          <w:sz w:val="21"/>
          <w:szCs w:val="21"/>
        </w:rPr>
        <w:t>triple</w:t>
      </w:r>
      <w:r w:rsidR="00F8637E">
        <w:rPr>
          <w:rFonts w:cs="Arial"/>
          <w:bCs/>
          <w:sz w:val="21"/>
          <w:szCs w:val="21"/>
        </w:rPr>
        <w:t>d</w:t>
      </w:r>
      <w:r w:rsidRPr="005655CA">
        <w:rPr>
          <w:rFonts w:cs="Arial"/>
          <w:bCs/>
          <w:sz w:val="21"/>
          <w:szCs w:val="21"/>
        </w:rPr>
        <w:t xml:space="preserve"> from FY22 to FY25, demonstrating the need for expanded capacity to meet current and future </w:t>
      </w:r>
      <w:r w:rsidR="00F8637E">
        <w:rPr>
          <w:rFonts w:cs="Arial"/>
          <w:bCs/>
          <w:sz w:val="21"/>
          <w:szCs w:val="21"/>
        </w:rPr>
        <w:t>demand</w:t>
      </w:r>
      <w:r w:rsidRPr="005655CA">
        <w:rPr>
          <w:rFonts w:cs="Arial"/>
          <w:bCs/>
          <w:sz w:val="21"/>
          <w:szCs w:val="21"/>
        </w:rPr>
        <w:t xml:space="preserve"> for high-quality, timely </w:t>
      </w:r>
      <w:r w:rsidR="00F8637E">
        <w:rPr>
          <w:rFonts w:cs="Arial"/>
          <w:bCs/>
          <w:sz w:val="21"/>
          <w:szCs w:val="21"/>
        </w:rPr>
        <w:t>access to endoscopy</w:t>
      </w:r>
      <w:r w:rsidRPr="005655CA">
        <w:rPr>
          <w:rFonts w:cs="Arial"/>
          <w:bCs/>
          <w:sz w:val="21"/>
          <w:szCs w:val="21"/>
        </w:rPr>
        <w:t>.</w:t>
      </w:r>
      <w:r w:rsidR="00F8637E">
        <w:rPr>
          <w:rFonts w:cs="Arial"/>
          <w:bCs/>
          <w:sz w:val="21"/>
          <w:szCs w:val="21"/>
        </w:rPr>
        <w:t xml:space="preserve"> To meet this need, the Applicant proposes to expand capacity at the Endoscopy Center by adding three (3) procedure rooms for a total of eight (8) procedure rooms for outpatient endoscopy. </w:t>
      </w:r>
    </w:p>
    <w:p w14:paraId="1F8D742A" w14:textId="77777777" w:rsidR="005655CA" w:rsidRPr="005655CA" w:rsidRDefault="005655CA" w:rsidP="005655CA">
      <w:pPr>
        <w:numPr>
          <w:ilvl w:val="0"/>
          <w:numId w:val="14"/>
        </w:numPr>
        <w:spacing w:after="120"/>
        <w:jc w:val="both"/>
        <w:rPr>
          <w:rFonts w:cs="Arial"/>
          <w:b/>
          <w:bCs/>
          <w:sz w:val="21"/>
          <w:szCs w:val="21"/>
        </w:rPr>
      </w:pPr>
      <w:r w:rsidRPr="005655CA">
        <w:rPr>
          <w:rFonts w:cs="Arial"/>
          <w:b/>
          <w:bCs/>
          <w:sz w:val="21"/>
          <w:szCs w:val="21"/>
        </w:rPr>
        <w:t xml:space="preserve">Historical Utilization </w:t>
      </w:r>
    </w:p>
    <w:p w14:paraId="10AE250F" w14:textId="527F69B5" w:rsidR="005655CA" w:rsidRPr="005655CA" w:rsidRDefault="005655CA" w:rsidP="005655CA">
      <w:pPr>
        <w:spacing w:after="120"/>
        <w:jc w:val="both"/>
        <w:rPr>
          <w:rFonts w:cs="Arial"/>
          <w:bCs/>
          <w:sz w:val="21"/>
          <w:szCs w:val="21"/>
        </w:rPr>
      </w:pPr>
      <w:r w:rsidRPr="005655CA">
        <w:rPr>
          <w:rFonts w:cs="Arial"/>
          <w:bCs/>
          <w:sz w:val="21"/>
          <w:szCs w:val="21"/>
        </w:rPr>
        <w:t xml:space="preserve">The </w:t>
      </w:r>
      <w:r w:rsidR="00F8637E">
        <w:rPr>
          <w:rFonts w:cs="Arial"/>
          <w:bCs/>
          <w:sz w:val="21"/>
          <w:szCs w:val="21"/>
        </w:rPr>
        <w:t>increasing</w:t>
      </w:r>
      <w:r w:rsidRPr="005655CA">
        <w:rPr>
          <w:rFonts w:cs="Arial"/>
          <w:bCs/>
          <w:sz w:val="21"/>
          <w:szCs w:val="21"/>
        </w:rPr>
        <w:t xml:space="preserve"> need for endoscopy is reflected in historical volume. In FY25, Winchester Hospital performed 13,799 endoscopy procedures, representing </w:t>
      </w:r>
      <w:proofErr w:type="gramStart"/>
      <w:r w:rsidRPr="005655CA">
        <w:rPr>
          <w:rFonts w:cs="Arial"/>
          <w:bCs/>
          <w:sz w:val="21"/>
          <w:szCs w:val="21"/>
        </w:rPr>
        <w:t>a</w:t>
      </w:r>
      <w:r w:rsidR="00B57EF4">
        <w:rPr>
          <w:rFonts w:cs="Arial"/>
          <w:bCs/>
          <w:sz w:val="21"/>
          <w:szCs w:val="21"/>
        </w:rPr>
        <w:t xml:space="preserve"> </w:t>
      </w:r>
      <w:r w:rsidRPr="005655CA">
        <w:rPr>
          <w:rFonts w:cs="Arial"/>
          <w:bCs/>
          <w:sz w:val="21"/>
          <w:szCs w:val="21"/>
        </w:rPr>
        <w:t>183</w:t>
      </w:r>
      <w:proofErr w:type="gramEnd"/>
      <w:r w:rsidRPr="005655CA">
        <w:rPr>
          <w:rFonts w:cs="Arial"/>
          <w:bCs/>
          <w:sz w:val="21"/>
          <w:szCs w:val="21"/>
        </w:rPr>
        <w:t xml:space="preserve">% increase since FY22. Of those procedures, 80% were performed at the Hospital’s Endoscopy Center, highlighting the important role the Endoscopy Center plays in providing outpatient diagnostic and preventive care. The Endoscopy Center alone saw its annual procedure volume grow from 3,674 in FY22 to 11,079 in FY25, while volume at the main campus also increased from 1,194 procedures in FY22 to 2,720 procedures in FY25. </w:t>
      </w:r>
    </w:p>
    <w:p w14:paraId="03D073F7" w14:textId="77777777" w:rsidR="005655CA" w:rsidRDefault="005655CA" w:rsidP="005655CA">
      <w:pPr>
        <w:spacing w:after="240"/>
        <w:jc w:val="both"/>
        <w:rPr>
          <w:rFonts w:cs="Arial"/>
          <w:bCs/>
          <w:sz w:val="21"/>
          <w:szCs w:val="21"/>
        </w:rPr>
      </w:pPr>
      <w:r w:rsidRPr="005655CA">
        <w:rPr>
          <w:rFonts w:cs="Arial"/>
          <w:bCs/>
          <w:sz w:val="21"/>
          <w:szCs w:val="21"/>
        </w:rPr>
        <w:t xml:space="preserve">The table below breaks down the Hospital’s outpatient endoscopy utilization by location. </w:t>
      </w:r>
    </w:p>
    <w:p w14:paraId="7A88A09F" w14:textId="76C3C633" w:rsidR="00F8637E" w:rsidRPr="00F8637E" w:rsidRDefault="00F8637E" w:rsidP="00025C89">
      <w:pPr>
        <w:pStyle w:val="Heading3"/>
        <w:ind w:left="0"/>
      </w:pPr>
      <w:r w:rsidRPr="005655CA">
        <w:lastRenderedPageBreak/>
        <w:t xml:space="preserve">Table </w:t>
      </w:r>
      <w:r>
        <w:t>4</w:t>
      </w:r>
      <w:r w:rsidRPr="005655CA">
        <w:t>: Winchester Hospital</w:t>
      </w:r>
      <w:r>
        <w:t xml:space="preserve"> </w:t>
      </w:r>
      <w:r w:rsidRPr="005655CA">
        <w:t xml:space="preserve">Total </w:t>
      </w:r>
      <w:r>
        <w:t xml:space="preserve">Endoscopy </w:t>
      </w:r>
      <w:r w:rsidRPr="005655CA">
        <w:t>Volume</w:t>
      </w:r>
    </w:p>
    <w:tbl>
      <w:tblPr>
        <w:tblW w:w="9450" w:type="dxa"/>
        <w:tblLayout w:type="fixed"/>
        <w:tblLook w:val="04A0" w:firstRow="1" w:lastRow="0" w:firstColumn="1" w:lastColumn="0" w:noHBand="0" w:noVBand="1"/>
      </w:tblPr>
      <w:tblGrid>
        <w:gridCol w:w="4225"/>
        <w:gridCol w:w="1080"/>
        <w:gridCol w:w="990"/>
        <w:gridCol w:w="990"/>
        <w:gridCol w:w="904"/>
        <w:gridCol w:w="1261"/>
      </w:tblGrid>
      <w:tr w:rsidR="005655CA" w:rsidRPr="005655CA" w14:paraId="457B5044" w14:textId="77777777" w:rsidTr="00A36A97">
        <w:trPr>
          <w:cantSplit/>
          <w:trHeight w:val="290"/>
          <w:tblHeader/>
        </w:trPr>
        <w:tc>
          <w:tcPr>
            <w:tcW w:w="4225" w:type="dxa"/>
            <w:tcBorders>
              <w:top w:val="single" w:sz="4" w:space="0" w:color="auto"/>
              <w:left w:val="single" w:sz="4" w:space="0" w:color="auto"/>
              <w:bottom w:val="single" w:sz="4" w:space="0" w:color="auto"/>
              <w:right w:val="single" w:sz="4" w:space="0" w:color="auto"/>
            </w:tcBorders>
            <w:shd w:val="clear" w:color="auto" w:fill="0E2841" w:themeFill="text2"/>
            <w:noWrap/>
            <w:vAlign w:val="center"/>
            <w:hideMark/>
          </w:tcPr>
          <w:p w14:paraId="0BE87F90" w14:textId="73B67D6D" w:rsidR="005655CA" w:rsidRPr="00F8637E" w:rsidRDefault="00F8637E" w:rsidP="005655CA">
            <w:pPr>
              <w:rPr>
                <w:rFonts w:cs="Arial"/>
                <w:b/>
                <w:bCs/>
                <w:sz w:val="20"/>
                <w:szCs w:val="20"/>
              </w:rPr>
            </w:pPr>
            <w:r w:rsidRPr="00F8637E">
              <w:rPr>
                <w:rFonts w:cs="Arial"/>
                <w:b/>
                <w:bCs/>
                <w:sz w:val="20"/>
                <w:szCs w:val="20"/>
              </w:rPr>
              <w:t xml:space="preserve">Location </w:t>
            </w:r>
          </w:p>
        </w:tc>
        <w:tc>
          <w:tcPr>
            <w:tcW w:w="1080" w:type="dxa"/>
            <w:tcBorders>
              <w:top w:val="single" w:sz="4" w:space="0" w:color="auto"/>
              <w:left w:val="nil"/>
              <w:bottom w:val="single" w:sz="4" w:space="0" w:color="auto"/>
              <w:right w:val="single" w:sz="4" w:space="0" w:color="auto"/>
            </w:tcBorders>
            <w:shd w:val="clear" w:color="auto" w:fill="0E2841" w:themeFill="text2"/>
            <w:noWrap/>
            <w:vAlign w:val="center"/>
            <w:hideMark/>
          </w:tcPr>
          <w:p w14:paraId="717262B1" w14:textId="7D071C57" w:rsidR="005655CA" w:rsidRPr="00F8637E" w:rsidRDefault="005655CA" w:rsidP="005655CA">
            <w:pPr>
              <w:jc w:val="center"/>
              <w:rPr>
                <w:rFonts w:cs="Arial"/>
                <w:b/>
                <w:bCs/>
                <w:sz w:val="20"/>
                <w:szCs w:val="20"/>
              </w:rPr>
            </w:pPr>
            <w:r w:rsidRPr="00F8637E">
              <w:rPr>
                <w:rFonts w:cs="Arial"/>
                <w:b/>
                <w:bCs/>
                <w:sz w:val="20"/>
                <w:szCs w:val="20"/>
              </w:rPr>
              <w:t>FY22</w:t>
            </w:r>
          </w:p>
        </w:tc>
        <w:tc>
          <w:tcPr>
            <w:tcW w:w="990" w:type="dxa"/>
            <w:tcBorders>
              <w:top w:val="single" w:sz="4" w:space="0" w:color="auto"/>
              <w:left w:val="nil"/>
              <w:bottom w:val="single" w:sz="4" w:space="0" w:color="auto"/>
              <w:right w:val="single" w:sz="4" w:space="0" w:color="auto"/>
            </w:tcBorders>
            <w:shd w:val="clear" w:color="auto" w:fill="0E2841" w:themeFill="text2"/>
            <w:noWrap/>
            <w:vAlign w:val="center"/>
            <w:hideMark/>
          </w:tcPr>
          <w:p w14:paraId="4C412705" w14:textId="14D742C6" w:rsidR="005655CA" w:rsidRPr="00F8637E" w:rsidRDefault="005655CA" w:rsidP="005655CA">
            <w:pPr>
              <w:jc w:val="center"/>
              <w:rPr>
                <w:rFonts w:cs="Arial"/>
                <w:b/>
                <w:bCs/>
                <w:sz w:val="20"/>
                <w:szCs w:val="20"/>
              </w:rPr>
            </w:pPr>
            <w:r w:rsidRPr="00F8637E">
              <w:rPr>
                <w:rFonts w:cs="Arial"/>
                <w:b/>
                <w:bCs/>
                <w:sz w:val="20"/>
                <w:szCs w:val="20"/>
              </w:rPr>
              <w:t>FY23</w:t>
            </w:r>
          </w:p>
        </w:tc>
        <w:tc>
          <w:tcPr>
            <w:tcW w:w="990" w:type="dxa"/>
            <w:tcBorders>
              <w:top w:val="single" w:sz="4" w:space="0" w:color="auto"/>
              <w:left w:val="nil"/>
              <w:bottom w:val="single" w:sz="4" w:space="0" w:color="auto"/>
              <w:right w:val="single" w:sz="4" w:space="0" w:color="auto"/>
            </w:tcBorders>
            <w:shd w:val="clear" w:color="auto" w:fill="0E2841" w:themeFill="text2"/>
            <w:noWrap/>
            <w:vAlign w:val="center"/>
            <w:hideMark/>
          </w:tcPr>
          <w:p w14:paraId="7A82DB6E" w14:textId="21296180" w:rsidR="005655CA" w:rsidRPr="00F8637E" w:rsidRDefault="005655CA" w:rsidP="005655CA">
            <w:pPr>
              <w:jc w:val="center"/>
              <w:rPr>
                <w:rFonts w:cs="Arial"/>
                <w:b/>
                <w:bCs/>
                <w:sz w:val="20"/>
                <w:szCs w:val="20"/>
              </w:rPr>
            </w:pPr>
            <w:r w:rsidRPr="00F8637E">
              <w:rPr>
                <w:rFonts w:cs="Arial"/>
                <w:b/>
                <w:bCs/>
                <w:sz w:val="20"/>
                <w:szCs w:val="20"/>
              </w:rPr>
              <w:t>FY24</w:t>
            </w:r>
          </w:p>
        </w:tc>
        <w:tc>
          <w:tcPr>
            <w:tcW w:w="904" w:type="dxa"/>
            <w:tcBorders>
              <w:top w:val="single" w:sz="4" w:space="0" w:color="auto"/>
              <w:left w:val="nil"/>
              <w:bottom w:val="single" w:sz="4" w:space="0" w:color="auto"/>
              <w:right w:val="single" w:sz="4" w:space="0" w:color="auto"/>
            </w:tcBorders>
            <w:shd w:val="clear" w:color="auto" w:fill="0E2841" w:themeFill="text2"/>
            <w:noWrap/>
            <w:vAlign w:val="center"/>
            <w:hideMark/>
          </w:tcPr>
          <w:p w14:paraId="09290B64" w14:textId="4B8E2E7C" w:rsidR="005655CA" w:rsidRPr="00F8637E" w:rsidRDefault="005655CA" w:rsidP="005655CA">
            <w:pPr>
              <w:jc w:val="center"/>
              <w:rPr>
                <w:rFonts w:cs="Arial"/>
                <w:b/>
                <w:bCs/>
                <w:sz w:val="20"/>
                <w:szCs w:val="20"/>
              </w:rPr>
            </w:pPr>
            <w:r w:rsidRPr="00F8637E">
              <w:rPr>
                <w:rFonts w:cs="Arial"/>
                <w:b/>
                <w:bCs/>
                <w:sz w:val="20"/>
                <w:szCs w:val="20"/>
              </w:rPr>
              <w:t>FY25</w:t>
            </w:r>
          </w:p>
        </w:tc>
        <w:tc>
          <w:tcPr>
            <w:tcW w:w="1261" w:type="dxa"/>
            <w:tcBorders>
              <w:top w:val="nil"/>
              <w:left w:val="nil"/>
              <w:bottom w:val="single" w:sz="4" w:space="0" w:color="auto"/>
              <w:right w:val="nil"/>
            </w:tcBorders>
            <w:shd w:val="clear" w:color="auto" w:fill="0E2841" w:themeFill="text2"/>
            <w:vAlign w:val="center"/>
            <w:hideMark/>
          </w:tcPr>
          <w:p w14:paraId="06A6BBB2" w14:textId="77777777" w:rsidR="005655CA" w:rsidRPr="00F8637E" w:rsidRDefault="005655CA" w:rsidP="005655CA">
            <w:pPr>
              <w:jc w:val="center"/>
              <w:rPr>
                <w:rFonts w:cs="Arial"/>
                <w:b/>
                <w:bCs/>
                <w:sz w:val="20"/>
                <w:szCs w:val="20"/>
              </w:rPr>
            </w:pPr>
            <w:r w:rsidRPr="00F8637E">
              <w:rPr>
                <w:rFonts w:cs="Arial"/>
                <w:b/>
                <w:bCs/>
                <w:sz w:val="20"/>
                <w:szCs w:val="20"/>
              </w:rPr>
              <w:t>4-Year Change</w:t>
            </w:r>
          </w:p>
        </w:tc>
      </w:tr>
      <w:tr w:rsidR="005655CA" w:rsidRPr="005655CA" w14:paraId="5664E934" w14:textId="77777777" w:rsidTr="00A36A97">
        <w:trPr>
          <w:cantSplit/>
          <w:trHeight w:val="290"/>
        </w:trPr>
        <w:tc>
          <w:tcPr>
            <w:tcW w:w="4225" w:type="dxa"/>
            <w:tcBorders>
              <w:top w:val="nil"/>
              <w:left w:val="single" w:sz="4" w:space="0" w:color="auto"/>
              <w:bottom w:val="single" w:sz="4" w:space="0" w:color="auto"/>
              <w:right w:val="single" w:sz="4" w:space="0" w:color="auto"/>
            </w:tcBorders>
            <w:noWrap/>
            <w:vAlign w:val="bottom"/>
            <w:hideMark/>
          </w:tcPr>
          <w:p w14:paraId="26C307D0" w14:textId="1AAF4AF0" w:rsidR="005655CA" w:rsidRPr="00F8637E" w:rsidRDefault="005655CA" w:rsidP="005655CA">
            <w:pPr>
              <w:rPr>
                <w:rFonts w:cs="Arial"/>
                <w:bCs/>
                <w:sz w:val="20"/>
                <w:szCs w:val="20"/>
              </w:rPr>
            </w:pPr>
            <w:r w:rsidRPr="00F8637E">
              <w:rPr>
                <w:rFonts w:cs="Arial"/>
                <w:bCs/>
                <w:sz w:val="20"/>
                <w:szCs w:val="20"/>
              </w:rPr>
              <w:t>Endoscopy Center</w:t>
            </w:r>
          </w:p>
        </w:tc>
        <w:tc>
          <w:tcPr>
            <w:tcW w:w="1080" w:type="dxa"/>
            <w:tcBorders>
              <w:top w:val="nil"/>
              <w:left w:val="nil"/>
              <w:bottom w:val="single" w:sz="4" w:space="0" w:color="auto"/>
              <w:right w:val="single" w:sz="4" w:space="0" w:color="auto"/>
            </w:tcBorders>
            <w:noWrap/>
            <w:hideMark/>
          </w:tcPr>
          <w:p w14:paraId="230F7880" w14:textId="77777777" w:rsidR="005655CA" w:rsidRPr="00F8637E" w:rsidRDefault="005655CA" w:rsidP="005655CA">
            <w:pPr>
              <w:jc w:val="center"/>
              <w:rPr>
                <w:rFonts w:cs="Arial"/>
                <w:bCs/>
                <w:sz w:val="20"/>
                <w:szCs w:val="20"/>
              </w:rPr>
            </w:pPr>
            <w:r w:rsidRPr="00F8637E">
              <w:rPr>
                <w:rFonts w:cs="Arial"/>
                <w:bCs/>
                <w:sz w:val="20"/>
                <w:szCs w:val="20"/>
              </w:rPr>
              <w:t>3,674</w:t>
            </w:r>
          </w:p>
        </w:tc>
        <w:tc>
          <w:tcPr>
            <w:tcW w:w="990" w:type="dxa"/>
            <w:tcBorders>
              <w:top w:val="nil"/>
              <w:left w:val="nil"/>
              <w:bottom w:val="single" w:sz="4" w:space="0" w:color="auto"/>
              <w:right w:val="single" w:sz="4" w:space="0" w:color="auto"/>
            </w:tcBorders>
            <w:noWrap/>
            <w:hideMark/>
          </w:tcPr>
          <w:p w14:paraId="238E9A59" w14:textId="77777777" w:rsidR="005655CA" w:rsidRPr="00F8637E" w:rsidRDefault="005655CA" w:rsidP="005655CA">
            <w:pPr>
              <w:jc w:val="center"/>
              <w:rPr>
                <w:rFonts w:cs="Arial"/>
                <w:bCs/>
                <w:sz w:val="20"/>
                <w:szCs w:val="20"/>
              </w:rPr>
            </w:pPr>
            <w:r w:rsidRPr="00F8637E">
              <w:rPr>
                <w:rFonts w:cs="Arial"/>
                <w:bCs/>
                <w:sz w:val="20"/>
                <w:szCs w:val="20"/>
              </w:rPr>
              <w:t>6,634</w:t>
            </w:r>
          </w:p>
        </w:tc>
        <w:tc>
          <w:tcPr>
            <w:tcW w:w="990" w:type="dxa"/>
            <w:tcBorders>
              <w:top w:val="nil"/>
              <w:left w:val="nil"/>
              <w:bottom w:val="single" w:sz="4" w:space="0" w:color="auto"/>
              <w:right w:val="single" w:sz="4" w:space="0" w:color="auto"/>
            </w:tcBorders>
            <w:noWrap/>
            <w:hideMark/>
          </w:tcPr>
          <w:p w14:paraId="30C405A0" w14:textId="77777777" w:rsidR="005655CA" w:rsidRPr="00F8637E" w:rsidRDefault="005655CA" w:rsidP="005655CA">
            <w:pPr>
              <w:jc w:val="center"/>
              <w:rPr>
                <w:rFonts w:cs="Arial"/>
                <w:bCs/>
                <w:sz w:val="20"/>
                <w:szCs w:val="20"/>
              </w:rPr>
            </w:pPr>
            <w:r w:rsidRPr="00F8637E">
              <w:rPr>
                <w:rFonts w:cs="Arial"/>
                <w:bCs/>
                <w:sz w:val="20"/>
                <w:szCs w:val="20"/>
              </w:rPr>
              <w:t>8,671</w:t>
            </w:r>
          </w:p>
        </w:tc>
        <w:tc>
          <w:tcPr>
            <w:tcW w:w="904" w:type="dxa"/>
            <w:tcBorders>
              <w:top w:val="single" w:sz="4" w:space="0" w:color="auto"/>
              <w:left w:val="nil"/>
              <w:bottom w:val="single" w:sz="4" w:space="0" w:color="auto"/>
              <w:right w:val="single" w:sz="4" w:space="0" w:color="auto"/>
            </w:tcBorders>
            <w:noWrap/>
            <w:hideMark/>
          </w:tcPr>
          <w:p w14:paraId="6B1894ED" w14:textId="51DA943B" w:rsidR="005655CA" w:rsidRPr="00F8637E" w:rsidRDefault="005655CA" w:rsidP="005655CA">
            <w:pPr>
              <w:jc w:val="center"/>
              <w:rPr>
                <w:rFonts w:cs="Arial"/>
                <w:bCs/>
                <w:sz w:val="20"/>
                <w:szCs w:val="20"/>
              </w:rPr>
            </w:pPr>
            <w:r w:rsidRPr="00F8637E">
              <w:rPr>
                <w:rFonts w:cs="Arial"/>
                <w:bCs/>
                <w:sz w:val="20"/>
                <w:szCs w:val="20"/>
              </w:rPr>
              <w:t>11,079</w:t>
            </w:r>
          </w:p>
        </w:tc>
        <w:tc>
          <w:tcPr>
            <w:tcW w:w="1261" w:type="dxa"/>
            <w:tcBorders>
              <w:top w:val="single" w:sz="4" w:space="0" w:color="auto"/>
              <w:left w:val="nil"/>
              <w:bottom w:val="single" w:sz="4" w:space="0" w:color="auto"/>
              <w:right w:val="single" w:sz="4" w:space="0" w:color="auto"/>
            </w:tcBorders>
            <w:hideMark/>
          </w:tcPr>
          <w:p w14:paraId="29164514" w14:textId="77777777" w:rsidR="005655CA" w:rsidRPr="00F8637E" w:rsidRDefault="005655CA" w:rsidP="005655CA">
            <w:pPr>
              <w:jc w:val="center"/>
              <w:rPr>
                <w:rFonts w:cs="Arial"/>
                <w:bCs/>
                <w:sz w:val="20"/>
                <w:szCs w:val="20"/>
              </w:rPr>
            </w:pPr>
            <w:r w:rsidRPr="00F8637E">
              <w:rPr>
                <w:rFonts w:cs="Arial"/>
                <w:bCs/>
                <w:sz w:val="20"/>
                <w:szCs w:val="20"/>
              </w:rPr>
              <w:t>202%</w:t>
            </w:r>
          </w:p>
        </w:tc>
      </w:tr>
      <w:tr w:rsidR="005655CA" w:rsidRPr="005655CA" w14:paraId="76DA730F" w14:textId="77777777" w:rsidTr="00A36A97">
        <w:trPr>
          <w:cantSplit/>
          <w:trHeight w:val="290"/>
        </w:trPr>
        <w:tc>
          <w:tcPr>
            <w:tcW w:w="4225" w:type="dxa"/>
            <w:tcBorders>
              <w:top w:val="nil"/>
              <w:left w:val="single" w:sz="4" w:space="0" w:color="auto"/>
              <w:bottom w:val="single" w:sz="4" w:space="0" w:color="auto"/>
              <w:right w:val="single" w:sz="4" w:space="0" w:color="auto"/>
            </w:tcBorders>
            <w:noWrap/>
            <w:vAlign w:val="bottom"/>
            <w:hideMark/>
          </w:tcPr>
          <w:p w14:paraId="78536107" w14:textId="49757A5E" w:rsidR="005655CA" w:rsidRPr="00F8637E" w:rsidRDefault="005655CA" w:rsidP="005655CA">
            <w:pPr>
              <w:rPr>
                <w:rFonts w:cs="Arial"/>
                <w:bCs/>
                <w:sz w:val="20"/>
                <w:szCs w:val="20"/>
              </w:rPr>
            </w:pPr>
            <w:r w:rsidRPr="00F8637E">
              <w:rPr>
                <w:rFonts w:cs="Arial"/>
                <w:bCs/>
                <w:sz w:val="20"/>
                <w:szCs w:val="20"/>
              </w:rPr>
              <w:t>Main Campus</w:t>
            </w:r>
          </w:p>
        </w:tc>
        <w:tc>
          <w:tcPr>
            <w:tcW w:w="1080" w:type="dxa"/>
            <w:tcBorders>
              <w:top w:val="nil"/>
              <w:left w:val="nil"/>
              <w:bottom w:val="single" w:sz="4" w:space="0" w:color="auto"/>
              <w:right w:val="single" w:sz="4" w:space="0" w:color="auto"/>
            </w:tcBorders>
            <w:noWrap/>
            <w:hideMark/>
          </w:tcPr>
          <w:p w14:paraId="31BE5463" w14:textId="77777777" w:rsidR="005655CA" w:rsidRPr="00F8637E" w:rsidRDefault="005655CA" w:rsidP="005655CA">
            <w:pPr>
              <w:jc w:val="center"/>
              <w:rPr>
                <w:rFonts w:cs="Arial"/>
                <w:bCs/>
                <w:sz w:val="20"/>
                <w:szCs w:val="20"/>
              </w:rPr>
            </w:pPr>
            <w:r w:rsidRPr="00F8637E">
              <w:rPr>
                <w:rFonts w:cs="Arial"/>
                <w:bCs/>
                <w:sz w:val="20"/>
                <w:szCs w:val="20"/>
              </w:rPr>
              <w:t>1,194</w:t>
            </w:r>
          </w:p>
        </w:tc>
        <w:tc>
          <w:tcPr>
            <w:tcW w:w="990" w:type="dxa"/>
            <w:tcBorders>
              <w:top w:val="nil"/>
              <w:left w:val="nil"/>
              <w:bottom w:val="single" w:sz="4" w:space="0" w:color="auto"/>
              <w:right w:val="single" w:sz="4" w:space="0" w:color="auto"/>
            </w:tcBorders>
            <w:noWrap/>
            <w:hideMark/>
          </w:tcPr>
          <w:p w14:paraId="6DB823C4" w14:textId="77777777" w:rsidR="005655CA" w:rsidRPr="00F8637E" w:rsidRDefault="005655CA" w:rsidP="005655CA">
            <w:pPr>
              <w:jc w:val="center"/>
              <w:rPr>
                <w:rFonts w:cs="Arial"/>
                <w:bCs/>
                <w:sz w:val="20"/>
                <w:szCs w:val="20"/>
              </w:rPr>
            </w:pPr>
            <w:r w:rsidRPr="00F8637E">
              <w:rPr>
                <w:rFonts w:cs="Arial"/>
                <w:bCs/>
                <w:sz w:val="20"/>
                <w:szCs w:val="20"/>
              </w:rPr>
              <w:t>1,622</w:t>
            </w:r>
          </w:p>
        </w:tc>
        <w:tc>
          <w:tcPr>
            <w:tcW w:w="990" w:type="dxa"/>
            <w:tcBorders>
              <w:top w:val="nil"/>
              <w:left w:val="nil"/>
              <w:bottom w:val="single" w:sz="4" w:space="0" w:color="auto"/>
              <w:right w:val="single" w:sz="4" w:space="0" w:color="auto"/>
            </w:tcBorders>
            <w:noWrap/>
            <w:hideMark/>
          </w:tcPr>
          <w:p w14:paraId="4C41132F" w14:textId="77777777" w:rsidR="005655CA" w:rsidRPr="00F8637E" w:rsidRDefault="005655CA" w:rsidP="005655CA">
            <w:pPr>
              <w:jc w:val="center"/>
              <w:rPr>
                <w:rFonts w:cs="Arial"/>
                <w:bCs/>
                <w:sz w:val="20"/>
                <w:szCs w:val="20"/>
              </w:rPr>
            </w:pPr>
            <w:r w:rsidRPr="00F8637E">
              <w:rPr>
                <w:rFonts w:cs="Arial"/>
                <w:bCs/>
                <w:sz w:val="20"/>
                <w:szCs w:val="20"/>
              </w:rPr>
              <w:t>2,456</w:t>
            </w:r>
          </w:p>
        </w:tc>
        <w:tc>
          <w:tcPr>
            <w:tcW w:w="904" w:type="dxa"/>
            <w:tcBorders>
              <w:top w:val="single" w:sz="4" w:space="0" w:color="auto"/>
              <w:left w:val="nil"/>
              <w:bottom w:val="single" w:sz="4" w:space="0" w:color="auto"/>
              <w:right w:val="single" w:sz="4" w:space="0" w:color="auto"/>
            </w:tcBorders>
            <w:noWrap/>
            <w:hideMark/>
          </w:tcPr>
          <w:p w14:paraId="7789CB03" w14:textId="3AE4474F" w:rsidR="005655CA" w:rsidRPr="00F8637E" w:rsidRDefault="005655CA" w:rsidP="005655CA">
            <w:pPr>
              <w:jc w:val="center"/>
              <w:rPr>
                <w:rFonts w:cs="Arial"/>
                <w:bCs/>
                <w:sz w:val="20"/>
                <w:szCs w:val="20"/>
              </w:rPr>
            </w:pPr>
            <w:r w:rsidRPr="00F8637E">
              <w:rPr>
                <w:rFonts w:cs="Arial"/>
                <w:bCs/>
                <w:sz w:val="20"/>
                <w:szCs w:val="20"/>
              </w:rPr>
              <w:t>2,720</w:t>
            </w:r>
          </w:p>
        </w:tc>
        <w:tc>
          <w:tcPr>
            <w:tcW w:w="1261" w:type="dxa"/>
            <w:tcBorders>
              <w:top w:val="single" w:sz="4" w:space="0" w:color="auto"/>
              <w:left w:val="nil"/>
              <w:bottom w:val="single" w:sz="4" w:space="0" w:color="auto"/>
              <w:right w:val="single" w:sz="4" w:space="0" w:color="auto"/>
            </w:tcBorders>
            <w:hideMark/>
          </w:tcPr>
          <w:p w14:paraId="7C3E233A" w14:textId="77777777" w:rsidR="005655CA" w:rsidRPr="00F8637E" w:rsidRDefault="005655CA" w:rsidP="005655CA">
            <w:pPr>
              <w:jc w:val="center"/>
              <w:rPr>
                <w:rFonts w:cs="Arial"/>
                <w:bCs/>
                <w:sz w:val="20"/>
                <w:szCs w:val="20"/>
              </w:rPr>
            </w:pPr>
            <w:r w:rsidRPr="00F8637E">
              <w:rPr>
                <w:rFonts w:cs="Arial"/>
                <w:bCs/>
                <w:sz w:val="20"/>
                <w:szCs w:val="20"/>
              </w:rPr>
              <w:t>128%</w:t>
            </w:r>
          </w:p>
        </w:tc>
      </w:tr>
      <w:tr w:rsidR="005655CA" w:rsidRPr="005655CA" w14:paraId="2A1D186A" w14:textId="77777777" w:rsidTr="00A36A97">
        <w:trPr>
          <w:cantSplit/>
          <w:trHeight w:val="290"/>
        </w:trPr>
        <w:tc>
          <w:tcPr>
            <w:tcW w:w="4225" w:type="dxa"/>
            <w:tcBorders>
              <w:top w:val="nil"/>
              <w:left w:val="single" w:sz="4" w:space="0" w:color="auto"/>
              <w:bottom w:val="single" w:sz="4" w:space="0" w:color="auto"/>
              <w:right w:val="single" w:sz="4" w:space="0" w:color="auto"/>
            </w:tcBorders>
            <w:noWrap/>
            <w:vAlign w:val="bottom"/>
            <w:hideMark/>
          </w:tcPr>
          <w:p w14:paraId="18248A0A" w14:textId="00CD5A00" w:rsidR="005655CA" w:rsidRPr="00F8637E" w:rsidRDefault="005655CA" w:rsidP="005655CA">
            <w:pPr>
              <w:rPr>
                <w:rFonts w:cs="Arial"/>
                <w:bCs/>
                <w:sz w:val="20"/>
                <w:szCs w:val="20"/>
              </w:rPr>
            </w:pPr>
            <w:r w:rsidRPr="00F8637E">
              <w:rPr>
                <w:rFonts w:cs="Arial"/>
                <w:bCs/>
                <w:sz w:val="20"/>
                <w:szCs w:val="20"/>
              </w:rPr>
              <w:t>Percent Performed at Endoscopy Center</w:t>
            </w:r>
          </w:p>
        </w:tc>
        <w:tc>
          <w:tcPr>
            <w:tcW w:w="1080" w:type="dxa"/>
            <w:tcBorders>
              <w:top w:val="nil"/>
              <w:left w:val="nil"/>
              <w:bottom w:val="single" w:sz="4" w:space="0" w:color="auto"/>
              <w:right w:val="single" w:sz="4" w:space="0" w:color="auto"/>
            </w:tcBorders>
            <w:noWrap/>
            <w:hideMark/>
          </w:tcPr>
          <w:p w14:paraId="4CD05BED" w14:textId="77777777" w:rsidR="005655CA" w:rsidRPr="00F8637E" w:rsidRDefault="005655CA" w:rsidP="005655CA">
            <w:pPr>
              <w:jc w:val="center"/>
              <w:rPr>
                <w:rFonts w:cs="Arial"/>
                <w:bCs/>
                <w:sz w:val="20"/>
                <w:szCs w:val="20"/>
              </w:rPr>
            </w:pPr>
            <w:r w:rsidRPr="00F8637E">
              <w:rPr>
                <w:rFonts w:cs="Arial"/>
                <w:bCs/>
                <w:sz w:val="20"/>
                <w:szCs w:val="20"/>
              </w:rPr>
              <w:t>75%</w:t>
            </w:r>
          </w:p>
        </w:tc>
        <w:tc>
          <w:tcPr>
            <w:tcW w:w="990" w:type="dxa"/>
            <w:tcBorders>
              <w:top w:val="nil"/>
              <w:left w:val="nil"/>
              <w:bottom w:val="single" w:sz="4" w:space="0" w:color="auto"/>
              <w:right w:val="single" w:sz="4" w:space="0" w:color="auto"/>
            </w:tcBorders>
            <w:noWrap/>
            <w:hideMark/>
          </w:tcPr>
          <w:p w14:paraId="70637913" w14:textId="77777777" w:rsidR="005655CA" w:rsidRPr="00F8637E" w:rsidRDefault="005655CA" w:rsidP="005655CA">
            <w:pPr>
              <w:jc w:val="center"/>
              <w:rPr>
                <w:rFonts w:cs="Arial"/>
                <w:bCs/>
                <w:sz w:val="20"/>
                <w:szCs w:val="20"/>
              </w:rPr>
            </w:pPr>
            <w:r w:rsidRPr="00F8637E">
              <w:rPr>
                <w:rFonts w:cs="Arial"/>
                <w:bCs/>
                <w:sz w:val="20"/>
                <w:szCs w:val="20"/>
              </w:rPr>
              <w:t>80%</w:t>
            </w:r>
          </w:p>
        </w:tc>
        <w:tc>
          <w:tcPr>
            <w:tcW w:w="990" w:type="dxa"/>
            <w:tcBorders>
              <w:top w:val="nil"/>
              <w:left w:val="nil"/>
              <w:bottom w:val="single" w:sz="4" w:space="0" w:color="auto"/>
              <w:right w:val="single" w:sz="4" w:space="0" w:color="auto"/>
            </w:tcBorders>
            <w:noWrap/>
            <w:hideMark/>
          </w:tcPr>
          <w:p w14:paraId="3328AFE9" w14:textId="77777777" w:rsidR="005655CA" w:rsidRPr="00F8637E" w:rsidRDefault="005655CA" w:rsidP="005655CA">
            <w:pPr>
              <w:jc w:val="center"/>
              <w:rPr>
                <w:rFonts w:cs="Arial"/>
                <w:bCs/>
                <w:sz w:val="20"/>
                <w:szCs w:val="20"/>
              </w:rPr>
            </w:pPr>
            <w:r w:rsidRPr="00F8637E">
              <w:rPr>
                <w:rFonts w:cs="Arial"/>
                <w:bCs/>
                <w:sz w:val="20"/>
                <w:szCs w:val="20"/>
              </w:rPr>
              <w:t>78%</w:t>
            </w:r>
          </w:p>
        </w:tc>
        <w:tc>
          <w:tcPr>
            <w:tcW w:w="904" w:type="dxa"/>
            <w:tcBorders>
              <w:top w:val="single" w:sz="4" w:space="0" w:color="auto"/>
              <w:left w:val="nil"/>
              <w:bottom w:val="single" w:sz="4" w:space="0" w:color="auto"/>
              <w:right w:val="single" w:sz="4" w:space="0" w:color="auto"/>
            </w:tcBorders>
            <w:noWrap/>
            <w:hideMark/>
          </w:tcPr>
          <w:p w14:paraId="3AF14799" w14:textId="77777777" w:rsidR="005655CA" w:rsidRPr="00F8637E" w:rsidRDefault="005655CA" w:rsidP="005655CA">
            <w:pPr>
              <w:jc w:val="center"/>
              <w:rPr>
                <w:rFonts w:cs="Arial"/>
                <w:bCs/>
                <w:sz w:val="20"/>
                <w:szCs w:val="20"/>
              </w:rPr>
            </w:pPr>
            <w:r w:rsidRPr="00F8637E">
              <w:rPr>
                <w:rFonts w:cs="Arial"/>
                <w:bCs/>
                <w:sz w:val="20"/>
                <w:szCs w:val="20"/>
              </w:rPr>
              <w:t>80%</w:t>
            </w:r>
          </w:p>
        </w:tc>
        <w:tc>
          <w:tcPr>
            <w:tcW w:w="1261" w:type="dxa"/>
            <w:tcBorders>
              <w:top w:val="single" w:sz="4" w:space="0" w:color="auto"/>
              <w:left w:val="nil"/>
              <w:bottom w:val="single" w:sz="4" w:space="0" w:color="auto"/>
              <w:right w:val="single" w:sz="4" w:space="0" w:color="auto"/>
            </w:tcBorders>
            <w:hideMark/>
          </w:tcPr>
          <w:p w14:paraId="55549D23" w14:textId="77777777" w:rsidR="005655CA" w:rsidRPr="00F8637E" w:rsidRDefault="005655CA" w:rsidP="005655CA">
            <w:pPr>
              <w:jc w:val="center"/>
              <w:rPr>
                <w:rFonts w:cs="Arial"/>
                <w:bCs/>
                <w:sz w:val="20"/>
                <w:szCs w:val="20"/>
              </w:rPr>
            </w:pPr>
            <w:r w:rsidRPr="00F8637E">
              <w:rPr>
                <w:rFonts w:cs="Arial"/>
                <w:bCs/>
                <w:sz w:val="20"/>
                <w:szCs w:val="20"/>
              </w:rPr>
              <w:t>183%</w:t>
            </w:r>
          </w:p>
        </w:tc>
      </w:tr>
    </w:tbl>
    <w:p w14:paraId="393E6609" w14:textId="7158B5B0" w:rsidR="005655CA" w:rsidRDefault="005655CA" w:rsidP="005655CA">
      <w:pPr>
        <w:spacing w:before="240" w:after="240"/>
        <w:jc w:val="both"/>
        <w:rPr>
          <w:rFonts w:cs="Arial"/>
          <w:bCs/>
          <w:sz w:val="21"/>
          <w:szCs w:val="21"/>
        </w:rPr>
      </w:pPr>
      <w:r w:rsidRPr="005655CA">
        <w:rPr>
          <w:rFonts w:cs="Arial"/>
          <w:bCs/>
          <w:sz w:val="21"/>
          <w:szCs w:val="21"/>
        </w:rPr>
        <w:t xml:space="preserve">Over the past four years, the Endoscopy Center </w:t>
      </w:r>
      <w:r w:rsidR="00AC310F">
        <w:rPr>
          <w:rFonts w:cs="Arial"/>
          <w:bCs/>
          <w:sz w:val="21"/>
          <w:szCs w:val="21"/>
        </w:rPr>
        <w:t>had</w:t>
      </w:r>
      <w:r w:rsidRPr="005655CA">
        <w:rPr>
          <w:rFonts w:cs="Arial"/>
          <w:bCs/>
          <w:sz w:val="21"/>
          <w:szCs w:val="21"/>
        </w:rPr>
        <w:t xml:space="preserve"> significant growth in procedure volume and utilization. In FY25, diagnostic procedures accounted for </w:t>
      </w:r>
      <w:r w:rsidR="00367B50">
        <w:rPr>
          <w:rFonts w:cs="Arial"/>
          <w:bCs/>
          <w:sz w:val="21"/>
          <w:szCs w:val="21"/>
        </w:rPr>
        <w:t>the overwhelming majority (83%)</w:t>
      </w:r>
      <w:r w:rsidRPr="005655CA">
        <w:rPr>
          <w:rFonts w:cs="Arial"/>
          <w:bCs/>
          <w:sz w:val="21"/>
          <w:szCs w:val="21"/>
        </w:rPr>
        <w:t xml:space="preserve"> of the Endoscopy Center’s volume, reflecting a 199% increase from FY22.</w:t>
      </w:r>
      <w:r w:rsidR="00281747">
        <w:rPr>
          <w:rStyle w:val="FootnoteReference"/>
          <w:rFonts w:cs="Arial"/>
          <w:bCs/>
          <w:sz w:val="21"/>
          <w:szCs w:val="21"/>
        </w:rPr>
        <w:footnoteReference w:id="11"/>
      </w:r>
      <w:r w:rsidRPr="005655CA">
        <w:rPr>
          <w:rFonts w:cs="Arial"/>
          <w:bCs/>
          <w:sz w:val="21"/>
          <w:szCs w:val="21"/>
        </w:rPr>
        <w:t xml:space="preserve"> Screening procedures also </w:t>
      </w:r>
      <w:r w:rsidR="00AC310F">
        <w:rPr>
          <w:rFonts w:cs="Arial"/>
          <w:bCs/>
          <w:sz w:val="21"/>
          <w:szCs w:val="21"/>
        </w:rPr>
        <w:t>increased</w:t>
      </w:r>
      <w:r w:rsidRPr="005655CA">
        <w:rPr>
          <w:rFonts w:cs="Arial"/>
          <w:bCs/>
          <w:sz w:val="21"/>
          <w:szCs w:val="21"/>
        </w:rPr>
        <w:t xml:space="preserve"> substantial</w:t>
      </w:r>
      <w:r w:rsidR="00AC310F">
        <w:rPr>
          <w:rFonts w:cs="Arial"/>
          <w:bCs/>
          <w:sz w:val="21"/>
          <w:szCs w:val="21"/>
        </w:rPr>
        <w:t>ly</w:t>
      </w:r>
      <w:r w:rsidRPr="005655CA">
        <w:rPr>
          <w:rFonts w:cs="Arial"/>
          <w:bCs/>
          <w:sz w:val="21"/>
          <w:szCs w:val="21"/>
        </w:rPr>
        <w:t xml:space="preserve">, with a 216% increase over the same period, highlighting the Endoscopy Center’s </w:t>
      </w:r>
      <w:r w:rsidR="00AC310F">
        <w:rPr>
          <w:rFonts w:cs="Arial"/>
          <w:bCs/>
          <w:sz w:val="21"/>
          <w:szCs w:val="21"/>
        </w:rPr>
        <w:t>pivotal</w:t>
      </w:r>
      <w:r w:rsidRPr="005655CA">
        <w:rPr>
          <w:rFonts w:cs="Arial"/>
          <w:bCs/>
          <w:sz w:val="21"/>
          <w:szCs w:val="21"/>
        </w:rPr>
        <w:t xml:space="preserve"> role in </w:t>
      </w:r>
      <w:r w:rsidR="00AC310F">
        <w:rPr>
          <w:rFonts w:cs="Arial"/>
          <w:bCs/>
          <w:sz w:val="21"/>
          <w:szCs w:val="21"/>
        </w:rPr>
        <w:t xml:space="preserve">providing </w:t>
      </w:r>
      <w:r w:rsidRPr="005655CA">
        <w:rPr>
          <w:rFonts w:cs="Arial"/>
          <w:bCs/>
          <w:sz w:val="21"/>
          <w:szCs w:val="21"/>
        </w:rPr>
        <w:t>preventive care</w:t>
      </w:r>
      <w:r w:rsidR="00AC310F">
        <w:rPr>
          <w:rFonts w:cs="Arial"/>
          <w:bCs/>
          <w:sz w:val="21"/>
          <w:szCs w:val="21"/>
        </w:rPr>
        <w:t xml:space="preserve"> to the Hospital’s patient population</w:t>
      </w:r>
      <w:r w:rsidRPr="005655CA">
        <w:rPr>
          <w:rFonts w:cs="Arial"/>
          <w:bCs/>
          <w:sz w:val="21"/>
          <w:szCs w:val="21"/>
        </w:rPr>
        <w:t xml:space="preserve">. Most notably, overall utilization of the Endoscopy Center reached 92% in FY25, up from just 31% in FY22, demonstrating the growing demand for the Center’s services and the need for the Proposed Project. Moreover, the Endoscopy Center’s current utilization is </w:t>
      </w:r>
      <w:r w:rsidR="00281747">
        <w:rPr>
          <w:rFonts w:cs="Arial"/>
          <w:bCs/>
          <w:sz w:val="21"/>
          <w:szCs w:val="21"/>
        </w:rPr>
        <w:t>nine (9)</w:t>
      </w:r>
      <w:r w:rsidRPr="005655CA">
        <w:rPr>
          <w:rFonts w:cs="Arial"/>
          <w:bCs/>
          <w:sz w:val="21"/>
          <w:szCs w:val="21"/>
        </w:rPr>
        <w:t xml:space="preserve"> percentage points above the Hospital’s target utilization of 80%. </w:t>
      </w:r>
    </w:p>
    <w:p w14:paraId="6250B3D4" w14:textId="07A1B90B" w:rsidR="005D2ACD" w:rsidRDefault="005D2ACD" w:rsidP="005655CA">
      <w:pPr>
        <w:spacing w:before="240" w:after="240"/>
        <w:jc w:val="both"/>
        <w:rPr>
          <w:rFonts w:cs="Arial"/>
          <w:bCs/>
          <w:sz w:val="21"/>
          <w:szCs w:val="21"/>
        </w:rPr>
      </w:pPr>
      <w:r>
        <w:rPr>
          <w:rFonts w:cs="Arial"/>
          <w:bCs/>
          <w:sz w:val="21"/>
          <w:szCs w:val="21"/>
        </w:rPr>
        <w:t xml:space="preserve">The Endoscopy Center’s utilization from FY22 through FY25 is detailed in Table 5 below. </w:t>
      </w:r>
    </w:p>
    <w:p w14:paraId="165CB109" w14:textId="503EA3FE" w:rsidR="00B24F37" w:rsidRPr="005655CA" w:rsidRDefault="00B24F37" w:rsidP="00025C89">
      <w:pPr>
        <w:pStyle w:val="Heading3"/>
        <w:ind w:left="0"/>
      </w:pPr>
      <w:r w:rsidRPr="005655CA">
        <w:t xml:space="preserve">Table </w:t>
      </w:r>
      <w:r>
        <w:t>5</w:t>
      </w:r>
      <w:r w:rsidRPr="005655CA">
        <w:t>: Endoscopy Center Utilization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990"/>
        <w:gridCol w:w="1080"/>
        <w:gridCol w:w="990"/>
        <w:gridCol w:w="1030"/>
        <w:gridCol w:w="1225"/>
      </w:tblGrid>
      <w:tr w:rsidR="00F80026" w:rsidRPr="005655CA" w14:paraId="3EC52B65" w14:textId="77777777" w:rsidTr="00A36A97">
        <w:trPr>
          <w:cantSplit/>
          <w:trHeight w:val="290"/>
          <w:tblHeader/>
        </w:trPr>
        <w:tc>
          <w:tcPr>
            <w:tcW w:w="4135" w:type="dxa"/>
            <w:tcBorders>
              <w:top w:val="single" w:sz="4" w:space="0" w:color="auto"/>
              <w:left w:val="single" w:sz="4" w:space="0" w:color="auto"/>
              <w:bottom w:val="single" w:sz="4" w:space="0" w:color="auto"/>
              <w:right w:val="single" w:sz="4" w:space="0" w:color="auto"/>
            </w:tcBorders>
            <w:shd w:val="clear" w:color="auto" w:fill="0E2841" w:themeFill="text2"/>
            <w:noWrap/>
            <w:vAlign w:val="center"/>
            <w:hideMark/>
          </w:tcPr>
          <w:p w14:paraId="29DD44B5" w14:textId="3BF5FF21" w:rsidR="00F80026" w:rsidRPr="005655CA" w:rsidRDefault="00F80026" w:rsidP="00F80026">
            <w:pPr>
              <w:jc w:val="both"/>
              <w:rPr>
                <w:rFonts w:cs="Arial"/>
                <w:b/>
                <w:bCs/>
                <w:sz w:val="21"/>
                <w:szCs w:val="21"/>
              </w:rPr>
            </w:pPr>
            <w:r>
              <w:rPr>
                <w:rFonts w:cs="Arial"/>
                <w:b/>
                <w:bCs/>
                <w:sz w:val="21"/>
                <w:szCs w:val="21"/>
              </w:rPr>
              <w:t>Procedure Type</w:t>
            </w:r>
          </w:p>
        </w:tc>
        <w:tc>
          <w:tcPr>
            <w:tcW w:w="990" w:type="dxa"/>
            <w:tcBorders>
              <w:top w:val="single" w:sz="4" w:space="0" w:color="auto"/>
              <w:left w:val="single" w:sz="4" w:space="0" w:color="auto"/>
              <w:bottom w:val="single" w:sz="4" w:space="0" w:color="auto"/>
              <w:right w:val="single" w:sz="4" w:space="0" w:color="auto"/>
            </w:tcBorders>
            <w:shd w:val="clear" w:color="auto" w:fill="0E2841" w:themeFill="text2"/>
            <w:noWrap/>
            <w:vAlign w:val="center"/>
            <w:hideMark/>
          </w:tcPr>
          <w:p w14:paraId="28A19AA3" w14:textId="1A25CFF8" w:rsidR="00F80026" w:rsidRPr="005655CA" w:rsidRDefault="00F80026" w:rsidP="00F80026">
            <w:pPr>
              <w:jc w:val="center"/>
              <w:rPr>
                <w:rFonts w:cs="Arial"/>
                <w:b/>
                <w:bCs/>
                <w:sz w:val="21"/>
                <w:szCs w:val="21"/>
              </w:rPr>
            </w:pPr>
            <w:r w:rsidRPr="00F8637E">
              <w:rPr>
                <w:rFonts w:cs="Arial"/>
                <w:b/>
                <w:bCs/>
                <w:sz w:val="20"/>
                <w:szCs w:val="20"/>
              </w:rPr>
              <w:t>FY22</w:t>
            </w:r>
          </w:p>
        </w:tc>
        <w:tc>
          <w:tcPr>
            <w:tcW w:w="1080" w:type="dxa"/>
            <w:tcBorders>
              <w:top w:val="single" w:sz="4" w:space="0" w:color="auto"/>
              <w:left w:val="single" w:sz="4" w:space="0" w:color="auto"/>
              <w:bottom w:val="single" w:sz="4" w:space="0" w:color="auto"/>
              <w:right w:val="single" w:sz="4" w:space="0" w:color="auto"/>
            </w:tcBorders>
            <w:shd w:val="clear" w:color="auto" w:fill="0E2841" w:themeFill="text2"/>
            <w:noWrap/>
            <w:vAlign w:val="center"/>
            <w:hideMark/>
          </w:tcPr>
          <w:p w14:paraId="5AB6329C" w14:textId="49593721" w:rsidR="00F80026" w:rsidRPr="005655CA" w:rsidRDefault="00F80026" w:rsidP="00F80026">
            <w:pPr>
              <w:jc w:val="center"/>
              <w:rPr>
                <w:rFonts w:cs="Arial"/>
                <w:b/>
                <w:bCs/>
                <w:sz w:val="21"/>
                <w:szCs w:val="21"/>
              </w:rPr>
            </w:pPr>
            <w:r w:rsidRPr="00F8637E">
              <w:rPr>
                <w:rFonts w:cs="Arial"/>
                <w:b/>
                <w:bCs/>
                <w:sz w:val="20"/>
                <w:szCs w:val="20"/>
              </w:rPr>
              <w:t>FY23</w:t>
            </w:r>
          </w:p>
        </w:tc>
        <w:tc>
          <w:tcPr>
            <w:tcW w:w="990" w:type="dxa"/>
            <w:tcBorders>
              <w:top w:val="single" w:sz="4" w:space="0" w:color="auto"/>
              <w:left w:val="single" w:sz="4" w:space="0" w:color="auto"/>
              <w:bottom w:val="single" w:sz="4" w:space="0" w:color="auto"/>
              <w:right w:val="single" w:sz="4" w:space="0" w:color="auto"/>
            </w:tcBorders>
            <w:shd w:val="clear" w:color="auto" w:fill="0E2841" w:themeFill="text2"/>
            <w:noWrap/>
            <w:vAlign w:val="center"/>
            <w:hideMark/>
          </w:tcPr>
          <w:p w14:paraId="1AC06AE2" w14:textId="113332CA" w:rsidR="00F80026" w:rsidRPr="005655CA" w:rsidRDefault="00F80026" w:rsidP="00F80026">
            <w:pPr>
              <w:jc w:val="center"/>
              <w:rPr>
                <w:rFonts w:cs="Arial"/>
                <w:b/>
                <w:bCs/>
                <w:sz w:val="21"/>
                <w:szCs w:val="21"/>
              </w:rPr>
            </w:pPr>
            <w:r w:rsidRPr="00F8637E">
              <w:rPr>
                <w:rFonts w:cs="Arial"/>
                <w:b/>
                <w:bCs/>
                <w:sz w:val="20"/>
                <w:szCs w:val="20"/>
              </w:rPr>
              <w:t>FY24</w:t>
            </w:r>
          </w:p>
        </w:tc>
        <w:tc>
          <w:tcPr>
            <w:tcW w:w="1030" w:type="dxa"/>
            <w:tcBorders>
              <w:top w:val="single" w:sz="4" w:space="0" w:color="auto"/>
              <w:left w:val="single" w:sz="4" w:space="0" w:color="auto"/>
              <w:bottom w:val="single" w:sz="4" w:space="0" w:color="auto"/>
              <w:right w:val="single" w:sz="4" w:space="0" w:color="auto"/>
            </w:tcBorders>
            <w:shd w:val="clear" w:color="auto" w:fill="0E2841" w:themeFill="text2"/>
            <w:noWrap/>
            <w:vAlign w:val="center"/>
            <w:hideMark/>
          </w:tcPr>
          <w:p w14:paraId="62D11C44" w14:textId="73FB7782" w:rsidR="00F80026" w:rsidRPr="005655CA" w:rsidRDefault="00F80026" w:rsidP="00F80026">
            <w:pPr>
              <w:jc w:val="center"/>
              <w:rPr>
                <w:rFonts w:cs="Arial"/>
                <w:b/>
                <w:bCs/>
                <w:sz w:val="21"/>
                <w:szCs w:val="21"/>
              </w:rPr>
            </w:pPr>
            <w:r w:rsidRPr="00F8637E">
              <w:rPr>
                <w:rFonts w:cs="Arial"/>
                <w:b/>
                <w:bCs/>
                <w:sz w:val="20"/>
                <w:szCs w:val="20"/>
              </w:rPr>
              <w:t>FY25</w:t>
            </w:r>
          </w:p>
        </w:tc>
        <w:tc>
          <w:tcPr>
            <w:tcW w:w="1225" w:type="dxa"/>
            <w:tcBorders>
              <w:top w:val="single" w:sz="4" w:space="0" w:color="auto"/>
              <w:left w:val="single" w:sz="4" w:space="0" w:color="auto"/>
              <w:bottom w:val="single" w:sz="4" w:space="0" w:color="auto"/>
              <w:right w:val="single" w:sz="4" w:space="0" w:color="auto"/>
            </w:tcBorders>
            <w:shd w:val="clear" w:color="auto" w:fill="0E2841" w:themeFill="text2"/>
            <w:noWrap/>
            <w:vAlign w:val="center"/>
            <w:hideMark/>
          </w:tcPr>
          <w:p w14:paraId="0B365770" w14:textId="45C58ABF" w:rsidR="00F80026" w:rsidRPr="005655CA" w:rsidRDefault="00F80026" w:rsidP="00F80026">
            <w:pPr>
              <w:jc w:val="center"/>
              <w:rPr>
                <w:rFonts w:cs="Arial"/>
                <w:b/>
                <w:bCs/>
                <w:sz w:val="21"/>
                <w:szCs w:val="21"/>
              </w:rPr>
            </w:pPr>
            <w:r w:rsidRPr="00F8637E">
              <w:rPr>
                <w:rFonts w:cs="Arial"/>
                <w:b/>
                <w:bCs/>
                <w:sz w:val="20"/>
                <w:szCs w:val="20"/>
              </w:rPr>
              <w:t>4-Year Change</w:t>
            </w:r>
          </w:p>
        </w:tc>
      </w:tr>
      <w:tr w:rsidR="005655CA" w:rsidRPr="005655CA" w14:paraId="4BC96B2A" w14:textId="77777777" w:rsidTr="00A36A97">
        <w:trPr>
          <w:cantSplit/>
          <w:trHeight w:val="290"/>
        </w:trPr>
        <w:tc>
          <w:tcPr>
            <w:tcW w:w="4135" w:type="dxa"/>
            <w:tcBorders>
              <w:top w:val="single" w:sz="4" w:space="0" w:color="auto"/>
              <w:left w:val="single" w:sz="4" w:space="0" w:color="auto"/>
              <w:bottom w:val="single" w:sz="4" w:space="0" w:color="auto"/>
              <w:right w:val="single" w:sz="4" w:space="0" w:color="auto"/>
            </w:tcBorders>
            <w:noWrap/>
            <w:vAlign w:val="bottom"/>
            <w:hideMark/>
          </w:tcPr>
          <w:p w14:paraId="2D1E9503" w14:textId="77777777" w:rsidR="005655CA" w:rsidRPr="00F80026" w:rsidRDefault="005655CA" w:rsidP="005655CA">
            <w:pPr>
              <w:jc w:val="both"/>
              <w:rPr>
                <w:rFonts w:cs="Arial"/>
                <w:bCs/>
                <w:sz w:val="20"/>
                <w:szCs w:val="20"/>
              </w:rPr>
            </w:pPr>
            <w:r w:rsidRPr="00F80026">
              <w:rPr>
                <w:rFonts w:cs="Arial"/>
                <w:bCs/>
                <w:sz w:val="20"/>
                <w:szCs w:val="20"/>
              </w:rPr>
              <w:t>Diagnostic</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9476D55" w14:textId="77777777" w:rsidR="005655CA" w:rsidRPr="00F80026" w:rsidRDefault="005655CA" w:rsidP="005655CA">
            <w:pPr>
              <w:jc w:val="center"/>
              <w:rPr>
                <w:rFonts w:cs="Arial"/>
                <w:bCs/>
                <w:sz w:val="20"/>
                <w:szCs w:val="20"/>
              </w:rPr>
            </w:pPr>
            <w:r w:rsidRPr="00F80026">
              <w:rPr>
                <w:rFonts w:cs="Arial"/>
                <w:bCs/>
                <w:sz w:val="20"/>
                <w:szCs w:val="20"/>
              </w:rPr>
              <w:t>3,102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143A162C" w14:textId="77777777" w:rsidR="005655CA" w:rsidRPr="00F80026" w:rsidRDefault="005655CA" w:rsidP="005655CA">
            <w:pPr>
              <w:jc w:val="center"/>
              <w:rPr>
                <w:rFonts w:cs="Arial"/>
                <w:bCs/>
                <w:sz w:val="20"/>
                <w:szCs w:val="20"/>
              </w:rPr>
            </w:pPr>
            <w:r w:rsidRPr="00F80026">
              <w:rPr>
                <w:rFonts w:cs="Arial"/>
                <w:bCs/>
                <w:sz w:val="20"/>
                <w:szCs w:val="20"/>
              </w:rPr>
              <w:t>5,579</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371439E" w14:textId="77777777" w:rsidR="005655CA" w:rsidRPr="00F80026" w:rsidRDefault="005655CA" w:rsidP="005655CA">
            <w:pPr>
              <w:jc w:val="center"/>
              <w:rPr>
                <w:rFonts w:cs="Arial"/>
                <w:bCs/>
                <w:sz w:val="20"/>
                <w:szCs w:val="20"/>
              </w:rPr>
            </w:pPr>
            <w:r w:rsidRPr="00F80026">
              <w:rPr>
                <w:rFonts w:cs="Arial"/>
                <w:bCs/>
                <w:sz w:val="20"/>
                <w:szCs w:val="20"/>
              </w:rPr>
              <w:t>7,311</w:t>
            </w:r>
          </w:p>
        </w:tc>
        <w:tc>
          <w:tcPr>
            <w:tcW w:w="1030" w:type="dxa"/>
            <w:tcBorders>
              <w:top w:val="single" w:sz="4" w:space="0" w:color="auto"/>
              <w:left w:val="single" w:sz="4" w:space="0" w:color="auto"/>
              <w:bottom w:val="single" w:sz="4" w:space="0" w:color="auto"/>
              <w:right w:val="single" w:sz="4" w:space="0" w:color="auto"/>
            </w:tcBorders>
            <w:noWrap/>
            <w:vAlign w:val="bottom"/>
            <w:hideMark/>
          </w:tcPr>
          <w:p w14:paraId="7B3BCFA0" w14:textId="77777777" w:rsidR="005655CA" w:rsidRPr="00F80026" w:rsidRDefault="005655CA" w:rsidP="005655CA">
            <w:pPr>
              <w:jc w:val="center"/>
              <w:rPr>
                <w:rFonts w:cs="Arial"/>
                <w:bCs/>
                <w:sz w:val="20"/>
                <w:szCs w:val="20"/>
              </w:rPr>
            </w:pPr>
            <w:r w:rsidRPr="00F80026">
              <w:rPr>
                <w:rFonts w:cs="Arial"/>
                <w:bCs/>
                <w:sz w:val="20"/>
                <w:szCs w:val="20"/>
              </w:rPr>
              <w:t>9,270</w:t>
            </w:r>
          </w:p>
        </w:tc>
        <w:tc>
          <w:tcPr>
            <w:tcW w:w="1225" w:type="dxa"/>
            <w:tcBorders>
              <w:top w:val="single" w:sz="4" w:space="0" w:color="auto"/>
              <w:left w:val="single" w:sz="4" w:space="0" w:color="auto"/>
              <w:bottom w:val="single" w:sz="4" w:space="0" w:color="auto"/>
              <w:right w:val="single" w:sz="4" w:space="0" w:color="auto"/>
            </w:tcBorders>
            <w:noWrap/>
            <w:vAlign w:val="bottom"/>
            <w:hideMark/>
          </w:tcPr>
          <w:p w14:paraId="4099150D" w14:textId="77777777" w:rsidR="005655CA" w:rsidRPr="00F80026" w:rsidRDefault="005655CA" w:rsidP="005655CA">
            <w:pPr>
              <w:jc w:val="center"/>
              <w:rPr>
                <w:rFonts w:cs="Arial"/>
                <w:bCs/>
                <w:sz w:val="20"/>
                <w:szCs w:val="20"/>
              </w:rPr>
            </w:pPr>
            <w:r w:rsidRPr="00F80026">
              <w:rPr>
                <w:rFonts w:cs="Arial"/>
                <w:bCs/>
                <w:sz w:val="20"/>
                <w:szCs w:val="20"/>
              </w:rPr>
              <w:t>199%</w:t>
            </w:r>
          </w:p>
        </w:tc>
      </w:tr>
      <w:tr w:rsidR="005655CA" w:rsidRPr="005655CA" w14:paraId="304FFCC1" w14:textId="77777777" w:rsidTr="00A36A97">
        <w:trPr>
          <w:cantSplit/>
          <w:trHeight w:val="290"/>
        </w:trPr>
        <w:tc>
          <w:tcPr>
            <w:tcW w:w="4135" w:type="dxa"/>
            <w:tcBorders>
              <w:top w:val="single" w:sz="4" w:space="0" w:color="auto"/>
              <w:left w:val="single" w:sz="4" w:space="0" w:color="auto"/>
              <w:bottom w:val="single" w:sz="4" w:space="0" w:color="auto"/>
              <w:right w:val="single" w:sz="4" w:space="0" w:color="auto"/>
            </w:tcBorders>
            <w:noWrap/>
            <w:vAlign w:val="bottom"/>
            <w:hideMark/>
          </w:tcPr>
          <w:p w14:paraId="09210320" w14:textId="77777777" w:rsidR="005655CA" w:rsidRPr="00F80026" w:rsidRDefault="005655CA" w:rsidP="005655CA">
            <w:pPr>
              <w:jc w:val="both"/>
              <w:rPr>
                <w:rFonts w:cs="Arial"/>
                <w:bCs/>
                <w:sz w:val="20"/>
                <w:szCs w:val="20"/>
              </w:rPr>
            </w:pPr>
            <w:r w:rsidRPr="00F80026">
              <w:rPr>
                <w:rFonts w:cs="Arial"/>
                <w:bCs/>
                <w:sz w:val="20"/>
                <w:szCs w:val="20"/>
              </w:rPr>
              <w:t>Screening</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281A66F" w14:textId="77777777" w:rsidR="005655CA" w:rsidRPr="00F80026" w:rsidRDefault="005655CA" w:rsidP="005655CA">
            <w:pPr>
              <w:jc w:val="center"/>
              <w:rPr>
                <w:rFonts w:cs="Arial"/>
                <w:bCs/>
                <w:sz w:val="20"/>
                <w:szCs w:val="20"/>
              </w:rPr>
            </w:pPr>
            <w:r w:rsidRPr="00F80026">
              <w:rPr>
                <w:rFonts w:cs="Arial"/>
                <w:bCs/>
                <w:sz w:val="20"/>
                <w:szCs w:val="20"/>
              </w:rPr>
              <w:t>572</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52DAD8EC" w14:textId="77777777" w:rsidR="005655CA" w:rsidRPr="00F80026" w:rsidRDefault="005655CA" w:rsidP="005655CA">
            <w:pPr>
              <w:jc w:val="center"/>
              <w:rPr>
                <w:rFonts w:cs="Arial"/>
                <w:bCs/>
                <w:sz w:val="20"/>
                <w:szCs w:val="20"/>
              </w:rPr>
            </w:pPr>
            <w:r w:rsidRPr="00F80026">
              <w:rPr>
                <w:rFonts w:cs="Arial"/>
                <w:bCs/>
                <w:sz w:val="20"/>
                <w:szCs w:val="20"/>
              </w:rPr>
              <w:t>1,055</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0C0C574" w14:textId="77777777" w:rsidR="005655CA" w:rsidRPr="00F80026" w:rsidRDefault="005655CA" w:rsidP="005655CA">
            <w:pPr>
              <w:jc w:val="center"/>
              <w:rPr>
                <w:rFonts w:cs="Arial"/>
                <w:bCs/>
                <w:sz w:val="20"/>
                <w:szCs w:val="20"/>
              </w:rPr>
            </w:pPr>
            <w:r w:rsidRPr="00F80026">
              <w:rPr>
                <w:rFonts w:cs="Arial"/>
                <w:bCs/>
                <w:sz w:val="20"/>
                <w:szCs w:val="20"/>
              </w:rPr>
              <w:t>1,360</w:t>
            </w:r>
          </w:p>
        </w:tc>
        <w:tc>
          <w:tcPr>
            <w:tcW w:w="1030" w:type="dxa"/>
            <w:tcBorders>
              <w:top w:val="single" w:sz="4" w:space="0" w:color="auto"/>
              <w:left w:val="single" w:sz="4" w:space="0" w:color="auto"/>
              <w:bottom w:val="single" w:sz="4" w:space="0" w:color="auto"/>
              <w:right w:val="single" w:sz="4" w:space="0" w:color="auto"/>
            </w:tcBorders>
            <w:noWrap/>
            <w:vAlign w:val="bottom"/>
            <w:hideMark/>
          </w:tcPr>
          <w:p w14:paraId="6E63C64F" w14:textId="77777777" w:rsidR="005655CA" w:rsidRPr="00F80026" w:rsidRDefault="005655CA" w:rsidP="005655CA">
            <w:pPr>
              <w:jc w:val="center"/>
              <w:rPr>
                <w:rFonts w:cs="Arial"/>
                <w:bCs/>
                <w:sz w:val="20"/>
                <w:szCs w:val="20"/>
              </w:rPr>
            </w:pPr>
            <w:r w:rsidRPr="00F80026">
              <w:rPr>
                <w:rFonts w:cs="Arial"/>
                <w:bCs/>
                <w:sz w:val="20"/>
                <w:szCs w:val="20"/>
              </w:rPr>
              <w:t>1,809</w:t>
            </w:r>
          </w:p>
        </w:tc>
        <w:tc>
          <w:tcPr>
            <w:tcW w:w="1225" w:type="dxa"/>
            <w:tcBorders>
              <w:top w:val="single" w:sz="4" w:space="0" w:color="auto"/>
              <w:left w:val="single" w:sz="4" w:space="0" w:color="auto"/>
              <w:bottom w:val="single" w:sz="4" w:space="0" w:color="auto"/>
              <w:right w:val="single" w:sz="4" w:space="0" w:color="auto"/>
            </w:tcBorders>
            <w:noWrap/>
            <w:vAlign w:val="bottom"/>
            <w:hideMark/>
          </w:tcPr>
          <w:p w14:paraId="04BBB65F" w14:textId="77777777" w:rsidR="005655CA" w:rsidRPr="00F80026" w:rsidRDefault="005655CA" w:rsidP="005655CA">
            <w:pPr>
              <w:jc w:val="center"/>
              <w:rPr>
                <w:rFonts w:cs="Arial"/>
                <w:bCs/>
                <w:sz w:val="20"/>
                <w:szCs w:val="20"/>
              </w:rPr>
            </w:pPr>
            <w:r w:rsidRPr="00F80026">
              <w:rPr>
                <w:rFonts w:cs="Arial"/>
                <w:bCs/>
                <w:sz w:val="20"/>
                <w:szCs w:val="20"/>
              </w:rPr>
              <w:t>216%</w:t>
            </w:r>
          </w:p>
        </w:tc>
      </w:tr>
      <w:tr w:rsidR="005655CA" w:rsidRPr="005655CA" w14:paraId="183D09D9" w14:textId="77777777" w:rsidTr="00A36A97">
        <w:trPr>
          <w:cantSplit/>
          <w:trHeight w:val="290"/>
        </w:trPr>
        <w:tc>
          <w:tcPr>
            <w:tcW w:w="4135" w:type="dxa"/>
            <w:tcBorders>
              <w:top w:val="single" w:sz="4" w:space="0" w:color="auto"/>
              <w:left w:val="single" w:sz="4" w:space="0" w:color="auto"/>
              <w:bottom w:val="single" w:sz="4" w:space="0" w:color="auto"/>
              <w:right w:val="single" w:sz="4" w:space="0" w:color="auto"/>
            </w:tcBorders>
            <w:noWrap/>
            <w:vAlign w:val="bottom"/>
            <w:hideMark/>
          </w:tcPr>
          <w:p w14:paraId="07A05255" w14:textId="77777777" w:rsidR="005655CA" w:rsidRPr="00F80026" w:rsidRDefault="005655CA" w:rsidP="005655CA">
            <w:pPr>
              <w:jc w:val="both"/>
              <w:rPr>
                <w:rFonts w:cs="Arial"/>
                <w:bCs/>
                <w:sz w:val="20"/>
                <w:szCs w:val="20"/>
              </w:rPr>
            </w:pPr>
            <w:r w:rsidRPr="00F80026">
              <w:rPr>
                <w:rFonts w:cs="Arial"/>
                <w:bCs/>
                <w:sz w:val="20"/>
                <w:szCs w:val="20"/>
              </w:rPr>
              <w:t>Upper</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C832EAB" w14:textId="77777777" w:rsidR="005655CA" w:rsidRPr="00F80026" w:rsidRDefault="005655CA" w:rsidP="005655CA">
            <w:pPr>
              <w:jc w:val="center"/>
              <w:rPr>
                <w:rFonts w:cs="Arial"/>
                <w:bCs/>
                <w:sz w:val="20"/>
                <w:szCs w:val="20"/>
              </w:rPr>
            </w:pPr>
            <w:r w:rsidRPr="00F80026">
              <w:rPr>
                <w:rFonts w:cs="Arial"/>
                <w:bCs/>
                <w:sz w:val="20"/>
                <w:szCs w:val="20"/>
              </w:rPr>
              <w:t>974</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3FA21AE8" w14:textId="77777777" w:rsidR="005655CA" w:rsidRPr="00F80026" w:rsidRDefault="005655CA" w:rsidP="005655CA">
            <w:pPr>
              <w:jc w:val="center"/>
              <w:rPr>
                <w:rFonts w:cs="Arial"/>
                <w:bCs/>
                <w:sz w:val="20"/>
                <w:szCs w:val="20"/>
              </w:rPr>
            </w:pPr>
            <w:r w:rsidRPr="00F80026">
              <w:rPr>
                <w:rFonts w:cs="Arial"/>
                <w:bCs/>
                <w:sz w:val="20"/>
                <w:szCs w:val="20"/>
              </w:rPr>
              <w:t>1,444</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8EF0661" w14:textId="77777777" w:rsidR="005655CA" w:rsidRPr="00F80026" w:rsidRDefault="005655CA" w:rsidP="005655CA">
            <w:pPr>
              <w:jc w:val="center"/>
              <w:rPr>
                <w:rFonts w:cs="Arial"/>
                <w:bCs/>
                <w:sz w:val="20"/>
                <w:szCs w:val="20"/>
              </w:rPr>
            </w:pPr>
            <w:r w:rsidRPr="00F80026">
              <w:rPr>
                <w:rFonts w:cs="Arial"/>
                <w:bCs/>
                <w:sz w:val="20"/>
                <w:szCs w:val="20"/>
              </w:rPr>
              <w:t>1,998</w:t>
            </w:r>
          </w:p>
        </w:tc>
        <w:tc>
          <w:tcPr>
            <w:tcW w:w="1030" w:type="dxa"/>
            <w:tcBorders>
              <w:top w:val="single" w:sz="4" w:space="0" w:color="auto"/>
              <w:left w:val="single" w:sz="4" w:space="0" w:color="auto"/>
              <w:bottom w:val="single" w:sz="4" w:space="0" w:color="auto"/>
              <w:right w:val="single" w:sz="4" w:space="0" w:color="auto"/>
            </w:tcBorders>
            <w:noWrap/>
            <w:vAlign w:val="bottom"/>
            <w:hideMark/>
          </w:tcPr>
          <w:p w14:paraId="14D497C0" w14:textId="77777777" w:rsidR="005655CA" w:rsidRPr="00F80026" w:rsidRDefault="005655CA" w:rsidP="005655CA">
            <w:pPr>
              <w:jc w:val="center"/>
              <w:rPr>
                <w:rFonts w:cs="Arial"/>
                <w:bCs/>
                <w:sz w:val="20"/>
                <w:szCs w:val="20"/>
              </w:rPr>
            </w:pPr>
            <w:r w:rsidRPr="00F80026">
              <w:rPr>
                <w:rFonts w:cs="Arial"/>
                <w:bCs/>
                <w:sz w:val="20"/>
                <w:szCs w:val="20"/>
              </w:rPr>
              <w:t>2,444</w:t>
            </w:r>
          </w:p>
        </w:tc>
        <w:tc>
          <w:tcPr>
            <w:tcW w:w="1225" w:type="dxa"/>
            <w:tcBorders>
              <w:top w:val="single" w:sz="4" w:space="0" w:color="auto"/>
              <w:left w:val="single" w:sz="4" w:space="0" w:color="auto"/>
              <w:bottom w:val="single" w:sz="4" w:space="0" w:color="auto"/>
              <w:right w:val="single" w:sz="4" w:space="0" w:color="auto"/>
            </w:tcBorders>
            <w:noWrap/>
            <w:vAlign w:val="bottom"/>
            <w:hideMark/>
          </w:tcPr>
          <w:p w14:paraId="3ACE526E" w14:textId="77777777" w:rsidR="005655CA" w:rsidRPr="00F80026" w:rsidRDefault="005655CA" w:rsidP="005655CA">
            <w:pPr>
              <w:jc w:val="center"/>
              <w:rPr>
                <w:rFonts w:cs="Arial"/>
                <w:bCs/>
                <w:sz w:val="20"/>
                <w:szCs w:val="20"/>
              </w:rPr>
            </w:pPr>
            <w:r w:rsidRPr="00F80026">
              <w:rPr>
                <w:rFonts w:cs="Arial"/>
                <w:bCs/>
                <w:sz w:val="20"/>
                <w:szCs w:val="20"/>
              </w:rPr>
              <w:t>151%</w:t>
            </w:r>
          </w:p>
        </w:tc>
      </w:tr>
      <w:tr w:rsidR="005655CA" w:rsidRPr="005655CA" w14:paraId="44C41E43" w14:textId="77777777" w:rsidTr="00A36A97">
        <w:trPr>
          <w:cantSplit/>
          <w:trHeight w:val="290"/>
        </w:trPr>
        <w:tc>
          <w:tcPr>
            <w:tcW w:w="4135" w:type="dxa"/>
            <w:tcBorders>
              <w:top w:val="single" w:sz="4" w:space="0" w:color="auto"/>
              <w:left w:val="single" w:sz="4" w:space="0" w:color="auto"/>
              <w:bottom w:val="single" w:sz="4" w:space="0" w:color="auto"/>
              <w:right w:val="single" w:sz="4" w:space="0" w:color="auto"/>
            </w:tcBorders>
            <w:noWrap/>
            <w:vAlign w:val="bottom"/>
            <w:hideMark/>
          </w:tcPr>
          <w:p w14:paraId="78AF9309" w14:textId="77777777" w:rsidR="005655CA" w:rsidRPr="00F80026" w:rsidRDefault="005655CA" w:rsidP="005655CA">
            <w:pPr>
              <w:jc w:val="both"/>
              <w:rPr>
                <w:rFonts w:cs="Arial"/>
                <w:bCs/>
                <w:sz w:val="20"/>
                <w:szCs w:val="20"/>
              </w:rPr>
            </w:pPr>
            <w:r w:rsidRPr="00F80026">
              <w:rPr>
                <w:rFonts w:cs="Arial"/>
                <w:bCs/>
                <w:sz w:val="20"/>
                <w:szCs w:val="20"/>
              </w:rPr>
              <w:t xml:space="preserve">Lower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2A8ABDF" w14:textId="77777777" w:rsidR="005655CA" w:rsidRPr="00F80026" w:rsidRDefault="005655CA" w:rsidP="005655CA">
            <w:pPr>
              <w:jc w:val="center"/>
              <w:rPr>
                <w:rFonts w:cs="Arial"/>
                <w:bCs/>
                <w:sz w:val="20"/>
                <w:szCs w:val="20"/>
              </w:rPr>
            </w:pPr>
            <w:r w:rsidRPr="00F80026">
              <w:rPr>
                <w:rFonts w:cs="Arial"/>
                <w:bCs/>
                <w:sz w:val="20"/>
                <w:szCs w:val="20"/>
              </w:rPr>
              <w:t>2,700</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1BD63732" w14:textId="77777777" w:rsidR="005655CA" w:rsidRPr="00F80026" w:rsidRDefault="005655CA" w:rsidP="005655CA">
            <w:pPr>
              <w:jc w:val="center"/>
              <w:rPr>
                <w:rFonts w:cs="Arial"/>
                <w:bCs/>
                <w:sz w:val="20"/>
                <w:szCs w:val="20"/>
              </w:rPr>
            </w:pPr>
            <w:r w:rsidRPr="00F80026">
              <w:rPr>
                <w:rFonts w:cs="Arial"/>
                <w:bCs/>
                <w:sz w:val="20"/>
                <w:szCs w:val="20"/>
              </w:rPr>
              <w:t>5,190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41040F4" w14:textId="77777777" w:rsidR="005655CA" w:rsidRPr="00F80026" w:rsidRDefault="005655CA" w:rsidP="005655CA">
            <w:pPr>
              <w:jc w:val="center"/>
              <w:rPr>
                <w:rFonts w:cs="Arial"/>
                <w:bCs/>
                <w:sz w:val="20"/>
                <w:szCs w:val="20"/>
              </w:rPr>
            </w:pPr>
            <w:r w:rsidRPr="00F80026">
              <w:rPr>
                <w:rFonts w:cs="Arial"/>
                <w:bCs/>
                <w:sz w:val="20"/>
                <w:szCs w:val="20"/>
              </w:rPr>
              <w:t>6,673</w:t>
            </w:r>
          </w:p>
        </w:tc>
        <w:tc>
          <w:tcPr>
            <w:tcW w:w="1030" w:type="dxa"/>
            <w:tcBorders>
              <w:top w:val="single" w:sz="4" w:space="0" w:color="auto"/>
              <w:left w:val="single" w:sz="4" w:space="0" w:color="auto"/>
              <w:bottom w:val="single" w:sz="4" w:space="0" w:color="auto"/>
              <w:right w:val="single" w:sz="4" w:space="0" w:color="auto"/>
            </w:tcBorders>
            <w:noWrap/>
            <w:vAlign w:val="bottom"/>
            <w:hideMark/>
          </w:tcPr>
          <w:p w14:paraId="7E987534" w14:textId="77777777" w:rsidR="005655CA" w:rsidRPr="00F80026" w:rsidRDefault="005655CA" w:rsidP="005655CA">
            <w:pPr>
              <w:jc w:val="center"/>
              <w:rPr>
                <w:rFonts w:cs="Arial"/>
                <w:bCs/>
                <w:sz w:val="20"/>
                <w:szCs w:val="20"/>
              </w:rPr>
            </w:pPr>
            <w:r w:rsidRPr="00F80026">
              <w:rPr>
                <w:rFonts w:cs="Arial"/>
                <w:bCs/>
                <w:sz w:val="20"/>
                <w:szCs w:val="20"/>
              </w:rPr>
              <w:t>8,635</w:t>
            </w:r>
          </w:p>
        </w:tc>
        <w:tc>
          <w:tcPr>
            <w:tcW w:w="1225" w:type="dxa"/>
            <w:tcBorders>
              <w:top w:val="single" w:sz="4" w:space="0" w:color="auto"/>
              <w:left w:val="single" w:sz="4" w:space="0" w:color="auto"/>
              <w:bottom w:val="single" w:sz="4" w:space="0" w:color="auto"/>
              <w:right w:val="single" w:sz="4" w:space="0" w:color="auto"/>
            </w:tcBorders>
            <w:noWrap/>
            <w:vAlign w:val="bottom"/>
            <w:hideMark/>
          </w:tcPr>
          <w:p w14:paraId="39D53E4F" w14:textId="77777777" w:rsidR="005655CA" w:rsidRPr="00F80026" w:rsidRDefault="005655CA" w:rsidP="005655CA">
            <w:pPr>
              <w:jc w:val="center"/>
              <w:rPr>
                <w:rFonts w:cs="Arial"/>
                <w:bCs/>
                <w:sz w:val="20"/>
                <w:szCs w:val="20"/>
              </w:rPr>
            </w:pPr>
            <w:r w:rsidRPr="00F80026">
              <w:rPr>
                <w:rFonts w:cs="Arial"/>
                <w:bCs/>
                <w:sz w:val="20"/>
                <w:szCs w:val="20"/>
              </w:rPr>
              <w:t>220%</w:t>
            </w:r>
          </w:p>
        </w:tc>
      </w:tr>
      <w:tr w:rsidR="00281747" w:rsidRPr="005655CA" w14:paraId="28775E13" w14:textId="77777777" w:rsidTr="00A36A97">
        <w:trPr>
          <w:cantSplit/>
          <w:trHeight w:val="290"/>
        </w:trPr>
        <w:tc>
          <w:tcPr>
            <w:tcW w:w="4135" w:type="dxa"/>
            <w:tcBorders>
              <w:top w:val="single" w:sz="4" w:space="0" w:color="auto"/>
              <w:left w:val="single" w:sz="4" w:space="0" w:color="auto"/>
              <w:bottom w:val="single" w:sz="4" w:space="0" w:color="auto"/>
              <w:right w:val="single" w:sz="4" w:space="0" w:color="auto"/>
            </w:tcBorders>
            <w:noWrap/>
            <w:vAlign w:val="bottom"/>
            <w:hideMark/>
          </w:tcPr>
          <w:p w14:paraId="32C9C7B5" w14:textId="77777777" w:rsidR="00281747" w:rsidRPr="00F80026" w:rsidRDefault="00281747" w:rsidP="00281747">
            <w:pPr>
              <w:jc w:val="both"/>
              <w:rPr>
                <w:rFonts w:cs="Arial"/>
                <w:bCs/>
                <w:sz w:val="20"/>
                <w:szCs w:val="20"/>
              </w:rPr>
            </w:pPr>
            <w:r w:rsidRPr="00F80026">
              <w:rPr>
                <w:rFonts w:cs="Arial"/>
                <w:bCs/>
                <w:sz w:val="20"/>
                <w:szCs w:val="20"/>
              </w:rPr>
              <w:t xml:space="preserve">Utilization </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1FF3CA8" w14:textId="10C23EAD" w:rsidR="00281747" w:rsidRPr="00F80026" w:rsidRDefault="00281747" w:rsidP="00281747">
            <w:pPr>
              <w:jc w:val="center"/>
              <w:rPr>
                <w:rFonts w:cs="Arial"/>
                <w:bCs/>
                <w:sz w:val="20"/>
                <w:szCs w:val="20"/>
              </w:rPr>
            </w:pPr>
            <w:r w:rsidRPr="00281747">
              <w:rPr>
                <w:rFonts w:cs="Arial"/>
                <w:bCs/>
                <w:sz w:val="20"/>
                <w:szCs w:val="20"/>
              </w:rPr>
              <w:t>29%</w:t>
            </w:r>
          </w:p>
        </w:tc>
        <w:tc>
          <w:tcPr>
            <w:tcW w:w="1080" w:type="dxa"/>
            <w:tcBorders>
              <w:top w:val="single" w:sz="4" w:space="0" w:color="auto"/>
              <w:left w:val="single" w:sz="4" w:space="0" w:color="auto"/>
              <w:bottom w:val="single" w:sz="4" w:space="0" w:color="auto"/>
              <w:right w:val="single" w:sz="4" w:space="0" w:color="auto"/>
            </w:tcBorders>
            <w:noWrap/>
            <w:vAlign w:val="bottom"/>
            <w:hideMark/>
          </w:tcPr>
          <w:p w14:paraId="37C69A9A" w14:textId="05FC11E6" w:rsidR="00281747" w:rsidRPr="00F80026" w:rsidRDefault="00281747" w:rsidP="00281747">
            <w:pPr>
              <w:jc w:val="center"/>
              <w:rPr>
                <w:rFonts w:cs="Arial"/>
                <w:bCs/>
                <w:sz w:val="20"/>
                <w:szCs w:val="20"/>
              </w:rPr>
            </w:pPr>
            <w:r w:rsidRPr="00281747">
              <w:rPr>
                <w:rFonts w:cs="Arial"/>
                <w:bCs/>
                <w:sz w:val="20"/>
                <w:szCs w:val="20"/>
              </w:rPr>
              <w:t>53%</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925C7CF" w14:textId="7459CFF9" w:rsidR="00281747" w:rsidRPr="00F80026" w:rsidRDefault="00281747" w:rsidP="00281747">
            <w:pPr>
              <w:jc w:val="center"/>
              <w:rPr>
                <w:rFonts w:cs="Arial"/>
                <w:bCs/>
                <w:sz w:val="20"/>
                <w:szCs w:val="20"/>
              </w:rPr>
            </w:pPr>
            <w:r w:rsidRPr="00281747">
              <w:rPr>
                <w:rFonts w:cs="Arial"/>
                <w:bCs/>
                <w:sz w:val="20"/>
                <w:szCs w:val="20"/>
              </w:rPr>
              <w:t>69%</w:t>
            </w:r>
          </w:p>
        </w:tc>
        <w:tc>
          <w:tcPr>
            <w:tcW w:w="1030" w:type="dxa"/>
            <w:tcBorders>
              <w:top w:val="single" w:sz="4" w:space="0" w:color="auto"/>
              <w:left w:val="single" w:sz="4" w:space="0" w:color="auto"/>
              <w:bottom w:val="single" w:sz="4" w:space="0" w:color="auto"/>
              <w:right w:val="single" w:sz="4" w:space="0" w:color="auto"/>
            </w:tcBorders>
            <w:noWrap/>
            <w:vAlign w:val="bottom"/>
            <w:hideMark/>
          </w:tcPr>
          <w:p w14:paraId="196F3415" w14:textId="0E39356B" w:rsidR="00281747" w:rsidRPr="00F80026" w:rsidRDefault="00281747" w:rsidP="00281747">
            <w:pPr>
              <w:jc w:val="center"/>
              <w:rPr>
                <w:rFonts w:cs="Arial"/>
                <w:bCs/>
                <w:sz w:val="20"/>
                <w:szCs w:val="20"/>
              </w:rPr>
            </w:pPr>
            <w:r w:rsidRPr="00281747">
              <w:rPr>
                <w:rFonts w:cs="Arial"/>
                <w:bCs/>
                <w:sz w:val="20"/>
                <w:szCs w:val="20"/>
              </w:rPr>
              <w:t>89%</w:t>
            </w:r>
          </w:p>
        </w:tc>
        <w:tc>
          <w:tcPr>
            <w:tcW w:w="1225" w:type="dxa"/>
            <w:tcBorders>
              <w:top w:val="single" w:sz="4" w:space="0" w:color="auto"/>
              <w:left w:val="single" w:sz="4" w:space="0" w:color="auto"/>
              <w:bottom w:val="single" w:sz="4" w:space="0" w:color="auto"/>
              <w:right w:val="single" w:sz="4" w:space="0" w:color="auto"/>
            </w:tcBorders>
            <w:noWrap/>
            <w:vAlign w:val="bottom"/>
            <w:hideMark/>
          </w:tcPr>
          <w:p w14:paraId="5A2DC1F9" w14:textId="77777777" w:rsidR="00281747" w:rsidRPr="00F80026" w:rsidRDefault="00281747" w:rsidP="00281747">
            <w:pPr>
              <w:jc w:val="center"/>
              <w:rPr>
                <w:rFonts w:cs="Arial"/>
                <w:bCs/>
                <w:sz w:val="20"/>
                <w:szCs w:val="20"/>
              </w:rPr>
            </w:pPr>
            <w:r w:rsidRPr="00F80026">
              <w:rPr>
                <w:rFonts w:cs="Arial"/>
                <w:bCs/>
                <w:sz w:val="20"/>
                <w:szCs w:val="20"/>
              </w:rPr>
              <w:t>202%</w:t>
            </w:r>
          </w:p>
        </w:tc>
      </w:tr>
    </w:tbl>
    <w:p w14:paraId="4C70624F" w14:textId="58A48D32" w:rsidR="005655CA" w:rsidRPr="005655CA" w:rsidRDefault="005655CA" w:rsidP="00B57EF4">
      <w:pPr>
        <w:spacing w:before="240" w:after="120"/>
        <w:jc w:val="both"/>
        <w:rPr>
          <w:rFonts w:cs="Arial"/>
          <w:bCs/>
          <w:sz w:val="21"/>
          <w:szCs w:val="21"/>
        </w:rPr>
      </w:pPr>
      <w:r w:rsidRPr="005655CA">
        <w:rPr>
          <w:rFonts w:cs="Arial"/>
          <w:bCs/>
          <w:sz w:val="21"/>
          <w:szCs w:val="21"/>
        </w:rPr>
        <w:t xml:space="preserve">The rapid increase in procedure volume has outpaced existing capacity, leading to increased wait times for outpatients. Current </w:t>
      </w:r>
      <w:proofErr w:type="gramStart"/>
      <w:r w:rsidRPr="005655CA">
        <w:rPr>
          <w:rFonts w:cs="Arial"/>
          <w:bCs/>
          <w:sz w:val="21"/>
          <w:szCs w:val="21"/>
        </w:rPr>
        <w:t>wait</w:t>
      </w:r>
      <w:proofErr w:type="gramEnd"/>
      <w:r w:rsidRPr="005655CA">
        <w:rPr>
          <w:rFonts w:cs="Arial"/>
          <w:bCs/>
          <w:sz w:val="21"/>
          <w:szCs w:val="21"/>
        </w:rPr>
        <w:t xml:space="preserve"> times for endoscopy procedures at the Endoscopy Center </w:t>
      </w:r>
      <w:r>
        <w:rPr>
          <w:rFonts w:cs="Arial"/>
          <w:bCs/>
          <w:sz w:val="21"/>
          <w:szCs w:val="21"/>
        </w:rPr>
        <w:t>are</w:t>
      </w:r>
      <w:r w:rsidRPr="005655CA">
        <w:rPr>
          <w:rFonts w:cs="Arial"/>
          <w:bCs/>
          <w:sz w:val="21"/>
          <w:szCs w:val="21"/>
        </w:rPr>
        <w:t xml:space="preserve"> between </w:t>
      </w:r>
      <w:r>
        <w:rPr>
          <w:rFonts w:cs="Arial"/>
          <w:bCs/>
          <w:sz w:val="21"/>
          <w:szCs w:val="21"/>
        </w:rPr>
        <w:t>six weeks and</w:t>
      </w:r>
      <w:r w:rsidRPr="005655CA">
        <w:rPr>
          <w:rFonts w:cs="Arial"/>
          <w:bCs/>
          <w:sz w:val="21"/>
          <w:szCs w:val="21"/>
        </w:rPr>
        <w:t xml:space="preserve"> six months.</w:t>
      </w:r>
      <w:r>
        <w:rPr>
          <w:rStyle w:val="FootnoteReference"/>
          <w:rFonts w:cs="Arial"/>
          <w:bCs/>
          <w:sz w:val="21"/>
          <w:szCs w:val="21"/>
        </w:rPr>
        <w:footnoteReference w:id="12"/>
      </w:r>
      <w:r w:rsidRPr="005655CA">
        <w:rPr>
          <w:rFonts w:cs="Arial"/>
          <w:bCs/>
          <w:sz w:val="21"/>
          <w:szCs w:val="21"/>
        </w:rPr>
        <w:t xml:space="preserve"> Moreover, approximately 2,700 patients</w:t>
      </w:r>
      <w:r w:rsidR="00CF473B">
        <w:rPr>
          <w:rFonts w:cs="Arial"/>
          <w:bCs/>
          <w:sz w:val="21"/>
          <w:szCs w:val="21"/>
        </w:rPr>
        <w:t xml:space="preserve"> have an </w:t>
      </w:r>
      <w:r w:rsidR="00281747">
        <w:rPr>
          <w:rFonts w:cs="Arial"/>
          <w:bCs/>
          <w:sz w:val="21"/>
          <w:szCs w:val="21"/>
        </w:rPr>
        <w:t xml:space="preserve">outstanding </w:t>
      </w:r>
      <w:r w:rsidR="00CF473B">
        <w:rPr>
          <w:rFonts w:cs="Arial"/>
          <w:bCs/>
          <w:sz w:val="21"/>
          <w:szCs w:val="21"/>
        </w:rPr>
        <w:t xml:space="preserve">order </w:t>
      </w:r>
      <w:r w:rsidR="00281747">
        <w:rPr>
          <w:rFonts w:cs="Arial"/>
          <w:bCs/>
          <w:sz w:val="21"/>
          <w:szCs w:val="21"/>
        </w:rPr>
        <w:t>from</w:t>
      </w:r>
      <w:r w:rsidR="00CF473B">
        <w:rPr>
          <w:rFonts w:cs="Arial"/>
          <w:bCs/>
          <w:sz w:val="21"/>
          <w:szCs w:val="21"/>
        </w:rPr>
        <w:t xml:space="preserve"> their primary care physician and</w:t>
      </w:r>
      <w:r w:rsidRPr="005655CA">
        <w:rPr>
          <w:rFonts w:cs="Arial"/>
          <w:bCs/>
          <w:sz w:val="21"/>
          <w:szCs w:val="21"/>
        </w:rPr>
        <w:t xml:space="preserve"> are waiting for their screening colonoscopy to be scheduled. As more fully detailed in F2.b, extended wait times have serious clinical implications: delays in screening and diagnostic evaluation can result in later-stage cancer diagnoses, reducing the likelihood of curative treatment and worsening patient outcomes. Currently, less than 33% of colorectal cancers are detected at an early stage,</w:t>
      </w:r>
      <w:bookmarkStart w:id="4" w:name="_Ref213765928"/>
      <w:r w:rsidRPr="005655CA">
        <w:rPr>
          <w:rFonts w:cs="Arial"/>
          <w:bCs/>
          <w:sz w:val="21"/>
          <w:szCs w:val="21"/>
          <w:vertAlign w:val="superscript"/>
        </w:rPr>
        <w:footnoteReference w:id="13"/>
      </w:r>
      <w:bookmarkEnd w:id="4"/>
      <w:r w:rsidRPr="005655CA">
        <w:rPr>
          <w:rFonts w:cs="Arial"/>
          <w:bCs/>
          <w:sz w:val="21"/>
          <w:szCs w:val="21"/>
        </w:rPr>
        <w:t xml:space="preserve"> underscoring the need for timely access to colonoscopy as the most effective method for reducing colorectal cancer risk and mortality.</w:t>
      </w:r>
    </w:p>
    <w:p w14:paraId="0E783DBB" w14:textId="55B2B890" w:rsidR="005655CA" w:rsidRPr="005655CA" w:rsidRDefault="005655CA" w:rsidP="00B57EF4">
      <w:pPr>
        <w:spacing w:after="120"/>
        <w:jc w:val="both"/>
        <w:rPr>
          <w:rFonts w:cs="Arial"/>
          <w:bCs/>
          <w:sz w:val="21"/>
          <w:szCs w:val="21"/>
        </w:rPr>
      </w:pPr>
      <w:r w:rsidRPr="005655CA">
        <w:rPr>
          <w:rFonts w:cs="Arial"/>
          <w:bCs/>
          <w:sz w:val="21"/>
          <w:szCs w:val="21"/>
        </w:rPr>
        <w:t xml:space="preserve">In addition to the growing need for endoscopy services by patients of the Hospital, there is significant need for expanded access by patients across the BILH system. </w:t>
      </w:r>
      <w:proofErr w:type="gramStart"/>
      <w:r w:rsidRPr="005655CA">
        <w:rPr>
          <w:rFonts w:cs="Arial"/>
          <w:bCs/>
          <w:sz w:val="21"/>
          <w:szCs w:val="21"/>
        </w:rPr>
        <w:t>In particular, patients</w:t>
      </w:r>
      <w:proofErr w:type="gramEnd"/>
      <w:r w:rsidRPr="005655CA">
        <w:rPr>
          <w:rFonts w:cs="Arial"/>
          <w:bCs/>
          <w:sz w:val="21"/>
          <w:szCs w:val="21"/>
        </w:rPr>
        <w:t xml:space="preserve"> of Lahey Primary </w:t>
      </w:r>
      <w:r w:rsidR="00FD2FFE" w:rsidRPr="005655CA">
        <w:rPr>
          <w:rFonts w:cs="Arial"/>
          <w:bCs/>
          <w:sz w:val="21"/>
          <w:szCs w:val="21"/>
        </w:rPr>
        <w:lastRenderedPageBreak/>
        <w:t>Care (</w:t>
      </w:r>
      <w:r w:rsidRPr="005655CA">
        <w:rPr>
          <w:rFonts w:cs="Arial"/>
          <w:bCs/>
          <w:sz w:val="21"/>
          <w:szCs w:val="21"/>
        </w:rPr>
        <w:t xml:space="preserve">“Lahey”) </w:t>
      </w:r>
      <w:r w:rsidR="005D2ACD">
        <w:rPr>
          <w:rFonts w:cs="Arial"/>
          <w:bCs/>
          <w:sz w:val="21"/>
          <w:szCs w:val="21"/>
        </w:rPr>
        <w:t>in</w:t>
      </w:r>
      <w:r w:rsidR="00CF473B">
        <w:rPr>
          <w:rFonts w:cs="Arial"/>
          <w:bCs/>
          <w:sz w:val="21"/>
          <w:szCs w:val="21"/>
        </w:rPr>
        <w:t xml:space="preserve"> the communities of</w:t>
      </w:r>
      <w:r w:rsidR="005D2ACD">
        <w:rPr>
          <w:rFonts w:cs="Arial"/>
          <w:bCs/>
          <w:sz w:val="21"/>
          <w:szCs w:val="21"/>
        </w:rPr>
        <w:t xml:space="preserve"> Burlington </w:t>
      </w:r>
      <w:r w:rsidR="00CF473B">
        <w:rPr>
          <w:rFonts w:cs="Arial"/>
          <w:bCs/>
          <w:sz w:val="21"/>
          <w:szCs w:val="21"/>
        </w:rPr>
        <w:t xml:space="preserve">up through </w:t>
      </w:r>
      <w:r w:rsidR="005D2ACD">
        <w:rPr>
          <w:rFonts w:cs="Arial"/>
          <w:bCs/>
          <w:sz w:val="21"/>
          <w:szCs w:val="21"/>
        </w:rPr>
        <w:t xml:space="preserve">Peabody </w:t>
      </w:r>
      <w:r w:rsidRPr="005655CA">
        <w:rPr>
          <w:rFonts w:cs="Arial"/>
          <w:bCs/>
          <w:sz w:val="21"/>
          <w:szCs w:val="21"/>
        </w:rPr>
        <w:t xml:space="preserve">are currently waiting 12 months on average to be scheduled for endoscopy. </w:t>
      </w:r>
      <w:r w:rsidR="00367B50">
        <w:rPr>
          <w:rFonts w:cs="Arial"/>
          <w:bCs/>
          <w:sz w:val="21"/>
          <w:szCs w:val="21"/>
        </w:rPr>
        <w:t xml:space="preserve">Lahey’s practices are located </w:t>
      </w:r>
      <w:r w:rsidR="00CF473B">
        <w:rPr>
          <w:rFonts w:cs="Arial"/>
          <w:bCs/>
          <w:sz w:val="21"/>
          <w:szCs w:val="21"/>
        </w:rPr>
        <w:t>within a</w:t>
      </w:r>
      <w:r w:rsidR="00367B50">
        <w:rPr>
          <w:rFonts w:cs="Arial"/>
          <w:bCs/>
          <w:sz w:val="21"/>
          <w:szCs w:val="21"/>
        </w:rPr>
        <w:t xml:space="preserve"> </w:t>
      </w:r>
      <w:r w:rsidR="00FD2FFE">
        <w:rPr>
          <w:rFonts w:cs="Arial"/>
          <w:bCs/>
          <w:sz w:val="21"/>
          <w:szCs w:val="21"/>
        </w:rPr>
        <w:t>12-mile</w:t>
      </w:r>
      <w:r w:rsidR="00CF473B">
        <w:rPr>
          <w:rFonts w:cs="Arial"/>
          <w:bCs/>
          <w:sz w:val="21"/>
          <w:szCs w:val="21"/>
        </w:rPr>
        <w:t xml:space="preserve"> radius</w:t>
      </w:r>
      <w:r w:rsidR="00367B50">
        <w:rPr>
          <w:rFonts w:cs="Arial"/>
          <w:bCs/>
          <w:sz w:val="21"/>
          <w:szCs w:val="21"/>
        </w:rPr>
        <w:t xml:space="preserve">, </w:t>
      </w:r>
      <w:r w:rsidR="00CF473B">
        <w:rPr>
          <w:rFonts w:cs="Arial"/>
          <w:bCs/>
          <w:sz w:val="21"/>
          <w:szCs w:val="21"/>
        </w:rPr>
        <w:t xml:space="preserve">and some as close as few </w:t>
      </w:r>
      <w:r w:rsidR="00FD2FFE">
        <w:rPr>
          <w:rFonts w:cs="Arial"/>
          <w:bCs/>
          <w:sz w:val="21"/>
          <w:szCs w:val="21"/>
        </w:rPr>
        <w:t>miles</w:t>
      </w:r>
      <w:r w:rsidR="00367B50">
        <w:rPr>
          <w:rFonts w:cs="Arial"/>
          <w:bCs/>
          <w:sz w:val="21"/>
          <w:szCs w:val="21"/>
        </w:rPr>
        <w:t xml:space="preserve"> from the Endoscopy Center</w:t>
      </w:r>
      <w:r w:rsidR="00367B50" w:rsidRPr="00AC310F">
        <w:rPr>
          <w:rFonts w:cs="Arial"/>
          <w:bCs/>
          <w:sz w:val="21"/>
          <w:szCs w:val="21"/>
        </w:rPr>
        <w:t xml:space="preserve">, </w:t>
      </w:r>
      <w:r w:rsidR="00AC310F" w:rsidRPr="00AC310F">
        <w:rPr>
          <w:rFonts w:cs="Arial"/>
          <w:bCs/>
          <w:sz w:val="21"/>
          <w:szCs w:val="21"/>
        </w:rPr>
        <w:t>making</w:t>
      </w:r>
      <w:r w:rsidR="00367B50" w:rsidRPr="00AC310F">
        <w:rPr>
          <w:rFonts w:cs="Arial"/>
          <w:bCs/>
          <w:sz w:val="21"/>
          <w:szCs w:val="21"/>
        </w:rPr>
        <w:t xml:space="preserve"> expanded access a convenient option for patients.</w:t>
      </w:r>
      <w:r w:rsidR="00367B50">
        <w:rPr>
          <w:rFonts w:cs="Arial"/>
          <w:bCs/>
          <w:sz w:val="21"/>
          <w:szCs w:val="21"/>
        </w:rPr>
        <w:t xml:space="preserve"> </w:t>
      </w:r>
      <w:r w:rsidRPr="005655CA">
        <w:rPr>
          <w:rFonts w:cs="Arial"/>
          <w:bCs/>
          <w:sz w:val="21"/>
          <w:szCs w:val="21"/>
        </w:rPr>
        <w:t xml:space="preserve">Similarly, patients of BIDMC Gastroenterology (“BIDMC”) in Boston are waiting five months on average. To address both the Hospital’s growing need for outpatient endoscopy as well as the </w:t>
      </w:r>
      <w:r w:rsidR="005D2ACD">
        <w:rPr>
          <w:rFonts w:cs="Arial"/>
          <w:bCs/>
          <w:sz w:val="21"/>
          <w:szCs w:val="21"/>
        </w:rPr>
        <w:t>Applicant’s</w:t>
      </w:r>
      <w:r w:rsidRPr="005655CA">
        <w:rPr>
          <w:rFonts w:cs="Arial"/>
          <w:bCs/>
          <w:sz w:val="21"/>
          <w:szCs w:val="21"/>
        </w:rPr>
        <w:t xml:space="preserve">, the Endoscopy Center was selected as the best location for expansion for several reasons. </w:t>
      </w:r>
    </w:p>
    <w:p w14:paraId="273C39ED" w14:textId="16B19929" w:rsidR="005655CA" w:rsidRPr="005655CA" w:rsidRDefault="00B819D5" w:rsidP="00B57EF4">
      <w:pPr>
        <w:numPr>
          <w:ilvl w:val="0"/>
          <w:numId w:val="14"/>
        </w:numPr>
        <w:spacing w:before="120" w:after="120"/>
        <w:jc w:val="both"/>
        <w:rPr>
          <w:rFonts w:cs="Arial"/>
          <w:b/>
          <w:bCs/>
          <w:sz w:val="21"/>
          <w:szCs w:val="21"/>
        </w:rPr>
      </w:pPr>
      <w:r>
        <w:rPr>
          <w:rFonts w:cs="Arial"/>
          <w:b/>
          <w:bCs/>
          <w:sz w:val="21"/>
          <w:szCs w:val="21"/>
        </w:rPr>
        <w:t xml:space="preserve">The </w:t>
      </w:r>
      <w:r w:rsidR="005655CA" w:rsidRPr="005655CA">
        <w:rPr>
          <w:rFonts w:cs="Arial"/>
          <w:b/>
          <w:bCs/>
          <w:sz w:val="21"/>
          <w:szCs w:val="21"/>
        </w:rPr>
        <w:t>Proposed Project</w:t>
      </w:r>
    </w:p>
    <w:p w14:paraId="4C86ED9F" w14:textId="31685AF4" w:rsidR="005655CA" w:rsidRPr="00C85E83" w:rsidRDefault="005655CA" w:rsidP="008F54DE">
      <w:pPr>
        <w:spacing w:after="120"/>
        <w:jc w:val="both"/>
        <w:rPr>
          <w:rFonts w:cs="Arial"/>
          <w:bCs/>
          <w:sz w:val="21"/>
          <w:szCs w:val="21"/>
        </w:rPr>
      </w:pPr>
      <w:r w:rsidRPr="005655CA">
        <w:rPr>
          <w:rFonts w:cs="Arial"/>
          <w:bCs/>
          <w:sz w:val="21"/>
          <w:szCs w:val="21"/>
        </w:rPr>
        <w:t xml:space="preserve">To address the access issues detailed above, </w:t>
      </w:r>
      <w:r w:rsidR="000739CD">
        <w:rPr>
          <w:rFonts w:cs="Arial"/>
          <w:bCs/>
          <w:sz w:val="21"/>
          <w:szCs w:val="21"/>
        </w:rPr>
        <w:t>as well as to accommodate the growing population in the Hospital’s service area</w:t>
      </w:r>
      <w:r w:rsidR="000739CD">
        <w:rPr>
          <w:rStyle w:val="FootnoteReference"/>
          <w:rFonts w:cs="Arial"/>
          <w:bCs/>
          <w:sz w:val="21"/>
          <w:szCs w:val="21"/>
        </w:rPr>
        <w:footnoteReference w:id="14"/>
      </w:r>
      <w:r w:rsidR="000739CD">
        <w:rPr>
          <w:rFonts w:cs="Arial"/>
          <w:bCs/>
          <w:sz w:val="21"/>
          <w:szCs w:val="21"/>
        </w:rPr>
        <w:t xml:space="preserve">, </w:t>
      </w:r>
      <w:r w:rsidRPr="005655CA">
        <w:rPr>
          <w:rFonts w:cs="Arial"/>
          <w:bCs/>
          <w:sz w:val="21"/>
          <w:szCs w:val="21"/>
        </w:rPr>
        <w:t xml:space="preserve">the Applicant proposes to expand capacity at the Endoscopy Center through the addition of three (3) new procedure rooms, bringing the total number of procedure rooms to eight (8). The Proposed Project will also add seven (7) new pre/post-procedure bays, for a total of 22 bays, increasing the Endoscopy Center’s ability to efficiently manage patient flow and recovery. </w:t>
      </w:r>
      <w:r w:rsidR="00B819D5" w:rsidRPr="00B819D5">
        <w:rPr>
          <w:rFonts w:cs="Arial"/>
          <w:bCs/>
          <w:sz w:val="21"/>
          <w:szCs w:val="21"/>
        </w:rPr>
        <w:t xml:space="preserve">First, the Endoscopy Center offers a unique opportunity for expansion without disrupting ongoing patient care, as its design and operational flow allow for renovations to be carried out with minimal impact to clinical services. Importantly, the renovations required to increase capacity are not expected to be significant, allowing both a cost-effective and time-sensitive opportunity to expand services. Moreover, the </w:t>
      </w:r>
      <w:r w:rsidR="008F54DE">
        <w:rPr>
          <w:rFonts w:cs="Arial"/>
          <w:bCs/>
          <w:sz w:val="21"/>
          <w:szCs w:val="21"/>
        </w:rPr>
        <w:t xml:space="preserve">Endoscopy </w:t>
      </w:r>
      <w:r w:rsidR="00B819D5" w:rsidRPr="00B819D5">
        <w:rPr>
          <w:rFonts w:cs="Arial"/>
          <w:bCs/>
          <w:sz w:val="21"/>
          <w:szCs w:val="21"/>
        </w:rPr>
        <w:t xml:space="preserve">Center’s central location makes it easily accessible for both Lahey and BIDMC patients, helping to alleviate system-wide wait times. Additionally, as a freestanding building, the Endoscopy Center provides added convenience for patients, with dedicated parking and streamlined access, further supporting its role as an ideal site for expanded endoscopy capacity for the Patient Panel. The Applicant anticipates additional capacity at the Endoscopy Center will improve access across the system, providing a system-wide solution addressing the Patient Panel’s need for expanded access to outpatient endoscopy. </w:t>
      </w:r>
      <w:r w:rsidRPr="005655CA">
        <w:rPr>
          <w:rFonts w:cs="Arial"/>
          <w:bCs/>
          <w:sz w:val="21"/>
          <w:szCs w:val="21"/>
        </w:rPr>
        <w:t xml:space="preserve">Through the Proposed Project, the Endoscopy Center will be able to accommodate the </w:t>
      </w:r>
      <w:r w:rsidRPr="00C85E83">
        <w:rPr>
          <w:rFonts w:cs="Arial"/>
          <w:bCs/>
          <w:sz w:val="21"/>
          <w:szCs w:val="21"/>
        </w:rPr>
        <w:t>growing need for endoscop</w:t>
      </w:r>
      <w:r w:rsidR="00242D0F" w:rsidRPr="00C85E83">
        <w:rPr>
          <w:rFonts w:cs="Arial"/>
          <w:bCs/>
          <w:sz w:val="21"/>
          <w:szCs w:val="21"/>
        </w:rPr>
        <w:t>y</w:t>
      </w:r>
      <w:r w:rsidRPr="00C85E83">
        <w:rPr>
          <w:rFonts w:cs="Arial"/>
          <w:bCs/>
          <w:sz w:val="21"/>
          <w:szCs w:val="21"/>
        </w:rPr>
        <w:t xml:space="preserve"> services, in turn ensuring more patients have timely access to screening and diagnostic endoscopy.</w:t>
      </w:r>
    </w:p>
    <w:p w14:paraId="251E0FE3" w14:textId="71C14325" w:rsidR="00CB6DD7" w:rsidRPr="00C85E83" w:rsidRDefault="00916F4A" w:rsidP="00B57EF4">
      <w:pPr>
        <w:spacing w:before="120" w:after="120"/>
        <w:jc w:val="both"/>
        <w:rPr>
          <w:rFonts w:cs="Arial"/>
          <w:bCs/>
          <w:sz w:val="21"/>
          <w:szCs w:val="21"/>
        </w:rPr>
      </w:pPr>
      <w:bookmarkStart w:id="7" w:name="_Hlk214368549"/>
      <w:bookmarkStart w:id="8" w:name="_Hlk214969400"/>
      <w:bookmarkStart w:id="9" w:name="_Hlk214609039"/>
      <w:r w:rsidRPr="00C85E83">
        <w:rPr>
          <w:rFonts w:cs="Arial"/>
          <w:bCs/>
          <w:sz w:val="21"/>
          <w:szCs w:val="21"/>
        </w:rPr>
        <w:t xml:space="preserve">The Applicant </w:t>
      </w:r>
      <w:r w:rsidR="00FD2FFE" w:rsidRPr="00C85E83">
        <w:rPr>
          <w:rFonts w:cs="Arial"/>
          <w:bCs/>
          <w:sz w:val="21"/>
          <w:szCs w:val="21"/>
        </w:rPr>
        <w:t>projects</w:t>
      </w:r>
      <w:r w:rsidRPr="00C85E83">
        <w:rPr>
          <w:rFonts w:cs="Arial"/>
          <w:bCs/>
          <w:sz w:val="21"/>
          <w:szCs w:val="21"/>
        </w:rPr>
        <w:t xml:space="preserve"> additional volume </w:t>
      </w:r>
      <w:r w:rsidR="00FD2FFE" w:rsidRPr="00C85E83">
        <w:rPr>
          <w:rFonts w:cs="Arial"/>
          <w:bCs/>
          <w:sz w:val="21"/>
          <w:szCs w:val="21"/>
        </w:rPr>
        <w:t>following the Proposed Project’s implementation</w:t>
      </w:r>
      <w:r w:rsidRPr="00C85E83">
        <w:rPr>
          <w:rFonts w:cs="Arial"/>
          <w:bCs/>
          <w:sz w:val="21"/>
          <w:szCs w:val="21"/>
        </w:rPr>
        <w:t xml:space="preserve"> </w:t>
      </w:r>
      <w:r w:rsidR="00FD2FFE" w:rsidRPr="00C85E83">
        <w:rPr>
          <w:rFonts w:cs="Arial"/>
          <w:bCs/>
          <w:sz w:val="21"/>
          <w:szCs w:val="21"/>
        </w:rPr>
        <w:t>based on several factors</w:t>
      </w:r>
      <w:r w:rsidR="00E352DD" w:rsidRPr="00C85E83">
        <w:rPr>
          <w:rFonts w:cs="Arial"/>
          <w:bCs/>
          <w:sz w:val="21"/>
          <w:szCs w:val="21"/>
        </w:rPr>
        <w:t xml:space="preserve">. </w:t>
      </w:r>
      <w:r w:rsidR="00FD2FFE" w:rsidRPr="00C85E83">
        <w:rPr>
          <w:rFonts w:cs="Arial"/>
          <w:bCs/>
          <w:sz w:val="21"/>
          <w:szCs w:val="21"/>
        </w:rPr>
        <w:t>E</w:t>
      </w:r>
      <w:r w:rsidR="00EA2A22" w:rsidRPr="00C85E83">
        <w:rPr>
          <w:rFonts w:cs="Arial"/>
          <w:bCs/>
          <w:sz w:val="21"/>
          <w:szCs w:val="21"/>
        </w:rPr>
        <w:t xml:space="preserve">xpanded capacity </w:t>
      </w:r>
      <w:r w:rsidR="00CB6DD7" w:rsidRPr="00C85E83">
        <w:rPr>
          <w:rFonts w:cs="Arial"/>
          <w:bCs/>
          <w:sz w:val="21"/>
          <w:szCs w:val="21"/>
        </w:rPr>
        <w:t xml:space="preserve">at the Endoscopy Center </w:t>
      </w:r>
      <w:r w:rsidR="00281747" w:rsidRPr="00C85E83">
        <w:rPr>
          <w:rFonts w:cs="Arial"/>
          <w:bCs/>
          <w:sz w:val="21"/>
          <w:szCs w:val="21"/>
        </w:rPr>
        <w:t xml:space="preserve">will </w:t>
      </w:r>
      <w:r w:rsidR="000553E1" w:rsidRPr="00C85E83">
        <w:rPr>
          <w:rFonts w:cs="Arial"/>
          <w:bCs/>
          <w:sz w:val="21"/>
          <w:szCs w:val="21"/>
        </w:rPr>
        <w:t>ensure</w:t>
      </w:r>
      <w:r w:rsidR="00EA2A22" w:rsidRPr="00C85E83">
        <w:rPr>
          <w:rFonts w:cs="Arial"/>
          <w:bCs/>
          <w:sz w:val="21"/>
          <w:szCs w:val="21"/>
        </w:rPr>
        <w:t xml:space="preserve"> the Applicant’s Patient Panel </w:t>
      </w:r>
      <w:r w:rsidR="000553E1" w:rsidRPr="00C85E83">
        <w:rPr>
          <w:rFonts w:cs="Arial"/>
          <w:bCs/>
          <w:sz w:val="21"/>
          <w:szCs w:val="21"/>
        </w:rPr>
        <w:t xml:space="preserve">has </w:t>
      </w:r>
      <w:r w:rsidR="00EA2A22" w:rsidRPr="00C85E83">
        <w:rPr>
          <w:rFonts w:cs="Arial"/>
          <w:bCs/>
          <w:sz w:val="21"/>
          <w:szCs w:val="21"/>
        </w:rPr>
        <w:t xml:space="preserve">timely </w:t>
      </w:r>
      <w:r w:rsidR="00C64F79" w:rsidRPr="00C85E83">
        <w:rPr>
          <w:rFonts w:cs="Arial"/>
          <w:bCs/>
          <w:sz w:val="21"/>
          <w:szCs w:val="21"/>
        </w:rPr>
        <w:t xml:space="preserve">access to </w:t>
      </w:r>
      <w:r w:rsidR="00281747" w:rsidRPr="00C85E83">
        <w:rPr>
          <w:rFonts w:cs="Arial"/>
          <w:bCs/>
          <w:sz w:val="21"/>
          <w:szCs w:val="21"/>
        </w:rPr>
        <w:t>endoscopy</w:t>
      </w:r>
      <w:r w:rsidR="00C64F79" w:rsidRPr="00C85E83">
        <w:rPr>
          <w:rFonts w:cs="Arial"/>
          <w:bCs/>
          <w:sz w:val="21"/>
          <w:szCs w:val="21"/>
        </w:rPr>
        <w:t xml:space="preserve"> by reducing </w:t>
      </w:r>
      <w:proofErr w:type="gramStart"/>
      <w:r w:rsidR="00C64F79" w:rsidRPr="00C85E83">
        <w:rPr>
          <w:rFonts w:cs="Arial"/>
          <w:bCs/>
          <w:sz w:val="21"/>
          <w:szCs w:val="21"/>
        </w:rPr>
        <w:t>wait</w:t>
      </w:r>
      <w:proofErr w:type="gramEnd"/>
      <w:r w:rsidR="00C64F79" w:rsidRPr="00C85E83">
        <w:rPr>
          <w:rFonts w:cs="Arial"/>
          <w:bCs/>
          <w:sz w:val="21"/>
          <w:szCs w:val="21"/>
        </w:rPr>
        <w:t xml:space="preserve"> times for patients of the Hospital</w:t>
      </w:r>
      <w:r w:rsidR="00FD2FFE" w:rsidRPr="00C85E83">
        <w:rPr>
          <w:rFonts w:cs="Arial"/>
          <w:bCs/>
          <w:sz w:val="21"/>
          <w:szCs w:val="21"/>
        </w:rPr>
        <w:t>,</w:t>
      </w:r>
      <w:r w:rsidR="00C64F79" w:rsidRPr="00C85E83">
        <w:rPr>
          <w:rFonts w:cs="Arial"/>
          <w:bCs/>
          <w:sz w:val="21"/>
          <w:szCs w:val="21"/>
        </w:rPr>
        <w:t xml:space="preserve"> </w:t>
      </w:r>
      <w:r w:rsidR="00FD2FFE" w:rsidRPr="00C85E83">
        <w:rPr>
          <w:rFonts w:cs="Arial"/>
          <w:bCs/>
          <w:sz w:val="21"/>
          <w:szCs w:val="21"/>
        </w:rPr>
        <w:t>as well as for</w:t>
      </w:r>
      <w:r w:rsidR="00C64F79" w:rsidRPr="00C85E83">
        <w:rPr>
          <w:rFonts w:cs="Arial"/>
          <w:bCs/>
          <w:sz w:val="21"/>
          <w:szCs w:val="21"/>
        </w:rPr>
        <w:t xml:space="preserve"> Lahey and BIDMC patients who are waiting up to 12 months for an </w:t>
      </w:r>
      <w:r w:rsidR="00FD2FFE" w:rsidRPr="00C85E83">
        <w:rPr>
          <w:rFonts w:cs="Arial"/>
          <w:bCs/>
          <w:sz w:val="21"/>
          <w:szCs w:val="21"/>
        </w:rPr>
        <w:t>appointment</w:t>
      </w:r>
      <w:r w:rsidR="00C64F79" w:rsidRPr="00C85E83">
        <w:rPr>
          <w:rFonts w:cs="Arial"/>
          <w:bCs/>
          <w:sz w:val="21"/>
          <w:szCs w:val="21"/>
        </w:rPr>
        <w:t xml:space="preserve">. </w:t>
      </w:r>
      <w:r w:rsidR="00FD2FFE" w:rsidRPr="00C85E83">
        <w:rPr>
          <w:rFonts w:cs="Arial"/>
          <w:bCs/>
          <w:sz w:val="21"/>
          <w:szCs w:val="21"/>
        </w:rPr>
        <w:t>In addition</w:t>
      </w:r>
      <w:r w:rsidR="001E3C19" w:rsidRPr="00C85E83">
        <w:rPr>
          <w:rFonts w:cs="Arial"/>
          <w:bCs/>
          <w:sz w:val="21"/>
          <w:szCs w:val="21"/>
        </w:rPr>
        <w:t xml:space="preserve">, there </w:t>
      </w:r>
      <w:r w:rsidR="00FD2FFE" w:rsidRPr="00C85E83">
        <w:rPr>
          <w:rFonts w:cs="Arial"/>
          <w:bCs/>
          <w:sz w:val="21"/>
          <w:szCs w:val="21"/>
        </w:rPr>
        <w:t xml:space="preserve">currently </w:t>
      </w:r>
      <w:r w:rsidR="001E3C19" w:rsidRPr="00C85E83">
        <w:rPr>
          <w:rFonts w:cs="Arial"/>
          <w:bCs/>
          <w:sz w:val="21"/>
          <w:szCs w:val="21"/>
        </w:rPr>
        <w:t xml:space="preserve">are 4,100 Hospital patients eligible </w:t>
      </w:r>
      <w:r w:rsidR="00FD2FFE" w:rsidRPr="00C85E83">
        <w:rPr>
          <w:rFonts w:cs="Arial"/>
          <w:bCs/>
          <w:sz w:val="21"/>
          <w:szCs w:val="21"/>
        </w:rPr>
        <w:t>for colonoscopy screening</w:t>
      </w:r>
      <w:r w:rsidR="001E3C19" w:rsidRPr="00C85E83">
        <w:rPr>
          <w:rFonts w:cs="Arial"/>
          <w:bCs/>
          <w:sz w:val="21"/>
          <w:szCs w:val="21"/>
        </w:rPr>
        <w:t xml:space="preserve"> but do not yet have an order from the</w:t>
      </w:r>
      <w:r w:rsidR="00CB6DD7" w:rsidRPr="00C85E83">
        <w:rPr>
          <w:rFonts w:cs="Arial"/>
          <w:bCs/>
          <w:sz w:val="21"/>
          <w:szCs w:val="21"/>
        </w:rPr>
        <w:t>ir</w:t>
      </w:r>
      <w:r w:rsidR="001E3C19" w:rsidRPr="00C85E83">
        <w:rPr>
          <w:rFonts w:cs="Arial"/>
          <w:bCs/>
          <w:sz w:val="21"/>
          <w:szCs w:val="21"/>
        </w:rPr>
        <w:t xml:space="preserve"> PCP. </w:t>
      </w:r>
      <w:r w:rsidR="00FD2FFE" w:rsidRPr="00C85E83">
        <w:rPr>
          <w:rFonts w:cs="Arial"/>
          <w:bCs/>
          <w:sz w:val="21"/>
          <w:szCs w:val="21"/>
        </w:rPr>
        <w:t xml:space="preserve">Combined </w:t>
      </w:r>
      <w:r w:rsidR="001E3C19" w:rsidRPr="00C85E83">
        <w:rPr>
          <w:rFonts w:cs="Arial"/>
          <w:bCs/>
          <w:sz w:val="21"/>
          <w:szCs w:val="21"/>
        </w:rPr>
        <w:t xml:space="preserve">with patients with </w:t>
      </w:r>
      <w:r w:rsidR="00CB6DD7" w:rsidRPr="00C85E83">
        <w:rPr>
          <w:rFonts w:cs="Arial"/>
          <w:bCs/>
          <w:sz w:val="21"/>
          <w:szCs w:val="21"/>
        </w:rPr>
        <w:t xml:space="preserve">active </w:t>
      </w:r>
      <w:r w:rsidR="001E3C19" w:rsidRPr="00C85E83">
        <w:rPr>
          <w:rFonts w:cs="Arial"/>
          <w:bCs/>
          <w:sz w:val="21"/>
          <w:szCs w:val="21"/>
        </w:rPr>
        <w:t xml:space="preserve">orders, this represents more than 6,800 patients who should be screened this year. </w:t>
      </w:r>
      <w:bookmarkStart w:id="10" w:name="_Hlk215058649"/>
      <w:r w:rsidR="00C85E83" w:rsidRPr="00C85E83">
        <w:rPr>
          <w:rFonts w:cs="Arial"/>
          <w:bCs/>
          <w:sz w:val="21"/>
          <w:szCs w:val="21"/>
        </w:rPr>
        <w:t xml:space="preserve">Factoring in a </w:t>
      </w:r>
      <w:r w:rsidR="00CF76E4">
        <w:rPr>
          <w:rFonts w:cs="Arial"/>
          <w:bCs/>
          <w:sz w:val="21"/>
          <w:szCs w:val="21"/>
        </w:rPr>
        <w:t xml:space="preserve">target </w:t>
      </w:r>
      <w:r w:rsidR="00FD2FFE" w:rsidRPr="00C85E83">
        <w:rPr>
          <w:rFonts w:cs="Arial"/>
          <w:bCs/>
          <w:sz w:val="21"/>
          <w:szCs w:val="21"/>
        </w:rPr>
        <w:t xml:space="preserve">screening </w:t>
      </w:r>
      <w:r w:rsidR="001E3C19" w:rsidRPr="00C85E83">
        <w:rPr>
          <w:rFonts w:cs="Arial"/>
          <w:bCs/>
          <w:sz w:val="21"/>
          <w:szCs w:val="21"/>
        </w:rPr>
        <w:t>compliance</w:t>
      </w:r>
      <w:r w:rsidR="00FD2FFE" w:rsidRPr="00C85E83">
        <w:rPr>
          <w:rFonts w:cs="Arial"/>
          <w:bCs/>
          <w:sz w:val="21"/>
          <w:szCs w:val="21"/>
        </w:rPr>
        <w:t xml:space="preserve"> rate of 80%, </w:t>
      </w:r>
      <w:r w:rsidR="00C85E83" w:rsidRPr="00C85E83">
        <w:rPr>
          <w:rFonts w:cs="Arial"/>
          <w:bCs/>
          <w:sz w:val="21"/>
          <w:szCs w:val="21"/>
        </w:rPr>
        <w:t>almost 6,000 more</w:t>
      </w:r>
      <w:r w:rsidR="001E3C19" w:rsidRPr="00C85E83">
        <w:rPr>
          <w:rFonts w:cs="Arial"/>
          <w:bCs/>
          <w:sz w:val="21"/>
          <w:szCs w:val="21"/>
        </w:rPr>
        <w:t xml:space="preserve"> patients </w:t>
      </w:r>
      <w:r w:rsidR="00C85E83" w:rsidRPr="00C85E83">
        <w:rPr>
          <w:rFonts w:cs="Arial"/>
          <w:bCs/>
          <w:sz w:val="21"/>
          <w:szCs w:val="21"/>
        </w:rPr>
        <w:t>should have</w:t>
      </w:r>
      <w:r w:rsidR="001E3C19" w:rsidRPr="00C85E83">
        <w:rPr>
          <w:rFonts w:cs="Arial"/>
          <w:bCs/>
          <w:sz w:val="21"/>
          <w:szCs w:val="21"/>
        </w:rPr>
        <w:t xml:space="preserve"> </w:t>
      </w:r>
      <w:proofErr w:type="gramStart"/>
      <w:r w:rsidR="001E3C19" w:rsidRPr="00C85E83">
        <w:rPr>
          <w:rFonts w:cs="Arial"/>
          <w:bCs/>
          <w:sz w:val="21"/>
          <w:szCs w:val="21"/>
        </w:rPr>
        <w:t>be</w:t>
      </w:r>
      <w:proofErr w:type="gramEnd"/>
      <w:r w:rsidR="001E3C19" w:rsidRPr="00C85E83">
        <w:rPr>
          <w:rFonts w:cs="Arial"/>
          <w:bCs/>
          <w:sz w:val="21"/>
          <w:szCs w:val="21"/>
        </w:rPr>
        <w:t xml:space="preserve"> seen at the Endoscopy </w:t>
      </w:r>
      <w:proofErr w:type="gramStart"/>
      <w:r w:rsidR="001E3C19" w:rsidRPr="00C85E83">
        <w:rPr>
          <w:rFonts w:cs="Arial"/>
          <w:bCs/>
          <w:sz w:val="21"/>
          <w:szCs w:val="21"/>
        </w:rPr>
        <w:t>Center</w:t>
      </w:r>
      <w:r w:rsidR="00C85E83" w:rsidRPr="00C85E83">
        <w:rPr>
          <w:rFonts w:cs="Arial"/>
          <w:bCs/>
          <w:sz w:val="21"/>
          <w:szCs w:val="21"/>
        </w:rPr>
        <w:t>, but</w:t>
      </w:r>
      <w:proofErr w:type="gramEnd"/>
      <w:r w:rsidR="00C85E83" w:rsidRPr="00C85E83">
        <w:rPr>
          <w:rFonts w:cs="Arial"/>
          <w:bCs/>
          <w:sz w:val="21"/>
          <w:szCs w:val="21"/>
        </w:rPr>
        <w:t xml:space="preserve"> could not have been accommodated because of </w:t>
      </w:r>
      <w:proofErr w:type="gramStart"/>
      <w:r w:rsidR="00C85E83" w:rsidRPr="00C85E83">
        <w:rPr>
          <w:rFonts w:cs="Arial"/>
          <w:bCs/>
          <w:sz w:val="21"/>
          <w:szCs w:val="21"/>
        </w:rPr>
        <w:t xml:space="preserve">limited </w:t>
      </w:r>
      <w:r w:rsidR="00FD2FFE" w:rsidRPr="00C85E83">
        <w:rPr>
          <w:rFonts w:cs="Arial"/>
          <w:bCs/>
          <w:sz w:val="21"/>
          <w:szCs w:val="21"/>
        </w:rPr>
        <w:t xml:space="preserve"> </w:t>
      </w:r>
      <w:r w:rsidR="001E3C19" w:rsidRPr="00C85E83">
        <w:rPr>
          <w:rFonts w:cs="Arial"/>
          <w:bCs/>
          <w:sz w:val="21"/>
          <w:szCs w:val="21"/>
        </w:rPr>
        <w:t>capacity</w:t>
      </w:r>
      <w:proofErr w:type="gramEnd"/>
      <w:r w:rsidR="001E3C19" w:rsidRPr="00C85E83">
        <w:rPr>
          <w:rFonts w:cs="Arial"/>
          <w:bCs/>
          <w:sz w:val="21"/>
          <w:szCs w:val="21"/>
        </w:rPr>
        <w:t xml:space="preserve">. </w:t>
      </w:r>
      <w:bookmarkEnd w:id="10"/>
      <w:r w:rsidR="00A00547" w:rsidRPr="00C85E83">
        <w:rPr>
          <w:rFonts w:cs="Arial"/>
          <w:bCs/>
          <w:sz w:val="21"/>
          <w:szCs w:val="21"/>
        </w:rPr>
        <w:t>Lastly, b</w:t>
      </w:r>
      <w:r w:rsidR="00854C19" w:rsidRPr="00C85E83">
        <w:rPr>
          <w:rFonts w:cs="Arial"/>
          <w:bCs/>
          <w:sz w:val="21"/>
          <w:szCs w:val="21"/>
        </w:rPr>
        <w:t xml:space="preserve">ased </w:t>
      </w:r>
      <w:r w:rsidR="00B5673F" w:rsidRPr="00C85E83">
        <w:rPr>
          <w:rFonts w:cs="Arial"/>
          <w:bCs/>
          <w:sz w:val="21"/>
          <w:szCs w:val="21"/>
        </w:rPr>
        <w:t xml:space="preserve">on </w:t>
      </w:r>
      <w:r w:rsidR="00854C19" w:rsidRPr="00C85E83">
        <w:rPr>
          <w:rFonts w:cs="Arial"/>
          <w:bCs/>
          <w:sz w:val="21"/>
          <w:szCs w:val="21"/>
        </w:rPr>
        <w:t xml:space="preserve">historical utilization, the Endoscopy Center expects non-colonoscopy procedures </w:t>
      </w:r>
      <w:r w:rsidR="00A00547" w:rsidRPr="00C85E83">
        <w:rPr>
          <w:rFonts w:cs="Arial"/>
          <w:bCs/>
          <w:sz w:val="21"/>
          <w:szCs w:val="21"/>
        </w:rPr>
        <w:t>will continue to account for roughly 20% of total procedures</w:t>
      </w:r>
      <w:r w:rsidR="00854C19" w:rsidRPr="00C85E83">
        <w:rPr>
          <w:rFonts w:cs="Arial"/>
          <w:bCs/>
          <w:sz w:val="21"/>
          <w:szCs w:val="21"/>
        </w:rPr>
        <w:t xml:space="preserve">. </w:t>
      </w:r>
      <w:bookmarkStart w:id="11" w:name="_Hlk214368891"/>
      <w:bookmarkEnd w:id="7"/>
      <w:r w:rsidR="00A00547" w:rsidRPr="00C85E83">
        <w:rPr>
          <w:rFonts w:cs="Arial"/>
          <w:bCs/>
          <w:sz w:val="21"/>
          <w:szCs w:val="21"/>
        </w:rPr>
        <w:t xml:space="preserve">In six years, non-colonoscopy procedures are projected to total </w:t>
      </w:r>
      <w:r w:rsidR="00863E49" w:rsidRPr="00C85E83">
        <w:rPr>
          <w:rFonts w:cs="Arial"/>
          <w:bCs/>
          <w:sz w:val="21"/>
          <w:szCs w:val="21"/>
        </w:rPr>
        <w:t xml:space="preserve">3,356 cases </w:t>
      </w:r>
      <w:r w:rsidR="00A00547" w:rsidRPr="00C85E83">
        <w:rPr>
          <w:rFonts w:cs="Arial"/>
          <w:bCs/>
          <w:sz w:val="21"/>
          <w:szCs w:val="21"/>
        </w:rPr>
        <w:t xml:space="preserve">annually. </w:t>
      </w:r>
    </w:p>
    <w:p w14:paraId="6C4EA343" w14:textId="0A86E24F" w:rsidR="00CB6DD7" w:rsidRDefault="00FD2FFE" w:rsidP="00CB6DD7">
      <w:pPr>
        <w:spacing w:before="120" w:after="120"/>
        <w:jc w:val="both"/>
        <w:rPr>
          <w:rFonts w:cs="Arial"/>
          <w:bCs/>
          <w:sz w:val="21"/>
          <w:szCs w:val="21"/>
        </w:rPr>
      </w:pPr>
      <w:r w:rsidRPr="00C85E83">
        <w:rPr>
          <w:rFonts w:cs="Arial"/>
          <w:bCs/>
          <w:sz w:val="21"/>
          <w:szCs w:val="21"/>
        </w:rPr>
        <w:t>The projected increased volume also is based on population increases.  In</w:t>
      </w:r>
      <w:r w:rsidR="00CB6DD7" w:rsidRPr="00C85E83">
        <w:rPr>
          <w:rFonts w:cs="Arial"/>
          <w:bCs/>
          <w:sz w:val="21"/>
          <w:szCs w:val="21"/>
        </w:rPr>
        <w:t xml:space="preserve"> 2030, the towns closest to the Endoscopy Center, including Arlington, Burlington, Lynnfield, Medford, North Reading, Peabody, Reading, Stoneham, Tew</w:t>
      </w:r>
      <w:r w:rsidRPr="00C85E83">
        <w:rPr>
          <w:rFonts w:cs="Arial"/>
          <w:bCs/>
          <w:sz w:val="21"/>
          <w:szCs w:val="21"/>
        </w:rPr>
        <w:t>ks</w:t>
      </w:r>
      <w:r w:rsidR="00CB6DD7" w:rsidRPr="00C85E83">
        <w:rPr>
          <w:rFonts w:cs="Arial"/>
          <w:bCs/>
          <w:sz w:val="21"/>
          <w:szCs w:val="21"/>
        </w:rPr>
        <w:t>bury, Winchester and Woburn are projected to have more than 130,000 residents ages 45-75. With recommended colorectal cancer</w:t>
      </w:r>
      <w:r w:rsidR="00CB6DD7" w:rsidRPr="00EA2A22">
        <w:rPr>
          <w:rFonts w:cs="Arial"/>
          <w:bCs/>
          <w:sz w:val="21"/>
          <w:szCs w:val="21"/>
        </w:rPr>
        <w:t xml:space="preserve"> screening at least every 10 years</w:t>
      </w:r>
      <w:r w:rsidR="00CB6DD7" w:rsidRPr="00EA2A22">
        <w:rPr>
          <w:rStyle w:val="FootnoteReference"/>
          <w:rFonts w:cs="Arial"/>
          <w:bCs/>
          <w:sz w:val="21"/>
          <w:szCs w:val="21"/>
        </w:rPr>
        <w:footnoteReference w:id="15"/>
      </w:r>
      <w:r w:rsidR="00CB6DD7" w:rsidRPr="00EA2A22">
        <w:rPr>
          <w:rFonts w:cs="Arial"/>
          <w:bCs/>
          <w:sz w:val="21"/>
          <w:szCs w:val="21"/>
        </w:rPr>
        <w:t xml:space="preserve">, this </w:t>
      </w:r>
      <w:r w:rsidR="00CB6DD7">
        <w:rPr>
          <w:rFonts w:cs="Arial"/>
          <w:bCs/>
          <w:sz w:val="21"/>
          <w:szCs w:val="21"/>
        </w:rPr>
        <w:t>amounts to</w:t>
      </w:r>
      <w:r w:rsidR="00CB6DD7" w:rsidRPr="00EA2A22">
        <w:rPr>
          <w:rFonts w:cs="Arial"/>
          <w:bCs/>
          <w:sz w:val="21"/>
          <w:szCs w:val="21"/>
        </w:rPr>
        <w:t xml:space="preserve"> approximately 1</w:t>
      </w:r>
      <w:r w:rsidR="00CB6DD7">
        <w:rPr>
          <w:rFonts w:cs="Arial"/>
          <w:bCs/>
          <w:sz w:val="21"/>
          <w:szCs w:val="21"/>
        </w:rPr>
        <w:t>3</w:t>
      </w:r>
      <w:r w:rsidR="00CB6DD7" w:rsidRPr="00EA2A22">
        <w:rPr>
          <w:rFonts w:cs="Arial"/>
          <w:bCs/>
          <w:sz w:val="21"/>
          <w:szCs w:val="21"/>
        </w:rPr>
        <w:t xml:space="preserve">,000 patients annually who will need some form of screening colonoscopy </w:t>
      </w:r>
      <w:r w:rsidR="00CB6DD7" w:rsidRPr="00EA2A22">
        <w:rPr>
          <w:rFonts w:cs="Arial"/>
          <w:bCs/>
          <w:sz w:val="21"/>
          <w:szCs w:val="21"/>
        </w:rPr>
        <w:lastRenderedPageBreak/>
        <w:t xml:space="preserve">and </w:t>
      </w:r>
      <w:r w:rsidR="00CB6DD7">
        <w:rPr>
          <w:rFonts w:cs="Arial"/>
          <w:bCs/>
          <w:sz w:val="21"/>
          <w:szCs w:val="21"/>
        </w:rPr>
        <w:t>would result in 10,400</w:t>
      </w:r>
      <w:r w:rsidR="00CB6DD7" w:rsidRPr="00EA2A22">
        <w:rPr>
          <w:rFonts w:cs="Arial"/>
          <w:bCs/>
          <w:sz w:val="21"/>
          <w:szCs w:val="21"/>
        </w:rPr>
        <w:t xml:space="preserve"> procedures </w:t>
      </w:r>
      <w:r w:rsidR="00CB6DD7">
        <w:rPr>
          <w:rFonts w:cs="Arial"/>
          <w:bCs/>
          <w:sz w:val="21"/>
          <w:szCs w:val="21"/>
        </w:rPr>
        <w:t>if just</w:t>
      </w:r>
      <w:r w:rsidR="00CB6DD7" w:rsidRPr="00EA2A22">
        <w:rPr>
          <w:rFonts w:cs="Arial"/>
          <w:bCs/>
          <w:sz w:val="21"/>
          <w:szCs w:val="21"/>
        </w:rPr>
        <w:t xml:space="preserve"> 80% </w:t>
      </w:r>
      <w:r w:rsidR="00CB6DD7">
        <w:rPr>
          <w:rFonts w:cs="Arial"/>
          <w:bCs/>
          <w:sz w:val="21"/>
          <w:szCs w:val="21"/>
        </w:rPr>
        <w:t>of those residents followed the recommended screening guidance</w:t>
      </w:r>
      <w:r w:rsidR="00CB6DD7" w:rsidRPr="00EA2A22">
        <w:rPr>
          <w:rFonts w:cs="Arial"/>
          <w:bCs/>
          <w:sz w:val="21"/>
          <w:szCs w:val="21"/>
        </w:rPr>
        <w:t>.</w:t>
      </w:r>
      <w:r w:rsidR="00CB6DD7">
        <w:rPr>
          <w:rStyle w:val="FootnoteReference"/>
          <w:rFonts w:cs="Arial"/>
          <w:bCs/>
          <w:sz w:val="21"/>
          <w:szCs w:val="21"/>
        </w:rPr>
        <w:footnoteReference w:id="16"/>
      </w:r>
      <w:r w:rsidR="00CB6DD7" w:rsidRPr="00EA2A22">
        <w:rPr>
          <w:rFonts w:cs="Arial"/>
          <w:bCs/>
          <w:sz w:val="21"/>
          <w:szCs w:val="21"/>
        </w:rPr>
        <w:t xml:space="preserve"> </w:t>
      </w:r>
      <w:r w:rsidR="00863E49">
        <w:rPr>
          <w:rFonts w:cs="Arial"/>
          <w:bCs/>
          <w:sz w:val="21"/>
          <w:szCs w:val="21"/>
        </w:rPr>
        <w:t>These calculations do not account for patients who are at a higher risk and require more frequent screenings, or follow-up screenings</w:t>
      </w:r>
      <w:r>
        <w:rPr>
          <w:rFonts w:cs="Arial"/>
          <w:bCs/>
          <w:sz w:val="21"/>
          <w:szCs w:val="21"/>
        </w:rPr>
        <w:t>, which would result in increased volume</w:t>
      </w:r>
      <w:r w:rsidR="00863E49">
        <w:rPr>
          <w:rFonts w:cs="Arial"/>
          <w:bCs/>
          <w:sz w:val="21"/>
          <w:szCs w:val="21"/>
        </w:rPr>
        <w:t xml:space="preserve">. Moreover, almost a quarter of the Hospital’s endoscopy patients were under the age of 45 who are not represented in these projections. </w:t>
      </w:r>
    </w:p>
    <w:p w14:paraId="299950EC" w14:textId="0D543B34" w:rsidR="00242D0F" w:rsidRDefault="00242D0F" w:rsidP="00B57EF4">
      <w:pPr>
        <w:spacing w:before="120" w:after="120"/>
        <w:jc w:val="both"/>
        <w:rPr>
          <w:rFonts w:cs="Arial"/>
          <w:bCs/>
          <w:sz w:val="21"/>
          <w:szCs w:val="21"/>
        </w:rPr>
      </w:pPr>
      <w:r>
        <w:rPr>
          <w:rFonts w:cs="Arial"/>
          <w:bCs/>
          <w:sz w:val="21"/>
          <w:szCs w:val="21"/>
        </w:rPr>
        <w:t>Based on these assumptions</w:t>
      </w:r>
      <w:r w:rsidR="005655CA" w:rsidRPr="00EA2A22">
        <w:rPr>
          <w:rFonts w:cs="Arial"/>
          <w:bCs/>
          <w:sz w:val="21"/>
          <w:szCs w:val="21"/>
        </w:rPr>
        <w:t xml:space="preserve">, the Applicant anticipates the Endoscopy Center will perform </w:t>
      </w:r>
      <w:r w:rsidR="00CB6DD7">
        <w:rPr>
          <w:rFonts w:cs="Arial"/>
          <w:bCs/>
          <w:sz w:val="21"/>
          <w:szCs w:val="21"/>
        </w:rPr>
        <w:t xml:space="preserve">16,779 </w:t>
      </w:r>
      <w:r w:rsidR="005655CA" w:rsidRPr="00EA2A22">
        <w:rPr>
          <w:rFonts w:cs="Arial"/>
          <w:bCs/>
          <w:sz w:val="21"/>
          <w:szCs w:val="21"/>
        </w:rPr>
        <w:t>procedures within five years of the new rooms opening, with utilization increasing from 7</w:t>
      </w:r>
      <w:r w:rsidR="00CB6DD7">
        <w:rPr>
          <w:rFonts w:cs="Arial"/>
          <w:bCs/>
          <w:sz w:val="21"/>
          <w:szCs w:val="21"/>
        </w:rPr>
        <w:t>2</w:t>
      </w:r>
      <w:r w:rsidR="005655CA" w:rsidRPr="00EA2A22">
        <w:rPr>
          <w:rFonts w:cs="Arial"/>
          <w:bCs/>
          <w:sz w:val="21"/>
          <w:szCs w:val="21"/>
        </w:rPr>
        <w:t>% in Year</w:t>
      </w:r>
      <w:r w:rsidR="005655CA" w:rsidRPr="005655CA">
        <w:rPr>
          <w:rFonts w:cs="Arial"/>
          <w:bCs/>
          <w:sz w:val="21"/>
          <w:szCs w:val="21"/>
        </w:rPr>
        <w:t xml:space="preserve"> 1</w:t>
      </w:r>
      <w:r w:rsidR="005D2ACD">
        <w:rPr>
          <w:rStyle w:val="FootnoteReference"/>
          <w:rFonts w:cs="Arial"/>
          <w:bCs/>
          <w:sz w:val="21"/>
          <w:szCs w:val="21"/>
        </w:rPr>
        <w:footnoteReference w:id="17"/>
      </w:r>
      <w:r w:rsidR="005655CA" w:rsidRPr="005655CA">
        <w:rPr>
          <w:rFonts w:cs="Arial"/>
          <w:bCs/>
          <w:sz w:val="21"/>
          <w:szCs w:val="21"/>
        </w:rPr>
        <w:t xml:space="preserve"> to 8</w:t>
      </w:r>
      <w:r w:rsidR="00A00547">
        <w:rPr>
          <w:rFonts w:cs="Arial"/>
          <w:bCs/>
          <w:sz w:val="21"/>
          <w:szCs w:val="21"/>
        </w:rPr>
        <w:t>4</w:t>
      </w:r>
      <w:r w:rsidR="005655CA" w:rsidRPr="005655CA">
        <w:rPr>
          <w:rFonts w:cs="Arial"/>
          <w:bCs/>
          <w:sz w:val="21"/>
          <w:szCs w:val="21"/>
        </w:rPr>
        <w:t xml:space="preserve">% in Year 5. This additional capacity will directly translate into shorter wait times, with the goal of reducing the average scheduling interval from 90 days to 40 days or less within 5 years. </w:t>
      </w:r>
      <w:bookmarkEnd w:id="11"/>
      <w:r w:rsidRPr="00242D0F">
        <w:rPr>
          <w:rFonts w:cs="Arial"/>
          <w:bCs/>
          <w:sz w:val="21"/>
          <w:szCs w:val="21"/>
        </w:rPr>
        <w:t xml:space="preserve">The expansion also will enable more patients to access timely care, helping to alleviate the system-wide backlog experienced across BILH. </w:t>
      </w:r>
    </w:p>
    <w:bookmarkEnd w:id="8"/>
    <w:p w14:paraId="70F39DC2" w14:textId="79C23E5B" w:rsidR="005655CA" w:rsidRDefault="005655CA" w:rsidP="00B57EF4">
      <w:pPr>
        <w:spacing w:before="120" w:after="120"/>
        <w:jc w:val="both"/>
        <w:rPr>
          <w:rFonts w:cs="Arial"/>
          <w:bCs/>
          <w:sz w:val="21"/>
          <w:szCs w:val="21"/>
        </w:rPr>
      </w:pPr>
      <w:r w:rsidRPr="005655CA">
        <w:rPr>
          <w:rFonts w:cs="Arial"/>
          <w:bCs/>
          <w:sz w:val="21"/>
          <w:szCs w:val="21"/>
        </w:rPr>
        <w:t>The Endoscopy Center’s proposed utilization is set for</w:t>
      </w:r>
      <w:r w:rsidR="00B24F37">
        <w:rPr>
          <w:rFonts w:cs="Arial"/>
          <w:bCs/>
          <w:sz w:val="21"/>
          <w:szCs w:val="21"/>
        </w:rPr>
        <w:t>th</w:t>
      </w:r>
      <w:r w:rsidRPr="005655CA">
        <w:rPr>
          <w:rFonts w:cs="Arial"/>
          <w:bCs/>
          <w:sz w:val="21"/>
          <w:szCs w:val="21"/>
        </w:rPr>
        <w:t xml:space="preserve"> in Table </w:t>
      </w:r>
      <w:r w:rsidR="005D2ACD">
        <w:rPr>
          <w:rFonts w:cs="Arial"/>
          <w:bCs/>
          <w:sz w:val="21"/>
          <w:szCs w:val="21"/>
        </w:rPr>
        <w:t>6</w:t>
      </w:r>
      <w:r w:rsidRPr="005655CA">
        <w:rPr>
          <w:rFonts w:cs="Arial"/>
          <w:bCs/>
          <w:sz w:val="21"/>
          <w:szCs w:val="21"/>
        </w:rPr>
        <w:t xml:space="preserve"> below. </w:t>
      </w:r>
    </w:p>
    <w:p w14:paraId="27C01990" w14:textId="280E65D1" w:rsidR="005D2ACD" w:rsidRPr="005D2ACD" w:rsidRDefault="005D2ACD" w:rsidP="00025C89">
      <w:pPr>
        <w:pStyle w:val="Heading3"/>
        <w:ind w:left="0"/>
      </w:pPr>
      <w:r w:rsidRPr="005655CA">
        <w:t xml:space="preserve">Table </w:t>
      </w:r>
      <w:r>
        <w:t>6</w:t>
      </w:r>
      <w:r w:rsidRPr="005655CA">
        <w:t>: Endoscopy Center Projected Volume</w:t>
      </w:r>
    </w:p>
    <w:tbl>
      <w:tblPr>
        <w:tblW w:w="9450" w:type="dxa"/>
        <w:tblLayout w:type="fixed"/>
        <w:tblLook w:val="04A0" w:firstRow="1" w:lastRow="0" w:firstColumn="1" w:lastColumn="0" w:noHBand="0" w:noVBand="1"/>
      </w:tblPr>
      <w:tblGrid>
        <w:gridCol w:w="3956"/>
        <w:gridCol w:w="1098"/>
        <w:gridCol w:w="1099"/>
        <w:gridCol w:w="1099"/>
        <w:gridCol w:w="1099"/>
        <w:gridCol w:w="1099"/>
      </w:tblGrid>
      <w:tr w:rsidR="005655CA" w:rsidRPr="005655CA" w14:paraId="49C5274B" w14:textId="77777777" w:rsidTr="00035435">
        <w:trPr>
          <w:cantSplit/>
          <w:trHeight w:val="290"/>
          <w:tblHeader/>
        </w:trPr>
        <w:tc>
          <w:tcPr>
            <w:tcW w:w="3956" w:type="dxa"/>
            <w:tcBorders>
              <w:top w:val="single" w:sz="4" w:space="0" w:color="auto"/>
              <w:left w:val="single" w:sz="4" w:space="0" w:color="auto"/>
              <w:bottom w:val="single" w:sz="4" w:space="0" w:color="auto"/>
              <w:right w:val="single" w:sz="4" w:space="0" w:color="auto"/>
            </w:tcBorders>
            <w:shd w:val="clear" w:color="auto" w:fill="0E2841" w:themeFill="text2"/>
            <w:noWrap/>
            <w:vAlign w:val="center"/>
            <w:hideMark/>
          </w:tcPr>
          <w:p w14:paraId="64593ED2" w14:textId="531D47F5" w:rsidR="005655CA" w:rsidRPr="005655CA" w:rsidRDefault="005D2ACD" w:rsidP="00B57EF4">
            <w:pPr>
              <w:jc w:val="both"/>
              <w:rPr>
                <w:rFonts w:cs="Arial"/>
                <w:b/>
                <w:bCs/>
                <w:sz w:val="21"/>
                <w:szCs w:val="21"/>
              </w:rPr>
            </w:pPr>
            <w:r>
              <w:rPr>
                <w:rFonts w:cs="Arial"/>
                <w:b/>
                <w:bCs/>
                <w:sz w:val="21"/>
                <w:szCs w:val="21"/>
              </w:rPr>
              <w:t xml:space="preserve">Projections </w:t>
            </w:r>
          </w:p>
        </w:tc>
        <w:tc>
          <w:tcPr>
            <w:tcW w:w="1098" w:type="dxa"/>
            <w:tcBorders>
              <w:top w:val="single" w:sz="4" w:space="0" w:color="auto"/>
              <w:left w:val="nil"/>
              <w:bottom w:val="single" w:sz="4" w:space="0" w:color="auto"/>
              <w:right w:val="single" w:sz="4" w:space="0" w:color="auto"/>
            </w:tcBorders>
            <w:shd w:val="clear" w:color="auto" w:fill="0E2841" w:themeFill="text2"/>
            <w:noWrap/>
            <w:vAlign w:val="center"/>
            <w:hideMark/>
          </w:tcPr>
          <w:p w14:paraId="4ECBDF8C" w14:textId="77777777" w:rsidR="005655CA" w:rsidRPr="005655CA" w:rsidRDefault="005655CA" w:rsidP="00B57EF4">
            <w:pPr>
              <w:jc w:val="center"/>
              <w:rPr>
                <w:rFonts w:cs="Arial"/>
                <w:b/>
                <w:bCs/>
                <w:sz w:val="21"/>
                <w:szCs w:val="21"/>
              </w:rPr>
            </w:pPr>
            <w:r w:rsidRPr="005655CA">
              <w:rPr>
                <w:rFonts w:cs="Arial"/>
                <w:b/>
                <w:bCs/>
                <w:sz w:val="21"/>
                <w:szCs w:val="21"/>
              </w:rPr>
              <w:t>Year 1</w:t>
            </w:r>
          </w:p>
        </w:tc>
        <w:tc>
          <w:tcPr>
            <w:tcW w:w="1099" w:type="dxa"/>
            <w:tcBorders>
              <w:top w:val="single" w:sz="4" w:space="0" w:color="auto"/>
              <w:left w:val="nil"/>
              <w:bottom w:val="single" w:sz="4" w:space="0" w:color="auto"/>
              <w:right w:val="single" w:sz="4" w:space="0" w:color="auto"/>
            </w:tcBorders>
            <w:shd w:val="clear" w:color="auto" w:fill="0E2841" w:themeFill="text2"/>
            <w:noWrap/>
            <w:vAlign w:val="center"/>
            <w:hideMark/>
          </w:tcPr>
          <w:p w14:paraId="7E4BCEDA" w14:textId="77777777" w:rsidR="005655CA" w:rsidRPr="005655CA" w:rsidRDefault="005655CA" w:rsidP="00B57EF4">
            <w:pPr>
              <w:jc w:val="center"/>
              <w:rPr>
                <w:rFonts w:cs="Arial"/>
                <w:b/>
                <w:bCs/>
                <w:sz w:val="21"/>
                <w:szCs w:val="21"/>
              </w:rPr>
            </w:pPr>
            <w:r w:rsidRPr="005655CA">
              <w:rPr>
                <w:rFonts w:cs="Arial"/>
                <w:b/>
                <w:bCs/>
                <w:sz w:val="21"/>
                <w:szCs w:val="21"/>
              </w:rPr>
              <w:t>Year 2</w:t>
            </w:r>
          </w:p>
        </w:tc>
        <w:tc>
          <w:tcPr>
            <w:tcW w:w="1099" w:type="dxa"/>
            <w:tcBorders>
              <w:top w:val="single" w:sz="4" w:space="0" w:color="auto"/>
              <w:left w:val="nil"/>
              <w:bottom w:val="single" w:sz="4" w:space="0" w:color="auto"/>
              <w:right w:val="single" w:sz="4" w:space="0" w:color="auto"/>
            </w:tcBorders>
            <w:shd w:val="clear" w:color="auto" w:fill="0E2841" w:themeFill="text2"/>
            <w:noWrap/>
            <w:vAlign w:val="center"/>
            <w:hideMark/>
          </w:tcPr>
          <w:p w14:paraId="3D4B8EF6" w14:textId="77777777" w:rsidR="005655CA" w:rsidRPr="005655CA" w:rsidRDefault="005655CA" w:rsidP="00B57EF4">
            <w:pPr>
              <w:jc w:val="center"/>
              <w:rPr>
                <w:rFonts w:cs="Arial"/>
                <w:b/>
                <w:bCs/>
                <w:sz w:val="21"/>
                <w:szCs w:val="21"/>
              </w:rPr>
            </w:pPr>
            <w:r w:rsidRPr="005655CA">
              <w:rPr>
                <w:rFonts w:cs="Arial"/>
                <w:b/>
                <w:bCs/>
                <w:sz w:val="21"/>
                <w:szCs w:val="21"/>
              </w:rPr>
              <w:t>Year 3</w:t>
            </w:r>
          </w:p>
        </w:tc>
        <w:tc>
          <w:tcPr>
            <w:tcW w:w="1099" w:type="dxa"/>
            <w:tcBorders>
              <w:top w:val="single" w:sz="4" w:space="0" w:color="auto"/>
              <w:left w:val="nil"/>
              <w:bottom w:val="single" w:sz="4" w:space="0" w:color="auto"/>
              <w:right w:val="single" w:sz="4" w:space="0" w:color="auto"/>
            </w:tcBorders>
            <w:shd w:val="clear" w:color="auto" w:fill="0E2841" w:themeFill="text2"/>
            <w:noWrap/>
            <w:vAlign w:val="center"/>
            <w:hideMark/>
          </w:tcPr>
          <w:p w14:paraId="16B84052" w14:textId="77777777" w:rsidR="005655CA" w:rsidRPr="005655CA" w:rsidRDefault="005655CA" w:rsidP="00B57EF4">
            <w:pPr>
              <w:jc w:val="center"/>
              <w:rPr>
                <w:rFonts w:cs="Arial"/>
                <w:b/>
                <w:bCs/>
                <w:sz w:val="21"/>
                <w:szCs w:val="21"/>
              </w:rPr>
            </w:pPr>
            <w:r w:rsidRPr="005655CA">
              <w:rPr>
                <w:rFonts w:cs="Arial"/>
                <w:b/>
                <w:bCs/>
                <w:sz w:val="21"/>
                <w:szCs w:val="21"/>
              </w:rPr>
              <w:t>Year 4</w:t>
            </w:r>
          </w:p>
        </w:tc>
        <w:tc>
          <w:tcPr>
            <w:tcW w:w="1099" w:type="dxa"/>
            <w:tcBorders>
              <w:top w:val="single" w:sz="4" w:space="0" w:color="auto"/>
              <w:left w:val="nil"/>
              <w:bottom w:val="single" w:sz="4" w:space="0" w:color="auto"/>
              <w:right w:val="single" w:sz="4" w:space="0" w:color="auto"/>
            </w:tcBorders>
            <w:shd w:val="clear" w:color="auto" w:fill="0E2841" w:themeFill="text2"/>
            <w:noWrap/>
            <w:vAlign w:val="center"/>
            <w:hideMark/>
          </w:tcPr>
          <w:p w14:paraId="3588522C" w14:textId="77777777" w:rsidR="005655CA" w:rsidRPr="005655CA" w:rsidRDefault="005655CA" w:rsidP="00B57EF4">
            <w:pPr>
              <w:jc w:val="center"/>
              <w:rPr>
                <w:rFonts w:cs="Arial"/>
                <w:b/>
                <w:bCs/>
                <w:sz w:val="21"/>
                <w:szCs w:val="21"/>
              </w:rPr>
            </w:pPr>
            <w:r w:rsidRPr="005655CA">
              <w:rPr>
                <w:rFonts w:cs="Arial"/>
                <w:b/>
                <w:bCs/>
                <w:sz w:val="21"/>
                <w:szCs w:val="21"/>
              </w:rPr>
              <w:t>Year 5</w:t>
            </w:r>
          </w:p>
        </w:tc>
      </w:tr>
      <w:tr w:rsidR="001E3C19" w:rsidRPr="005655CA" w14:paraId="224D1DC9" w14:textId="77777777" w:rsidTr="00035435">
        <w:trPr>
          <w:cantSplit/>
          <w:trHeight w:val="290"/>
        </w:trPr>
        <w:tc>
          <w:tcPr>
            <w:tcW w:w="3956" w:type="dxa"/>
            <w:tcBorders>
              <w:top w:val="nil"/>
              <w:left w:val="single" w:sz="4" w:space="0" w:color="auto"/>
              <w:bottom w:val="single" w:sz="4" w:space="0" w:color="auto"/>
              <w:right w:val="single" w:sz="4" w:space="0" w:color="auto"/>
            </w:tcBorders>
            <w:noWrap/>
            <w:vAlign w:val="center"/>
            <w:hideMark/>
          </w:tcPr>
          <w:p w14:paraId="2B8142C3" w14:textId="77777777" w:rsidR="001E3C19" w:rsidRPr="005655CA" w:rsidRDefault="001E3C19" w:rsidP="001E3C19">
            <w:pPr>
              <w:jc w:val="both"/>
              <w:rPr>
                <w:rFonts w:cs="Arial"/>
                <w:bCs/>
                <w:sz w:val="21"/>
                <w:szCs w:val="21"/>
              </w:rPr>
            </w:pPr>
            <w:r w:rsidRPr="005655CA">
              <w:rPr>
                <w:rFonts w:cs="Arial"/>
                <w:bCs/>
                <w:sz w:val="21"/>
                <w:szCs w:val="21"/>
              </w:rPr>
              <w:t>New Volume</w:t>
            </w:r>
          </w:p>
        </w:tc>
        <w:tc>
          <w:tcPr>
            <w:tcW w:w="1098" w:type="dxa"/>
            <w:tcBorders>
              <w:top w:val="nil"/>
              <w:left w:val="nil"/>
              <w:bottom w:val="single" w:sz="4" w:space="0" w:color="auto"/>
              <w:right w:val="single" w:sz="4" w:space="0" w:color="auto"/>
            </w:tcBorders>
            <w:noWrap/>
            <w:vAlign w:val="center"/>
            <w:hideMark/>
          </w:tcPr>
          <w:p w14:paraId="18EAF681" w14:textId="4B202DF9" w:rsidR="001E3C19" w:rsidRPr="005655CA" w:rsidRDefault="001E3C19" w:rsidP="001E3C19">
            <w:pPr>
              <w:jc w:val="center"/>
              <w:rPr>
                <w:rFonts w:cs="Arial"/>
                <w:bCs/>
                <w:sz w:val="21"/>
                <w:szCs w:val="21"/>
              </w:rPr>
            </w:pPr>
            <w:r>
              <w:rPr>
                <w:rFonts w:cs="Arial"/>
                <w:bCs/>
                <w:color w:val="000000"/>
                <w:sz w:val="21"/>
                <w:szCs w:val="21"/>
              </w:rPr>
              <w:t>3,420</w:t>
            </w:r>
          </w:p>
        </w:tc>
        <w:tc>
          <w:tcPr>
            <w:tcW w:w="1099" w:type="dxa"/>
            <w:tcBorders>
              <w:top w:val="nil"/>
              <w:left w:val="nil"/>
              <w:bottom w:val="single" w:sz="4" w:space="0" w:color="auto"/>
              <w:right w:val="single" w:sz="4" w:space="0" w:color="auto"/>
            </w:tcBorders>
            <w:noWrap/>
            <w:vAlign w:val="center"/>
            <w:hideMark/>
          </w:tcPr>
          <w:p w14:paraId="08FF672B" w14:textId="3DADFBEE" w:rsidR="001E3C19" w:rsidRPr="005655CA" w:rsidRDefault="001E3C19" w:rsidP="001E3C19">
            <w:pPr>
              <w:jc w:val="center"/>
              <w:rPr>
                <w:rFonts w:cs="Arial"/>
                <w:bCs/>
                <w:sz w:val="21"/>
                <w:szCs w:val="21"/>
              </w:rPr>
            </w:pPr>
            <w:r>
              <w:rPr>
                <w:rFonts w:cs="Arial"/>
                <w:bCs/>
                <w:color w:val="000000"/>
                <w:sz w:val="21"/>
                <w:szCs w:val="21"/>
              </w:rPr>
              <w:t>3,800</w:t>
            </w:r>
          </w:p>
        </w:tc>
        <w:tc>
          <w:tcPr>
            <w:tcW w:w="1099" w:type="dxa"/>
            <w:tcBorders>
              <w:top w:val="nil"/>
              <w:left w:val="nil"/>
              <w:bottom w:val="single" w:sz="4" w:space="0" w:color="auto"/>
              <w:right w:val="single" w:sz="4" w:space="0" w:color="auto"/>
            </w:tcBorders>
            <w:noWrap/>
            <w:vAlign w:val="center"/>
            <w:hideMark/>
          </w:tcPr>
          <w:p w14:paraId="492587DB" w14:textId="5425438D" w:rsidR="001E3C19" w:rsidRPr="005655CA" w:rsidRDefault="001E3C19" w:rsidP="001E3C19">
            <w:pPr>
              <w:jc w:val="center"/>
              <w:rPr>
                <w:rFonts w:cs="Arial"/>
                <w:bCs/>
                <w:sz w:val="21"/>
                <w:szCs w:val="21"/>
              </w:rPr>
            </w:pPr>
            <w:r>
              <w:rPr>
                <w:rFonts w:cs="Arial"/>
                <w:bCs/>
                <w:color w:val="000000"/>
                <w:sz w:val="21"/>
                <w:szCs w:val="21"/>
              </w:rPr>
              <w:t>4,370</w:t>
            </w:r>
          </w:p>
        </w:tc>
        <w:tc>
          <w:tcPr>
            <w:tcW w:w="1099" w:type="dxa"/>
            <w:tcBorders>
              <w:top w:val="nil"/>
              <w:left w:val="nil"/>
              <w:bottom w:val="single" w:sz="4" w:space="0" w:color="auto"/>
              <w:right w:val="single" w:sz="4" w:space="0" w:color="auto"/>
            </w:tcBorders>
            <w:noWrap/>
            <w:vAlign w:val="center"/>
            <w:hideMark/>
          </w:tcPr>
          <w:p w14:paraId="3FD9AEFB" w14:textId="10E3B2B0" w:rsidR="001E3C19" w:rsidRPr="005655CA" w:rsidRDefault="001E3C19" w:rsidP="001E3C19">
            <w:pPr>
              <w:jc w:val="center"/>
              <w:rPr>
                <w:rFonts w:cs="Arial"/>
                <w:bCs/>
                <w:sz w:val="21"/>
                <w:szCs w:val="21"/>
              </w:rPr>
            </w:pPr>
            <w:r>
              <w:rPr>
                <w:rFonts w:cs="Arial"/>
                <w:bCs/>
                <w:color w:val="000000"/>
                <w:sz w:val="21"/>
                <w:szCs w:val="21"/>
              </w:rPr>
              <w:t>5,130</w:t>
            </w:r>
          </w:p>
        </w:tc>
        <w:tc>
          <w:tcPr>
            <w:tcW w:w="1099" w:type="dxa"/>
            <w:tcBorders>
              <w:top w:val="nil"/>
              <w:left w:val="nil"/>
              <w:bottom w:val="single" w:sz="4" w:space="0" w:color="auto"/>
              <w:right w:val="single" w:sz="4" w:space="0" w:color="auto"/>
            </w:tcBorders>
            <w:noWrap/>
            <w:vAlign w:val="center"/>
            <w:hideMark/>
          </w:tcPr>
          <w:p w14:paraId="1D1AA588" w14:textId="71E6AAF1" w:rsidR="001E3C19" w:rsidRPr="005655CA" w:rsidRDefault="001E3C19" w:rsidP="001E3C19">
            <w:pPr>
              <w:jc w:val="center"/>
              <w:rPr>
                <w:rFonts w:cs="Arial"/>
                <w:bCs/>
                <w:sz w:val="21"/>
                <w:szCs w:val="21"/>
              </w:rPr>
            </w:pPr>
            <w:r>
              <w:rPr>
                <w:rFonts w:cs="Arial"/>
                <w:bCs/>
                <w:color w:val="000000"/>
                <w:sz w:val="21"/>
                <w:szCs w:val="21"/>
              </w:rPr>
              <w:t>5,700</w:t>
            </w:r>
          </w:p>
        </w:tc>
      </w:tr>
      <w:tr w:rsidR="001E3C19" w:rsidRPr="005655CA" w14:paraId="1A9AE16B" w14:textId="77777777" w:rsidTr="00035435">
        <w:trPr>
          <w:cantSplit/>
          <w:trHeight w:val="290"/>
        </w:trPr>
        <w:tc>
          <w:tcPr>
            <w:tcW w:w="3956" w:type="dxa"/>
            <w:tcBorders>
              <w:top w:val="nil"/>
              <w:left w:val="single" w:sz="4" w:space="0" w:color="auto"/>
              <w:bottom w:val="single" w:sz="4" w:space="0" w:color="auto"/>
              <w:right w:val="single" w:sz="4" w:space="0" w:color="auto"/>
            </w:tcBorders>
            <w:noWrap/>
            <w:vAlign w:val="center"/>
            <w:hideMark/>
          </w:tcPr>
          <w:p w14:paraId="037C7786" w14:textId="77777777" w:rsidR="001E3C19" w:rsidRPr="005655CA" w:rsidRDefault="001E3C19" w:rsidP="001E3C19">
            <w:pPr>
              <w:jc w:val="both"/>
              <w:rPr>
                <w:rFonts w:cs="Arial"/>
                <w:bCs/>
                <w:sz w:val="21"/>
                <w:szCs w:val="21"/>
              </w:rPr>
            </w:pPr>
            <w:r w:rsidRPr="005655CA">
              <w:rPr>
                <w:rFonts w:cs="Arial"/>
                <w:bCs/>
                <w:sz w:val="21"/>
                <w:szCs w:val="21"/>
              </w:rPr>
              <w:t>Total Volume</w:t>
            </w:r>
          </w:p>
        </w:tc>
        <w:tc>
          <w:tcPr>
            <w:tcW w:w="1098" w:type="dxa"/>
            <w:tcBorders>
              <w:top w:val="nil"/>
              <w:left w:val="nil"/>
              <w:bottom w:val="single" w:sz="4" w:space="0" w:color="auto"/>
              <w:right w:val="single" w:sz="4" w:space="0" w:color="auto"/>
            </w:tcBorders>
            <w:noWrap/>
            <w:vAlign w:val="center"/>
            <w:hideMark/>
          </w:tcPr>
          <w:p w14:paraId="5901F871" w14:textId="5503EB69" w:rsidR="001E3C19" w:rsidRPr="005655CA" w:rsidRDefault="001E3C19" w:rsidP="001E3C19">
            <w:pPr>
              <w:jc w:val="center"/>
              <w:rPr>
                <w:rFonts w:cs="Arial"/>
                <w:bCs/>
                <w:sz w:val="21"/>
                <w:szCs w:val="21"/>
              </w:rPr>
            </w:pPr>
            <w:r>
              <w:rPr>
                <w:rFonts w:cs="Arial"/>
                <w:bCs/>
                <w:color w:val="000000"/>
                <w:sz w:val="21"/>
                <w:szCs w:val="21"/>
              </w:rPr>
              <w:t>14,499</w:t>
            </w:r>
          </w:p>
        </w:tc>
        <w:tc>
          <w:tcPr>
            <w:tcW w:w="1099" w:type="dxa"/>
            <w:tcBorders>
              <w:top w:val="nil"/>
              <w:left w:val="nil"/>
              <w:bottom w:val="single" w:sz="4" w:space="0" w:color="auto"/>
              <w:right w:val="single" w:sz="4" w:space="0" w:color="auto"/>
            </w:tcBorders>
            <w:noWrap/>
            <w:vAlign w:val="center"/>
            <w:hideMark/>
          </w:tcPr>
          <w:p w14:paraId="3BA4D9B3" w14:textId="2C92D5BA" w:rsidR="001E3C19" w:rsidRPr="005655CA" w:rsidRDefault="001E3C19" w:rsidP="001E3C19">
            <w:pPr>
              <w:jc w:val="center"/>
              <w:rPr>
                <w:rFonts w:cs="Arial"/>
                <w:bCs/>
                <w:sz w:val="21"/>
                <w:szCs w:val="21"/>
              </w:rPr>
            </w:pPr>
            <w:r>
              <w:rPr>
                <w:rFonts w:cs="Arial"/>
                <w:bCs/>
                <w:color w:val="000000"/>
                <w:sz w:val="21"/>
                <w:szCs w:val="21"/>
              </w:rPr>
              <w:t>14,879</w:t>
            </w:r>
          </w:p>
        </w:tc>
        <w:tc>
          <w:tcPr>
            <w:tcW w:w="1099" w:type="dxa"/>
            <w:tcBorders>
              <w:top w:val="nil"/>
              <w:left w:val="nil"/>
              <w:bottom w:val="single" w:sz="4" w:space="0" w:color="auto"/>
              <w:right w:val="single" w:sz="4" w:space="0" w:color="auto"/>
            </w:tcBorders>
            <w:noWrap/>
            <w:vAlign w:val="center"/>
            <w:hideMark/>
          </w:tcPr>
          <w:p w14:paraId="3E4068EA" w14:textId="566959FF" w:rsidR="001E3C19" w:rsidRPr="005655CA" w:rsidRDefault="001E3C19" w:rsidP="001E3C19">
            <w:pPr>
              <w:jc w:val="center"/>
              <w:rPr>
                <w:rFonts w:cs="Arial"/>
                <w:bCs/>
                <w:sz w:val="21"/>
                <w:szCs w:val="21"/>
              </w:rPr>
            </w:pPr>
            <w:r>
              <w:rPr>
                <w:rFonts w:cs="Arial"/>
                <w:bCs/>
                <w:color w:val="000000"/>
                <w:sz w:val="21"/>
                <w:szCs w:val="21"/>
              </w:rPr>
              <w:t>15,449</w:t>
            </w:r>
          </w:p>
        </w:tc>
        <w:tc>
          <w:tcPr>
            <w:tcW w:w="1099" w:type="dxa"/>
            <w:tcBorders>
              <w:top w:val="nil"/>
              <w:left w:val="nil"/>
              <w:bottom w:val="single" w:sz="4" w:space="0" w:color="auto"/>
              <w:right w:val="single" w:sz="4" w:space="0" w:color="auto"/>
            </w:tcBorders>
            <w:noWrap/>
            <w:vAlign w:val="center"/>
            <w:hideMark/>
          </w:tcPr>
          <w:p w14:paraId="4805BE63" w14:textId="185AE0C7" w:rsidR="001E3C19" w:rsidRPr="005655CA" w:rsidRDefault="001E3C19" w:rsidP="001E3C19">
            <w:pPr>
              <w:jc w:val="center"/>
              <w:rPr>
                <w:rFonts w:cs="Arial"/>
                <w:bCs/>
                <w:sz w:val="21"/>
                <w:szCs w:val="21"/>
              </w:rPr>
            </w:pPr>
            <w:r>
              <w:rPr>
                <w:rFonts w:cs="Arial"/>
                <w:bCs/>
                <w:color w:val="000000"/>
                <w:sz w:val="21"/>
                <w:szCs w:val="21"/>
              </w:rPr>
              <w:t>16,209</w:t>
            </w:r>
          </w:p>
        </w:tc>
        <w:tc>
          <w:tcPr>
            <w:tcW w:w="1099" w:type="dxa"/>
            <w:tcBorders>
              <w:top w:val="nil"/>
              <w:left w:val="nil"/>
              <w:bottom w:val="single" w:sz="4" w:space="0" w:color="auto"/>
              <w:right w:val="single" w:sz="4" w:space="0" w:color="auto"/>
            </w:tcBorders>
            <w:noWrap/>
            <w:vAlign w:val="center"/>
            <w:hideMark/>
          </w:tcPr>
          <w:p w14:paraId="1F65AC97" w14:textId="22F74701" w:rsidR="001E3C19" w:rsidRPr="005655CA" w:rsidRDefault="001E3C19" w:rsidP="001E3C19">
            <w:pPr>
              <w:jc w:val="center"/>
              <w:rPr>
                <w:rFonts w:cs="Arial"/>
                <w:bCs/>
                <w:sz w:val="21"/>
                <w:szCs w:val="21"/>
              </w:rPr>
            </w:pPr>
            <w:r>
              <w:rPr>
                <w:rFonts w:cs="Arial"/>
                <w:bCs/>
                <w:color w:val="000000"/>
                <w:sz w:val="21"/>
                <w:szCs w:val="21"/>
              </w:rPr>
              <w:t>16,779</w:t>
            </w:r>
          </w:p>
        </w:tc>
      </w:tr>
      <w:tr w:rsidR="001E3C19" w:rsidRPr="005655CA" w14:paraId="5EA9EBBC" w14:textId="77777777" w:rsidTr="00035435">
        <w:trPr>
          <w:cantSplit/>
          <w:trHeight w:val="290"/>
        </w:trPr>
        <w:tc>
          <w:tcPr>
            <w:tcW w:w="3956" w:type="dxa"/>
            <w:tcBorders>
              <w:top w:val="nil"/>
              <w:left w:val="single" w:sz="4" w:space="0" w:color="auto"/>
              <w:bottom w:val="single" w:sz="4" w:space="0" w:color="auto"/>
              <w:right w:val="single" w:sz="4" w:space="0" w:color="auto"/>
            </w:tcBorders>
            <w:noWrap/>
            <w:vAlign w:val="center"/>
            <w:hideMark/>
          </w:tcPr>
          <w:p w14:paraId="42C68111" w14:textId="77777777" w:rsidR="001E3C19" w:rsidRPr="005655CA" w:rsidRDefault="001E3C19" w:rsidP="001E3C19">
            <w:pPr>
              <w:jc w:val="both"/>
              <w:rPr>
                <w:rFonts w:cs="Arial"/>
                <w:bCs/>
                <w:sz w:val="21"/>
                <w:szCs w:val="21"/>
              </w:rPr>
            </w:pPr>
            <w:r w:rsidRPr="005655CA">
              <w:rPr>
                <w:rFonts w:cs="Arial"/>
                <w:bCs/>
                <w:sz w:val="21"/>
                <w:szCs w:val="21"/>
              </w:rPr>
              <w:t>Utilization</w:t>
            </w:r>
          </w:p>
        </w:tc>
        <w:tc>
          <w:tcPr>
            <w:tcW w:w="1098" w:type="dxa"/>
            <w:tcBorders>
              <w:top w:val="nil"/>
              <w:left w:val="nil"/>
              <w:bottom w:val="single" w:sz="4" w:space="0" w:color="auto"/>
              <w:right w:val="single" w:sz="4" w:space="0" w:color="auto"/>
            </w:tcBorders>
            <w:noWrap/>
            <w:vAlign w:val="center"/>
            <w:hideMark/>
          </w:tcPr>
          <w:p w14:paraId="54522FAF" w14:textId="55D3046E" w:rsidR="001E3C19" w:rsidRPr="005655CA" w:rsidRDefault="001E3C19" w:rsidP="001E3C19">
            <w:pPr>
              <w:jc w:val="center"/>
              <w:rPr>
                <w:rFonts w:cs="Arial"/>
                <w:bCs/>
                <w:sz w:val="21"/>
                <w:szCs w:val="21"/>
              </w:rPr>
            </w:pPr>
            <w:r>
              <w:rPr>
                <w:rFonts w:cs="Arial"/>
                <w:bCs/>
                <w:color w:val="000000"/>
                <w:sz w:val="21"/>
                <w:szCs w:val="21"/>
              </w:rPr>
              <w:t>72%</w:t>
            </w:r>
          </w:p>
        </w:tc>
        <w:tc>
          <w:tcPr>
            <w:tcW w:w="1099" w:type="dxa"/>
            <w:tcBorders>
              <w:top w:val="nil"/>
              <w:left w:val="nil"/>
              <w:bottom w:val="single" w:sz="4" w:space="0" w:color="auto"/>
              <w:right w:val="single" w:sz="4" w:space="0" w:color="auto"/>
            </w:tcBorders>
            <w:noWrap/>
            <w:vAlign w:val="center"/>
            <w:hideMark/>
          </w:tcPr>
          <w:p w14:paraId="6FFC237D" w14:textId="77B1D38A" w:rsidR="001E3C19" w:rsidRPr="005655CA" w:rsidRDefault="001E3C19" w:rsidP="001E3C19">
            <w:pPr>
              <w:jc w:val="center"/>
              <w:rPr>
                <w:rFonts w:cs="Arial"/>
                <w:bCs/>
                <w:sz w:val="21"/>
                <w:szCs w:val="21"/>
              </w:rPr>
            </w:pPr>
            <w:r>
              <w:rPr>
                <w:rFonts w:cs="Arial"/>
                <w:bCs/>
                <w:color w:val="000000"/>
                <w:sz w:val="21"/>
                <w:szCs w:val="21"/>
              </w:rPr>
              <w:t>74%</w:t>
            </w:r>
          </w:p>
        </w:tc>
        <w:tc>
          <w:tcPr>
            <w:tcW w:w="1099" w:type="dxa"/>
            <w:tcBorders>
              <w:top w:val="nil"/>
              <w:left w:val="nil"/>
              <w:bottom w:val="single" w:sz="4" w:space="0" w:color="auto"/>
              <w:right w:val="single" w:sz="4" w:space="0" w:color="auto"/>
            </w:tcBorders>
            <w:noWrap/>
            <w:vAlign w:val="center"/>
            <w:hideMark/>
          </w:tcPr>
          <w:p w14:paraId="36EA6739" w14:textId="247EADC9" w:rsidR="001E3C19" w:rsidRPr="005655CA" w:rsidRDefault="001E3C19" w:rsidP="001E3C19">
            <w:pPr>
              <w:jc w:val="center"/>
              <w:rPr>
                <w:rFonts w:cs="Arial"/>
                <w:bCs/>
                <w:sz w:val="21"/>
                <w:szCs w:val="21"/>
              </w:rPr>
            </w:pPr>
            <w:r>
              <w:rPr>
                <w:rFonts w:cs="Arial"/>
                <w:bCs/>
                <w:color w:val="000000"/>
                <w:sz w:val="21"/>
                <w:szCs w:val="21"/>
              </w:rPr>
              <w:t>77%</w:t>
            </w:r>
          </w:p>
        </w:tc>
        <w:tc>
          <w:tcPr>
            <w:tcW w:w="1099" w:type="dxa"/>
            <w:tcBorders>
              <w:top w:val="nil"/>
              <w:left w:val="nil"/>
              <w:bottom w:val="single" w:sz="4" w:space="0" w:color="auto"/>
              <w:right w:val="single" w:sz="4" w:space="0" w:color="auto"/>
            </w:tcBorders>
            <w:noWrap/>
            <w:vAlign w:val="center"/>
            <w:hideMark/>
          </w:tcPr>
          <w:p w14:paraId="5986D670" w14:textId="1A6CBABC" w:rsidR="001E3C19" w:rsidRPr="005655CA" w:rsidRDefault="001E3C19" w:rsidP="001E3C19">
            <w:pPr>
              <w:jc w:val="center"/>
              <w:rPr>
                <w:rFonts w:cs="Arial"/>
                <w:bCs/>
                <w:sz w:val="21"/>
                <w:szCs w:val="21"/>
              </w:rPr>
            </w:pPr>
            <w:r>
              <w:rPr>
                <w:rFonts w:cs="Arial"/>
                <w:bCs/>
                <w:color w:val="000000"/>
                <w:sz w:val="21"/>
                <w:szCs w:val="21"/>
              </w:rPr>
              <w:t>81%</w:t>
            </w:r>
          </w:p>
        </w:tc>
        <w:tc>
          <w:tcPr>
            <w:tcW w:w="1099" w:type="dxa"/>
            <w:tcBorders>
              <w:top w:val="nil"/>
              <w:left w:val="nil"/>
              <w:bottom w:val="single" w:sz="4" w:space="0" w:color="auto"/>
              <w:right w:val="single" w:sz="4" w:space="0" w:color="auto"/>
            </w:tcBorders>
            <w:noWrap/>
            <w:vAlign w:val="center"/>
            <w:hideMark/>
          </w:tcPr>
          <w:p w14:paraId="24DD73A3" w14:textId="57402E68" w:rsidR="001E3C19" w:rsidRPr="005655CA" w:rsidRDefault="001E3C19" w:rsidP="001E3C19">
            <w:pPr>
              <w:jc w:val="center"/>
              <w:rPr>
                <w:rFonts w:cs="Arial"/>
                <w:bCs/>
                <w:sz w:val="21"/>
                <w:szCs w:val="21"/>
              </w:rPr>
            </w:pPr>
            <w:r>
              <w:rPr>
                <w:rFonts w:cs="Arial"/>
                <w:bCs/>
                <w:color w:val="000000"/>
                <w:sz w:val="21"/>
                <w:szCs w:val="21"/>
              </w:rPr>
              <w:t>84%</w:t>
            </w:r>
          </w:p>
        </w:tc>
      </w:tr>
    </w:tbl>
    <w:bookmarkEnd w:id="9"/>
    <w:p w14:paraId="48F66735" w14:textId="4FC2065F" w:rsidR="005D2ACD" w:rsidRPr="00565CAE" w:rsidRDefault="005655CA" w:rsidP="00565CAE">
      <w:pPr>
        <w:spacing w:before="240" w:after="240"/>
        <w:jc w:val="both"/>
        <w:rPr>
          <w:rFonts w:cs="Arial"/>
          <w:bCs/>
          <w:sz w:val="21"/>
          <w:szCs w:val="21"/>
        </w:rPr>
      </w:pPr>
      <w:r w:rsidRPr="005655CA">
        <w:rPr>
          <w:rFonts w:cs="Arial"/>
          <w:bCs/>
          <w:sz w:val="21"/>
          <w:szCs w:val="21"/>
        </w:rPr>
        <w:t xml:space="preserve">The Proposed Project is a necessary and timely response to the growing need for colorectal cancer screening and diagnostic and preventive endoscopy by the Applicant’s Patient Panel. By increasing procedural capacity, reducing wait times, and improving access at the Endoscopy Center, the Proposed Project will play a critical role in advancing early detection, improving clinical outcomes, and containing healthcare costs. As colorectal cancer rates continue to rise, particularly among younger adults, timely and equitable access to high-quality endoscopy is essential. The Proposed Project ensures that Winchester Hospital remains at the forefront of cancer prevention and care for years to come. </w:t>
      </w:r>
    </w:p>
    <w:p w14:paraId="51922FAC" w14:textId="51ABDAD1" w:rsidR="006A47AD" w:rsidRPr="00431D3A" w:rsidRDefault="006A47AD" w:rsidP="00025C89">
      <w:pPr>
        <w:pStyle w:val="Heading2"/>
      </w:pPr>
      <w:r w:rsidRPr="00431D3A">
        <w:t>F1.a.iii</w:t>
      </w:r>
      <w:r w:rsidRPr="00431D3A">
        <w:tab/>
      </w:r>
      <w:r w:rsidRPr="00431D3A">
        <w:tab/>
        <w:t>Competition:</w:t>
      </w:r>
    </w:p>
    <w:p w14:paraId="703BC84D" w14:textId="5DE099BC" w:rsidR="006A47AD" w:rsidRPr="00031808" w:rsidRDefault="006A47AD" w:rsidP="006867F8">
      <w:pPr>
        <w:spacing w:after="120"/>
        <w:ind w:left="1440"/>
        <w:jc w:val="both"/>
        <w:rPr>
          <w:rFonts w:asciiTheme="minorHAnsi" w:hAnsiTheme="minorHAnsi"/>
          <w:b/>
          <w:sz w:val="21"/>
          <w:szCs w:val="21"/>
        </w:rPr>
      </w:pPr>
      <w:r w:rsidRPr="00031808">
        <w:rPr>
          <w:rFonts w:asciiTheme="minorHAnsi" w:hAnsiTheme="minorHAnsi"/>
          <w:b/>
          <w:sz w:val="21"/>
          <w:szCs w:val="21"/>
        </w:rPr>
        <w:t xml:space="preserve">Provide evidence that the Proposed Project will compete </w:t>
      </w:r>
      <w:proofErr w:type="gramStart"/>
      <w:r w:rsidRPr="00031808">
        <w:rPr>
          <w:rFonts w:asciiTheme="minorHAnsi" w:hAnsiTheme="minorHAnsi"/>
          <w:b/>
          <w:sz w:val="21"/>
          <w:szCs w:val="21"/>
        </w:rPr>
        <w:t>on the basis of</w:t>
      </w:r>
      <w:proofErr w:type="gramEnd"/>
      <w:r w:rsidRPr="00031808">
        <w:rPr>
          <w:rFonts w:asciiTheme="minorHAnsi" w:hAnsiTheme="minorHAnsi"/>
          <w:b/>
          <w:sz w:val="21"/>
          <w:szCs w:val="21"/>
        </w:rPr>
        <w:t xml:space="preserve"> price, total medical expenses, provider costs, and other recognized measures of health care spending. When responding to this question, please consider Factor 4, Financial </w:t>
      </w:r>
      <w:r w:rsidR="00584230">
        <w:rPr>
          <w:rFonts w:asciiTheme="minorHAnsi" w:hAnsiTheme="minorHAnsi"/>
          <w:b/>
          <w:sz w:val="21"/>
          <w:szCs w:val="21"/>
        </w:rPr>
        <w:t xml:space="preserve">Feasibility and </w:t>
      </w:r>
      <w:proofErr w:type="gramStart"/>
      <w:r w:rsidR="00584230">
        <w:rPr>
          <w:rFonts w:asciiTheme="minorHAnsi" w:hAnsiTheme="minorHAnsi"/>
          <w:b/>
          <w:sz w:val="21"/>
          <w:szCs w:val="21"/>
        </w:rPr>
        <w:t>Reasonable of</w:t>
      </w:r>
      <w:proofErr w:type="gramEnd"/>
      <w:r w:rsidR="00584230">
        <w:rPr>
          <w:rFonts w:asciiTheme="minorHAnsi" w:hAnsiTheme="minorHAnsi"/>
          <w:b/>
          <w:sz w:val="21"/>
          <w:szCs w:val="21"/>
        </w:rPr>
        <w:t xml:space="preserve"> Costs. </w:t>
      </w:r>
    </w:p>
    <w:p w14:paraId="0F097195" w14:textId="1D616FAB" w:rsidR="006A47AD" w:rsidRPr="00431D3A" w:rsidRDefault="006A47AD" w:rsidP="006867F8">
      <w:pPr>
        <w:spacing w:after="120"/>
        <w:jc w:val="both"/>
        <w:rPr>
          <w:rFonts w:asciiTheme="minorHAnsi" w:hAnsiTheme="minorHAnsi"/>
          <w:bCs/>
          <w:sz w:val="21"/>
          <w:szCs w:val="21"/>
        </w:rPr>
      </w:pPr>
      <w:bookmarkStart w:id="12" w:name="_Hlk213791519"/>
      <w:r w:rsidRPr="00431D3A">
        <w:rPr>
          <w:rFonts w:asciiTheme="minorHAnsi" w:hAnsiTheme="minorHAnsi"/>
          <w:bCs/>
          <w:sz w:val="21"/>
          <w:szCs w:val="21"/>
        </w:rPr>
        <w:t xml:space="preserve">The Proposed Project will </w:t>
      </w:r>
      <w:r w:rsidR="005D2ACD">
        <w:rPr>
          <w:rFonts w:asciiTheme="minorHAnsi" w:hAnsiTheme="minorHAnsi"/>
          <w:bCs/>
          <w:sz w:val="21"/>
          <w:szCs w:val="21"/>
        </w:rPr>
        <w:t>improve access to</w:t>
      </w:r>
      <w:r w:rsidRPr="00431D3A">
        <w:rPr>
          <w:rFonts w:asciiTheme="minorHAnsi" w:hAnsiTheme="minorHAnsi"/>
          <w:bCs/>
          <w:sz w:val="21"/>
          <w:szCs w:val="21"/>
        </w:rPr>
        <w:t xml:space="preserve"> high-quality, patient-centered </w:t>
      </w:r>
      <w:r w:rsidR="006867F8">
        <w:rPr>
          <w:rFonts w:asciiTheme="minorHAnsi" w:hAnsiTheme="minorHAnsi"/>
          <w:bCs/>
          <w:sz w:val="21"/>
          <w:szCs w:val="21"/>
        </w:rPr>
        <w:t>endoscopy</w:t>
      </w:r>
      <w:r w:rsidRPr="00431D3A">
        <w:rPr>
          <w:rFonts w:asciiTheme="minorHAnsi" w:hAnsiTheme="minorHAnsi"/>
          <w:bCs/>
          <w:sz w:val="21"/>
          <w:szCs w:val="21"/>
        </w:rPr>
        <w:t xml:space="preserve"> by expanding </w:t>
      </w:r>
      <w:r w:rsidR="006867F8">
        <w:rPr>
          <w:rFonts w:asciiTheme="minorHAnsi" w:hAnsiTheme="minorHAnsi"/>
          <w:bCs/>
          <w:sz w:val="21"/>
          <w:szCs w:val="21"/>
        </w:rPr>
        <w:t>procedural</w:t>
      </w:r>
      <w:r w:rsidRPr="00431D3A">
        <w:rPr>
          <w:rFonts w:asciiTheme="minorHAnsi" w:hAnsiTheme="minorHAnsi"/>
          <w:bCs/>
          <w:sz w:val="21"/>
          <w:szCs w:val="21"/>
        </w:rPr>
        <w:t xml:space="preserve"> capacity at an existing</w:t>
      </w:r>
      <w:r w:rsidR="005D2ACD">
        <w:rPr>
          <w:rFonts w:asciiTheme="minorHAnsi" w:hAnsiTheme="minorHAnsi"/>
          <w:bCs/>
          <w:sz w:val="21"/>
          <w:szCs w:val="21"/>
        </w:rPr>
        <w:t xml:space="preserve"> provider</w:t>
      </w:r>
      <w:r w:rsidRPr="00431D3A">
        <w:rPr>
          <w:rFonts w:asciiTheme="minorHAnsi" w:hAnsiTheme="minorHAnsi"/>
          <w:bCs/>
          <w:sz w:val="21"/>
          <w:szCs w:val="21"/>
        </w:rPr>
        <w:t xml:space="preserve">. Rather than expanding </w:t>
      </w:r>
      <w:r w:rsidR="00EA2C56" w:rsidRPr="00431D3A">
        <w:rPr>
          <w:rFonts w:asciiTheme="minorHAnsi" w:hAnsiTheme="minorHAnsi"/>
          <w:bCs/>
          <w:sz w:val="21"/>
          <w:szCs w:val="21"/>
        </w:rPr>
        <w:t>hours of operation</w:t>
      </w:r>
      <w:r w:rsidRPr="00431D3A">
        <w:rPr>
          <w:rFonts w:asciiTheme="minorHAnsi" w:hAnsiTheme="minorHAnsi"/>
          <w:bCs/>
          <w:sz w:val="21"/>
          <w:szCs w:val="21"/>
        </w:rPr>
        <w:t xml:space="preserve"> </w:t>
      </w:r>
      <w:r w:rsidR="00EA2C56" w:rsidRPr="00431D3A">
        <w:rPr>
          <w:rFonts w:asciiTheme="minorHAnsi" w:hAnsiTheme="minorHAnsi"/>
          <w:bCs/>
          <w:sz w:val="21"/>
          <w:szCs w:val="21"/>
        </w:rPr>
        <w:t>to the inconvenience of patients</w:t>
      </w:r>
      <w:r w:rsidRPr="00431D3A">
        <w:rPr>
          <w:rFonts w:asciiTheme="minorHAnsi" w:hAnsiTheme="minorHAnsi"/>
          <w:bCs/>
          <w:sz w:val="21"/>
          <w:szCs w:val="21"/>
        </w:rPr>
        <w:t xml:space="preserve"> or </w:t>
      </w:r>
      <w:r w:rsidR="00EA2C56" w:rsidRPr="00431D3A">
        <w:rPr>
          <w:rFonts w:asciiTheme="minorHAnsi" w:hAnsiTheme="minorHAnsi"/>
          <w:bCs/>
          <w:sz w:val="21"/>
          <w:szCs w:val="21"/>
        </w:rPr>
        <w:t>allowing wait times to increase</w:t>
      </w:r>
      <w:r w:rsidRPr="00431D3A">
        <w:rPr>
          <w:rFonts w:asciiTheme="minorHAnsi" w:hAnsiTheme="minorHAnsi"/>
          <w:bCs/>
          <w:sz w:val="21"/>
          <w:szCs w:val="21"/>
        </w:rPr>
        <w:t xml:space="preserve">, the Proposed Project will </w:t>
      </w:r>
      <w:r w:rsidR="006867F8">
        <w:rPr>
          <w:rFonts w:asciiTheme="minorHAnsi" w:hAnsiTheme="minorHAnsi"/>
          <w:bCs/>
          <w:sz w:val="21"/>
          <w:szCs w:val="21"/>
        </w:rPr>
        <w:t>improve access for current and future patients</w:t>
      </w:r>
      <w:r w:rsidRPr="00431D3A">
        <w:rPr>
          <w:rFonts w:asciiTheme="minorHAnsi" w:hAnsiTheme="minorHAnsi"/>
          <w:bCs/>
          <w:sz w:val="21"/>
          <w:szCs w:val="21"/>
        </w:rPr>
        <w:t>. This approach allows the Applicant to build upon proven operation</w:t>
      </w:r>
      <w:r w:rsidR="005D2ACD">
        <w:rPr>
          <w:rFonts w:asciiTheme="minorHAnsi" w:hAnsiTheme="minorHAnsi"/>
          <w:bCs/>
          <w:sz w:val="21"/>
          <w:szCs w:val="21"/>
        </w:rPr>
        <w:t>al</w:t>
      </w:r>
      <w:r w:rsidRPr="00431D3A">
        <w:rPr>
          <w:rFonts w:asciiTheme="minorHAnsi" w:hAnsiTheme="minorHAnsi"/>
          <w:bCs/>
          <w:sz w:val="21"/>
          <w:szCs w:val="21"/>
        </w:rPr>
        <w:t xml:space="preserve"> efficiencies, staff expertise, and established care pathways in place</w:t>
      </w:r>
      <w:r w:rsidR="009D581C">
        <w:rPr>
          <w:rFonts w:asciiTheme="minorHAnsi" w:hAnsiTheme="minorHAnsi"/>
          <w:bCs/>
          <w:sz w:val="21"/>
          <w:szCs w:val="21"/>
        </w:rPr>
        <w:t xml:space="preserve"> </w:t>
      </w:r>
      <w:r w:rsidR="00584230">
        <w:rPr>
          <w:rFonts w:asciiTheme="minorHAnsi" w:hAnsiTheme="minorHAnsi"/>
          <w:bCs/>
          <w:sz w:val="21"/>
          <w:szCs w:val="21"/>
        </w:rPr>
        <w:t xml:space="preserve">to </w:t>
      </w:r>
      <w:r w:rsidR="009D581C">
        <w:rPr>
          <w:rFonts w:asciiTheme="minorHAnsi" w:hAnsiTheme="minorHAnsi"/>
          <w:bCs/>
          <w:sz w:val="21"/>
          <w:szCs w:val="21"/>
        </w:rPr>
        <w:t>quickly expand access to preventative and diagnostic endoscopy which will contribute to limiting total medical expenses</w:t>
      </w:r>
      <w:r w:rsidR="00584230">
        <w:rPr>
          <w:rFonts w:asciiTheme="minorHAnsi" w:hAnsiTheme="minorHAnsi"/>
          <w:bCs/>
          <w:sz w:val="21"/>
          <w:szCs w:val="21"/>
        </w:rPr>
        <w:t xml:space="preserve"> (TME)</w:t>
      </w:r>
      <w:r w:rsidR="009D581C">
        <w:rPr>
          <w:rFonts w:asciiTheme="minorHAnsi" w:hAnsiTheme="minorHAnsi"/>
          <w:bCs/>
          <w:sz w:val="21"/>
          <w:szCs w:val="21"/>
        </w:rPr>
        <w:t xml:space="preserve">. </w:t>
      </w:r>
    </w:p>
    <w:p w14:paraId="78570CBC" w14:textId="4A01F0F4" w:rsidR="006A47AD" w:rsidRPr="00E8260D" w:rsidRDefault="006A47AD" w:rsidP="006867F8">
      <w:pPr>
        <w:spacing w:after="120"/>
        <w:jc w:val="both"/>
        <w:rPr>
          <w:rFonts w:asciiTheme="minorHAnsi" w:hAnsiTheme="minorHAnsi"/>
          <w:bCs/>
          <w:sz w:val="21"/>
          <w:szCs w:val="21"/>
        </w:rPr>
      </w:pPr>
      <w:r w:rsidRPr="00431D3A">
        <w:rPr>
          <w:rFonts w:asciiTheme="minorHAnsi" w:hAnsiTheme="minorHAnsi"/>
          <w:bCs/>
          <w:sz w:val="21"/>
          <w:szCs w:val="21"/>
        </w:rPr>
        <w:t xml:space="preserve">By leveraging </w:t>
      </w:r>
      <w:r w:rsidR="00EA2C56" w:rsidRPr="00431D3A">
        <w:rPr>
          <w:rFonts w:asciiTheme="minorHAnsi" w:hAnsiTheme="minorHAnsi"/>
          <w:bCs/>
          <w:sz w:val="21"/>
          <w:szCs w:val="21"/>
        </w:rPr>
        <w:t xml:space="preserve">the Endoscopy Center’s </w:t>
      </w:r>
      <w:r w:rsidRPr="00431D3A">
        <w:rPr>
          <w:rFonts w:asciiTheme="minorHAnsi" w:hAnsiTheme="minorHAnsi"/>
          <w:bCs/>
          <w:sz w:val="21"/>
          <w:szCs w:val="21"/>
        </w:rPr>
        <w:t xml:space="preserve">infrastructure and </w:t>
      </w:r>
      <w:r w:rsidR="00EA2C56" w:rsidRPr="00431D3A">
        <w:rPr>
          <w:rFonts w:asciiTheme="minorHAnsi" w:hAnsiTheme="minorHAnsi"/>
          <w:bCs/>
          <w:sz w:val="21"/>
          <w:szCs w:val="21"/>
        </w:rPr>
        <w:t xml:space="preserve">available </w:t>
      </w:r>
      <w:r w:rsidRPr="00431D3A">
        <w:rPr>
          <w:rFonts w:asciiTheme="minorHAnsi" w:hAnsiTheme="minorHAnsi"/>
          <w:bCs/>
          <w:sz w:val="21"/>
          <w:szCs w:val="21"/>
        </w:rPr>
        <w:t xml:space="preserve">resources, the </w:t>
      </w:r>
      <w:r w:rsidR="00EA2C56" w:rsidRPr="00431D3A">
        <w:rPr>
          <w:rFonts w:asciiTheme="minorHAnsi" w:hAnsiTheme="minorHAnsi"/>
          <w:bCs/>
          <w:sz w:val="21"/>
          <w:szCs w:val="21"/>
        </w:rPr>
        <w:t xml:space="preserve">Proposed </w:t>
      </w:r>
      <w:r w:rsidRPr="00431D3A">
        <w:rPr>
          <w:rFonts w:asciiTheme="minorHAnsi" w:hAnsiTheme="minorHAnsi"/>
          <w:bCs/>
          <w:sz w:val="21"/>
          <w:szCs w:val="21"/>
        </w:rPr>
        <w:t xml:space="preserve">Project will support seamless care coordination and maintain high standards of quality and safety. The integration of additional procedure rooms within the current </w:t>
      </w:r>
      <w:r w:rsidR="00005989">
        <w:rPr>
          <w:rFonts w:asciiTheme="minorHAnsi" w:hAnsiTheme="minorHAnsi"/>
          <w:bCs/>
          <w:sz w:val="21"/>
          <w:szCs w:val="21"/>
        </w:rPr>
        <w:t>facility</w:t>
      </w:r>
      <w:r w:rsidRPr="00431D3A">
        <w:rPr>
          <w:rFonts w:asciiTheme="minorHAnsi" w:hAnsiTheme="minorHAnsi"/>
          <w:bCs/>
          <w:sz w:val="21"/>
          <w:szCs w:val="21"/>
        </w:rPr>
        <w:t xml:space="preserve"> ensures that patients will continue to benefit from streamlined scheduling, experienced care teams, and efficient workflows that minimize delays and enhance the overall patient experience. Expanding services </w:t>
      </w:r>
      <w:r w:rsidR="006867F8">
        <w:rPr>
          <w:rFonts w:asciiTheme="minorHAnsi" w:hAnsiTheme="minorHAnsi"/>
          <w:bCs/>
          <w:sz w:val="21"/>
          <w:szCs w:val="21"/>
        </w:rPr>
        <w:t>at the Endoscopy Center</w:t>
      </w:r>
      <w:r w:rsidRPr="00431D3A">
        <w:rPr>
          <w:rFonts w:asciiTheme="minorHAnsi" w:hAnsiTheme="minorHAnsi"/>
          <w:bCs/>
          <w:sz w:val="21"/>
          <w:szCs w:val="21"/>
        </w:rPr>
        <w:t xml:space="preserve"> offers distinct advantages to patients, who will be able to </w:t>
      </w:r>
      <w:r w:rsidR="00005989">
        <w:rPr>
          <w:rFonts w:asciiTheme="minorHAnsi" w:hAnsiTheme="minorHAnsi"/>
          <w:bCs/>
          <w:sz w:val="21"/>
          <w:szCs w:val="21"/>
        </w:rPr>
        <w:t xml:space="preserve">continue to </w:t>
      </w:r>
      <w:r w:rsidRPr="00431D3A">
        <w:rPr>
          <w:rFonts w:asciiTheme="minorHAnsi" w:hAnsiTheme="minorHAnsi"/>
          <w:bCs/>
          <w:sz w:val="21"/>
          <w:szCs w:val="21"/>
        </w:rPr>
        <w:t>access endoscopy services in a dedicated outpatient environment located within their community</w:t>
      </w:r>
      <w:r w:rsidR="00EA2C56" w:rsidRPr="00431D3A">
        <w:rPr>
          <w:rFonts w:asciiTheme="minorHAnsi" w:hAnsiTheme="minorHAnsi"/>
          <w:bCs/>
          <w:sz w:val="21"/>
          <w:szCs w:val="21"/>
        </w:rPr>
        <w:t xml:space="preserve"> and within BILH’s network of providers</w:t>
      </w:r>
      <w:r w:rsidRPr="00431D3A">
        <w:rPr>
          <w:rFonts w:asciiTheme="minorHAnsi" w:hAnsiTheme="minorHAnsi"/>
          <w:bCs/>
          <w:sz w:val="21"/>
          <w:szCs w:val="21"/>
        </w:rPr>
        <w:t xml:space="preserve">. The </w:t>
      </w:r>
      <w:r w:rsidR="006867F8">
        <w:rPr>
          <w:rFonts w:asciiTheme="minorHAnsi" w:hAnsiTheme="minorHAnsi"/>
          <w:bCs/>
          <w:sz w:val="21"/>
          <w:szCs w:val="21"/>
        </w:rPr>
        <w:lastRenderedPageBreak/>
        <w:t xml:space="preserve">Endoscopy </w:t>
      </w:r>
      <w:r w:rsidR="006867F8" w:rsidRPr="00E8260D">
        <w:rPr>
          <w:rFonts w:asciiTheme="minorHAnsi" w:hAnsiTheme="minorHAnsi"/>
          <w:bCs/>
          <w:sz w:val="21"/>
          <w:szCs w:val="21"/>
        </w:rPr>
        <w:t>Center</w:t>
      </w:r>
      <w:r w:rsidRPr="00E8260D">
        <w:rPr>
          <w:rFonts w:asciiTheme="minorHAnsi" w:hAnsiTheme="minorHAnsi"/>
          <w:bCs/>
          <w:sz w:val="21"/>
          <w:szCs w:val="21"/>
        </w:rPr>
        <w:t xml:space="preserve"> is specifically designed for outpatient </w:t>
      </w:r>
      <w:r w:rsidR="006867F8" w:rsidRPr="00E8260D">
        <w:rPr>
          <w:rFonts w:asciiTheme="minorHAnsi" w:hAnsiTheme="minorHAnsi"/>
          <w:bCs/>
          <w:sz w:val="21"/>
          <w:szCs w:val="21"/>
        </w:rPr>
        <w:t>endoscopy</w:t>
      </w:r>
      <w:r w:rsidR="00005989">
        <w:rPr>
          <w:rFonts w:asciiTheme="minorHAnsi" w:hAnsiTheme="minorHAnsi"/>
          <w:bCs/>
          <w:sz w:val="21"/>
          <w:szCs w:val="21"/>
        </w:rPr>
        <w:t xml:space="preserve"> care</w:t>
      </w:r>
      <w:r w:rsidRPr="00E8260D">
        <w:rPr>
          <w:rFonts w:asciiTheme="minorHAnsi" w:hAnsiTheme="minorHAnsi"/>
          <w:bCs/>
          <w:sz w:val="21"/>
          <w:szCs w:val="21"/>
        </w:rPr>
        <w:t xml:space="preserve">, resulting in greater ease of access, </w:t>
      </w:r>
      <w:r w:rsidR="00EA2C56" w:rsidRPr="00E8260D">
        <w:rPr>
          <w:rFonts w:asciiTheme="minorHAnsi" w:hAnsiTheme="minorHAnsi"/>
          <w:bCs/>
          <w:sz w:val="21"/>
          <w:szCs w:val="21"/>
        </w:rPr>
        <w:t>reliable scheduling</w:t>
      </w:r>
      <w:r w:rsidRPr="00E8260D">
        <w:rPr>
          <w:rFonts w:asciiTheme="minorHAnsi" w:hAnsiTheme="minorHAnsi"/>
          <w:bCs/>
          <w:sz w:val="21"/>
          <w:szCs w:val="21"/>
        </w:rPr>
        <w:t>, and better patient experience.</w:t>
      </w:r>
    </w:p>
    <w:p w14:paraId="2437C65B" w14:textId="215DE80E" w:rsidR="00C83B01" w:rsidRPr="00E8260D" w:rsidRDefault="00E8260D" w:rsidP="006867F8">
      <w:pPr>
        <w:spacing w:after="120"/>
        <w:jc w:val="both"/>
        <w:rPr>
          <w:rFonts w:asciiTheme="minorHAnsi" w:hAnsiTheme="minorHAnsi"/>
          <w:bCs/>
          <w:sz w:val="21"/>
          <w:szCs w:val="21"/>
        </w:rPr>
      </w:pPr>
      <w:r>
        <w:rPr>
          <w:rFonts w:asciiTheme="minorHAnsi" w:hAnsiTheme="minorHAnsi"/>
          <w:bCs/>
          <w:sz w:val="21"/>
          <w:szCs w:val="21"/>
        </w:rPr>
        <w:t>Moreover, e</w:t>
      </w:r>
      <w:r w:rsidR="00B4559D" w:rsidRPr="00E8260D">
        <w:rPr>
          <w:rFonts w:asciiTheme="minorHAnsi" w:hAnsiTheme="minorHAnsi"/>
          <w:bCs/>
          <w:sz w:val="21"/>
          <w:szCs w:val="21"/>
        </w:rPr>
        <w:t>xpanding access to timely screening and diagnostic endoscopy</w:t>
      </w:r>
      <w:r>
        <w:rPr>
          <w:rFonts w:asciiTheme="minorHAnsi" w:hAnsiTheme="minorHAnsi"/>
          <w:bCs/>
          <w:sz w:val="21"/>
          <w:szCs w:val="21"/>
        </w:rPr>
        <w:t xml:space="preserve"> </w:t>
      </w:r>
      <w:r w:rsidR="00B4559D" w:rsidRPr="00E8260D">
        <w:rPr>
          <w:rFonts w:asciiTheme="minorHAnsi" w:hAnsiTheme="minorHAnsi"/>
          <w:bCs/>
          <w:sz w:val="21"/>
          <w:szCs w:val="21"/>
        </w:rPr>
        <w:t xml:space="preserve">will directly contribute to lowering TME </w:t>
      </w:r>
      <w:r>
        <w:rPr>
          <w:rFonts w:asciiTheme="minorHAnsi" w:hAnsiTheme="minorHAnsi"/>
          <w:bCs/>
          <w:sz w:val="21"/>
          <w:szCs w:val="21"/>
        </w:rPr>
        <w:t xml:space="preserve">through the provision of </w:t>
      </w:r>
      <w:r w:rsidR="00B4559D" w:rsidRPr="00E8260D">
        <w:rPr>
          <w:rFonts w:asciiTheme="minorHAnsi" w:hAnsiTheme="minorHAnsi"/>
          <w:bCs/>
          <w:sz w:val="21"/>
          <w:szCs w:val="21"/>
        </w:rPr>
        <w:t>preventative care. Early detection of colorectal and other gastrointestinal cancers via routine endoscopic screening enables the identification and removal of precancerous polyps, significantly reducing the incidence of advanced-stage cancers that are far more costly to treat.</w:t>
      </w:r>
      <w:r w:rsidR="00B4559D" w:rsidRPr="00E8260D">
        <w:rPr>
          <w:rStyle w:val="FootnoteReference"/>
          <w:rFonts w:asciiTheme="minorHAnsi" w:hAnsiTheme="minorHAnsi"/>
          <w:bCs/>
          <w:sz w:val="21"/>
          <w:szCs w:val="21"/>
        </w:rPr>
        <w:footnoteReference w:id="18"/>
      </w:r>
      <w:r w:rsidR="00B4559D" w:rsidRPr="00E8260D">
        <w:rPr>
          <w:rFonts w:asciiTheme="minorHAnsi" w:hAnsiTheme="minorHAnsi"/>
          <w:bCs/>
          <w:sz w:val="21"/>
          <w:szCs w:val="21"/>
        </w:rPr>
        <w:t xml:space="preserve"> Preventative endoscopy not only improves patient outcomes and survival rates but also reduces the need for later expensive interventions, potential hospital admissions, and complex oncologic treatments associated with late-stage disease.</w:t>
      </w:r>
      <w:bookmarkStart w:id="13" w:name="_Ref213767237"/>
      <w:r w:rsidR="00B837A6" w:rsidRPr="00E8260D">
        <w:rPr>
          <w:rFonts w:asciiTheme="minorHAnsi" w:eastAsia="Arial" w:hAnsiTheme="minorHAnsi"/>
          <w:kern w:val="2"/>
          <w:sz w:val="21"/>
          <w:szCs w:val="21"/>
          <w:vertAlign w:val="superscript"/>
        </w:rPr>
        <w:footnoteReference w:id="19"/>
      </w:r>
      <w:bookmarkEnd w:id="13"/>
      <w:r w:rsidR="00B837A6" w:rsidRPr="00E8260D">
        <w:rPr>
          <w:rFonts w:asciiTheme="minorHAnsi" w:hAnsiTheme="minorHAnsi"/>
          <w:bCs/>
          <w:sz w:val="21"/>
          <w:szCs w:val="21"/>
        </w:rPr>
        <w:t xml:space="preserve"> Increasing procedural capacity at the Endoscopy Center will support earlier, less invasive, and more cost-effective care, ultimately decreasing the overall financial burden on patients, payers, and the Commonwealth’s healthcare system.</w:t>
      </w:r>
      <w:r w:rsidR="00D266D7">
        <w:rPr>
          <w:rFonts w:asciiTheme="minorHAnsi" w:hAnsiTheme="minorHAnsi"/>
          <w:bCs/>
          <w:sz w:val="21"/>
          <w:szCs w:val="21"/>
        </w:rPr>
        <w:t xml:space="preserve"> As an existing provider of endoscopy services, there will be no change in price </w:t>
      </w:r>
      <w:proofErr w:type="gramStart"/>
      <w:r w:rsidR="00D266D7">
        <w:rPr>
          <w:rFonts w:asciiTheme="minorHAnsi" w:hAnsiTheme="minorHAnsi"/>
          <w:bCs/>
          <w:sz w:val="21"/>
          <w:szCs w:val="21"/>
        </w:rPr>
        <w:t>as a result of</w:t>
      </w:r>
      <w:proofErr w:type="gramEnd"/>
      <w:r w:rsidR="00D266D7">
        <w:rPr>
          <w:rFonts w:asciiTheme="minorHAnsi" w:hAnsiTheme="minorHAnsi"/>
          <w:bCs/>
          <w:sz w:val="21"/>
          <w:szCs w:val="21"/>
        </w:rPr>
        <w:t xml:space="preserve"> the Proposed Project.</w:t>
      </w:r>
    </w:p>
    <w:p w14:paraId="43F565A5" w14:textId="4785A964" w:rsidR="00D266D7" w:rsidRPr="008F54DE" w:rsidRDefault="00E8260D" w:rsidP="008F54DE">
      <w:pPr>
        <w:spacing w:after="120"/>
        <w:jc w:val="both"/>
        <w:rPr>
          <w:rFonts w:asciiTheme="minorHAnsi" w:hAnsiTheme="minorHAnsi"/>
          <w:bCs/>
          <w:sz w:val="21"/>
          <w:szCs w:val="21"/>
        </w:rPr>
      </w:pPr>
      <w:r>
        <w:rPr>
          <w:rFonts w:asciiTheme="minorHAnsi" w:hAnsiTheme="minorHAnsi"/>
          <w:bCs/>
          <w:sz w:val="21"/>
          <w:szCs w:val="21"/>
        </w:rPr>
        <w:t xml:space="preserve">To that end, </w:t>
      </w:r>
      <w:r w:rsidR="006A47AD" w:rsidRPr="00431D3A">
        <w:rPr>
          <w:rFonts w:asciiTheme="minorHAnsi" w:hAnsiTheme="minorHAnsi"/>
          <w:bCs/>
          <w:sz w:val="21"/>
          <w:szCs w:val="21"/>
        </w:rPr>
        <w:t xml:space="preserve">expanding capacity </w:t>
      </w:r>
      <w:r>
        <w:rPr>
          <w:rFonts w:asciiTheme="minorHAnsi" w:hAnsiTheme="minorHAnsi"/>
          <w:bCs/>
          <w:sz w:val="21"/>
          <w:szCs w:val="21"/>
        </w:rPr>
        <w:t>at the Endoscopy Center</w:t>
      </w:r>
      <w:r w:rsidR="006A47AD" w:rsidRPr="00431D3A">
        <w:rPr>
          <w:rFonts w:asciiTheme="minorHAnsi" w:hAnsiTheme="minorHAnsi"/>
          <w:bCs/>
          <w:sz w:val="21"/>
          <w:szCs w:val="21"/>
        </w:rPr>
        <w:t xml:space="preserve"> will meet growing community needs efficiently and effectively, without duplicating resources or disrupting established care delivery. This approach not only supports optimal patient outcomes and satisfaction but also aligns with the Commonwealth’s goals of ensuring timely, accessible, and high-quality care for all residents.</w:t>
      </w:r>
      <w:bookmarkEnd w:id="12"/>
    </w:p>
    <w:p w14:paraId="795CBD52" w14:textId="31A1BD08" w:rsidR="00FA31C8" w:rsidRPr="00431D3A" w:rsidRDefault="00FA31C8" w:rsidP="001B4716">
      <w:pPr>
        <w:pStyle w:val="Heading2"/>
      </w:pPr>
      <w:r w:rsidRPr="00431D3A">
        <w:t>F1.</w:t>
      </w:r>
      <w:proofErr w:type="gramStart"/>
      <w:r w:rsidRPr="00431D3A">
        <w:t>b.i</w:t>
      </w:r>
      <w:proofErr w:type="gramEnd"/>
      <w:r w:rsidRPr="00431D3A">
        <w:tab/>
      </w:r>
      <w:r w:rsidRPr="00431D3A">
        <w:tab/>
        <w:t>Public Health Value/Evidence-Based:</w:t>
      </w:r>
    </w:p>
    <w:p w14:paraId="75D7ED85" w14:textId="77777777" w:rsidR="00FA31C8" w:rsidRPr="00031808" w:rsidRDefault="00FA31C8" w:rsidP="00742B85">
      <w:pPr>
        <w:spacing w:after="240"/>
        <w:ind w:left="1440"/>
        <w:rPr>
          <w:rFonts w:asciiTheme="minorHAnsi" w:hAnsiTheme="minorHAnsi"/>
          <w:b/>
          <w:bCs/>
          <w:kern w:val="2"/>
          <w:sz w:val="21"/>
          <w:szCs w:val="21"/>
          <w14:ligatures w14:val="standardContextual"/>
        </w:rPr>
      </w:pPr>
      <w:r w:rsidRPr="00031808">
        <w:rPr>
          <w:rFonts w:asciiTheme="minorHAnsi" w:hAnsiTheme="minorHAnsi"/>
          <w:b/>
          <w:bCs/>
          <w:kern w:val="2"/>
          <w:sz w:val="21"/>
          <w:szCs w:val="21"/>
          <w14:ligatures w14:val="standardContextual"/>
        </w:rPr>
        <w:t>Provide information on the evidence-base for the Proposed Project. That is, how does the Proposed Project address the Need that Applicant has identified.</w:t>
      </w:r>
    </w:p>
    <w:p w14:paraId="1A3B6A1B" w14:textId="2C03B3BC" w:rsidR="00FA31C8" w:rsidRPr="001C29B9" w:rsidRDefault="00FA31C8" w:rsidP="006867F8">
      <w:pPr>
        <w:numPr>
          <w:ilvl w:val="0"/>
          <w:numId w:val="6"/>
        </w:numPr>
        <w:spacing w:after="120"/>
        <w:rPr>
          <w:rFonts w:asciiTheme="minorHAnsi" w:hAnsiTheme="minorHAnsi"/>
          <w:kern w:val="2"/>
          <w:sz w:val="21"/>
          <w:szCs w:val="21"/>
          <w:u w:val="single"/>
          <w14:ligatures w14:val="standardContextual"/>
        </w:rPr>
      </w:pPr>
      <w:r w:rsidRPr="00A47966">
        <w:rPr>
          <w:rFonts w:asciiTheme="minorHAnsi" w:hAnsiTheme="minorHAnsi"/>
          <w:kern w:val="2"/>
          <w:sz w:val="21"/>
          <w:szCs w:val="21"/>
          <w:u w:val="single"/>
          <w14:ligatures w14:val="standardContextual"/>
        </w:rPr>
        <w:t>Clinical Overview of Endoscop</w:t>
      </w:r>
      <w:r w:rsidR="00EA2C56" w:rsidRPr="00431D3A">
        <w:rPr>
          <w:rFonts w:asciiTheme="minorHAnsi" w:hAnsiTheme="minorHAnsi"/>
          <w:kern w:val="2"/>
          <w:sz w:val="21"/>
          <w:szCs w:val="21"/>
          <w:u w:val="single"/>
          <w14:ligatures w14:val="standardContextual"/>
        </w:rPr>
        <w:t>y</w:t>
      </w:r>
    </w:p>
    <w:p w14:paraId="782A624B" w14:textId="0AF29612" w:rsidR="00FA31C8" w:rsidRPr="00431D3A" w:rsidRDefault="00FA31C8" w:rsidP="006867F8">
      <w:pPr>
        <w:spacing w:after="120"/>
        <w:jc w:val="both"/>
        <w:rPr>
          <w:rFonts w:asciiTheme="minorHAnsi" w:hAnsiTheme="minorHAnsi"/>
          <w:kern w:val="2"/>
          <w:sz w:val="21"/>
          <w:szCs w:val="21"/>
          <w14:ligatures w14:val="standardContextual"/>
        </w:rPr>
      </w:pPr>
      <w:r w:rsidRPr="00431D3A">
        <w:rPr>
          <w:rFonts w:asciiTheme="minorHAnsi" w:hAnsiTheme="minorHAnsi"/>
          <w:kern w:val="2"/>
          <w:sz w:val="21"/>
          <w:szCs w:val="21"/>
          <w14:ligatures w14:val="standardContextual"/>
        </w:rPr>
        <w:t>Endosco</w:t>
      </w:r>
      <w:r w:rsidR="00EA2C56" w:rsidRPr="00431D3A">
        <w:rPr>
          <w:rFonts w:asciiTheme="minorHAnsi" w:hAnsiTheme="minorHAnsi"/>
          <w:kern w:val="2"/>
          <w:sz w:val="21"/>
          <w:szCs w:val="21"/>
          <w14:ligatures w14:val="standardContextual"/>
        </w:rPr>
        <w:t>py</w:t>
      </w:r>
      <w:r w:rsidRPr="00431D3A">
        <w:rPr>
          <w:rFonts w:asciiTheme="minorHAnsi" w:hAnsiTheme="minorHAnsi"/>
          <w:kern w:val="2"/>
          <w:sz w:val="21"/>
          <w:szCs w:val="21"/>
          <w14:ligatures w14:val="standardContextual"/>
        </w:rPr>
        <w:t xml:space="preserve"> involve</w:t>
      </w:r>
      <w:r w:rsidR="00EA2C56" w:rsidRPr="00431D3A">
        <w:rPr>
          <w:rFonts w:asciiTheme="minorHAnsi" w:hAnsiTheme="minorHAnsi"/>
          <w:kern w:val="2"/>
          <w:sz w:val="21"/>
          <w:szCs w:val="21"/>
          <w14:ligatures w14:val="standardContextual"/>
        </w:rPr>
        <w:t>s</w:t>
      </w:r>
      <w:r w:rsidRPr="00431D3A">
        <w:rPr>
          <w:rFonts w:asciiTheme="minorHAnsi" w:hAnsiTheme="minorHAnsi"/>
          <w:kern w:val="2"/>
          <w:sz w:val="21"/>
          <w:szCs w:val="21"/>
          <w14:ligatures w14:val="standardContextual"/>
        </w:rPr>
        <w:t xml:space="preserve"> a slender, flexible tube with a camera, called an endoscope, to examine internal organs with minimal invasiveness.</w:t>
      </w:r>
      <w:r w:rsidRPr="00431D3A">
        <w:rPr>
          <w:rFonts w:asciiTheme="minorHAnsi" w:hAnsiTheme="minorHAnsi"/>
          <w:kern w:val="2"/>
          <w:sz w:val="21"/>
          <w:szCs w:val="21"/>
          <w:vertAlign w:val="superscript"/>
          <w14:ligatures w14:val="standardContextual"/>
        </w:rPr>
        <w:footnoteReference w:id="20"/>
      </w:r>
      <w:r w:rsidRPr="00431D3A">
        <w:rPr>
          <w:rFonts w:asciiTheme="minorHAnsi" w:hAnsiTheme="minorHAnsi"/>
          <w:kern w:val="2"/>
          <w:sz w:val="21"/>
          <w:szCs w:val="21"/>
          <w14:ligatures w14:val="standardContextual"/>
        </w:rPr>
        <w:t xml:space="preserve"> Common procedures like colonoscopies and esophagogastroduodenoscopies (EGD) are frequently used to screen, diagnose, and manage conditions such as cancer, gastrointestinal issues, and inflammatory diseases without the creation of a large incision, making it safer than traditional surgery.</w:t>
      </w:r>
      <w:bookmarkStart w:id="14" w:name="_Ref213765533"/>
      <w:r w:rsidRPr="00431D3A">
        <w:rPr>
          <w:rFonts w:asciiTheme="minorHAnsi" w:hAnsiTheme="minorHAnsi"/>
          <w:kern w:val="2"/>
          <w:sz w:val="21"/>
          <w:szCs w:val="21"/>
          <w:vertAlign w:val="superscript"/>
          <w14:ligatures w14:val="standardContextual"/>
        </w:rPr>
        <w:footnoteReference w:id="21"/>
      </w:r>
      <w:bookmarkEnd w:id="14"/>
      <w:r w:rsidRPr="00431D3A">
        <w:rPr>
          <w:rFonts w:asciiTheme="minorHAnsi" w:hAnsiTheme="minorHAnsi"/>
          <w:kern w:val="2"/>
          <w:sz w:val="21"/>
          <w:szCs w:val="21"/>
          <w14:ligatures w14:val="standardContextual"/>
        </w:rPr>
        <w:t xml:space="preserve"> These procedures permit physicians to conduct biopsies and collect abnormal tissue for further analysis.</w:t>
      </w:r>
      <w:r w:rsidRPr="00431D3A">
        <w:rPr>
          <w:rFonts w:asciiTheme="minorHAnsi" w:hAnsiTheme="minorHAnsi"/>
          <w:kern w:val="2"/>
          <w:sz w:val="21"/>
          <w:szCs w:val="21"/>
          <w:vertAlign w:val="superscript"/>
          <w14:ligatures w14:val="standardContextual"/>
        </w:rPr>
        <w:footnoteReference w:id="22"/>
      </w:r>
      <w:r w:rsidRPr="00431D3A">
        <w:rPr>
          <w:rFonts w:asciiTheme="minorHAnsi" w:hAnsiTheme="minorHAnsi"/>
          <w:kern w:val="2"/>
          <w:sz w:val="21"/>
          <w:szCs w:val="21"/>
          <w14:ligatures w14:val="standardContextual"/>
        </w:rPr>
        <w:t xml:space="preserve"> Studies reveal that a single endoscopy can detect cancer in up to 99% of cases,</w:t>
      </w:r>
      <w:bookmarkStart w:id="15" w:name="_Ref213765762"/>
      <w:r w:rsidRPr="00431D3A">
        <w:rPr>
          <w:rFonts w:asciiTheme="minorHAnsi" w:hAnsiTheme="minorHAnsi"/>
          <w:kern w:val="2"/>
          <w:sz w:val="21"/>
          <w:szCs w:val="21"/>
          <w:vertAlign w:val="superscript"/>
          <w14:ligatures w14:val="standardContextual"/>
        </w:rPr>
        <w:footnoteReference w:id="23"/>
      </w:r>
      <w:bookmarkEnd w:id="15"/>
      <w:r w:rsidRPr="00431D3A">
        <w:rPr>
          <w:rFonts w:asciiTheme="minorHAnsi" w:hAnsiTheme="minorHAnsi"/>
          <w:kern w:val="2"/>
          <w:sz w:val="21"/>
          <w:szCs w:val="21"/>
          <w14:ligatures w14:val="standardContextual"/>
        </w:rPr>
        <w:t xml:space="preserve"> making endoscopy a highly effective and reliable clinical tool.</w:t>
      </w:r>
      <w:r w:rsidRPr="00431D3A">
        <w:rPr>
          <w:rFonts w:asciiTheme="minorHAnsi" w:hAnsiTheme="minorHAnsi"/>
          <w:kern w:val="2"/>
          <w:sz w:val="21"/>
          <w:szCs w:val="21"/>
          <w:vertAlign w:val="superscript"/>
          <w14:ligatures w14:val="standardContextual"/>
        </w:rPr>
        <w:footnoteReference w:id="24"/>
      </w:r>
      <w:r w:rsidRPr="00431D3A">
        <w:rPr>
          <w:rFonts w:asciiTheme="minorHAnsi" w:hAnsiTheme="minorHAnsi"/>
          <w:kern w:val="2"/>
          <w:sz w:val="21"/>
          <w:szCs w:val="21"/>
          <w14:ligatures w14:val="standardContextual"/>
        </w:rPr>
        <w:t xml:space="preserve"> It also allows doctors to close wounds, administer medication, drain fluids, stop internal bleeding, and remove tumors or damaged tissues.</w:t>
      </w:r>
      <w:r w:rsidRPr="00431D3A">
        <w:rPr>
          <w:rFonts w:asciiTheme="minorHAnsi" w:hAnsiTheme="minorHAnsi"/>
          <w:kern w:val="2"/>
          <w:sz w:val="21"/>
          <w:szCs w:val="21"/>
          <w:vertAlign w:val="superscript"/>
          <w14:ligatures w14:val="standardContextual"/>
        </w:rPr>
        <w:footnoteReference w:id="25"/>
      </w:r>
    </w:p>
    <w:p w14:paraId="4B22C4FA" w14:textId="61DEF3C7" w:rsidR="00FA31C8" w:rsidRPr="00431D3A" w:rsidRDefault="00FA31C8" w:rsidP="006867F8">
      <w:pPr>
        <w:spacing w:after="120"/>
        <w:jc w:val="both"/>
        <w:rPr>
          <w:rFonts w:asciiTheme="minorHAnsi" w:hAnsiTheme="minorHAnsi"/>
          <w:kern w:val="2"/>
          <w:sz w:val="21"/>
          <w:szCs w:val="21"/>
          <w14:ligatures w14:val="standardContextual"/>
        </w:rPr>
      </w:pPr>
      <w:r w:rsidRPr="00431D3A">
        <w:rPr>
          <w:rFonts w:asciiTheme="minorHAnsi" w:hAnsiTheme="minorHAnsi"/>
          <w:kern w:val="2"/>
          <w:sz w:val="21"/>
          <w:szCs w:val="21"/>
          <w14:ligatures w14:val="standardContextual"/>
        </w:rPr>
        <w:lastRenderedPageBreak/>
        <w:t>Lower endoscopies allow providers to view the lower gastrointestinal tract, including the colon and rectum.</w:t>
      </w:r>
      <w:r w:rsidRPr="00431D3A">
        <w:rPr>
          <w:rFonts w:asciiTheme="minorHAnsi" w:hAnsiTheme="minorHAnsi"/>
          <w:kern w:val="2"/>
          <w:sz w:val="21"/>
          <w:szCs w:val="21"/>
          <w:vertAlign w:val="superscript"/>
          <w14:ligatures w14:val="standardContextual"/>
        </w:rPr>
        <w:footnoteReference w:id="26"/>
      </w:r>
      <w:r w:rsidRPr="00431D3A">
        <w:rPr>
          <w:rFonts w:asciiTheme="minorHAnsi" w:hAnsiTheme="minorHAnsi"/>
          <w:kern w:val="2"/>
          <w:sz w:val="21"/>
          <w:szCs w:val="21"/>
          <w14:ligatures w14:val="standardContextual"/>
        </w:rPr>
        <w:t xml:space="preserve"> The endoscope is able to obtain tissue samples, remove polyps, detect cancer including </w:t>
      </w:r>
      <w:r w:rsidR="00D266D7">
        <w:rPr>
          <w:rFonts w:asciiTheme="minorHAnsi" w:hAnsiTheme="minorHAnsi"/>
          <w:kern w:val="2"/>
          <w:sz w:val="21"/>
          <w:szCs w:val="21"/>
          <w14:ligatures w14:val="standardContextual"/>
        </w:rPr>
        <w:t>colorectal cancer</w:t>
      </w:r>
      <w:r w:rsidRPr="00431D3A">
        <w:rPr>
          <w:rFonts w:asciiTheme="minorHAnsi" w:hAnsiTheme="minorHAnsi"/>
          <w:kern w:val="2"/>
          <w:sz w:val="21"/>
          <w:szCs w:val="21"/>
          <w14:ligatures w14:val="standardContextual"/>
        </w:rPr>
        <w:t>, and diagnose causes of bleeding or inflammation.</w:t>
      </w:r>
      <w:r w:rsidRPr="00431D3A">
        <w:rPr>
          <w:rFonts w:asciiTheme="minorHAnsi" w:hAnsiTheme="minorHAnsi"/>
          <w:kern w:val="2"/>
          <w:sz w:val="21"/>
          <w:szCs w:val="21"/>
          <w:vertAlign w:val="superscript"/>
          <w14:ligatures w14:val="standardContextual"/>
        </w:rPr>
        <w:footnoteReference w:id="27"/>
      </w:r>
      <w:r w:rsidRPr="00431D3A">
        <w:rPr>
          <w:rFonts w:asciiTheme="minorHAnsi" w:hAnsiTheme="minorHAnsi"/>
          <w:kern w:val="2"/>
          <w:sz w:val="21"/>
          <w:szCs w:val="21"/>
          <w14:ligatures w14:val="standardContextual"/>
        </w:rPr>
        <w:t xml:space="preserve"> Upper endoscopies are used to examine the upper digestive system including esophagus, stomach, and beginning of the small intestine.</w:t>
      </w:r>
      <w:r w:rsidRPr="00431D3A">
        <w:rPr>
          <w:rFonts w:asciiTheme="minorHAnsi" w:hAnsiTheme="minorHAnsi"/>
          <w:kern w:val="2"/>
          <w:sz w:val="21"/>
          <w:szCs w:val="21"/>
          <w:vertAlign w:val="superscript"/>
          <w14:ligatures w14:val="standardContextual"/>
        </w:rPr>
        <w:footnoteReference w:id="28"/>
      </w:r>
      <w:r w:rsidRPr="00431D3A">
        <w:rPr>
          <w:rFonts w:asciiTheme="minorHAnsi" w:hAnsiTheme="minorHAnsi"/>
          <w:kern w:val="2"/>
          <w:sz w:val="21"/>
          <w:szCs w:val="21"/>
          <w14:ligatures w14:val="standardContextual"/>
        </w:rPr>
        <w:t xml:space="preserve"> </w:t>
      </w:r>
      <w:r w:rsidR="009739F7" w:rsidRPr="00431D3A">
        <w:rPr>
          <w:rFonts w:asciiTheme="minorHAnsi" w:hAnsiTheme="minorHAnsi"/>
          <w:kern w:val="2"/>
          <w:sz w:val="21"/>
          <w:szCs w:val="21"/>
          <w14:ligatures w14:val="standardContextual"/>
        </w:rPr>
        <w:t xml:space="preserve">As further detailed below, </w:t>
      </w:r>
      <w:r w:rsidR="00D266D7">
        <w:rPr>
          <w:rFonts w:asciiTheme="minorHAnsi" w:hAnsiTheme="minorHAnsi"/>
          <w:kern w:val="2"/>
          <w:sz w:val="21"/>
          <w:szCs w:val="21"/>
          <w14:ligatures w14:val="standardContextual"/>
        </w:rPr>
        <w:t>colorectal cancer</w:t>
      </w:r>
      <w:r w:rsidRPr="00431D3A">
        <w:rPr>
          <w:rFonts w:asciiTheme="minorHAnsi" w:hAnsiTheme="minorHAnsi"/>
          <w:kern w:val="2"/>
          <w:sz w:val="21"/>
          <w:szCs w:val="21"/>
          <w14:ligatures w14:val="standardContextual"/>
        </w:rPr>
        <w:t xml:space="preserve"> is the second leading cause of cancer-related deaths in the United States.</w:t>
      </w:r>
      <w:bookmarkStart w:id="16" w:name="_Ref213765575"/>
      <w:r w:rsidRPr="00431D3A">
        <w:rPr>
          <w:rFonts w:asciiTheme="minorHAnsi" w:hAnsiTheme="minorHAnsi"/>
          <w:kern w:val="2"/>
          <w:sz w:val="21"/>
          <w:szCs w:val="21"/>
          <w:vertAlign w:val="superscript"/>
          <w14:ligatures w14:val="standardContextual"/>
        </w:rPr>
        <w:footnoteReference w:id="29"/>
      </w:r>
      <w:bookmarkEnd w:id="16"/>
      <w:r w:rsidRPr="00431D3A">
        <w:rPr>
          <w:rFonts w:asciiTheme="minorHAnsi" w:hAnsiTheme="minorHAnsi"/>
          <w:kern w:val="2"/>
          <w:sz w:val="21"/>
          <w:szCs w:val="21"/>
          <w14:ligatures w14:val="standardContextual"/>
        </w:rPr>
        <w:t xml:space="preserve"> Screening colonoscopies are able to find polyps and early signs of </w:t>
      </w:r>
      <w:r w:rsidR="00854C19">
        <w:rPr>
          <w:rFonts w:asciiTheme="minorHAnsi" w:hAnsiTheme="minorHAnsi"/>
          <w:kern w:val="2"/>
          <w:sz w:val="21"/>
          <w:szCs w:val="21"/>
          <w14:ligatures w14:val="standardContextual"/>
        </w:rPr>
        <w:t>c</w:t>
      </w:r>
      <w:r w:rsidR="00D266D7">
        <w:rPr>
          <w:rFonts w:asciiTheme="minorHAnsi" w:hAnsiTheme="minorHAnsi"/>
          <w:kern w:val="2"/>
          <w:sz w:val="21"/>
          <w:szCs w:val="21"/>
          <w14:ligatures w14:val="standardContextual"/>
        </w:rPr>
        <w:t>olorectal cancer</w:t>
      </w:r>
      <w:r w:rsidRPr="00431D3A">
        <w:rPr>
          <w:rFonts w:asciiTheme="minorHAnsi" w:hAnsiTheme="minorHAnsi"/>
          <w:kern w:val="2"/>
          <w:sz w:val="21"/>
          <w:szCs w:val="21"/>
          <w14:ligatures w14:val="standardContextual"/>
        </w:rPr>
        <w:t xml:space="preserve"> before symptoms present.</w:t>
      </w:r>
      <w:r w:rsidRPr="00431D3A">
        <w:rPr>
          <w:rFonts w:asciiTheme="minorHAnsi" w:hAnsiTheme="minorHAnsi"/>
          <w:kern w:val="2"/>
          <w:sz w:val="21"/>
          <w:szCs w:val="21"/>
          <w:vertAlign w:val="superscript"/>
          <w14:ligatures w14:val="standardContextual"/>
        </w:rPr>
        <w:footnoteReference w:id="30"/>
      </w:r>
      <w:r w:rsidRPr="00431D3A">
        <w:rPr>
          <w:rFonts w:asciiTheme="minorHAnsi" w:hAnsiTheme="minorHAnsi"/>
          <w:kern w:val="2"/>
          <w:sz w:val="21"/>
          <w:szCs w:val="21"/>
          <w14:ligatures w14:val="standardContextual"/>
        </w:rPr>
        <w:t xml:space="preserve"> Upon a positive screening test, a diagnostic colonoscopy is used allowing for a closer examination and potential removal of abnormalities.</w:t>
      </w:r>
      <w:r w:rsidRPr="00431D3A">
        <w:rPr>
          <w:rFonts w:asciiTheme="minorHAnsi" w:hAnsiTheme="minorHAnsi"/>
          <w:kern w:val="2"/>
          <w:sz w:val="21"/>
          <w:szCs w:val="21"/>
          <w:vertAlign w:val="superscript"/>
          <w14:ligatures w14:val="standardContextual"/>
        </w:rPr>
        <w:footnoteReference w:id="31"/>
      </w:r>
    </w:p>
    <w:p w14:paraId="582AC621" w14:textId="77777777" w:rsidR="00FA31C8" w:rsidRPr="00A47966" w:rsidRDefault="00FA31C8" w:rsidP="006867F8">
      <w:pPr>
        <w:numPr>
          <w:ilvl w:val="0"/>
          <w:numId w:val="6"/>
        </w:numPr>
        <w:spacing w:after="120"/>
        <w:rPr>
          <w:rFonts w:asciiTheme="minorHAnsi" w:hAnsiTheme="minorHAnsi"/>
          <w:kern w:val="2"/>
          <w:sz w:val="21"/>
          <w:szCs w:val="21"/>
          <w:u w:val="single"/>
          <w14:ligatures w14:val="standardContextual"/>
        </w:rPr>
      </w:pPr>
      <w:r w:rsidRPr="00A47966">
        <w:rPr>
          <w:rFonts w:asciiTheme="minorHAnsi" w:hAnsiTheme="minorHAnsi"/>
          <w:kern w:val="2"/>
          <w:sz w:val="21"/>
          <w:szCs w:val="21"/>
          <w:u w:val="single"/>
          <w14:ligatures w14:val="standardContextual"/>
        </w:rPr>
        <w:t>Colorectal Cancer and Screening</w:t>
      </w:r>
    </w:p>
    <w:p w14:paraId="1B9A366D" w14:textId="04B4AD9E" w:rsidR="00FA31C8" w:rsidRPr="00431D3A" w:rsidRDefault="00FA31C8" w:rsidP="006867F8">
      <w:pPr>
        <w:spacing w:after="120"/>
        <w:jc w:val="both"/>
        <w:rPr>
          <w:rFonts w:asciiTheme="minorHAnsi" w:hAnsiTheme="minorHAnsi"/>
          <w:kern w:val="2"/>
          <w:sz w:val="21"/>
          <w:szCs w:val="21"/>
          <w14:ligatures w14:val="standardContextual"/>
        </w:rPr>
      </w:pPr>
      <w:r w:rsidRPr="00431D3A">
        <w:rPr>
          <w:rFonts w:asciiTheme="minorHAnsi" w:hAnsiTheme="minorHAnsi"/>
          <w:kern w:val="2"/>
          <w:sz w:val="21"/>
          <w:szCs w:val="21"/>
          <w14:ligatures w14:val="standardContextual"/>
        </w:rPr>
        <w:t xml:space="preserve">The growing prevalence of cancer nationwide underscores a critical gap in healthcare </w:t>
      </w:r>
      <w:r w:rsidR="00500406" w:rsidRPr="00431D3A">
        <w:rPr>
          <w:rFonts w:asciiTheme="minorHAnsi" w:hAnsiTheme="minorHAnsi"/>
          <w:kern w:val="2"/>
          <w:sz w:val="21"/>
          <w:szCs w:val="21"/>
          <w14:ligatures w14:val="standardContextual"/>
        </w:rPr>
        <w:t xml:space="preserve">infrastructure, </w:t>
      </w:r>
      <w:r w:rsidRPr="00431D3A">
        <w:rPr>
          <w:rFonts w:asciiTheme="minorHAnsi" w:hAnsiTheme="minorHAnsi"/>
          <w:kern w:val="2"/>
          <w:sz w:val="21"/>
          <w:szCs w:val="21"/>
          <w14:ligatures w14:val="standardContextual"/>
        </w:rPr>
        <w:t>particularly the need to broaden the availability of endoscopic procedures that play a key role in early detection and treatment. The American Cancer Society estimates that about 154,270 of colorectal cancer have been diagnosed in the United States so far this year.</w:t>
      </w:r>
      <w:r w:rsidRPr="00431D3A">
        <w:rPr>
          <w:rFonts w:asciiTheme="minorHAnsi" w:hAnsiTheme="minorHAnsi"/>
          <w:kern w:val="2"/>
          <w:sz w:val="21"/>
          <w:szCs w:val="21"/>
          <w:vertAlign w:val="superscript"/>
          <w14:ligatures w14:val="standardContextual"/>
        </w:rPr>
        <w:footnoteReference w:id="32"/>
      </w:r>
      <w:r w:rsidRPr="00431D3A">
        <w:rPr>
          <w:rFonts w:asciiTheme="minorHAnsi" w:hAnsiTheme="minorHAnsi"/>
          <w:kern w:val="2"/>
          <w:sz w:val="21"/>
          <w:szCs w:val="21"/>
          <w14:ligatures w14:val="standardContextual"/>
        </w:rPr>
        <w:t xml:space="preserve"> In Massachusetts alone, it is estimated that 2,770 new cases of colorectal cancer have been diagnosed along with 820 deaths.</w:t>
      </w:r>
      <w:r w:rsidRPr="00431D3A">
        <w:rPr>
          <w:rFonts w:asciiTheme="minorHAnsi" w:hAnsiTheme="minorHAnsi"/>
          <w:kern w:val="2"/>
          <w:sz w:val="21"/>
          <w:szCs w:val="21"/>
          <w:vertAlign w:val="superscript"/>
          <w14:ligatures w14:val="standardContextual"/>
        </w:rPr>
        <w:footnoteReference w:id="33"/>
      </w:r>
    </w:p>
    <w:p w14:paraId="6AE7A277" w14:textId="40328FA4" w:rsidR="006B792D" w:rsidRPr="00431D3A" w:rsidRDefault="00FA31C8" w:rsidP="006867F8">
      <w:pPr>
        <w:spacing w:after="120"/>
        <w:jc w:val="both"/>
        <w:rPr>
          <w:rFonts w:asciiTheme="minorHAnsi" w:hAnsiTheme="minorHAnsi"/>
          <w:kern w:val="2"/>
          <w:sz w:val="21"/>
          <w:szCs w:val="21"/>
          <w14:ligatures w14:val="standardContextual"/>
        </w:rPr>
      </w:pPr>
      <w:r w:rsidRPr="00431D3A">
        <w:rPr>
          <w:rFonts w:asciiTheme="minorHAnsi" w:hAnsiTheme="minorHAnsi"/>
          <w:kern w:val="2"/>
          <w:sz w:val="21"/>
          <w:szCs w:val="21"/>
          <w14:ligatures w14:val="standardContextual"/>
        </w:rPr>
        <w:t>Since the 1990s, cases of colorectal cancer among adults aged 20-39</w:t>
      </w:r>
      <w:r w:rsidRPr="00431D3A">
        <w:rPr>
          <w:rFonts w:asciiTheme="minorHAnsi" w:hAnsiTheme="minorHAnsi"/>
          <w:kern w:val="2"/>
          <w:sz w:val="21"/>
          <w:szCs w:val="21"/>
          <w:vertAlign w:val="superscript"/>
          <w14:ligatures w14:val="standardContextual"/>
        </w:rPr>
        <w:footnoteReference w:id="34"/>
      </w:r>
      <w:r w:rsidR="00D266D7">
        <w:rPr>
          <w:rFonts w:asciiTheme="minorHAnsi" w:hAnsiTheme="minorHAnsi"/>
          <w:kern w:val="2"/>
          <w:sz w:val="21"/>
          <w:szCs w:val="21"/>
          <w14:ligatures w14:val="standardContextual"/>
        </w:rPr>
        <w:t xml:space="preserve"> have consistently increased 2% annually</w:t>
      </w:r>
      <w:r w:rsidRPr="00431D3A">
        <w:rPr>
          <w:rFonts w:asciiTheme="minorHAnsi" w:hAnsiTheme="minorHAnsi"/>
          <w:kern w:val="2"/>
          <w:sz w:val="21"/>
          <w:szCs w:val="21"/>
          <w14:ligatures w14:val="standardContextual"/>
        </w:rPr>
        <w:t xml:space="preserve"> making it the most common cancer among this population.</w:t>
      </w:r>
      <w:r w:rsidRPr="00431D3A">
        <w:rPr>
          <w:rFonts w:asciiTheme="minorHAnsi" w:hAnsiTheme="minorHAnsi"/>
          <w:kern w:val="2"/>
          <w:sz w:val="21"/>
          <w:szCs w:val="21"/>
          <w:vertAlign w:val="superscript"/>
          <w14:ligatures w14:val="standardContextual"/>
        </w:rPr>
        <w:footnoteReference w:id="35"/>
      </w:r>
      <w:r w:rsidRPr="00431D3A">
        <w:rPr>
          <w:rFonts w:asciiTheme="minorHAnsi" w:hAnsiTheme="minorHAnsi"/>
          <w:kern w:val="2"/>
          <w:sz w:val="21"/>
          <w:szCs w:val="21"/>
          <w14:ligatures w14:val="standardContextual"/>
        </w:rPr>
        <w:t xml:space="preserve"> Information from the U.S.</w:t>
      </w:r>
      <w:r w:rsidR="009264DA">
        <w:rPr>
          <w:rFonts w:asciiTheme="minorHAnsi" w:hAnsiTheme="minorHAnsi"/>
          <w:kern w:val="2"/>
          <w:sz w:val="21"/>
          <w:szCs w:val="21"/>
          <w14:ligatures w14:val="standardContextual"/>
        </w:rPr>
        <w:t xml:space="preserve"> </w:t>
      </w:r>
      <w:r w:rsidR="009264DA" w:rsidRPr="009264DA">
        <w:rPr>
          <w:rFonts w:asciiTheme="minorHAnsi" w:hAnsiTheme="minorHAnsi"/>
          <w:kern w:val="2"/>
          <w:sz w:val="21"/>
          <w:szCs w:val="21"/>
          <w14:ligatures w14:val="standardContextual"/>
        </w:rPr>
        <w:t>Centers for Disease Control and Prevention</w:t>
      </w:r>
      <w:r w:rsidR="009264DA">
        <w:rPr>
          <w:rFonts w:asciiTheme="minorHAnsi" w:hAnsiTheme="minorHAnsi"/>
          <w:kern w:val="2"/>
          <w:sz w:val="21"/>
          <w:szCs w:val="21"/>
          <w14:ligatures w14:val="standardContextual"/>
        </w:rPr>
        <w:t xml:space="preserve"> </w:t>
      </w:r>
      <w:r w:rsidRPr="00431D3A">
        <w:rPr>
          <w:rFonts w:asciiTheme="minorHAnsi" w:hAnsiTheme="minorHAnsi"/>
          <w:kern w:val="2"/>
          <w:sz w:val="21"/>
          <w:szCs w:val="21"/>
          <w14:ligatures w14:val="standardContextual"/>
        </w:rPr>
        <w:t>Database show that since 1999, rates of colorectal cancer have grown 500% among children ages 10 to 14 and 333% among teens ages 15-19.</w:t>
      </w:r>
      <w:r w:rsidRPr="00431D3A">
        <w:rPr>
          <w:rFonts w:asciiTheme="minorHAnsi" w:hAnsiTheme="minorHAnsi"/>
          <w:kern w:val="2"/>
          <w:sz w:val="21"/>
          <w:szCs w:val="21"/>
          <w:vertAlign w:val="superscript"/>
          <w14:ligatures w14:val="standardContextual"/>
        </w:rPr>
        <w:footnoteReference w:id="36"/>
      </w:r>
      <w:r w:rsidRPr="00431D3A">
        <w:rPr>
          <w:rFonts w:asciiTheme="minorHAnsi" w:hAnsiTheme="minorHAnsi"/>
          <w:kern w:val="2"/>
          <w:sz w:val="21"/>
          <w:szCs w:val="21"/>
          <w14:ligatures w14:val="standardContextual"/>
        </w:rPr>
        <w:t xml:space="preserve"> Despite this prevalence, colorectal cancer screening protocols advise individuals without a family history to begin regular screenings at age 45 and continue every decade until age 75.</w:t>
      </w:r>
      <w:r w:rsidRPr="00431D3A">
        <w:rPr>
          <w:rFonts w:asciiTheme="minorHAnsi" w:hAnsiTheme="minorHAnsi"/>
          <w:kern w:val="2"/>
          <w:sz w:val="21"/>
          <w:szCs w:val="21"/>
          <w:vertAlign w:val="superscript"/>
          <w14:ligatures w14:val="standardContextual"/>
        </w:rPr>
        <w:footnoteReference w:id="37"/>
      </w:r>
      <w:r w:rsidRPr="00431D3A">
        <w:rPr>
          <w:rFonts w:asciiTheme="minorHAnsi" w:hAnsiTheme="minorHAnsi"/>
          <w:kern w:val="2"/>
          <w:sz w:val="21"/>
          <w:szCs w:val="21"/>
          <w14:ligatures w14:val="standardContextual"/>
        </w:rPr>
        <w:t xml:space="preserve"> Because early screening isn’t recommended for this age group, younger adults often depend on endoscopic procedures not for prevention, but as a means of diagnosing and managing symptoms once they arise.</w:t>
      </w:r>
      <w:r w:rsidRPr="00431D3A">
        <w:rPr>
          <w:rFonts w:asciiTheme="minorHAnsi" w:hAnsiTheme="minorHAnsi"/>
          <w:kern w:val="2"/>
          <w:sz w:val="21"/>
          <w:szCs w:val="21"/>
          <w:vertAlign w:val="superscript"/>
          <w14:ligatures w14:val="standardContextual"/>
        </w:rPr>
        <w:footnoteReference w:id="38"/>
      </w:r>
      <w:r w:rsidRPr="00431D3A">
        <w:rPr>
          <w:rFonts w:asciiTheme="minorHAnsi" w:hAnsiTheme="minorHAnsi"/>
          <w:kern w:val="2"/>
          <w:sz w:val="21"/>
          <w:szCs w:val="21"/>
          <w14:ligatures w14:val="standardContextual"/>
        </w:rPr>
        <w:t xml:space="preserve"> Adults within the 45 to 75 age range are increasingly following these guidelines. Between 2012 and 2020, the proportion of U.S. adults, ages 50-75 who had never undergone colorectal cancer screening dropped from 27.4% to 21.6%.</w:t>
      </w:r>
      <w:r w:rsidRPr="00431D3A">
        <w:rPr>
          <w:rFonts w:asciiTheme="minorHAnsi" w:hAnsiTheme="minorHAnsi"/>
          <w:kern w:val="2"/>
          <w:sz w:val="21"/>
          <w:szCs w:val="21"/>
          <w:vertAlign w:val="superscript"/>
          <w14:ligatures w14:val="standardContextual"/>
        </w:rPr>
        <w:footnoteReference w:id="39"/>
      </w:r>
      <w:r w:rsidRPr="00431D3A">
        <w:rPr>
          <w:rFonts w:asciiTheme="minorHAnsi" w:hAnsiTheme="minorHAnsi"/>
          <w:kern w:val="2"/>
          <w:sz w:val="21"/>
          <w:szCs w:val="21"/>
          <w14:ligatures w14:val="standardContextual"/>
        </w:rPr>
        <w:t xml:space="preserve"> This 5.8-point decline translates to nearly 3.9 million more individuals being screened in 2020 compared </w:t>
      </w:r>
      <w:r w:rsidRPr="00431D3A">
        <w:rPr>
          <w:rFonts w:asciiTheme="minorHAnsi" w:hAnsiTheme="minorHAnsi"/>
          <w:kern w:val="2"/>
          <w:sz w:val="21"/>
          <w:szCs w:val="21"/>
          <w14:ligatures w14:val="standardContextual"/>
        </w:rPr>
        <w:lastRenderedPageBreak/>
        <w:t>to 2012.</w:t>
      </w:r>
      <w:r w:rsidRPr="00431D3A">
        <w:rPr>
          <w:rFonts w:asciiTheme="minorHAnsi" w:hAnsiTheme="minorHAnsi"/>
          <w:kern w:val="2"/>
          <w:sz w:val="21"/>
          <w:szCs w:val="21"/>
          <w:vertAlign w:val="superscript"/>
          <w14:ligatures w14:val="standardContextual"/>
        </w:rPr>
        <w:footnoteReference w:id="40"/>
      </w:r>
      <w:r w:rsidRPr="00431D3A">
        <w:rPr>
          <w:rFonts w:asciiTheme="minorHAnsi" w:hAnsiTheme="minorHAnsi"/>
          <w:kern w:val="2"/>
          <w:sz w:val="21"/>
          <w:szCs w:val="21"/>
          <w14:ligatures w14:val="standardContextual"/>
        </w:rPr>
        <w:t xml:space="preserve"> </w:t>
      </w:r>
      <w:r w:rsidR="006B792D">
        <w:rPr>
          <w:rFonts w:asciiTheme="minorHAnsi" w:hAnsiTheme="minorHAnsi"/>
          <w:kern w:val="2"/>
          <w:sz w:val="21"/>
          <w:szCs w:val="21"/>
          <w14:ligatures w14:val="standardContextual"/>
        </w:rPr>
        <w:t xml:space="preserve">Despite increases in screening adherence, </w:t>
      </w:r>
      <w:r w:rsidR="00475222">
        <w:rPr>
          <w:rFonts w:asciiTheme="minorHAnsi" w:hAnsiTheme="minorHAnsi"/>
          <w:kern w:val="2"/>
          <w:sz w:val="21"/>
          <w:szCs w:val="21"/>
          <w14:ligatures w14:val="standardContextual"/>
        </w:rPr>
        <w:t>Massachusetts is still falling short of the national target for 80% of eligible adults to be screening as recommended.</w:t>
      </w:r>
      <w:r w:rsidR="00475222">
        <w:rPr>
          <w:rStyle w:val="FootnoteReference"/>
          <w:rFonts w:asciiTheme="minorHAnsi" w:hAnsiTheme="minorHAnsi"/>
          <w:kern w:val="2"/>
          <w:sz w:val="21"/>
          <w:szCs w:val="21"/>
          <w14:ligatures w14:val="standardContextual"/>
        </w:rPr>
        <w:footnoteReference w:id="41"/>
      </w:r>
      <w:r w:rsidR="00475222">
        <w:rPr>
          <w:rFonts w:asciiTheme="minorHAnsi" w:hAnsiTheme="minorHAnsi"/>
          <w:kern w:val="2"/>
          <w:sz w:val="21"/>
          <w:szCs w:val="21"/>
          <w14:ligatures w14:val="standardContextual"/>
        </w:rPr>
        <w:t xml:space="preserve"> </w:t>
      </w:r>
      <w:r w:rsidR="00475222" w:rsidRPr="00431D3A">
        <w:rPr>
          <w:rFonts w:asciiTheme="minorHAnsi" w:hAnsiTheme="minorHAnsi"/>
          <w:kern w:val="2"/>
          <w:sz w:val="21"/>
          <w:szCs w:val="21"/>
          <w14:ligatures w14:val="standardContextual"/>
        </w:rPr>
        <w:t>As the rate of screening continues increase among older adults a</w:t>
      </w:r>
      <w:r w:rsidR="00B5673F">
        <w:rPr>
          <w:rFonts w:asciiTheme="minorHAnsi" w:hAnsiTheme="minorHAnsi"/>
          <w:kern w:val="2"/>
          <w:sz w:val="21"/>
          <w:szCs w:val="21"/>
          <w14:ligatures w14:val="standardContextual"/>
        </w:rPr>
        <w:t xml:space="preserve">s well as </w:t>
      </w:r>
      <w:r w:rsidR="00475222" w:rsidRPr="00431D3A">
        <w:rPr>
          <w:rFonts w:asciiTheme="minorHAnsi" w:hAnsiTheme="minorHAnsi"/>
          <w:kern w:val="2"/>
          <w:sz w:val="21"/>
          <w:szCs w:val="21"/>
          <w14:ligatures w14:val="standardContextual"/>
        </w:rPr>
        <w:t>younger adults’ reliance on endoscop</w:t>
      </w:r>
      <w:r w:rsidR="00475222">
        <w:rPr>
          <w:rFonts w:asciiTheme="minorHAnsi" w:hAnsiTheme="minorHAnsi"/>
          <w:kern w:val="2"/>
          <w:sz w:val="21"/>
          <w:szCs w:val="21"/>
          <w14:ligatures w14:val="standardContextual"/>
        </w:rPr>
        <w:t xml:space="preserve">y, </w:t>
      </w:r>
      <w:r w:rsidR="00B5673F">
        <w:rPr>
          <w:rFonts w:asciiTheme="minorHAnsi" w:hAnsiTheme="minorHAnsi"/>
          <w:kern w:val="2"/>
          <w:sz w:val="21"/>
          <w:szCs w:val="21"/>
          <w14:ligatures w14:val="standardContextual"/>
        </w:rPr>
        <w:t>wait times for endoscopy will continue to increase without additional capacity in the Commonwealth</w:t>
      </w:r>
      <w:r w:rsidR="00475222" w:rsidRPr="00431D3A">
        <w:rPr>
          <w:rFonts w:asciiTheme="minorHAnsi" w:hAnsiTheme="minorHAnsi"/>
          <w:kern w:val="2"/>
          <w:sz w:val="21"/>
          <w:szCs w:val="21"/>
          <w14:ligatures w14:val="standardContextual"/>
        </w:rPr>
        <w:t>.</w:t>
      </w:r>
    </w:p>
    <w:p w14:paraId="21CF4D3E" w14:textId="72E75F97" w:rsidR="00FA31C8" w:rsidRPr="00431D3A" w:rsidRDefault="00FA31C8" w:rsidP="006867F8">
      <w:pPr>
        <w:spacing w:after="120"/>
        <w:jc w:val="both"/>
        <w:rPr>
          <w:rFonts w:asciiTheme="minorHAnsi" w:hAnsiTheme="minorHAnsi"/>
          <w:kern w:val="2"/>
          <w:sz w:val="21"/>
          <w:szCs w:val="21"/>
          <w14:ligatures w14:val="standardContextual"/>
        </w:rPr>
      </w:pPr>
      <w:r w:rsidRPr="00431D3A">
        <w:rPr>
          <w:rFonts w:asciiTheme="minorHAnsi" w:hAnsiTheme="minorHAnsi"/>
          <w:kern w:val="2"/>
          <w:sz w:val="21"/>
          <w:szCs w:val="21"/>
          <w14:ligatures w14:val="standardContextual"/>
        </w:rPr>
        <w:t>Colonoscopies are the gold standard when it comes to colorectal screenings and routine access to endoscopies is the key to reduction of mortality and improving patient outcomes.</w:t>
      </w:r>
      <w:r w:rsidRPr="00431D3A">
        <w:rPr>
          <w:rFonts w:asciiTheme="minorHAnsi" w:hAnsiTheme="minorHAnsi"/>
          <w:kern w:val="2"/>
          <w:sz w:val="21"/>
          <w:szCs w:val="21"/>
          <w:vertAlign w:val="superscript"/>
          <w14:ligatures w14:val="standardContextual"/>
        </w:rPr>
        <w:footnoteReference w:id="42"/>
      </w:r>
      <w:r w:rsidRPr="00431D3A">
        <w:rPr>
          <w:rFonts w:asciiTheme="minorHAnsi" w:hAnsiTheme="minorHAnsi"/>
          <w:kern w:val="2"/>
          <w:sz w:val="21"/>
          <w:szCs w:val="21"/>
          <w14:ligatures w14:val="standardContextual"/>
        </w:rPr>
        <w:t xml:space="preserve"> When asymptomatic adults are tested, a colonoscopy’s sensitivity percentage for detecting </w:t>
      </w:r>
      <w:r w:rsidR="00D266D7">
        <w:rPr>
          <w:rFonts w:asciiTheme="minorHAnsi" w:hAnsiTheme="minorHAnsi"/>
          <w:kern w:val="2"/>
          <w:sz w:val="21"/>
          <w:szCs w:val="21"/>
          <w14:ligatures w14:val="standardContextual"/>
        </w:rPr>
        <w:t>colorectal cancer</w:t>
      </w:r>
      <w:r w:rsidRPr="00431D3A">
        <w:rPr>
          <w:rFonts w:asciiTheme="minorHAnsi" w:hAnsiTheme="minorHAnsi"/>
          <w:kern w:val="2"/>
          <w:sz w:val="21"/>
          <w:szCs w:val="21"/>
          <w14:ligatures w14:val="standardContextual"/>
        </w:rPr>
        <w:t xml:space="preserve"> is 92 to 99% while detecting advanced neoplasia is 88 to 98%.</w:t>
      </w:r>
      <w:r w:rsidRPr="00431D3A">
        <w:rPr>
          <w:rFonts w:asciiTheme="minorHAnsi" w:hAnsiTheme="minorHAnsi"/>
          <w:kern w:val="2"/>
          <w:sz w:val="21"/>
          <w:szCs w:val="21"/>
          <w:vertAlign w:val="superscript"/>
          <w14:ligatures w14:val="standardContextual"/>
        </w:rPr>
        <w:footnoteReference w:id="43"/>
      </w:r>
      <w:r w:rsidRPr="00431D3A">
        <w:rPr>
          <w:rFonts w:asciiTheme="minorHAnsi" w:hAnsiTheme="minorHAnsi"/>
          <w:kern w:val="2"/>
          <w:sz w:val="21"/>
          <w:szCs w:val="21"/>
          <w14:ligatures w14:val="standardContextual"/>
        </w:rPr>
        <w:t xml:space="preserve"> Meanwhile, the greatest success rate of any of the fecal exams were 79% for </w:t>
      </w:r>
      <w:r w:rsidR="00D266D7">
        <w:rPr>
          <w:rFonts w:asciiTheme="minorHAnsi" w:hAnsiTheme="minorHAnsi"/>
          <w:kern w:val="2"/>
          <w:sz w:val="21"/>
          <w:szCs w:val="21"/>
          <w14:ligatures w14:val="standardContextual"/>
        </w:rPr>
        <w:t>colorectal cancer</w:t>
      </w:r>
      <w:r w:rsidRPr="00431D3A">
        <w:rPr>
          <w:rFonts w:asciiTheme="minorHAnsi" w:hAnsiTheme="minorHAnsi"/>
          <w:kern w:val="2"/>
          <w:sz w:val="21"/>
          <w:szCs w:val="21"/>
          <w14:ligatures w14:val="standardContextual"/>
        </w:rPr>
        <w:t xml:space="preserve"> and 32 to 53% for advanced neoplasia.</w:t>
      </w:r>
      <w:r w:rsidRPr="00431D3A">
        <w:rPr>
          <w:rFonts w:asciiTheme="minorHAnsi" w:hAnsiTheme="minorHAnsi"/>
          <w:kern w:val="2"/>
          <w:sz w:val="21"/>
          <w:szCs w:val="21"/>
          <w:vertAlign w:val="superscript"/>
          <w14:ligatures w14:val="standardContextual"/>
        </w:rPr>
        <w:footnoteReference w:id="44"/>
      </w:r>
      <w:r w:rsidRPr="00431D3A">
        <w:rPr>
          <w:rFonts w:asciiTheme="minorHAnsi" w:hAnsiTheme="minorHAnsi"/>
          <w:kern w:val="2"/>
          <w:sz w:val="21"/>
          <w:szCs w:val="21"/>
          <w14:ligatures w14:val="standardContextual"/>
        </w:rPr>
        <w:t xml:space="preserve"> Even if the fecal exam detects an abnormality, the patient is then referred for a colonoscopy.</w:t>
      </w:r>
      <w:r w:rsidRPr="00431D3A">
        <w:rPr>
          <w:rFonts w:asciiTheme="minorHAnsi" w:hAnsiTheme="minorHAnsi"/>
          <w:kern w:val="2"/>
          <w:sz w:val="21"/>
          <w:szCs w:val="21"/>
          <w:vertAlign w:val="superscript"/>
          <w14:ligatures w14:val="standardContextual"/>
        </w:rPr>
        <w:footnoteReference w:id="45"/>
      </w:r>
      <w:r w:rsidRPr="00431D3A">
        <w:rPr>
          <w:rFonts w:asciiTheme="minorHAnsi" w:hAnsiTheme="minorHAnsi"/>
          <w:kern w:val="2"/>
          <w:sz w:val="21"/>
          <w:szCs w:val="21"/>
          <w14:ligatures w14:val="standardContextual"/>
        </w:rPr>
        <w:t xml:space="preserve"> This creates risk because studies show that patients are more likely to take a second fecal exam or delay their colonoscopy beyond one year</w:t>
      </w:r>
      <w:r w:rsidRPr="00431D3A">
        <w:rPr>
          <w:rFonts w:asciiTheme="minorHAnsi" w:hAnsiTheme="minorHAnsi"/>
          <w:kern w:val="2"/>
          <w:sz w:val="21"/>
          <w:szCs w:val="21"/>
          <w:vertAlign w:val="superscript"/>
          <w14:ligatures w14:val="standardContextual"/>
        </w:rPr>
        <w:footnoteReference w:id="46"/>
      </w:r>
      <w:r w:rsidRPr="00431D3A">
        <w:rPr>
          <w:rFonts w:asciiTheme="minorHAnsi" w:hAnsiTheme="minorHAnsi"/>
          <w:kern w:val="2"/>
          <w:sz w:val="21"/>
          <w:szCs w:val="21"/>
          <w14:ligatures w14:val="standardContextual"/>
        </w:rPr>
        <w:t xml:space="preserve">, which leads to a higher incidence of </w:t>
      </w:r>
      <w:r w:rsidR="00D266D7">
        <w:rPr>
          <w:rFonts w:asciiTheme="minorHAnsi" w:hAnsiTheme="minorHAnsi"/>
          <w:kern w:val="2"/>
          <w:sz w:val="21"/>
          <w:szCs w:val="21"/>
          <w14:ligatures w14:val="standardContextual"/>
        </w:rPr>
        <w:t>colorectal cancer</w:t>
      </w:r>
      <w:r w:rsidRPr="00431D3A">
        <w:rPr>
          <w:rFonts w:asciiTheme="minorHAnsi" w:hAnsiTheme="minorHAnsi"/>
          <w:kern w:val="2"/>
          <w:sz w:val="21"/>
          <w:szCs w:val="21"/>
          <w14:ligatures w14:val="standardContextual"/>
        </w:rPr>
        <w:t>.</w:t>
      </w:r>
      <w:r w:rsidRPr="00431D3A">
        <w:rPr>
          <w:rFonts w:asciiTheme="minorHAnsi" w:hAnsiTheme="minorHAnsi"/>
          <w:kern w:val="2"/>
          <w:sz w:val="21"/>
          <w:szCs w:val="21"/>
          <w:vertAlign w:val="superscript"/>
          <w14:ligatures w14:val="standardContextual"/>
        </w:rPr>
        <w:footnoteReference w:id="47"/>
      </w:r>
      <w:r w:rsidRPr="00431D3A">
        <w:rPr>
          <w:rFonts w:asciiTheme="minorHAnsi" w:hAnsiTheme="minorHAnsi"/>
          <w:kern w:val="2"/>
          <w:sz w:val="21"/>
          <w:szCs w:val="21"/>
          <w14:ligatures w14:val="standardContextual"/>
        </w:rPr>
        <w:t xml:space="preserve"> In fact, only 41% of patients who had two positive fecal tests had a colonoscopy within a year of their initial results.</w:t>
      </w:r>
      <w:r w:rsidRPr="00431D3A">
        <w:rPr>
          <w:rFonts w:asciiTheme="minorHAnsi" w:hAnsiTheme="minorHAnsi"/>
          <w:kern w:val="2"/>
          <w:sz w:val="21"/>
          <w:szCs w:val="21"/>
          <w:vertAlign w:val="superscript"/>
          <w14:ligatures w14:val="standardContextual"/>
        </w:rPr>
        <w:footnoteReference w:id="48"/>
      </w:r>
      <w:r w:rsidR="00E74455">
        <w:rPr>
          <w:rFonts w:asciiTheme="minorHAnsi" w:hAnsiTheme="minorHAnsi"/>
          <w:kern w:val="2"/>
          <w:sz w:val="21"/>
          <w:szCs w:val="21"/>
          <w14:ligatures w14:val="standardContextual"/>
        </w:rPr>
        <w:t xml:space="preserve"> Delays in scheduling colonoscopies, especially wait times exceeding six months, are associated with worse clinical outcomes.</w:t>
      </w:r>
      <w:bookmarkStart w:id="17" w:name="_Ref213765813"/>
      <w:r w:rsidR="00E74455">
        <w:rPr>
          <w:rStyle w:val="FootnoteReference"/>
          <w:rFonts w:asciiTheme="minorHAnsi" w:hAnsiTheme="minorHAnsi"/>
          <w:kern w:val="2"/>
          <w:sz w:val="21"/>
          <w:szCs w:val="21"/>
          <w14:ligatures w14:val="standardContextual"/>
        </w:rPr>
        <w:footnoteReference w:id="49"/>
      </w:r>
      <w:bookmarkEnd w:id="17"/>
      <w:r w:rsidR="00E74455">
        <w:rPr>
          <w:rFonts w:asciiTheme="minorHAnsi" w:hAnsiTheme="minorHAnsi"/>
          <w:kern w:val="2"/>
          <w:sz w:val="21"/>
          <w:szCs w:val="21"/>
          <w14:ligatures w14:val="standardContextual"/>
        </w:rPr>
        <w:t xml:space="preserve"> Studies have shown that a time interval longer than six months between a fecal immunochemical test and the patient’s colonoscopy is a significant predictor of </w:t>
      </w:r>
      <w:r w:rsidR="00D266D7">
        <w:rPr>
          <w:rFonts w:asciiTheme="minorHAnsi" w:hAnsiTheme="minorHAnsi"/>
          <w:kern w:val="2"/>
          <w:sz w:val="21"/>
          <w:szCs w:val="21"/>
          <w14:ligatures w14:val="standardContextual"/>
        </w:rPr>
        <w:t>colorectal cancer</w:t>
      </w:r>
      <w:r w:rsidR="00E74455">
        <w:rPr>
          <w:rFonts w:asciiTheme="minorHAnsi" w:hAnsiTheme="minorHAnsi"/>
          <w:kern w:val="2"/>
          <w:sz w:val="21"/>
          <w:szCs w:val="21"/>
          <w14:ligatures w14:val="standardContextual"/>
        </w:rPr>
        <w:t xml:space="preserve"> detection in high-risk populations.</w:t>
      </w:r>
      <w:r w:rsidR="00E74455">
        <w:rPr>
          <w:rStyle w:val="FootnoteReference"/>
          <w:rFonts w:asciiTheme="minorHAnsi" w:hAnsiTheme="minorHAnsi"/>
          <w:kern w:val="2"/>
          <w:sz w:val="21"/>
          <w:szCs w:val="21"/>
          <w14:ligatures w14:val="standardContextual"/>
        </w:rPr>
        <w:footnoteReference w:id="50"/>
      </w:r>
      <w:r w:rsidR="008E0F57">
        <w:rPr>
          <w:rFonts w:asciiTheme="minorHAnsi" w:hAnsiTheme="minorHAnsi"/>
          <w:kern w:val="2"/>
          <w:sz w:val="21"/>
          <w:szCs w:val="21"/>
          <w14:ligatures w14:val="standardContextual"/>
        </w:rPr>
        <w:t xml:space="preserve"> </w:t>
      </w:r>
      <w:r w:rsidR="006778C5">
        <w:rPr>
          <w:rFonts w:asciiTheme="minorHAnsi" w:hAnsiTheme="minorHAnsi"/>
          <w:kern w:val="2"/>
          <w:sz w:val="21"/>
          <w:szCs w:val="21"/>
          <w14:ligatures w14:val="standardContextual"/>
        </w:rPr>
        <w:t>Extended wait times for procedure scheduling</w:t>
      </w:r>
      <w:r w:rsidR="008E0F57">
        <w:rPr>
          <w:rFonts w:asciiTheme="minorHAnsi" w:hAnsiTheme="minorHAnsi"/>
          <w:kern w:val="2"/>
          <w:sz w:val="21"/>
          <w:szCs w:val="21"/>
          <w14:ligatures w14:val="standardContextual"/>
        </w:rPr>
        <w:t xml:space="preserve"> may also increase rates of missed appointments and/or cancellation.</w:t>
      </w:r>
      <w:r w:rsidR="008E0F57">
        <w:rPr>
          <w:rStyle w:val="FootnoteReference"/>
          <w:rFonts w:asciiTheme="minorHAnsi" w:hAnsiTheme="minorHAnsi"/>
          <w:kern w:val="2"/>
          <w:sz w:val="21"/>
          <w:szCs w:val="21"/>
          <w14:ligatures w14:val="standardContextual"/>
        </w:rPr>
        <w:footnoteReference w:id="51"/>
      </w:r>
    </w:p>
    <w:p w14:paraId="40940A16" w14:textId="0F4698BE" w:rsidR="00FA31C8" w:rsidRPr="006867F8" w:rsidRDefault="009739F7" w:rsidP="006867F8">
      <w:pPr>
        <w:numPr>
          <w:ilvl w:val="0"/>
          <w:numId w:val="6"/>
        </w:numPr>
        <w:spacing w:after="120"/>
        <w:rPr>
          <w:rFonts w:asciiTheme="minorHAnsi" w:hAnsiTheme="minorHAnsi"/>
          <w:kern w:val="2"/>
          <w:sz w:val="21"/>
          <w:szCs w:val="21"/>
          <w:u w:val="single"/>
          <w14:ligatures w14:val="standardContextual"/>
        </w:rPr>
      </w:pPr>
      <w:r w:rsidRPr="006867F8">
        <w:rPr>
          <w:rFonts w:asciiTheme="minorHAnsi" w:hAnsiTheme="minorHAnsi"/>
          <w:kern w:val="2"/>
          <w:sz w:val="21"/>
          <w:szCs w:val="21"/>
          <w:u w:val="single"/>
          <w14:ligatures w14:val="standardContextual"/>
        </w:rPr>
        <w:t xml:space="preserve">Role of </w:t>
      </w:r>
      <w:r w:rsidR="00D266D7">
        <w:rPr>
          <w:rFonts w:asciiTheme="minorHAnsi" w:hAnsiTheme="minorHAnsi"/>
          <w:kern w:val="2"/>
          <w:sz w:val="21"/>
          <w:szCs w:val="21"/>
          <w:u w:val="single"/>
          <w14:ligatures w14:val="standardContextual"/>
        </w:rPr>
        <w:t>Hospital-Based Departments</w:t>
      </w:r>
      <w:r w:rsidRPr="006867F8">
        <w:rPr>
          <w:rFonts w:asciiTheme="minorHAnsi" w:hAnsiTheme="minorHAnsi"/>
          <w:kern w:val="2"/>
          <w:sz w:val="21"/>
          <w:szCs w:val="21"/>
          <w:u w:val="single"/>
          <w14:ligatures w14:val="standardContextual"/>
        </w:rPr>
        <w:t xml:space="preserve"> in Endoscopy </w:t>
      </w:r>
    </w:p>
    <w:p w14:paraId="4A3A52A8" w14:textId="71EC5896" w:rsidR="00FA31C8" w:rsidRPr="00431D3A" w:rsidRDefault="009739F7" w:rsidP="006867F8">
      <w:pPr>
        <w:spacing w:after="120"/>
        <w:jc w:val="both"/>
        <w:rPr>
          <w:rFonts w:asciiTheme="minorHAnsi" w:hAnsiTheme="minorHAnsi"/>
          <w:kern w:val="2"/>
          <w:sz w:val="21"/>
          <w:szCs w:val="21"/>
          <w14:ligatures w14:val="standardContextual"/>
        </w:rPr>
      </w:pPr>
      <w:r w:rsidRPr="00431D3A">
        <w:rPr>
          <w:rFonts w:asciiTheme="minorHAnsi" w:hAnsiTheme="minorHAnsi"/>
          <w:kern w:val="2"/>
          <w:sz w:val="21"/>
          <w:szCs w:val="21"/>
          <w14:ligatures w14:val="standardContextual"/>
        </w:rPr>
        <w:t xml:space="preserve">While recent trends show an increasing number of ambulatory surgery centers, </w:t>
      </w:r>
      <w:r w:rsidR="00D266D7">
        <w:rPr>
          <w:rFonts w:asciiTheme="minorHAnsi" w:hAnsiTheme="minorHAnsi"/>
          <w:kern w:val="2"/>
          <w:sz w:val="21"/>
          <w:szCs w:val="21"/>
          <w14:ligatures w14:val="standardContextual"/>
        </w:rPr>
        <w:t>hospital-based procedure rooms</w:t>
      </w:r>
      <w:r w:rsidRPr="00431D3A">
        <w:rPr>
          <w:rFonts w:asciiTheme="minorHAnsi" w:hAnsiTheme="minorHAnsi"/>
          <w:kern w:val="2"/>
          <w:sz w:val="21"/>
          <w:szCs w:val="21"/>
          <w14:ligatures w14:val="standardContextual"/>
        </w:rPr>
        <w:t xml:space="preserve"> play a crucial role in healthcare delivery. For example</w:t>
      </w:r>
      <w:r w:rsidR="00FA31C8" w:rsidRPr="00431D3A">
        <w:rPr>
          <w:rFonts w:asciiTheme="minorHAnsi" w:hAnsiTheme="minorHAnsi"/>
          <w:kern w:val="2"/>
          <w:sz w:val="21"/>
          <w:szCs w:val="21"/>
          <w14:ligatures w14:val="standardContextual"/>
        </w:rPr>
        <w:t xml:space="preserve">, patients treated </w:t>
      </w:r>
      <w:r w:rsidR="00D266D7">
        <w:rPr>
          <w:rFonts w:asciiTheme="minorHAnsi" w:hAnsiTheme="minorHAnsi"/>
          <w:kern w:val="2"/>
          <w:sz w:val="21"/>
          <w:szCs w:val="21"/>
          <w14:ligatures w14:val="standardContextual"/>
        </w:rPr>
        <w:t>in hospital-based procedure rooms</w:t>
      </w:r>
      <w:r w:rsidR="00FA31C8" w:rsidRPr="00431D3A">
        <w:rPr>
          <w:rFonts w:asciiTheme="minorHAnsi" w:hAnsiTheme="minorHAnsi"/>
          <w:kern w:val="2"/>
          <w:sz w:val="21"/>
          <w:szCs w:val="21"/>
          <w14:ligatures w14:val="standardContextual"/>
        </w:rPr>
        <w:t xml:space="preserve"> had lower odds of unexpected hospitalization after undergoing colonoscopy.</w:t>
      </w:r>
      <w:bookmarkStart w:id="18" w:name="_Ref213765875"/>
      <w:r w:rsidR="00FA31C8" w:rsidRPr="00431D3A">
        <w:rPr>
          <w:rFonts w:asciiTheme="minorHAnsi" w:hAnsiTheme="minorHAnsi"/>
          <w:kern w:val="2"/>
          <w:sz w:val="21"/>
          <w:szCs w:val="21"/>
          <w:vertAlign w:val="superscript"/>
          <w14:ligatures w14:val="standardContextual"/>
        </w:rPr>
        <w:footnoteReference w:id="52"/>
      </w:r>
      <w:bookmarkEnd w:id="18"/>
      <w:r w:rsidR="00FA31C8" w:rsidRPr="00431D3A">
        <w:rPr>
          <w:rFonts w:asciiTheme="minorHAnsi" w:hAnsiTheme="minorHAnsi"/>
          <w:kern w:val="2"/>
          <w:sz w:val="21"/>
          <w:szCs w:val="21"/>
          <w14:ligatures w14:val="standardContextual"/>
        </w:rPr>
        <w:t xml:space="preserve"> </w:t>
      </w:r>
      <w:r w:rsidRPr="00431D3A">
        <w:rPr>
          <w:rFonts w:asciiTheme="minorHAnsi" w:hAnsiTheme="minorHAnsi"/>
          <w:kern w:val="2"/>
          <w:sz w:val="21"/>
          <w:szCs w:val="21"/>
          <w14:ligatures w14:val="standardContextual"/>
        </w:rPr>
        <w:t>Research also indicates that</w:t>
      </w:r>
      <w:r w:rsidR="00FA31C8" w:rsidRPr="00431D3A">
        <w:rPr>
          <w:rFonts w:asciiTheme="minorHAnsi" w:hAnsiTheme="minorHAnsi"/>
          <w:kern w:val="2"/>
          <w:sz w:val="21"/>
          <w:szCs w:val="21"/>
          <w14:ligatures w14:val="standardContextual"/>
        </w:rPr>
        <w:t xml:space="preserve"> for screening and non</w:t>
      </w:r>
      <w:r w:rsidR="00500406" w:rsidRPr="00431D3A">
        <w:rPr>
          <w:rFonts w:asciiTheme="minorHAnsi" w:hAnsiTheme="minorHAnsi"/>
          <w:kern w:val="2"/>
          <w:sz w:val="21"/>
          <w:szCs w:val="21"/>
          <w14:ligatures w14:val="standardContextual"/>
        </w:rPr>
        <w:t>-</w:t>
      </w:r>
      <w:r w:rsidR="00FA31C8" w:rsidRPr="00431D3A">
        <w:rPr>
          <w:rFonts w:asciiTheme="minorHAnsi" w:hAnsiTheme="minorHAnsi"/>
          <w:kern w:val="2"/>
          <w:sz w:val="21"/>
          <w:szCs w:val="21"/>
          <w14:ligatures w14:val="standardContextual"/>
        </w:rPr>
        <w:t xml:space="preserve">screening colonoscopy, the rates for unplanned hospital visits for “adverse events of surgical procedures or medical care” were actually numerically higher in ASCs versus </w:t>
      </w:r>
      <w:r w:rsidR="00D266D7">
        <w:rPr>
          <w:rFonts w:asciiTheme="minorHAnsi" w:hAnsiTheme="minorHAnsi"/>
          <w:kern w:val="2"/>
          <w:sz w:val="21"/>
          <w:szCs w:val="21"/>
          <w14:ligatures w14:val="standardContextual"/>
        </w:rPr>
        <w:t>hospital-based departments</w:t>
      </w:r>
      <w:r w:rsidR="00FA31C8" w:rsidRPr="00431D3A">
        <w:rPr>
          <w:rFonts w:asciiTheme="minorHAnsi" w:hAnsiTheme="minorHAnsi"/>
          <w:kern w:val="2"/>
          <w:sz w:val="21"/>
          <w:szCs w:val="21"/>
          <w14:ligatures w14:val="standardContextual"/>
        </w:rPr>
        <w:t xml:space="preserve"> in the matched cohort despite the </w:t>
      </w:r>
      <w:r w:rsidR="00D266D7">
        <w:rPr>
          <w:rFonts w:asciiTheme="minorHAnsi" w:hAnsiTheme="minorHAnsi"/>
          <w:kern w:val="2"/>
          <w:sz w:val="21"/>
          <w:szCs w:val="21"/>
          <w14:ligatures w14:val="standardContextual"/>
        </w:rPr>
        <w:t>hospital-based</w:t>
      </w:r>
      <w:r w:rsidR="00FA31C8" w:rsidRPr="00431D3A">
        <w:rPr>
          <w:rFonts w:asciiTheme="minorHAnsi" w:hAnsiTheme="minorHAnsi"/>
          <w:kern w:val="2"/>
          <w:sz w:val="21"/>
          <w:szCs w:val="21"/>
          <w14:ligatures w14:val="standardContextual"/>
        </w:rPr>
        <w:t xml:space="preserve"> cohort having more comorbidities (13.4% vs 8.7%, screening colonoscopy; 11.1% vs 7.6%, non</w:t>
      </w:r>
      <w:r w:rsidR="00500406" w:rsidRPr="00431D3A">
        <w:rPr>
          <w:rFonts w:asciiTheme="minorHAnsi" w:hAnsiTheme="minorHAnsi"/>
          <w:kern w:val="2"/>
          <w:sz w:val="21"/>
          <w:szCs w:val="21"/>
          <w14:ligatures w14:val="standardContextual"/>
        </w:rPr>
        <w:t>-</w:t>
      </w:r>
      <w:r w:rsidR="00FA31C8" w:rsidRPr="00431D3A">
        <w:rPr>
          <w:rFonts w:asciiTheme="minorHAnsi" w:hAnsiTheme="minorHAnsi"/>
          <w:kern w:val="2"/>
          <w:sz w:val="21"/>
          <w:szCs w:val="21"/>
          <w14:ligatures w14:val="standardContextual"/>
        </w:rPr>
        <w:t>screening colonoscopy).</w:t>
      </w:r>
      <w:r w:rsidR="00FA31C8" w:rsidRPr="00431D3A">
        <w:rPr>
          <w:rFonts w:asciiTheme="minorHAnsi" w:hAnsiTheme="minorHAnsi"/>
          <w:kern w:val="2"/>
          <w:sz w:val="21"/>
          <w:szCs w:val="21"/>
          <w:vertAlign w:val="superscript"/>
          <w14:ligatures w14:val="standardContextual"/>
        </w:rPr>
        <w:footnoteReference w:id="53"/>
      </w:r>
    </w:p>
    <w:p w14:paraId="200BDA23" w14:textId="1191F457" w:rsidR="00FA31C8" w:rsidRPr="00431D3A" w:rsidRDefault="00FA31C8" w:rsidP="006867F8">
      <w:pPr>
        <w:spacing w:after="120"/>
        <w:jc w:val="both"/>
        <w:rPr>
          <w:rFonts w:asciiTheme="minorHAnsi" w:hAnsiTheme="minorHAnsi"/>
          <w:kern w:val="2"/>
          <w:sz w:val="21"/>
          <w:szCs w:val="21"/>
          <w14:ligatures w14:val="standardContextual"/>
        </w:rPr>
      </w:pPr>
      <w:r w:rsidRPr="00431D3A">
        <w:rPr>
          <w:rFonts w:asciiTheme="minorHAnsi" w:hAnsiTheme="minorHAnsi"/>
          <w:kern w:val="2"/>
          <w:sz w:val="21"/>
          <w:szCs w:val="21"/>
          <w14:ligatures w14:val="standardContextual"/>
        </w:rPr>
        <w:lastRenderedPageBreak/>
        <w:t>A comparative study found that differences in outcomes may be due to policies adopted, finding benefit to having a hospital affiliate.</w:t>
      </w:r>
      <w:r w:rsidRPr="00431D3A">
        <w:rPr>
          <w:rFonts w:asciiTheme="minorHAnsi" w:hAnsiTheme="minorHAnsi"/>
          <w:kern w:val="2"/>
          <w:sz w:val="21"/>
          <w:szCs w:val="21"/>
          <w:vertAlign w:val="superscript"/>
          <w14:ligatures w14:val="standardContextual"/>
        </w:rPr>
        <w:t xml:space="preserve"> </w:t>
      </w:r>
      <w:r w:rsidRPr="00431D3A">
        <w:rPr>
          <w:rFonts w:asciiTheme="minorHAnsi" w:hAnsiTheme="minorHAnsi"/>
          <w:kern w:val="2"/>
          <w:sz w:val="21"/>
          <w:szCs w:val="21"/>
          <w:vertAlign w:val="superscript"/>
          <w14:ligatures w14:val="standardContextual"/>
        </w:rPr>
        <w:footnoteReference w:id="54"/>
      </w:r>
      <w:r w:rsidRPr="00431D3A">
        <w:rPr>
          <w:rFonts w:asciiTheme="minorHAnsi" w:hAnsiTheme="minorHAnsi"/>
          <w:kern w:val="2"/>
          <w:sz w:val="21"/>
          <w:szCs w:val="21"/>
          <w14:ligatures w14:val="standardContextual"/>
        </w:rPr>
        <w:t xml:space="preserve"> Specifically, </w:t>
      </w:r>
      <w:r w:rsidR="00D266D7">
        <w:rPr>
          <w:rFonts w:asciiTheme="minorHAnsi" w:hAnsiTheme="minorHAnsi"/>
          <w:kern w:val="2"/>
          <w:sz w:val="21"/>
          <w:szCs w:val="21"/>
          <w14:ligatures w14:val="standardContextual"/>
        </w:rPr>
        <w:t>hospital-based departments</w:t>
      </w:r>
      <w:r w:rsidRPr="00431D3A">
        <w:rPr>
          <w:rFonts w:asciiTheme="minorHAnsi" w:hAnsiTheme="minorHAnsi"/>
          <w:kern w:val="2"/>
          <w:sz w:val="21"/>
          <w:szCs w:val="21"/>
          <w14:ligatures w14:val="standardContextual"/>
        </w:rPr>
        <w:t xml:space="preserve"> are more likely to have implemented broader hospital-level safety strategies, clinical protocols, or evidence-based guidelines that contribute to lowering the risk of complications that would otherwise lead to inpatient admissions.</w:t>
      </w:r>
      <w:r w:rsidRPr="00431D3A">
        <w:rPr>
          <w:rFonts w:asciiTheme="minorHAnsi" w:hAnsiTheme="minorHAnsi"/>
          <w:kern w:val="2"/>
          <w:sz w:val="21"/>
          <w:szCs w:val="21"/>
          <w:vertAlign w:val="superscript"/>
          <w14:ligatures w14:val="standardContextual"/>
        </w:rPr>
        <w:footnoteReference w:id="55"/>
      </w:r>
      <w:r w:rsidRPr="00431D3A">
        <w:rPr>
          <w:rFonts w:asciiTheme="minorHAnsi" w:hAnsiTheme="minorHAnsi"/>
          <w:kern w:val="2"/>
          <w:sz w:val="21"/>
          <w:szCs w:val="21"/>
          <w14:ligatures w14:val="standardContextual"/>
        </w:rPr>
        <w:t xml:space="preserve"> </w:t>
      </w:r>
      <w:r w:rsidR="00431D3A" w:rsidRPr="00431D3A">
        <w:rPr>
          <w:rFonts w:asciiTheme="minorHAnsi" w:hAnsiTheme="minorHAnsi"/>
          <w:kern w:val="2"/>
          <w:sz w:val="21"/>
          <w:szCs w:val="21"/>
          <w14:ligatures w14:val="standardContextual"/>
        </w:rPr>
        <w:t xml:space="preserve">Expanding </w:t>
      </w:r>
      <w:r w:rsidRPr="00431D3A">
        <w:rPr>
          <w:rFonts w:asciiTheme="minorHAnsi" w:hAnsiTheme="minorHAnsi"/>
          <w:kern w:val="2"/>
          <w:sz w:val="21"/>
          <w:szCs w:val="21"/>
          <w14:ligatures w14:val="standardContextual"/>
        </w:rPr>
        <w:t>access to endoscop</w:t>
      </w:r>
      <w:r w:rsidR="00431D3A" w:rsidRPr="00431D3A">
        <w:rPr>
          <w:rFonts w:asciiTheme="minorHAnsi" w:hAnsiTheme="minorHAnsi"/>
          <w:kern w:val="2"/>
          <w:sz w:val="21"/>
          <w:szCs w:val="21"/>
          <w14:ligatures w14:val="standardContextual"/>
        </w:rPr>
        <w:t>y</w:t>
      </w:r>
      <w:r w:rsidRPr="00431D3A">
        <w:rPr>
          <w:rFonts w:asciiTheme="minorHAnsi" w:hAnsiTheme="minorHAnsi"/>
          <w:kern w:val="2"/>
          <w:sz w:val="21"/>
          <w:szCs w:val="21"/>
          <w14:ligatures w14:val="standardContextual"/>
        </w:rPr>
        <w:t xml:space="preserve"> in </w:t>
      </w:r>
      <w:r w:rsidR="00431D3A" w:rsidRPr="00431D3A">
        <w:rPr>
          <w:rFonts w:asciiTheme="minorHAnsi" w:hAnsiTheme="minorHAnsi"/>
          <w:kern w:val="2"/>
          <w:sz w:val="21"/>
          <w:szCs w:val="21"/>
          <w14:ligatures w14:val="standardContextual"/>
        </w:rPr>
        <w:t xml:space="preserve">existing </w:t>
      </w:r>
      <w:r w:rsidR="00D266D7">
        <w:rPr>
          <w:rFonts w:asciiTheme="minorHAnsi" w:hAnsiTheme="minorHAnsi"/>
          <w:kern w:val="2"/>
          <w:sz w:val="21"/>
          <w:szCs w:val="21"/>
          <w14:ligatures w14:val="standardContextual"/>
        </w:rPr>
        <w:t>hospital-based facilities</w:t>
      </w:r>
      <w:r w:rsidRPr="00431D3A">
        <w:rPr>
          <w:rFonts w:asciiTheme="minorHAnsi" w:hAnsiTheme="minorHAnsi"/>
          <w:kern w:val="2"/>
          <w:sz w:val="21"/>
          <w:szCs w:val="21"/>
          <w14:ligatures w14:val="standardContextual"/>
        </w:rPr>
        <w:t xml:space="preserve"> will </w:t>
      </w:r>
      <w:r w:rsidR="00431D3A" w:rsidRPr="00431D3A">
        <w:rPr>
          <w:rFonts w:asciiTheme="minorHAnsi" w:hAnsiTheme="minorHAnsi"/>
          <w:kern w:val="2"/>
          <w:sz w:val="21"/>
          <w:szCs w:val="21"/>
          <w14:ligatures w14:val="standardContextual"/>
        </w:rPr>
        <w:t>ensure timely access to high-quality</w:t>
      </w:r>
      <w:r w:rsidRPr="00431D3A">
        <w:rPr>
          <w:rFonts w:asciiTheme="minorHAnsi" w:hAnsiTheme="minorHAnsi"/>
          <w:kern w:val="2"/>
          <w:sz w:val="21"/>
          <w:szCs w:val="21"/>
          <w14:ligatures w14:val="standardContextual"/>
        </w:rPr>
        <w:t xml:space="preserve"> </w:t>
      </w:r>
      <w:r w:rsidR="00431D3A" w:rsidRPr="00431D3A">
        <w:rPr>
          <w:rFonts w:asciiTheme="minorHAnsi" w:hAnsiTheme="minorHAnsi"/>
          <w:kern w:val="2"/>
          <w:sz w:val="21"/>
          <w:szCs w:val="21"/>
          <w14:ligatures w14:val="standardContextual"/>
        </w:rPr>
        <w:t>c</w:t>
      </w:r>
      <w:r w:rsidRPr="00431D3A">
        <w:rPr>
          <w:rFonts w:asciiTheme="minorHAnsi" w:hAnsiTheme="minorHAnsi"/>
          <w:kern w:val="2"/>
          <w:sz w:val="21"/>
          <w:szCs w:val="21"/>
          <w14:ligatures w14:val="standardContextual"/>
        </w:rPr>
        <w:t>are.</w:t>
      </w:r>
    </w:p>
    <w:p w14:paraId="3327CC6C" w14:textId="77777777" w:rsidR="00E51440" w:rsidRDefault="00E51440" w:rsidP="008E0410">
      <w:pPr>
        <w:spacing w:after="120"/>
        <w:jc w:val="both"/>
        <w:rPr>
          <w:rFonts w:asciiTheme="minorHAnsi" w:hAnsiTheme="minorHAnsi" w:cs="Arial"/>
          <w:b/>
          <w:kern w:val="2"/>
          <w:sz w:val="21"/>
          <w:szCs w:val="21"/>
          <w14:ligatures w14:val="standardContextual"/>
        </w:rPr>
      </w:pPr>
    </w:p>
    <w:p w14:paraId="78C27A12" w14:textId="6F242438" w:rsidR="000F1400" w:rsidRPr="00431D3A" w:rsidRDefault="000F1400" w:rsidP="001B4716">
      <w:pPr>
        <w:pStyle w:val="Heading2"/>
        <w:rPr>
          <w:rFonts w:eastAsia="Arial"/>
        </w:rPr>
      </w:pPr>
      <w:r w:rsidRPr="00431D3A">
        <w:t>F1.</w:t>
      </w:r>
      <w:proofErr w:type="gramStart"/>
      <w:r w:rsidRPr="00431D3A">
        <w:t>b.ii</w:t>
      </w:r>
      <w:proofErr w:type="gramEnd"/>
      <w:r w:rsidRPr="00431D3A">
        <w:tab/>
      </w:r>
      <w:r w:rsidRPr="00431D3A">
        <w:tab/>
        <w:t>Public Health Value /Outcome-Oriented:</w:t>
      </w:r>
    </w:p>
    <w:p w14:paraId="57D20CFB" w14:textId="77777777" w:rsidR="000F1400" w:rsidRPr="00031808" w:rsidRDefault="000F1400" w:rsidP="00742B85">
      <w:pPr>
        <w:suppressAutoHyphens w:val="0"/>
        <w:autoSpaceDE w:val="0"/>
        <w:autoSpaceDN w:val="0"/>
        <w:spacing w:after="240"/>
        <w:ind w:left="1440"/>
        <w:jc w:val="both"/>
        <w:rPr>
          <w:rFonts w:asciiTheme="minorHAnsi" w:eastAsia="Arial" w:hAnsiTheme="minorHAnsi" w:cs="Arial"/>
          <w:b/>
          <w:kern w:val="2"/>
          <w:sz w:val="21"/>
          <w:szCs w:val="21"/>
        </w:rPr>
      </w:pPr>
      <w:r w:rsidRPr="00031808">
        <w:rPr>
          <w:rFonts w:asciiTheme="minorHAnsi" w:eastAsia="Arial" w:hAnsiTheme="minorHAnsi" w:cs="Arial"/>
          <w:b/>
          <w:kern w:val="2"/>
          <w:sz w:val="21"/>
          <w:szCs w:val="21"/>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3048F08C" w14:textId="2CF8C89F" w:rsidR="000F1400" w:rsidRPr="00431D3A" w:rsidRDefault="000F1400" w:rsidP="006867F8">
      <w:pPr>
        <w:spacing w:after="120"/>
        <w:jc w:val="both"/>
        <w:rPr>
          <w:rFonts w:asciiTheme="minorHAnsi" w:hAnsiTheme="minorHAnsi"/>
          <w:kern w:val="2"/>
          <w:sz w:val="21"/>
          <w:szCs w:val="21"/>
          <w14:ligatures w14:val="standardContextual"/>
        </w:rPr>
      </w:pPr>
      <w:r w:rsidRPr="00431D3A">
        <w:rPr>
          <w:rFonts w:asciiTheme="minorHAnsi" w:hAnsiTheme="minorHAnsi" w:cs="Arial"/>
          <w:kern w:val="2"/>
          <w:sz w:val="21"/>
          <w:szCs w:val="21"/>
          <w14:ligatures w14:val="standardContextual"/>
        </w:rPr>
        <w:t>The Proposed Project will provide public health value by improving access to high-quality outpatient endoscopy in Winchester, thereby improving health outcomes and patient satisfaction</w:t>
      </w:r>
      <w:r w:rsidR="00D266D7">
        <w:rPr>
          <w:rFonts w:asciiTheme="minorHAnsi" w:hAnsiTheme="minorHAnsi" w:cs="Arial"/>
          <w:kern w:val="2"/>
          <w:sz w:val="21"/>
          <w:szCs w:val="21"/>
          <w14:ligatures w14:val="standardContextual"/>
        </w:rPr>
        <w:t xml:space="preserve"> for the Applicant’s Patient Panel</w:t>
      </w:r>
      <w:r w:rsidRPr="00431D3A">
        <w:rPr>
          <w:rFonts w:asciiTheme="minorHAnsi" w:hAnsiTheme="minorHAnsi" w:cs="Arial"/>
          <w:kern w:val="2"/>
          <w:sz w:val="21"/>
          <w:szCs w:val="21"/>
          <w14:ligatures w14:val="standardContextual"/>
        </w:rPr>
        <w:t>. To assess the impact of the Proposed Project, the Applicant will monitor and report following quality metrics.</w:t>
      </w:r>
    </w:p>
    <w:p w14:paraId="7940EBE5" w14:textId="36E87E05" w:rsidR="000F1400" w:rsidRPr="00431D3A" w:rsidRDefault="000F1400" w:rsidP="006867F8">
      <w:pPr>
        <w:numPr>
          <w:ilvl w:val="0"/>
          <w:numId w:val="7"/>
        </w:numPr>
        <w:suppressAutoHyphens w:val="0"/>
        <w:spacing w:after="120"/>
        <w:jc w:val="both"/>
        <w:rPr>
          <w:rFonts w:asciiTheme="minorHAnsi" w:eastAsia="Arial" w:hAnsiTheme="minorHAnsi" w:cs="Arial"/>
          <w:b/>
          <w:bCs/>
          <w:kern w:val="2"/>
          <w:sz w:val="21"/>
          <w:szCs w:val="21"/>
        </w:rPr>
      </w:pPr>
      <w:r w:rsidRPr="00431D3A">
        <w:rPr>
          <w:rFonts w:asciiTheme="minorHAnsi" w:eastAsia="Arial" w:hAnsiTheme="minorHAnsi" w:cs="Arial"/>
          <w:b/>
          <w:bCs/>
          <w:kern w:val="2"/>
          <w:sz w:val="21"/>
          <w:szCs w:val="21"/>
        </w:rPr>
        <w:t xml:space="preserve">Wait Time to Scheduled Procedure: </w:t>
      </w:r>
      <w:r w:rsidRPr="00431D3A">
        <w:rPr>
          <w:rFonts w:asciiTheme="minorHAnsi" w:eastAsia="Arial" w:hAnsiTheme="minorHAnsi" w:cs="Arial"/>
          <w:kern w:val="2"/>
          <w:sz w:val="21"/>
          <w:szCs w:val="21"/>
        </w:rPr>
        <w:t>Timely access to endoscopic procedures is critical for early diagnosis and treatment, contributing to improved health outcomes and patient satisfaction.</w:t>
      </w:r>
      <w:r w:rsidR="0092301C">
        <w:rPr>
          <w:rStyle w:val="FootnoteReference"/>
          <w:rFonts w:asciiTheme="minorHAnsi" w:eastAsia="Arial" w:hAnsiTheme="minorHAnsi" w:cs="Arial"/>
          <w:kern w:val="2"/>
          <w:sz w:val="21"/>
          <w:szCs w:val="21"/>
        </w:rPr>
        <w:footnoteReference w:id="56"/>
      </w:r>
      <w:r w:rsidRPr="00431D3A">
        <w:rPr>
          <w:rFonts w:asciiTheme="minorHAnsi" w:eastAsia="Arial" w:hAnsiTheme="minorHAnsi" w:cs="Arial"/>
          <w:kern w:val="2"/>
          <w:sz w:val="21"/>
          <w:szCs w:val="21"/>
        </w:rPr>
        <w:t xml:space="preserve"> Extended </w:t>
      </w:r>
      <w:proofErr w:type="gramStart"/>
      <w:r w:rsidRPr="00431D3A">
        <w:rPr>
          <w:rFonts w:asciiTheme="minorHAnsi" w:eastAsia="Arial" w:hAnsiTheme="minorHAnsi" w:cs="Arial"/>
          <w:kern w:val="2"/>
          <w:sz w:val="21"/>
          <w:szCs w:val="21"/>
        </w:rPr>
        <w:t>wait</w:t>
      </w:r>
      <w:proofErr w:type="gramEnd"/>
      <w:r w:rsidRPr="00431D3A">
        <w:rPr>
          <w:rFonts w:asciiTheme="minorHAnsi" w:eastAsia="Arial" w:hAnsiTheme="minorHAnsi" w:cs="Arial"/>
          <w:kern w:val="2"/>
          <w:sz w:val="21"/>
          <w:szCs w:val="21"/>
        </w:rPr>
        <w:t xml:space="preserve"> times for scheduling procedures delays care and negatively impacts patient outcomes. The Applicant will monitor and report the average time patients wait from the date the procedure is ordered to the date it is scheduled. Data will be tracked to identify trends, barriers, and opportunities for improvement.</w:t>
      </w:r>
    </w:p>
    <w:p w14:paraId="4AA6A381" w14:textId="77777777" w:rsidR="000F1400" w:rsidRPr="00431D3A" w:rsidRDefault="000F1400" w:rsidP="006867F8">
      <w:pPr>
        <w:suppressAutoHyphens w:val="0"/>
        <w:autoSpaceDE w:val="0"/>
        <w:autoSpaceDN w:val="0"/>
        <w:spacing w:after="120"/>
        <w:ind w:left="720"/>
        <w:jc w:val="both"/>
        <w:rPr>
          <w:rFonts w:asciiTheme="minorHAnsi" w:eastAsia="Arial" w:hAnsiTheme="minorHAnsi" w:cs="Arial"/>
          <w:kern w:val="2"/>
          <w:sz w:val="21"/>
          <w:szCs w:val="21"/>
        </w:rPr>
      </w:pPr>
      <w:bookmarkStart w:id="19" w:name="_Hlk48813784"/>
      <w:r w:rsidRPr="00431D3A">
        <w:rPr>
          <w:rFonts w:asciiTheme="minorHAnsi" w:eastAsia="Arial" w:hAnsiTheme="minorHAnsi" w:cs="Arial"/>
          <w:b/>
          <w:bCs/>
          <w:kern w:val="2"/>
          <w:sz w:val="21"/>
          <w:szCs w:val="21"/>
        </w:rPr>
        <w:t xml:space="preserve">Measure: </w:t>
      </w:r>
      <w:r w:rsidRPr="00431D3A">
        <w:rPr>
          <w:rFonts w:asciiTheme="minorHAnsi" w:eastAsia="Arial" w:hAnsiTheme="minorHAnsi" w:cs="Arial"/>
          <w:kern w:val="2"/>
          <w:sz w:val="21"/>
          <w:szCs w:val="21"/>
        </w:rPr>
        <w:t>Average number of days between the date a procedure is ordered and the date the procedure is scheduled to be performed.</w:t>
      </w:r>
    </w:p>
    <w:p w14:paraId="75DB7AAE" w14:textId="77777777" w:rsidR="000F1400" w:rsidRPr="00431D3A" w:rsidRDefault="000F1400" w:rsidP="006867F8">
      <w:pPr>
        <w:suppressAutoHyphens w:val="0"/>
        <w:autoSpaceDE w:val="0"/>
        <w:autoSpaceDN w:val="0"/>
        <w:spacing w:after="120"/>
        <w:ind w:left="1440"/>
        <w:jc w:val="both"/>
        <w:rPr>
          <w:rFonts w:asciiTheme="minorHAnsi" w:eastAsia="Arial" w:hAnsiTheme="minorHAnsi" w:cs="Arial"/>
          <w:kern w:val="2"/>
          <w:sz w:val="21"/>
          <w:szCs w:val="21"/>
        </w:rPr>
      </w:pPr>
      <w:r w:rsidRPr="00431D3A">
        <w:rPr>
          <w:rFonts w:asciiTheme="minorHAnsi" w:eastAsia="Arial" w:hAnsiTheme="minorHAnsi" w:cs="Arial"/>
          <w:b/>
          <w:bCs/>
          <w:kern w:val="2"/>
          <w:sz w:val="21"/>
          <w:szCs w:val="21"/>
        </w:rPr>
        <w:t xml:space="preserve">Numerator: </w:t>
      </w:r>
      <w:r w:rsidRPr="00431D3A">
        <w:rPr>
          <w:rFonts w:asciiTheme="minorHAnsi" w:eastAsia="Arial" w:hAnsiTheme="minorHAnsi" w:cs="Arial"/>
          <w:kern w:val="2"/>
          <w:sz w:val="21"/>
          <w:szCs w:val="21"/>
        </w:rPr>
        <w:t xml:space="preserve">Total number of days waited by all patients from order to scheduled procedure date. </w:t>
      </w:r>
      <w:r w:rsidRPr="00431D3A">
        <w:rPr>
          <w:rFonts w:asciiTheme="minorHAnsi" w:eastAsia="Arial" w:hAnsiTheme="minorHAnsi" w:cs="Arial"/>
          <w:b/>
          <w:bCs/>
          <w:kern w:val="2"/>
          <w:sz w:val="21"/>
          <w:szCs w:val="21"/>
        </w:rPr>
        <w:tab/>
      </w:r>
    </w:p>
    <w:p w14:paraId="7FFE57D9" w14:textId="77777777" w:rsidR="000F1400" w:rsidRPr="00431D3A" w:rsidRDefault="000F1400" w:rsidP="006867F8">
      <w:pPr>
        <w:suppressAutoHyphens w:val="0"/>
        <w:autoSpaceDE w:val="0"/>
        <w:autoSpaceDN w:val="0"/>
        <w:spacing w:after="120"/>
        <w:ind w:left="720" w:firstLine="720"/>
        <w:jc w:val="both"/>
        <w:rPr>
          <w:rFonts w:asciiTheme="minorHAnsi" w:eastAsia="Arial" w:hAnsiTheme="minorHAnsi" w:cs="Arial"/>
          <w:kern w:val="2"/>
          <w:sz w:val="21"/>
          <w:szCs w:val="21"/>
        </w:rPr>
      </w:pPr>
      <w:r w:rsidRPr="00431D3A">
        <w:rPr>
          <w:rFonts w:asciiTheme="minorHAnsi" w:eastAsia="Arial" w:hAnsiTheme="minorHAnsi" w:cs="Arial"/>
          <w:b/>
          <w:bCs/>
          <w:kern w:val="2"/>
          <w:sz w:val="21"/>
          <w:szCs w:val="21"/>
        </w:rPr>
        <w:t xml:space="preserve">Denominator: </w:t>
      </w:r>
      <w:r w:rsidRPr="00431D3A">
        <w:rPr>
          <w:rFonts w:asciiTheme="minorHAnsi" w:eastAsia="Arial" w:hAnsiTheme="minorHAnsi" w:cs="Arial"/>
          <w:kern w:val="2"/>
          <w:sz w:val="21"/>
          <w:szCs w:val="21"/>
        </w:rPr>
        <w:t>Total number of scheduled procedures.</w:t>
      </w:r>
    </w:p>
    <w:p w14:paraId="5B7D1CBC" w14:textId="0A425923" w:rsidR="000F1400" w:rsidRPr="00431D3A" w:rsidRDefault="000F1400" w:rsidP="006867F8">
      <w:pPr>
        <w:suppressAutoHyphens w:val="0"/>
        <w:autoSpaceDE w:val="0"/>
        <w:autoSpaceDN w:val="0"/>
        <w:spacing w:after="120"/>
        <w:ind w:left="1440"/>
        <w:jc w:val="both"/>
        <w:rPr>
          <w:rFonts w:asciiTheme="minorHAnsi" w:eastAsia="Arial" w:hAnsiTheme="minorHAnsi" w:cs="Arial"/>
          <w:kern w:val="2"/>
          <w:sz w:val="21"/>
          <w:szCs w:val="21"/>
        </w:rPr>
      </w:pPr>
      <w:r w:rsidRPr="00431D3A">
        <w:rPr>
          <w:rFonts w:asciiTheme="minorHAnsi" w:eastAsia="Arial" w:hAnsiTheme="minorHAnsi" w:cs="Arial"/>
          <w:b/>
          <w:bCs/>
          <w:kern w:val="2"/>
          <w:sz w:val="21"/>
          <w:szCs w:val="21"/>
        </w:rPr>
        <w:t>Baseline and Goal:</w:t>
      </w:r>
      <w:r w:rsidRPr="00431D3A">
        <w:rPr>
          <w:rFonts w:asciiTheme="minorHAnsi" w:eastAsia="Arial" w:hAnsiTheme="minorHAnsi" w:cs="Arial"/>
          <w:kern w:val="2"/>
          <w:sz w:val="21"/>
          <w:szCs w:val="21"/>
        </w:rPr>
        <w:t xml:space="preserve"> Patients currently wait </w:t>
      </w:r>
      <w:r w:rsidR="00431D3A">
        <w:rPr>
          <w:rFonts w:asciiTheme="minorHAnsi" w:eastAsia="Arial" w:hAnsiTheme="minorHAnsi" w:cs="Arial"/>
          <w:kern w:val="2"/>
          <w:sz w:val="21"/>
          <w:szCs w:val="21"/>
        </w:rPr>
        <w:t>between 3 to 6 months</w:t>
      </w:r>
      <w:r w:rsidR="00D266D7">
        <w:rPr>
          <w:rFonts w:asciiTheme="minorHAnsi" w:eastAsia="Arial" w:hAnsiTheme="minorHAnsi" w:cs="Arial"/>
          <w:kern w:val="2"/>
          <w:sz w:val="21"/>
          <w:szCs w:val="21"/>
        </w:rPr>
        <w:t xml:space="preserve"> between scheduling and their procedure date</w:t>
      </w:r>
      <w:r w:rsidR="00431D3A">
        <w:rPr>
          <w:rFonts w:asciiTheme="minorHAnsi" w:eastAsia="Arial" w:hAnsiTheme="minorHAnsi" w:cs="Arial"/>
          <w:kern w:val="2"/>
          <w:sz w:val="21"/>
          <w:szCs w:val="21"/>
        </w:rPr>
        <w:t>, depending on their provider’s availability</w:t>
      </w:r>
      <w:r w:rsidRPr="00431D3A">
        <w:rPr>
          <w:rFonts w:asciiTheme="minorHAnsi" w:eastAsia="Arial" w:hAnsiTheme="minorHAnsi" w:cs="Arial"/>
          <w:kern w:val="2"/>
          <w:sz w:val="21"/>
          <w:szCs w:val="21"/>
        </w:rPr>
        <w:t xml:space="preserve">. The Proposed Project aims to reduce wait times by 15% per year, with a target goal of 40 days (less than 6 weeks) by Year 5. </w:t>
      </w:r>
      <w:bookmarkEnd w:id="19"/>
    </w:p>
    <w:p w14:paraId="69C450B4" w14:textId="6A58D64E" w:rsidR="000F1400" w:rsidRPr="00431D3A" w:rsidRDefault="000F1400" w:rsidP="006867F8">
      <w:pPr>
        <w:numPr>
          <w:ilvl w:val="0"/>
          <w:numId w:val="7"/>
        </w:numPr>
        <w:suppressAutoHyphens w:val="0"/>
        <w:spacing w:after="120"/>
        <w:jc w:val="both"/>
        <w:rPr>
          <w:rFonts w:asciiTheme="minorHAnsi" w:eastAsia="Arial" w:hAnsiTheme="minorHAnsi" w:cs="Arial"/>
          <w:b/>
          <w:bCs/>
          <w:kern w:val="2"/>
          <w:sz w:val="21"/>
          <w:szCs w:val="21"/>
        </w:rPr>
      </w:pPr>
      <w:r w:rsidRPr="00431D3A">
        <w:rPr>
          <w:rFonts w:asciiTheme="minorHAnsi" w:eastAsia="Arial" w:hAnsiTheme="minorHAnsi" w:cs="Arial"/>
          <w:b/>
          <w:bCs/>
          <w:kern w:val="2"/>
          <w:sz w:val="21"/>
          <w:szCs w:val="21"/>
        </w:rPr>
        <w:t xml:space="preserve">Delayed Procedure Start Times: </w:t>
      </w:r>
      <w:r w:rsidRPr="00431D3A">
        <w:rPr>
          <w:rFonts w:asciiTheme="minorHAnsi" w:eastAsia="Arial" w:hAnsiTheme="minorHAnsi" w:cs="Arial"/>
          <w:kern w:val="2"/>
          <w:sz w:val="21"/>
          <w:szCs w:val="21"/>
        </w:rPr>
        <w:t xml:space="preserve">Delays in starting scheduled endoscopic procedures can disrupt patient care and impact overall operational efficiency. Monitoring the frequency and duration of delayed procedure start times will enable the </w:t>
      </w:r>
      <w:r w:rsidR="00D266D7">
        <w:rPr>
          <w:rFonts w:asciiTheme="minorHAnsi" w:eastAsia="Arial" w:hAnsiTheme="minorHAnsi" w:cs="Arial"/>
          <w:kern w:val="2"/>
          <w:sz w:val="21"/>
          <w:szCs w:val="21"/>
        </w:rPr>
        <w:t>Endoscopy Center</w:t>
      </w:r>
      <w:r w:rsidRPr="00431D3A">
        <w:rPr>
          <w:rFonts w:asciiTheme="minorHAnsi" w:eastAsia="Arial" w:hAnsiTheme="minorHAnsi" w:cs="Arial"/>
          <w:kern w:val="2"/>
          <w:sz w:val="21"/>
          <w:szCs w:val="21"/>
        </w:rPr>
        <w:t xml:space="preserve"> to identify causes of delays and implement process improvements.  </w:t>
      </w:r>
    </w:p>
    <w:p w14:paraId="2B5905A0" w14:textId="77777777" w:rsidR="000F1400" w:rsidRPr="00431D3A" w:rsidRDefault="000F1400" w:rsidP="006867F8">
      <w:pPr>
        <w:widowControl w:val="0"/>
        <w:suppressAutoHyphens w:val="0"/>
        <w:autoSpaceDE w:val="0"/>
        <w:autoSpaceDN w:val="0"/>
        <w:spacing w:after="120"/>
        <w:ind w:left="720"/>
        <w:jc w:val="both"/>
        <w:rPr>
          <w:rFonts w:asciiTheme="minorHAnsi" w:eastAsia="Arial" w:hAnsiTheme="minorHAnsi" w:cs="Arial"/>
          <w:kern w:val="2"/>
          <w:sz w:val="21"/>
          <w:szCs w:val="21"/>
        </w:rPr>
      </w:pPr>
      <w:r w:rsidRPr="00431D3A">
        <w:rPr>
          <w:rFonts w:asciiTheme="minorHAnsi" w:eastAsia="Arial" w:hAnsiTheme="minorHAnsi" w:cs="Arial"/>
          <w:b/>
          <w:bCs/>
          <w:kern w:val="2"/>
          <w:sz w:val="21"/>
          <w:szCs w:val="21"/>
        </w:rPr>
        <w:t xml:space="preserve">Measure: </w:t>
      </w:r>
      <w:r w:rsidRPr="00431D3A">
        <w:rPr>
          <w:rFonts w:asciiTheme="minorHAnsi" w:eastAsia="Arial" w:hAnsiTheme="minorHAnsi" w:cs="Arial"/>
          <w:kern w:val="2"/>
          <w:sz w:val="21"/>
          <w:szCs w:val="21"/>
        </w:rPr>
        <w:t xml:space="preserve">Percentage of procedures that start more than 30 minutes after the scheduled start time. </w:t>
      </w:r>
    </w:p>
    <w:p w14:paraId="113984BF" w14:textId="77777777" w:rsidR="000F1400" w:rsidRPr="00431D3A" w:rsidRDefault="000F1400" w:rsidP="006867F8">
      <w:pPr>
        <w:autoSpaceDE w:val="0"/>
        <w:autoSpaceDN w:val="0"/>
        <w:adjustRightInd w:val="0"/>
        <w:spacing w:after="120"/>
        <w:ind w:left="1440"/>
        <w:rPr>
          <w:rFonts w:asciiTheme="minorHAnsi" w:hAnsiTheme="minorHAnsi"/>
          <w:kern w:val="2"/>
          <w:sz w:val="21"/>
          <w:szCs w:val="21"/>
          <w14:ligatures w14:val="standardContextual"/>
        </w:rPr>
      </w:pPr>
      <w:r w:rsidRPr="00431D3A">
        <w:rPr>
          <w:rFonts w:asciiTheme="minorHAnsi" w:hAnsiTheme="minorHAnsi"/>
          <w:b/>
          <w:bCs/>
          <w:kern w:val="2"/>
          <w:sz w:val="21"/>
          <w:szCs w:val="21"/>
          <w14:ligatures w14:val="standardContextual"/>
        </w:rPr>
        <w:t>Numerator:</w:t>
      </w:r>
      <w:r w:rsidRPr="00431D3A">
        <w:rPr>
          <w:rFonts w:asciiTheme="minorHAnsi" w:hAnsiTheme="minorHAnsi"/>
          <w:kern w:val="2"/>
          <w:sz w:val="21"/>
          <w:szCs w:val="21"/>
          <w14:ligatures w14:val="standardContextual"/>
        </w:rPr>
        <w:t xml:space="preserve"> The number of procedures that began more than 30 minutes after the scheduled start time.</w:t>
      </w:r>
    </w:p>
    <w:p w14:paraId="66A66103" w14:textId="77777777" w:rsidR="000F1400" w:rsidRPr="00431D3A" w:rsidRDefault="000F1400" w:rsidP="006867F8">
      <w:pPr>
        <w:autoSpaceDE w:val="0"/>
        <w:autoSpaceDN w:val="0"/>
        <w:adjustRightInd w:val="0"/>
        <w:spacing w:after="120"/>
        <w:ind w:left="720" w:firstLine="720"/>
        <w:rPr>
          <w:rFonts w:asciiTheme="minorHAnsi" w:hAnsiTheme="minorHAnsi"/>
          <w:kern w:val="2"/>
          <w:sz w:val="21"/>
          <w:szCs w:val="21"/>
          <w14:ligatures w14:val="standardContextual"/>
        </w:rPr>
      </w:pPr>
      <w:r w:rsidRPr="00431D3A">
        <w:rPr>
          <w:rFonts w:asciiTheme="minorHAnsi" w:hAnsiTheme="minorHAnsi"/>
          <w:b/>
          <w:bCs/>
          <w:kern w:val="2"/>
          <w:sz w:val="21"/>
          <w:szCs w:val="21"/>
          <w14:ligatures w14:val="standardContextual"/>
        </w:rPr>
        <w:t xml:space="preserve">Denominator: </w:t>
      </w:r>
      <w:r w:rsidRPr="00431D3A">
        <w:rPr>
          <w:rFonts w:asciiTheme="minorHAnsi" w:hAnsiTheme="minorHAnsi"/>
          <w:kern w:val="2"/>
          <w:sz w:val="21"/>
          <w:szCs w:val="21"/>
          <w14:ligatures w14:val="standardContextual"/>
        </w:rPr>
        <w:t>Total number of scheduled procedures.</w:t>
      </w:r>
    </w:p>
    <w:p w14:paraId="17E490D3" w14:textId="77777777" w:rsidR="000F1400" w:rsidRPr="00431D3A" w:rsidRDefault="000F1400" w:rsidP="006867F8">
      <w:pPr>
        <w:autoSpaceDE w:val="0"/>
        <w:autoSpaceDN w:val="0"/>
        <w:adjustRightInd w:val="0"/>
        <w:spacing w:after="120"/>
        <w:ind w:left="1440"/>
        <w:rPr>
          <w:rFonts w:asciiTheme="minorHAnsi" w:hAnsiTheme="minorHAnsi"/>
          <w:kern w:val="2"/>
          <w:sz w:val="21"/>
          <w:szCs w:val="21"/>
          <w14:ligatures w14:val="standardContextual"/>
        </w:rPr>
      </w:pPr>
      <w:r w:rsidRPr="00431D3A">
        <w:rPr>
          <w:rFonts w:asciiTheme="minorHAnsi" w:hAnsiTheme="minorHAnsi"/>
          <w:b/>
          <w:bCs/>
          <w:kern w:val="2"/>
          <w:sz w:val="21"/>
          <w:szCs w:val="21"/>
          <w14:ligatures w14:val="standardContextual"/>
        </w:rPr>
        <w:lastRenderedPageBreak/>
        <w:t>Baseline and Goal:</w:t>
      </w:r>
      <w:r w:rsidRPr="00431D3A">
        <w:rPr>
          <w:rFonts w:asciiTheme="minorHAnsi" w:hAnsiTheme="minorHAnsi"/>
          <w:kern w:val="2"/>
          <w:sz w:val="21"/>
          <w:szCs w:val="21"/>
          <w14:ligatures w14:val="standardContextual"/>
        </w:rPr>
        <w:t xml:space="preserve"> The current baseline delayed start rate is 44%. The goal with the Proposed Project is to achieve a 15% reduction each year until less than 20% of scheduled procedures are delayed by Year 5.</w:t>
      </w:r>
    </w:p>
    <w:p w14:paraId="3694B53C" w14:textId="55E942CC" w:rsidR="000F1400" w:rsidRPr="00431D3A" w:rsidRDefault="000F1400" w:rsidP="006867F8">
      <w:pPr>
        <w:numPr>
          <w:ilvl w:val="0"/>
          <w:numId w:val="7"/>
        </w:numPr>
        <w:suppressAutoHyphens w:val="0"/>
        <w:spacing w:after="120"/>
        <w:jc w:val="both"/>
        <w:rPr>
          <w:rFonts w:asciiTheme="minorHAnsi" w:eastAsia="Arial" w:hAnsiTheme="minorHAnsi" w:cs="Arial"/>
          <w:kern w:val="2"/>
          <w:sz w:val="21"/>
          <w:szCs w:val="21"/>
        </w:rPr>
      </w:pPr>
      <w:r w:rsidRPr="00431D3A">
        <w:rPr>
          <w:rFonts w:asciiTheme="minorHAnsi" w:eastAsia="Arial" w:hAnsiTheme="minorHAnsi" w:cs="Arial"/>
          <w:b/>
          <w:kern w:val="2"/>
          <w:sz w:val="21"/>
          <w:szCs w:val="21"/>
        </w:rPr>
        <w:t xml:space="preserve">Patient Satisfaction: </w:t>
      </w:r>
      <w:r w:rsidRPr="00431D3A">
        <w:rPr>
          <w:rFonts w:asciiTheme="minorHAnsi" w:eastAsia="Arial" w:hAnsiTheme="minorHAnsi" w:cs="Arial"/>
          <w:kern w:val="2"/>
          <w:sz w:val="21"/>
          <w:szCs w:val="21"/>
        </w:rPr>
        <w:t xml:space="preserve">Patients who are satisfied with their care are more likely to seek additional treatment when needed. The Applicant will continue to review patient satisfaction levels </w:t>
      </w:r>
      <w:r w:rsidR="00431D3A">
        <w:rPr>
          <w:rFonts w:asciiTheme="minorHAnsi" w:eastAsia="Arial" w:hAnsiTheme="minorHAnsi" w:cs="Arial"/>
          <w:kern w:val="2"/>
          <w:sz w:val="21"/>
          <w:szCs w:val="21"/>
        </w:rPr>
        <w:t>of</w:t>
      </w:r>
      <w:r w:rsidRPr="00431D3A">
        <w:rPr>
          <w:rFonts w:asciiTheme="minorHAnsi" w:eastAsia="Arial" w:hAnsiTheme="minorHAnsi" w:cs="Arial"/>
          <w:kern w:val="2"/>
          <w:sz w:val="21"/>
          <w:szCs w:val="21"/>
        </w:rPr>
        <w:t xml:space="preserve"> the </w:t>
      </w:r>
      <w:r w:rsidR="00431D3A">
        <w:rPr>
          <w:rFonts w:asciiTheme="minorHAnsi" w:eastAsia="Arial" w:hAnsiTheme="minorHAnsi" w:cs="Arial"/>
          <w:kern w:val="2"/>
          <w:sz w:val="21"/>
          <w:szCs w:val="21"/>
        </w:rPr>
        <w:t>Endoscopy Center’</w:t>
      </w:r>
      <w:r w:rsidRPr="00431D3A">
        <w:rPr>
          <w:rFonts w:asciiTheme="minorHAnsi" w:eastAsia="Arial" w:hAnsiTheme="minorHAnsi" w:cs="Arial"/>
          <w:kern w:val="2"/>
          <w:sz w:val="21"/>
          <w:szCs w:val="21"/>
        </w:rPr>
        <w:t xml:space="preserve">s </w:t>
      </w:r>
      <w:r w:rsidR="00431D3A">
        <w:rPr>
          <w:rFonts w:asciiTheme="minorHAnsi" w:eastAsia="Arial" w:hAnsiTheme="minorHAnsi" w:cs="Arial"/>
          <w:kern w:val="2"/>
          <w:sz w:val="21"/>
          <w:szCs w:val="21"/>
        </w:rPr>
        <w:t>patients</w:t>
      </w:r>
      <w:r w:rsidRPr="00431D3A">
        <w:rPr>
          <w:rFonts w:asciiTheme="minorHAnsi" w:eastAsia="Arial" w:hAnsiTheme="minorHAnsi" w:cs="Arial"/>
          <w:kern w:val="2"/>
          <w:sz w:val="21"/>
          <w:szCs w:val="21"/>
        </w:rPr>
        <w:t xml:space="preserve"> and compare </w:t>
      </w:r>
      <w:r w:rsidR="00DD2AE7">
        <w:rPr>
          <w:rFonts w:asciiTheme="minorHAnsi" w:eastAsia="Arial" w:hAnsiTheme="minorHAnsi" w:cs="Arial"/>
          <w:kern w:val="2"/>
          <w:sz w:val="21"/>
          <w:szCs w:val="21"/>
        </w:rPr>
        <w:t xml:space="preserve">it </w:t>
      </w:r>
      <w:r w:rsidRPr="00431D3A">
        <w:rPr>
          <w:rFonts w:asciiTheme="minorHAnsi" w:eastAsia="Arial" w:hAnsiTheme="minorHAnsi" w:cs="Arial"/>
          <w:kern w:val="2"/>
          <w:sz w:val="21"/>
          <w:szCs w:val="21"/>
        </w:rPr>
        <w:t xml:space="preserve">across similar facilities and regional benchmarks. </w:t>
      </w:r>
    </w:p>
    <w:p w14:paraId="01F99CB0" w14:textId="1F0A9122" w:rsidR="000F1400" w:rsidRPr="00431D3A" w:rsidRDefault="000F1400" w:rsidP="006867F8">
      <w:pPr>
        <w:suppressAutoHyphens w:val="0"/>
        <w:autoSpaceDE w:val="0"/>
        <w:autoSpaceDN w:val="0"/>
        <w:spacing w:after="120"/>
        <w:ind w:left="720"/>
        <w:jc w:val="both"/>
        <w:rPr>
          <w:rFonts w:asciiTheme="minorHAnsi" w:eastAsia="Arial" w:hAnsiTheme="minorHAnsi" w:cs="Arial"/>
          <w:kern w:val="2"/>
          <w:sz w:val="21"/>
          <w:szCs w:val="21"/>
        </w:rPr>
      </w:pPr>
      <w:r w:rsidRPr="00431D3A">
        <w:rPr>
          <w:rFonts w:asciiTheme="minorHAnsi" w:eastAsia="Arial" w:hAnsiTheme="minorHAnsi" w:cs="Arial"/>
          <w:b/>
          <w:kern w:val="2"/>
          <w:sz w:val="21"/>
          <w:szCs w:val="21"/>
        </w:rPr>
        <w:t>Measure:</w:t>
      </w:r>
      <w:r w:rsidRPr="00431D3A">
        <w:rPr>
          <w:rFonts w:asciiTheme="minorHAnsi" w:eastAsia="Arial" w:hAnsiTheme="minorHAnsi" w:cs="Arial"/>
          <w:kern w:val="2"/>
          <w:sz w:val="21"/>
          <w:szCs w:val="21"/>
        </w:rPr>
        <w:t xml:space="preserve"> A Press Ganey Patient Satisfaction survey is provided to all eligible patients following their procedure</w:t>
      </w:r>
      <w:r w:rsidR="00431D3A">
        <w:rPr>
          <w:rFonts w:asciiTheme="minorHAnsi" w:eastAsia="Arial" w:hAnsiTheme="minorHAnsi" w:cs="Arial"/>
          <w:kern w:val="2"/>
          <w:sz w:val="21"/>
          <w:szCs w:val="21"/>
        </w:rPr>
        <w:t xml:space="preserve"> at the Endoscopy Center</w:t>
      </w:r>
      <w:r w:rsidRPr="00431D3A">
        <w:rPr>
          <w:rFonts w:asciiTheme="minorHAnsi" w:eastAsia="Arial" w:hAnsiTheme="minorHAnsi" w:cs="Arial"/>
          <w:kern w:val="2"/>
          <w:sz w:val="21"/>
          <w:szCs w:val="21"/>
        </w:rPr>
        <w:t xml:space="preserve">. This survey focuses on the patient’s experience in multiple areas, including net promoter score (NPS), wait times, facility operations, care communication, nurse/physician treatment, and discharge. The survey also allows for anonymous comments from patients to </w:t>
      </w:r>
      <w:proofErr w:type="gramStart"/>
      <w:r w:rsidRPr="00431D3A">
        <w:rPr>
          <w:rFonts w:asciiTheme="minorHAnsi" w:eastAsia="Arial" w:hAnsiTheme="minorHAnsi" w:cs="Arial"/>
          <w:kern w:val="2"/>
          <w:sz w:val="21"/>
          <w:szCs w:val="21"/>
        </w:rPr>
        <w:t>further provide</w:t>
      </w:r>
      <w:proofErr w:type="gramEnd"/>
      <w:r w:rsidRPr="00431D3A">
        <w:rPr>
          <w:rFonts w:asciiTheme="minorHAnsi" w:eastAsia="Arial" w:hAnsiTheme="minorHAnsi" w:cs="Arial"/>
          <w:kern w:val="2"/>
          <w:sz w:val="21"/>
          <w:szCs w:val="21"/>
        </w:rPr>
        <w:t xml:space="preserve"> insight into potential areas of improvements as well as patient concerns or commendations. </w:t>
      </w:r>
    </w:p>
    <w:p w14:paraId="270B95AF" w14:textId="77777777" w:rsidR="006416FF" w:rsidRPr="00431D3A" w:rsidRDefault="006416FF" w:rsidP="001B4716">
      <w:pPr>
        <w:pStyle w:val="Heading2"/>
        <w:rPr>
          <w:rFonts w:eastAsia="Arial"/>
        </w:rPr>
      </w:pPr>
      <w:bookmarkStart w:id="20" w:name="_Hlk184113126"/>
      <w:r w:rsidRPr="00431D3A">
        <w:t>F1.b.iii</w:t>
      </w:r>
      <w:r w:rsidRPr="00431D3A">
        <w:tab/>
      </w:r>
      <w:r w:rsidRPr="00431D3A">
        <w:tab/>
        <w:t>Public Health Value /Health Equity-Focused</w:t>
      </w:r>
    </w:p>
    <w:p w14:paraId="027A24FB" w14:textId="77777777" w:rsidR="006416FF" w:rsidRPr="00031808" w:rsidRDefault="006416FF" w:rsidP="00742B85">
      <w:pPr>
        <w:widowControl w:val="0"/>
        <w:suppressAutoHyphens w:val="0"/>
        <w:autoSpaceDE w:val="0"/>
        <w:autoSpaceDN w:val="0"/>
        <w:spacing w:before="120" w:after="240"/>
        <w:ind w:left="1440"/>
        <w:jc w:val="both"/>
        <w:rPr>
          <w:rFonts w:asciiTheme="minorHAnsi" w:eastAsia="Arial" w:hAnsiTheme="minorHAnsi" w:cs="Arial"/>
          <w:b/>
          <w:sz w:val="21"/>
          <w:szCs w:val="21"/>
        </w:rPr>
      </w:pPr>
      <w:r w:rsidRPr="00031808">
        <w:rPr>
          <w:rFonts w:asciiTheme="minorHAnsi" w:eastAsia="Arial" w:hAnsiTheme="minorHAnsi" w:cs="Arial"/>
          <w:b/>
          <w:sz w:val="21"/>
          <w:szCs w:val="21"/>
        </w:rPr>
        <w:t xml:space="preserve">For Proposed Projects addressing health inequities identified within the Applicant's description of the Proposed Project's </w:t>
      </w:r>
      <w:proofErr w:type="spellStart"/>
      <w:r w:rsidRPr="00031808">
        <w:rPr>
          <w:rFonts w:asciiTheme="minorHAnsi" w:eastAsia="Arial" w:hAnsiTheme="minorHAnsi" w:cs="Arial"/>
          <w:b/>
          <w:sz w:val="21"/>
          <w:szCs w:val="21"/>
        </w:rPr>
        <w:t>need</w:t>
      </w:r>
      <w:r w:rsidRPr="00031808">
        <w:rPr>
          <w:rFonts w:asciiTheme="minorHAnsi" w:eastAsia="Arial" w:hAnsiTheme="minorHAnsi" w:cs="Arial"/>
          <w:b/>
          <w:sz w:val="21"/>
          <w:szCs w:val="21"/>
        </w:rPr>
        <w:softHyphen/>
        <w:t>base</w:t>
      </w:r>
      <w:proofErr w:type="spellEnd"/>
      <w:r w:rsidRPr="00031808">
        <w:rPr>
          <w:rFonts w:asciiTheme="minorHAnsi" w:eastAsia="Arial" w:hAnsiTheme="minorHAnsi" w:cs="Arial"/>
          <w:b/>
          <w:sz w:val="21"/>
          <w:szCs w:val="21"/>
        </w:rPr>
        <w:t>,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70E6C0A0" w14:textId="53842F47" w:rsidR="006416FF" w:rsidRPr="00431D3A" w:rsidRDefault="006416FF" w:rsidP="006867F8">
      <w:pPr>
        <w:spacing w:after="120"/>
        <w:jc w:val="both"/>
        <w:rPr>
          <w:rFonts w:asciiTheme="minorHAnsi" w:hAnsiTheme="minorHAnsi" w:cs="Arial"/>
          <w:kern w:val="2"/>
          <w:sz w:val="21"/>
          <w:szCs w:val="21"/>
          <w14:ligatures w14:val="standardContextual"/>
        </w:rPr>
      </w:pPr>
      <w:r w:rsidRPr="00431D3A">
        <w:rPr>
          <w:rFonts w:asciiTheme="minorHAnsi" w:hAnsiTheme="minorHAnsi" w:cs="Arial"/>
          <w:kern w:val="2"/>
          <w:sz w:val="21"/>
          <w:szCs w:val="21"/>
          <w14:ligatures w14:val="standardContextual"/>
        </w:rPr>
        <w:t xml:space="preserve">The Proposed Project will </w:t>
      </w:r>
      <w:r w:rsidR="00431D3A">
        <w:rPr>
          <w:rFonts w:asciiTheme="minorHAnsi" w:hAnsiTheme="minorHAnsi" w:cs="Arial"/>
          <w:kern w:val="2"/>
          <w:sz w:val="21"/>
          <w:szCs w:val="21"/>
          <w14:ligatures w14:val="standardContextual"/>
        </w:rPr>
        <w:t>meaningfully address</w:t>
      </w:r>
      <w:r w:rsidR="00431D3A" w:rsidRPr="00431D3A">
        <w:rPr>
          <w:rFonts w:asciiTheme="minorHAnsi" w:hAnsiTheme="minorHAnsi" w:cs="Arial"/>
          <w:kern w:val="2"/>
          <w:sz w:val="21"/>
          <w:szCs w:val="21"/>
          <w14:ligatures w14:val="standardContextual"/>
        </w:rPr>
        <w:t xml:space="preserve"> </w:t>
      </w:r>
      <w:r w:rsidRPr="00431D3A">
        <w:rPr>
          <w:rFonts w:asciiTheme="minorHAnsi" w:hAnsiTheme="minorHAnsi" w:cs="Arial"/>
          <w:kern w:val="2"/>
          <w:sz w:val="21"/>
          <w:szCs w:val="21"/>
          <w14:ligatures w14:val="standardContextual"/>
        </w:rPr>
        <w:t xml:space="preserve">health equity by increasing access to endoscopy services </w:t>
      </w:r>
      <w:r w:rsidR="00431D3A">
        <w:rPr>
          <w:rFonts w:asciiTheme="minorHAnsi" w:hAnsiTheme="minorHAnsi" w:cs="Arial"/>
          <w:kern w:val="2"/>
          <w:sz w:val="21"/>
          <w:szCs w:val="21"/>
          <w14:ligatures w14:val="standardContextual"/>
        </w:rPr>
        <w:t>to</w:t>
      </w:r>
      <w:r w:rsidRPr="00431D3A">
        <w:rPr>
          <w:rFonts w:asciiTheme="minorHAnsi" w:hAnsiTheme="minorHAnsi" w:cs="Arial"/>
          <w:kern w:val="2"/>
          <w:sz w:val="21"/>
          <w:szCs w:val="21"/>
          <w14:ligatures w14:val="standardContextual"/>
        </w:rPr>
        <w:t xml:space="preserve"> all patients</w:t>
      </w:r>
      <w:r w:rsidR="00431D3A">
        <w:rPr>
          <w:rFonts w:asciiTheme="minorHAnsi" w:hAnsiTheme="minorHAnsi" w:cs="Arial"/>
          <w:kern w:val="2"/>
          <w:sz w:val="21"/>
          <w:szCs w:val="21"/>
          <w14:ligatures w14:val="standardContextual"/>
        </w:rPr>
        <w:t>, regardless of</w:t>
      </w:r>
      <w:r w:rsidR="006867F8">
        <w:rPr>
          <w:rFonts w:asciiTheme="minorHAnsi" w:hAnsiTheme="minorHAnsi" w:cs="Arial"/>
          <w:kern w:val="2"/>
          <w:sz w:val="21"/>
          <w:szCs w:val="21"/>
          <w14:ligatures w14:val="standardContextual"/>
        </w:rPr>
        <w:t xml:space="preserve"> </w:t>
      </w:r>
      <w:r w:rsidRPr="00431D3A">
        <w:rPr>
          <w:rFonts w:asciiTheme="minorHAnsi" w:hAnsiTheme="minorHAnsi" w:cs="Arial"/>
          <w:kern w:val="2"/>
          <w:sz w:val="21"/>
          <w:szCs w:val="21"/>
          <w14:ligatures w14:val="standardContextual"/>
        </w:rPr>
        <w:t>age, race, ethnicity, gender/gender-identity, physical ability, sensory or speech limitations, or religious, spiritual and cultural beliefs, nor a patient’s ability to pay or payer source. The Hospital has implemented the following initiatives to facilitate equitable access to its services</w:t>
      </w:r>
      <w:r w:rsidR="00DD2AE7">
        <w:rPr>
          <w:rFonts w:asciiTheme="minorHAnsi" w:hAnsiTheme="minorHAnsi" w:cs="Arial"/>
          <w:kern w:val="2"/>
          <w:sz w:val="21"/>
          <w:szCs w:val="21"/>
          <w14:ligatures w14:val="standardContextual"/>
        </w:rPr>
        <w:t>.</w:t>
      </w:r>
    </w:p>
    <w:p w14:paraId="5F789EE7" w14:textId="77777777" w:rsidR="006416FF" w:rsidRPr="00431D3A" w:rsidRDefault="006416FF" w:rsidP="006867F8">
      <w:pPr>
        <w:numPr>
          <w:ilvl w:val="0"/>
          <w:numId w:val="8"/>
        </w:numPr>
        <w:suppressAutoHyphens w:val="0"/>
        <w:spacing w:after="120"/>
        <w:jc w:val="both"/>
        <w:rPr>
          <w:rFonts w:asciiTheme="minorHAnsi" w:eastAsiaTheme="minorHAnsi" w:hAnsiTheme="minorHAnsi" w:cs="Arial"/>
          <w:sz w:val="21"/>
          <w:szCs w:val="21"/>
          <w:u w:val="single"/>
        </w:rPr>
      </w:pPr>
      <w:r w:rsidRPr="00431D3A">
        <w:rPr>
          <w:rFonts w:asciiTheme="minorHAnsi" w:eastAsiaTheme="minorHAnsi" w:hAnsiTheme="minorHAnsi" w:cs="Arial"/>
          <w:sz w:val="21"/>
          <w:szCs w:val="21"/>
          <w:u w:val="single"/>
        </w:rPr>
        <w:t xml:space="preserve">Ensuring Language Accessibility </w:t>
      </w:r>
    </w:p>
    <w:p w14:paraId="3174E999" w14:textId="4ECA1B19" w:rsidR="006416FF" w:rsidRPr="00431D3A" w:rsidRDefault="006416FF" w:rsidP="006867F8">
      <w:pPr>
        <w:shd w:val="clear" w:color="auto" w:fill="FFFFFF"/>
        <w:spacing w:after="120"/>
        <w:jc w:val="both"/>
        <w:rPr>
          <w:rFonts w:asciiTheme="minorHAnsi" w:hAnsiTheme="minorHAnsi" w:cs="Arial"/>
          <w:kern w:val="2"/>
          <w:sz w:val="21"/>
          <w:szCs w:val="21"/>
          <w14:ligatures w14:val="standardContextual"/>
        </w:rPr>
      </w:pPr>
      <w:r w:rsidRPr="00431D3A">
        <w:rPr>
          <w:rFonts w:asciiTheme="minorHAnsi" w:hAnsiTheme="minorHAnsi" w:cs="Arial"/>
          <w:kern w:val="2"/>
          <w:sz w:val="21"/>
          <w:szCs w:val="21"/>
          <w14:ligatures w14:val="standardContextual"/>
        </w:rPr>
        <w:t xml:space="preserve">Ensuring healthcare providers and staff </w:t>
      </w:r>
      <w:proofErr w:type="gramStart"/>
      <w:r w:rsidRPr="00431D3A">
        <w:rPr>
          <w:rFonts w:asciiTheme="minorHAnsi" w:hAnsiTheme="minorHAnsi" w:cs="Arial"/>
          <w:kern w:val="2"/>
          <w:sz w:val="21"/>
          <w:szCs w:val="21"/>
          <w14:ligatures w14:val="standardContextual"/>
        </w:rPr>
        <w:t>have the opportunity to</w:t>
      </w:r>
      <w:proofErr w:type="gramEnd"/>
      <w:r w:rsidRPr="00431D3A">
        <w:rPr>
          <w:rFonts w:asciiTheme="minorHAnsi" w:hAnsiTheme="minorHAnsi" w:cs="Arial"/>
          <w:kern w:val="2"/>
          <w:sz w:val="21"/>
          <w:szCs w:val="21"/>
          <w14:ligatures w14:val="standardContextual"/>
        </w:rPr>
        <w:t xml:space="preserve"> establish direct relationships with all patients is essential for high</w:t>
      </w:r>
      <w:r w:rsidR="00DD2AE7">
        <w:rPr>
          <w:rFonts w:asciiTheme="minorHAnsi" w:hAnsiTheme="minorHAnsi" w:cs="Arial"/>
          <w:kern w:val="2"/>
          <w:sz w:val="21"/>
          <w:szCs w:val="21"/>
          <w14:ligatures w14:val="standardContextual"/>
        </w:rPr>
        <w:t>-</w:t>
      </w:r>
      <w:r w:rsidRPr="00431D3A">
        <w:rPr>
          <w:rFonts w:asciiTheme="minorHAnsi" w:hAnsiTheme="minorHAnsi" w:cs="Arial"/>
          <w:kern w:val="2"/>
          <w:sz w:val="21"/>
          <w:szCs w:val="21"/>
          <w14:ligatures w14:val="standardContextual"/>
        </w:rPr>
        <w:t>quality</w:t>
      </w:r>
      <w:r w:rsidR="00DD2AE7">
        <w:rPr>
          <w:rFonts w:asciiTheme="minorHAnsi" w:hAnsiTheme="minorHAnsi" w:cs="Arial"/>
          <w:kern w:val="2"/>
          <w:sz w:val="21"/>
          <w:szCs w:val="21"/>
          <w14:ligatures w14:val="standardContextual"/>
        </w:rPr>
        <w:t>, equitable</w:t>
      </w:r>
      <w:r w:rsidRPr="00431D3A">
        <w:rPr>
          <w:rFonts w:asciiTheme="minorHAnsi" w:hAnsiTheme="minorHAnsi" w:cs="Arial"/>
          <w:kern w:val="2"/>
          <w:sz w:val="21"/>
          <w:szCs w:val="21"/>
          <w14:ligatures w14:val="standardContextual"/>
        </w:rPr>
        <w:t xml:space="preserve"> care. Accordingly, the Hospital offers language services across various modes of patient interaction, including in-person, remote video, and telephonically, at no cost to patients to allow meaningful and accurate communication between staff and patients. Interpreter services are available for more than 100 languages, including American Sign Language, and can be used 24 hours a day 7 days a week. Trained medical interpreters act as a conduit to facilitate communication between patients, families, staff, and healthcare providers, informing patients and families about procedures, medications, social services, financial topics, and other important information.</w:t>
      </w:r>
    </w:p>
    <w:p w14:paraId="6D3258B6" w14:textId="7139F5C5" w:rsidR="006416FF" w:rsidRPr="00431D3A" w:rsidRDefault="006416FF" w:rsidP="006867F8">
      <w:pPr>
        <w:shd w:val="clear" w:color="auto" w:fill="FFFFFF"/>
        <w:spacing w:after="120"/>
        <w:jc w:val="both"/>
        <w:rPr>
          <w:rFonts w:asciiTheme="minorHAnsi" w:hAnsiTheme="minorHAnsi" w:cs="Arial"/>
          <w:kern w:val="2"/>
          <w:sz w:val="21"/>
          <w:szCs w:val="21"/>
          <w14:ligatures w14:val="standardContextual"/>
        </w:rPr>
      </w:pPr>
      <w:r w:rsidRPr="00E51440">
        <w:rPr>
          <w:rFonts w:asciiTheme="minorHAnsi" w:hAnsiTheme="minorHAnsi" w:cs="Arial"/>
          <w:kern w:val="2"/>
          <w:sz w:val="21"/>
          <w:szCs w:val="21"/>
          <w14:ligatures w14:val="standardContextual"/>
        </w:rPr>
        <w:t xml:space="preserve">As </w:t>
      </w:r>
      <w:r w:rsidR="00FF48CF" w:rsidRPr="00E51440">
        <w:rPr>
          <w:rFonts w:asciiTheme="minorHAnsi" w:hAnsiTheme="minorHAnsi" w:cs="Arial"/>
          <w:kern w:val="2"/>
          <w:sz w:val="21"/>
          <w:szCs w:val="21"/>
          <w14:ligatures w14:val="standardContextual"/>
        </w:rPr>
        <w:t>its patient population</w:t>
      </w:r>
      <w:r w:rsidRPr="00E51440">
        <w:rPr>
          <w:rFonts w:asciiTheme="minorHAnsi" w:hAnsiTheme="minorHAnsi" w:cs="Arial"/>
          <w:kern w:val="2"/>
          <w:sz w:val="21"/>
          <w:szCs w:val="21"/>
          <w14:ligatures w14:val="standardContextual"/>
        </w:rPr>
        <w:t xml:space="preserve"> grows in both size and diversity, the Hospital's Interpreter Services Department has expanded to meet its patients’ needs. </w:t>
      </w:r>
      <w:r w:rsidR="00E51440" w:rsidRPr="00E51440">
        <w:rPr>
          <w:rFonts w:asciiTheme="minorHAnsi" w:hAnsiTheme="minorHAnsi" w:cs="Arial"/>
          <w:kern w:val="2"/>
          <w:sz w:val="21"/>
          <w:szCs w:val="21"/>
          <w14:ligatures w14:val="standardContextual"/>
        </w:rPr>
        <w:t>In FY2</w:t>
      </w:r>
      <w:r w:rsidR="006B34CB">
        <w:rPr>
          <w:rFonts w:asciiTheme="minorHAnsi" w:hAnsiTheme="minorHAnsi" w:cs="Arial"/>
          <w:kern w:val="2"/>
          <w:sz w:val="21"/>
          <w:szCs w:val="21"/>
          <w14:ligatures w14:val="standardContextual"/>
        </w:rPr>
        <w:t>3</w:t>
      </w:r>
      <w:r w:rsidR="00E51440" w:rsidRPr="00E51440">
        <w:rPr>
          <w:rFonts w:asciiTheme="minorHAnsi" w:hAnsiTheme="minorHAnsi" w:cs="Arial"/>
          <w:kern w:val="2"/>
          <w:sz w:val="21"/>
          <w:szCs w:val="21"/>
          <w14:ligatures w14:val="standardContextual"/>
        </w:rPr>
        <w:t>, t</w:t>
      </w:r>
      <w:r w:rsidRPr="00E51440">
        <w:rPr>
          <w:rFonts w:asciiTheme="minorHAnsi" w:hAnsiTheme="minorHAnsi" w:cs="Arial"/>
          <w:kern w:val="2"/>
          <w:sz w:val="21"/>
          <w:szCs w:val="21"/>
          <w14:ligatures w14:val="standardContextual"/>
        </w:rPr>
        <w:t xml:space="preserve">he number of requested and completed language services encounters </w:t>
      </w:r>
      <w:r w:rsidR="006B34CB">
        <w:rPr>
          <w:rFonts w:asciiTheme="minorHAnsi" w:hAnsiTheme="minorHAnsi" w:cs="Arial"/>
          <w:kern w:val="2"/>
          <w:sz w:val="21"/>
          <w:szCs w:val="21"/>
          <w14:ligatures w14:val="standardContextual"/>
        </w:rPr>
        <w:t>was</w:t>
      </w:r>
      <w:r w:rsidRPr="00E51440">
        <w:rPr>
          <w:rFonts w:asciiTheme="minorHAnsi" w:hAnsiTheme="minorHAnsi" w:cs="Arial"/>
          <w:kern w:val="2"/>
          <w:sz w:val="21"/>
          <w:szCs w:val="21"/>
          <w14:ligatures w14:val="standardContextual"/>
        </w:rPr>
        <w:t xml:space="preserve"> </w:t>
      </w:r>
      <w:r w:rsidR="006B34CB">
        <w:rPr>
          <w:rFonts w:asciiTheme="minorHAnsi" w:hAnsiTheme="minorHAnsi" w:cs="Arial"/>
          <w:kern w:val="2"/>
          <w:sz w:val="21"/>
          <w:szCs w:val="21"/>
          <w14:ligatures w14:val="standardContextual"/>
        </w:rPr>
        <w:t>7,109</w:t>
      </w:r>
      <w:r w:rsidRPr="00E51440">
        <w:rPr>
          <w:rFonts w:asciiTheme="minorHAnsi" w:hAnsiTheme="minorHAnsi" w:cs="Arial"/>
          <w:kern w:val="2"/>
          <w:sz w:val="21"/>
          <w:szCs w:val="21"/>
          <w14:ligatures w14:val="standardContextual"/>
        </w:rPr>
        <w:t xml:space="preserve">. The </w:t>
      </w:r>
      <w:r w:rsidR="00FF48CF" w:rsidRPr="00E51440">
        <w:rPr>
          <w:rFonts w:asciiTheme="minorHAnsi" w:hAnsiTheme="minorHAnsi" w:cs="Arial"/>
          <w:kern w:val="2"/>
          <w:sz w:val="21"/>
          <w:szCs w:val="21"/>
          <w14:ligatures w14:val="standardContextual"/>
        </w:rPr>
        <w:t>Hospital</w:t>
      </w:r>
      <w:r w:rsidRPr="00E51440">
        <w:rPr>
          <w:rFonts w:asciiTheme="minorHAnsi" w:hAnsiTheme="minorHAnsi" w:cs="Arial"/>
          <w:kern w:val="2"/>
          <w:sz w:val="21"/>
          <w:szCs w:val="21"/>
          <w14:ligatures w14:val="standardContextual"/>
        </w:rPr>
        <w:t xml:space="preserve"> </w:t>
      </w:r>
      <w:r w:rsidR="00FF48CF" w:rsidRPr="00E51440">
        <w:rPr>
          <w:rFonts w:asciiTheme="minorHAnsi" w:hAnsiTheme="minorHAnsi" w:cs="Arial"/>
          <w:kern w:val="2"/>
          <w:sz w:val="21"/>
          <w:szCs w:val="21"/>
          <w14:ligatures w14:val="standardContextual"/>
        </w:rPr>
        <w:t>provides in-person and</w:t>
      </w:r>
      <w:r w:rsidRPr="00E51440">
        <w:rPr>
          <w:rFonts w:asciiTheme="minorHAnsi" w:hAnsiTheme="minorHAnsi" w:cs="Arial"/>
          <w:kern w:val="2"/>
          <w:sz w:val="21"/>
          <w:szCs w:val="21"/>
          <w14:ligatures w14:val="standardContextual"/>
        </w:rPr>
        <w:t xml:space="preserve"> video remote interpreting (VRI)</w:t>
      </w:r>
      <w:r w:rsidR="00FF48CF" w:rsidRPr="00E51440">
        <w:rPr>
          <w:rFonts w:asciiTheme="minorHAnsi" w:hAnsiTheme="minorHAnsi" w:cs="Arial"/>
          <w:kern w:val="2"/>
          <w:sz w:val="21"/>
          <w:szCs w:val="21"/>
          <w14:ligatures w14:val="standardContextual"/>
        </w:rPr>
        <w:t xml:space="preserve"> to all patients </w:t>
      </w:r>
      <w:proofErr w:type="gramStart"/>
      <w:r w:rsidR="00FF48CF" w:rsidRPr="00E51440">
        <w:rPr>
          <w:rFonts w:asciiTheme="minorHAnsi" w:hAnsiTheme="minorHAnsi" w:cs="Arial"/>
          <w:kern w:val="2"/>
          <w:sz w:val="21"/>
          <w:szCs w:val="21"/>
          <w14:ligatures w14:val="standardContextual"/>
        </w:rPr>
        <w:t>in order to</w:t>
      </w:r>
      <w:proofErr w:type="gramEnd"/>
      <w:r w:rsidR="00FF48CF" w:rsidRPr="00E51440">
        <w:rPr>
          <w:rFonts w:asciiTheme="minorHAnsi" w:hAnsiTheme="minorHAnsi" w:cs="Arial"/>
          <w:kern w:val="2"/>
          <w:sz w:val="21"/>
          <w:szCs w:val="21"/>
          <w14:ligatures w14:val="standardContextual"/>
        </w:rPr>
        <w:t xml:space="preserve"> ensure communication is available in the patient’s preferred language by a qualified medical translator. </w:t>
      </w:r>
      <w:r w:rsidRPr="00E51440">
        <w:rPr>
          <w:rFonts w:asciiTheme="minorHAnsi" w:hAnsiTheme="minorHAnsi" w:cs="Arial"/>
          <w:kern w:val="2"/>
          <w:sz w:val="21"/>
          <w:szCs w:val="21"/>
          <w14:ligatures w14:val="standardContextual"/>
        </w:rPr>
        <w:t xml:space="preserve">The </w:t>
      </w:r>
      <w:r w:rsidR="00FA05B4" w:rsidRPr="00E51440">
        <w:rPr>
          <w:rFonts w:asciiTheme="minorHAnsi" w:hAnsiTheme="minorHAnsi" w:cs="Arial"/>
          <w:kern w:val="2"/>
          <w:sz w:val="21"/>
          <w:szCs w:val="21"/>
          <w14:ligatures w14:val="standardContextual"/>
        </w:rPr>
        <w:t>Hospital</w:t>
      </w:r>
      <w:r w:rsidRPr="00E51440">
        <w:rPr>
          <w:rFonts w:asciiTheme="minorHAnsi" w:hAnsiTheme="minorHAnsi" w:cs="Arial"/>
          <w:kern w:val="2"/>
          <w:sz w:val="21"/>
          <w:szCs w:val="21"/>
          <w14:ligatures w14:val="standardContextual"/>
        </w:rPr>
        <w:t xml:space="preserve"> also </w:t>
      </w:r>
      <w:r w:rsidR="00DD2AE7" w:rsidRPr="00E51440">
        <w:rPr>
          <w:rFonts w:asciiTheme="minorHAnsi" w:hAnsiTheme="minorHAnsi" w:cs="Arial"/>
          <w:kern w:val="2"/>
          <w:sz w:val="21"/>
          <w:szCs w:val="21"/>
          <w14:ligatures w14:val="standardContextual"/>
        </w:rPr>
        <w:t xml:space="preserve">is </w:t>
      </w:r>
      <w:r w:rsidRPr="00E51440">
        <w:rPr>
          <w:rFonts w:asciiTheme="minorHAnsi" w:hAnsiTheme="minorHAnsi" w:cs="Arial"/>
          <w:kern w:val="2"/>
          <w:sz w:val="21"/>
          <w:szCs w:val="21"/>
          <w14:ligatures w14:val="standardContextual"/>
        </w:rPr>
        <w:t xml:space="preserve">contracted with </w:t>
      </w:r>
      <w:r w:rsidR="00B57913" w:rsidRPr="00E51440">
        <w:rPr>
          <w:rFonts w:asciiTheme="minorHAnsi" w:hAnsiTheme="minorHAnsi" w:cs="Arial"/>
          <w:kern w:val="2"/>
          <w:sz w:val="21"/>
          <w:szCs w:val="21"/>
          <w14:ligatures w14:val="standardContextual"/>
        </w:rPr>
        <w:t>several</w:t>
      </w:r>
      <w:r w:rsidRPr="00E51440">
        <w:rPr>
          <w:rFonts w:asciiTheme="minorHAnsi" w:hAnsiTheme="minorHAnsi" w:cs="Arial"/>
          <w:kern w:val="2"/>
          <w:sz w:val="21"/>
          <w:szCs w:val="21"/>
          <w14:ligatures w14:val="standardContextual"/>
        </w:rPr>
        <w:t xml:space="preserve"> vendors to meet language </w:t>
      </w:r>
      <w:r w:rsidR="00FF48CF" w:rsidRPr="00E51440">
        <w:rPr>
          <w:rFonts w:asciiTheme="minorHAnsi" w:hAnsiTheme="minorHAnsi" w:cs="Arial"/>
          <w:kern w:val="2"/>
          <w:sz w:val="21"/>
          <w:szCs w:val="21"/>
          <w14:ligatures w14:val="standardContextual"/>
        </w:rPr>
        <w:t>needs 24/7</w:t>
      </w:r>
      <w:r w:rsidR="00B57913" w:rsidRPr="00E51440">
        <w:rPr>
          <w:rFonts w:asciiTheme="minorHAnsi" w:hAnsiTheme="minorHAnsi" w:cs="Arial"/>
          <w:kern w:val="2"/>
          <w:sz w:val="21"/>
          <w:szCs w:val="21"/>
          <w14:ligatures w14:val="standardContextual"/>
        </w:rPr>
        <w:t xml:space="preserve"> including </w:t>
      </w:r>
      <w:r w:rsidRPr="00E51440">
        <w:rPr>
          <w:rFonts w:asciiTheme="minorHAnsi" w:hAnsiTheme="minorHAnsi" w:cs="Arial"/>
          <w:kern w:val="2"/>
          <w:sz w:val="21"/>
          <w:szCs w:val="21"/>
          <w14:ligatures w14:val="standardContextual"/>
        </w:rPr>
        <w:t>VRI</w:t>
      </w:r>
      <w:r w:rsidR="00B57913" w:rsidRPr="00E51440">
        <w:rPr>
          <w:rFonts w:asciiTheme="minorHAnsi" w:hAnsiTheme="minorHAnsi" w:cs="Arial"/>
          <w:kern w:val="2"/>
          <w:sz w:val="21"/>
          <w:szCs w:val="21"/>
          <w14:ligatures w14:val="standardContextual"/>
        </w:rPr>
        <w:t xml:space="preserve">, </w:t>
      </w:r>
      <w:r w:rsidRPr="00E51440">
        <w:rPr>
          <w:rFonts w:asciiTheme="minorHAnsi" w:hAnsiTheme="minorHAnsi" w:cs="Arial"/>
          <w:kern w:val="2"/>
          <w:sz w:val="21"/>
          <w:szCs w:val="21"/>
          <w14:ligatures w14:val="standardContextual"/>
        </w:rPr>
        <w:t xml:space="preserve">over </w:t>
      </w:r>
      <w:proofErr w:type="gramStart"/>
      <w:r w:rsidRPr="00E51440">
        <w:rPr>
          <w:rFonts w:asciiTheme="minorHAnsi" w:hAnsiTheme="minorHAnsi" w:cs="Arial"/>
          <w:kern w:val="2"/>
          <w:sz w:val="21"/>
          <w:szCs w:val="21"/>
          <w14:ligatures w14:val="standardContextual"/>
        </w:rPr>
        <w:t>the phone</w:t>
      </w:r>
      <w:proofErr w:type="gramEnd"/>
      <w:r w:rsidRPr="00E51440">
        <w:rPr>
          <w:rFonts w:asciiTheme="minorHAnsi" w:hAnsiTheme="minorHAnsi" w:cs="Arial"/>
          <w:kern w:val="2"/>
          <w:sz w:val="21"/>
          <w:szCs w:val="21"/>
          <w14:ligatures w14:val="standardContextual"/>
        </w:rPr>
        <w:t xml:space="preserve"> language services</w:t>
      </w:r>
      <w:r w:rsidR="00B57913" w:rsidRPr="00E51440">
        <w:rPr>
          <w:rFonts w:asciiTheme="minorHAnsi" w:hAnsiTheme="minorHAnsi" w:cs="Arial"/>
          <w:kern w:val="2"/>
          <w:sz w:val="21"/>
          <w:szCs w:val="21"/>
          <w14:ligatures w14:val="standardContextual"/>
        </w:rPr>
        <w:t>,</w:t>
      </w:r>
      <w:r w:rsidRPr="00E51440">
        <w:rPr>
          <w:rFonts w:asciiTheme="minorHAnsi" w:hAnsiTheme="minorHAnsi" w:cs="Arial"/>
          <w:kern w:val="2"/>
          <w:sz w:val="21"/>
          <w:szCs w:val="21"/>
          <w14:ligatures w14:val="standardContextual"/>
        </w:rPr>
        <w:t xml:space="preserve"> and in person/on-site interpreters. In addition, assistive listening devices, such as </w:t>
      </w:r>
      <w:proofErr w:type="spellStart"/>
      <w:r w:rsidRPr="00E51440">
        <w:rPr>
          <w:rFonts w:asciiTheme="minorHAnsi" w:hAnsiTheme="minorHAnsi" w:cs="Arial"/>
          <w:kern w:val="2"/>
          <w:sz w:val="21"/>
          <w:szCs w:val="21"/>
          <w14:ligatures w14:val="standardContextual"/>
        </w:rPr>
        <w:t>PocketTalkers</w:t>
      </w:r>
      <w:proofErr w:type="spellEnd"/>
      <w:r w:rsidRPr="00E51440">
        <w:rPr>
          <w:rFonts w:asciiTheme="minorHAnsi" w:hAnsiTheme="minorHAnsi" w:cs="Arial"/>
          <w:kern w:val="2"/>
          <w:sz w:val="21"/>
          <w:szCs w:val="21"/>
          <w14:ligatures w14:val="standardContextual"/>
        </w:rPr>
        <w:t xml:space="preserve"> and telephone volume amplifiers, are available to assist deaf and hard of hearing patients and family members.</w:t>
      </w:r>
    </w:p>
    <w:p w14:paraId="3F823EEB" w14:textId="77777777" w:rsidR="006416FF" w:rsidRPr="00431D3A" w:rsidRDefault="006416FF" w:rsidP="006867F8">
      <w:pPr>
        <w:numPr>
          <w:ilvl w:val="0"/>
          <w:numId w:val="8"/>
        </w:numPr>
        <w:shd w:val="clear" w:color="auto" w:fill="FFFFFF"/>
        <w:suppressAutoHyphens w:val="0"/>
        <w:spacing w:after="120"/>
        <w:rPr>
          <w:rFonts w:asciiTheme="minorHAnsi" w:hAnsiTheme="minorHAnsi" w:cs="Arial"/>
          <w:kern w:val="2"/>
          <w:sz w:val="21"/>
          <w:szCs w:val="21"/>
          <w:u w:val="single"/>
          <w14:ligatures w14:val="standardContextual"/>
        </w:rPr>
      </w:pPr>
      <w:r w:rsidRPr="00431D3A">
        <w:rPr>
          <w:rFonts w:asciiTheme="minorHAnsi" w:hAnsiTheme="minorHAnsi" w:cs="Arial"/>
          <w:kern w:val="2"/>
          <w:sz w:val="21"/>
          <w:szCs w:val="21"/>
          <w:u w:val="single"/>
          <w14:ligatures w14:val="standardContextual"/>
        </w:rPr>
        <w:t>Social Determinants of Health</w:t>
      </w:r>
    </w:p>
    <w:p w14:paraId="02B4A081" w14:textId="48356B4E" w:rsidR="006416FF" w:rsidRPr="00431D3A" w:rsidRDefault="006416FF" w:rsidP="006867F8">
      <w:pPr>
        <w:shd w:val="clear" w:color="auto" w:fill="FFFFFF"/>
        <w:spacing w:after="120"/>
        <w:jc w:val="both"/>
        <w:rPr>
          <w:rFonts w:asciiTheme="minorHAnsi" w:hAnsiTheme="minorHAnsi" w:cs="Arial"/>
          <w:kern w:val="2"/>
          <w:sz w:val="21"/>
          <w:szCs w:val="21"/>
          <w14:ligatures w14:val="standardContextual"/>
        </w:rPr>
      </w:pPr>
      <w:r w:rsidRPr="00431D3A">
        <w:rPr>
          <w:rFonts w:asciiTheme="minorHAnsi" w:hAnsiTheme="minorHAnsi" w:cs="Arial"/>
          <w:kern w:val="2"/>
          <w:sz w:val="21"/>
          <w:szCs w:val="21"/>
          <w14:ligatures w14:val="standardContextual"/>
        </w:rPr>
        <w:t xml:space="preserve">The Hospital actively promotes health equity by addressing social determinants of health that impact patient care. During the initial consultation, nursing staff screen all patients to assess their living situation, smoking status, substance use, available support systems, and any transportation challenges. Mental </w:t>
      </w:r>
      <w:r w:rsidRPr="00431D3A">
        <w:rPr>
          <w:rFonts w:asciiTheme="minorHAnsi" w:hAnsiTheme="minorHAnsi" w:cs="Arial"/>
          <w:kern w:val="2"/>
          <w:sz w:val="21"/>
          <w:szCs w:val="21"/>
          <w14:ligatures w14:val="standardContextual"/>
        </w:rPr>
        <w:lastRenderedPageBreak/>
        <w:t>health concerns are also evaluated during this visit. Based on these findings, referrals to social work or other appropriate services are made as needed</w:t>
      </w:r>
      <w:r w:rsidR="000F7694" w:rsidRPr="00431D3A">
        <w:rPr>
          <w:rFonts w:asciiTheme="minorHAnsi" w:hAnsiTheme="minorHAnsi" w:cs="Arial"/>
          <w:kern w:val="2"/>
          <w:sz w:val="21"/>
          <w:szCs w:val="21"/>
          <w14:ligatures w14:val="standardContextual"/>
        </w:rPr>
        <w:t xml:space="preserve"> via the BILH Find Help platform</w:t>
      </w:r>
      <w:r w:rsidRPr="00431D3A">
        <w:rPr>
          <w:rFonts w:asciiTheme="minorHAnsi" w:hAnsiTheme="minorHAnsi" w:cs="Arial"/>
          <w:kern w:val="2"/>
          <w:sz w:val="21"/>
          <w:szCs w:val="21"/>
          <w14:ligatures w14:val="standardContextual"/>
        </w:rPr>
        <w:t>.</w:t>
      </w:r>
    </w:p>
    <w:p w14:paraId="667E3440" w14:textId="77777777" w:rsidR="006416FF" w:rsidRPr="00431D3A" w:rsidRDefault="006416FF" w:rsidP="006867F8">
      <w:pPr>
        <w:shd w:val="clear" w:color="auto" w:fill="FFFFFF"/>
        <w:spacing w:after="120"/>
        <w:jc w:val="both"/>
        <w:rPr>
          <w:rFonts w:asciiTheme="minorHAnsi" w:hAnsiTheme="minorHAnsi" w:cs="Arial"/>
          <w:kern w:val="2"/>
          <w:sz w:val="21"/>
          <w:szCs w:val="21"/>
          <w14:ligatures w14:val="standardContextual"/>
        </w:rPr>
      </w:pPr>
      <w:r w:rsidRPr="00431D3A">
        <w:rPr>
          <w:rFonts w:asciiTheme="minorHAnsi" w:hAnsiTheme="minorHAnsi" w:cs="Arial"/>
          <w:kern w:val="2"/>
          <w:sz w:val="21"/>
          <w:szCs w:val="21"/>
          <w14:ligatures w14:val="standardContextual"/>
        </w:rPr>
        <w:t>Following these assessments, the Hospital coordinates necessary interventions. Social work referrals may help connect patients with resources such as financial counseling, community mental health services, transportation assistance programs, and physical therapy for eligible patients.</w:t>
      </w:r>
    </w:p>
    <w:p w14:paraId="3C4F4FCD" w14:textId="1CF2C7A0" w:rsidR="006416FF" w:rsidRPr="00431D3A" w:rsidRDefault="000F7694" w:rsidP="006867F8">
      <w:pPr>
        <w:numPr>
          <w:ilvl w:val="0"/>
          <w:numId w:val="8"/>
        </w:numPr>
        <w:shd w:val="clear" w:color="auto" w:fill="FFFFFF"/>
        <w:suppressAutoHyphens w:val="0"/>
        <w:spacing w:after="120"/>
        <w:rPr>
          <w:rFonts w:asciiTheme="minorHAnsi" w:hAnsiTheme="minorHAnsi" w:cs="Arial"/>
          <w:kern w:val="2"/>
          <w:sz w:val="21"/>
          <w:szCs w:val="21"/>
          <w:u w:val="single"/>
          <w14:ligatures w14:val="standardContextual"/>
        </w:rPr>
      </w:pPr>
      <w:r w:rsidRPr="00431D3A">
        <w:rPr>
          <w:rFonts w:asciiTheme="minorHAnsi" w:hAnsiTheme="minorHAnsi" w:cs="Arial"/>
          <w:kern w:val="2"/>
          <w:sz w:val="21"/>
          <w:szCs w:val="21"/>
          <w:u w:val="single"/>
          <w14:ligatures w14:val="standardContextual"/>
        </w:rPr>
        <w:t>RELD/SOGI</w:t>
      </w:r>
      <w:r w:rsidR="006416FF" w:rsidRPr="00431D3A">
        <w:rPr>
          <w:rFonts w:asciiTheme="minorHAnsi" w:hAnsiTheme="minorHAnsi" w:cs="Arial"/>
          <w:kern w:val="2"/>
          <w:sz w:val="21"/>
          <w:szCs w:val="21"/>
          <w:u w:val="single"/>
          <w14:ligatures w14:val="standardContextual"/>
        </w:rPr>
        <w:t xml:space="preserve"> Data Collection </w:t>
      </w:r>
    </w:p>
    <w:p w14:paraId="4A44FED4" w14:textId="2B56FCE0" w:rsidR="006416FF" w:rsidRPr="00431D3A" w:rsidRDefault="006416FF" w:rsidP="006867F8">
      <w:pPr>
        <w:suppressAutoHyphens w:val="0"/>
        <w:autoSpaceDE w:val="0"/>
        <w:autoSpaceDN w:val="0"/>
        <w:spacing w:after="120"/>
        <w:jc w:val="both"/>
        <w:rPr>
          <w:rFonts w:asciiTheme="minorHAnsi" w:eastAsia="Arial" w:hAnsiTheme="minorHAnsi" w:cs="Arial"/>
          <w:bCs/>
          <w:kern w:val="2"/>
          <w:sz w:val="21"/>
          <w:szCs w:val="21"/>
        </w:rPr>
      </w:pPr>
      <w:r w:rsidRPr="00431D3A">
        <w:rPr>
          <w:rFonts w:asciiTheme="minorHAnsi" w:eastAsia="Arial" w:hAnsiTheme="minorHAnsi" w:cs="Arial"/>
          <w:bCs/>
          <w:kern w:val="2"/>
          <w:sz w:val="21"/>
          <w:szCs w:val="21"/>
        </w:rPr>
        <w:t xml:space="preserve">BILH has implemented an initiative aimed at systematically collecting more comprehensive and accurate demographic information from patients, supporting the organization’s commitment to fostering a culture of diversity, equity, and inclusion. Gathering detailed information on patient demographics, including </w:t>
      </w:r>
      <w:r w:rsidR="000F7694" w:rsidRPr="00431D3A">
        <w:rPr>
          <w:rFonts w:asciiTheme="minorHAnsi" w:eastAsia="Arial" w:hAnsiTheme="minorHAnsi" w:cs="Arial"/>
          <w:bCs/>
          <w:kern w:val="2"/>
          <w:sz w:val="21"/>
          <w:szCs w:val="21"/>
        </w:rPr>
        <w:t>race, ethnicity, language, disability, sexual orientation, and gender identity (“RELD/SOGI”)</w:t>
      </w:r>
      <w:r w:rsidRPr="00431D3A">
        <w:rPr>
          <w:rFonts w:asciiTheme="minorHAnsi" w:eastAsia="Arial" w:hAnsiTheme="minorHAnsi" w:cs="Arial"/>
          <w:bCs/>
          <w:kern w:val="2"/>
          <w:sz w:val="21"/>
          <w:szCs w:val="21"/>
        </w:rPr>
        <w:t xml:space="preserve"> is essential for identifying and addressing health disparities within the community.</w:t>
      </w:r>
      <w:r w:rsidR="000F7694" w:rsidRPr="00431D3A">
        <w:rPr>
          <w:rFonts w:asciiTheme="minorHAnsi" w:eastAsia="Arial" w:hAnsiTheme="minorHAnsi" w:cs="Arial"/>
          <w:bCs/>
          <w:kern w:val="2"/>
          <w:sz w:val="21"/>
          <w:szCs w:val="21"/>
        </w:rPr>
        <w:t xml:space="preserve"> To achieve this, BILH collects RELD/SOGI data during patient registration and via MyChart self-reporting. This allows BILH to identify and monitor any disparities in health outcomes.</w:t>
      </w:r>
    </w:p>
    <w:p w14:paraId="53F0EDEC" w14:textId="552B8DE3" w:rsidR="006416FF" w:rsidRPr="00431D3A" w:rsidRDefault="006416FF" w:rsidP="006867F8">
      <w:pPr>
        <w:suppressAutoHyphens w:val="0"/>
        <w:autoSpaceDE w:val="0"/>
        <w:autoSpaceDN w:val="0"/>
        <w:spacing w:after="120"/>
        <w:jc w:val="both"/>
        <w:rPr>
          <w:rFonts w:asciiTheme="minorHAnsi" w:eastAsia="Arial" w:hAnsiTheme="minorHAnsi" w:cs="Arial"/>
          <w:bCs/>
          <w:kern w:val="2"/>
          <w:sz w:val="21"/>
          <w:szCs w:val="21"/>
        </w:rPr>
      </w:pPr>
      <w:r w:rsidRPr="00431D3A">
        <w:rPr>
          <w:rFonts w:asciiTheme="minorHAnsi" w:eastAsia="Arial" w:hAnsiTheme="minorHAnsi" w:cs="Arial"/>
          <w:bCs/>
          <w:kern w:val="2"/>
          <w:sz w:val="21"/>
          <w:szCs w:val="21"/>
        </w:rPr>
        <w:t xml:space="preserve">BILH assembled a multidisciplinary team with members from across the System, including representatives from patient access services, information services, nursing, social work, community benefits, and community relations. In collaboration with patient representatives, this team developed a standardized set of demographic data elements and established best practices and processes to ensure consistent and reliable data collection within the </w:t>
      </w:r>
      <w:r w:rsidR="007A0F7C">
        <w:rPr>
          <w:rFonts w:asciiTheme="minorHAnsi" w:eastAsia="Arial" w:hAnsiTheme="minorHAnsi" w:cs="Arial"/>
          <w:bCs/>
          <w:kern w:val="2"/>
          <w:sz w:val="21"/>
          <w:szCs w:val="21"/>
        </w:rPr>
        <w:t>electronic medical record</w:t>
      </w:r>
      <w:r w:rsidRPr="00431D3A">
        <w:rPr>
          <w:rFonts w:asciiTheme="minorHAnsi" w:eastAsia="Arial" w:hAnsiTheme="minorHAnsi" w:cs="Arial"/>
          <w:bCs/>
          <w:kern w:val="2"/>
          <w:sz w:val="21"/>
          <w:szCs w:val="21"/>
        </w:rPr>
        <w:t xml:space="preserve"> system.</w:t>
      </w:r>
      <w:r w:rsidR="000F7694" w:rsidRPr="00431D3A">
        <w:rPr>
          <w:rFonts w:asciiTheme="minorHAnsi" w:eastAsia="Arial" w:hAnsiTheme="minorHAnsi" w:cs="Arial"/>
          <w:bCs/>
          <w:kern w:val="2"/>
          <w:sz w:val="21"/>
          <w:szCs w:val="21"/>
        </w:rPr>
        <w:t xml:space="preserve"> Staff also receive ongoing training on health equity, disability, interpreter services, and social determinants of health through department meetings and online learning modules.</w:t>
      </w:r>
    </w:p>
    <w:p w14:paraId="3C9AF898" w14:textId="77777777" w:rsidR="006416FF" w:rsidRPr="00431D3A" w:rsidRDefault="006416FF" w:rsidP="007A7E90">
      <w:pPr>
        <w:pStyle w:val="Heading2"/>
      </w:pPr>
      <w:r w:rsidRPr="00431D3A">
        <w:t>F1.</w:t>
      </w:r>
      <w:proofErr w:type="gramStart"/>
      <w:r w:rsidRPr="00431D3A">
        <w:t>b.iv</w:t>
      </w:r>
      <w:proofErr w:type="gramEnd"/>
      <w:r w:rsidRPr="00431D3A">
        <w:tab/>
        <w:t>Provide additional information to demonstrate that the Proposed Project will result in improved health outcomes and quality of life of the Applicant's existing Patient Panel, while providing reasonable assurances of health equity.</w:t>
      </w:r>
    </w:p>
    <w:p w14:paraId="46F90E24" w14:textId="4A0EC9E8" w:rsidR="006416FF" w:rsidRPr="00431D3A" w:rsidRDefault="006416FF" w:rsidP="006867F8">
      <w:pPr>
        <w:widowControl w:val="0"/>
        <w:suppressAutoHyphens w:val="0"/>
        <w:autoSpaceDE w:val="0"/>
        <w:autoSpaceDN w:val="0"/>
        <w:spacing w:after="120"/>
        <w:jc w:val="both"/>
        <w:rPr>
          <w:rFonts w:asciiTheme="minorHAnsi" w:eastAsia="Arial" w:hAnsiTheme="minorHAnsi" w:cs="Arial"/>
          <w:sz w:val="21"/>
          <w:szCs w:val="21"/>
        </w:rPr>
      </w:pPr>
      <w:r w:rsidRPr="00431D3A">
        <w:rPr>
          <w:rFonts w:asciiTheme="minorHAnsi" w:eastAsia="Arial" w:hAnsiTheme="minorHAnsi" w:cs="Arial"/>
          <w:sz w:val="21"/>
          <w:szCs w:val="21"/>
        </w:rPr>
        <w:t xml:space="preserve">The Proposed Project will enhance health outcomes and quality of life for the Applicant’s Patient Panel by ensuring timely access to both routine and diagnostic endoscopy services </w:t>
      </w:r>
      <w:r w:rsidR="00FF48CF">
        <w:rPr>
          <w:rFonts w:asciiTheme="minorHAnsi" w:eastAsia="Arial" w:hAnsiTheme="minorHAnsi" w:cs="Arial"/>
          <w:sz w:val="21"/>
          <w:szCs w:val="21"/>
        </w:rPr>
        <w:t>in the region</w:t>
      </w:r>
      <w:r w:rsidRPr="00431D3A">
        <w:rPr>
          <w:rFonts w:asciiTheme="minorHAnsi" w:eastAsia="Arial" w:hAnsiTheme="minorHAnsi" w:cs="Arial"/>
          <w:sz w:val="21"/>
          <w:szCs w:val="21"/>
        </w:rPr>
        <w:t xml:space="preserve">. Expanding </w:t>
      </w:r>
      <w:r w:rsidR="00FF48CF">
        <w:rPr>
          <w:rFonts w:asciiTheme="minorHAnsi" w:eastAsia="Arial" w:hAnsiTheme="minorHAnsi" w:cs="Arial"/>
          <w:sz w:val="21"/>
          <w:szCs w:val="21"/>
        </w:rPr>
        <w:t xml:space="preserve">capacity at </w:t>
      </w:r>
      <w:r w:rsidRPr="00431D3A">
        <w:rPr>
          <w:rFonts w:asciiTheme="minorHAnsi" w:eastAsia="Arial" w:hAnsiTheme="minorHAnsi" w:cs="Arial"/>
          <w:sz w:val="21"/>
          <w:szCs w:val="21"/>
        </w:rPr>
        <w:t xml:space="preserve">the </w:t>
      </w:r>
      <w:r w:rsidR="00FF48CF">
        <w:rPr>
          <w:rFonts w:asciiTheme="minorHAnsi" w:eastAsia="Arial" w:hAnsiTheme="minorHAnsi" w:cs="Arial"/>
          <w:sz w:val="21"/>
          <w:szCs w:val="21"/>
        </w:rPr>
        <w:t>Endoscopy Center</w:t>
      </w:r>
      <w:r w:rsidRPr="00431D3A">
        <w:rPr>
          <w:rFonts w:asciiTheme="minorHAnsi" w:eastAsia="Arial" w:hAnsiTheme="minorHAnsi" w:cs="Arial"/>
          <w:sz w:val="21"/>
          <w:szCs w:val="21"/>
        </w:rPr>
        <w:t xml:space="preserve"> will play a critical role in improving prompt access to endoscopy services, encouraging greater adherence to recommended screenings and allowing patients to be diagnosed sooner. Patients </w:t>
      </w:r>
      <w:r w:rsidR="00FF48CF">
        <w:rPr>
          <w:rFonts w:asciiTheme="minorHAnsi" w:eastAsia="Arial" w:hAnsiTheme="minorHAnsi" w:cs="Arial"/>
          <w:sz w:val="21"/>
          <w:szCs w:val="21"/>
        </w:rPr>
        <w:t>are</w:t>
      </w:r>
      <w:r w:rsidRPr="00431D3A">
        <w:rPr>
          <w:rFonts w:asciiTheme="minorHAnsi" w:eastAsia="Arial" w:hAnsiTheme="minorHAnsi" w:cs="Arial"/>
          <w:sz w:val="21"/>
          <w:szCs w:val="21"/>
        </w:rPr>
        <w:t xml:space="preserve"> more likely to follow through with screening guidelines when services are available in a convenient</w:t>
      </w:r>
      <w:r w:rsidR="00FF48CF">
        <w:rPr>
          <w:rFonts w:asciiTheme="minorHAnsi" w:eastAsia="Arial" w:hAnsiTheme="minorHAnsi" w:cs="Arial"/>
          <w:sz w:val="21"/>
          <w:szCs w:val="21"/>
        </w:rPr>
        <w:t xml:space="preserve"> </w:t>
      </w:r>
      <w:r w:rsidRPr="00431D3A">
        <w:rPr>
          <w:rFonts w:asciiTheme="minorHAnsi" w:eastAsia="Arial" w:hAnsiTheme="minorHAnsi" w:cs="Arial"/>
          <w:sz w:val="21"/>
          <w:szCs w:val="21"/>
        </w:rPr>
        <w:t>setting</w:t>
      </w:r>
      <w:r w:rsidR="00FF48CF">
        <w:rPr>
          <w:rFonts w:asciiTheme="minorHAnsi" w:eastAsia="Arial" w:hAnsiTheme="minorHAnsi" w:cs="Arial"/>
          <w:sz w:val="21"/>
          <w:szCs w:val="21"/>
        </w:rPr>
        <w:t xml:space="preserve"> without significant </w:t>
      </w:r>
      <w:proofErr w:type="gramStart"/>
      <w:r w:rsidR="00FF48CF">
        <w:rPr>
          <w:rFonts w:asciiTheme="minorHAnsi" w:eastAsia="Arial" w:hAnsiTheme="minorHAnsi" w:cs="Arial"/>
          <w:sz w:val="21"/>
          <w:szCs w:val="21"/>
        </w:rPr>
        <w:t>wait</w:t>
      </w:r>
      <w:proofErr w:type="gramEnd"/>
      <w:r w:rsidR="00FF48CF">
        <w:rPr>
          <w:rFonts w:asciiTheme="minorHAnsi" w:eastAsia="Arial" w:hAnsiTheme="minorHAnsi" w:cs="Arial"/>
          <w:sz w:val="21"/>
          <w:szCs w:val="21"/>
        </w:rPr>
        <w:t xml:space="preserve"> times</w:t>
      </w:r>
      <w:r w:rsidRPr="00431D3A">
        <w:rPr>
          <w:rFonts w:asciiTheme="minorHAnsi" w:eastAsia="Arial" w:hAnsiTheme="minorHAnsi" w:cs="Arial"/>
          <w:sz w:val="21"/>
          <w:szCs w:val="21"/>
        </w:rPr>
        <w:t xml:space="preserve">. Increasing colorectal cancer screening rates for all patients, regardless of financial means, </w:t>
      </w:r>
      <w:r w:rsidR="00FF48CF">
        <w:rPr>
          <w:rFonts w:asciiTheme="minorHAnsi" w:eastAsia="Arial" w:hAnsiTheme="minorHAnsi" w:cs="Arial"/>
          <w:sz w:val="21"/>
          <w:szCs w:val="21"/>
        </w:rPr>
        <w:t>ensures</w:t>
      </w:r>
      <w:r w:rsidRPr="00431D3A">
        <w:rPr>
          <w:rFonts w:asciiTheme="minorHAnsi" w:eastAsia="Arial" w:hAnsiTheme="minorHAnsi" w:cs="Arial"/>
          <w:sz w:val="21"/>
          <w:szCs w:val="21"/>
        </w:rPr>
        <w:t xml:space="preserve"> more cancers </w:t>
      </w:r>
      <w:r w:rsidR="00FF48CF">
        <w:rPr>
          <w:rFonts w:asciiTheme="minorHAnsi" w:eastAsia="Arial" w:hAnsiTheme="minorHAnsi" w:cs="Arial"/>
          <w:sz w:val="21"/>
          <w:szCs w:val="21"/>
        </w:rPr>
        <w:t>are</w:t>
      </w:r>
      <w:r w:rsidRPr="00431D3A">
        <w:rPr>
          <w:rFonts w:asciiTheme="minorHAnsi" w:eastAsia="Arial" w:hAnsiTheme="minorHAnsi" w:cs="Arial"/>
          <w:sz w:val="21"/>
          <w:szCs w:val="21"/>
        </w:rPr>
        <w:t xml:space="preserve"> detected at an earlier stage</w:t>
      </w:r>
      <w:r w:rsidR="00FF48CF">
        <w:rPr>
          <w:rFonts w:asciiTheme="minorHAnsi" w:eastAsia="Arial" w:hAnsiTheme="minorHAnsi" w:cs="Arial"/>
          <w:sz w:val="21"/>
          <w:szCs w:val="21"/>
        </w:rPr>
        <w:t xml:space="preserve"> when </w:t>
      </w:r>
      <w:r w:rsidRPr="00431D3A">
        <w:rPr>
          <w:rFonts w:asciiTheme="minorHAnsi" w:eastAsia="Arial" w:hAnsiTheme="minorHAnsi" w:cs="Arial"/>
          <w:sz w:val="21"/>
          <w:szCs w:val="21"/>
        </w:rPr>
        <w:t>treatment</w:t>
      </w:r>
      <w:r w:rsidR="00FF48CF">
        <w:rPr>
          <w:rFonts w:asciiTheme="minorHAnsi" w:eastAsia="Arial" w:hAnsiTheme="minorHAnsi" w:cs="Arial"/>
          <w:sz w:val="21"/>
          <w:szCs w:val="21"/>
        </w:rPr>
        <w:t xml:space="preserve"> is less invasive and more successful. To that end, the Proposed Project will</w:t>
      </w:r>
      <w:r w:rsidRPr="00431D3A">
        <w:rPr>
          <w:rFonts w:asciiTheme="minorHAnsi" w:eastAsia="Arial" w:hAnsiTheme="minorHAnsi" w:cs="Arial"/>
          <w:sz w:val="21"/>
          <w:szCs w:val="21"/>
        </w:rPr>
        <w:t xml:space="preserve"> </w:t>
      </w:r>
      <w:r w:rsidR="00FF48CF">
        <w:rPr>
          <w:rFonts w:asciiTheme="minorHAnsi" w:eastAsia="Arial" w:hAnsiTheme="minorHAnsi" w:cs="Arial"/>
          <w:sz w:val="21"/>
          <w:szCs w:val="21"/>
        </w:rPr>
        <w:t>provide for</w:t>
      </w:r>
      <w:r w:rsidRPr="00431D3A">
        <w:rPr>
          <w:rFonts w:asciiTheme="minorHAnsi" w:eastAsia="Arial" w:hAnsiTheme="minorHAnsi" w:cs="Arial"/>
          <w:sz w:val="21"/>
          <w:szCs w:val="21"/>
        </w:rPr>
        <w:t xml:space="preserve"> better health outcomes, improved quality of life, and reduced healthcare expenditure.</w:t>
      </w:r>
    </w:p>
    <w:p w14:paraId="2EE12453" w14:textId="77777777" w:rsidR="006416FF" w:rsidRPr="00431D3A" w:rsidRDefault="006416FF" w:rsidP="007A7E90">
      <w:pPr>
        <w:pStyle w:val="Heading2"/>
      </w:pPr>
      <w:r w:rsidRPr="00431D3A">
        <w:t>F1.c</w:t>
      </w:r>
      <w:r w:rsidRPr="00431D3A">
        <w:tab/>
        <w:t xml:space="preserve">Provide evidence that the Proposed Project will operate efficiently and effectively by furthering and improving continuity and coordination of care for the Applicant's Patient Panel, </w:t>
      </w:r>
      <w:proofErr w:type="gramStart"/>
      <w:r w:rsidRPr="00431D3A">
        <w:t>including,</w:t>
      </w:r>
      <w:proofErr w:type="gramEnd"/>
      <w:r w:rsidRPr="00431D3A">
        <w:t xml:space="preserve"> how the Proposed Project will create or ensure appropriate linkages to patients' primary care services.</w:t>
      </w:r>
    </w:p>
    <w:p w14:paraId="12AF17B2" w14:textId="7B4F1F01" w:rsidR="006416FF" w:rsidRPr="00431D3A" w:rsidRDefault="006416FF" w:rsidP="00B57913">
      <w:pPr>
        <w:widowControl w:val="0"/>
        <w:suppressAutoHyphens w:val="0"/>
        <w:autoSpaceDE w:val="0"/>
        <w:autoSpaceDN w:val="0"/>
        <w:spacing w:after="120"/>
        <w:jc w:val="both"/>
        <w:rPr>
          <w:rFonts w:asciiTheme="minorHAnsi" w:eastAsia="Arial" w:hAnsiTheme="minorHAnsi" w:cs="Arial"/>
          <w:bCs/>
          <w:sz w:val="21"/>
          <w:szCs w:val="21"/>
        </w:rPr>
      </w:pPr>
      <w:r w:rsidRPr="00431D3A">
        <w:rPr>
          <w:rFonts w:asciiTheme="minorHAnsi" w:eastAsia="Arial" w:hAnsiTheme="minorHAnsi" w:cs="Arial"/>
          <w:bCs/>
          <w:sz w:val="21"/>
          <w:szCs w:val="21"/>
        </w:rPr>
        <w:t>Expan</w:t>
      </w:r>
      <w:r w:rsidR="00F3648B">
        <w:rPr>
          <w:rFonts w:asciiTheme="minorHAnsi" w:eastAsia="Arial" w:hAnsiTheme="minorHAnsi" w:cs="Arial"/>
          <w:bCs/>
          <w:sz w:val="21"/>
          <w:szCs w:val="21"/>
        </w:rPr>
        <w:t>ding capacity</w:t>
      </w:r>
      <w:r w:rsidRPr="00431D3A">
        <w:rPr>
          <w:rFonts w:asciiTheme="minorHAnsi" w:eastAsia="Arial" w:hAnsiTheme="minorHAnsi" w:cs="Arial"/>
          <w:bCs/>
          <w:sz w:val="21"/>
          <w:szCs w:val="21"/>
        </w:rPr>
        <w:t xml:space="preserve"> at the </w:t>
      </w:r>
      <w:r w:rsidR="00F3648B">
        <w:rPr>
          <w:rFonts w:asciiTheme="minorHAnsi" w:eastAsia="Arial" w:hAnsiTheme="minorHAnsi" w:cs="Arial"/>
          <w:bCs/>
          <w:sz w:val="21"/>
          <w:szCs w:val="21"/>
        </w:rPr>
        <w:t>Endoscopy Center</w:t>
      </w:r>
      <w:r w:rsidR="00F3648B" w:rsidRPr="00431D3A">
        <w:rPr>
          <w:rFonts w:asciiTheme="minorHAnsi" w:eastAsia="Arial" w:hAnsiTheme="minorHAnsi" w:cs="Arial"/>
          <w:bCs/>
          <w:sz w:val="21"/>
          <w:szCs w:val="21"/>
        </w:rPr>
        <w:t xml:space="preserve"> </w:t>
      </w:r>
      <w:r w:rsidRPr="00431D3A">
        <w:rPr>
          <w:rFonts w:asciiTheme="minorHAnsi" w:eastAsia="Arial" w:hAnsiTheme="minorHAnsi" w:cs="Arial"/>
          <w:bCs/>
          <w:sz w:val="21"/>
          <w:szCs w:val="21"/>
        </w:rPr>
        <w:t xml:space="preserve">will </w:t>
      </w:r>
      <w:r w:rsidR="00F3648B">
        <w:rPr>
          <w:rFonts w:asciiTheme="minorHAnsi" w:eastAsia="Arial" w:hAnsiTheme="minorHAnsi" w:cs="Arial"/>
          <w:bCs/>
          <w:sz w:val="21"/>
          <w:szCs w:val="21"/>
        </w:rPr>
        <w:t>further</w:t>
      </w:r>
      <w:r w:rsidR="00F3648B" w:rsidRPr="00431D3A">
        <w:rPr>
          <w:rFonts w:asciiTheme="minorHAnsi" w:eastAsia="Arial" w:hAnsiTheme="minorHAnsi" w:cs="Arial"/>
          <w:bCs/>
          <w:sz w:val="21"/>
          <w:szCs w:val="21"/>
        </w:rPr>
        <w:t xml:space="preserve"> </w:t>
      </w:r>
      <w:r w:rsidRPr="00431D3A">
        <w:rPr>
          <w:rFonts w:asciiTheme="minorHAnsi" w:eastAsia="Arial" w:hAnsiTheme="minorHAnsi" w:cs="Arial"/>
          <w:bCs/>
          <w:sz w:val="21"/>
          <w:szCs w:val="21"/>
        </w:rPr>
        <w:t xml:space="preserve">continuity and coordination of care through </w:t>
      </w:r>
      <w:r w:rsidR="00B57913">
        <w:rPr>
          <w:rFonts w:asciiTheme="minorHAnsi" w:eastAsia="Arial" w:hAnsiTheme="minorHAnsi" w:cs="Arial"/>
          <w:bCs/>
          <w:sz w:val="21"/>
          <w:szCs w:val="21"/>
        </w:rPr>
        <w:t>the shared</w:t>
      </w:r>
      <w:r w:rsidRPr="00431D3A">
        <w:rPr>
          <w:rFonts w:asciiTheme="minorHAnsi" w:eastAsia="Arial" w:hAnsiTheme="minorHAnsi" w:cs="Arial"/>
          <w:bCs/>
          <w:sz w:val="21"/>
          <w:szCs w:val="21"/>
        </w:rPr>
        <w:t xml:space="preserve"> EMR system</w:t>
      </w:r>
      <w:r w:rsidR="00F3648B">
        <w:rPr>
          <w:rFonts w:asciiTheme="minorHAnsi" w:eastAsia="Arial" w:hAnsiTheme="minorHAnsi" w:cs="Arial"/>
          <w:bCs/>
          <w:sz w:val="21"/>
          <w:szCs w:val="21"/>
        </w:rPr>
        <w:t xml:space="preserve"> used by the Hospital and BILH</w:t>
      </w:r>
      <w:r w:rsidRPr="00431D3A">
        <w:rPr>
          <w:rFonts w:asciiTheme="minorHAnsi" w:eastAsia="Arial" w:hAnsiTheme="minorHAnsi" w:cs="Arial"/>
          <w:bCs/>
          <w:sz w:val="21"/>
          <w:szCs w:val="21"/>
        </w:rPr>
        <w:t xml:space="preserve">. The EMR </w:t>
      </w:r>
      <w:r w:rsidR="00F3648B">
        <w:rPr>
          <w:rFonts w:asciiTheme="minorHAnsi" w:eastAsia="Arial" w:hAnsiTheme="minorHAnsi" w:cs="Arial"/>
          <w:bCs/>
          <w:sz w:val="21"/>
          <w:szCs w:val="21"/>
        </w:rPr>
        <w:t xml:space="preserve">seamlessly </w:t>
      </w:r>
      <w:r w:rsidRPr="00431D3A">
        <w:rPr>
          <w:rFonts w:asciiTheme="minorHAnsi" w:eastAsia="Arial" w:hAnsiTheme="minorHAnsi" w:cs="Arial"/>
          <w:bCs/>
          <w:sz w:val="21"/>
          <w:szCs w:val="21"/>
        </w:rPr>
        <w:t>connect</w:t>
      </w:r>
      <w:r w:rsidR="00F3648B">
        <w:rPr>
          <w:rFonts w:asciiTheme="minorHAnsi" w:eastAsia="Arial" w:hAnsiTheme="minorHAnsi" w:cs="Arial"/>
          <w:bCs/>
          <w:sz w:val="21"/>
          <w:szCs w:val="21"/>
        </w:rPr>
        <w:t>s</w:t>
      </w:r>
      <w:r w:rsidRPr="00431D3A">
        <w:rPr>
          <w:rFonts w:asciiTheme="minorHAnsi" w:eastAsia="Arial" w:hAnsiTheme="minorHAnsi" w:cs="Arial"/>
          <w:bCs/>
          <w:sz w:val="21"/>
          <w:szCs w:val="21"/>
        </w:rPr>
        <w:t xml:space="preserve"> clinical information from the patient’s endoscopy services to their </w:t>
      </w:r>
      <w:proofErr w:type="gramStart"/>
      <w:r w:rsidRPr="00431D3A">
        <w:rPr>
          <w:rFonts w:asciiTheme="minorHAnsi" w:eastAsia="Arial" w:hAnsiTheme="minorHAnsi" w:cs="Arial"/>
          <w:bCs/>
          <w:sz w:val="21"/>
          <w:szCs w:val="21"/>
        </w:rPr>
        <w:t>Hospital</w:t>
      </w:r>
      <w:proofErr w:type="gramEnd"/>
      <w:r w:rsidRPr="00431D3A">
        <w:rPr>
          <w:rFonts w:asciiTheme="minorHAnsi" w:eastAsia="Arial" w:hAnsiTheme="minorHAnsi" w:cs="Arial"/>
          <w:bCs/>
          <w:sz w:val="21"/>
          <w:szCs w:val="21"/>
        </w:rPr>
        <w:t xml:space="preserve"> profile, allowing coordination of care between endoscopy providers and the rest of the patient’s care team. All </w:t>
      </w:r>
      <w:r w:rsidR="00F3648B">
        <w:rPr>
          <w:rFonts w:asciiTheme="minorHAnsi" w:eastAsia="Arial" w:hAnsiTheme="minorHAnsi" w:cs="Arial"/>
          <w:bCs/>
          <w:sz w:val="21"/>
          <w:szCs w:val="21"/>
        </w:rPr>
        <w:t>BILH</w:t>
      </w:r>
      <w:r w:rsidRPr="00431D3A">
        <w:rPr>
          <w:rFonts w:asciiTheme="minorHAnsi" w:eastAsia="Arial" w:hAnsiTheme="minorHAnsi" w:cs="Arial"/>
          <w:bCs/>
          <w:sz w:val="21"/>
          <w:szCs w:val="21"/>
        </w:rPr>
        <w:t xml:space="preserve">-affiliated providers receive case notes </w:t>
      </w:r>
      <w:r w:rsidR="00F3648B">
        <w:rPr>
          <w:rFonts w:asciiTheme="minorHAnsi" w:eastAsia="Arial" w:hAnsiTheme="minorHAnsi" w:cs="Arial"/>
          <w:bCs/>
          <w:sz w:val="21"/>
          <w:szCs w:val="21"/>
        </w:rPr>
        <w:t>following the</w:t>
      </w:r>
      <w:r w:rsidRPr="00431D3A">
        <w:rPr>
          <w:rFonts w:asciiTheme="minorHAnsi" w:eastAsia="Arial" w:hAnsiTheme="minorHAnsi" w:cs="Arial"/>
          <w:bCs/>
          <w:sz w:val="21"/>
          <w:szCs w:val="21"/>
        </w:rPr>
        <w:t xml:space="preserve"> patient’</w:t>
      </w:r>
      <w:r w:rsidR="0013466E">
        <w:rPr>
          <w:rFonts w:asciiTheme="minorHAnsi" w:eastAsia="Arial" w:hAnsiTheme="minorHAnsi" w:cs="Arial"/>
          <w:bCs/>
          <w:sz w:val="21"/>
          <w:szCs w:val="21"/>
        </w:rPr>
        <w:t>s</w:t>
      </w:r>
      <w:r w:rsidRPr="00431D3A">
        <w:rPr>
          <w:rFonts w:asciiTheme="minorHAnsi" w:eastAsia="Arial" w:hAnsiTheme="minorHAnsi" w:cs="Arial"/>
          <w:bCs/>
          <w:sz w:val="21"/>
          <w:szCs w:val="21"/>
        </w:rPr>
        <w:t xml:space="preserve"> procedures at the </w:t>
      </w:r>
      <w:r w:rsidR="00F3648B">
        <w:rPr>
          <w:rFonts w:asciiTheme="minorHAnsi" w:eastAsia="Arial" w:hAnsiTheme="minorHAnsi" w:cs="Arial"/>
          <w:bCs/>
          <w:sz w:val="21"/>
          <w:szCs w:val="21"/>
        </w:rPr>
        <w:t>Endoscopy Center</w:t>
      </w:r>
      <w:r w:rsidRPr="00431D3A">
        <w:rPr>
          <w:rFonts w:asciiTheme="minorHAnsi" w:eastAsia="Arial" w:hAnsiTheme="minorHAnsi" w:cs="Arial"/>
          <w:bCs/>
          <w:sz w:val="21"/>
          <w:szCs w:val="21"/>
        </w:rPr>
        <w:t xml:space="preserve">, and the information uploaded to the EMR system can be quickly shared to the patient’s portal. Furthermore, </w:t>
      </w:r>
      <w:r w:rsidR="007A0F7C">
        <w:rPr>
          <w:rFonts w:asciiTheme="minorHAnsi" w:eastAsia="Arial" w:hAnsiTheme="minorHAnsi" w:cs="Arial"/>
          <w:bCs/>
          <w:sz w:val="21"/>
          <w:szCs w:val="21"/>
        </w:rPr>
        <w:t>notes and results</w:t>
      </w:r>
      <w:r w:rsidRPr="00431D3A">
        <w:rPr>
          <w:rFonts w:asciiTheme="minorHAnsi" w:eastAsia="Arial" w:hAnsiTheme="minorHAnsi" w:cs="Arial"/>
          <w:bCs/>
          <w:sz w:val="21"/>
          <w:szCs w:val="21"/>
        </w:rPr>
        <w:t xml:space="preserve"> in the EMR system can be easily shared with providers in other networks, ensuring the patient receives comprehensive care </w:t>
      </w:r>
      <w:r w:rsidR="00F3648B">
        <w:rPr>
          <w:rFonts w:asciiTheme="minorHAnsi" w:eastAsia="Arial" w:hAnsiTheme="minorHAnsi" w:cs="Arial"/>
          <w:bCs/>
          <w:sz w:val="21"/>
          <w:szCs w:val="21"/>
        </w:rPr>
        <w:t>across care teams</w:t>
      </w:r>
      <w:r w:rsidRPr="00431D3A">
        <w:rPr>
          <w:rFonts w:asciiTheme="minorHAnsi" w:eastAsia="Arial" w:hAnsiTheme="minorHAnsi" w:cs="Arial"/>
          <w:bCs/>
          <w:sz w:val="21"/>
          <w:szCs w:val="21"/>
        </w:rPr>
        <w:t>.</w:t>
      </w:r>
    </w:p>
    <w:bookmarkEnd w:id="20"/>
    <w:p w14:paraId="29C61387" w14:textId="23E51458" w:rsidR="006416FF" w:rsidRPr="00431D3A" w:rsidRDefault="006416FF" w:rsidP="00B57913">
      <w:pPr>
        <w:spacing w:after="120"/>
        <w:jc w:val="both"/>
        <w:rPr>
          <w:rFonts w:asciiTheme="minorHAnsi" w:hAnsiTheme="minorHAnsi"/>
          <w:kern w:val="2"/>
          <w:sz w:val="21"/>
          <w:szCs w:val="21"/>
          <w14:ligatures w14:val="standardContextual"/>
        </w:rPr>
      </w:pPr>
      <w:r w:rsidRPr="00431D3A">
        <w:rPr>
          <w:rFonts w:asciiTheme="minorHAnsi" w:hAnsiTheme="minorHAnsi"/>
          <w:kern w:val="2"/>
          <w:sz w:val="21"/>
          <w:szCs w:val="21"/>
          <w14:ligatures w14:val="standardContextual"/>
        </w:rPr>
        <w:t xml:space="preserve">Finally, the </w:t>
      </w:r>
      <w:r w:rsidR="00147321" w:rsidRPr="00431D3A">
        <w:rPr>
          <w:rFonts w:asciiTheme="minorHAnsi" w:hAnsiTheme="minorHAnsi"/>
          <w:kern w:val="2"/>
          <w:sz w:val="21"/>
          <w:szCs w:val="21"/>
          <w14:ligatures w14:val="standardContextual"/>
        </w:rPr>
        <w:t>Hospital</w:t>
      </w:r>
      <w:r w:rsidRPr="00431D3A">
        <w:rPr>
          <w:rFonts w:asciiTheme="minorHAnsi" w:hAnsiTheme="minorHAnsi"/>
          <w:kern w:val="2"/>
          <w:sz w:val="21"/>
          <w:szCs w:val="21"/>
          <w14:ligatures w14:val="standardContextual"/>
        </w:rPr>
        <w:t xml:space="preserve"> participates in the MassHealth ACO Program through </w:t>
      </w:r>
      <w:r w:rsidR="00984447">
        <w:rPr>
          <w:rFonts w:asciiTheme="minorHAnsi" w:hAnsiTheme="minorHAnsi"/>
          <w:kern w:val="2"/>
          <w:sz w:val="21"/>
          <w:szCs w:val="21"/>
          <w14:ligatures w14:val="standardContextual"/>
        </w:rPr>
        <w:t>Beth Israel Deaconess Care Organization (</w:t>
      </w:r>
      <w:r w:rsidRPr="00431D3A">
        <w:rPr>
          <w:rFonts w:asciiTheme="minorHAnsi" w:hAnsiTheme="minorHAnsi"/>
          <w:kern w:val="2"/>
          <w:sz w:val="21"/>
          <w:szCs w:val="21"/>
          <w14:ligatures w14:val="standardContextual"/>
        </w:rPr>
        <w:t>BIDCO</w:t>
      </w:r>
      <w:r w:rsidR="00984447">
        <w:rPr>
          <w:rFonts w:asciiTheme="minorHAnsi" w:hAnsiTheme="minorHAnsi"/>
          <w:kern w:val="2"/>
          <w:sz w:val="21"/>
          <w:szCs w:val="21"/>
          <w14:ligatures w14:val="standardContextual"/>
        </w:rPr>
        <w:t>)</w:t>
      </w:r>
      <w:r w:rsidRPr="00431D3A">
        <w:rPr>
          <w:rFonts w:asciiTheme="minorHAnsi" w:hAnsiTheme="minorHAnsi"/>
          <w:kern w:val="2"/>
          <w:sz w:val="21"/>
          <w:szCs w:val="21"/>
          <w14:ligatures w14:val="standardContextual"/>
        </w:rPr>
        <w:t xml:space="preserve">, which is part of BILHPN and its clinically integrated network. In support of the </w:t>
      </w:r>
      <w:r w:rsidR="0013466E">
        <w:rPr>
          <w:rFonts w:asciiTheme="minorHAnsi" w:hAnsiTheme="minorHAnsi"/>
          <w:kern w:val="2"/>
          <w:sz w:val="21"/>
          <w:szCs w:val="21"/>
          <w14:ligatures w14:val="standardContextual"/>
        </w:rPr>
        <w:lastRenderedPageBreak/>
        <w:t xml:space="preserve">MassHealth ACO </w:t>
      </w:r>
      <w:r w:rsidRPr="00431D3A">
        <w:rPr>
          <w:rFonts w:asciiTheme="minorHAnsi" w:hAnsiTheme="minorHAnsi"/>
          <w:kern w:val="2"/>
          <w:sz w:val="21"/>
          <w:szCs w:val="21"/>
          <w14:ligatures w14:val="standardContextual"/>
        </w:rPr>
        <w:t xml:space="preserve">Program’s objectives, BIDCO is committed to expanding access to high-quality care for members who are more likely to experience unmet social determinants of health needs compared to the commercially insured population. Much of BIDCO’s progress in advancing health care is achieved through robust care coordination efforts. </w:t>
      </w:r>
      <w:proofErr w:type="gramStart"/>
      <w:r w:rsidRPr="00431D3A">
        <w:rPr>
          <w:rFonts w:asciiTheme="minorHAnsi" w:hAnsiTheme="minorHAnsi"/>
          <w:kern w:val="2"/>
          <w:sz w:val="21"/>
          <w:szCs w:val="21"/>
          <w14:ligatures w14:val="standardContextual"/>
        </w:rPr>
        <w:t>In particular, BIDCO</w:t>
      </w:r>
      <w:proofErr w:type="gramEnd"/>
      <w:r w:rsidRPr="00431D3A">
        <w:rPr>
          <w:rFonts w:asciiTheme="minorHAnsi" w:hAnsiTheme="minorHAnsi"/>
          <w:kern w:val="2"/>
          <w:sz w:val="21"/>
          <w:szCs w:val="21"/>
          <w14:ligatures w14:val="standardContextual"/>
        </w:rPr>
        <w:t xml:space="preserve"> provides data analysis and risk management tools to </w:t>
      </w:r>
      <w:r w:rsidR="00147321" w:rsidRPr="00431D3A">
        <w:rPr>
          <w:rFonts w:asciiTheme="minorHAnsi" w:hAnsiTheme="minorHAnsi"/>
          <w:kern w:val="2"/>
          <w:sz w:val="21"/>
          <w:szCs w:val="21"/>
          <w14:ligatures w14:val="standardContextual"/>
        </w:rPr>
        <w:t>BILH</w:t>
      </w:r>
      <w:r w:rsidRPr="00431D3A">
        <w:rPr>
          <w:rFonts w:asciiTheme="minorHAnsi" w:hAnsiTheme="minorHAnsi"/>
          <w:kern w:val="2"/>
          <w:sz w:val="21"/>
          <w:szCs w:val="21"/>
          <w14:ligatures w14:val="standardContextual"/>
        </w:rPr>
        <w:t xml:space="preserve"> providers, including a Population Health Management Tool that assists primary care physicians in monitoring patient health and managing chronic conditions. The strong connections between </w:t>
      </w:r>
      <w:r w:rsidR="00147321" w:rsidRPr="00431D3A">
        <w:rPr>
          <w:rFonts w:asciiTheme="minorHAnsi" w:hAnsiTheme="minorHAnsi"/>
          <w:kern w:val="2"/>
          <w:sz w:val="21"/>
          <w:szCs w:val="21"/>
          <w14:ligatures w14:val="standardContextual"/>
        </w:rPr>
        <w:t xml:space="preserve">BILH gastroenterologists </w:t>
      </w:r>
      <w:r w:rsidRPr="00431D3A">
        <w:rPr>
          <w:rFonts w:asciiTheme="minorHAnsi" w:hAnsiTheme="minorHAnsi"/>
          <w:kern w:val="2"/>
          <w:sz w:val="21"/>
          <w:szCs w:val="21"/>
          <w14:ligatures w14:val="standardContextual"/>
        </w:rPr>
        <w:t xml:space="preserve">and primary care providers are essential for delivering high-quality care and ensuring effective care coordination. These primary care linkages will continue to improve care for </w:t>
      </w:r>
      <w:r w:rsidR="00147321" w:rsidRPr="00431D3A">
        <w:rPr>
          <w:rFonts w:asciiTheme="minorHAnsi" w:hAnsiTheme="minorHAnsi"/>
          <w:kern w:val="2"/>
          <w:sz w:val="21"/>
          <w:szCs w:val="21"/>
          <w14:ligatures w14:val="standardContextual"/>
        </w:rPr>
        <w:t>BILH</w:t>
      </w:r>
      <w:r w:rsidRPr="00431D3A">
        <w:rPr>
          <w:rFonts w:asciiTheme="minorHAnsi" w:hAnsiTheme="minorHAnsi"/>
          <w:kern w:val="2"/>
          <w:sz w:val="21"/>
          <w:szCs w:val="21"/>
          <w14:ligatures w14:val="standardContextual"/>
        </w:rPr>
        <w:t xml:space="preserve"> patients, including timely access to </w:t>
      </w:r>
      <w:r w:rsidR="00147321" w:rsidRPr="00431D3A">
        <w:rPr>
          <w:rFonts w:asciiTheme="minorHAnsi" w:hAnsiTheme="minorHAnsi"/>
          <w:kern w:val="2"/>
          <w:sz w:val="21"/>
          <w:szCs w:val="21"/>
          <w14:ligatures w14:val="standardContextual"/>
        </w:rPr>
        <w:t>screening endoscopy</w:t>
      </w:r>
      <w:r w:rsidRPr="00431D3A">
        <w:rPr>
          <w:rFonts w:asciiTheme="minorHAnsi" w:hAnsiTheme="minorHAnsi"/>
          <w:kern w:val="2"/>
          <w:sz w:val="21"/>
          <w:szCs w:val="21"/>
          <w14:ligatures w14:val="standardContextual"/>
        </w:rPr>
        <w:t xml:space="preserve"> that will be further supported by the Proposed Project.</w:t>
      </w:r>
    </w:p>
    <w:p w14:paraId="6BE262FD" w14:textId="77777777" w:rsidR="00853EB0" w:rsidRPr="00431D3A" w:rsidRDefault="00853EB0" w:rsidP="007A7E90">
      <w:pPr>
        <w:pStyle w:val="Heading2"/>
        <w:ind w:left="1440" w:hanging="1440"/>
        <w:rPr>
          <w:bCs/>
          <w:i/>
          <w:iCs/>
        </w:rPr>
      </w:pPr>
      <w:r w:rsidRPr="00565CAE">
        <w:t>F</w:t>
      </w:r>
      <w:proofErr w:type="gramStart"/>
      <w:r w:rsidRPr="00565CAE">
        <w:t>1.d</w:t>
      </w:r>
      <w:proofErr w:type="gramEnd"/>
      <w:r w:rsidRPr="00565CAE">
        <w:tab/>
        <w:t>Provide evidence of consultation, both prior to and after the Filing Date, with all Government Agencies with relevant licensure, certification, or other regulatory oversight of the Applicant or the Proposed Project</w:t>
      </w:r>
      <w:r w:rsidRPr="00431D3A">
        <w:rPr>
          <w:bCs/>
          <w:i/>
          <w:iCs/>
        </w:rPr>
        <w:t>.</w:t>
      </w:r>
    </w:p>
    <w:p w14:paraId="66FC7C9E" w14:textId="364254F9" w:rsidR="00853EB0" w:rsidRPr="00431D3A" w:rsidRDefault="00853EB0" w:rsidP="00742B85">
      <w:pPr>
        <w:spacing w:after="240"/>
        <w:jc w:val="both"/>
        <w:rPr>
          <w:rFonts w:asciiTheme="minorHAnsi" w:hAnsiTheme="minorHAnsi" w:cs="Arial"/>
          <w:kern w:val="2"/>
          <w:sz w:val="21"/>
          <w:szCs w:val="21"/>
          <w14:ligatures w14:val="standardContextual"/>
        </w:rPr>
      </w:pPr>
      <w:r w:rsidRPr="00431D3A">
        <w:rPr>
          <w:rFonts w:asciiTheme="minorHAnsi" w:hAnsiTheme="minorHAnsi" w:cs="Arial"/>
          <w:kern w:val="2"/>
          <w:sz w:val="21"/>
          <w:szCs w:val="21"/>
          <w14:ligatures w14:val="standardContextual"/>
        </w:rPr>
        <w:t>The Applicant consulted with the following agencies regarding the Proposed Project:</w:t>
      </w:r>
    </w:p>
    <w:p w14:paraId="7F45AB36" w14:textId="67CE88EE" w:rsidR="00853EB0" w:rsidRPr="00431D3A" w:rsidRDefault="00853EB0" w:rsidP="004056C5">
      <w:pPr>
        <w:numPr>
          <w:ilvl w:val="0"/>
          <w:numId w:val="9"/>
        </w:numPr>
        <w:jc w:val="both"/>
        <w:rPr>
          <w:rFonts w:asciiTheme="minorHAnsi" w:hAnsiTheme="minorHAnsi" w:cs="Arial"/>
          <w:bCs/>
          <w:kern w:val="2"/>
          <w:sz w:val="21"/>
          <w:szCs w:val="21"/>
          <w14:ligatures w14:val="standardContextual"/>
        </w:rPr>
      </w:pPr>
      <w:r w:rsidRPr="00431D3A">
        <w:rPr>
          <w:rFonts w:asciiTheme="minorHAnsi" w:hAnsiTheme="minorHAnsi" w:cs="Arial"/>
          <w:bCs/>
          <w:kern w:val="2"/>
          <w:sz w:val="21"/>
          <w:szCs w:val="21"/>
          <w14:ligatures w14:val="standardContextual"/>
        </w:rPr>
        <w:t>Massachusetts Department of Public Health</w:t>
      </w:r>
    </w:p>
    <w:p w14:paraId="2EC63373" w14:textId="77777777" w:rsidR="00853EB0" w:rsidRPr="00431D3A" w:rsidRDefault="00853EB0" w:rsidP="004056C5">
      <w:pPr>
        <w:numPr>
          <w:ilvl w:val="0"/>
          <w:numId w:val="9"/>
        </w:numPr>
        <w:jc w:val="both"/>
        <w:rPr>
          <w:rFonts w:asciiTheme="minorHAnsi" w:hAnsiTheme="minorHAnsi" w:cs="Arial"/>
          <w:bCs/>
          <w:kern w:val="2"/>
          <w:sz w:val="21"/>
          <w:szCs w:val="21"/>
          <w14:ligatures w14:val="standardContextual"/>
        </w:rPr>
      </w:pPr>
      <w:r w:rsidRPr="00431D3A">
        <w:rPr>
          <w:rFonts w:asciiTheme="minorHAnsi" w:hAnsiTheme="minorHAnsi" w:cs="Arial"/>
          <w:bCs/>
          <w:kern w:val="2"/>
          <w:sz w:val="21"/>
          <w:szCs w:val="21"/>
          <w14:ligatures w14:val="standardContextual"/>
        </w:rPr>
        <w:t>Massachusetts Executive Office of Health and Human Services</w:t>
      </w:r>
    </w:p>
    <w:p w14:paraId="04B08DEF" w14:textId="77777777" w:rsidR="00853EB0" w:rsidRPr="00431D3A" w:rsidRDefault="00853EB0" w:rsidP="004056C5">
      <w:pPr>
        <w:numPr>
          <w:ilvl w:val="0"/>
          <w:numId w:val="9"/>
        </w:numPr>
        <w:jc w:val="both"/>
        <w:rPr>
          <w:rFonts w:asciiTheme="minorHAnsi" w:hAnsiTheme="minorHAnsi" w:cs="Arial"/>
          <w:bCs/>
          <w:kern w:val="2"/>
          <w:sz w:val="21"/>
          <w:szCs w:val="21"/>
          <w14:ligatures w14:val="standardContextual"/>
        </w:rPr>
      </w:pPr>
      <w:r w:rsidRPr="00431D3A">
        <w:rPr>
          <w:rFonts w:asciiTheme="minorHAnsi" w:hAnsiTheme="minorHAnsi" w:cs="Arial"/>
          <w:bCs/>
          <w:kern w:val="2"/>
          <w:sz w:val="21"/>
          <w:szCs w:val="21"/>
          <w14:ligatures w14:val="standardContextual"/>
        </w:rPr>
        <w:t>Health Policy Commission</w:t>
      </w:r>
    </w:p>
    <w:p w14:paraId="0441C46C" w14:textId="77777777" w:rsidR="00853EB0" w:rsidRPr="00431D3A" w:rsidRDefault="00853EB0" w:rsidP="004056C5">
      <w:pPr>
        <w:numPr>
          <w:ilvl w:val="0"/>
          <w:numId w:val="9"/>
        </w:numPr>
        <w:jc w:val="both"/>
        <w:rPr>
          <w:rFonts w:asciiTheme="minorHAnsi" w:hAnsiTheme="minorHAnsi" w:cs="Arial"/>
          <w:bCs/>
          <w:kern w:val="2"/>
          <w:sz w:val="21"/>
          <w:szCs w:val="21"/>
          <w14:ligatures w14:val="standardContextual"/>
        </w:rPr>
      </w:pPr>
      <w:r w:rsidRPr="00431D3A">
        <w:rPr>
          <w:rFonts w:asciiTheme="minorHAnsi" w:hAnsiTheme="minorHAnsi" w:cs="Arial"/>
          <w:bCs/>
          <w:kern w:val="2"/>
          <w:sz w:val="21"/>
          <w:szCs w:val="21"/>
          <w14:ligatures w14:val="standardContextual"/>
        </w:rPr>
        <w:t>Center for Health Information and Analysis</w:t>
      </w:r>
    </w:p>
    <w:p w14:paraId="6A19185B" w14:textId="77777777" w:rsidR="00853EB0" w:rsidRPr="00431D3A" w:rsidRDefault="00853EB0" w:rsidP="004056C5">
      <w:pPr>
        <w:numPr>
          <w:ilvl w:val="0"/>
          <w:numId w:val="9"/>
        </w:numPr>
        <w:jc w:val="both"/>
        <w:rPr>
          <w:rFonts w:asciiTheme="minorHAnsi" w:hAnsiTheme="minorHAnsi" w:cs="Arial"/>
          <w:bCs/>
          <w:kern w:val="2"/>
          <w:sz w:val="21"/>
          <w:szCs w:val="21"/>
          <w14:ligatures w14:val="standardContextual"/>
        </w:rPr>
      </w:pPr>
      <w:r w:rsidRPr="00431D3A">
        <w:rPr>
          <w:rFonts w:asciiTheme="minorHAnsi" w:hAnsiTheme="minorHAnsi" w:cs="Arial"/>
          <w:bCs/>
          <w:kern w:val="2"/>
          <w:sz w:val="21"/>
          <w:szCs w:val="21"/>
          <w14:ligatures w14:val="standardContextual"/>
        </w:rPr>
        <w:t>The Centers for Medicare &amp; Medicaid Services</w:t>
      </w:r>
    </w:p>
    <w:p w14:paraId="2B644F6A" w14:textId="77777777" w:rsidR="004056C5" w:rsidRPr="00431D3A" w:rsidRDefault="004056C5" w:rsidP="004056C5">
      <w:pPr>
        <w:ind w:left="1080"/>
        <w:jc w:val="both"/>
        <w:rPr>
          <w:rFonts w:asciiTheme="minorHAnsi" w:hAnsiTheme="minorHAnsi" w:cs="Arial"/>
          <w:bCs/>
          <w:kern w:val="2"/>
          <w:sz w:val="21"/>
          <w:szCs w:val="21"/>
          <w14:ligatures w14:val="standardContextual"/>
        </w:rPr>
      </w:pPr>
    </w:p>
    <w:p w14:paraId="2322D95E" w14:textId="2A6C354E" w:rsidR="00853EB0" w:rsidRPr="00431D3A" w:rsidRDefault="00853EB0" w:rsidP="007A7E90">
      <w:pPr>
        <w:pStyle w:val="Heading2"/>
      </w:pPr>
      <w:r w:rsidRPr="00431D3A">
        <w:t>F1.</w:t>
      </w:r>
      <w:proofErr w:type="gramStart"/>
      <w:r w:rsidRPr="00431D3A">
        <w:t>e.i</w:t>
      </w:r>
      <w:proofErr w:type="gramEnd"/>
      <w:r w:rsidRPr="00431D3A">
        <w:tab/>
        <w:t xml:space="preserve">Process for Determining Need/Evidence of Community Engagement: </w:t>
      </w:r>
    </w:p>
    <w:p w14:paraId="0AF9C19F" w14:textId="77777777" w:rsidR="00853EB0" w:rsidRPr="00565CAE" w:rsidRDefault="00853EB0" w:rsidP="00742B85">
      <w:pPr>
        <w:spacing w:after="240"/>
        <w:ind w:left="1440"/>
        <w:jc w:val="both"/>
        <w:rPr>
          <w:rFonts w:asciiTheme="minorHAnsi" w:hAnsiTheme="minorHAnsi" w:cs="Arial"/>
          <w:b/>
          <w:kern w:val="2"/>
          <w:sz w:val="21"/>
          <w:szCs w:val="21"/>
          <w14:ligatures w14:val="standardContextual"/>
        </w:rPr>
      </w:pPr>
      <w:r w:rsidRPr="00565CAE">
        <w:rPr>
          <w:rFonts w:asciiTheme="minorHAnsi" w:hAnsiTheme="minorHAnsi" w:cs="Arial"/>
          <w:b/>
          <w:kern w:val="2"/>
          <w:sz w:val="21"/>
          <w:szCs w:val="21"/>
          <w14:ligatures w14:val="standardContextual"/>
        </w:rPr>
        <w:t>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20739523" w14:textId="7D1F4D50" w:rsidR="00C14997" w:rsidRDefault="00853EB0" w:rsidP="00742B85">
      <w:pPr>
        <w:spacing w:after="240"/>
        <w:jc w:val="both"/>
        <w:rPr>
          <w:rFonts w:asciiTheme="minorHAnsi" w:eastAsia="Arial" w:hAnsiTheme="minorHAnsi" w:cs="Arial"/>
          <w:kern w:val="2"/>
          <w:sz w:val="21"/>
          <w:szCs w:val="21"/>
          <w14:ligatures w14:val="standardContextual"/>
        </w:rPr>
      </w:pPr>
      <w:r w:rsidRPr="00431D3A">
        <w:rPr>
          <w:rFonts w:asciiTheme="minorHAnsi" w:eastAsia="Arial" w:hAnsiTheme="minorHAnsi" w:cs="Arial"/>
          <w:kern w:val="2"/>
          <w:sz w:val="21"/>
          <w:szCs w:val="21"/>
          <w14:ligatures w14:val="standardContextual"/>
        </w:rPr>
        <w:t xml:space="preserve">In addition to relying on the data described throughout this application that demonstrates the need for the Proposed Project, the Applicant also sought to engage the community to elicit feedback from patients and families regarding the Proposed Project. The Applicant presented the Proposed Project to the community </w:t>
      </w:r>
      <w:r w:rsidR="00C14997">
        <w:rPr>
          <w:rFonts w:asciiTheme="minorHAnsi" w:eastAsia="Arial" w:hAnsiTheme="minorHAnsi" w:cs="Arial"/>
          <w:kern w:val="2"/>
          <w:sz w:val="21"/>
          <w:szCs w:val="21"/>
          <w14:ligatures w14:val="standardContextual"/>
        </w:rPr>
        <w:t xml:space="preserve">via a meeting with the Community Benefits Advisory Committee on October 7, 2025. This meeting was attended by seventeen (17) total members of the Committee, who expressed </w:t>
      </w:r>
      <w:r w:rsidR="00B57913">
        <w:rPr>
          <w:rFonts w:asciiTheme="minorHAnsi" w:eastAsia="Arial" w:hAnsiTheme="minorHAnsi" w:cs="Arial"/>
          <w:kern w:val="2"/>
          <w:sz w:val="21"/>
          <w:szCs w:val="21"/>
          <w14:ligatures w14:val="standardContextual"/>
        </w:rPr>
        <w:t>strong support</w:t>
      </w:r>
      <w:r w:rsidR="00C14997">
        <w:rPr>
          <w:rFonts w:asciiTheme="minorHAnsi" w:eastAsia="Arial" w:hAnsiTheme="minorHAnsi" w:cs="Arial"/>
          <w:kern w:val="2"/>
          <w:sz w:val="21"/>
          <w:szCs w:val="21"/>
          <w14:ligatures w14:val="standardContextual"/>
        </w:rPr>
        <w:t xml:space="preserve"> for the</w:t>
      </w:r>
      <w:r w:rsidR="00B57913">
        <w:rPr>
          <w:rFonts w:asciiTheme="minorHAnsi" w:eastAsia="Arial" w:hAnsiTheme="minorHAnsi" w:cs="Arial"/>
          <w:kern w:val="2"/>
          <w:sz w:val="21"/>
          <w:szCs w:val="21"/>
          <w14:ligatures w14:val="standardContextual"/>
        </w:rPr>
        <w:t xml:space="preserve"> </w:t>
      </w:r>
      <w:r w:rsidR="0013466E">
        <w:rPr>
          <w:rFonts w:asciiTheme="minorHAnsi" w:eastAsia="Arial" w:hAnsiTheme="minorHAnsi" w:cs="Arial"/>
          <w:kern w:val="2"/>
          <w:sz w:val="21"/>
          <w:szCs w:val="21"/>
          <w14:ligatures w14:val="standardContextual"/>
        </w:rPr>
        <w:t>expansion</w:t>
      </w:r>
      <w:r w:rsidR="00C14997">
        <w:rPr>
          <w:rFonts w:asciiTheme="minorHAnsi" w:eastAsia="Arial" w:hAnsiTheme="minorHAnsi" w:cs="Arial"/>
          <w:kern w:val="2"/>
          <w:sz w:val="21"/>
          <w:szCs w:val="21"/>
          <w14:ligatures w14:val="standardContextual"/>
        </w:rPr>
        <w:t>.</w:t>
      </w:r>
    </w:p>
    <w:p w14:paraId="405A10A5" w14:textId="63D5F3A9" w:rsidR="00853EB0" w:rsidRPr="00C14997" w:rsidRDefault="00C14997" w:rsidP="00742B85">
      <w:pPr>
        <w:spacing w:after="240"/>
        <w:jc w:val="both"/>
        <w:rPr>
          <w:rFonts w:asciiTheme="minorHAnsi" w:eastAsia="Arial" w:hAnsiTheme="minorHAnsi" w:cs="Arial"/>
          <w:kern w:val="2"/>
          <w:sz w:val="21"/>
          <w:szCs w:val="21"/>
          <w14:ligatures w14:val="standardContextual"/>
        </w:rPr>
      </w:pPr>
      <w:r>
        <w:rPr>
          <w:rFonts w:asciiTheme="minorHAnsi" w:eastAsia="Arial" w:hAnsiTheme="minorHAnsi" w:cs="Arial"/>
          <w:kern w:val="2"/>
          <w:sz w:val="21"/>
          <w:szCs w:val="21"/>
          <w14:ligatures w14:val="standardContextual"/>
        </w:rPr>
        <w:t xml:space="preserve">The Proposed Project was also presented to the Patient and Family Advisory </w:t>
      </w:r>
      <w:r w:rsidR="0013466E">
        <w:rPr>
          <w:rFonts w:asciiTheme="minorHAnsi" w:eastAsia="Arial" w:hAnsiTheme="minorHAnsi" w:cs="Arial"/>
          <w:kern w:val="2"/>
          <w:sz w:val="21"/>
          <w:szCs w:val="21"/>
          <w14:ligatures w14:val="standardContextual"/>
        </w:rPr>
        <w:t>Council</w:t>
      </w:r>
      <w:r>
        <w:rPr>
          <w:rFonts w:asciiTheme="minorHAnsi" w:eastAsia="Arial" w:hAnsiTheme="minorHAnsi" w:cs="Arial"/>
          <w:kern w:val="2"/>
          <w:sz w:val="21"/>
          <w:szCs w:val="21"/>
          <w14:ligatures w14:val="standardContextual"/>
        </w:rPr>
        <w:t xml:space="preserve"> on November 5, 2025. </w:t>
      </w:r>
      <w:r w:rsidR="009110C1">
        <w:rPr>
          <w:rFonts w:asciiTheme="minorHAnsi" w:eastAsia="Arial" w:hAnsiTheme="minorHAnsi" w:cs="Arial"/>
          <w:kern w:val="2"/>
          <w:sz w:val="21"/>
          <w:szCs w:val="21"/>
          <w14:ligatures w14:val="standardContextual"/>
        </w:rPr>
        <w:t>S</w:t>
      </w:r>
      <w:r w:rsidR="00A04D93">
        <w:rPr>
          <w:rFonts w:asciiTheme="minorHAnsi" w:eastAsia="Arial" w:hAnsiTheme="minorHAnsi" w:cs="Arial"/>
          <w:kern w:val="2"/>
          <w:sz w:val="21"/>
          <w:szCs w:val="21"/>
          <w14:ligatures w14:val="standardContextual"/>
        </w:rPr>
        <w:t>ix</w:t>
      </w:r>
      <w:r w:rsidR="009110C1">
        <w:rPr>
          <w:rFonts w:asciiTheme="minorHAnsi" w:eastAsia="Arial" w:hAnsiTheme="minorHAnsi" w:cs="Arial"/>
          <w:kern w:val="2"/>
          <w:sz w:val="21"/>
          <w:szCs w:val="21"/>
          <w14:ligatures w14:val="standardContextual"/>
        </w:rPr>
        <w:t xml:space="preserve"> (</w:t>
      </w:r>
      <w:r w:rsidR="00A04D93">
        <w:rPr>
          <w:rFonts w:asciiTheme="minorHAnsi" w:eastAsia="Arial" w:hAnsiTheme="minorHAnsi" w:cs="Arial"/>
          <w:kern w:val="2"/>
          <w:sz w:val="21"/>
          <w:szCs w:val="21"/>
          <w14:ligatures w14:val="standardContextual"/>
        </w:rPr>
        <w:t>6</w:t>
      </w:r>
      <w:r w:rsidR="009110C1">
        <w:rPr>
          <w:rFonts w:asciiTheme="minorHAnsi" w:eastAsia="Arial" w:hAnsiTheme="minorHAnsi" w:cs="Arial"/>
          <w:kern w:val="2"/>
          <w:sz w:val="21"/>
          <w:szCs w:val="21"/>
          <w14:ligatures w14:val="standardContextual"/>
        </w:rPr>
        <w:t xml:space="preserve">) members were present and were provided detailed </w:t>
      </w:r>
      <w:r w:rsidR="0013466E">
        <w:rPr>
          <w:rFonts w:asciiTheme="minorHAnsi" w:eastAsia="Arial" w:hAnsiTheme="minorHAnsi" w:cs="Arial"/>
          <w:kern w:val="2"/>
          <w:sz w:val="21"/>
          <w:szCs w:val="21"/>
          <w14:ligatures w14:val="standardContextual"/>
        </w:rPr>
        <w:t xml:space="preserve">information </w:t>
      </w:r>
      <w:r w:rsidR="009110C1">
        <w:rPr>
          <w:rFonts w:asciiTheme="minorHAnsi" w:eastAsia="Arial" w:hAnsiTheme="minorHAnsi" w:cs="Arial"/>
          <w:kern w:val="2"/>
          <w:sz w:val="21"/>
          <w:szCs w:val="21"/>
          <w14:ligatures w14:val="standardContextual"/>
        </w:rPr>
        <w:t xml:space="preserve">about the Proposed Project including the current backlog of patients with endoscopy orders and how additional endoscopy capacity will improve health outcomes by expanding access. Following the presentation, the members present voiced their support for the Proposed Project. </w:t>
      </w:r>
    </w:p>
    <w:p w14:paraId="360552DD" w14:textId="77777777" w:rsidR="00871044" w:rsidRDefault="00871044" w:rsidP="00742B85">
      <w:pPr>
        <w:spacing w:after="240"/>
        <w:ind w:left="1440" w:hanging="1440"/>
        <w:jc w:val="both"/>
        <w:rPr>
          <w:rFonts w:asciiTheme="minorHAnsi" w:hAnsiTheme="minorHAnsi" w:cs="Arial"/>
          <w:b/>
          <w:kern w:val="2"/>
          <w:sz w:val="21"/>
          <w:szCs w:val="21"/>
          <w14:ligatures w14:val="standardContextual"/>
        </w:rPr>
      </w:pPr>
    </w:p>
    <w:p w14:paraId="525D8208" w14:textId="77777777" w:rsidR="00871044" w:rsidRDefault="00871044" w:rsidP="00742B85">
      <w:pPr>
        <w:spacing w:after="240"/>
        <w:ind w:left="1440" w:hanging="1440"/>
        <w:jc w:val="both"/>
        <w:rPr>
          <w:rFonts w:asciiTheme="minorHAnsi" w:hAnsiTheme="minorHAnsi" w:cs="Arial"/>
          <w:b/>
          <w:kern w:val="2"/>
          <w:sz w:val="21"/>
          <w:szCs w:val="21"/>
          <w14:ligatures w14:val="standardContextual"/>
        </w:rPr>
      </w:pPr>
    </w:p>
    <w:p w14:paraId="36E40565" w14:textId="77777777" w:rsidR="00871044" w:rsidRDefault="00871044" w:rsidP="00742B85">
      <w:pPr>
        <w:spacing w:after="240"/>
        <w:ind w:left="1440" w:hanging="1440"/>
        <w:jc w:val="both"/>
        <w:rPr>
          <w:rFonts w:asciiTheme="minorHAnsi" w:hAnsiTheme="minorHAnsi" w:cs="Arial"/>
          <w:b/>
          <w:kern w:val="2"/>
          <w:sz w:val="21"/>
          <w:szCs w:val="21"/>
          <w14:ligatures w14:val="standardContextual"/>
        </w:rPr>
      </w:pPr>
    </w:p>
    <w:p w14:paraId="5A3D5C70" w14:textId="68524312" w:rsidR="00853EB0" w:rsidRPr="00431D3A" w:rsidRDefault="00853EB0" w:rsidP="007A7E90">
      <w:pPr>
        <w:pStyle w:val="Heading2"/>
        <w:ind w:left="1440" w:hanging="1440"/>
        <w:rPr>
          <w:bCs/>
          <w:i/>
          <w:iCs/>
        </w:rPr>
      </w:pPr>
      <w:r w:rsidRPr="00431D3A">
        <w:t>F1.</w:t>
      </w:r>
      <w:proofErr w:type="gramStart"/>
      <w:r w:rsidRPr="00431D3A">
        <w:t>e.ii</w:t>
      </w:r>
      <w:proofErr w:type="gramEnd"/>
      <w:r w:rsidRPr="00431D3A">
        <w:tab/>
      </w:r>
      <w:r w:rsidRPr="00565CAE">
        <w:t xml:space="preserve">Please provide evidence of sound Community Engagement and consultation throughout the development of the Proposed Project. A successful Applicant will, at a minimum, describe the process whereby the "Public Health Value" of the Proposed </w:t>
      </w:r>
      <w:r w:rsidRPr="00565CAE">
        <w:lastRenderedPageBreak/>
        <w:t xml:space="preserve">Project was considered, and will describe the Community Engagement process as it occurred and is occurring currently in, at least, the following contexts: Identification of Patient Panel Need; Design/selection of </w:t>
      </w:r>
      <w:proofErr w:type="spellStart"/>
      <w:r w:rsidRPr="00565CAE">
        <w:t>DoN</w:t>
      </w:r>
      <w:proofErr w:type="spellEnd"/>
      <w:r w:rsidRPr="00565CAE">
        <w:t xml:space="preserve"> Project in response to "Patient Panel" need; and Linking the Proposed Project to "Public Health Value".</w:t>
      </w:r>
    </w:p>
    <w:p w14:paraId="7F100E00" w14:textId="734DDDB9" w:rsidR="00853EB0" w:rsidRPr="00431D3A" w:rsidRDefault="00853EB0" w:rsidP="00742B85">
      <w:pPr>
        <w:spacing w:after="240"/>
        <w:jc w:val="both"/>
        <w:rPr>
          <w:rFonts w:asciiTheme="minorHAnsi" w:hAnsiTheme="minorHAnsi" w:cs="Arial"/>
          <w:kern w:val="2"/>
          <w:sz w:val="21"/>
          <w:szCs w:val="21"/>
          <w14:ligatures w14:val="standardContextual"/>
        </w:rPr>
      </w:pPr>
      <w:r w:rsidRPr="00431D3A">
        <w:rPr>
          <w:rFonts w:asciiTheme="minorHAnsi" w:hAnsiTheme="minorHAnsi" w:cs="Arial"/>
          <w:kern w:val="2"/>
          <w:sz w:val="21"/>
          <w:szCs w:val="21"/>
          <w14:ligatures w14:val="standardContextual"/>
        </w:rPr>
        <w:t>To ensure sound community engagement throughout the development of the Proposed Project, the Applicant took the actions detailed in Factor</w:t>
      </w:r>
      <w:r w:rsidR="00A47966">
        <w:rPr>
          <w:rFonts w:asciiTheme="minorHAnsi" w:hAnsiTheme="minorHAnsi" w:cs="Arial"/>
          <w:kern w:val="2"/>
          <w:sz w:val="21"/>
          <w:szCs w:val="21"/>
          <w14:ligatures w14:val="standardContextual"/>
        </w:rPr>
        <w:t xml:space="preserve"> </w:t>
      </w:r>
      <w:r w:rsidR="00F3648B">
        <w:rPr>
          <w:rFonts w:asciiTheme="minorHAnsi" w:hAnsiTheme="minorHAnsi" w:cs="Arial"/>
          <w:kern w:val="2"/>
          <w:sz w:val="21"/>
          <w:szCs w:val="21"/>
          <w14:ligatures w14:val="standardContextual"/>
        </w:rPr>
        <w:t>F</w:t>
      </w:r>
      <w:proofErr w:type="gramStart"/>
      <w:r w:rsidR="00F3648B">
        <w:rPr>
          <w:rFonts w:asciiTheme="minorHAnsi" w:hAnsiTheme="minorHAnsi" w:cs="Arial"/>
          <w:kern w:val="2"/>
          <w:sz w:val="21"/>
          <w:szCs w:val="21"/>
          <w14:ligatures w14:val="standardContextual"/>
        </w:rPr>
        <w:t>1.e.i</w:t>
      </w:r>
      <w:r w:rsidRPr="00431D3A">
        <w:rPr>
          <w:rFonts w:asciiTheme="minorHAnsi" w:hAnsiTheme="minorHAnsi" w:cs="Arial"/>
          <w:kern w:val="2"/>
          <w:sz w:val="21"/>
          <w:szCs w:val="21"/>
          <w14:ligatures w14:val="standardContextual"/>
        </w:rPr>
        <w:t>.</w:t>
      </w:r>
      <w:proofErr w:type="gramEnd"/>
      <w:r w:rsidRPr="00431D3A">
        <w:rPr>
          <w:rFonts w:asciiTheme="minorHAnsi" w:hAnsiTheme="minorHAnsi" w:cs="Arial"/>
          <w:kern w:val="2"/>
          <w:sz w:val="21"/>
          <w:szCs w:val="21"/>
          <w14:ligatures w14:val="standardContextual"/>
        </w:rPr>
        <w:t xml:space="preserve"> In addition, the Applicant published </w:t>
      </w:r>
      <w:r w:rsidR="0013466E">
        <w:rPr>
          <w:rFonts w:asciiTheme="minorHAnsi" w:hAnsiTheme="minorHAnsi" w:cs="Arial"/>
          <w:kern w:val="2"/>
          <w:sz w:val="21"/>
          <w:szCs w:val="21"/>
          <w14:ligatures w14:val="standardContextual"/>
        </w:rPr>
        <w:t xml:space="preserve">a </w:t>
      </w:r>
      <w:r w:rsidRPr="00431D3A">
        <w:rPr>
          <w:rFonts w:asciiTheme="minorHAnsi" w:hAnsiTheme="minorHAnsi" w:cs="Arial"/>
          <w:kern w:val="2"/>
          <w:sz w:val="21"/>
          <w:szCs w:val="21"/>
          <w14:ligatures w14:val="standardContextual"/>
        </w:rPr>
        <w:t xml:space="preserve">legal notice announcing the Proposed Project in the </w:t>
      </w:r>
      <w:r w:rsidR="00147321" w:rsidRPr="00431D3A">
        <w:rPr>
          <w:rFonts w:asciiTheme="minorHAnsi" w:hAnsiTheme="minorHAnsi" w:cs="Arial"/>
          <w:i/>
          <w:iCs/>
          <w:kern w:val="2"/>
          <w:sz w:val="21"/>
          <w:szCs w:val="21"/>
          <w14:ligatures w14:val="standardContextual"/>
        </w:rPr>
        <w:t>Daily Times Chronicle</w:t>
      </w:r>
      <w:r w:rsidRPr="00431D3A">
        <w:rPr>
          <w:rFonts w:asciiTheme="minorHAnsi" w:hAnsiTheme="minorHAnsi" w:cs="Arial"/>
          <w:kern w:val="2"/>
          <w:sz w:val="21"/>
          <w:szCs w:val="21"/>
          <w14:ligatures w14:val="standardContextual"/>
        </w:rPr>
        <w:t xml:space="preserve"> on </w:t>
      </w:r>
      <w:r w:rsidR="00147321" w:rsidRPr="00431D3A">
        <w:rPr>
          <w:rFonts w:asciiTheme="minorHAnsi" w:hAnsiTheme="minorHAnsi" w:cs="Arial"/>
          <w:kern w:val="2"/>
          <w:sz w:val="21"/>
          <w:szCs w:val="21"/>
          <w14:ligatures w14:val="standardContextual"/>
        </w:rPr>
        <w:t>October 16, 2025</w:t>
      </w:r>
      <w:r w:rsidRPr="00431D3A">
        <w:rPr>
          <w:rFonts w:asciiTheme="minorHAnsi" w:hAnsiTheme="minorHAnsi" w:cs="Arial"/>
          <w:kern w:val="2"/>
          <w:sz w:val="21"/>
          <w:szCs w:val="21"/>
          <w14:ligatures w14:val="standardContextual"/>
        </w:rPr>
        <w:t xml:space="preserve">, and posted a copy of </w:t>
      </w:r>
      <w:r w:rsidR="0013466E">
        <w:rPr>
          <w:rFonts w:asciiTheme="minorHAnsi" w:hAnsiTheme="minorHAnsi" w:cs="Arial"/>
          <w:kern w:val="2"/>
          <w:sz w:val="21"/>
          <w:szCs w:val="21"/>
          <w14:ligatures w14:val="standardContextual"/>
        </w:rPr>
        <w:t>the</w:t>
      </w:r>
      <w:r w:rsidRPr="00431D3A">
        <w:rPr>
          <w:rFonts w:asciiTheme="minorHAnsi" w:hAnsiTheme="minorHAnsi" w:cs="Arial"/>
          <w:kern w:val="2"/>
          <w:sz w:val="21"/>
          <w:szCs w:val="21"/>
          <w14:ligatures w14:val="standardContextual"/>
        </w:rPr>
        <w:t xml:space="preserve"> legal notice prominently on the Hospital’s website. Please refer to Appendix</w:t>
      </w:r>
      <w:r w:rsidR="009110C1">
        <w:rPr>
          <w:rFonts w:asciiTheme="minorHAnsi" w:hAnsiTheme="minorHAnsi" w:cs="Arial"/>
          <w:kern w:val="2"/>
          <w:sz w:val="21"/>
          <w:szCs w:val="21"/>
          <w14:ligatures w14:val="standardContextual"/>
        </w:rPr>
        <w:t xml:space="preserve"> 7</w:t>
      </w:r>
      <w:r w:rsidRPr="00431D3A">
        <w:rPr>
          <w:rFonts w:asciiTheme="minorHAnsi" w:hAnsiTheme="minorHAnsi" w:cs="Arial"/>
          <w:kern w:val="2"/>
          <w:sz w:val="21"/>
          <w:szCs w:val="21"/>
          <w14:ligatures w14:val="standardContextual"/>
        </w:rPr>
        <w:t xml:space="preserve"> for copies of the legal notices.</w:t>
      </w:r>
    </w:p>
    <w:p w14:paraId="7C066C06" w14:textId="77777777" w:rsidR="009807D1" w:rsidRPr="007A7E90" w:rsidRDefault="009807D1" w:rsidP="007A7E90">
      <w:pPr>
        <w:pStyle w:val="Heading1"/>
        <w:rPr>
          <w:u w:val="single"/>
        </w:rPr>
      </w:pPr>
      <w:r w:rsidRPr="007A7E90">
        <w:rPr>
          <w:u w:val="single"/>
        </w:rPr>
        <w:t>Factor 2: Health Priorities</w:t>
      </w:r>
    </w:p>
    <w:p w14:paraId="1D6B1A5E" w14:textId="77777777" w:rsidR="009807D1" w:rsidRPr="0013466E" w:rsidRDefault="009807D1" w:rsidP="00742B85">
      <w:pPr>
        <w:spacing w:after="240"/>
        <w:jc w:val="both"/>
        <w:rPr>
          <w:rFonts w:asciiTheme="minorHAnsi" w:hAnsiTheme="minorHAnsi"/>
          <w:b/>
          <w:kern w:val="2"/>
          <w:sz w:val="21"/>
          <w:szCs w:val="21"/>
          <w14:ligatures w14:val="standardContextual"/>
        </w:rPr>
      </w:pPr>
      <w:r w:rsidRPr="0013466E">
        <w:rPr>
          <w:rFonts w:asciiTheme="minorHAnsi" w:hAnsiTheme="minorHAnsi"/>
          <w:b/>
          <w:kern w:val="2"/>
          <w:sz w:val="21"/>
          <w:szCs w:val="21"/>
          <w14:ligatures w14:val="standardContextual"/>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30DF491D" w14:textId="77777777" w:rsidR="009807D1" w:rsidRPr="00431D3A" w:rsidRDefault="009807D1" w:rsidP="007A7E90">
      <w:pPr>
        <w:pStyle w:val="Heading2"/>
      </w:pPr>
      <w:r w:rsidRPr="00431D3A">
        <w:t>F2.a.</w:t>
      </w:r>
      <w:r w:rsidRPr="00431D3A">
        <w:tab/>
      </w:r>
      <w:r w:rsidRPr="00431D3A">
        <w:tab/>
        <w:t>Cost Containment</w:t>
      </w:r>
    </w:p>
    <w:p w14:paraId="0104A386" w14:textId="77777777" w:rsidR="009807D1" w:rsidRPr="00031808" w:rsidRDefault="009807D1" w:rsidP="00742B85">
      <w:pPr>
        <w:spacing w:after="240"/>
        <w:ind w:left="1440"/>
        <w:jc w:val="both"/>
        <w:rPr>
          <w:rFonts w:asciiTheme="minorHAnsi" w:hAnsiTheme="minorHAnsi"/>
          <w:b/>
          <w:kern w:val="2"/>
          <w:sz w:val="21"/>
          <w:szCs w:val="21"/>
          <w14:ligatures w14:val="standardContextual"/>
        </w:rPr>
      </w:pPr>
      <w:r w:rsidRPr="00031808">
        <w:rPr>
          <w:rFonts w:asciiTheme="minorHAnsi" w:hAnsiTheme="minorHAnsi"/>
          <w:b/>
          <w:kern w:val="2"/>
          <w:sz w:val="21"/>
          <w:szCs w:val="21"/>
          <w14:ligatures w14:val="standardContextual"/>
        </w:rPr>
        <w:t>Using objective data, please describe, for each new or expanded service, how the Proposed Project will meaningfully contribute to the Commonwealth's goals for cost containment.</w:t>
      </w:r>
    </w:p>
    <w:p w14:paraId="543190D8" w14:textId="107AE45A" w:rsidR="00565CAE" w:rsidRPr="00C83B01" w:rsidRDefault="009807D1" w:rsidP="00742B85">
      <w:pPr>
        <w:spacing w:after="240"/>
        <w:jc w:val="both"/>
        <w:rPr>
          <w:rFonts w:asciiTheme="minorHAnsi" w:eastAsia="Arial" w:hAnsiTheme="minorHAnsi"/>
          <w:kern w:val="2"/>
          <w:sz w:val="21"/>
          <w:szCs w:val="21"/>
        </w:rPr>
      </w:pPr>
      <w:r w:rsidRPr="00431D3A">
        <w:rPr>
          <w:rFonts w:asciiTheme="minorHAnsi" w:hAnsiTheme="minorHAnsi"/>
          <w:bCs/>
          <w:kern w:val="2"/>
          <w:sz w:val="21"/>
          <w:szCs w:val="21"/>
          <w14:ligatures w14:val="standardContextual"/>
        </w:rPr>
        <w:t>The Proposed Project will meaningfully contribute to the Commonwealth’s goals for cost containment by expanding access to high-quality endoscopy services</w:t>
      </w:r>
      <w:r w:rsidR="0013466E">
        <w:rPr>
          <w:rFonts w:asciiTheme="minorHAnsi" w:hAnsiTheme="minorHAnsi"/>
          <w:bCs/>
          <w:kern w:val="2"/>
          <w:sz w:val="21"/>
          <w:szCs w:val="21"/>
          <w14:ligatures w14:val="standardContextual"/>
        </w:rPr>
        <w:t xml:space="preserve"> in the community hospital setting</w:t>
      </w:r>
      <w:r w:rsidRPr="00431D3A">
        <w:rPr>
          <w:rFonts w:asciiTheme="minorHAnsi" w:hAnsiTheme="minorHAnsi"/>
          <w:bCs/>
          <w:kern w:val="2"/>
          <w:sz w:val="21"/>
          <w:szCs w:val="21"/>
          <w14:ligatures w14:val="standardContextual"/>
        </w:rPr>
        <w:t xml:space="preserve">. By increasing access to timely screening and diagnostic endoscopy procedures, the Applicant will contribute to a greater </w:t>
      </w:r>
      <w:r w:rsidR="00A9634A">
        <w:rPr>
          <w:rFonts w:asciiTheme="minorHAnsi" w:hAnsiTheme="minorHAnsi"/>
          <w:bCs/>
          <w:kern w:val="2"/>
          <w:sz w:val="21"/>
          <w:szCs w:val="21"/>
          <w14:ligatures w14:val="standardContextual"/>
        </w:rPr>
        <w:t>number</w:t>
      </w:r>
      <w:r w:rsidR="00A9634A" w:rsidRPr="00431D3A">
        <w:rPr>
          <w:rFonts w:asciiTheme="minorHAnsi" w:hAnsiTheme="minorHAnsi"/>
          <w:bCs/>
          <w:kern w:val="2"/>
          <w:sz w:val="21"/>
          <w:szCs w:val="21"/>
          <w14:ligatures w14:val="standardContextual"/>
        </w:rPr>
        <w:t xml:space="preserve"> </w:t>
      </w:r>
      <w:r w:rsidRPr="00431D3A">
        <w:rPr>
          <w:rFonts w:asciiTheme="minorHAnsi" w:hAnsiTheme="minorHAnsi"/>
          <w:bCs/>
          <w:kern w:val="2"/>
          <w:sz w:val="21"/>
          <w:szCs w:val="21"/>
          <w14:ligatures w14:val="standardContextual"/>
        </w:rPr>
        <w:t xml:space="preserve">of Massachusetts residents receiving high-quality screening and diagnostic endoscopy services, ultimately improving public health outcomes. </w:t>
      </w:r>
      <w:r w:rsidRPr="00431D3A">
        <w:rPr>
          <w:rFonts w:asciiTheme="minorHAnsi" w:eastAsia="Arial" w:hAnsiTheme="minorHAnsi"/>
          <w:kern w:val="2"/>
          <w:sz w:val="21"/>
          <w:szCs w:val="21"/>
        </w:rPr>
        <w:t>As discussed throughout this application, timely access to treatment not only improves health outcomes but also minimizes avoidable costs incur</w:t>
      </w:r>
      <w:r w:rsidR="0013466E">
        <w:rPr>
          <w:rFonts w:asciiTheme="minorHAnsi" w:eastAsia="Arial" w:hAnsiTheme="minorHAnsi"/>
          <w:kern w:val="2"/>
          <w:sz w:val="21"/>
          <w:szCs w:val="21"/>
        </w:rPr>
        <w:t>red</w:t>
      </w:r>
      <w:r w:rsidRPr="00431D3A">
        <w:rPr>
          <w:rFonts w:asciiTheme="minorHAnsi" w:eastAsia="Arial" w:hAnsiTheme="minorHAnsi"/>
          <w:kern w:val="2"/>
          <w:sz w:val="21"/>
          <w:szCs w:val="21"/>
        </w:rPr>
        <w:t xml:space="preserve"> </w:t>
      </w:r>
      <w:proofErr w:type="gramStart"/>
      <w:r w:rsidRPr="00431D3A">
        <w:rPr>
          <w:rFonts w:asciiTheme="minorHAnsi" w:eastAsia="Arial" w:hAnsiTheme="minorHAnsi"/>
          <w:kern w:val="2"/>
          <w:sz w:val="21"/>
          <w:szCs w:val="21"/>
        </w:rPr>
        <w:t>as a result of</w:t>
      </w:r>
      <w:proofErr w:type="gramEnd"/>
      <w:r w:rsidRPr="00431D3A">
        <w:rPr>
          <w:rFonts w:asciiTheme="minorHAnsi" w:eastAsia="Arial" w:hAnsiTheme="minorHAnsi"/>
          <w:kern w:val="2"/>
          <w:sz w:val="21"/>
          <w:szCs w:val="21"/>
        </w:rPr>
        <w:t xml:space="preserve"> delays in treatment. According to the </w:t>
      </w:r>
      <w:r w:rsidR="0013466E">
        <w:rPr>
          <w:rFonts w:asciiTheme="minorHAnsi" w:eastAsia="Arial" w:hAnsiTheme="minorHAnsi"/>
          <w:kern w:val="2"/>
          <w:sz w:val="21"/>
          <w:szCs w:val="21"/>
        </w:rPr>
        <w:t>Centers for Disease Control and Prevention</w:t>
      </w:r>
      <w:r w:rsidRPr="00431D3A">
        <w:rPr>
          <w:rFonts w:asciiTheme="minorHAnsi" w:eastAsia="Arial" w:hAnsiTheme="minorHAnsi"/>
          <w:kern w:val="2"/>
          <w:sz w:val="21"/>
          <w:szCs w:val="21"/>
        </w:rPr>
        <w:t>, less than 33% of colorectal cancers are found at an early stage.</w:t>
      </w:r>
      <w:r w:rsidRPr="00431D3A">
        <w:rPr>
          <w:rFonts w:asciiTheme="minorHAnsi" w:eastAsia="Arial" w:hAnsiTheme="minorHAnsi"/>
          <w:kern w:val="2"/>
          <w:sz w:val="21"/>
          <w:szCs w:val="21"/>
          <w:vertAlign w:val="superscript"/>
        </w:rPr>
        <w:footnoteReference w:id="57"/>
      </w:r>
      <w:r w:rsidRPr="00431D3A">
        <w:rPr>
          <w:rFonts w:asciiTheme="minorHAnsi" w:eastAsia="Arial" w:hAnsiTheme="minorHAnsi"/>
          <w:kern w:val="2"/>
          <w:sz w:val="21"/>
          <w:szCs w:val="21"/>
        </w:rPr>
        <w:t xml:space="preserve"> The most effective method to reduce risk of colorectal cancer is routine screening, allowing for precancerous polyps to be removed before they can turn into cancer and detecting cancer early when treatment is most effective.</w:t>
      </w:r>
      <w:r w:rsidRPr="00431D3A">
        <w:rPr>
          <w:rFonts w:asciiTheme="minorHAnsi" w:eastAsia="Arial" w:hAnsiTheme="minorHAnsi"/>
          <w:kern w:val="2"/>
          <w:sz w:val="21"/>
          <w:szCs w:val="21"/>
          <w:vertAlign w:val="superscript"/>
        </w:rPr>
        <w:footnoteReference w:id="58"/>
      </w:r>
      <w:r w:rsidRPr="00431D3A">
        <w:rPr>
          <w:rFonts w:asciiTheme="minorHAnsi" w:eastAsia="Arial" w:hAnsiTheme="minorHAnsi"/>
          <w:kern w:val="2"/>
          <w:sz w:val="21"/>
          <w:szCs w:val="21"/>
        </w:rPr>
        <w:t xml:space="preserve"> </w:t>
      </w:r>
      <w:r w:rsidR="0013466E">
        <w:rPr>
          <w:rFonts w:asciiTheme="minorHAnsi" w:eastAsia="Arial" w:hAnsiTheme="minorHAnsi"/>
          <w:kern w:val="2"/>
          <w:sz w:val="21"/>
          <w:szCs w:val="21"/>
        </w:rPr>
        <w:t>Despite the effectiveness of colonoscopy, screening adherence by Massachusetts residents is just 65.4%</w:t>
      </w:r>
      <w:r w:rsidR="008E71FE">
        <w:rPr>
          <w:rFonts w:asciiTheme="minorHAnsi" w:eastAsia="Arial" w:hAnsiTheme="minorHAnsi"/>
          <w:kern w:val="2"/>
          <w:sz w:val="21"/>
          <w:szCs w:val="21"/>
        </w:rPr>
        <w:t xml:space="preserve"> of adults between ages 45 and 75.</w:t>
      </w:r>
      <w:r w:rsidR="008E71FE">
        <w:rPr>
          <w:rStyle w:val="FootnoteReference"/>
          <w:rFonts w:asciiTheme="minorHAnsi" w:eastAsia="Arial" w:hAnsiTheme="minorHAnsi"/>
          <w:kern w:val="2"/>
          <w:sz w:val="21"/>
          <w:szCs w:val="21"/>
        </w:rPr>
        <w:footnoteReference w:id="59"/>
      </w:r>
      <w:r w:rsidR="008E71FE">
        <w:rPr>
          <w:rFonts w:asciiTheme="minorHAnsi" w:eastAsia="Arial" w:hAnsiTheme="minorHAnsi"/>
          <w:kern w:val="2"/>
          <w:sz w:val="21"/>
          <w:szCs w:val="21"/>
        </w:rPr>
        <w:t xml:space="preserve"> This figure is significantly below the National Colorectal Cancer Roundtable’s goal of achieving 80% screening adherence across all communities.</w:t>
      </w:r>
      <w:r w:rsidR="008E71FE">
        <w:rPr>
          <w:rStyle w:val="FootnoteReference"/>
          <w:rFonts w:asciiTheme="minorHAnsi" w:eastAsia="Arial" w:hAnsiTheme="minorHAnsi"/>
          <w:kern w:val="2"/>
          <w:sz w:val="21"/>
          <w:szCs w:val="21"/>
        </w:rPr>
        <w:footnoteReference w:id="60"/>
      </w:r>
      <w:r w:rsidR="008E71FE">
        <w:rPr>
          <w:rFonts w:asciiTheme="minorHAnsi" w:eastAsia="Arial" w:hAnsiTheme="minorHAnsi"/>
          <w:kern w:val="2"/>
          <w:sz w:val="21"/>
          <w:szCs w:val="21"/>
        </w:rPr>
        <w:t xml:space="preserve"> </w:t>
      </w:r>
      <w:r w:rsidRPr="00431D3A">
        <w:rPr>
          <w:rFonts w:asciiTheme="minorHAnsi" w:eastAsia="Arial" w:hAnsiTheme="minorHAnsi"/>
          <w:kern w:val="2"/>
          <w:sz w:val="21"/>
          <w:szCs w:val="21"/>
        </w:rPr>
        <w:t>Early colorectal screening also leads to significant cost savings; estimates show that increasing colorectal cancer screening rates to 70% among adults age 50 to 64 could reduce Medicare spending by $14 billion by 2050.</w:t>
      </w:r>
      <w:r w:rsidRPr="00431D3A">
        <w:rPr>
          <w:rFonts w:asciiTheme="minorHAnsi" w:eastAsia="Arial" w:hAnsiTheme="minorHAnsi"/>
          <w:kern w:val="2"/>
          <w:sz w:val="21"/>
          <w:szCs w:val="21"/>
          <w:vertAlign w:val="superscript"/>
        </w:rPr>
        <w:footnoteReference w:id="61"/>
      </w:r>
      <w:r w:rsidR="00B57913">
        <w:rPr>
          <w:rFonts w:asciiTheme="minorHAnsi" w:eastAsia="Arial" w:hAnsiTheme="minorHAnsi"/>
          <w:kern w:val="2"/>
          <w:sz w:val="21"/>
          <w:szCs w:val="21"/>
        </w:rPr>
        <w:t xml:space="preserve"> To that end, the Proposed Project </w:t>
      </w:r>
      <w:r w:rsidR="007A0F7C">
        <w:rPr>
          <w:rFonts w:asciiTheme="minorHAnsi" w:eastAsia="Arial" w:hAnsiTheme="minorHAnsi"/>
          <w:kern w:val="2"/>
          <w:sz w:val="21"/>
          <w:szCs w:val="21"/>
        </w:rPr>
        <w:t>will provide long-term financial benefit to its patients and the payers of healthcare.</w:t>
      </w:r>
    </w:p>
    <w:p w14:paraId="48DF7B65" w14:textId="77777777" w:rsidR="00871044" w:rsidRDefault="00871044" w:rsidP="00565CAE">
      <w:pPr>
        <w:spacing w:after="120"/>
        <w:jc w:val="both"/>
        <w:rPr>
          <w:rFonts w:asciiTheme="minorHAnsi" w:hAnsiTheme="minorHAnsi"/>
          <w:b/>
          <w:kern w:val="2"/>
          <w:sz w:val="21"/>
          <w:szCs w:val="21"/>
          <w14:ligatures w14:val="standardContextual"/>
        </w:rPr>
      </w:pPr>
    </w:p>
    <w:p w14:paraId="16BAE96B" w14:textId="77777777" w:rsidR="00871044" w:rsidRDefault="00871044" w:rsidP="00565CAE">
      <w:pPr>
        <w:spacing w:after="120"/>
        <w:jc w:val="both"/>
        <w:rPr>
          <w:rFonts w:asciiTheme="minorHAnsi" w:hAnsiTheme="minorHAnsi"/>
          <w:b/>
          <w:kern w:val="2"/>
          <w:sz w:val="21"/>
          <w:szCs w:val="21"/>
          <w14:ligatures w14:val="standardContextual"/>
        </w:rPr>
      </w:pPr>
    </w:p>
    <w:p w14:paraId="44A8D63E" w14:textId="408DB08D" w:rsidR="009807D1" w:rsidRPr="00431D3A" w:rsidRDefault="009807D1" w:rsidP="00B34C12">
      <w:pPr>
        <w:pStyle w:val="Heading2"/>
      </w:pPr>
      <w:r w:rsidRPr="00431D3A">
        <w:t>F2.b.</w:t>
      </w:r>
      <w:r w:rsidRPr="00431D3A">
        <w:tab/>
      </w:r>
      <w:r w:rsidRPr="00431D3A">
        <w:tab/>
        <w:t>Public Health Outcomes</w:t>
      </w:r>
    </w:p>
    <w:p w14:paraId="1C2FEF71" w14:textId="77777777" w:rsidR="009807D1" w:rsidRPr="00565CAE" w:rsidRDefault="009807D1" w:rsidP="00742B85">
      <w:pPr>
        <w:spacing w:after="240"/>
        <w:ind w:left="1440"/>
        <w:rPr>
          <w:rFonts w:asciiTheme="minorHAnsi" w:hAnsiTheme="minorHAnsi"/>
          <w:b/>
          <w:kern w:val="2"/>
          <w:sz w:val="21"/>
          <w:szCs w:val="21"/>
          <w14:ligatures w14:val="standardContextual"/>
        </w:rPr>
      </w:pPr>
      <w:r w:rsidRPr="00565CAE">
        <w:rPr>
          <w:rFonts w:asciiTheme="minorHAnsi" w:hAnsiTheme="minorHAnsi"/>
          <w:b/>
          <w:kern w:val="2"/>
          <w:sz w:val="21"/>
          <w:szCs w:val="21"/>
          <w14:ligatures w14:val="standardContextual"/>
        </w:rPr>
        <w:lastRenderedPageBreak/>
        <w:t xml:space="preserve">Describe, as relevant, for each new or expanded service, how the Proposed Project will improve public health outcomes. </w:t>
      </w:r>
    </w:p>
    <w:p w14:paraId="760174D9" w14:textId="0AD178CC" w:rsidR="009807D1" w:rsidRDefault="009807D1" w:rsidP="00742B85">
      <w:pPr>
        <w:spacing w:after="240"/>
        <w:jc w:val="both"/>
        <w:rPr>
          <w:rFonts w:asciiTheme="minorHAnsi" w:hAnsiTheme="minorHAnsi"/>
          <w:bCs/>
          <w:kern w:val="2"/>
          <w:sz w:val="21"/>
          <w:szCs w:val="21"/>
          <w14:ligatures w14:val="standardContextual"/>
        </w:rPr>
      </w:pPr>
      <w:r w:rsidRPr="00431D3A">
        <w:rPr>
          <w:rFonts w:asciiTheme="minorHAnsi" w:hAnsiTheme="minorHAnsi"/>
          <w:bCs/>
          <w:kern w:val="2"/>
          <w:sz w:val="21"/>
          <w:szCs w:val="21"/>
          <w14:ligatures w14:val="standardContextual"/>
        </w:rPr>
        <w:t>The Proposed Project will advance both public health and cost containment goals by delivering high-quality endoscopy services.</w:t>
      </w:r>
      <w:r w:rsidR="00787008" w:rsidRPr="00431D3A">
        <w:rPr>
          <w:sz w:val="21"/>
          <w:szCs w:val="21"/>
        </w:rPr>
        <w:t xml:space="preserve"> In 2025, an estimated 154,200 adults will be diagnosed with colorectal cancer nationally, with over 50,000 expected deaths.</w:t>
      </w:r>
      <w:r w:rsidR="00787008" w:rsidRPr="00431D3A">
        <w:rPr>
          <w:sz w:val="21"/>
          <w:szCs w:val="21"/>
          <w:vertAlign w:val="superscript"/>
        </w:rPr>
        <w:footnoteReference w:id="62"/>
      </w:r>
      <w:r w:rsidR="00787008" w:rsidRPr="00431D3A">
        <w:rPr>
          <w:sz w:val="21"/>
          <w:szCs w:val="21"/>
        </w:rPr>
        <w:t xml:space="preserve"> </w:t>
      </w:r>
      <w:r w:rsidR="00787008" w:rsidRPr="00431D3A">
        <w:rPr>
          <w:rFonts w:asciiTheme="minorHAnsi" w:hAnsiTheme="minorHAnsi"/>
          <w:bCs/>
          <w:kern w:val="2"/>
          <w:sz w:val="21"/>
          <w:szCs w:val="21"/>
          <w14:ligatures w14:val="standardContextual"/>
        </w:rPr>
        <w:t xml:space="preserve">Access to endoscopy services can help reduce these numbers. </w:t>
      </w:r>
      <w:r w:rsidRPr="00431D3A">
        <w:rPr>
          <w:rFonts w:asciiTheme="minorHAnsi" w:hAnsiTheme="minorHAnsi"/>
          <w:bCs/>
          <w:kern w:val="2"/>
          <w:sz w:val="21"/>
          <w:szCs w:val="21"/>
          <w14:ligatures w14:val="standardContextual"/>
        </w:rPr>
        <w:t xml:space="preserve">Patients are much more likely to undergo timely cancer screenings when services are </w:t>
      </w:r>
      <w:r w:rsidR="008E71FE">
        <w:rPr>
          <w:rFonts w:asciiTheme="minorHAnsi" w:hAnsiTheme="minorHAnsi"/>
          <w:bCs/>
          <w:kern w:val="2"/>
          <w:sz w:val="21"/>
          <w:szCs w:val="21"/>
          <w14:ligatures w14:val="standardContextual"/>
        </w:rPr>
        <w:t xml:space="preserve">readily available and </w:t>
      </w:r>
      <w:r w:rsidRPr="00431D3A">
        <w:rPr>
          <w:rFonts w:asciiTheme="minorHAnsi" w:hAnsiTheme="minorHAnsi"/>
          <w:bCs/>
          <w:kern w:val="2"/>
          <w:sz w:val="21"/>
          <w:szCs w:val="21"/>
          <w14:ligatures w14:val="standardContextual"/>
        </w:rPr>
        <w:t xml:space="preserve">easier to access, leading to earlier detection of colorectal cancer and more effective treatment. </w:t>
      </w:r>
      <w:r w:rsidR="008E71FE">
        <w:rPr>
          <w:rFonts w:asciiTheme="minorHAnsi" w:hAnsiTheme="minorHAnsi"/>
          <w:bCs/>
          <w:kern w:val="2"/>
          <w:sz w:val="21"/>
          <w:szCs w:val="21"/>
          <w14:ligatures w14:val="standardContextual"/>
        </w:rPr>
        <w:t xml:space="preserve">As a stand-alone facility </w:t>
      </w:r>
      <w:r w:rsidR="00764430">
        <w:rPr>
          <w:rFonts w:asciiTheme="minorHAnsi" w:hAnsiTheme="minorHAnsi"/>
          <w:bCs/>
          <w:kern w:val="2"/>
          <w:sz w:val="21"/>
          <w:szCs w:val="21"/>
          <w14:ligatures w14:val="standardContextual"/>
        </w:rPr>
        <w:t xml:space="preserve">not on the main campus of the Hospital, the Endoscopy Center offers patients on-site parking and a designated waiting room inside the main entrance, reducing issues related to navigation and wayfinding that is prevalent for hospital-based services. </w:t>
      </w:r>
      <w:r w:rsidRPr="00431D3A">
        <w:rPr>
          <w:rFonts w:asciiTheme="minorHAnsi" w:hAnsiTheme="minorHAnsi"/>
          <w:bCs/>
          <w:kern w:val="2"/>
          <w:sz w:val="21"/>
          <w:szCs w:val="21"/>
          <w14:ligatures w14:val="standardContextual"/>
        </w:rPr>
        <w:t xml:space="preserve">The Applicant also anticipates that younger patients, who may be dissuaded by the inconvenience of screenings, will also benefit from improved outcomes through more timely and convenient access to diagnostic </w:t>
      </w:r>
      <w:r w:rsidR="00FB1356" w:rsidRPr="00431D3A">
        <w:rPr>
          <w:rFonts w:asciiTheme="minorHAnsi" w:hAnsiTheme="minorHAnsi"/>
          <w:bCs/>
          <w:kern w:val="2"/>
          <w:sz w:val="21"/>
          <w:szCs w:val="21"/>
          <w14:ligatures w14:val="standardContextual"/>
        </w:rPr>
        <w:t xml:space="preserve">and preventative </w:t>
      </w:r>
      <w:r w:rsidRPr="00431D3A">
        <w:rPr>
          <w:rFonts w:asciiTheme="minorHAnsi" w:hAnsiTheme="minorHAnsi"/>
          <w:bCs/>
          <w:kern w:val="2"/>
          <w:sz w:val="21"/>
          <w:szCs w:val="21"/>
          <w14:ligatures w14:val="standardContextual"/>
        </w:rPr>
        <w:t xml:space="preserve">endoscopy services. By promoting earlier diagnostic and treatment opportunities, the Proposed Project will </w:t>
      </w:r>
      <w:r w:rsidR="00FB1356" w:rsidRPr="00431D3A">
        <w:rPr>
          <w:rFonts w:asciiTheme="minorHAnsi" w:hAnsiTheme="minorHAnsi"/>
          <w:bCs/>
          <w:kern w:val="2"/>
          <w:sz w:val="21"/>
          <w:szCs w:val="21"/>
          <w14:ligatures w14:val="standardContextual"/>
        </w:rPr>
        <w:t xml:space="preserve">help </w:t>
      </w:r>
      <w:r w:rsidR="009D49BB">
        <w:rPr>
          <w:rFonts w:asciiTheme="minorHAnsi" w:hAnsiTheme="minorHAnsi"/>
          <w:bCs/>
          <w:kern w:val="2"/>
          <w:sz w:val="21"/>
          <w:szCs w:val="21"/>
          <w14:ligatures w14:val="standardContextual"/>
        </w:rPr>
        <w:t>close the gap to achieving better</w:t>
      </w:r>
      <w:r w:rsidR="00FB1356" w:rsidRPr="00431D3A">
        <w:rPr>
          <w:rFonts w:asciiTheme="minorHAnsi" w:hAnsiTheme="minorHAnsi"/>
          <w:bCs/>
          <w:kern w:val="2"/>
          <w:sz w:val="21"/>
          <w:szCs w:val="21"/>
          <w14:ligatures w14:val="standardContextual"/>
        </w:rPr>
        <w:t xml:space="preserve"> adherence to colorectal cancer screening guidelines </w:t>
      </w:r>
      <w:r w:rsidR="009D49BB">
        <w:rPr>
          <w:rFonts w:asciiTheme="minorHAnsi" w:hAnsiTheme="minorHAnsi"/>
          <w:bCs/>
          <w:kern w:val="2"/>
          <w:sz w:val="21"/>
          <w:szCs w:val="21"/>
          <w14:ligatures w14:val="standardContextual"/>
        </w:rPr>
        <w:t xml:space="preserve">in Massachusetts, in turn </w:t>
      </w:r>
      <w:r w:rsidRPr="00431D3A">
        <w:rPr>
          <w:rFonts w:asciiTheme="minorHAnsi" w:hAnsiTheme="minorHAnsi"/>
          <w:bCs/>
          <w:kern w:val="2"/>
          <w:sz w:val="21"/>
          <w:szCs w:val="21"/>
          <w14:ligatures w14:val="standardContextual"/>
        </w:rPr>
        <w:t>improv</w:t>
      </w:r>
      <w:r w:rsidR="009D49BB">
        <w:rPr>
          <w:rFonts w:asciiTheme="minorHAnsi" w:hAnsiTheme="minorHAnsi"/>
          <w:bCs/>
          <w:kern w:val="2"/>
          <w:sz w:val="21"/>
          <w:szCs w:val="21"/>
          <w14:ligatures w14:val="standardContextual"/>
        </w:rPr>
        <w:t xml:space="preserve">ing </w:t>
      </w:r>
      <w:r w:rsidRPr="00431D3A">
        <w:rPr>
          <w:rFonts w:asciiTheme="minorHAnsi" w:hAnsiTheme="minorHAnsi"/>
          <w:bCs/>
          <w:kern w:val="2"/>
          <w:sz w:val="21"/>
          <w:szCs w:val="21"/>
          <w14:ligatures w14:val="standardContextual"/>
        </w:rPr>
        <w:t>health outcomes for the Applicant’s Patient Panel while contributing to the Commonwealth’s broader efforts to reduce healthcare costs.</w:t>
      </w:r>
    </w:p>
    <w:p w14:paraId="5C9F0D48" w14:textId="77777777" w:rsidR="009807D1" w:rsidRPr="00431D3A" w:rsidRDefault="009807D1" w:rsidP="00B34C12">
      <w:pPr>
        <w:pStyle w:val="Heading2"/>
      </w:pPr>
      <w:r w:rsidRPr="00431D3A">
        <w:t>F2.c.</w:t>
      </w:r>
      <w:r w:rsidRPr="00431D3A">
        <w:tab/>
      </w:r>
      <w:r w:rsidRPr="00431D3A">
        <w:tab/>
        <w:t>Delivery System Transformation</w:t>
      </w:r>
    </w:p>
    <w:p w14:paraId="5CCD6A7C" w14:textId="77777777" w:rsidR="009807D1" w:rsidRPr="00565CAE" w:rsidRDefault="009807D1" w:rsidP="00742B85">
      <w:pPr>
        <w:spacing w:after="240"/>
        <w:ind w:left="1440"/>
        <w:jc w:val="both"/>
        <w:rPr>
          <w:rFonts w:asciiTheme="minorHAnsi" w:hAnsiTheme="minorHAnsi"/>
          <w:b/>
          <w:kern w:val="2"/>
          <w:sz w:val="21"/>
          <w:szCs w:val="21"/>
          <w14:ligatures w14:val="standardContextual"/>
        </w:rPr>
      </w:pPr>
      <w:r w:rsidRPr="00565CAE">
        <w:rPr>
          <w:rFonts w:asciiTheme="minorHAnsi" w:hAnsiTheme="minorHAnsi"/>
          <w:b/>
          <w:kern w:val="2"/>
          <w:sz w:val="21"/>
          <w:szCs w:val="21"/>
          <w14:ligatures w14:val="standardContextual"/>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4F7AF408" w14:textId="2ABA2CDA" w:rsidR="009807D1" w:rsidRPr="00431D3A" w:rsidRDefault="009807D1" w:rsidP="007A0F7C">
      <w:pPr>
        <w:numPr>
          <w:ilvl w:val="0"/>
          <w:numId w:val="10"/>
        </w:numPr>
        <w:spacing w:after="120"/>
        <w:jc w:val="both"/>
        <w:rPr>
          <w:rFonts w:asciiTheme="minorHAnsi" w:hAnsiTheme="minorHAnsi"/>
          <w:bCs/>
          <w:sz w:val="21"/>
          <w:szCs w:val="21"/>
          <w:u w:val="single"/>
        </w:rPr>
      </w:pPr>
      <w:r w:rsidRPr="00431D3A">
        <w:rPr>
          <w:rFonts w:asciiTheme="minorHAnsi" w:hAnsiTheme="minorHAnsi"/>
          <w:bCs/>
          <w:sz w:val="21"/>
          <w:szCs w:val="21"/>
          <w:u w:val="single"/>
        </w:rPr>
        <w:t>Social Determinants of Health</w:t>
      </w:r>
      <w:r w:rsidR="00280C3D">
        <w:rPr>
          <w:rFonts w:asciiTheme="minorHAnsi" w:hAnsiTheme="minorHAnsi"/>
          <w:bCs/>
          <w:sz w:val="21"/>
          <w:szCs w:val="21"/>
          <w:u w:val="single"/>
        </w:rPr>
        <w:t xml:space="preserve"> (</w:t>
      </w:r>
      <w:proofErr w:type="spellStart"/>
      <w:r w:rsidR="00280C3D">
        <w:rPr>
          <w:rFonts w:asciiTheme="minorHAnsi" w:hAnsiTheme="minorHAnsi"/>
          <w:bCs/>
          <w:sz w:val="21"/>
          <w:szCs w:val="21"/>
          <w:u w:val="single"/>
        </w:rPr>
        <w:t>SDoH</w:t>
      </w:r>
      <w:proofErr w:type="spellEnd"/>
      <w:r w:rsidR="00280C3D">
        <w:rPr>
          <w:rFonts w:asciiTheme="minorHAnsi" w:hAnsiTheme="minorHAnsi"/>
          <w:bCs/>
          <w:sz w:val="21"/>
          <w:szCs w:val="21"/>
          <w:u w:val="single"/>
        </w:rPr>
        <w:t>)</w:t>
      </w:r>
    </w:p>
    <w:p w14:paraId="411DA583" w14:textId="65C6CFDD" w:rsidR="009807D1" w:rsidRPr="00431D3A" w:rsidRDefault="009807D1" w:rsidP="007A0F7C">
      <w:pPr>
        <w:spacing w:after="120"/>
        <w:jc w:val="both"/>
        <w:rPr>
          <w:rFonts w:asciiTheme="minorHAnsi" w:hAnsiTheme="minorHAnsi"/>
          <w:bCs/>
          <w:sz w:val="21"/>
          <w:szCs w:val="21"/>
        </w:rPr>
      </w:pPr>
      <w:r w:rsidRPr="00431D3A">
        <w:rPr>
          <w:rFonts w:asciiTheme="minorHAnsi" w:hAnsiTheme="minorHAnsi"/>
          <w:bCs/>
          <w:sz w:val="21"/>
          <w:szCs w:val="21"/>
        </w:rPr>
        <w:t xml:space="preserve">The Applicant integrates social services and community-based healthcare as a foundational aspect of its approach to delivering high-quality care. </w:t>
      </w:r>
      <w:proofErr w:type="spellStart"/>
      <w:r w:rsidRPr="00431D3A">
        <w:rPr>
          <w:rFonts w:asciiTheme="minorHAnsi" w:hAnsiTheme="minorHAnsi"/>
          <w:bCs/>
          <w:sz w:val="21"/>
          <w:szCs w:val="21"/>
        </w:rPr>
        <w:t>SDoH</w:t>
      </w:r>
      <w:proofErr w:type="spellEnd"/>
      <w:r w:rsidRPr="00431D3A">
        <w:rPr>
          <w:rFonts w:asciiTheme="minorHAnsi" w:hAnsiTheme="minorHAnsi"/>
          <w:bCs/>
          <w:sz w:val="21"/>
          <w:szCs w:val="21"/>
        </w:rPr>
        <w:t xml:space="preserve">, such as food insecurity, housing instability, transportation barriers, and utility difficulties, play a critical role in the Patient Panel’s health outcomes and overall well-being. To systematically assess the needs of the Patient Panel, </w:t>
      </w:r>
      <w:proofErr w:type="spellStart"/>
      <w:r w:rsidRPr="00431D3A">
        <w:rPr>
          <w:rFonts w:asciiTheme="minorHAnsi" w:hAnsiTheme="minorHAnsi"/>
          <w:bCs/>
          <w:sz w:val="21"/>
          <w:szCs w:val="21"/>
        </w:rPr>
        <w:t>SDoH</w:t>
      </w:r>
      <w:proofErr w:type="spellEnd"/>
      <w:r w:rsidRPr="00431D3A">
        <w:rPr>
          <w:rFonts w:asciiTheme="minorHAnsi" w:hAnsiTheme="minorHAnsi"/>
          <w:bCs/>
          <w:sz w:val="21"/>
          <w:szCs w:val="21"/>
        </w:rPr>
        <w:t xml:space="preserve"> screenings are conducted by the nursing staff for every patient upon </w:t>
      </w:r>
      <w:r w:rsidR="00280C3D">
        <w:rPr>
          <w:rFonts w:asciiTheme="minorHAnsi" w:hAnsiTheme="minorHAnsi"/>
          <w:bCs/>
          <w:sz w:val="21"/>
          <w:szCs w:val="21"/>
        </w:rPr>
        <w:t xml:space="preserve">hospital </w:t>
      </w:r>
      <w:r w:rsidRPr="00431D3A">
        <w:rPr>
          <w:rFonts w:asciiTheme="minorHAnsi" w:hAnsiTheme="minorHAnsi"/>
          <w:bCs/>
          <w:sz w:val="21"/>
          <w:szCs w:val="21"/>
        </w:rPr>
        <w:t xml:space="preserve">admission. </w:t>
      </w:r>
      <w:proofErr w:type="gramStart"/>
      <w:r w:rsidR="00280C3D">
        <w:rPr>
          <w:rFonts w:asciiTheme="minorHAnsi" w:hAnsiTheme="minorHAnsi"/>
          <w:bCs/>
          <w:sz w:val="21"/>
          <w:szCs w:val="21"/>
        </w:rPr>
        <w:t>S</w:t>
      </w:r>
      <w:r w:rsidRPr="00431D3A">
        <w:rPr>
          <w:rFonts w:asciiTheme="minorHAnsi" w:hAnsiTheme="minorHAnsi"/>
          <w:bCs/>
          <w:sz w:val="21"/>
          <w:szCs w:val="21"/>
        </w:rPr>
        <w:t>creenings include</w:t>
      </w:r>
      <w:proofErr w:type="gramEnd"/>
      <w:r w:rsidRPr="00431D3A">
        <w:rPr>
          <w:rFonts w:asciiTheme="minorHAnsi" w:hAnsiTheme="minorHAnsi"/>
          <w:bCs/>
          <w:sz w:val="21"/>
          <w:szCs w:val="21"/>
        </w:rPr>
        <w:t xml:space="preserve"> targeted questions addressing core social needs, such as food, housing, transportation, and interpersonal safety. The results are documented in the electronic medical record, ensuring that identified needs are tracked and addressed in a timely manner.</w:t>
      </w:r>
    </w:p>
    <w:p w14:paraId="4DA91BA6" w14:textId="77B9CE03" w:rsidR="00A02178" w:rsidRPr="00431D3A" w:rsidRDefault="009807D1" w:rsidP="007A0F7C">
      <w:pPr>
        <w:spacing w:after="120"/>
        <w:jc w:val="both"/>
        <w:rPr>
          <w:rFonts w:asciiTheme="minorHAnsi" w:hAnsiTheme="minorHAnsi"/>
          <w:bCs/>
          <w:sz w:val="21"/>
          <w:szCs w:val="21"/>
        </w:rPr>
      </w:pPr>
      <w:r w:rsidRPr="00431D3A">
        <w:rPr>
          <w:rFonts w:asciiTheme="minorHAnsi" w:hAnsiTheme="minorHAnsi"/>
          <w:bCs/>
          <w:sz w:val="21"/>
          <w:szCs w:val="21"/>
        </w:rPr>
        <w:t>When a patient screens positive for a social need, the Applicant implements a two-pronged approach to intervention. First, a referral is placed to the social work team</w:t>
      </w:r>
      <w:r w:rsidR="00280C3D">
        <w:rPr>
          <w:rFonts w:asciiTheme="minorHAnsi" w:hAnsiTheme="minorHAnsi"/>
          <w:bCs/>
          <w:sz w:val="21"/>
          <w:szCs w:val="21"/>
        </w:rPr>
        <w:t xml:space="preserve"> to provide</w:t>
      </w:r>
      <w:r w:rsidRPr="00431D3A">
        <w:rPr>
          <w:rFonts w:asciiTheme="minorHAnsi" w:hAnsiTheme="minorHAnsi"/>
          <w:bCs/>
          <w:sz w:val="21"/>
          <w:szCs w:val="21"/>
        </w:rPr>
        <w:t xml:space="preserve"> individualized support and advocacy. Second, the BILH Find Help platform is utilized to offer patients a curated list of local resources or direct referrals based on their needs and preferences. This ensures that patients receive both immediate and longer-term assistance tailored to their personal circumstances. </w:t>
      </w:r>
    </w:p>
    <w:p w14:paraId="7924A539" w14:textId="77777777" w:rsidR="009807D1" w:rsidRPr="00431D3A" w:rsidRDefault="009807D1" w:rsidP="007A0F7C">
      <w:pPr>
        <w:numPr>
          <w:ilvl w:val="0"/>
          <w:numId w:val="10"/>
        </w:numPr>
        <w:spacing w:after="120"/>
        <w:jc w:val="both"/>
        <w:rPr>
          <w:rFonts w:asciiTheme="minorHAnsi" w:hAnsiTheme="minorHAnsi"/>
          <w:bCs/>
          <w:sz w:val="21"/>
          <w:szCs w:val="21"/>
          <w:u w:val="single"/>
        </w:rPr>
      </w:pPr>
      <w:r w:rsidRPr="00431D3A">
        <w:rPr>
          <w:rFonts w:asciiTheme="minorHAnsi" w:hAnsiTheme="minorHAnsi"/>
          <w:bCs/>
          <w:sz w:val="21"/>
          <w:szCs w:val="21"/>
          <w:u w:val="single"/>
        </w:rPr>
        <w:t>Addressing Socioeconomic Barriers to Cancer Care</w:t>
      </w:r>
    </w:p>
    <w:p w14:paraId="0DE384E7" w14:textId="3AA861AF" w:rsidR="009807D1" w:rsidRDefault="009807D1" w:rsidP="007A0F7C">
      <w:pPr>
        <w:spacing w:after="120"/>
        <w:jc w:val="both"/>
        <w:rPr>
          <w:rFonts w:asciiTheme="minorHAnsi" w:hAnsiTheme="minorHAnsi"/>
          <w:bCs/>
          <w:kern w:val="2"/>
          <w:sz w:val="21"/>
          <w:szCs w:val="21"/>
          <w14:ligatures w14:val="standardContextual"/>
        </w:rPr>
      </w:pPr>
      <w:r w:rsidRPr="00431D3A">
        <w:rPr>
          <w:rFonts w:asciiTheme="minorHAnsi" w:hAnsiTheme="minorHAnsi"/>
          <w:bCs/>
          <w:kern w:val="2"/>
          <w:sz w:val="21"/>
          <w:szCs w:val="21"/>
          <w14:ligatures w14:val="standardContextual"/>
        </w:rPr>
        <w:t>Timely access to cancer screening and treatment is essential for achieving better health outcomes. Unfortunately, socioeconomic challenges can significantly hinder patients’ ability to access necessary cancer care.</w:t>
      </w:r>
      <w:r w:rsidRPr="00431D3A">
        <w:rPr>
          <w:rFonts w:asciiTheme="minorHAnsi" w:hAnsiTheme="minorHAnsi"/>
          <w:bCs/>
          <w:kern w:val="2"/>
          <w:sz w:val="21"/>
          <w:szCs w:val="21"/>
          <w:vertAlign w:val="superscript"/>
          <w14:ligatures w14:val="standardContextual"/>
        </w:rPr>
        <w:footnoteReference w:id="63"/>
      </w:r>
      <w:r w:rsidRPr="00431D3A">
        <w:rPr>
          <w:rFonts w:asciiTheme="minorHAnsi" w:hAnsiTheme="minorHAnsi"/>
          <w:bCs/>
          <w:kern w:val="2"/>
          <w:sz w:val="21"/>
          <w:szCs w:val="21"/>
          <w14:ligatures w14:val="standardContextual"/>
        </w:rPr>
        <w:t xml:space="preserve"> Issues such as poverty, housing instability, and transportation problems often prevent patients from following best practice screening guidelines.</w:t>
      </w:r>
      <w:r w:rsidRPr="00431D3A">
        <w:rPr>
          <w:rFonts w:asciiTheme="minorHAnsi" w:hAnsiTheme="minorHAnsi"/>
          <w:bCs/>
          <w:kern w:val="2"/>
          <w:sz w:val="21"/>
          <w:szCs w:val="21"/>
          <w:vertAlign w:val="superscript"/>
          <w14:ligatures w14:val="standardContextual"/>
        </w:rPr>
        <w:footnoteReference w:id="64"/>
      </w:r>
      <w:r w:rsidRPr="00431D3A">
        <w:rPr>
          <w:rFonts w:asciiTheme="minorHAnsi" w:hAnsiTheme="minorHAnsi"/>
          <w:bCs/>
          <w:kern w:val="2"/>
          <w:sz w:val="21"/>
          <w:szCs w:val="21"/>
          <w14:ligatures w14:val="standardContextual"/>
        </w:rPr>
        <w:t xml:space="preserve"> These same factors are associated with </w:t>
      </w:r>
      <w:r w:rsidRPr="00431D3A">
        <w:rPr>
          <w:rFonts w:asciiTheme="minorHAnsi" w:hAnsiTheme="minorHAnsi"/>
          <w:bCs/>
          <w:kern w:val="2"/>
          <w:sz w:val="21"/>
          <w:szCs w:val="21"/>
          <w14:ligatures w14:val="standardContextual"/>
        </w:rPr>
        <w:lastRenderedPageBreak/>
        <w:t>delays in starting treatment, receiving lower quality of care, and experiencing higher rates of missed treatments or early discontinuation, all of which negatively affect a patient’s overall outcome.</w:t>
      </w:r>
      <w:r w:rsidRPr="00431D3A">
        <w:rPr>
          <w:rFonts w:asciiTheme="minorHAnsi" w:hAnsiTheme="minorHAnsi"/>
          <w:bCs/>
          <w:kern w:val="2"/>
          <w:sz w:val="21"/>
          <w:szCs w:val="21"/>
          <w:vertAlign w:val="superscript"/>
          <w14:ligatures w14:val="standardContextual"/>
        </w:rPr>
        <w:footnoteReference w:id="65"/>
      </w:r>
      <w:r w:rsidRPr="00431D3A">
        <w:rPr>
          <w:rFonts w:asciiTheme="minorHAnsi" w:hAnsiTheme="minorHAnsi"/>
          <w:bCs/>
          <w:kern w:val="2"/>
          <w:sz w:val="21"/>
          <w:szCs w:val="21"/>
          <w14:ligatures w14:val="standardContextual"/>
        </w:rPr>
        <w:t xml:space="preserve"> By expanding access to high-quality endoscopy services, the Applicant seeks to address and reduce the barriers to treatment created by socioeconomic disadvantage. </w:t>
      </w:r>
      <w:r w:rsidR="00280C3D">
        <w:rPr>
          <w:rFonts w:asciiTheme="minorHAnsi" w:hAnsiTheme="minorHAnsi"/>
          <w:bCs/>
          <w:kern w:val="2"/>
          <w:sz w:val="21"/>
          <w:szCs w:val="21"/>
          <w14:ligatures w14:val="standardContextual"/>
        </w:rPr>
        <w:t>Expanding</w:t>
      </w:r>
      <w:r w:rsidR="00A047CA">
        <w:rPr>
          <w:rFonts w:asciiTheme="minorHAnsi" w:hAnsiTheme="minorHAnsi"/>
          <w:bCs/>
          <w:kern w:val="2"/>
          <w:sz w:val="21"/>
          <w:szCs w:val="21"/>
          <w14:ligatures w14:val="standardContextual"/>
        </w:rPr>
        <w:t xml:space="preserve"> capacity at </w:t>
      </w:r>
      <w:proofErr w:type="gramStart"/>
      <w:r w:rsidR="00A047CA">
        <w:rPr>
          <w:rFonts w:asciiTheme="minorHAnsi" w:hAnsiTheme="minorHAnsi"/>
          <w:bCs/>
          <w:kern w:val="2"/>
          <w:sz w:val="21"/>
          <w:szCs w:val="21"/>
          <w14:ligatures w14:val="standardContextual"/>
        </w:rPr>
        <w:t>the Endoscopy</w:t>
      </w:r>
      <w:proofErr w:type="gramEnd"/>
      <w:r w:rsidR="00A047CA">
        <w:rPr>
          <w:rFonts w:asciiTheme="minorHAnsi" w:hAnsiTheme="minorHAnsi"/>
          <w:bCs/>
          <w:kern w:val="2"/>
          <w:sz w:val="21"/>
          <w:szCs w:val="21"/>
          <w14:ligatures w14:val="standardContextual"/>
        </w:rPr>
        <w:t xml:space="preserve"> </w:t>
      </w:r>
      <w:r w:rsidR="00D01B6D">
        <w:rPr>
          <w:rFonts w:asciiTheme="minorHAnsi" w:hAnsiTheme="minorHAnsi"/>
          <w:bCs/>
          <w:kern w:val="2"/>
          <w:sz w:val="21"/>
          <w:szCs w:val="21"/>
          <w14:ligatures w14:val="standardContextual"/>
        </w:rPr>
        <w:t>improves access beyond procedural volume: patients will have more timely choices in scheduling their procedures at a convenient location within their community and within the BILH network. In addition, patients will continue to receive transportation assistance to ensure they can get to and from their procedure.</w:t>
      </w:r>
      <w:r w:rsidR="00280C3D">
        <w:rPr>
          <w:rFonts w:asciiTheme="minorHAnsi" w:hAnsiTheme="minorHAnsi"/>
          <w:bCs/>
          <w:kern w:val="2"/>
          <w:sz w:val="21"/>
          <w:szCs w:val="21"/>
          <w14:ligatures w14:val="standardContextual"/>
        </w:rPr>
        <w:t xml:space="preserve"> </w:t>
      </w:r>
      <w:r w:rsidRPr="00431D3A">
        <w:rPr>
          <w:rFonts w:asciiTheme="minorHAnsi" w:hAnsiTheme="minorHAnsi"/>
          <w:bCs/>
          <w:kern w:val="2"/>
          <w:sz w:val="21"/>
          <w:szCs w:val="21"/>
          <w14:ligatures w14:val="standardContextual"/>
        </w:rPr>
        <w:t>As a result, the Proposed Project will promote health equity and align with the Commonwealth’s broader efforts to reduce disparities and improve outcomes for all residents.</w:t>
      </w:r>
    </w:p>
    <w:p w14:paraId="2B9BA148" w14:textId="0EAB076A" w:rsidR="00D26BCE" w:rsidRPr="00D26BCE" w:rsidRDefault="007A0F7C" w:rsidP="007A0F7C">
      <w:pPr>
        <w:pStyle w:val="ListParagraph"/>
        <w:numPr>
          <w:ilvl w:val="0"/>
          <w:numId w:val="10"/>
        </w:numPr>
        <w:spacing w:after="120"/>
        <w:contextualSpacing w:val="0"/>
        <w:jc w:val="both"/>
        <w:rPr>
          <w:rFonts w:asciiTheme="minorHAnsi" w:hAnsiTheme="minorHAnsi"/>
          <w:bCs/>
          <w:kern w:val="2"/>
          <w:sz w:val="21"/>
          <w:szCs w:val="21"/>
          <w14:ligatures w14:val="standardContextual"/>
        </w:rPr>
      </w:pPr>
      <w:r>
        <w:rPr>
          <w:rFonts w:asciiTheme="minorHAnsi" w:hAnsiTheme="minorHAnsi"/>
          <w:bCs/>
          <w:kern w:val="2"/>
          <w:sz w:val="21"/>
          <w:szCs w:val="21"/>
          <w:u w:val="single"/>
          <w14:ligatures w14:val="standardContextual"/>
        </w:rPr>
        <w:t>Patient Education</w:t>
      </w:r>
    </w:p>
    <w:p w14:paraId="0B8C5BCE" w14:textId="5F6D0218" w:rsidR="00D26BCE" w:rsidRPr="00D26BCE" w:rsidRDefault="00D26BCE" w:rsidP="007A0F7C">
      <w:pPr>
        <w:spacing w:after="120"/>
        <w:jc w:val="both"/>
        <w:rPr>
          <w:rFonts w:asciiTheme="minorHAnsi" w:hAnsiTheme="minorHAnsi"/>
          <w:kern w:val="2"/>
          <w:sz w:val="21"/>
          <w:szCs w:val="21"/>
          <w14:ligatures w14:val="standardContextual"/>
        </w:rPr>
      </w:pPr>
      <w:r w:rsidRPr="00D26BCE">
        <w:rPr>
          <w:rFonts w:asciiTheme="minorHAnsi" w:hAnsiTheme="minorHAnsi"/>
          <w:kern w:val="2"/>
          <w:sz w:val="21"/>
          <w:szCs w:val="21"/>
          <w14:ligatures w14:val="standardContextual"/>
        </w:rPr>
        <w:t xml:space="preserve">Additionally, BILH recently introduced a resource guide for newly arrived migrants, which is available in English, Spanish, and Haitian Creole. The guide, </w:t>
      </w:r>
      <w:r w:rsidRPr="00D26BCE">
        <w:rPr>
          <w:rFonts w:asciiTheme="minorHAnsi" w:hAnsiTheme="minorHAnsi"/>
          <w:i/>
          <w:iCs/>
          <w:kern w:val="2"/>
          <w:sz w:val="21"/>
          <w:szCs w:val="21"/>
          <w14:ligatures w14:val="standardContextual"/>
        </w:rPr>
        <w:t>Healthcare in Massachusetts: Important Information for Your First Few Months</w:t>
      </w:r>
      <w:r w:rsidRPr="00D26BCE">
        <w:rPr>
          <w:rFonts w:asciiTheme="minorHAnsi" w:hAnsiTheme="minorHAnsi"/>
          <w:kern w:val="2"/>
          <w:sz w:val="21"/>
          <w:szCs w:val="21"/>
          <w14:ligatures w14:val="standardContextual"/>
        </w:rPr>
        <w:t>, explains the types of care available in the state, how and when to access different levels of care, and provides valuable information on health insurance enrollment and payment assistance programs.</w:t>
      </w:r>
    </w:p>
    <w:p w14:paraId="7D0D9E8F" w14:textId="77777777" w:rsidR="00551D3E" w:rsidRPr="00431D3A" w:rsidRDefault="00551D3E" w:rsidP="007B05F6">
      <w:pPr>
        <w:pStyle w:val="Heading1"/>
      </w:pPr>
      <w:r w:rsidRPr="00431D3A">
        <w:t>Factor 5: Relative Merit</w:t>
      </w:r>
    </w:p>
    <w:p w14:paraId="0E88CCBD" w14:textId="77777777" w:rsidR="00551D3E" w:rsidRPr="00431D3A" w:rsidRDefault="00551D3E" w:rsidP="007B05F6">
      <w:pPr>
        <w:pStyle w:val="Heading2"/>
        <w:ind w:left="1440" w:hanging="1440"/>
        <w:rPr>
          <w:bCs/>
          <w:i/>
          <w:iCs/>
        </w:rPr>
      </w:pPr>
      <w:r w:rsidRPr="00431D3A">
        <w:t>F5.</w:t>
      </w:r>
      <w:proofErr w:type="gramStart"/>
      <w:r w:rsidRPr="00431D3A">
        <w:t>a.i</w:t>
      </w:r>
      <w:proofErr w:type="gramEnd"/>
      <w:r w:rsidRPr="00431D3A">
        <w:tab/>
      </w:r>
      <w:r w:rsidRPr="00031808">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031808">
        <w:t>take into account</w:t>
      </w:r>
      <w:proofErr w:type="gramEnd"/>
      <w:r w:rsidRPr="00031808">
        <w:t>, at a minimum, the quality, efficiency, and capital and operating costs of the Proposed Project relative to potential alternatives or substitutes, including alternative evidence-based strategies and public health interventions</w:t>
      </w:r>
      <w:r w:rsidRPr="00431D3A">
        <w:rPr>
          <w:bCs/>
          <w:i/>
          <w:iCs/>
        </w:rPr>
        <w:t>.</w:t>
      </w:r>
    </w:p>
    <w:p w14:paraId="31231AA5" w14:textId="57C8A481" w:rsidR="00551D3E" w:rsidRPr="00031808" w:rsidRDefault="00551D3E" w:rsidP="009110C1">
      <w:pPr>
        <w:tabs>
          <w:tab w:val="left" w:pos="1440"/>
        </w:tabs>
        <w:autoSpaceDE w:val="0"/>
        <w:autoSpaceDN w:val="0"/>
        <w:adjustRightInd w:val="0"/>
        <w:spacing w:after="120"/>
        <w:ind w:left="1440" w:hanging="1440"/>
        <w:jc w:val="both"/>
        <w:rPr>
          <w:rFonts w:asciiTheme="minorHAnsi" w:hAnsiTheme="minorHAnsi" w:cs="Arial"/>
          <w:bCs/>
          <w:kern w:val="2"/>
          <w:sz w:val="21"/>
          <w:szCs w:val="21"/>
          <w:u w:val="single"/>
          <w14:ligatures w14:val="standardContextual"/>
        </w:rPr>
      </w:pPr>
      <w:r w:rsidRPr="00031808">
        <w:rPr>
          <w:rFonts w:asciiTheme="minorHAnsi" w:hAnsiTheme="minorHAnsi" w:cs="Arial"/>
          <w:bCs/>
          <w:kern w:val="2"/>
          <w:sz w:val="21"/>
          <w:szCs w:val="21"/>
          <w:u w:val="single"/>
          <w14:ligatures w14:val="standardContextual"/>
        </w:rPr>
        <w:t xml:space="preserve">Alternative Proposal 1: Extend operating hours at the </w:t>
      </w:r>
      <w:r w:rsidR="00772A22" w:rsidRPr="00031808">
        <w:rPr>
          <w:rFonts w:asciiTheme="minorHAnsi" w:hAnsiTheme="minorHAnsi" w:cs="Arial"/>
          <w:bCs/>
          <w:kern w:val="2"/>
          <w:sz w:val="21"/>
          <w:szCs w:val="21"/>
          <w:u w:val="single"/>
          <w14:ligatures w14:val="standardContextual"/>
        </w:rPr>
        <w:t>Endoscopy Center</w:t>
      </w:r>
      <w:r w:rsidRPr="00031808">
        <w:rPr>
          <w:rFonts w:asciiTheme="minorHAnsi" w:hAnsiTheme="minorHAnsi" w:cs="Arial"/>
          <w:bCs/>
          <w:kern w:val="2"/>
          <w:sz w:val="21"/>
          <w:szCs w:val="21"/>
          <w:u w:val="single"/>
          <w14:ligatures w14:val="standardContextual"/>
        </w:rPr>
        <w:t>.</w:t>
      </w:r>
    </w:p>
    <w:p w14:paraId="6E39D449" w14:textId="487DF00C" w:rsidR="00551D3E" w:rsidRPr="00431D3A" w:rsidRDefault="00D01B6D" w:rsidP="00D01B6D">
      <w:pPr>
        <w:autoSpaceDE w:val="0"/>
        <w:autoSpaceDN w:val="0"/>
        <w:adjustRightInd w:val="0"/>
        <w:spacing w:after="120"/>
        <w:ind w:left="720" w:hanging="1440"/>
        <w:jc w:val="both"/>
        <w:rPr>
          <w:rFonts w:asciiTheme="minorHAnsi" w:hAnsiTheme="minorHAnsi" w:cs="Arial"/>
          <w:bCs/>
          <w:kern w:val="2"/>
          <w:sz w:val="21"/>
          <w:szCs w:val="21"/>
          <w14:ligatures w14:val="standardContextual"/>
        </w:rPr>
      </w:pPr>
      <w:r>
        <w:rPr>
          <w:rFonts w:asciiTheme="minorHAnsi" w:hAnsiTheme="minorHAnsi" w:cs="Arial"/>
          <w:b/>
          <w:kern w:val="2"/>
          <w:sz w:val="21"/>
          <w:szCs w:val="21"/>
          <w14:ligatures w14:val="standardContextual"/>
        </w:rPr>
        <w:tab/>
      </w:r>
      <w:r w:rsidR="00551D3E" w:rsidRPr="00431D3A">
        <w:rPr>
          <w:rFonts w:asciiTheme="minorHAnsi" w:hAnsiTheme="minorHAnsi" w:cs="Arial"/>
          <w:b/>
          <w:kern w:val="2"/>
          <w:sz w:val="21"/>
          <w:szCs w:val="21"/>
          <w14:ligatures w14:val="standardContextual"/>
        </w:rPr>
        <w:t xml:space="preserve">Alternative Quality: </w:t>
      </w:r>
      <w:r w:rsidR="00551D3E" w:rsidRPr="00431D3A">
        <w:rPr>
          <w:rFonts w:asciiTheme="minorHAnsi" w:hAnsiTheme="minorHAnsi" w:cs="Arial"/>
          <w:bCs/>
          <w:kern w:val="2"/>
          <w:sz w:val="21"/>
          <w:szCs w:val="21"/>
          <w14:ligatures w14:val="standardContextual"/>
        </w:rPr>
        <w:t xml:space="preserve">Extending hours into the evenings and/or adding Saturday availability </w:t>
      </w:r>
      <w:r w:rsidR="00772A22">
        <w:rPr>
          <w:rFonts w:asciiTheme="minorHAnsi" w:hAnsiTheme="minorHAnsi" w:cs="Arial"/>
          <w:bCs/>
          <w:kern w:val="2"/>
          <w:sz w:val="21"/>
          <w:szCs w:val="21"/>
          <w14:ligatures w14:val="standardContextual"/>
        </w:rPr>
        <w:t>ignores the</w:t>
      </w:r>
      <w:r w:rsidR="00551D3E" w:rsidRPr="00431D3A">
        <w:rPr>
          <w:rFonts w:asciiTheme="minorHAnsi" w:hAnsiTheme="minorHAnsi" w:cs="Arial"/>
          <w:bCs/>
          <w:kern w:val="2"/>
          <w:sz w:val="21"/>
          <w:szCs w:val="21"/>
          <w14:ligatures w14:val="standardContextual"/>
        </w:rPr>
        <w:t xml:space="preserve"> key factors that contribute to high-quality, patient-centered care. </w:t>
      </w:r>
      <w:r w:rsidR="00772A22">
        <w:rPr>
          <w:rFonts w:asciiTheme="minorHAnsi" w:hAnsiTheme="minorHAnsi" w:cs="Arial"/>
          <w:bCs/>
          <w:kern w:val="2"/>
          <w:sz w:val="21"/>
          <w:szCs w:val="21"/>
          <w14:ligatures w14:val="standardContextual"/>
        </w:rPr>
        <w:t xml:space="preserve">Endoscopy requires patients to prepare </w:t>
      </w:r>
      <w:r w:rsidR="007A0F7C">
        <w:rPr>
          <w:rFonts w:asciiTheme="minorHAnsi" w:hAnsiTheme="minorHAnsi" w:cs="Arial"/>
          <w:bCs/>
          <w:kern w:val="2"/>
          <w:sz w:val="21"/>
          <w:szCs w:val="21"/>
          <w14:ligatures w14:val="standardContextual"/>
        </w:rPr>
        <w:t xml:space="preserve">at home </w:t>
      </w:r>
      <w:r w:rsidR="00772A22">
        <w:rPr>
          <w:rFonts w:asciiTheme="minorHAnsi" w:hAnsiTheme="minorHAnsi" w:cs="Arial"/>
          <w:bCs/>
          <w:kern w:val="2"/>
          <w:sz w:val="21"/>
          <w:szCs w:val="21"/>
          <w14:ligatures w14:val="standardContextual"/>
        </w:rPr>
        <w:t xml:space="preserve">ahead of the procedure by fasting starting the night before. When procedures start in the late afternoon, patients must fast for an uncomfortably long period which increases the likelihood that the patient does not follow instructions and cannot have the procedure as scheduled. </w:t>
      </w:r>
      <w:r w:rsidR="007A0F7C">
        <w:rPr>
          <w:rFonts w:asciiTheme="minorHAnsi" w:hAnsiTheme="minorHAnsi" w:cs="Arial"/>
          <w:bCs/>
          <w:kern w:val="2"/>
          <w:sz w:val="21"/>
          <w:szCs w:val="21"/>
          <w14:ligatures w14:val="standardContextual"/>
        </w:rPr>
        <w:t>For similar reasons,</w:t>
      </w:r>
      <w:r w:rsidR="00772A22">
        <w:rPr>
          <w:rFonts w:asciiTheme="minorHAnsi" w:hAnsiTheme="minorHAnsi" w:cs="Arial"/>
          <w:bCs/>
          <w:kern w:val="2"/>
          <w:sz w:val="21"/>
          <w:szCs w:val="21"/>
          <w14:ligatures w14:val="standardContextual"/>
        </w:rPr>
        <w:t xml:space="preserve"> patients are reluctant to schedule procedures </w:t>
      </w:r>
      <w:r w:rsidR="007A0F7C">
        <w:rPr>
          <w:rFonts w:asciiTheme="minorHAnsi" w:hAnsiTheme="minorHAnsi" w:cs="Arial"/>
          <w:bCs/>
          <w:kern w:val="2"/>
          <w:sz w:val="21"/>
          <w:szCs w:val="21"/>
          <w14:ligatures w14:val="standardContextual"/>
        </w:rPr>
        <w:t xml:space="preserve">following a holiday and the Hospital expects the same would be true for </w:t>
      </w:r>
      <w:r w:rsidR="00772A22">
        <w:rPr>
          <w:rFonts w:asciiTheme="minorHAnsi" w:hAnsiTheme="minorHAnsi" w:cs="Arial"/>
          <w:bCs/>
          <w:kern w:val="2"/>
          <w:sz w:val="21"/>
          <w:szCs w:val="21"/>
          <w14:ligatures w14:val="standardContextual"/>
        </w:rPr>
        <w:t>Saturdays. As a result, t</w:t>
      </w:r>
      <w:r w:rsidR="00551D3E" w:rsidRPr="00431D3A">
        <w:rPr>
          <w:rFonts w:asciiTheme="minorHAnsi" w:hAnsiTheme="minorHAnsi" w:cs="Arial"/>
          <w:bCs/>
          <w:kern w:val="2"/>
          <w:sz w:val="21"/>
          <w:szCs w:val="21"/>
          <w14:ligatures w14:val="standardContextual"/>
        </w:rPr>
        <w:t xml:space="preserve">his alternative </w:t>
      </w:r>
      <w:r w:rsidR="00772A22">
        <w:rPr>
          <w:rFonts w:asciiTheme="minorHAnsi" w:hAnsiTheme="minorHAnsi" w:cs="Arial"/>
          <w:bCs/>
          <w:kern w:val="2"/>
          <w:sz w:val="21"/>
          <w:szCs w:val="21"/>
          <w14:ligatures w14:val="standardContextual"/>
        </w:rPr>
        <w:t xml:space="preserve">is unlikely to </w:t>
      </w:r>
      <w:r w:rsidR="007A0F7C">
        <w:rPr>
          <w:rFonts w:asciiTheme="minorHAnsi" w:hAnsiTheme="minorHAnsi" w:cs="Arial"/>
          <w:bCs/>
          <w:kern w:val="2"/>
          <w:sz w:val="21"/>
          <w:szCs w:val="21"/>
          <w14:ligatures w14:val="standardContextual"/>
        </w:rPr>
        <w:t xml:space="preserve">meaningfully </w:t>
      </w:r>
      <w:r w:rsidR="00772A22">
        <w:rPr>
          <w:rFonts w:asciiTheme="minorHAnsi" w:hAnsiTheme="minorHAnsi" w:cs="Arial"/>
          <w:bCs/>
          <w:kern w:val="2"/>
          <w:sz w:val="21"/>
          <w:szCs w:val="21"/>
          <w14:ligatures w14:val="standardContextual"/>
        </w:rPr>
        <w:t xml:space="preserve">increase access to endoscopy. </w:t>
      </w:r>
    </w:p>
    <w:p w14:paraId="3B91EA02" w14:textId="35A53E72" w:rsidR="00551D3E" w:rsidRPr="00431D3A" w:rsidRDefault="00551D3E" w:rsidP="00D01B6D">
      <w:pPr>
        <w:tabs>
          <w:tab w:val="left" w:pos="720"/>
        </w:tabs>
        <w:autoSpaceDE w:val="0"/>
        <w:autoSpaceDN w:val="0"/>
        <w:adjustRightInd w:val="0"/>
        <w:spacing w:after="120"/>
        <w:ind w:left="720" w:hanging="1440"/>
        <w:jc w:val="both"/>
        <w:rPr>
          <w:rFonts w:asciiTheme="minorHAnsi" w:hAnsiTheme="minorHAnsi" w:cs="Arial"/>
          <w:bCs/>
          <w:kern w:val="2"/>
          <w:sz w:val="21"/>
          <w:szCs w:val="21"/>
          <w14:ligatures w14:val="standardContextual"/>
        </w:rPr>
      </w:pPr>
      <w:r w:rsidRPr="00431D3A">
        <w:rPr>
          <w:rFonts w:asciiTheme="minorHAnsi" w:hAnsiTheme="minorHAnsi" w:cs="Arial"/>
          <w:b/>
          <w:kern w:val="2"/>
          <w:sz w:val="21"/>
          <w:szCs w:val="21"/>
          <w14:ligatures w14:val="standardContextual"/>
        </w:rPr>
        <w:tab/>
        <w:t xml:space="preserve">Alternative Efficiency: </w:t>
      </w:r>
      <w:r w:rsidRPr="00431D3A">
        <w:rPr>
          <w:rFonts w:asciiTheme="minorHAnsi" w:hAnsiTheme="minorHAnsi" w:cs="Arial"/>
          <w:bCs/>
          <w:kern w:val="2"/>
          <w:sz w:val="21"/>
          <w:szCs w:val="21"/>
          <w14:ligatures w14:val="standardContextual"/>
        </w:rPr>
        <w:t xml:space="preserve">While using existing space </w:t>
      </w:r>
      <w:r w:rsidR="00D01B6D">
        <w:rPr>
          <w:rFonts w:asciiTheme="minorHAnsi" w:hAnsiTheme="minorHAnsi" w:cs="Arial"/>
          <w:bCs/>
          <w:kern w:val="2"/>
          <w:sz w:val="21"/>
          <w:szCs w:val="21"/>
          <w14:ligatures w14:val="standardContextual"/>
        </w:rPr>
        <w:t xml:space="preserve">for extended hours </w:t>
      </w:r>
      <w:r w:rsidRPr="00431D3A">
        <w:rPr>
          <w:rFonts w:asciiTheme="minorHAnsi" w:hAnsiTheme="minorHAnsi" w:cs="Arial"/>
          <w:bCs/>
          <w:kern w:val="2"/>
          <w:sz w:val="21"/>
          <w:szCs w:val="21"/>
          <w14:ligatures w14:val="standardContextual"/>
        </w:rPr>
        <w:t xml:space="preserve">may seem efficient, this alternative introduces inefficiencies related to scheduling and staffing. Evening and weekend sessions are historically underutilized, leading to suboptimal use of resources. Scheduling outside of standard hours may result in increased cancellations or no-shows, as patients are less willing to undergo procedures at inconvenient times. Furthermore, overtime requirements for staff </w:t>
      </w:r>
      <w:proofErr w:type="gramStart"/>
      <w:r w:rsidR="00984447">
        <w:rPr>
          <w:rFonts w:asciiTheme="minorHAnsi" w:hAnsiTheme="minorHAnsi" w:cs="Arial"/>
          <w:bCs/>
          <w:kern w:val="2"/>
          <w:sz w:val="21"/>
          <w:szCs w:val="21"/>
          <w14:ligatures w14:val="standardContextual"/>
        </w:rPr>
        <w:t>increases</w:t>
      </w:r>
      <w:proofErr w:type="gramEnd"/>
      <w:r w:rsidRPr="00431D3A">
        <w:rPr>
          <w:rFonts w:asciiTheme="minorHAnsi" w:hAnsiTheme="minorHAnsi" w:cs="Arial"/>
          <w:bCs/>
          <w:kern w:val="2"/>
          <w:sz w:val="21"/>
          <w:szCs w:val="21"/>
          <w14:ligatures w14:val="standardContextual"/>
        </w:rPr>
        <w:t xml:space="preserve"> </w:t>
      </w:r>
      <w:r w:rsidR="00D01B6D">
        <w:rPr>
          <w:rFonts w:asciiTheme="minorHAnsi" w:hAnsiTheme="minorHAnsi" w:cs="Arial"/>
          <w:bCs/>
          <w:kern w:val="2"/>
          <w:sz w:val="21"/>
          <w:szCs w:val="21"/>
          <w14:ligatures w14:val="standardContextual"/>
        </w:rPr>
        <w:t>operating costs</w:t>
      </w:r>
      <w:r w:rsidR="00B578AC">
        <w:rPr>
          <w:rFonts w:asciiTheme="minorHAnsi" w:hAnsiTheme="minorHAnsi" w:cs="Arial"/>
          <w:bCs/>
          <w:kern w:val="2"/>
          <w:sz w:val="21"/>
          <w:szCs w:val="21"/>
          <w14:ligatures w14:val="standardContextual"/>
        </w:rPr>
        <w:t xml:space="preserve"> while ensuring physician availability adds operational complexity.</w:t>
      </w:r>
    </w:p>
    <w:p w14:paraId="67CB215F" w14:textId="2D7F8845" w:rsidR="00551D3E" w:rsidRPr="00431D3A" w:rsidRDefault="00551D3E" w:rsidP="00D01B6D">
      <w:pPr>
        <w:tabs>
          <w:tab w:val="left" w:pos="720"/>
        </w:tabs>
        <w:autoSpaceDE w:val="0"/>
        <w:autoSpaceDN w:val="0"/>
        <w:adjustRightInd w:val="0"/>
        <w:spacing w:after="120"/>
        <w:ind w:left="720"/>
        <w:jc w:val="both"/>
        <w:rPr>
          <w:rFonts w:asciiTheme="minorHAnsi" w:hAnsiTheme="minorHAnsi" w:cs="Arial"/>
          <w:bCs/>
          <w:kern w:val="2"/>
          <w:sz w:val="21"/>
          <w:szCs w:val="21"/>
          <w14:ligatures w14:val="standardContextual"/>
        </w:rPr>
      </w:pPr>
      <w:r w:rsidRPr="00431D3A">
        <w:rPr>
          <w:rFonts w:asciiTheme="minorHAnsi" w:hAnsiTheme="minorHAnsi" w:cs="Arial"/>
          <w:b/>
          <w:kern w:val="2"/>
          <w:sz w:val="21"/>
          <w:szCs w:val="21"/>
          <w14:ligatures w14:val="standardContextual"/>
        </w:rPr>
        <w:t xml:space="preserve">Alternative Capital Expenses: </w:t>
      </w:r>
      <w:r w:rsidRPr="00431D3A">
        <w:rPr>
          <w:rFonts w:asciiTheme="minorHAnsi" w:hAnsiTheme="minorHAnsi" w:cs="Arial"/>
          <w:bCs/>
          <w:kern w:val="2"/>
          <w:sz w:val="21"/>
          <w:szCs w:val="21"/>
          <w14:ligatures w14:val="standardContextual"/>
        </w:rPr>
        <w:t xml:space="preserve">There are no capital expenses under this alternative. </w:t>
      </w:r>
    </w:p>
    <w:p w14:paraId="6BC9028D" w14:textId="082FEC91" w:rsidR="00031808" w:rsidRPr="00D01B6D" w:rsidRDefault="00551D3E" w:rsidP="00D01B6D">
      <w:pPr>
        <w:tabs>
          <w:tab w:val="left" w:pos="720"/>
        </w:tabs>
        <w:autoSpaceDE w:val="0"/>
        <w:autoSpaceDN w:val="0"/>
        <w:adjustRightInd w:val="0"/>
        <w:spacing w:after="120"/>
        <w:ind w:left="720" w:hanging="1440"/>
        <w:jc w:val="both"/>
        <w:rPr>
          <w:rFonts w:asciiTheme="minorHAnsi" w:hAnsiTheme="minorHAnsi" w:cs="Arial"/>
          <w:bCs/>
          <w:kern w:val="2"/>
          <w:sz w:val="21"/>
          <w:szCs w:val="21"/>
          <w14:ligatures w14:val="standardContextual"/>
        </w:rPr>
      </w:pPr>
      <w:r w:rsidRPr="00431D3A">
        <w:rPr>
          <w:rFonts w:asciiTheme="minorHAnsi" w:hAnsiTheme="minorHAnsi" w:cs="Arial"/>
          <w:b/>
          <w:kern w:val="2"/>
          <w:sz w:val="21"/>
          <w:szCs w:val="21"/>
          <w14:ligatures w14:val="standardContextual"/>
        </w:rPr>
        <w:tab/>
        <w:t xml:space="preserve">Alternative Operating Costs: </w:t>
      </w:r>
      <w:r w:rsidRPr="00431D3A">
        <w:rPr>
          <w:rFonts w:asciiTheme="minorHAnsi" w:hAnsiTheme="minorHAnsi" w:cs="Arial"/>
          <w:bCs/>
          <w:kern w:val="2"/>
          <w:sz w:val="21"/>
          <w:szCs w:val="21"/>
          <w14:ligatures w14:val="standardContextual"/>
        </w:rPr>
        <w:t>Operating costs would be higher due to overtime pay, shift differentials, and potential premium rates for physicians and ancillary staff as an incentive to work non-standard hours.</w:t>
      </w:r>
    </w:p>
    <w:p w14:paraId="1011BE39" w14:textId="015594A4" w:rsidR="00551D3E" w:rsidRPr="00031808" w:rsidRDefault="00551D3E" w:rsidP="009110C1">
      <w:pPr>
        <w:tabs>
          <w:tab w:val="left" w:pos="1440"/>
        </w:tabs>
        <w:autoSpaceDE w:val="0"/>
        <w:autoSpaceDN w:val="0"/>
        <w:adjustRightInd w:val="0"/>
        <w:spacing w:after="120"/>
        <w:ind w:left="1440" w:hanging="1440"/>
        <w:jc w:val="both"/>
        <w:rPr>
          <w:rFonts w:asciiTheme="minorHAnsi" w:hAnsiTheme="minorHAnsi" w:cs="Arial"/>
          <w:bCs/>
          <w:kern w:val="2"/>
          <w:sz w:val="21"/>
          <w:szCs w:val="21"/>
          <w:u w:val="single"/>
          <w14:ligatures w14:val="standardContextual"/>
        </w:rPr>
      </w:pPr>
      <w:r w:rsidRPr="00031808">
        <w:rPr>
          <w:rFonts w:asciiTheme="minorHAnsi" w:hAnsiTheme="minorHAnsi" w:cs="Arial"/>
          <w:bCs/>
          <w:kern w:val="2"/>
          <w:sz w:val="21"/>
          <w:szCs w:val="21"/>
          <w:u w:val="single"/>
          <w14:ligatures w14:val="standardContextual"/>
        </w:rPr>
        <w:lastRenderedPageBreak/>
        <w:t xml:space="preserve">Alternative Proposal 2: Expand endoscopy space at the </w:t>
      </w:r>
      <w:r w:rsidR="00D01B6D">
        <w:rPr>
          <w:rFonts w:asciiTheme="minorHAnsi" w:hAnsiTheme="minorHAnsi" w:cs="Arial"/>
          <w:bCs/>
          <w:kern w:val="2"/>
          <w:sz w:val="21"/>
          <w:szCs w:val="21"/>
          <w:u w:val="single"/>
          <w14:ligatures w14:val="standardContextual"/>
        </w:rPr>
        <w:t xml:space="preserve">Hospital’s </w:t>
      </w:r>
      <w:r w:rsidRPr="00031808">
        <w:rPr>
          <w:rFonts w:asciiTheme="minorHAnsi" w:hAnsiTheme="minorHAnsi" w:cs="Arial"/>
          <w:bCs/>
          <w:kern w:val="2"/>
          <w:sz w:val="21"/>
          <w:szCs w:val="21"/>
          <w:u w:val="single"/>
          <w14:ligatures w14:val="standardContextual"/>
        </w:rPr>
        <w:t>main campus</w:t>
      </w:r>
      <w:r w:rsidR="00D01B6D">
        <w:rPr>
          <w:rFonts w:asciiTheme="minorHAnsi" w:hAnsiTheme="minorHAnsi" w:cs="Arial"/>
          <w:bCs/>
          <w:kern w:val="2"/>
          <w:sz w:val="21"/>
          <w:szCs w:val="21"/>
          <w:u w:val="single"/>
          <w14:ligatures w14:val="standardContextual"/>
        </w:rPr>
        <w:t xml:space="preserve">. </w:t>
      </w:r>
    </w:p>
    <w:p w14:paraId="10D4E087" w14:textId="32698A86" w:rsidR="00551D3E" w:rsidRPr="00C85E83" w:rsidRDefault="00551D3E" w:rsidP="00D01B6D">
      <w:pPr>
        <w:tabs>
          <w:tab w:val="left" w:pos="720"/>
        </w:tabs>
        <w:autoSpaceDE w:val="0"/>
        <w:autoSpaceDN w:val="0"/>
        <w:adjustRightInd w:val="0"/>
        <w:spacing w:after="120"/>
        <w:ind w:left="720" w:hanging="720"/>
        <w:jc w:val="both"/>
        <w:rPr>
          <w:rFonts w:asciiTheme="minorHAnsi" w:hAnsiTheme="minorHAnsi" w:cs="Arial"/>
          <w:bCs/>
          <w:kern w:val="2"/>
          <w:sz w:val="21"/>
          <w:szCs w:val="21"/>
          <w14:ligatures w14:val="standardContextual"/>
        </w:rPr>
      </w:pPr>
      <w:r w:rsidRPr="00431D3A">
        <w:rPr>
          <w:rFonts w:asciiTheme="minorHAnsi" w:hAnsiTheme="minorHAnsi" w:cs="Arial"/>
          <w:b/>
          <w:kern w:val="2"/>
          <w:sz w:val="21"/>
          <w:szCs w:val="21"/>
          <w14:ligatures w14:val="standardContextual"/>
        </w:rPr>
        <w:tab/>
        <w:t xml:space="preserve">Alternative Quality: </w:t>
      </w:r>
      <w:r w:rsidRPr="00431D3A">
        <w:rPr>
          <w:rFonts w:asciiTheme="minorHAnsi" w:hAnsiTheme="minorHAnsi" w:cs="Arial"/>
          <w:bCs/>
          <w:kern w:val="2"/>
          <w:sz w:val="21"/>
          <w:szCs w:val="21"/>
          <w14:ligatures w14:val="standardContextual"/>
        </w:rPr>
        <w:t xml:space="preserve">Expanding endoscopy services at the </w:t>
      </w:r>
      <w:r w:rsidR="0025084A">
        <w:rPr>
          <w:rFonts w:asciiTheme="minorHAnsi" w:hAnsiTheme="minorHAnsi" w:cs="Arial"/>
          <w:bCs/>
          <w:kern w:val="2"/>
          <w:sz w:val="21"/>
          <w:szCs w:val="21"/>
          <w14:ligatures w14:val="standardContextual"/>
        </w:rPr>
        <w:t xml:space="preserve">Hospital’s </w:t>
      </w:r>
      <w:r w:rsidRPr="00431D3A">
        <w:rPr>
          <w:rFonts w:asciiTheme="minorHAnsi" w:hAnsiTheme="minorHAnsi" w:cs="Arial"/>
          <w:bCs/>
          <w:kern w:val="2"/>
          <w:sz w:val="21"/>
          <w:szCs w:val="21"/>
          <w14:ligatures w14:val="standardContextual"/>
        </w:rPr>
        <w:t xml:space="preserve">main campus does not align with the goal of providing care in more convenient, </w:t>
      </w:r>
      <w:r w:rsidR="00772A22">
        <w:rPr>
          <w:rFonts w:asciiTheme="minorHAnsi" w:hAnsiTheme="minorHAnsi" w:cs="Arial"/>
          <w:bCs/>
          <w:kern w:val="2"/>
          <w:sz w:val="21"/>
          <w:szCs w:val="21"/>
          <w14:ligatures w14:val="standardContextual"/>
        </w:rPr>
        <w:t>stand-alone facility</w:t>
      </w:r>
      <w:r w:rsidRPr="00431D3A">
        <w:rPr>
          <w:rFonts w:asciiTheme="minorHAnsi" w:hAnsiTheme="minorHAnsi" w:cs="Arial"/>
          <w:bCs/>
          <w:kern w:val="2"/>
          <w:sz w:val="21"/>
          <w:szCs w:val="21"/>
          <w14:ligatures w14:val="standardContextual"/>
        </w:rPr>
        <w:t xml:space="preserve"> The hospital environment may be less comfortable and accessible for patients seeking routine outpatient procedures, potentially impacting patient satisfaction and adherence to recommended screenings. </w:t>
      </w:r>
      <w:r w:rsidRPr="00C85E83">
        <w:rPr>
          <w:rFonts w:asciiTheme="minorHAnsi" w:hAnsiTheme="minorHAnsi" w:cs="Arial"/>
          <w:bCs/>
          <w:kern w:val="2"/>
          <w:sz w:val="21"/>
          <w:szCs w:val="21"/>
          <w14:ligatures w14:val="standardContextual"/>
        </w:rPr>
        <w:t>Furthermore, the main campus hospital lacks physical space for expanded endoscopy services.</w:t>
      </w:r>
    </w:p>
    <w:p w14:paraId="51B6521D" w14:textId="686D4CC8" w:rsidR="00551D3E" w:rsidRPr="00431D3A" w:rsidRDefault="00551D3E" w:rsidP="00D01B6D">
      <w:pPr>
        <w:tabs>
          <w:tab w:val="left" w:pos="720"/>
        </w:tabs>
        <w:autoSpaceDE w:val="0"/>
        <w:autoSpaceDN w:val="0"/>
        <w:adjustRightInd w:val="0"/>
        <w:spacing w:after="120"/>
        <w:ind w:left="720" w:hanging="720"/>
        <w:jc w:val="both"/>
        <w:rPr>
          <w:rFonts w:asciiTheme="minorHAnsi" w:hAnsiTheme="minorHAnsi" w:cs="Arial"/>
          <w:bCs/>
          <w:kern w:val="2"/>
          <w:sz w:val="21"/>
          <w:szCs w:val="21"/>
          <w14:ligatures w14:val="standardContextual"/>
        </w:rPr>
      </w:pPr>
      <w:r w:rsidRPr="00C85E83">
        <w:rPr>
          <w:rFonts w:asciiTheme="minorHAnsi" w:hAnsiTheme="minorHAnsi" w:cs="Arial"/>
          <w:b/>
          <w:kern w:val="2"/>
          <w:sz w:val="21"/>
          <w:szCs w:val="21"/>
          <w14:ligatures w14:val="standardContextual"/>
        </w:rPr>
        <w:tab/>
        <w:t xml:space="preserve">Alternative Efficiency: </w:t>
      </w:r>
      <w:r w:rsidR="00863E49" w:rsidRPr="00C85E83">
        <w:rPr>
          <w:rFonts w:asciiTheme="minorHAnsi" w:hAnsiTheme="minorHAnsi" w:cs="Arial"/>
          <w:bCs/>
          <w:kern w:val="2"/>
          <w:sz w:val="21"/>
          <w:szCs w:val="21"/>
          <w14:ligatures w14:val="standardContextual"/>
        </w:rPr>
        <w:t xml:space="preserve">The Hospital does not have </w:t>
      </w:r>
      <w:r w:rsidR="00D10752" w:rsidRPr="00C85E83">
        <w:rPr>
          <w:rFonts w:asciiTheme="minorHAnsi" w:hAnsiTheme="minorHAnsi" w:cs="Arial"/>
          <w:bCs/>
          <w:kern w:val="2"/>
          <w:sz w:val="21"/>
          <w:szCs w:val="21"/>
          <w14:ligatures w14:val="standardContextual"/>
        </w:rPr>
        <w:t>any available physical</w:t>
      </w:r>
      <w:r w:rsidR="00863E49" w:rsidRPr="00C85E83">
        <w:rPr>
          <w:rFonts w:asciiTheme="minorHAnsi" w:hAnsiTheme="minorHAnsi" w:cs="Arial"/>
          <w:bCs/>
          <w:kern w:val="2"/>
          <w:sz w:val="21"/>
          <w:szCs w:val="21"/>
          <w14:ligatures w14:val="standardContextual"/>
        </w:rPr>
        <w:t xml:space="preserve"> space</w:t>
      </w:r>
      <w:r w:rsidR="008D2135" w:rsidRPr="00C85E83">
        <w:rPr>
          <w:rFonts w:asciiTheme="minorHAnsi" w:hAnsiTheme="minorHAnsi" w:cs="Arial"/>
          <w:bCs/>
          <w:kern w:val="2"/>
          <w:sz w:val="21"/>
          <w:szCs w:val="21"/>
          <w14:ligatures w14:val="standardContextual"/>
        </w:rPr>
        <w:t xml:space="preserve"> at the main campus</w:t>
      </w:r>
      <w:r w:rsidR="00863E49" w:rsidRPr="00C85E83">
        <w:rPr>
          <w:rFonts w:asciiTheme="minorHAnsi" w:hAnsiTheme="minorHAnsi" w:cs="Arial"/>
          <w:bCs/>
          <w:kern w:val="2"/>
          <w:sz w:val="21"/>
          <w:szCs w:val="21"/>
          <w14:ligatures w14:val="standardContextual"/>
        </w:rPr>
        <w:t xml:space="preserve"> to </w:t>
      </w:r>
      <w:r w:rsidR="00D10752" w:rsidRPr="00C85E83">
        <w:rPr>
          <w:rFonts w:asciiTheme="minorHAnsi" w:hAnsiTheme="minorHAnsi" w:cs="Arial"/>
          <w:bCs/>
          <w:kern w:val="2"/>
          <w:sz w:val="21"/>
          <w:szCs w:val="21"/>
          <w14:ligatures w14:val="standardContextual"/>
        </w:rPr>
        <w:t>expand surgical capacity</w:t>
      </w:r>
      <w:r w:rsidR="008D2135" w:rsidRPr="00C85E83">
        <w:rPr>
          <w:rFonts w:asciiTheme="minorHAnsi" w:hAnsiTheme="minorHAnsi" w:cs="Arial"/>
          <w:bCs/>
          <w:kern w:val="2"/>
          <w:sz w:val="21"/>
          <w:szCs w:val="21"/>
          <w14:ligatures w14:val="standardContextual"/>
        </w:rPr>
        <w:t xml:space="preserve">. As a result, </w:t>
      </w:r>
      <w:r w:rsidR="00D10752" w:rsidRPr="00C85E83">
        <w:rPr>
          <w:rFonts w:asciiTheme="minorHAnsi" w:hAnsiTheme="minorHAnsi" w:cs="Arial"/>
          <w:bCs/>
          <w:kern w:val="2"/>
          <w:sz w:val="21"/>
          <w:szCs w:val="21"/>
          <w14:ligatures w14:val="standardContextual"/>
        </w:rPr>
        <w:t xml:space="preserve">any expansion of endoscopy services at the main campus would require </w:t>
      </w:r>
      <w:proofErr w:type="gramStart"/>
      <w:r w:rsidR="00D10752" w:rsidRPr="00C85E83">
        <w:rPr>
          <w:rFonts w:asciiTheme="minorHAnsi" w:hAnsiTheme="minorHAnsi" w:cs="Arial"/>
          <w:bCs/>
          <w:kern w:val="2"/>
          <w:sz w:val="21"/>
          <w:szCs w:val="21"/>
          <w14:ligatures w14:val="standardContextual"/>
        </w:rPr>
        <w:t>the</w:t>
      </w:r>
      <w:proofErr w:type="gramEnd"/>
      <w:r w:rsidR="00D10752" w:rsidRPr="00C85E83">
        <w:rPr>
          <w:rFonts w:asciiTheme="minorHAnsi" w:hAnsiTheme="minorHAnsi" w:cs="Arial"/>
          <w:bCs/>
          <w:kern w:val="2"/>
          <w:sz w:val="21"/>
          <w:szCs w:val="21"/>
          <w14:ligatures w14:val="standardContextual"/>
        </w:rPr>
        <w:t xml:space="preserve"> reduction</w:t>
      </w:r>
      <w:r w:rsidR="008D2135" w:rsidRPr="00C85E83">
        <w:rPr>
          <w:rFonts w:asciiTheme="minorHAnsi" w:hAnsiTheme="minorHAnsi" w:cs="Arial"/>
          <w:bCs/>
          <w:kern w:val="2"/>
          <w:sz w:val="21"/>
          <w:szCs w:val="21"/>
          <w14:ligatures w14:val="standardContextual"/>
        </w:rPr>
        <w:t xml:space="preserve"> of capacity for </w:t>
      </w:r>
      <w:r w:rsidR="00D10752" w:rsidRPr="00C85E83">
        <w:rPr>
          <w:rFonts w:asciiTheme="minorHAnsi" w:hAnsiTheme="minorHAnsi" w:cs="Arial"/>
          <w:bCs/>
          <w:kern w:val="2"/>
          <w:sz w:val="21"/>
          <w:szCs w:val="21"/>
          <w14:ligatures w14:val="standardContextual"/>
        </w:rPr>
        <w:t xml:space="preserve">other surgical service lines. </w:t>
      </w:r>
      <w:r w:rsidRPr="00C85E83">
        <w:rPr>
          <w:rFonts w:asciiTheme="minorHAnsi" w:hAnsiTheme="minorHAnsi" w:cs="Arial"/>
          <w:bCs/>
          <w:kern w:val="2"/>
          <w:sz w:val="21"/>
          <w:szCs w:val="21"/>
          <w14:ligatures w14:val="standardContextual"/>
        </w:rPr>
        <w:t xml:space="preserve">This process would </w:t>
      </w:r>
      <w:r w:rsidR="00D10752" w:rsidRPr="00C85E83">
        <w:rPr>
          <w:rFonts w:asciiTheme="minorHAnsi" w:hAnsiTheme="minorHAnsi" w:cs="Arial"/>
          <w:bCs/>
          <w:kern w:val="2"/>
          <w:sz w:val="21"/>
          <w:szCs w:val="21"/>
          <w14:ligatures w14:val="standardContextual"/>
        </w:rPr>
        <w:t xml:space="preserve">not only be </w:t>
      </w:r>
      <w:r w:rsidRPr="00C85E83">
        <w:rPr>
          <w:rFonts w:asciiTheme="minorHAnsi" w:hAnsiTheme="minorHAnsi" w:cs="Arial"/>
          <w:bCs/>
          <w:kern w:val="2"/>
          <w:sz w:val="21"/>
          <w:szCs w:val="21"/>
          <w14:ligatures w14:val="standardContextual"/>
        </w:rPr>
        <w:t xml:space="preserve">disruptive </w:t>
      </w:r>
      <w:r w:rsidR="00D10752" w:rsidRPr="00C85E83">
        <w:rPr>
          <w:rFonts w:asciiTheme="minorHAnsi" w:hAnsiTheme="minorHAnsi" w:cs="Arial"/>
          <w:bCs/>
          <w:kern w:val="2"/>
          <w:sz w:val="21"/>
          <w:szCs w:val="21"/>
          <w14:ligatures w14:val="standardContextual"/>
        </w:rPr>
        <w:t>to patients but would require</w:t>
      </w:r>
      <w:r w:rsidR="00482B77" w:rsidRPr="00C85E83">
        <w:rPr>
          <w:rFonts w:asciiTheme="minorHAnsi" w:hAnsiTheme="minorHAnsi" w:cs="Arial"/>
          <w:bCs/>
          <w:kern w:val="2"/>
          <w:sz w:val="21"/>
          <w:szCs w:val="21"/>
          <w14:ligatures w14:val="standardContextual"/>
        </w:rPr>
        <w:t xml:space="preserve"> </w:t>
      </w:r>
      <w:r w:rsidR="00D10752" w:rsidRPr="00C85E83">
        <w:rPr>
          <w:rFonts w:asciiTheme="minorHAnsi" w:hAnsiTheme="minorHAnsi" w:cs="Arial"/>
          <w:bCs/>
          <w:kern w:val="2"/>
          <w:sz w:val="21"/>
          <w:szCs w:val="21"/>
          <w14:ligatures w14:val="standardContextual"/>
        </w:rPr>
        <w:t>reducing the availability of block time for other surgical services, potentially creating wait times and backlogs for</w:t>
      </w:r>
      <w:r w:rsidR="008D2135" w:rsidRPr="00C85E83">
        <w:rPr>
          <w:rFonts w:asciiTheme="minorHAnsi" w:hAnsiTheme="minorHAnsi" w:cs="Arial"/>
          <w:bCs/>
          <w:kern w:val="2"/>
          <w:sz w:val="21"/>
          <w:szCs w:val="21"/>
          <w14:ligatures w14:val="standardContextual"/>
        </w:rPr>
        <w:t xml:space="preserve"> other needed services</w:t>
      </w:r>
      <w:r w:rsidR="00D10752" w:rsidRPr="00C85E83">
        <w:rPr>
          <w:rFonts w:asciiTheme="minorHAnsi" w:hAnsiTheme="minorHAnsi" w:cs="Arial"/>
          <w:bCs/>
          <w:kern w:val="2"/>
          <w:sz w:val="21"/>
          <w:szCs w:val="21"/>
          <w14:ligatures w14:val="standardContextual"/>
        </w:rPr>
        <w:t>.</w:t>
      </w:r>
      <w:r w:rsidR="00D10752">
        <w:rPr>
          <w:rFonts w:asciiTheme="minorHAnsi" w:hAnsiTheme="minorHAnsi" w:cs="Arial"/>
          <w:bCs/>
          <w:kern w:val="2"/>
          <w:sz w:val="21"/>
          <w:szCs w:val="21"/>
          <w14:ligatures w14:val="standardContextual"/>
        </w:rPr>
        <w:t xml:space="preserve"> </w:t>
      </w:r>
    </w:p>
    <w:p w14:paraId="5A790FC8" w14:textId="59CF07CF" w:rsidR="00551D3E" w:rsidRPr="00431D3A" w:rsidRDefault="00551D3E" w:rsidP="00D01B6D">
      <w:pPr>
        <w:tabs>
          <w:tab w:val="left" w:pos="720"/>
        </w:tabs>
        <w:autoSpaceDE w:val="0"/>
        <w:autoSpaceDN w:val="0"/>
        <w:adjustRightInd w:val="0"/>
        <w:spacing w:after="120"/>
        <w:ind w:left="720" w:hanging="720"/>
        <w:jc w:val="both"/>
        <w:rPr>
          <w:rFonts w:asciiTheme="minorHAnsi" w:hAnsiTheme="minorHAnsi" w:cs="Arial"/>
          <w:bCs/>
          <w:kern w:val="2"/>
          <w:sz w:val="21"/>
          <w:szCs w:val="21"/>
          <w14:ligatures w14:val="standardContextual"/>
        </w:rPr>
      </w:pPr>
      <w:r w:rsidRPr="00431D3A">
        <w:rPr>
          <w:rFonts w:asciiTheme="minorHAnsi" w:hAnsiTheme="minorHAnsi" w:cs="Arial"/>
          <w:b/>
          <w:kern w:val="2"/>
          <w:sz w:val="21"/>
          <w:szCs w:val="21"/>
          <w14:ligatures w14:val="standardContextual"/>
        </w:rPr>
        <w:tab/>
        <w:t xml:space="preserve">Alternative Capital Expenses: </w:t>
      </w:r>
      <w:r w:rsidRPr="00431D3A">
        <w:rPr>
          <w:rFonts w:asciiTheme="minorHAnsi" w:hAnsiTheme="minorHAnsi" w:cs="Arial"/>
          <w:bCs/>
          <w:kern w:val="2"/>
          <w:sz w:val="21"/>
          <w:szCs w:val="21"/>
          <w14:ligatures w14:val="standardContextual"/>
        </w:rPr>
        <w:t xml:space="preserve">This alternative would require </w:t>
      </w:r>
      <w:proofErr w:type="gramStart"/>
      <w:r w:rsidR="008E3BA1">
        <w:rPr>
          <w:rFonts w:asciiTheme="minorHAnsi" w:hAnsiTheme="minorHAnsi" w:cs="Arial"/>
          <w:bCs/>
          <w:kern w:val="2"/>
          <w:sz w:val="21"/>
          <w:szCs w:val="21"/>
          <w14:ligatures w14:val="standardContextual"/>
        </w:rPr>
        <w:t xml:space="preserve">a </w:t>
      </w:r>
      <w:r w:rsidRPr="00431D3A">
        <w:rPr>
          <w:rFonts w:asciiTheme="minorHAnsi" w:hAnsiTheme="minorHAnsi" w:cs="Arial"/>
          <w:bCs/>
          <w:kern w:val="2"/>
          <w:sz w:val="21"/>
          <w:szCs w:val="21"/>
          <w14:ligatures w14:val="standardContextual"/>
        </w:rPr>
        <w:t>substantial</w:t>
      </w:r>
      <w:proofErr w:type="gramEnd"/>
      <w:r w:rsidRPr="00431D3A">
        <w:rPr>
          <w:rFonts w:asciiTheme="minorHAnsi" w:hAnsiTheme="minorHAnsi" w:cs="Arial"/>
          <w:bCs/>
          <w:kern w:val="2"/>
          <w:sz w:val="21"/>
          <w:szCs w:val="21"/>
          <w14:ligatures w14:val="standardContextual"/>
        </w:rPr>
        <w:t xml:space="preserve"> capital expenditure</w:t>
      </w:r>
      <w:r w:rsidR="00772A22">
        <w:rPr>
          <w:rFonts w:asciiTheme="minorHAnsi" w:hAnsiTheme="minorHAnsi" w:cs="Arial"/>
          <w:bCs/>
          <w:kern w:val="2"/>
          <w:sz w:val="21"/>
          <w:szCs w:val="21"/>
          <w14:ligatures w14:val="standardContextual"/>
        </w:rPr>
        <w:t xml:space="preserve"> </w:t>
      </w:r>
      <w:proofErr w:type="gramStart"/>
      <w:r w:rsidR="00772A22">
        <w:rPr>
          <w:rFonts w:asciiTheme="minorHAnsi" w:hAnsiTheme="minorHAnsi" w:cs="Arial"/>
          <w:bCs/>
          <w:kern w:val="2"/>
          <w:sz w:val="21"/>
          <w:szCs w:val="21"/>
          <w14:ligatures w14:val="standardContextual"/>
        </w:rPr>
        <w:t>in order to</w:t>
      </w:r>
      <w:proofErr w:type="gramEnd"/>
      <w:r w:rsidR="00772A22">
        <w:rPr>
          <w:rFonts w:asciiTheme="minorHAnsi" w:hAnsiTheme="minorHAnsi" w:cs="Arial"/>
          <w:bCs/>
          <w:kern w:val="2"/>
          <w:sz w:val="21"/>
          <w:szCs w:val="21"/>
          <w14:ligatures w14:val="standardContextual"/>
        </w:rPr>
        <w:t xml:space="preserve"> </w:t>
      </w:r>
      <w:r w:rsidR="008E3BA1">
        <w:rPr>
          <w:rFonts w:asciiTheme="minorHAnsi" w:hAnsiTheme="minorHAnsi" w:cs="Arial"/>
          <w:bCs/>
          <w:kern w:val="2"/>
          <w:sz w:val="21"/>
          <w:szCs w:val="21"/>
          <w14:ligatures w14:val="standardContextual"/>
        </w:rPr>
        <w:t xml:space="preserve">create a dedicated space </w:t>
      </w:r>
      <w:r w:rsidR="00901F58">
        <w:rPr>
          <w:rFonts w:asciiTheme="minorHAnsi" w:hAnsiTheme="minorHAnsi" w:cs="Arial"/>
          <w:bCs/>
          <w:kern w:val="2"/>
          <w:sz w:val="21"/>
          <w:szCs w:val="21"/>
          <w14:ligatures w14:val="standardContextual"/>
        </w:rPr>
        <w:t xml:space="preserve">on </w:t>
      </w:r>
      <w:r w:rsidR="008E3BA1">
        <w:rPr>
          <w:rFonts w:asciiTheme="minorHAnsi" w:hAnsiTheme="minorHAnsi" w:cs="Arial"/>
          <w:bCs/>
          <w:kern w:val="2"/>
          <w:sz w:val="21"/>
          <w:szCs w:val="21"/>
          <w14:ligatures w14:val="standardContextual"/>
        </w:rPr>
        <w:t xml:space="preserve">the </w:t>
      </w:r>
      <w:r w:rsidR="0025084A">
        <w:rPr>
          <w:rFonts w:asciiTheme="minorHAnsi" w:hAnsiTheme="minorHAnsi" w:cs="Arial"/>
          <w:bCs/>
          <w:kern w:val="2"/>
          <w:sz w:val="21"/>
          <w:szCs w:val="21"/>
          <w14:ligatures w14:val="standardContextual"/>
        </w:rPr>
        <w:t xml:space="preserve">Hospital’s </w:t>
      </w:r>
      <w:r w:rsidR="008E3BA1">
        <w:rPr>
          <w:rFonts w:asciiTheme="minorHAnsi" w:hAnsiTheme="minorHAnsi" w:cs="Arial"/>
          <w:bCs/>
          <w:kern w:val="2"/>
          <w:sz w:val="21"/>
          <w:szCs w:val="21"/>
          <w14:ligatures w14:val="standardContextual"/>
        </w:rPr>
        <w:t>main campus.</w:t>
      </w:r>
    </w:p>
    <w:p w14:paraId="715F3F0C" w14:textId="6457BE10" w:rsidR="00551D3E" w:rsidRPr="00431D3A" w:rsidRDefault="00551D3E" w:rsidP="00D01B6D">
      <w:pPr>
        <w:tabs>
          <w:tab w:val="left" w:pos="720"/>
        </w:tabs>
        <w:autoSpaceDE w:val="0"/>
        <w:autoSpaceDN w:val="0"/>
        <w:adjustRightInd w:val="0"/>
        <w:spacing w:after="120"/>
        <w:ind w:left="720" w:hanging="720"/>
        <w:jc w:val="both"/>
        <w:rPr>
          <w:rFonts w:asciiTheme="minorHAnsi" w:hAnsiTheme="minorHAnsi" w:cs="Arial"/>
          <w:bCs/>
          <w:i/>
          <w:iCs/>
          <w:kern w:val="2"/>
          <w:sz w:val="21"/>
          <w:szCs w:val="21"/>
          <w14:ligatures w14:val="standardContextual"/>
        </w:rPr>
      </w:pPr>
      <w:r w:rsidRPr="00431D3A">
        <w:rPr>
          <w:rFonts w:asciiTheme="minorHAnsi" w:hAnsiTheme="minorHAnsi" w:cs="Arial"/>
          <w:b/>
          <w:kern w:val="2"/>
          <w:sz w:val="21"/>
          <w:szCs w:val="21"/>
          <w14:ligatures w14:val="standardContextual"/>
        </w:rPr>
        <w:tab/>
        <w:t xml:space="preserve">Alternative Operating Costs: </w:t>
      </w:r>
      <w:r w:rsidRPr="00431D3A">
        <w:rPr>
          <w:rFonts w:asciiTheme="minorHAnsi" w:hAnsiTheme="minorHAnsi" w:cs="Arial"/>
          <w:bCs/>
          <w:kern w:val="2"/>
          <w:sz w:val="21"/>
          <w:szCs w:val="21"/>
          <w14:ligatures w14:val="standardContextual"/>
        </w:rPr>
        <w:t xml:space="preserve">Operating costs </w:t>
      </w:r>
      <w:r w:rsidR="008E3BA1">
        <w:rPr>
          <w:rFonts w:asciiTheme="minorHAnsi" w:hAnsiTheme="minorHAnsi" w:cs="Arial"/>
          <w:bCs/>
          <w:kern w:val="2"/>
          <w:sz w:val="21"/>
          <w:szCs w:val="21"/>
          <w14:ligatures w14:val="standardContextual"/>
        </w:rPr>
        <w:t>would be</w:t>
      </w:r>
      <w:r w:rsidR="00984447">
        <w:rPr>
          <w:rFonts w:asciiTheme="minorHAnsi" w:hAnsiTheme="minorHAnsi" w:cs="Arial"/>
          <w:bCs/>
          <w:kern w:val="2"/>
          <w:sz w:val="21"/>
          <w:szCs w:val="21"/>
          <w14:ligatures w14:val="standardContextual"/>
        </w:rPr>
        <w:t xml:space="preserve"> </w:t>
      </w:r>
      <w:proofErr w:type="gramStart"/>
      <w:r w:rsidR="00984447">
        <w:rPr>
          <w:rFonts w:asciiTheme="minorHAnsi" w:hAnsiTheme="minorHAnsi" w:cs="Arial"/>
          <w:bCs/>
          <w:kern w:val="2"/>
          <w:sz w:val="21"/>
          <w:szCs w:val="21"/>
          <w14:ligatures w14:val="standardContextual"/>
        </w:rPr>
        <w:t>similar to</w:t>
      </w:r>
      <w:proofErr w:type="gramEnd"/>
      <w:r w:rsidR="00984447">
        <w:rPr>
          <w:rFonts w:asciiTheme="minorHAnsi" w:hAnsiTheme="minorHAnsi" w:cs="Arial"/>
          <w:bCs/>
          <w:kern w:val="2"/>
          <w:sz w:val="21"/>
          <w:szCs w:val="21"/>
          <w14:ligatures w14:val="standardContextual"/>
        </w:rPr>
        <w:t xml:space="preserve"> the Proposed Project </w:t>
      </w:r>
      <w:r w:rsidR="008E3BA1">
        <w:rPr>
          <w:rFonts w:asciiTheme="minorHAnsi" w:hAnsiTheme="minorHAnsi" w:cs="Arial"/>
          <w:bCs/>
          <w:kern w:val="2"/>
          <w:sz w:val="21"/>
          <w:szCs w:val="21"/>
          <w14:ligatures w14:val="standardContextual"/>
        </w:rPr>
        <w:t>under this alternative</w:t>
      </w:r>
      <w:r w:rsidR="00BF4539">
        <w:rPr>
          <w:rFonts w:asciiTheme="minorHAnsi" w:hAnsiTheme="minorHAnsi" w:cs="Arial"/>
          <w:bCs/>
          <w:kern w:val="2"/>
          <w:sz w:val="21"/>
          <w:szCs w:val="21"/>
          <w14:ligatures w14:val="standardContextual"/>
        </w:rPr>
        <w:t xml:space="preserve"> if services were offered during standard hours</w:t>
      </w:r>
      <w:r w:rsidR="008E3BA1">
        <w:rPr>
          <w:rFonts w:asciiTheme="minorHAnsi" w:hAnsiTheme="minorHAnsi" w:cs="Arial"/>
          <w:bCs/>
          <w:kern w:val="2"/>
          <w:sz w:val="21"/>
          <w:szCs w:val="21"/>
          <w14:ligatures w14:val="standardContextual"/>
        </w:rPr>
        <w:t>.</w:t>
      </w:r>
    </w:p>
    <w:p w14:paraId="2411EAD3" w14:textId="743066E0" w:rsidR="009E4BA7" w:rsidRPr="00C85E83" w:rsidRDefault="009E4BA7" w:rsidP="007B05F6">
      <w:pPr>
        <w:pStyle w:val="Heading1"/>
      </w:pPr>
      <w:r w:rsidRPr="009E4BA7">
        <w:t xml:space="preserve">Factor 6. Community Health Initiative </w:t>
      </w:r>
    </w:p>
    <w:p w14:paraId="5E6A5686" w14:textId="77777777" w:rsidR="009E4BA7" w:rsidRPr="009E4BA7" w:rsidRDefault="009E4BA7" w:rsidP="009E4BA7">
      <w:pPr>
        <w:pStyle w:val="ListParagraph"/>
        <w:numPr>
          <w:ilvl w:val="0"/>
          <w:numId w:val="18"/>
        </w:numPr>
        <w:suppressAutoHyphens w:val="0"/>
        <w:spacing w:after="200" w:line="276" w:lineRule="auto"/>
        <w:ind w:left="1080"/>
        <w:jc w:val="both"/>
        <w:rPr>
          <w:rFonts w:cstheme="minorHAnsi"/>
          <w:sz w:val="21"/>
          <w:szCs w:val="21"/>
          <w:u w:val="single"/>
        </w:rPr>
      </w:pPr>
      <w:r w:rsidRPr="009E4BA7">
        <w:rPr>
          <w:rFonts w:cstheme="minorHAnsi"/>
          <w:sz w:val="21"/>
          <w:szCs w:val="21"/>
          <w:u w:val="single"/>
        </w:rPr>
        <w:t>Community Health Initiative Monies</w:t>
      </w:r>
    </w:p>
    <w:p w14:paraId="30864386" w14:textId="66A07EA7" w:rsidR="009E4BA7" w:rsidRPr="009E4BA7" w:rsidRDefault="009E4BA7" w:rsidP="009E4BA7">
      <w:pPr>
        <w:jc w:val="both"/>
        <w:rPr>
          <w:sz w:val="21"/>
          <w:szCs w:val="21"/>
        </w:rPr>
      </w:pPr>
      <w:bookmarkStart w:id="21" w:name="_Hlk3556169"/>
      <w:r w:rsidRPr="009E4BA7">
        <w:rPr>
          <w:sz w:val="21"/>
          <w:szCs w:val="21"/>
        </w:rPr>
        <w:t xml:space="preserve">This Application requests approval for the expansion </w:t>
      </w:r>
      <w:r w:rsidR="00D0159A">
        <w:rPr>
          <w:sz w:val="21"/>
          <w:szCs w:val="21"/>
        </w:rPr>
        <w:t xml:space="preserve">of </w:t>
      </w:r>
      <w:r w:rsidR="00D0159A" w:rsidRPr="009E4BA7">
        <w:rPr>
          <w:sz w:val="21"/>
          <w:szCs w:val="21"/>
        </w:rPr>
        <w:t xml:space="preserve">Winchester </w:t>
      </w:r>
      <w:r w:rsidR="00D0159A">
        <w:rPr>
          <w:sz w:val="21"/>
          <w:szCs w:val="21"/>
        </w:rPr>
        <w:t xml:space="preserve">Hospital </w:t>
      </w:r>
      <w:r w:rsidR="00D0159A" w:rsidRPr="009E4BA7">
        <w:rPr>
          <w:sz w:val="21"/>
          <w:szCs w:val="21"/>
        </w:rPr>
        <w:t xml:space="preserve">Endoscopy Center </w:t>
      </w:r>
      <w:r w:rsidRPr="009E4BA7">
        <w:rPr>
          <w:sz w:val="21"/>
          <w:szCs w:val="21"/>
        </w:rPr>
        <w:t xml:space="preserve">(the “Proposed Project”). The Maximum Capital Expenditure (MCE) for the Proposed Project is $1,912,573. The breakdown of Community Health Initiative (CHI) monies for the Proposed Project is as follows, beginning with the MCE. </w:t>
      </w:r>
      <w:bookmarkEnd w:id="21"/>
    </w:p>
    <w:p w14:paraId="29D93449" w14:textId="77777777" w:rsidR="009E4BA7" w:rsidRPr="009E4BA7" w:rsidRDefault="009E4BA7" w:rsidP="009E4BA7">
      <w:pPr>
        <w:jc w:val="both"/>
        <w:rPr>
          <w:sz w:val="21"/>
          <w:szCs w:val="21"/>
        </w:rPr>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80"/>
        <w:gridCol w:w="1530"/>
        <w:gridCol w:w="4913"/>
      </w:tblGrid>
      <w:tr w:rsidR="009E4BA7" w:rsidRPr="009E4BA7" w14:paraId="2C4D1490" w14:textId="77777777" w:rsidTr="00191881">
        <w:trPr>
          <w:cantSplit/>
          <w:trHeight w:val="300"/>
          <w:tblHeader/>
        </w:trPr>
        <w:tc>
          <w:tcPr>
            <w:tcW w:w="2880" w:type="dxa"/>
            <w:shd w:val="clear" w:color="auto" w:fill="D1D1D1" w:themeFill="background2" w:themeFillShade="E6"/>
            <w:tcMar>
              <w:left w:w="105" w:type="dxa"/>
              <w:right w:w="105" w:type="dxa"/>
            </w:tcMar>
            <w:vAlign w:val="center"/>
          </w:tcPr>
          <w:p w14:paraId="0CB7AEBD" w14:textId="77777777" w:rsidR="009E4BA7" w:rsidRPr="009E4BA7" w:rsidRDefault="009E4BA7" w:rsidP="00C562B8">
            <w:pPr>
              <w:jc w:val="both"/>
              <w:rPr>
                <w:rFonts w:eastAsia="Calibri" w:cs="Calibri"/>
                <w:color w:val="000000" w:themeColor="text1"/>
                <w:sz w:val="21"/>
                <w:szCs w:val="21"/>
              </w:rPr>
            </w:pPr>
            <w:r w:rsidRPr="009E4BA7">
              <w:rPr>
                <w:rFonts w:eastAsia="Calibri" w:cs="Calibri"/>
                <w:b/>
                <w:bCs/>
                <w:color w:val="000000" w:themeColor="text1"/>
                <w:sz w:val="21"/>
                <w:szCs w:val="21"/>
              </w:rPr>
              <w:t>CHI Monies</w:t>
            </w:r>
          </w:p>
        </w:tc>
        <w:tc>
          <w:tcPr>
            <w:tcW w:w="1530" w:type="dxa"/>
            <w:shd w:val="clear" w:color="auto" w:fill="D1D1D1" w:themeFill="background2" w:themeFillShade="E6"/>
            <w:tcMar>
              <w:left w:w="105" w:type="dxa"/>
              <w:right w:w="105" w:type="dxa"/>
            </w:tcMar>
            <w:vAlign w:val="center"/>
          </w:tcPr>
          <w:p w14:paraId="7DB73072" w14:textId="77777777" w:rsidR="009E4BA7" w:rsidRPr="009E4BA7" w:rsidRDefault="009E4BA7" w:rsidP="009E4BA7">
            <w:pPr>
              <w:jc w:val="right"/>
              <w:rPr>
                <w:rFonts w:eastAsia="Calibri" w:cs="Calibri"/>
                <w:color w:val="000000" w:themeColor="text1"/>
                <w:sz w:val="21"/>
                <w:szCs w:val="21"/>
              </w:rPr>
            </w:pPr>
            <w:r w:rsidRPr="009E4BA7">
              <w:rPr>
                <w:rFonts w:eastAsia="Calibri" w:cs="Calibri"/>
                <w:b/>
                <w:bCs/>
                <w:color w:val="000000" w:themeColor="text1"/>
                <w:sz w:val="21"/>
                <w:szCs w:val="21"/>
              </w:rPr>
              <w:t>Total</w:t>
            </w:r>
          </w:p>
        </w:tc>
        <w:tc>
          <w:tcPr>
            <w:tcW w:w="4913" w:type="dxa"/>
            <w:shd w:val="clear" w:color="auto" w:fill="D1D1D1" w:themeFill="background2" w:themeFillShade="E6"/>
            <w:tcMar>
              <w:left w:w="105" w:type="dxa"/>
              <w:right w:w="105" w:type="dxa"/>
            </w:tcMar>
            <w:vAlign w:val="center"/>
          </w:tcPr>
          <w:p w14:paraId="77CA708F" w14:textId="77777777" w:rsidR="009E4BA7" w:rsidRPr="009E4BA7" w:rsidRDefault="009E4BA7" w:rsidP="00C562B8">
            <w:pPr>
              <w:jc w:val="both"/>
              <w:rPr>
                <w:rFonts w:eastAsia="Calibri" w:cs="Calibri"/>
                <w:color w:val="000000" w:themeColor="text1"/>
                <w:sz w:val="21"/>
                <w:szCs w:val="21"/>
              </w:rPr>
            </w:pPr>
            <w:r w:rsidRPr="009E4BA7">
              <w:rPr>
                <w:rFonts w:eastAsia="Calibri" w:cs="Calibri"/>
                <w:b/>
                <w:bCs/>
                <w:color w:val="000000" w:themeColor="text1"/>
                <w:sz w:val="21"/>
                <w:szCs w:val="21"/>
              </w:rPr>
              <w:t>Description</w:t>
            </w:r>
          </w:p>
        </w:tc>
      </w:tr>
      <w:tr w:rsidR="009E4BA7" w:rsidRPr="009E4BA7" w14:paraId="05AC3E83" w14:textId="77777777" w:rsidTr="00191881">
        <w:trPr>
          <w:cantSplit/>
          <w:trHeight w:val="300"/>
        </w:trPr>
        <w:tc>
          <w:tcPr>
            <w:tcW w:w="2880" w:type="dxa"/>
            <w:tcMar>
              <w:left w:w="105" w:type="dxa"/>
              <w:right w:w="105" w:type="dxa"/>
            </w:tcMar>
            <w:vAlign w:val="center"/>
          </w:tcPr>
          <w:p w14:paraId="241AA078" w14:textId="77777777" w:rsidR="009E4BA7" w:rsidRPr="009E4BA7" w:rsidRDefault="009E4BA7" w:rsidP="00C562B8">
            <w:pPr>
              <w:jc w:val="both"/>
              <w:rPr>
                <w:rFonts w:eastAsia="Calibri" w:cs="Calibri"/>
                <w:color w:val="000000" w:themeColor="text1"/>
                <w:sz w:val="21"/>
                <w:szCs w:val="21"/>
              </w:rPr>
            </w:pPr>
            <w:r w:rsidRPr="009E4BA7">
              <w:rPr>
                <w:rFonts w:eastAsia="Calibri" w:cs="Calibri"/>
                <w:color w:val="000000" w:themeColor="text1"/>
                <w:sz w:val="21"/>
                <w:szCs w:val="21"/>
              </w:rPr>
              <w:t>MCE</w:t>
            </w:r>
          </w:p>
        </w:tc>
        <w:tc>
          <w:tcPr>
            <w:tcW w:w="1530" w:type="dxa"/>
            <w:tcMar>
              <w:left w:w="105" w:type="dxa"/>
              <w:right w:w="105" w:type="dxa"/>
            </w:tcMar>
            <w:vAlign w:val="center"/>
          </w:tcPr>
          <w:p w14:paraId="2C8AF25D" w14:textId="1A322A81" w:rsidR="009E4BA7" w:rsidRPr="009E4BA7" w:rsidRDefault="009E4BA7" w:rsidP="009E4BA7">
            <w:pPr>
              <w:jc w:val="right"/>
              <w:rPr>
                <w:sz w:val="21"/>
                <w:szCs w:val="21"/>
              </w:rPr>
            </w:pPr>
            <w:r w:rsidRPr="009E4BA7">
              <w:rPr>
                <w:sz w:val="21"/>
                <w:szCs w:val="21"/>
              </w:rPr>
              <w:t>$1,912,573</w:t>
            </w:r>
            <w:r>
              <w:rPr>
                <w:sz w:val="21"/>
                <w:szCs w:val="21"/>
              </w:rPr>
              <w:t>.00</w:t>
            </w:r>
          </w:p>
        </w:tc>
        <w:tc>
          <w:tcPr>
            <w:tcW w:w="4913" w:type="dxa"/>
            <w:tcMar>
              <w:left w:w="105" w:type="dxa"/>
              <w:right w:w="105" w:type="dxa"/>
            </w:tcMar>
            <w:vAlign w:val="center"/>
          </w:tcPr>
          <w:p w14:paraId="69809A4C" w14:textId="77777777" w:rsidR="009E4BA7" w:rsidRPr="009E4BA7" w:rsidRDefault="009E4BA7" w:rsidP="009E4BA7">
            <w:pPr>
              <w:rPr>
                <w:rFonts w:eastAsia="Calibri" w:cs="Calibri"/>
                <w:color w:val="000000" w:themeColor="text1"/>
                <w:sz w:val="20"/>
                <w:szCs w:val="20"/>
              </w:rPr>
            </w:pPr>
            <w:proofErr w:type="spellStart"/>
            <w:r w:rsidRPr="009E4BA7">
              <w:rPr>
                <w:rFonts w:eastAsia="Calibri" w:cs="Calibri"/>
                <w:color w:val="000000" w:themeColor="text1"/>
                <w:sz w:val="20"/>
                <w:szCs w:val="20"/>
              </w:rPr>
              <w:t>DoN</w:t>
            </w:r>
            <w:proofErr w:type="spellEnd"/>
            <w:r w:rsidRPr="009E4BA7">
              <w:rPr>
                <w:rFonts w:eastAsia="Calibri" w:cs="Calibri"/>
                <w:color w:val="000000" w:themeColor="text1"/>
                <w:sz w:val="20"/>
                <w:szCs w:val="20"/>
              </w:rPr>
              <w:t xml:space="preserve"> Maximum Capital Expenditure</w:t>
            </w:r>
          </w:p>
        </w:tc>
      </w:tr>
      <w:tr w:rsidR="009E4BA7" w:rsidRPr="009E4BA7" w14:paraId="2D2769C1" w14:textId="77777777" w:rsidTr="00191881">
        <w:trPr>
          <w:cantSplit/>
          <w:trHeight w:val="300"/>
        </w:trPr>
        <w:tc>
          <w:tcPr>
            <w:tcW w:w="2880" w:type="dxa"/>
            <w:tcMar>
              <w:left w:w="105" w:type="dxa"/>
              <w:right w:w="105" w:type="dxa"/>
            </w:tcMar>
            <w:vAlign w:val="center"/>
          </w:tcPr>
          <w:p w14:paraId="3BE6E675" w14:textId="77777777" w:rsidR="009E4BA7" w:rsidRPr="009E4BA7" w:rsidRDefault="009E4BA7" w:rsidP="00C562B8">
            <w:pPr>
              <w:jc w:val="both"/>
              <w:rPr>
                <w:rFonts w:eastAsia="Calibri" w:cs="Calibri"/>
                <w:color w:val="000000" w:themeColor="text1"/>
                <w:sz w:val="21"/>
                <w:szCs w:val="21"/>
              </w:rPr>
            </w:pPr>
            <w:r w:rsidRPr="009E4BA7">
              <w:rPr>
                <w:rFonts w:eastAsia="Calibri" w:cs="Calibri"/>
                <w:color w:val="000000" w:themeColor="text1"/>
                <w:sz w:val="21"/>
                <w:szCs w:val="21"/>
              </w:rPr>
              <w:t>CHI Monies</w:t>
            </w:r>
          </w:p>
        </w:tc>
        <w:tc>
          <w:tcPr>
            <w:tcW w:w="1530" w:type="dxa"/>
            <w:tcMar>
              <w:left w:w="105" w:type="dxa"/>
              <w:right w:w="105" w:type="dxa"/>
            </w:tcMar>
            <w:vAlign w:val="center"/>
          </w:tcPr>
          <w:p w14:paraId="2423D931" w14:textId="77777777" w:rsidR="009E4BA7" w:rsidRPr="009E4BA7" w:rsidRDefault="009E4BA7" w:rsidP="009E4BA7">
            <w:pPr>
              <w:tabs>
                <w:tab w:val="left" w:pos="1425"/>
              </w:tabs>
              <w:spacing w:after="40"/>
              <w:jc w:val="right"/>
              <w:rPr>
                <w:sz w:val="21"/>
                <w:szCs w:val="21"/>
              </w:rPr>
            </w:pPr>
            <w:r w:rsidRPr="009E4BA7">
              <w:rPr>
                <w:sz w:val="21"/>
                <w:szCs w:val="21"/>
              </w:rPr>
              <w:t>$95,628.65</w:t>
            </w:r>
          </w:p>
        </w:tc>
        <w:tc>
          <w:tcPr>
            <w:tcW w:w="4913" w:type="dxa"/>
            <w:tcMar>
              <w:left w:w="105" w:type="dxa"/>
              <w:right w:w="105" w:type="dxa"/>
            </w:tcMar>
            <w:vAlign w:val="center"/>
          </w:tcPr>
          <w:p w14:paraId="0E4FF99B" w14:textId="77777777" w:rsidR="009E4BA7" w:rsidRPr="009E4BA7" w:rsidRDefault="009E4BA7" w:rsidP="009E4BA7">
            <w:pPr>
              <w:rPr>
                <w:rFonts w:eastAsia="Calibri" w:cs="Calibri"/>
                <w:color w:val="000000" w:themeColor="text1"/>
                <w:sz w:val="20"/>
                <w:szCs w:val="20"/>
              </w:rPr>
            </w:pPr>
            <w:r w:rsidRPr="009E4BA7">
              <w:rPr>
                <w:rFonts w:eastAsia="Calibri" w:cs="Calibri"/>
                <w:color w:val="000000" w:themeColor="text1"/>
                <w:sz w:val="20"/>
                <w:szCs w:val="20"/>
              </w:rPr>
              <w:t>5% of Maximum Capital Expenditure</w:t>
            </w:r>
          </w:p>
        </w:tc>
      </w:tr>
      <w:tr w:rsidR="009E4BA7" w:rsidRPr="009E4BA7" w14:paraId="5449111C" w14:textId="77777777" w:rsidTr="00191881">
        <w:trPr>
          <w:cantSplit/>
          <w:trHeight w:val="300"/>
        </w:trPr>
        <w:tc>
          <w:tcPr>
            <w:tcW w:w="2880" w:type="dxa"/>
            <w:tcMar>
              <w:left w:w="105" w:type="dxa"/>
              <w:right w:w="105" w:type="dxa"/>
            </w:tcMar>
            <w:vAlign w:val="center"/>
          </w:tcPr>
          <w:p w14:paraId="5C10DEAA" w14:textId="77777777" w:rsidR="009E4BA7" w:rsidRPr="009E4BA7" w:rsidRDefault="009E4BA7" w:rsidP="00C562B8">
            <w:pPr>
              <w:jc w:val="both"/>
              <w:rPr>
                <w:rFonts w:eastAsia="Calibri" w:cs="Calibri"/>
                <w:color w:val="000000" w:themeColor="text1"/>
                <w:sz w:val="21"/>
                <w:szCs w:val="21"/>
              </w:rPr>
            </w:pPr>
            <w:r w:rsidRPr="009E4BA7">
              <w:rPr>
                <w:rFonts w:eastAsia="Calibri" w:cs="Calibri"/>
                <w:color w:val="000000" w:themeColor="text1"/>
                <w:sz w:val="21"/>
                <w:szCs w:val="21"/>
              </w:rPr>
              <w:t>Administrative Fee</w:t>
            </w:r>
          </w:p>
        </w:tc>
        <w:tc>
          <w:tcPr>
            <w:tcW w:w="1530" w:type="dxa"/>
            <w:tcMar>
              <w:left w:w="105" w:type="dxa"/>
              <w:right w:w="105" w:type="dxa"/>
            </w:tcMar>
            <w:vAlign w:val="center"/>
          </w:tcPr>
          <w:p w14:paraId="0E3AF986" w14:textId="77777777" w:rsidR="009E4BA7" w:rsidRPr="009E4BA7" w:rsidRDefault="009E4BA7" w:rsidP="009E4BA7">
            <w:pPr>
              <w:spacing w:after="40"/>
              <w:jc w:val="right"/>
              <w:rPr>
                <w:sz w:val="21"/>
                <w:szCs w:val="21"/>
              </w:rPr>
            </w:pPr>
            <w:r w:rsidRPr="009E4BA7">
              <w:rPr>
                <w:sz w:val="21"/>
                <w:szCs w:val="21"/>
              </w:rPr>
              <w:t>$3,825.15</w:t>
            </w:r>
          </w:p>
        </w:tc>
        <w:tc>
          <w:tcPr>
            <w:tcW w:w="4913" w:type="dxa"/>
            <w:tcMar>
              <w:left w:w="105" w:type="dxa"/>
              <w:right w:w="105" w:type="dxa"/>
            </w:tcMar>
            <w:vAlign w:val="center"/>
          </w:tcPr>
          <w:p w14:paraId="07835463" w14:textId="77777777" w:rsidR="009E4BA7" w:rsidRPr="009E4BA7" w:rsidRDefault="009E4BA7" w:rsidP="009E4BA7">
            <w:pPr>
              <w:rPr>
                <w:rFonts w:eastAsia="Calibri" w:cs="Calibri"/>
                <w:color w:val="000000" w:themeColor="text1"/>
                <w:sz w:val="20"/>
                <w:szCs w:val="20"/>
              </w:rPr>
            </w:pPr>
            <w:r w:rsidRPr="009E4BA7">
              <w:rPr>
                <w:rFonts w:eastAsia="Calibri" w:cs="Calibri"/>
                <w:color w:val="000000" w:themeColor="text1"/>
                <w:sz w:val="20"/>
                <w:szCs w:val="20"/>
              </w:rPr>
              <w:t>4% of the CHI Monies, retained by Applicant</w:t>
            </w:r>
          </w:p>
        </w:tc>
      </w:tr>
      <w:tr w:rsidR="009E4BA7" w:rsidRPr="009E4BA7" w14:paraId="17C9F809" w14:textId="77777777" w:rsidTr="00191881">
        <w:trPr>
          <w:cantSplit/>
          <w:trHeight w:val="300"/>
        </w:trPr>
        <w:tc>
          <w:tcPr>
            <w:tcW w:w="2880" w:type="dxa"/>
            <w:tcMar>
              <w:left w:w="105" w:type="dxa"/>
              <w:right w:w="105" w:type="dxa"/>
            </w:tcMar>
            <w:vAlign w:val="center"/>
          </w:tcPr>
          <w:p w14:paraId="12225364" w14:textId="77777777" w:rsidR="009E4BA7" w:rsidRPr="009E4BA7" w:rsidRDefault="009E4BA7" w:rsidP="00C562B8">
            <w:pPr>
              <w:jc w:val="both"/>
              <w:rPr>
                <w:rFonts w:eastAsia="Calibri" w:cs="Calibri"/>
                <w:color w:val="000000" w:themeColor="text1"/>
                <w:sz w:val="21"/>
                <w:szCs w:val="21"/>
              </w:rPr>
            </w:pPr>
            <w:r w:rsidRPr="009E4BA7">
              <w:rPr>
                <w:rFonts w:eastAsia="Calibri" w:cs="Calibri"/>
                <w:color w:val="000000" w:themeColor="text1"/>
                <w:sz w:val="21"/>
                <w:szCs w:val="21"/>
              </w:rPr>
              <w:t>Remaining Monies</w:t>
            </w:r>
          </w:p>
        </w:tc>
        <w:tc>
          <w:tcPr>
            <w:tcW w:w="1530" w:type="dxa"/>
            <w:tcMar>
              <w:left w:w="105" w:type="dxa"/>
              <w:right w:w="105" w:type="dxa"/>
            </w:tcMar>
            <w:vAlign w:val="center"/>
          </w:tcPr>
          <w:p w14:paraId="49E5CC3D" w14:textId="77777777" w:rsidR="009E4BA7" w:rsidRPr="009E4BA7" w:rsidRDefault="009E4BA7" w:rsidP="009E4BA7">
            <w:pPr>
              <w:spacing w:after="40"/>
              <w:jc w:val="right"/>
              <w:rPr>
                <w:sz w:val="21"/>
                <w:szCs w:val="21"/>
              </w:rPr>
            </w:pPr>
            <w:r w:rsidRPr="009E4BA7">
              <w:rPr>
                <w:sz w:val="21"/>
                <w:szCs w:val="21"/>
              </w:rPr>
              <w:t>$91,803.50</w:t>
            </w:r>
          </w:p>
        </w:tc>
        <w:tc>
          <w:tcPr>
            <w:tcW w:w="4913" w:type="dxa"/>
            <w:tcMar>
              <w:left w:w="105" w:type="dxa"/>
              <w:right w:w="105" w:type="dxa"/>
            </w:tcMar>
            <w:vAlign w:val="center"/>
          </w:tcPr>
          <w:p w14:paraId="0FD920BF" w14:textId="77777777" w:rsidR="009E4BA7" w:rsidRPr="009E4BA7" w:rsidRDefault="009E4BA7" w:rsidP="009E4BA7">
            <w:pPr>
              <w:rPr>
                <w:rFonts w:eastAsia="Calibri" w:cs="Calibri"/>
                <w:color w:val="000000" w:themeColor="text1"/>
                <w:sz w:val="20"/>
                <w:szCs w:val="20"/>
              </w:rPr>
            </w:pPr>
            <w:r w:rsidRPr="009E4BA7">
              <w:rPr>
                <w:rFonts w:eastAsia="Calibri" w:cs="Calibri"/>
                <w:color w:val="000000" w:themeColor="text1"/>
                <w:sz w:val="20"/>
                <w:szCs w:val="20"/>
              </w:rPr>
              <w:t xml:space="preserve">CHI Monies </w:t>
            </w:r>
            <w:proofErr w:type="gramStart"/>
            <w:r w:rsidRPr="009E4BA7">
              <w:rPr>
                <w:rFonts w:eastAsia="Calibri" w:cs="Calibri"/>
                <w:color w:val="000000" w:themeColor="text1"/>
                <w:sz w:val="20"/>
                <w:szCs w:val="20"/>
              </w:rPr>
              <w:t>minus</w:t>
            </w:r>
            <w:proofErr w:type="gramEnd"/>
            <w:r w:rsidRPr="009E4BA7">
              <w:rPr>
                <w:rFonts w:eastAsia="Calibri" w:cs="Calibri"/>
                <w:color w:val="000000" w:themeColor="text1"/>
                <w:sz w:val="20"/>
                <w:szCs w:val="20"/>
              </w:rPr>
              <w:t xml:space="preserve"> the Administrative Fee</w:t>
            </w:r>
          </w:p>
        </w:tc>
      </w:tr>
      <w:tr w:rsidR="009E4BA7" w:rsidRPr="009E4BA7" w14:paraId="18648C96" w14:textId="77777777" w:rsidTr="00191881">
        <w:trPr>
          <w:cantSplit/>
          <w:trHeight w:val="300"/>
        </w:trPr>
        <w:tc>
          <w:tcPr>
            <w:tcW w:w="2880" w:type="dxa"/>
            <w:tcMar>
              <w:left w:w="105" w:type="dxa"/>
              <w:right w:w="105" w:type="dxa"/>
            </w:tcMar>
            <w:vAlign w:val="center"/>
          </w:tcPr>
          <w:p w14:paraId="3A3D3109" w14:textId="77777777" w:rsidR="009E4BA7" w:rsidRPr="009E4BA7" w:rsidRDefault="009E4BA7" w:rsidP="00C562B8">
            <w:pPr>
              <w:jc w:val="both"/>
              <w:rPr>
                <w:rFonts w:eastAsia="Calibri" w:cs="Calibri"/>
                <w:color w:val="000000" w:themeColor="text1"/>
                <w:sz w:val="21"/>
                <w:szCs w:val="21"/>
              </w:rPr>
            </w:pPr>
            <w:r w:rsidRPr="009E4BA7">
              <w:rPr>
                <w:rFonts w:eastAsia="Calibri" w:cs="Calibri"/>
                <w:color w:val="000000" w:themeColor="text1"/>
                <w:sz w:val="21"/>
                <w:szCs w:val="21"/>
              </w:rPr>
              <w:t>Statewide Initiative</w:t>
            </w:r>
          </w:p>
        </w:tc>
        <w:tc>
          <w:tcPr>
            <w:tcW w:w="1530" w:type="dxa"/>
            <w:tcMar>
              <w:left w:w="105" w:type="dxa"/>
              <w:right w:w="105" w:type="dxa"/>
            </w:tcMar>
            <w:vAlign w:val="center"/>
          </w:tcPr>
          <w:p w14:paraId="588EEFD9" w14:textId="77777777" w:rsidR="009E4BA7" w:rsidRPr="009E4BA7" w:rsidRDefault="009E4BA7" w:rsidP="009E4BA7">
            <w:pPr>
              <w:spacing w:after="40"/>
              <w:jc w:val="right"/>
              <w:rPr>
                <w:sz w:val="21"/>
                <w:szCs w:val="21"/>
              </w:rPr>
            </w:pPr>
            <w:r w:rsidRPr="009E4BA7">
              <w:rPr>
                <w:sz w:val="21"/>
                <w:szCs w:val="21"/>
              </w:rPr>
              <w:t>$9,180.35</w:t>
            </w:r>
          </w:p>
        </w:tc>
        <w:tc>
          <w:tcPr>
            <w:tcW w:w="4913" w:type="dxa"/>
            <w:tcMar>
              <w:left w:w="105" w:type="dxa"/>
              <w:right w:w="105" w:type="dxa"/>
            </w:tcMar>
            <w:vAlign w:val="center"/>
          </w:tcPr>
          <w:p w14:paraId="7E943FE7" w14:textId="77777777" w:rsidR="009E4BA7" w:rsidRPr="009E4BA7" w:rsidRDefault="009E4BA7" w:rsidP="009E4BA7">
            <w:pPr>
              <w:rPr>
                <w:rFonts w:eastAsia="Calibri" w:cs="Calibri"/>
                <w:color w:val="000000" w:themeColor="text1"/>
                <w:sz w:val="20"/>
                <w:szCs w:val="20"/>
              </w:rPr>
            </w:pPr>
            <w:r w:rsidRPr="009E4BA7">
              <w:rPr>
                <w:rFonts w:eastAsia="Calibri" w:cs="Calibri"/>
                <w:color w:val="000000" w:themeColor="text1"/>
                <w:sz w:val="20"/>
                <w:szCs w:val="20"/>
              </w:rPr>
              <w:t>10% of remaining monies, paid to State-wide Fund</w:t>
            </w:r>
          </w:p>
        </w:tc>
      </w:tr>
      <w:tr w:rsidR="009E4BA7" w:rsidRPr="009E4BA7" w14:paraId="0BD5E977" w14:textId="77777777" w:rsidTr="00191881">
        <w:trPr>
          <w:cantSplit/>
          <w:trHeight w:val="300"/>
        </w:trPr>
        <w:tc>
          <w:tcPr>
            <w:tcW w:w="2880" w:type="dxa"/>
            <w:tcMar>
              <w:left w:w="105" w:type="dxa"/>
              <w:right w:w="105" w:type="dxa"/>
            </w:tcMar>
            <w:vAlign w:val="center"/>
          </w:tcPr>
          <w:p w14:paraId="64722025" w14:textId="77777777" w:rsidR="009E4BA7" w:rsidRPr="009E4BA7" w:rsidRDefault="009E4BA7" w:rsidP="00C562B8">
            <w:pPr>
              <w:jc w:val="both"/>
              <w:rPr>
                <w:rFonts w:eastAsia="Calibri" w:cs="Calibri"/>
                <w:color w:val="000000" w:themeColor="text1"/>
                <w:sz w:val="21"/>
                <w:szCs w:val="21"/>
              </w:rPr>
            </w:pPr>
            <w:r w:rsidRPr="009E4BA7">
              <w:rPr>
                <w:rFonts w:eastAsia="Calibri" w:cs="Calibri"/>
                <w:color w:val="000000" w:themeColor="text1"/>
                <w:sz w:val="21"/>
                <w:szCs w:val="21"/>
              </w:rPr>
              <w:t>Local Initiative</w:t>
            </w:r>
          </w:p>
        </w:tc>
        <w:tc>
          <w:tcPr>
            <w:tcW w:w="1530" w:type="dxa"/>
            <w:tcMar>
              <w:left w:w="105" w:type="dxa"/>
              <w:right w:w="105" w:type="dxa"/>
            </w:tcMar>
            <w:vAlign w:val="center"/>
          </w:tcPr>
          <w:p w14:paraId="09481A7D" w14:textId="77777777" w:rsidR="009E4BA7" w:rsidRPr="009E4BA7" w:rsidRDefault="009E4BA7" w:rsidP="009E4BA7">
            <w:pPr>
              <w:spacing w:after="40"/>
              <w:jc w:val="right"/>
              <w:rPr>
                <w:sz w:val="21"/>
                <w:szCs w:val="21"/>
              </w:rPr>
            </w:pPr>
            <w:r w:rsidRPr="009E4BA7">
              <w:rPr>
                <w:sz w:val="21"/>
                <w:szCs w:val="21"/>
              </w:rPr>
              <w:t>$82,623.15</w:t>
            </w:r>
          </w:p>
        </w:tc>
        <w:tc>
          <w:tcPr>
            <w:tcW w:w="4913" w:type="dxa"/>
            <w:tcMar>
              <w:left w:w="105" w:type="dxa"/>
              <w:right w:w="105" w:type="dxa"/>
            </w:tcMar>
            <w:vAlign w:val="center"/>
          </w:tcPr>
          <w:p w14:paraId="2E2CE83B" w14:textId="77777777" w:rsidR="009E4BA7" w:rsidRPr="009E4BA7" w:rsidRDefault="009E4BA7" w:rsidP="009E4BA7">
            <w:pPr>
              <w:rPr>
                <w:rFonts w:eastAsia="Calibri" w:cs="Calibri"/>
                <w:color w:val="000000" w:themeColor="text1"/>
                <w:sz w:val="20"/>
                <w:szCs w:val="20"/>
              </w:rPr>
            </w:pPr>
            <w:r w:rsidRPr="009E4BA7">
              <w:rPr>
                <w:rFonts w:eastAsia="Calibri" w:cs="Calibri"/>
                <w:color w:val="000000" w:themeColor="text1"/>
                <w:sz w:val="20"/>
                <w:szCs w:val="20"/>
              </w:rPr>
              <w:t>90% of remaining monies</w:t>
            </w:r>
          </w:p>
        </w:tc>
      </w:tr>
      <w:tr w:rsidR="009E4BA7" w:rsidRPr="009E4BA7" w14:paraId="467E77FD" w14:textId="77777777" w:rsidTr="00191881">
        <w:trPr>
          <w:cantSplit/>
          <w:trHeight w:val="300"/>
        </w:trPr>
        <w:tc>
          <w:tcPr>
            <w:tcW w:w="2880" w:type="dxa"/>
            <w:tcMar>
              <w:left w:w="105" w:type="dxa"/>
              <w:right w:w="105" w:type="dxa"/>
            </w:tcMar>
            <w:vAlign w:val="center"/>
          </w:tcPr>
          <w:p w14:paraId="286A3F64" w14:textId="77777777" w:rsidR="009E4BA7" w:rsidRPr="009E4BA7" w:rsidRDefault="009E4BA7" w:rsidP="00C562B8">
            <w:pPr>
              <w:jc w:val="both"/>
              <w:rPr>
                <w:rFonts w:eastAsia="Calibri" w:cs="Calibri"/>
                <w:color w:val="000000" w:themeColor="text1"/>
                <w:sz w:val="21"/>
                <w:szCs w:val="21"/>
              </w:rPr>
            </w:pPr>
            <w:r w:rsidRPr="009E4BA7">
              <w:rPr>
                <w:rFonts w:eastAsia="Calibri" w:cs="Calibri"/>
                <w:color w:val="000000" w:themeColor="text1"/>
                <w:sz w:val="21"/>
                <w:szCs w:val="21"/>
              </w:rPr>
              <w:t>Evaluation Monies</w:t>
            </w:r>
          </w:p>
        </w:tc>
        <w:tc>
          <w:tcPr>
            <w:tcW w:w="1530" w:type="dxa"/>
            <w:tcMar>
              <w:left w:w="105" w:type="dxa"/>
              <w:right w:w="105" w:type="dxa"/>
            </w:tcMar>
            <w:vAlign w:val="center"/>
          </w:tcPr>
          <w:p w14:paraId="0F0EABE8" w14:textId="77777777" w:rsidR="009E4BA7" w:rsidRPr="009E4BA7" w:rsidRDefault="009E4BA7" w:rsidP="009E4BA7">
            <w:pPr>
              <w:spacing w:after="40"/>
              <w:jc w:val="right"/>
              <w:rPr>
                <w:sz w:val="21"/>
                <w:szCs w:val="21"/>
              </w:rPr>
            </w:pPr>
            <w:r w:rsidRPr="009E4BA7">
              <w:rPr>
                <w:sz w:val="21"/>
                <w:szCs w:val="21"/>
              </w:rPr>
              <w:t>$8,262.31</w:t>
            </w:r>
          </w:p>
        </w:tc>
        <w:tc>
          <w:tcPr>
            <w:tcW w:w="4913" w:type="dxa"/>
            <w:tcMar>
              <w:left w:w="105" w:type="dxa"/>
              <w:right w:w="105" w:type="dxa"/>
            </w:tcMar>
            <w:vAlign w:val="center"/>
          </w:tcPr>
          <w:p w14:paraId="40E5AF2F" w14:textId="77777777" w:rsidR="009E4BA7" w:rsidRPr="009E4BA7" w:rsidRDefault="009E4BA7" w:rsidP="009E4BA7">
            <w:pPr>
              <w:rPr>
                <w:rFonts w:eastAsia="Calibri" w:cs="Calibri"/>
                <w:color w:val="000000" w:themeColor="text1"/>
                <w:sz w:val="20"/>
                <w:szCs w:val="20"/>
              </w:rPr>
            </w:pPr>
            <w:r w:rsidRPr="009E4BA7">
              <w:rPr>
                <w:rFonts w:eastAsia="Calibri" w:cs="Calibri"/>
                <w:color w:val="000000" w:themeColor="text1"/>
                <w:sz w:val="20"/>
                <w:szCs w:val="20"/>
              </w:rPr>
              <w:t>10% of Local Initiative Monies, retained by Applicant</w:t>
            </w:r>
          </w:p>
        </w:tc>
      </w:tr>
      <w:tr w:rsidR="009E4BA7" w:rsidRPr="009E4BA7" w14:paraId="78B9F1D8" w14:textId="77777777" w:rsidTr="00191881">
        <w:trPr>
          <w:cantSplit/>
          <w:trHeight w:val="300"/>
        </w:trPr>
        <w:tc>
          <w:tcPr>
            <w:tcW w:w="2880" w:type="dxa"/>
            <w:shd w:val="clear" w:color="auto" w:fill="D1D1D1" w:themeFill="background2" w:themeFillShade="E6"/>
            <w:tcMar>
              <w:left w:w="105" w:type="dxa"/>
              <w:right w:w="105" w:type="dxa"/>
            </w:tcMar>
            <w:vAlign w:val="center"/>
          </w:tcPr>
          <w:p w14:paraId="7CCDFD8C" w14:textId="77777777" w:rsidR="009E4BA7" w:rsidRPr="009E4BA7" w:rsidRDefault="009E4BA7" w:rsidP="00C562B8">
            <w:pPr>
              <w:jc w:val="both"/>
              <w:rPr>
                <w:rFonts w:eastAsia="Calibri" w:cs="Calibri"/>
                <w:b/>
                <w:bCs/>
                <w:color w:val="000000" w:themeColor="text1"/>
                <w:sz w:val="21"/>
                <w:szCs w:val="21"/>
              </w:rPr>
            </w:pPr>
            <w:r w:rsidRPr="009E4BA7">
              <w:rPr>
                <w:rFonts w:eastAsia="Calibri" w:cs="Calibri"/>
                <w:b/>
                <w:bCs/>
                <w:color w:val="000000" w:themeColor="text1"/>
                <w:sz w:val="21"/>
                <w:szCs w:val="21"/>
              </w:rPr>
              <w:t>CHI Monies for Local Grants</w:t>
            </w:r>
          </w:p>
        </w:tc>
        <w:tc>
          <w:tcPr>
            <w:tcW w:w="1530" w:type="dxa"/>
            <w:shd w:val="clear" w:color="auto" w:fill="D1D1D1" w:themeFill="background2" w:themeFillShade="E6"/>
            <w:tcMar>
              <w:left w:w="105" w:type="dxa"/>
              <w:right w:w="105" w:type="dxa"/>
            </w:tcMar>
            <w:vAlign w:val="center"/>
          </w:tcPr>
          <w:p w14:paraId="0584DF7F" w14:textId="77777777" w:rsidR="009E4BA7" w:rsidRPr="009E4BA7" w:rsidRDefault="009E4BA7" w:rsidP="009E4BA7">
            <w:pPr>
              <w:spacing w:after="40"/>
              <w:jc w:val="right"/>
              <w:rPr>
                <w:b/>
                <w:bCs/>
                <w:sz w:val="21"/>
                <w:szCs w:val="21"/>
              </w:rPr>
            </w:pPr>
            <w:r w:rsidRPr="009E4BA7">
              <w:rPr>
                <w:b/>
                <w:bCs/>
                <w:sz w:val="21"/>
                <w:szCs w:val="21"/>
              </w:rPr>
              <w:t>$73,360.84</w:t>
            </w:r>
          </w:p>
        </w:tc>
        <w:tc>
          <w:tcPr>
            <w:tcW w:w="4913" w:type="dxa"/>
            <w:shd w:val="clear" w:color="auto" w:fill="D1D1D1" w:themeFill="background2" w:themeFillShade="E6"/>
            <w:tcMar>
              <w:left w:w="105" w:type="dxa"/>
              <w:right w:w="105" w:type="dxa"/>
            </w:tcMar>
            <w:vAlign w:val="center"/>
          </w:tcPr>
          <w:p w14:paraId="557EB386" w14:textId="77777777" w:rsidR="009E4BA7" w:rsidRPr="009E4BA7" w:rsidRDefault="009E4BA7" w:rsidP="00C562B8">
            <w:pPr>
              <w:jc w:val="both"/>
              <w:rPr>
                <w:rFonts w:eastAsia="Calibri" w:cs="Calibri"/>
                <w:b/>
                <w:bCs/>
                <w:color w:val="000000" w:themeColor="text1"/>
                <w:sz w:val="21"/>
                <w:szCs w:val="21"/>
              </w:rPr>
            </w:pPr>
          </w:p>
        </w:tc>
      </w:tr>
    </w:tbl>
    <w:p w14:paraId="107FE754" w14:textId="77777777" w:rsidR="009E4BA7" w:rsidRPr="009E4BA7" w:rsidRDefault="009E4BA7" w:rsidP="009E4BA7">
      <w:pPr>
        <w:jc w:val="both"/>
        <w:rPr>
          <w:sz w:val="21"/>
          <w:szCs w:val="21"/>
        </w:rPr>
      </w:pPr>
    </w:p>
    <w:p w14:paraId="15DA3EBC" w14:textId="5A3099FE" w:rsidR="009E4BA7" w:rsidRPr="009E4BA7" w:rsidRDefault="00D0159A" w:rsidP="009E4BA7">
      <w:pPr>
        <w:pStyle w:val="ListParagraph"/>
        <w:numPr>
          <w:ilvl w:val="0"/>
          <w:numId w:val="18"/>
        </w:numPr>
        <w:suppressAutoHyphens w:val="0"/>
        <w:spacing w:after="200" w:line="276" w:lineRule="auto"/>
        <w:ind w:left="1080"/>
        <w:jc w:val="both"/>
        <w:rPr>
          <w:rFonts w:cstheme="minorHAnsi"/>
          <w:sz w:val="21"/>
          <w:szCs w:val="21"/>
          <w:u w:val="single"/>
        </w:rPr>
      </w:pPr>
      <w:r>
        <w:rPr>
          <w:rFonts w:cstheme="minorHAnsi"/>
          <w:sz w:val="21"/>
          <w:szCs w:val="21"/>
          <w:u w:val="single"/>
        </w:rPr>
        <w:t>Winchester Hospital’s</w:t>
      </w:r>
      <w:r w:rsidR="009E4BA7" w:rsidRPr="009E4BA7">
        <w:rPr>
          <w:rFonts w:cstheme="minorHAnsi"/>
          <w:sz w:val="21"/>
          <w:szCs w:val="21"/>
          <w:u w:val="single"/>
        </w:rPr>
        <w:t xml:space="preserve"> </w:t>
      </w:r>
      <w:r>
        <w:rPr>
          <w:rFonts w:cstheme="minorHAnsi"/>
          <w:sz w:val="21"/>
          <w:szCs w:val="21"/>
          <w:u w:val="single"/>
        </w:rPr>
        <w:t>Community Health Needs Assessment</w:t>
      </w:r>
      <w:r w:rsidR="009E4BA7" w:rsidRPr="009E4BA7">
        <w:rPr>
          <w:rFonts w:cstheme="minorHAnsi"/>
          <w:sz w:val="21"/>
          <w:szCs w:val="21"/>
          <w:u w:val="single"/>
        </w:rPr>
        <w:t xml:space="preserve"> </w:t>
      </w:r>
    </w:p>
    <w:p w14:paraId="70A57521" w14:textId="70DB105B" w:rsidR="009E4BA7" w:rsidRPr="009E4BA7" w:rsidRDefault="009E4BA7" w:rsidP="009E4BA7">
      <w:pPr>
        <w:jc w:val="both"/>
        <w:rPr>
          <w:sz w:val="21"/>
          <w:szCs w:val="21"/>
        </w:rPr>
      </w:pPr>
      <w:r w:rsidRPr="009E4BA7">
        <w:rPr>
          <w:sz w:val="21"/>
          <w:szCs w:val="21"/>
        </w:rPr>
        <w:t>The CHI processes and community engagement for the Proposed Project will be conducted by Winchester Hospital (the “Hospital”), a community hospital primarily serving Medford, North Reading, Reading, Stoneham, Tewksbury, Wakefield, Wilmington, Winchester, and Woburn (</w:t>
      </w:r>
      <w:r w:rsidRPr="009E4BA7">
        <w:rPr>
          <w:i/>
          <w:iCs/>
          <w:sz w:val="21"/>
          <w:szCs w:val="21"/>
        </w:rPr>
        <w:t xml:space="preserve">hereinafter referred to as the Community Benefits Service Area </w:t>
      </w:r>
      <w:r w:rsidRPr="009E4BA7">
        <w:rPr>
          <w:sz w:val="21"/>
          <w:szCs w:val="21"/>
        </w:rPr>
        <w:t>(CBSA)</w:t>
      </w:r>
      <w:r w:rsidRPr="009E4BA7">
        <w:rPr>
          <w:i/>
          <w:iCs/>
          <w:sz w:val="21"/>
          <w:szCs w:val="21"/>
        </w:rPr>
        <w:t>)</w:t>
      </w:r>
      <w:r w:rsidRPr="009E4BA7">
        <w:rPr>
          <w:sz w:val="21"/>
          <w:szCs w:val="21"/>
        </w:rPr>
        <w:t xml:space="preserve">. Winchester Hospital provides inpatient and outpatient health services as well as 24-hour emergency services. Since 1912, Winchester has played a vital role in the lives of people who reside in its Service Area. Winchester Hospital is committed to helping improve the health and wellbeing of its community through a variety of ways. These include leveraging hospital resources, creating and collaborating on programs with community organizations and stakeholders to address the unmet health needs for underserved populations. To understand the needs of the community, the Hospital conducts a </w:t>
      </w:r>
      <w:r w:rsidR="00D0159A">
        <w:rPr>
          <w:sz w:val="21"/>
          <w:szCs w:val="21"/>
        </w:rPr>
        <w:t>Community Health Needs Assessment (</w:t>
      </w:r>
      <w:r w:rsidRPr="009E4BA7">
        <w:rPr>
          <w:sz w:val="21"/>
          <w:szCs w:val="21"/>
        </w:rPr>
        <w:t>CHNA</w:t>
      </w:r>
      <w:r w:rsidR="00D0159A">
        <w:rPr>
          <w:sz w:val="21"/>
          <w:szCs w:val="21"/>
        </w:rPr>
        <w:t>)</w:t>
      </w:r>
      <w:r w:rsidRPr="009E4BA7">
        <w:rPr>
          <w:sz w:val="21"/>
          <w:szCs w:val="21"/>
        </w:rPr>
        <w:t xml:space="preserve"> in the Hospital’s </w:t>
      </w:r>
      <w:r w:rsidRPr="009E4BA7">
        <w:rPr>
          <w:sz w:val="21"/>
          <w:szCs w:val="21"/>
        </w:rPr>
        <w:lastRenderedPageBreak/>
        <w:t xml:space="preserve">CBSA every three years. The Winchester Hospital 2025 CHNA was approved by the Board of Trustees on September 9, 2025, findings were publicly shared on September 17, 2025, and published on Winchester Hospital’s website on September 30, 2025, linked here </w:t>
      </w:r>
      <w:hyperlink r:id="rId21">
        <w:r w:rsidRPr="009E4BA7">
          <w:rPr>
            <w:rStyle w:val="Hyperlink"/>
            <w:rFonts w:eastAsia="Calibri" w:cs="Calibri"/>
            <w:sz w:val="21"/>
            <w:szCs w:val="21"/>
          </w:rPr>
          <w:t>Winchester 2025 Community Health Needs Assessment</w:t>
        </w:r>
      </w:hyperlink>
    </w:p>
    <w:p w14:paraId="168B7418" w14:textId="77777777" w:rsidR="009E4BA7" w:rsidRPr="009E4BA7" w:rsidRDefault="009E4BA7" w:rsidP="009E4BA7">
      <w:pPr>
        <w:jc w:val="both"/>
        <w:rPr>
          <w:sz w:val="21"/>
          <w:szCs w:val="21"/>
          <w:highlight w:val="yellow"/>
        </w:rPr>
      </w:pPr>
    </w:p>
    <w:p w14:paraId="7EF16EFE" w14:textId="1AF4F7A7" w:rsidR="009E4BA7" w:rsidRPr="009E4BA7" w:rsidRDefault="009E4BA7" w:rsidP="009E4BA7">
      <w:pPr>
        <w:jc w:val="both"/>
        <w:rPr>
          <w:rFonts w:cstheme="minorHAnsi"/>
          <w:i/>
          <w:sz w:val="21"/>
          <w:szCs w:val="21"/>
        </w:rPr>
      </w:pPr>
      <w:r w:rsidRPr="009E4BA7">
        <w:rPr>
          <w:rFonts w:cstheme="minorHAnsi"/>
          <w:sz w:val="21"/>
          <w:szCs w:val="21"/>
        </w:rPr>
        <w:t>The CHNA serves to:</w:t>
      </w:r>
    </w:p>
    <w:p w14:paraId="0F3C01E9" w14:textId="77777777" w:rsidR="009E4BA7" w:rsidRPr="009E4BA7" w:rsidRDefault="009E4BA7" w:rsidP="009E4BA7">
      <w:pPr>
        <w:pStyle w:val="ListParagraph"/>
        <w:numPr>
          <w:ilvl w:val="0"/>
          <w:numId w:val="16"/>
        </w:numPr>
        <w:suppressAutoHyphens w:val="0"/>
        <w:jc w:val="both"/>
        <w:rPr>
          <w:rFonts w:cstheme="minorHAnsi"/>
          <w:sz w:val="21"/>
          <w:szCs w:val="21"/>
        </w:rPr>
      </w:pPr>
      <w:r w:rsidRPr="009E4BA7">
        <w:rPr>
          <w:rFonts w:cstheme="minorHAnsi"/>
          <w:sz w:val="21"/>
          <w:szCs w:val="21"/>
        </w:rPr>
        <w:t xml:space="preserve">Assess community health </w:t>
      </w:r>
      <w:proofErr w:type="gramStart"/>
      <w:r w:rsidRPr="009E4BA7">
        <w:rPr>
          <w:rFonts w:cstheme="minorHAnsi"/>
          <w:sz w:val="21"/>
          <w:szCs w:val="21"/>
        </w:rPr>
        <w:t>need</w:t>
      </w:r>
      <w:proofErr w:type="gramEnd"/>
      <w:r w:rsidRPr="009E4BA7">
        <w:rPr>
          <w:rFonts w:cstheme="minorHAnsi"/>
          <w:sz w:val="21"/>
          <w:szCs w:val="21"/>
        </w:rPr>
        <w:t xml:space="preserve">, defined broadly to include health status and disparities, social determinants, environmental factors, and service system strengths and </w:t>
      </w:r>
      <w:proofErr w:type="gramStart"/>
      <w:r w:rsidRPr="009E4BA7">
        <w:rPr>
          <w:rFonts w:cstheme="minorHAnsi"/>
          <w:sz w:val="21"/>
          <w:szCs w:val="21"/>
        </w:rPr>
        <w:t>weaknesses;</w:t>
      </w:r>
      <w:proofErr w:type="gramEnd"/>
    </w:p>
    <w:p w14:paraId="0C21F009" w14:textId="77777777" w:rsidR="009E4BA7" w:rsidRPr="009E4BA7" w:rsidRDefault="009E4BA7" w:rsidP="009E4BA7">
      <w:pPr>
        <w:pStyle w:val="ListParagraph"/>
        <w:numPr>
          <w:ilvl w:val="0"/>
          <w:numId w:val="16"/>
        </w:numPr>
        <w:suppressAutoHyphens w:val="0"/>
        <w:jc w:val="both"/>
        <w:rPr>
          <w:sz w:val="21"/>
          <w:szCs w:val="21"/>
        </w:rPr>
      </w:pPr>
      <w:r w:rsidRPr="009E4BA7">
        <w:rPr>
          <w:sz w:val="21"/>
          <w:szCs w:val="21"/>
        </w:rPr>
        <w:t>Engage the community, including local health departments, service providers across sectors and community residents, as well as Winchester Hospital leadership and staff; and</w:t>
      </w:r>
    </w:p>
    <w:p w14:paraId="0D023914" w14:textId="77777777" w:rsidR="009E4BA7" w:rsidRPr="009E4BA7" w:rsidRDefault="009E4BA7" w:rsidP="009E4BA7">
      <w:pPr>
        <w:pStyle w:val="ListParagraph"/>
        <w:numPr>
          <w:ilvl w:val="0"/>
          <w:numId w:val="16"/>
        </w:numPr>
        <w:suppressAutoHyphens w:val="0"/>
        <w:jc w:val="both"/>
        <w:rPr>
          <w:sz w:val="21"/>
          <w:szCs w:val="21"/>
        </w:rPr>
      </w:pPr>
      <w:r w:rsidRPr="009E4BA7">
        <w:rPr>
          <w:sz w:val="21"/>
          <w:szCs w:val="21"/>
        </w:rPr>
        <w:t>Identify the leading health issues and the population segment most at-risk based on a review of the quantitative and qualitative information gathered by the assessment.</w:t>
      </w:r>
    </w:p>
    <w:p w14:paraId="29546366" w14:textId="77777777" w:rsidR="009E4BA7" w:rsidRPr="009E4BA7" w:rsidRDefault="009E4BA7" w:rsidP="009E4BA7">
      <w:pPr>
        <w:jc w:val="both"/>
        <w:rPr>
          <w:rFonts w:cstheme="minorHAnsi"/>
          <w:sz w:val="21"/>
          <w:szCs w:val="21"/>
        </w:rPr>
      </w:pPr>
    </w:p>
    <w:p w14:paraId="2575FD33" w14:textId="2A1CB8AF" w:rsidR="009E4BA7" w:rsidRPr="009E4BA7" w:rsidRDefault="009E4BA7" w:rsidP="009E4BA7">
      <w:pPr>
        <w:jc w:val="both"/>
        <w:rPr>
          <w:sz w:val="21"/>
          <w:szCs w:val="21"/>
        </w:rPr>
      </w:pPr>
      <w:r w:rsidRPr="009E4BA7">
        <w:rPr>
          <w:sz w:val="21"/>
          <w:szCs w:val="21"/>
        </w:rPr>
        <w:t xml:space="preserve">Winchester Hospital utilizes a participatory, collaborative approach to carry out each CHNA and is committed to exploring health in its broadest context. The CHNA process includes a community listening session, a community health survey, focus groups and interviews. Winchester Hospital collects information from community residents with a special focus on those not typically engaged/included in such </w:t>
      </w:r>
      <w:proofErr w:type="gramStart"/>
      <w:r w:rsidRPr="009E4BA7">
        <w:rPr>
          <w:sz w:val="21"/>
          <w:szCs w:val="21"/>
        </w:rPr>
        <w:t>processes,</w:t>
      </w:r>
      <w:proofErr w:type="gramEnd"/>
      <w:r w:rsidRPr="009E4BA7">
        <w:rPr>
          <w:sz w:val="21"/>
          <w:szCs w:val="21"/>
        </w:rPr>
        <w:t xml:space="preserve"> hospital leadership, service providers, public health, public officials and other key stakeholders. Winchester Hospital also analyzes quantitative and qualitative data on demographics and various social determinants of health (e.g., income, employment, transportation, education, housing, food, etc.), as well as health status and access to care and services. Throughout the CHNA process, the hospital relies on the input and oversight of its Community Benefits Advisory Committee (CBAC) and key hospital leadership. The Winchester Hospital CBAC includes a diverse group of individuals and organizations, ensuring input and decision-making reflective of the community.  Accordingly, the CHNA report illustrates key findings of the assessment process, which continues to explore a range of health behaviors and outcomes; social and economic issues; including the social determinants of health; health care access and gaps; and strengths of existing resources and services.</w:t>
      </w:r>
    </w:p>
    <w:p w14:paraId="3A7F4965" w14:textId="77777777" w:rsidR="009E4BA7" w:rsidRPr="009E4BA7" w:rsidRDefault="009E4BA7" w:rsidP="009E4BA7">
      <w:pPr>
        <w:jc w:val="both"/>
        <w:rPr>
          <w:rFonts w:cs="Arial"/>
          <w:sz w:val="21"/>
          <w:szCs w:val="21"/>
        </w:rPr>
      </w:pPr>
    </w:p>
    <w:p w14:paraId="402F868D" w14:textId="77777777" w:rsidR="009E4BA7" w:rsidRPr="009E4BA7" w:rsidRDefault="009E4BA7" w:rsidP="009E4BA7">
      <w:pPr>
        <w:pStyle w:val="ListParagraph"/>
        <w:numPr>
          <w:ilvl w:val="0"/>
          <w:numId w:val="18"/>
        </w:numPr>
        <w:suppressAutoHyphens w:val="0"/>
        <w:spacing w:after="200" w:line="276" w:lineRule="auto"/>
        <w:ind w:left="1080"/>
        <w:jc w:val="both"/>
        <w:rPr>
          <w:rFonts w:cstheme="minorHAnsi"/>
          <w:sz w:val="21"/>
          <w:szCs w:val="21"/>
          <w:u w:val="single"/>
        </w:rPr>
      </w:pPr>
      <w:r w:rsidRPr="009E4BA7">
        <w:rPr>
          <w:sz w:val="21"/>
          <w:szCs w:val="21"/>
          <w:u w:val="single"/>
        </w:rPr>
        <w:t>Advisory Committee Duties</w:t>
      </w:r>
    </w:p>
    <w:p w14:paraId="7A49A769" w14:textId="77777777" w:rsidR="009E4BA7" w:rsidRPr="009E4BA7" w:rsidRDefault="009E4BA7" w:rsidP="009E4BA7">
      <w:pPr>
        <w:jc w:val="both"/>
        <w:rPr>
          <w:sz w:val="21"/>
          <w:szCs w:val="21"/>
        </w:rPr>
      </w:pPr>
      <w:r w:rsidRPr="009E4BA7">
        <w:rPr>
          <w:sz w:val="21"/>
          <w:szCs w:val="21"/>
        </w:rPr>
        <w:t xml:space="preserve">Winchester Hospital is committed to a transparent and community-engaged process with respect to its CHNA, its Implementation Strategy and this CHI. The Hospital’s CBAC membership intentionally reflects sector requirements outlined in the CHI guidelines and will serve as the decision-making body for this CHI. As outlined in the CBAC’s Charter, its scope of work will include: </w:t>
      </w:r>
    </w:p>
    <w:p w14:paraId="76A85F54" w14:textId="77777777" w:rsidR="009E4BA7" w:rsidRPr="009E4BA7" w:rsidRDefault="009E4BA7" w:rsidP="009E4BA7">
      <w:pPr>
        <w:pStyle w:val="ListParagraph"/>
        <w:numPr>
          <w:ilvl w:val="0"/>
          <w:numId w:val="17"/>
        </w:numPr>
        <w:suppressAutoHyphens w:val="0"/>
        <w:spacing w:after="200" w:line="276" w:lineRule="auto"/>
        <w:jc w:val="both"/>
        <w:rPr>
          <w:sz w:val="21"/>
          <w:szCs w:val="21"/>
        </w:rPr>
      </w:pPr>
      <w:r w:rsidRPr="009E4BA7">
        <w:rPr>
          <w:sz w:val="21"/>
          <w:szCs w:val="21"/>
        </w:rPr>
        <w:t xml:space="preserve">Assisting Winchester Hospital staff with appropriate engagement with residents from focused communities and community partners around the CHI. </w:t>
      </w:r>
    </w:p>
    <w:p w14:paraId="345E00D8" w14:textId="77777777" w:rsidR="009E4BA7" w:rsidRPr="009E4BA7" w:rsidRDefault="009E4BA7" w:rsidP="009E4BA7">
      <w:pPr>
        <w:pStyle w:val="ListParagraph"/>
        <w:numPr>
          <w:ilvl w:val="0"/>
          <w:numId w:val="17"/>
        </w:numPr>
        <w:suppressAutoHyphens w:val="0"/>
        <w:spacing w:after="200" w:line="276" w:lineRule="auto"/>
        <w:jc w:val="both"/>
        <w:rPr>
          <w:sz w:val="21"/>
          <w:szCs w:val="21"/>
        </w:rPr>
      </w:pPr>
      <w:r w:rsidRPr="009E4BA7">
        <w:rPr>
          <w:sz w:val="21"/>
          <w:szCs w:val="21"/>
        </w:rPr>
        <w:t>Determining the Health Priority(</w:t>
      </w:r>
      <w:proofErr w:type="spellStart"/>
      <w:r w:rsidRPr="009E4BA7">
        <w:rPr>
          <w:sz w:val="21"/>
          <w:szCs w:val="21"/>
        </w:rPr>
        <w:t>ies</w:t>
      </w:r>
      <w:proofErr w:type="spellEnd"/>
      <w:r w:rsidRPr="009E4BA7">
        <w:rPr>
          <w:sz w:val="21"/>
          <w:szCs w:val="21"/>
        </w:rPr>
        <w:t xml:space="preserve">) for CHI funding based upon the needs identified in the 2025 CHNA and in alignment with the Department of </w:t>
      </w:r>
      <w:proofErr w:type="gramStart"/>
      <w:r w:rsidRPr="009E4BA7">
        <w:rPr>
          <w:sz w:val="21"/>
          <w:szCs w:val="21"/>
        </w:rPr>
        <w:t>Public Health’s</w:t>
      </w:r>
      <w:proofErr w:type="gramEnd"/>
      <w:r w:rsidRPr="009E4BA7">
        <w:rPr>
          <w:sz w:val="21"/>
          <w:szCs w:val="21"/>
        </w:rPr>
        <w:t xml:space="preserve"> Health Priorities and the Executive Office of Health and Human Services’ Focus Areas. </w:t>
      </w:r>
    </w:p>
    <w:p w14:paraId="15532488" w14:textId="77777777" w:rsidR="009E4BA7" w:rsidRPr="009E4BA7" w:rsidRDefault="009E4BA7" w:rsidP="009E4BA7">
      <w:pPr>
        <w:pStyle w:val="ListParagraph"/>
        <w:numPr>
          <w:ilvl w:val="0"/>
          <w:numId w:val="17"/>
        </w:numPr>
        <w:suppressAutoHyphens w:val="0"/>
        <w:spacing w:after="200" w:line="276" w:lineRule="auto"/>
        <w:jc w:val="both"/>
        <w:rPr>
          <w:sz w:val="21"/>
          <w:szCs w:val="21"/>
        </w:rPr>
      </w:pPr>
      <w:r w:rsidRPr="009E4BA7">
        <w:rPr>
          <w:sz w:val="21"/>
          <w:szCs w:val="21"/>
        </w:rPr>
        <w:t>Selecting strategies to address the identified Health Priorities.</w:t>
      </w:r>
    </w:p>
    <w:p w14:paraId="31AD2284" w14:textId="77777777" w:rsidR="009E4BA7" w:rsidRPr="009E4BA7" w:rsidRDefault="009E4BA7" w:rsidP="009E4BA7">
      <w:pPr>
        <w:pStyle w:val="ListParagraph"/>
        <w:numPr>
          <w:ilvl w:val="0"/>
          <w:numId w:val="17"/>
        </w:numPr>
        <w:suppressAutoHyphens w:val="0"/>
        <w:spacing w:after="200" w:line="276" w:lineRule="auto"/>
        <w:jc w:val="both"/>
        <w:rPr>
          <w:sz w:val="21"/>
          <w:szCs w:val="21"/>
        </w:rPr>
      </w:pPr>
      <w:r w:rsidRPr="009E4BA7">
        <w:rPr>
          <w:sz w:val="21"/>
          <w:szCs w:val="21"/>
        </w:rPr>
        <w:t xml:space="preserve">Advising Winchester Hospital staff and leadership on the solicitation process and awardee selection.  </w:t>
      </w:r>
    </w:p>
    <w:p w14:paraId="5A11E2C4" w14:textId="77777777" w:rsidR="009E4BA7" w:rsidRPr="009E4BA7" w:rsidRDefault="009E4BA7" w:rsidP="009E4BA7">
      <w:pPr>
        <w:pStyle w:val="ListParagraph"/>
        <w:jc w:val="both"/>
        <w:rPr>
          <w:sz w:val="21"/>
          <w:szCs w:val="21"/>
        </w:rPr>
      </w:pPr>
    </w:p>
    <w:p w14:paraId="7B35579C" w14:textId="77777777" w:rsidR="009E4BA7" w:rsidRPr="009E4BA7" w:rsidRDefault="009E4BA7" w:rsidP="009E4BA7">
      <w:pPr>
        <w:pStyle w:val="ListParagraph"/>
        <w:numPr>
          <w:ilvl w:val="0"/>
          <w:numId w:val="18"/>
        </w:numPr>
        <w:suppressAutoHyphens w:val="0"/>
        <w:spacing w:after="200" w:line="276" w:lineRule="auto"/>
        <w:ind w:left="1080"/>
        <w:jc w:val="both"/>
        <w:rPr>
          <w:rFonts w:cstheme="minorHAnsi"/>
          <w:sz w:val="21"/>
          <w:szCs w:val="21"/>
          <w:u w:val="single"/>
        </w:rPr>
      </w:pPr>
      <w:r w:rsidRPr="009E4BA7">
        <w:rPr>
          <w:rFonts w:cstheme="minorHAnsi"/>
          <w:sz w:val="21"/>
          <w:szCs w:val="21"/>
          <w:u w:val="single"/>
        </w:rPr>
        <w:t>Timeline for CHI Activities</w:t>
      </w:r>
    </w:p>
    <w:p w14:paraId="486EF6C7" w14:textId="77777777" w:rsidR="009E4BA7" w:rsidRPr="009E4BA7" w:rsidRDefault="009E4BA7" w:rsidP="009E4BA7">
      <w:pPr>
        <w:jc w:val="both"/>
        <w:rPr>
          <w:rFonts w:eastAsiaTheme="minorEastAsia"/>
          <w:sz w:val="21"/>
          <w:szCs w:val="21"/>
        </w:rPr>
      </w:pPr>
      <w:r w:rsidRPr="009E4BA7">
        <w:rPr>
          <w:rFonts w:eastAsiaTheme="minorEastAsia"/>
          <w:sz w:val="21"/>
          <w:szCs w:val="21"/>
        </w:rPr>
        <w:t>The timeline for CHI activities is as follows:</w:t>
      </w:r>
    </w:p>
    <w:p w14:paraId="63FE1AEA" w14:textId="77777777" w:rsidR="009E4BA7" w:rsidRPr="009E4BA7" w:rsidRDefault="009E4BA7" w:rsidP="009E4BA7">
      <w:pPr>
        <w:pStyle w:val="ListParagraph"/>
        <w:numPr>
          <w:ilvl w:val="0"/>
          <w:numId w:val="15"/>
        </w:numPr>
        <w:tabs>
          <w:tab w:val="left" w:pos="839"/>
        </w:tabs>
        <w:suppressAutoHyphens w:val="0"/>
        <w:spacing w:before="6" w:after="200" w:line="276" w:lineRule="auto"/>
        <w:ind w:hanging="359"/>
        <w:jc w:val="both"/>
        <w:rPr>
          <w:rFonts w:eastAsia="Calibri" w:cs="Calibri"/>
          <w:color w:val="000000" w:themeColor="text1"/>
          <w:sz w:val="21"/>
          <w:szCs w:val="21"/>
        </w:rPr>
      </w:pPr>
      <w:r w:rsidRPr="009E4BA7">
        <w:rPr>
          <w:rFonts w:eastAsia="Calibri" w:cs="Calibri"/>
          <w:color w:val="000000" w:themeColor="text1"/>
          <w:sz w:val="21"/>
          <w:szCs w:val="21"/>
        </w:rPr>
        <w:t xml:space="preserve">6 weeks post-approval: The CBAC will begin meeting and reviewing the most recent CHNA to commence the process of selecting CHI Health Priorities for funding.  </w:t>
      </w:r>
    </w:p>
    <w:p w14:paraId="265B6F0E" w14:textId="77777777" w:rsidR="009E4BA7" w:rsidRPr="009E4BA7" w:rsidRDefault="009E4BA7" w:rsidP="009E4BA7">
      <w:pPr>
        <w:pStyle w:val="ListParagraph"/>
        <w:numPr>
          <w:ilvl w:val="0"/>
          <w:numId w:val="15"/>
        </w:numPr>
        <w:suppressAutoHyphens w:val="0"/>
        <w:spacing w:after="200" w:line="276" w:lineRule="auto"/>
        <w:jc w:val="both"/>
        <w:rPr>
          <w:rFonts w:eastAsia="Calibri" w:cs="Calibri"/>
          <w:color w:val="000000" w:themeColor="text1"/>
          <w:sz w:val="21"/>
          <w:szCs w:val="21"/>
        </w:rPr>
      </w:pPr>
      <w:r w:rsidRPr="009E4BA7">
        <w:rPr>
          <w:rFonts w:eastAsia="Calibri" w:cs="Calibri"/>
          <w:color w:val="000000" w:themeColor="text1"/>
          <w:sz w:val="21"/>
          <w:szCs w:val="21"/>
        </w:rPr>
        <w:lastRenderedPageBreak/>
        <w:t>4 months post-approval: CBAC members select the CHI Health Priorities and Strategies and participate in a Conflict-of-Interest disclosure process; eligible CBAC members advise on the funding method to use, assist with the development of parameters for funding and evaluation and funding decisions are made.</w:t>
      </w:r>
    </w:p>
    <w:p w14:paraId="1CC04315" w14:textId="77777777" w:rsidR="009E4BA7" w:rsidRPr="009E4BA7" w:rsidRDefault="009E4BA7" w:rsidP="009E4BA7">
      <w:pPr>
        <w:pStyle w:val="ListParagraph"/>
        <w:numPr>
          <w:ilvl w:val="0"/>
          <w:numId w:val="15"/>
        </w:numPr>
        <w:suppressAutoHyphens w:val="0"/>
        <w:spacing w:after="200" w:line="276" w:lineRule="auto"/>
        <w:jc w:val="both"/>
        <w:rPr>
          <w:rFonts w:eastAsia="Calibri" w:cs="Calibri"/>
          <w:color w:val="000000" w:themeColor="text1"/>
          <w:sz w:val="21"/>
          <w:szCs w:val="21"/>
        </w:rPr>
      </w:pPr>
      <w:r w:rsidRPr="009E4BA7">
        <w:rPr>
          <w:rFonts w:eastAsia="Calibri" w:cs="Calibri"/>
          <w:color w:val="000000" w:themeColor="text1"/>
          <w:sz w:val="21"/>
          <w:szCs w:val="21"/>
        </w:rPr>
        <w:t xml:space="preserve">9 </w:t>
      </w:r>
      <w:proofErr w:type="gramStart"/>
      <w:r w:rsidRPr="009E4BA7">
        <w:rPr>
          <w:rFonts w:eastAsia="Calibri" w:cs="Calibri"/>
          <w:color w:val="000000" w:themeColor="text1"/>
          <w:sz w:val="21"/>
          <w:szCs w:val="21"/>
        </w:rPr>
        <w:t>months</w:t>
      </w:r>
      <w:proofErr w:type="gramEnd"/>
      <w:r w:rsidRPr="009E4BA7">
        <w:rPr>
          <w:rFonts w:eastAsia="Calibri" w:cs="Calibri"/>
          <w:color w:val="000000" w:themeColor="text1"/>
          <w:sz w:val="21"/>
          <w:szCs w:val="21"/>
        </w:rPr>
        <w:t xml:space="preserve"> post-approval: Disbursement of funds begins.</w:t>
      </w:r>
    </w:p>
    <w:p w14:paraId="16DA2BB0" w14:textId="77777777" w:rsidR="009E4BA7" w:rsidRPr="009E4BA7" w:rsidRDefault="009E4BA7" w:rsidP="009E4BA7">
      <w:pPr>
        <w:pStyle w:val="ListParagraph"/>
        <w:numPr>
          <w:ilvl w:val="0"/>
          <w:numId w:val="15"/>
        </w:numPr>
        <w:suppressAutoHyphens w:val="0"/>
        <w:spacing w:after="200" w:line="276" w:lineRule="auto"/>
        <w:jc w:val="both"/>
        <w:rPr>
          <w:rFonts w:eastAsia="Calibri" w:cs="Calibri"/>
          <w:color w:val="000000" w:themeColor="text1"/>
          <w:sz w:val="21"/>
          <w:szCs w:val="21"/>
        </w:rPr>
      </w:pPr>
      <w:r w:rsidRPr="009E4BA7">
        <w:rPr>
          <w:rFonts w:eastAsia="Calibri" w:cs="Calibri"/>
          <w:color w:val="000000" w:themeColor="text1"/>
          <w:sz w:val="21"/>
          <w:szCs w:val="21"/>
        </w:rPr>
        <w:t>9 months – 3 years post approval: Strategies are implemented; monitoring, evaluation and reporting with community partners is completed on an annual basis.</w:t>
      </w:r>
    </w:p>
    <w:p w14:paraId="4ACAB51C" w14:textId="77777777" w:rsidR="009E4BA7" w:rsidRPr="009E4BA7" w:rsidRDefault="009E4BA7" w:rsidP="009E4BA7">
      <w:pPr>
        <w:pStyle w:val="ListParagraph"/>
        <w:numPr>
          <w:ilvl w:val="0"/>
          <w:numId w:val="15"/>
        </w:numPr>
        <w:suppressAutoHyphens w:val="0"/>
        <w:spacing w:after="200" w:line="276" w:lineRule="auto"/>
        <w:jc w:val="both"/>
        <w:rPr>
          <w:rFonts w:eastAsia="Calibri" w:cs="Calibri"/>
          <w:color w:val="000000" w:themeColor="text1"/>
          <w:sz w:val="21"/>
          <w:szCs w:val="21"/>
        </w:rPr>
      </w:pPr>
      <w:r w:rsidRPr="009E4BA7">
        <w:rPr>
          <w:rFonts w:eastAsia="Calibri" w:cs="Calibri"/>
          <w:color w:val="000000" w:themeColor="text1"/>
          <w:sz w:val="21"/>
          <w:szCs w:val="21"/>
        </w:rPr>
        <w:t>3 – 4 years post-approval: Final evaluation and reporting of funded projects to DPH.</w:t>
      </w:r>
    </w:p>
    <w:p w14:paraId="5D92D986" w14:textId="77777777" w:rsidR="009E4BA7" w:rsidRPr="009E4BA7" w:rsidRDefault="009E4BA7" w:rsidP="009E4BA7">
      <w:pPr>
        <w:pStyle w:val="ListParagraph"/>
        <w:jc w:val="both"/>
        <w:rPr>
          <w:rFonts w:eastAsiaTheme="minorEastAsia"/>
          <w:sz w:val="21"/>
          <w:szCs w:val="21"/>
        </w:rPr>
      </w:pPr>
    </w:p>
    <w:p w14:paraId="65AFC82A" w14:textId="77777777" w:rsidR="009E4BA7" w:rsidRPr="009E4BA7" w:rsidRDefault="009E4BA7" w:rsidP="009E4BA7">
      <w:pPr>
        <w:pStyle w:val="ListParagraph"/>
        <w:numPr>
          <w:ilvl w:val="0"/>
          <w:numId w:val="18"/>
        </w:numPr>
        <w:suppressAutoHyphens w:val="0"/>
        <w:spacing w:after="200" w:line="276" w:lineRule="auto"/>
        <w:ind w:left="1080"/>
        <w:jc w:val="both"/>
        <w:rPr>
          <w:rFonts w:eastAsiaTheme="minorEastAsia"/>
          <w:sz w:val="21"/>
          <w:szCs w:val="21"/>
          <w:u w:val="single"/>
        </w:rPr>
      </w:pPr>
      <w:r w:rsidRPr="009E4BA7">
        <w:rPr>
          <w:rFonts w:eastAsiaTheme="minorEastAsia"/>
          <w:sz w:val="21"/>
          <w:szCs w:val="21"/>
          <w:u w:val="single"/>
        </w:rPr>
        <w:t>Administrative Monies</w:t>
      </w:r>
    </w:p>
    <w:p w14:paraId="239ECEF9" w14:textId="77777777" w:rsidR="009E4BA7" w:rsidRPr="009E4BA7" w:rsidRDefault="009E4BA7" w:rsidP="009E4BA7">
      <w:pPr>
        <w:spacing w:after="40"/>
        <w:jc w:val="both"/>
        <w:rPr>
          <w:sz w:val="21"/>
          <w:szCs w:val="21"/>
        </w:rPr>
      </w:pPr>
      <w:r w:rsidRPr="009E4BA7">
        <w:rPr>
          <w:sz w:val="21"/>
          <w:szCs w:val="21"/>
        </w:rPr>
        <w:t xml:space="preserve">Applicants submitting a Tier 1 CHI are eligible to retain a four percent (4%) administrative fee. Accordingly, Winchester Hospital is requesting $3,825.15 in administrative funding. These monies will support promotion of meetings, interpretation/translation, community engagement, stipends for </w:t>
      </w:r>
    </w:p>
    <w:p w14:paraId="1E76E686" w14:textId="77777777" w:rsidR="009E4BA7" w:rsidRPr="009E4BA7" w:rsidRDefault="009E4BA7" w:rsidP="009E4BA7">
      <w:pPr>
        <w:spacing w:after="40"/>
        <w:rPr>
          <w:sz w:val="21"/>
          <w:szCs w:val="21"/>
        </w:rPr>
      </w:pPr>
      <w:r w:rsidRPr="009E4BA7">
        <w:rPr>
          <w:sz w:val="21"/>
          <w:szCs w:val="21"/>
        </w:rPr>
        <w:t xml:space="preserve">community resident participation, additional staff time for these efforts. </w:t>
      </w:r>
      <w:r w:rsidRPr="009E4BA7">
        <w:rPr>
          <w:sz w:val="21"/>
          <w:szCs w:val="21"/>
        </w:rPr>
        <w:br/>
      </w:r>
    </w:p>
    <w:p w14:paraId="527661C5" w14:textId="77777777" w:rsidR="009E4BA7" w:rsidRPr="009E4BA7" w:rsidRDefault="009E4BA7" w:rsidP="009E4BA7">
      <w:pPr>
        <w:pStyle w:val="ListParagraph"/>
        <w:numPr>
          <w:ilvl w:val="0"/>
          <w:numId w:val="18"/>
        </w:numPr>
        <w:suppressAutoHyphens w:val="0"/>
        <w:spacing w:after="200" w:line="276" w:lineRule="auto"/>
        <w:ind w:left="1080"/>
        <w:jc w:val="both"/>
        <w:rPr>
          <w:rFonts w:cstheme="minorHAnsi"/>
          <w:sz w:val="21"/>
          <w:szCs w:val="21"/>
          <w:u w:val="single"/>
        </w:rPr>
      </w:pPr>
      <w:r w:rsidRPr="009E4BA7">
        <w:rPr>
          <w:sz w:val="21"/>
          <w:szCs w:val="21"/>
          <w:u w:val="single"/>
        </w:rPr>
        <w:t>Evaluation Overview</w:t>
      </w:r>
    </w:p>
    <w:p w14:paraId="22919A29" w14:textId="77777777" w:rsidR="009E4BA7" w:rsidRPr="009E4BA7" w:rsidRDefault="009E4BA7" w:rsidP="009E4BA7">
      <w:pPr>
        <w:spacing w:after="40"/>
        <w:jc w:val="both"/>
        <w:rPr>
          <w:sz w:val="21"/>
          <w:szCs w:val="21"/>
        </w:rPr>
      </w:pPr>
      <w:r w:rsidRPr="009E4BA7">
        <w:rPr>
          <w:sz w:val="21"/>
          <w:szCs w:val="21"/>
        </w:rPr>
        <w:t>Winchester Hospital is seeking to use 10% of local CHI funding, $8,262.31, for evaluation efforts. These monies will allow Winchester Hospital to retain the expertise of the BILH Manager of Program Design and Evaluation to develop appropriate evaluation metrics of the CHI-funded project(s).</w:t>
      </w:r>
    </w:p>
    <w:p w14:paraId="6E02B5EE" w14:textId="46D3D755" w:rsidR="00551D3E" w:rsidRPr="009E4BA7" w:rsidRDefault="00551D3E" w:rsidP="00742B85">
      <w:pPr>
        <w:spacing w:after="240"/>
        <w:rPr>
          <w:rFonts w:asciiTheme="minorHAnsi" w:hAnsiTheme="minorHAnsi"/>
          <w:b/>
          <w:bCs/>
          <w:kern w:val="2"/>
          <w:sz w:val="21"/>
          <w:szCs w:val="21"/>
          <w14:ligatures w14:val="standardContextual"/>
        </w:rPr>
      </w:pPr>
    </w:p>
    <w:sectPr w:rsidR="00551D3E" w:rsidRPr="009E4BA7" w:rsidSect="00837A03">
      <w:pgSz w:w="12240" w:h="15840" w:code="1"/>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5247" w14:textId="77777777" w:rsidR="009B29DF" w:rsidRDefault="009B29DF" w:rsidP="00D56D3B">
      <w:r>
        <w:separator/>
      </w:r>
    </w:p>
  </w:endnote>
  <w:endnote w:type="continuationSeparator" w:id="0">
    <w:p w14:paraId="33576D4C" w14:textId="77777777" w:rsidR="009B29DF" w:rsidRDefault="009B29DF" w:rsidP="00D5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5978" w14:textId="77777777" w:rsidR="000176E5" w:rsidRDefault="00017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CBAB" w14:textId="77777777" w:rsidR="000176E5" w:rsidRDefault="00017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4B99" w14:textId="77777777" w:rsidR="000176E5" w:rsidRDefault="000176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99CB" w14:textId="77777777" w:rsidR="007626B1" w:rsidRDefault="007626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EAF8" w14:textId="77777777" w:rsidR="007626B1" w:rsidRDefault="007626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9A22" w14:textId="77777777" w:rsidR="007626B1" w:rsidRDefault="0076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9E72" w14:textId="77777777" w:rsidR="009B29DF" w:rsidRDefault="009B29DF" w:rsidP="00D56D3B">
      <w:r>
        <w:separator/>
      </w:r>
    </w:p>
  </w:footnote>
  <w:footnote w:type="continuationSeparator" w:id="0">
    <w:p w14:paraId="411E6C17" w14:textId="77777777" w:rsidR="009B29DF" w:rsidRDefault="009B29DF" w:rsidP="00D56D3B">
      <w:r>
        <w:continuationSeparator/>
      </w:r>
    </w:p>
  </w:footnote>
  <w:footnote w:id="1">
    <w:p w14:paraId="21C8F623" w14:textId="77777777" w:rsidR="00B8714D" w:rsidRPr="00F87B3D" w:rsidRDefault="00B8714D" w:rsidP="00B8714D">
      <w:pPr>
        <w:pStyle w:val="FootnoteText"/>
      </w:pPr>
      <w:r w:rsidRPr="00F87B3D">
        <w:rPr>
          <w:rStyle w:val="FootnoteReference"/>
          <w:rFonts w:ascii="Arial" w:hAnsi="Arial" w:cs="Arial"/>
          <w:szCs w:val="16"/>
        </w:rPr>
        <w:footnoteRef/>
      </w:r>
      <w:r w:rsidRPr="00F87B3D">
        <w:t xml:space="preserve"> Greater Boston includes the following cities/towns:  Acton, Arlington, Ashland, Bedford, Belmont, Boston, Boxborough, Braintree, Brighton, Brookline, Burlington, Cambridge, Canton, Carlisle, Chelsea, Cohasset, Concord, Dedham, Dorchester, Dover, Foxboro, Framingham, Hingham, Holbrook, Holliston, Hopkinton, Hudson, Hull, Lexington, Lincoln, Littleton, Marlborough, Maynard, Medfield, Millis, Milton, Natick, Needham, Newton, Norfolk, Northborough, Norwell, Norwood, Quincy, Randolph, Revere, Roslindale, Scituate, Sharon, Sherborn, Somerville, Southborough, Stow, Sudbury, Walpole, Waltham, Watertown, Wayland, Wellesley, Westborough, Weston, Westwood, Weymouth, Wilmington, Winchester, Winthrop, Woburn, and Wrentham.</w:t>
      </w:r>
    </w:p>
  </w:footnote>
  <w:footnote w:id="2">
    <w:p w14:paraId="241E9F16" w14:textId="77777777" w:rsidR="00372EB0" w:rsidRPr="00AB44E1" w:rsidRDefault="00372EB0" w:rsidP="00B8714D">
      <w:pPr>
        <w:pStyle w:val="FootnoteText"/>
        <w:rPr>
          <w:rFonts w:eastAsia="Times New Roman" w:cs="Calibri"/>
          <w:color w:val="000000"/>
        </w:rPr>
      </w:pPr>
      <w:r w:rsidRPr="00AB44E1">
        <w:rPr>
          <w:rStyle w:val="FootnoteReference"/>
          <w:rFonts w:cs="Calibri"/>
          <w:color w:val="000000"/>
          <w:szCs w:val="16"/>
        </w:rPr>
        <w:footnoteRef/>
      </w:r>
      <w:r w:rsidRPr="00AB44E1">
        <w:rPr>
          <w:rFonts w:cs="Calibri"/>
          <w:color w:val="000000"/>
        </w:rPr>
        <w:t xml:space="preserve"> </w:t>
      </w:r>
      <w:r w:rsidRPr="00AB44E1">
        <w:rPr>
          <w:rFonts w:eastAsia="Times New Roman" w:cs="Calibri"/>
          <w:color w:val="000000"/>
        </w:rPr>
        <w:t xml:space="preserve">Includes genders other than male/female, as well as patients for whom a gender is not specified, and whose gender varies across visits over the </w:t>
      </w:r>
      <w:proofErr w:type="gramStart"/>
      <w:r w:rsidRPr="00AB44E1">
        <w:rPr>
          <w:rFonts w:eastAsia="Times New Roman" w:cs="Calibri"/>
          <w:color w:val="000000"/>
        </w:rPr>
        <w:t>time period</w:t>
      </w:r>
      <w:proofErr w:type="gramEnd"/>
      <w:r w:rsidRPr="00AB44E1">
        <w:rPr>
          <w:rFonts w:eastAsia="Times New Roman" w:cs="Calibri"/>
          <w:color w:val="000000"/>
        </w:rPr>
        <w:t xml:space="preserve">. </w:t>
      </w:r>
    </w:p>
  </w:footnote>
  <w:footnote w:id="3">
    <w:p w14:paraId="45C9C6BD" w14:textId="77777777" w:rsidR="00372EB0" w:rsidRPr="00AB44E1" w:rsidRDefault="00372EB0" w:rsidP="00B8714D">
      <w:pPr>
        <w:pStyle w:val="FootnoteText"/>
        <w:rPr>
          <w:rFonts w:eastAsia="Times New Roman" w:cs="Calibri"/>
          <w:color w:val="000000"/>
        </w:rPr>
      </w:pPr>
      <w:r w:rsidRPr="00AB44E1">
        <w:rPr>
          <w:rStyle w:val="FootnoteReference"/>
          <w:rFonts w:cs="Calibri"/>
          <w:color w:val="000000"/>
          <w:szCs w:val="16"/>
        </w:rPr>
        <w:footnoteRef/>
      </w:r>
      <w:r w:rsidRPr="00AB44E1">
        <w:rPr>
          <w:rFonts w:cs="Calibri"/>
          <w:color w:val="000000"/>
        </w:rPr>
        <w:t xml:space="preserve"> </w:t>
      </w:r>
      <w:r w:rsidRPr="00AB44E1">
        <w:rPr>
          <w:rFonts w:eastAsia="Times New Roman" w:cs="Calibri"/>
          <w:color w:val="000000"/>
        </w:rPr>
        <w:t>Includes self-pay, health safety net, and liability coverage other than worker’s compensation for an injury event.</w:t>
      </w:r>
    </w:p>
  </w:footnote>
  <w:footnote w:id="4">
    <w:p w14:paraId="68DA1FE4" w14:textId="77777777" w:rsidR="00654D04" w:rsidRPr="00AB44E1" w:rsidRDefault="00654D04" w:rsidP="00654D04">
      <w:pPr>
        <w:rPr>
          <w:rFonts w:cs="Calibri"/>
          <w:color w:val="000000"/>
          <w:szCs w:val="16"/>
        </w:rPr>
      </w:pPr>
      <w:r w:rsidRPr="000F695C">
        <w:footnoteRef/>
      </w:r>
      <w:r w:rsidRPr="00AB44E1">
        <w:rPr>
          <w:rFonts w:cs="Calibri"/>
          <w:color w:val="000000"/>
          <w:szCs w:val="16"/>
        </w:rPr>
        <w:t xml:space="preserve"> </w:t>
      </w:r>
      <w:r w:rsidRPr="000F695C">
        <w:rPr>
          <w:rFonts w:cs="Calibri"/>
          <w:color w:val="000000"/>
          <w:szCs w:val="16"/>
        </w:rPr>
        <w:t>Includes self-pay, health safety net, and liability coverage other than worker’s compensation for an injury event.</w:t>
      </w:r>
    </w:p>
  </w:footnote>
  <w:footnote w:id="5">
    <w:p w14:paraId="130668DD" w14:textId="77777777" w:rsidR="00BD615F" w:rsidRDefault="00BD615F" w:rsidP="00B8714D">
      <w:pPr>
        <w:pStyle w:val="FootnoteText"/>
      </w:pPr>
      <w:r>
        <w:rPr>
          <w:rStyle w:val="FootnoteReference"/>
        </w:rPr>
        <w:footnoteRef/>
      </w:r>
      <w:r>
        <w:t xml:space="preserve"> Includes Connector Care and Health Safety Net.</w:t>
      </w:r>
    </w:p>
  </w:footnote>
  <w:footnote w:id="6">
    <w:p w14:paraId="77F1A380" w14:textId="77777777" w:rsidR="00BD615F" w:rsidRPr="00AB44E1" w:rsidRDefault="00BD615F" w:rsidP="00B8714D">
      <w:pPr>
        <w:rPr>
          <w:rFonts w:cs="Calibri"/>
          <w:color w:val="000000"/>
          <w:szCs w:val="16"/>
        </w:rPr>
      </w:pPr>
      <w:r w:rsidRPr="000F695C">
        <w:footnoteRef/>
      </w:r>
      <w:r w:rsidRPr="00AB44E1">
        <w:rPr>
          <w:rFonts w:cs="Calibri"/>
          <w:color w:val="000000"/>
          <w:szCs w:val="16"/>
        </w:rPr>
        <w:t xml:space="preserve"> </w:t>
      </w:r>
      <w:r w:rsidRPr="000F695C">
        <w:rPr>
          <w:rFonts w:cs="Calibri"/>
          <w:color w:val="000000"/>
          <w:szCs w:val="16"/>
        </w:rPr>
        <w:t>Includes self-pay, health safety net, and liability coverage other than worker’s compensation for an injury event.</w:t>
      </w:r>
    </w:p>
  </w:footnote>
  <w:footnote w:id="7">
    <w:p w14:paraId="580000DF" w14:textId="426AB24D" w:rsidR="005655CA" w:rsidRDefault="005655CA" w:rsidP="005655CA">
      <w:pPr>
        <w:rPr>
          <w:rFonts w:cs="Calibri"/>
          <w:color w:val="000000"/>
          <w:szCs w:val="16"/>
        </w:rPr>
      </w:pPr>
      <w:r>
        <w:rPr>
          <w:rFonts w:cs="Calibri"/>
          <w:color w:val="000000"/>
        </w:rPr>
        <w:footnoteRef/>
      </w:r>
      <w:r>
        <w:rPr>
          <w:rFonts w:cs="Calibri"/>
          <w:color w:val="000000"/>
          <w:szCs w:val="16"/>
        </w:rPr>
        <w:t xml:space="preserve"> </w:t>
      </w:r>
      <w:hyperlink r:id="rId1" w:history="1">
        <w:r w:rsidRPr="00FC4365">
          <w:rPr>
            <w:rStyle w:val="Hyperlink"/>
            <w:rFonts w:cs="Calibri"/>
            <w:color w:val="000000" w:themeColor="text1"/>
            <w:szCs w:val="16"/>
            <w:u w:val="none"/>
          </w:rPr>
          <w:t>Colorectal Cancer Rates Are Skyrocketing In Young Adults – Is Your Lifestyle Putting You At Risk?,</w:t>
        </w:r>
      </w:hyperlink>
      <w:r>
        <w:rPr>
          <w:rFonts w:cs="Calibri"/>
          <w:color w:val="000000"/>
          <w:szCs w:val="16"/>
        </w:rPr>
        <w:t xml:space="preserve"> Cancer Research Institute (Mar. 5, 2025), </w:t>
      </w:r>
      <w:hyperlink r:id="rId2" w:history="1">
        <w:r>
          <w:rPr>
            <w:rStyle w:val="Hyperlink"/>
            <w:rFonts w:cs="Calibri"/>
            <w:color w:val="000000"/>
          </w:rPr>
          <w:t>https://www.cancerresearch.org/blog/colorectal-cancer-awareness-month</w:t>
        </w:r>
      </w:hyperlink>
      <w:r>
        <w:rPr>
          <w:rFonts w:cs="Calibri"/>
          <w:color w:val="000000"/>
          <w:szCs w:val="16"/>
        </w:rPr>
        <w:t xml:space="preserve">. </w:t>
      </w:r>
    </w:p>
  </w:footnote>
  <w:footnote w:id="8">
    <w:p w14:paraId="132E47DA" w14:textId="69D6F49C" w:rsidR="005655CA" w:rsidRPr="008750B1" w:rsidRDefault="005655CA" w:rsidP="005655CA">
      <w:pPr>
        <w:rPr>
          <w:rFonts w:cs="Calibri"/>
          <w:color w:val="000000"/>
          <w:szCs w:val="16"/>
        </w:rPr>
      </w:pPr>
      <w:r>
        <w:rPr>
          <w:rFonts w:cs="Calibri"/>
          <w:color w:val="000000"/>
        </w:rPr>
        <w:footnoteRef/>
      </w:r>
      <w:r>
        <w:rPr>
          <w:rFonts w:cs="Calibri"/>
          <w:color w:val="000000"/>
          <w:szCs w:val="16"/>
        </w:rPr>
        <w:t xml:space="preserve"> </w:t>
      </w:r>
      <w:r w:rsidR="008750B1">
        <w:rPr>
          <w:rFonts w:cs="Calibri"/>
          <w:i/>
          <w:iCs/>
          <w:color w:val="000000"/>
          <w:szCs w:val="16"/>
        </w:rPr>
        <w:t>Id.</w:t>
      </w:r>
    </w:p>
  </w:footnote>
  <w:footnote w:id="9">
    <w:p w14:paraId="71872BB1" w14:textId="3C1A2566" w:rsidR="005655CA" w:rsidRDefault="005655CA" w:rsidP="005655CA">
      <w:pPr>
        <w:rPr>
          <w:rFonts w:cs="Calibri"/>
          <w:color w:val="000000"/>
          <w:szCs w:val="16"/>
        </w:rPr>
      </w:pPr>
      <w:r>
        <w:rPr>
          <w:rStyle w:val="FootnoteReference"/>
          <w:szCs w:val="16"/>
        </w:rPr>
        <w:footnoteRef/>
      </w:r>
      <w:r>
        <w:rPr>
          <w:szCs w:val="16"/>
        </w:rPr>
        <w:t xml:space="preserve"> </w:t>
      </w:r>
      <w:hyperlink r:id="rId3" w:history="1">
        <w:r w:rsidRPr="007A1C8C">
          <w:rPr>
            <w:rStyle w:val="Hyperlink"/>
            <w:rFonts w:cs="Calibri"/>
            <w:color w:val="000000" w:themeColor="text1"/>
            <w:szCs w:val="16"/>
            <w:u w:val="none"/>
          </w:rPr>
          <w:t>Cancer Facts &amp; Figures,</w:t>
        </w:r>
      </w:hyperlink>
      <w:r w:rsidRPr="007A1C8C">
        <w:rPr>
          <w:rFonts w:cs="Calibri"/>
          <w:color w:val="000000" w:themeColor="text1"/>
          <w:szCs w:val="16"/>
        </w:rPr>
        <w:t xml:space="preserve"> American </w:t>
      </w:r>
      <w:r>
        <w:rPr>
          <w:rFonts w:cs="Calibri"/>
          <w:color w:val="000000"/>
          <w:szCs w:val="16"/>
        </w:rPr>
        <w:t xml:space="preserve">Cancer Society (last accessed Oct. 17, 2025), </w:t>
      </w:r>
      <w:hyperlink r:id="rId4" w:history="1">
        <w:r>
          <w:rPr>
            <w:rStyle w:val="Hyperlink"/>
            <w:rFonts w:cs="Calibri"/>
            <w:color w:val="000000"/>
          </w:rPr>
          <w:t>www.cancer.org/content/dam/cancer-org/research/cancer-facts-and-statistics/annual-cancer-facts-and-figures/2025/2025-cancer-facts-and-figures-acs.pdf</w:t>
        </w:r>
      </w:hyperlink>
      <w:r>
        <w:rPr>
          <w:rFonts w:cs="Calibri"/>
          <w:color w:val="000000"/>
          <w:szCs w:val="16"/>
        </w:rPr>
        <w:t xml:space="preserve">. </w:t>
      </w:r>
    </w:p>
  </w:footnote>
  <w:footnote w:id="10">
    <w:p w14:paraId="69A419AA" w14:textId="6A69019E" w:rsidR="005655CA" w:rsidRDefault="005655CA" w:rsidP="005655CA">
      <w:r>
        <w:rPr>
          <w:rFonts w:cs="Calibri"/>
          <w:color w:val="000000"/>
        </w:rPr>
        <w:footnoteRef/>
      </w:r>
      <w:r>
        <w:rPr>
          <w:rFonts w:cs="Calibri"/>
          <w:color w:val="000000"/>
          <w:szCs w:val="16"/>
        </w:rPr>
        <w:t xml:space="preserve"> Trisha Pasricha and Lawrence S. Friedman, </w:t>
      </w:r>
      <w:hyperlink r:id="rId5" w:history="1">
        <w:r w:rsidRPr="007A1C8C">
          <w:rPr>
            <w:rStyle w:val="Hyperlink"/>
            <w:rFonts w:cs="Calibri"/>
            <w:color w:val="000000" w:themeColor="text1"/>
            <w:szCs w:val="16"/>
            <w:u w:val="none"/>
          </w:rPr>
          <w:t>How Well Do Colonoscopies Prevent Colorectal Cancer? What You Need to Know,</w:t>
        </w:r>
      </w:hyperlink>
      <w:r w:rsidRPr="007A1C8C">
        <w:rPr>
          <w:rFonts w:cs="Calibri"/>
          <w:color w:val="000000" w:themeColor="text1"/>
          <w:szCs w:val="16"/>
        </w:rPr>
        <w:t xml:space="preserve"> </w:t>
      </w:r>
      <w:r>
        <w:rPr>
          <w:rFonts w:cs="Calibri"/>
          <w:color w:val="000000"/>
          <w:szCs w:val="16"/>
        </w:rPr>
        <w:t xml:space="preserve">Harvard Health Publishing (Oct. 18, 2022), </w:t>
      </w:r>
      <w:hyperlink r:id="rId6" w:history="1">
        <w:r>
          <w:rPr>
            <w:rStyle w:val="Hyperlink"/>
            <w:rFonts w:cs="Calibri"/>
            <w:color w:val="000000"/>
          </w:rPr>
          <w:t>https://www.health.harvard.edu/blog/how-well-do-colonoscopies-prevent-colorectal-cancer-what-you-need-to-know-202210182834</w:t>
        </w:r>
      </w:hyperlink>
      <w:r>
        <w:rPr>
          <w:rFonts w:cs="Calibri"/>
          <w:color w:val="000000"/>
          <w:szCs w:val="16"/>
        </w:rPr>
        <w:t>.</w:t>
      </w:r>
      <w:r>
        <w:t xml:space="preserve"> </w:t>
      </w:r>
    </w:p>
  </w:footnote>
  <w:footnote w:id="11">
    <w:p w14:paraId="733F0749" w14:textId="28EB0FF3" w:rsidR="00281747" w:rsidRDefault="00281747">
      <w:pPr>
        <w:pStyle w:val="FootnoteText"/>
      </w:pPr>
      <w:r w:rsidRPr="00D0159A">
        <w:rPr>
          <w:rStyle w:val="FootnoteReference"/>
        </w:rPr>
        <w:footnoteRef/>
      </w:r>
      <w:r w:rsidRPr="00D0159A">
        <w:t xml:space="preserve"> Diagnostic procedures represent procedures that were billed with a diagnostic finding and may have been scheduled as a screening procedure. This further highlights the clinical necessity of screening procedures and screening adherence.</w:t>
      </w:r>
      <w:r>
        <w:t xml:space="preserve"> </w:t>
      </w:r>
    </w:p>
  </w:footnote>
  <w:footnote w:id="12">
    <w:p w14:paraId="4AB23ED6" w14:textId="3CCB5202" w:rsidR="005655CA" w:rsidRDefault="005655CA">
      <w:pPr>
        <w:pStyle w:val="FootnoteText"/>
      </w:pPr>
      <w:r>
        <w:rPr>
          <w:rStyle w:val="FootnoteReference"/>
        </w:rPr>
        <w:footnoteRef/>
      </w:r>
      <w:r>
        <w:t xml:space="preserve"> </w:t>
      </w:r>
      <w:r w:rsidR="00641C94">
        <w:t>The average wait times for patients of Winchester’s</w:t>
      </w:r>
      <w:r w:rsidR="00145C77">
        <w:t xml:space="preserve"> </w:t>
      </w:r>
      <w:r w:rsidR="00641C94">
        <w:t>GI group</w:t>
      </w:r>
      <w:r w:rsidR="00145C77">
        <w:t xml:space="preserve"> and Digestive Health </w:t>
      </w:r>
      <w:proofErr w:type="gramStart"/>
      <w:r w:rsidR="00145C77">
        <w:t xml:space="preserve">Associates </w:t>
      </w:r>
      <w:r w:rsidR="00641C94">
        <w:t xml:space="preserve"> is</w:t>
      </w:r>
      <w:proofErr w:type="gramEnd"/>
      <w:r w:rsidR="00641C94">
        <w:t xml:space="preserve"> one to two months, which accounts for 65% of the Endoscopy Center’s volume. The remaining 35% of volume comes from Atrius GI providers, whose patients are waiting an average of 6 months due to limited block time</w:t>
      </w:r>
      <w:r w:rsidR="00367B50">
        <w:t xml:space="preserve"> at the Endoscopy Center</w:t>
      </w:r>
      <w:r w:rsidR="00641C94">
        <w:t xml:space="preserve">. </w:t>
      </w:r>
    </w:p>
  </w:footnote>
  <w:footnote w:id="13">
    <w:p w14:paraId="57796C0B" w14:textId="39E27C8F" w:rsidR="005655CA" w:rsidRDefault="005655CA" w:rsidP="005655CA">
      <w:pPr>
        <w:rPr>
          <w:rFonts w:cs="Calibri"/>
          <w:color w:val="000000"/>
          <w:szCs w:val="16"/>
        </w:rPr>
      </w:pPr>
      <w:r>
        <w:rPr>
          <w:rStyle w:val="FootnoteReference"/>
          <w:szCs w:val="16"/>
        </w:rPr>
        <w:footnoteRef/>
      </w:r>
      <w:r>
        <w:rPr>
          <w:szCs w:val="16"/>
        </w:rPr>
        <w:t xml:space="preserve">  </w:t>
      </w:r>
      <w:r>
        <w:rPr>
          <w:rFonts w:cs="Calibri"/>
          <w:color w:val="000000"/>
          <w:szCs w:val="16"/>
        </w:rPr>
        <w:t>U.S. Cancer Statistics Working Group. U.S. Cancer Statistics Data Visualizations Tool. U.S. Department of Health and Human Services, Centers for Disease Control and Prevention and National Cancer Institute. Updated June 2025.</w:t>
      </w:r>
      <w:r w:rsidR="00403ABF">
        <w:rPr>
          <w:rFonts w:cs="Calibri"/>
          <w:color w:val="000000"/>
          <w:szCs w:val="16"/>
        </w:rPr>
        <w:t xml:space="preserve"> </w:t>
      </w:r>
      <w:r>
        <w:rPr>
          <w:rFonts w:cs="Calibri"/>
          <w:color w:val="000000"/>
          <w:szCs w:val="16"/>
        </w:rPr>
        <w:t xml:space="preserve">Accessed October 6, 2025. www.cdc.gov/cancer/dataviz. </w:t>
      </w:r>
    </w:p>
    <w:p w14:paraId="6832C14E" w14:textId="77777777" w:rsidR="005655CA" w:rsidRDefault="005655CA" w:rsidP="005655CA">
      <w:pPr>
        <w:rPr>
          <w:szCs w:val="16"/>
        </w:rPr>
      </w:pPr>
      <w:r>
        <w:rPr>
          <w:rFonts w:cs="Calibri"/>
          <w:color w:val="000000"/>
          <w:szCs w:val="16"/>
        </w:rPr>
        <w:t xml:space="preserve">U.S. Preventive Services Task </w:t>
      </w:r>
      <w:proofErr w:type="gramStart"/>
      <w:r>
        <w:rPr>
          <w:rFonts w:cs="Calibri"/>
          <w:color w:val="000000"/>
          <w:szCs w:val="16"/>
        </w:rPr>
        <w:t>Force;</w:t>
      </w:r>
      <w:proofErr w:type="gramEnd"/>
      <w:r>
        <w:rPr>
          <w:rFonts w:cs="Calibri"/>
          <w:color w:val="000000"/>
          <w:szCs w:val="16"/>
        </w:rPr>
        <w:t xml:space="preserve"> Davidson KW, Barry MJ, Mangione CM, et al. Screening for colorectal cancer: US Preventive Services Task Force recommendation statement. JAMA. 2021;325(19):1965–1977. doi:10.1001/jama.2021.6238</w:t>
      </w:r>
      <w:r>
        <w:rPr>
          <w:szCs w:val="16"/>
        </w:rPr>
        <w:t>.</w:t>
      </w:r>
    </w:p>
  </w:footnote>
  <w:footnote w:id="14">
    <w:p w14:paraId="385BE2F3" w14:textId="270F5673" w:rsidR="000739CD" w:rsidRDefault="000739CD">
      <w:pPr>
        <w:pStyle w:val="FootnoteText"/>
      </w:pPr>
      <w:r>
        <w:rPr>
          <w:rStyle w:val="FootnoteReference"/>
        </w:rPr>
        <w:footnoteRef/>
      </w:r>
      <w:r>
        <w:t xml:space="preserve"> Based on UMass Donahue Institute projections, </w:t>
      </w:r>
      <w:r w:rsidR="00101F2C">
        <w:t xml:space="preserve">the </w:t>
      </w:r>
      <w:bookmarkStart w:id="5" w:name="_Hlk214274572"/>
      <w:r w:rsidR="001804A8">
        <w:t xml:space="preserve">40-69 </w:t>
      </w:r>
      <w:r w:rsidR="00101F2C">
        <w:t>age cohort</w:t>
      </w:r>
      <w:r w:rsidR="001804A8">
        <w:t xml:space="preserve"> in the </w:t>
      </w:r>
      <w:r w:rsidR="00101F2C">
        <w:t>city/towns of</w:t>
      </w:r>
      <w:r w:rsidR="00831236">
        <w:t xml:space="preserve"> Burlington, Lynnfield, Winchester, Stoneham </w:t>
      </w:r>
      <w:r w:rsidR="00101F2C">
        <w:t xml:space="preserve">are collectively projected to </w:t>
      </w:r>
      <w:r w:rsidR="001804A8">
        <w:t>increase by 19% between 2025 and 2050</w:t>
      </w:r>
      <w:bookmarkEnd w:id="5"/>
      <w:r w:rsidR="001804A8">
        <w:t xml:space="preserve">. Within the towns of </w:t>
      </w:r>
      <w:bookmarkStart w:id="6" w:name="_Hlk214274615"/>
      <w:r w:rsidR="001804A8">
        <w:t>Burlington, Lynnfield, Medford, Stoneham, and Woburn, the 45-49</w:t>
      </w:r>
      <w:bookmarkEnd w:id="6"/>
      <w:r w:rsidR="001804A8">
        <w:t xml:space="preserve"> age cohort alone projected to grow 22% by 20</w:t>
      </w:r>
      <w:r w:rsidR="008F4A95">
        <w:t>30</w:t>
      </w:r>
      <w:r w:rsidR="001804A8">
        <w:t xml:space="preserve">. </w:t>
      </w:r>
      <w:hyperlink r:id="rId7" w:history="1">
        <w:r w:rsidR="001804A8" w:rsidRPr="00E94464">
          <w:rPr>
            <w:rStyle w:val="Hyperlink"/>
          </w:rPr>
          <w:t>https://donahue.umass.edu/business-groups/economic-public-policy-research/massachusetts-population-estimates-program/population-projections</w:t>
        </w:r>
      </w:hyperlink>
      <w:r w:rsidR="001804A8">
        <w:t xml:space="preserve"> </w:t>
      </w:r>
    </w:p>
  </w:footnote>
  <w:footnote w:id="15">
    <w:p w14:paraId="1FDA3C99" w14:textId="36DEE6AB" w:rsidR="00CB6DD7" w:rsidRPr="00035435" w:rsidRDefault="00CB6DD7" w:rsidP="00CB6DD7">
      <w:pPr>
        <w:pStyle w:val="FootnoteText"/>
        <w:rPr>
          <w:color w:val="000000" w:themeColor="text1"/>
        </w:rPr>
      </w:pPr>
      <w:r>
        <w:rPr>
          <w:rStyle w:val="FootnoteReference"/>
        </w:rPr>
        <w:footnoteRef/>
      </w:r>
      <w:r>
        <w:t xml:space="preserve"> </w:t>
      </w:r>
      <w:hyperlink r:id="rId8" w:history="1">
        <w:r w:rsidRPr="00035435">
          <w:rPr>
            <w:rStyle w:val="Hyperlink"/>
            <w:color w:val="000000" w:themeColor="text1"/>
            <w:u w:val="none"/>
          </w:rPr>
          <w:t>American Cancer Society Guideline for Colorectal Cancer Screening</w:t>
        </w:r>
      </w:hyperlink>
      <w:r w:rsidRPr="00035435">
        <w:rPr>
          <w:color w:val="000000" w:themeColor="text1"/>
        </w:rPr>
        <w:t>, AMERICAN CANCER SOCIETY,</w:t>
      </w:r>
    </w:p>
    <w:p w14:paraId="12538BC8" w14:textId="5670EC4F" w:rsidR="00CB6DD7" w:rsidRDefault="00035435" w:rsidP="00CB6DD7">
      <w:pPr>
        <w:pStyle w:val="FootnoteText"/>
      </w:pPr>
      <w:hyperlink r:id="rId9" w:history="1">
        <w:r w:rsidRPr="00035435">
          <w:rPr>
            <w:rStyle w:val="Hyperlink"/>
            <w:color w:val="000000" w:themeColor="text1"/>
            <w:u w:val="none"/>
          </w:rPr>
          <w:t>https://www.cancer.org/cancer/types/colon-rectal-cancer/detection-diagnosis-staging/acs-recommendations.html</w:t>
        </w:r>
      </w:hyperlink>
      <w:r w:rsidRPr="00035435">
        <w:rPr>
          <w:color w:val="000000" w:themeColor="text1"/>
        </w:rPr>
        <w:t xml:space="preserve"> </w:t>
      </w:r>
      <w:r w:rsidR="00CB6DD7" w:rsidRPr="00035435">
        <w:rPr>
          <w:color w:val="000000" w:themeColor="text1"/>
        </w:rPr>
        <w:t xml:space="preserve"> (last </w:t>
      </w:r>
      <w:r w:rsidR="00CB6DD7" w:rsidRPr="008240A7">
        <w:t xml:space="preserve">visited </w:t>
      </w:r>
      <w:r w:rsidR="00CB6DD7">
        <w:t>September 24</w:t>
      </w:r>
      <w:r w:rsidR="00CB6DD7" w:rsidRPr="008240A7">
        <w:t>,</w:t>
      </w:r>
      <w:r w:rsidR="00CB6DD7">
        <w:t xml:space="preserve"> </w:t>
      </w:r>
      <w:r w:rsidR="00CB6DD7" w:rsidRPr="008240A7">
        <w:t>2025).</w:t>
      </w:r>
      <w:r w:rsidR="00CB6DD7">
        <w:t xml:space="preserve"> Individuals at a higher risk of colorectal cancer may need to receive more frequent screening, up to every three years rather than every ten (10) years. </w:t>
      </w:r>
    </w:p>
  </w:footnote>
  <w:footnote w:id="16">
    <w:p w14:paraId="2A263519" w14:textId="4E8F0BB5" w:rsidR="00CB6DD7" w:rsidRDefault="00CB6DD7" w:rsidP="00CB6DD7">
      <w:pPr>
        <w:pStyle w:val="FootnoteText"/>
      </w:pPr>
      <w:r>
        <w:rPr>
          <w:rStyle w:val="FootnoteReference"/>
        </w:rPr>
        <w:footnoteRef/>
      </w:r>
      <w:r>
        <w:t xml:space="preserve"> </w:t>
      </w:r>
      <w:hyperlink r:id="rId10" w:history="1">
        <w:r w:rsidR="00D0159A" w:rsidRPr="00035435">
          <w:rPr>
            <w:rStyle w:val="Hyperlink"/>
            <w:color w:val="000000" w:themeColor="text1"/>
            <w:u w:val="none"/>
          </w:rPr>
          <w:t>National Colorectal Cancer Round Table, “80% in Every Community</w:t>
        </w:r>
      </w:hyperlink>
      <w:r w:rsidR="00D0159A" w:rsidRPr="00035435">
        <w:rPr>
          <w:color w:val="000000" w:themeColor="text1"/>
        </w:rPr>
        <w:t xml:space="preserve">”, </w:t>
      </w:r>
      <w:hyperlink r:id="rId11" w:history="1">
        <w:r w:rsidR="00D0159A" w:rsidRPr="003551EF">
          <w:rPr>
            <w:rStyle w:val="Hyperlink"/>
          </w:rPr>
          <w:t>https://nccrt.org/our-impact/80-in-every-community/</w:t>
        </w:r>
      </w:hyperlink>
      <w:r>
        <w:t xml:space="preserve"> </w:t>
      </w:r>
    </w:p>
  </w:footnote>
  <w:footnote w:id="17">
    <w:p w14:paraId="7D56F0BC" w14:textId="24F14654" w:rsidR="005D2ACD" w:rsidRDefault="005D2ACD">
      <w:pPr>
        <w:pStyle w:val="FootnoteText"/>
      </w:pPr>
      <w:r>
        <w:rPr>
          <w:rStyle w:val="FootnoteReference"/>
        </w:rPr>
        <w:footnoteRef/>
      </w:r>
      <w:r>
        <w:t xml:space="preserve"> </w:t>
      </w:r>
      <w:r w:rsidR="00584230">
        <w:t xml:space="preserve">The Hospital anticipates the additional endoscopy rooms will open Summer 2027. </w:t>
      </w:r>
      <w:r>
        <w:t xml:space="preserve"> </w:t>
      </w:r>
    </w:p>
  </w:footnote>
  <w:footnote w:id="18">
    <w:p w14:paraId="061E367E" w14:textId="763BC70B" w:rsidR="00B4559D" w:rsidRPr="00BE115E" w:rsidRDefault="00B4559D">
      <w:pPr>
        <w:pStyle w:val="FootnoteText"/>
        <w:rPr>
          <w:color w:val="000000" w:themeColor="text1"/>
        </w:rPr>
      </w:pPr>
      <w:r w:rsidRPr="00BE115E">
        <w:rPr>
          <w:rStyle w:val="FootnoteReference"/>
          <w:color w:val="000000" w:themeColor="text1"/>
        </w:rPr>
        <w:footnoteRef/>
      </w:r>
      <w:r w:rsidRPr="00BE115E">
        <w:rPr>
          <w:color w:val="000000" w:themeColor="text1"/>
        </w:rPr>
        <w:t xml:space="preserve"> </w:t>
      </w:r>
      <w:r w:rsidRPr="00BE115E">
        <w:rPr>
          <w:i/>
          <w:iCs/>
          <w:color w:val="000000" w:themeColor="text1"/>
        </w:rPr>
        <w:t xml:space="preserve">See, e.g., </w:t>
      </w:r>
      <w:r w:rsidRPr="00BE115E">
        <w:rPr>
          <w:color w:val="000000" w:themeColor="text1"/>
        </w:rPr>
        <w:t xml:space="preserve">Mehak Gul </w:t>
      </w:r>
      <w:proofErr w:type="spellStart"/>
      <w:r w:rsidRPr="00BE115E">
        <w:rPr>
          <w:color w:val="000000" w:themeColor="text1"/>
        </w:rPr>
        <w:t>Mastoi</w:t>
      </w:r>
      <w:proofErr w:type="spellEnd"/>
      <w:r w:rsidRPr="00BE115E">
        <w:rPr>
          <w:color w:val="000000" w:themeColor="text1"/>
        </w:rPr>
        <w:t xml:space="preserve"> et al., </w:t>
      </w:r>
      <w:hyperlink r:id="rId12" w:history="1">
        <w:r w:rsidRPr="00BE115E">
          <w:rPr>
            <w:rStyle w:val="Hyperlink"/>
            <w:i/>
            <w:iCs/>
            <w:color w:val="000000" w:themeColor="text1"/>
            <w:u w:val="none"/>
          </w:rPr>
          <w:t>Advances In Endoscopic Techniques For Early Detection And Treatment of Gastrointestinal Cancers:</w:t>
        </w:r>
      </w:hyperlink>
      <w:r w:rsidRPr="00BE115E">
        <w:rPr>
          <w:i/>
          <w:iCs/>
          <w:color w:val="000000" w:themeColor="text1"/>
        </w:rPr>
        <w:t xml:space="preserve"> A Systematic Review</w:t>
      </w:r>
      <w:r w:rsidRPr="00BE115E">
        <w:rPr>
          <w:color w:val="000000" w:themeColor="text1"/>
        </w:rPr>
        <w:t xml:space="preserve">, </w:t>
      </w:r>
      <w:r w:rsidRPr="00BE115E">
        <w:rPr>
          <w:smallCaps/>
          <w:color w:val="000000" w:themeColor="text1"/>
        </w:rPr>
        <w:t>Medicine</w:t>
      </w:r>
      <w:r w:rsidRPr="00BE115E">
        <w:rPr>
          <w:color w:val="000000" w:themeColor="text1"/>
        </w:rPr>
        <w:t xml:space="preserve"> (Oct. 2025), </w:t>
      </w:r>
      <w:hyperlink r:id="rId13" w:history="1">
        <w:r w:rsidR="00C61D73" w:rsidRPr="00BE115E">
          <w:rPr>
            <w:rStyle w:val="Hyperlink"/>
            <w:color w:val="000000" w:themeColor="text1"/>
            <w:u w:val="none"/>
          </w:rPr>
          <w:t>https://pmc.ncbi.nlm.nih.gov/articles/PMC12537103/</w:t>
        </w:r>
      </w:hyperlink>
      <w:r w:rsidR="00C61D73" w:rsidRPr="00BE115E">
        <w:rPr>
          <w:color w:val="000000" w:themeColor="text1"/>
        </w:rPr>
        <w:t xml:space="preserve"> </w:t>
      </w:r>
      <w:r w:rsidRPr="00BE115E">
        <w:rPr>
          <w:color w:val="000000" w:themeColor="text1"/>
        </w:rPr>
        <w:t>.</w:t>
      </w:r>
    </w:p>
  </w:footnote>
  <w:footnote w:id="19">
    <w:p w14:paraId="6DC03460" w14:textId="77777777" w:rsidR="00B837A6" w:rsidRPr="00BE115E" w:rsidRDefault="00B837A6" w:rsidP="00B837A6">
      <w:pPr>
        <w:pStyle w:val="FootnoteText"/>
        <w:rPr>
          <w:color w:val="000000" w:themeColor="text1"/>
        </w:rPr>
      </w:pPr>
      <w:r w:rsidRPr="00BE115E">
        <w:rPr>
          <w:rStyle w:val="FootnoteReference"/>
          <w:color w:val="000000" w:themeColor="text1"/>
        </w:rPr>
        <w:footnoteRef/>
      </w:r>
      <w:r w:rsidRPr="00BE115E">
        <w:rPr>
          <w:color w:val="000000" w:themeColor="text1"/>
          <w:lang w:val="de-DE"/>
        </w:rPr>
        <w:t xml:space="preserve"> </w:t>
      </w:r>
      <w:r w:rsidRPr="00BE115E">
        <w:rPr>
          <w:color w:val="000000" w:themeColor="text1"/>
          <w:lang w:val="de-DE"/>
        </w:rPr>
        <w:t xml:space="preserve">Goede SL, Kuntz KM, van Ballegooijen M, et al. </w:t>
      </w:r>
      <w:r w:rsidRPr="00BE115E">
        <w:rPr>
          <w:color w:val="000000" w:themeColor="text1"/>
        </w:rPr>
        <w:t xml:space="preserve">Cost Savings to Medicare from Pre-Medicare Colorectal Cancer Screening. </w:t>
      </w:r>
      <w:r w:rsidRPr="00BE115E">
        <w:rPr>
          <w:smallCaps/>
          <w:color w:val="000000" w:themeColor="text1"/>
        </w:rPr>
        <w:t>Medical Care</w:t>
      </w:r>
      <w:r w:rsidRPr="00BE115E">
        <w:rPr>
          <w:color w:val="000000" w:themeColor="text1"/>
        </w:rPr>
        <w:t>. 2015;53(7):630–638.</w:t>
      </w:r>
    </w:p>
  </w:footnote>
  <w:footnote w:id="20">
    <w:p w14:paraId="2AB0F2DF" w14:textId="48AF85A9" w:rsidR="00FA31C8" w:rsidRPr="00BE115E" w:rsidRDefault="00FA31C8" w:rsidP="00FA31C8">
      <w:pPr>
        <w:pStyle w:val="FootnoteText"/>
        <w:rPr>
          <w:color w:val="000000" w:themeColor="text1"/>
        </w:rPr>
      </w:pPr>
      <w:r w:rsidRPr="00BE115E">
        <w:rPr>
          <w:rStyle w:val="FootnoteReference"/>
          <w:color w:val="000000" w:themeColor="text1"/>
        </w:rPr>
        <w:footnoteRef/>
      </w:r>
      <w:r w:rsidRPr="00BE115E">
        <w:rPr>
          <w:color w:val="000000" w:themeColor="text1"/>
        </w:rPr>
        <w:t xml:space="preserve"> </w:t>
      </w:r>
      <w:hyperlink r:id="rId14" w:history="1">
        <w:r w:rsidRPr="00BE115E">
          <w:rPr>
            <w:rStyle w:val="Hyperlink"/>
            <w:color w:val="000000" w:themeColor="text1"/>
            <w:u w:val="none"/>
          </w:rPr>
          <w:t>Endoscopy</w:t>
        </w:r>
      </w:hyperlink>
      <w:r w:rsidRPr="00BE115E">
        <w:rPr>
          <w:color w:val="000000" w:themeColor="text1"/>
        </w:rPr>
        <w:t xml:space="preserve">, CLEVELAND CLINIC, </w:t>
      </w:r>
      <w:hyperlink r:id="rId15" w:history="1">
        <w:r w:rsidR="00C61D73" w:rsidRPr="00BE115E">
          <w:rPr>
            <w:rStyle w:val="Hyperlink"/>
            <w:color w:val="000000" w:themeColor="text1"/>
            <w:u w:val="none"/>
          </w:rPr>
          <w:t>https://my.clevelandclinic.org/health/diagnostics/25126-endoscopy</w:t>
        </w:r>
      </w:hyperlink>
      <w:r w:rsidR="00C61D73" w:rsidRPr="00BE115E">
        <w:rPr>
          <w:color w:val="000000" w:themeColor="text1"/>
        </w:rPr>
        <w:t xml:space="preserve"> </w:t>
      </w:r>
      <w:r w:rsidRPr="00BE115E">
        <w:rPr>
          <w:color w:val="000000" w:themeColor="text1"/>
        </w:rPr>
        <w:t xml:space="preserve"> (last visited September 24, 2025).</w:t>
      </w:r>
    </w:p>
  </w:footnote>
  <w:footnote w:id="21">
    <w:p w14:paraId="61620F62" w14:textId="1C0162D0" w:rsidR="00FA31C8" w:rsidRPr="00BE115E" w:rsidRDefault="00FA31C8" w:rsidP="00FA31C8">
      <w:pPr>
        <w:pStyle w:val="FootnoteText"/>
        <w:rPr>
          <w:color w:val="000000" w:themeColor="text1"/>
        </w:rPr>
      </w:pPr>
      <w:r w:rsidRPr="00BE115E">
        <w:rPr>
          <w:rStyle w:val="FootnoteReference"/>
          <w:color w:val="000000" w:themeColor="text1"/>
        </w:rPr>
        <w:footnoteRef/>
      </w:r>
      <w:r w:rsidRPr="00BE115E">
        <w:rPr>
          <w:color w:val="000000" w:themeColor="text1"/>
        </w:rPr>
        <w:t xml:space="preserve"> </w:t>
      </w:r>
      <w:hyperlink r:id="rId16" w:history="1">
        <w:r w:rsidRPr="00BE115E">
          <w:rPr>
            <w:rStyle w:val="Hyperlink"/>
            <w:color w:val="000000" w:themeColor="text1"/>
            <w:u w:val="none"/>
          </w:rPr>
          <w:t>Upper Endoscopy,</w:t>
        </w:r>
      </w:hyperlink>
      <w:r w:rsidRPr="00BE115E">
        <w:rPr>
          <w:color w:val="000000" w:themeColor="text1"/>
        </w:rPr>
        <w:t xml:space="preserve"> MAYO CLINIC, </w:t>
      </w:r>
      <w:hyperlink r:id="rId17" w:history="1">
        <w:r w:rsidR="00C61D73" w:rsidRPr="00BE115E">
          <w:rPr>
            <w:rStyle w:val="Hyperlink"/>
            <w:color w:val="000000" w:themeColor="text1"/>
            <w:u w:val="none"/>
          </w:rPr>
          <w:t>https://www.mayoclinic.org/tests-procedures/endoscopy/about/pac-20395197</w:t>
        </w:r>
      </w:hyperlink>
      <w:r w:rsidR="00C61D73" w:rsidRPr="00BE115E">
        <w:rPr>
          <w:color w:val="000000" w:themeColor="text1"/>
        </w:rPr>
        <w:t xml:space="preserve"> </w:t>
      </w:r>
      <w:r w:rsidRPr="00BE115E">
        <w:rPr>
          <w:color w:val="000000" w:themeColor="text1"/>
        </w:rPr>
        <w:t xml:space="preserve"> (last visited September 24, 2025).</w:t>
      </w:r>
    </w:p>
  </w:footnote>
  <w:footnote w:id="22">
    <w:p w14:paraId="09F50031" w14:textId="6AA11661" w:rsidR="00FA31C8" w:rsidRPr="00BE115E" w:rsidRDefault="00FA31C8" w:rsidP="00FA31C8">
      <w:pPr>
        <w:pStyle w:val="FootnoteText"/>
        <w:rPr>
          <w:color w:val="000000" w:themeColor="text1"/>
        </w:rPr>
      </w:pPr>
      <w:r w:rsidRPr="00BE115E">
        <w:rPr>
          <w:rStyle w:val="FootnoteReference"/>
          <w:color w:val="000000" w:themeColor="text1"/>
        </w:rPr>
        <w:footnoteRef/>
      </w:r>
      <w:r w:rsidRPr="00BE115E">
        <w:rPr>
          <w:color w:val="000000" w:themeColor="text1"/>
        </w:rPr>
        <w:t xml:space="preserve"> Johnathan Y Xia and Aziz Aadam, </w:t>
      </w:r>
      <w:hyperlink r:id="rId18" w:history="1">
        <w:r w:rsidRPr="00BE115E">
          <w:rPr>
            <w:rStyle w:val="Hyperlink"/>
            <w:color w:val="000000" w:themeColor="text1"/>
            <w:u w:val="none"/>
          </w:rPr>
          <w:t>Advances in Screening and Detection of Gastric Cancer</w:t>
        </w:r>
      </w:hyperlink>
      <w:r w:rsidRPr="00BE115E">
        <w:rPr>
          <w:color w:val="000000" w:themeColor="text1"/>
        </w:rPr>
        <w:t xml:space="preserve">, J Surg Oncol. 125(7) (2022), available at </w:t>
      </w:r>
      <w:hyperlink r:id="rId19" w:history="1">
        <w:r w:rsidR="00C61D73" w:rsidRPr="00BE115E">
          <w:rPr>
            <w:rStyle w:val="Hyperlink"/>
            <w:color w:val="000000" w:themeColor="text1"/>
            <w:u w:val="none"/>
          </w:rPr>
          <w:t>https://pmc.ncbi.nlm.nih.gov/articles/PMC9322671/</w:t>
        </w:r>
      </w:hyperlink>
      <w:r w:rsidR="00C61D73" w:rsidRPr="00BE115E">
        <w:rPr>
          <w:color w:val="000000" w:themeColor="text1"/>
        </w:rPr>
        <w:t xml:space="preserve"> </w:t>
      </w:r>
      <w:r w:rsidRPr="00BE115E">
        <w:rPr>
          <w:color w:val="000000" w:themeColor="text1"/>
        </w:rPr>
        <w:t>.</w:t>
      </w:r>
    </w:p>
  </w:footnote>
  <w:footnote w:id="23">
    <w:p w14:paraId="17150642" w14:textId="77777777" w:rsidR="00FA31C8" w:rsidRPr="00BE115E" w:rsidRDefault="00FA31C8" w:rsidP="00FA31C8">
      <w:pPr>
        <w:pStyle w:val="FootnoteText"/>
        <w:rPr>
          <w:color w:val="000000" w:themeColor="text1"/>
        </w:rPr>
      </w:pPr>
      <w:r w:rsidRPr="00BE115E">
        <w:rPr>
          <w:rStyle w:val="FootnoteReference"/>
          <w:color w:val="000000" w:themeColor="text1"/>
        </w:rPr>
        <w:footnoteRef/>
      </w:r>
      <w:r w:rsidRPr="00BE115E">
        <w:rPr>
          <w:color w:val="000000" w:themeColor="text1"/>
        </w:rPr>
        <w:t xml:space="preserve"> Schreuders, E. H., </w:t>
      </w:r>
      <w:proofErr w:type="spellStart"/>
      <w:r w:rsidRPr="00BE115E">
        <w:rPr>
          <w:color w:val="000000" w:themeColor="text1"/>
        </w:rPr>
        <w:t>Ruco</w:t>
      </w:r>
      <w:proofErr w:type="spellEnd"/>
      <w:r w:rsidRPr="00BE115E">
        <w:rPr>
          <w:color w:val="000000" w:themeColor="text1"/>
        </w:rPr>
        <w:t xml:space="preserve">, A., Rabeneck, L., Schoen, R. E., Sung, J. J., Young, G. P., &amp; Kuipers, E. J. (2015). Colorectal cancer screening: a global overview of existing </w:t>
      </w:r>
      <w:proofErr w:type="spellStart"/>
      <w:r w:rsidRPr="00BE115E">
        <w:rPr>
          <w:color w:val="000000" w:themeColor="text1"/>
        </w:rPr>
        <w:t>programmes</w:t>
      </w:r>
      <w:proofErr w:type="spellEnd"/>
      <w:r w:rsidRPr="00BE115E">
        <w:rPr>
          <w:color w:val="000000" w:themeColor="text1"/>
        </w:rPr>
        <w:t>. </w:t>
      </w:r>
      <w:r w:rsidRPr="00BE115E">
        <w:rPr>
          <w:i/>
          <w:iCs/>
          <w:color w:val="000000" w:themeColor="text1"/>
        </w:rPr>
        <w:t>Gut</w:t>
      </w:r>
      <w:r w:rsidRPr="00BE115E">
        <w:rPr>
          <w:color w:val="000000" w:themeColor="text1"/>
        </w:rPr>
        <w:t>, </w:t>
      </w:r>
      <w:r w:rsidRPr="00BE115E">
        <w:rPr>
          <w:i/>
          <w:iCs/>
          <w:color w:val="000000" w:themeColor="text1"/>
        </w:rPr>
        <w:t>64</w:t>
      </w:r>
      <w:r w:rsidRPr="00BE115E">
        <w:rPr>
          <w:color w:val="000000" w:themeColor="text1"/>
        </w:rPr>
        <w:t>(10), 1637-1649.</w:t>
      </w:r>
    </w:p>
  </w:footnote>
  <w:footnote w:id="24">
    <w:p w14:paraId="1C9DDD22" w14:textId="1E3A4FB4" w:rsidR="00FA31C8" w:rsidRPr="00BE115E" w:rsidRDefault="00FA31C8" w:rsidP="00FA31C8">
      <w:pPr>
        <w:pStyle w:val="FootnoteText"/>
        <w:rPr>
          <w:color w:val="000000" w:themeColor="text1"/>
        </w:rPr>
      </w:pPr>
      <w:r w:rsidRPr="00BE115E">
        <w:rPr>
          <w:rStyle w:val="FootnoteReference"/>
          <w:color w:val="000000" w:themeColor="text1"/>
        </w:rPr>
        <w:footnoteRef/>
      </w:r>
      <w:r w:rsidRPr="00BE115E">
        <w:rPr>
          <w:color w:val="000000" w:themeColor="text1"/>
        </w:rPr>
        <w:t xml:space="preserve"> </w:t>
      </w:r>
      <w:hyperlink r:id="rId20" w:history="1">
        <w:r w:rsidRPr="00BE115E">
          <w:rPr>
            <w:rStyle w:val="Hyperlink"/>
            <w:color w:val="000000" w:themeColor="text1"/>
            <w:u w:val="none"/>
          </w:rPr>
          <w:t>Upper Endoscopy</w:t>
        </w:r>
      </w:hyperlink>
      <w:r w:rsidRPr="00BE115E">
        <w:rPr>
          <w:color w:val="000000" w:themeColor="text1"/>
        </w:rPr>
        <w:t xml:space="preserve">, American Cancer Society, </w:t>
      </w:r>
      <w:hyperlink r:id="rId21" w:history="1">
        <w:r w:rsidR="00BE115E" w:rsidRPr="00BE115E">
          <w:rPr>
            <w:rStyle w:val="Hyperlink"/>
            <w:color w:val="000000" w:themeColor="text1"/>
            <w:u w:val="none"/>
          </w:rPr>
          <w:t>https://www.cancer.org/cancer/diagnosis-staging/tests/endoscopy/upperendoscopy.html</w:t>
        </w:r>
      </w:hyperlink>
      <w:r w:rsidR="00BE115E" w:rsidRPr="00BE115E">
        <w:rPr>
          <w:color w:val="000000" w:themeColor="text1"/>
        </w:rPr>
        <w:t xml:space="preserve"> </w:t>
      </w:r>
      <w:r w:rsidRPr="00BE115E">
        <w:rPr>
          <w:color w:val="000000" w:themeColor="text1"/>
        </w:rPr>
        <w:t xml:space="preserve"> (last visited June 4, 2025).</w:t>
      </w:r>
    </w:p>
  </w:footnote>
  <w:footnote w:id="25">
    <w:p w14:paraId="6F391BF1" w14:textId="0B26A378" w:rsidR="00FA31C8" w:rsidRPr="00BE115E" w:rsidRDefault="00FA31C8" w:rsidP="00FA31C8">
      <w:pPr>
        <w:pStyle w:val="FootnoteText"/>
        <w:rPr>
          <w:color w:val="000000" w:themeColor="text1"/>
        </w:rPr>
      </w:pPr>
      <w:r w:rsidRPr="00BE115E">
        <w:rPr>
          <w:rStyle w:val="FootnoteReference"/>
          <w:color w:val="000000" w:themeColor="text1"/>
        </w:rPr>
        <w:footnoteRef/>
      </w:r>
      <w:r w:rsidRPr="00BE115E">
        <w:rPr>
          <w:color w:val="000000" w:themeColor="text1"/>
        </w:rPr>
        <w:t xml:space="preserve"> </w:t>
      </w:r>
      <w:hyperlink r:id="rId22" w:history="1">
        <w:r w:rsidRPr="00BE115E">
          <w:rPr>
            <w:rStyle w:val="Hyperlink"/>
            <w:color w:val="000000" w:themeColor="text1"/>
            <w:u w:val="none"/>
          </w:rPr>
          <w:t>EGD Procedure</w:t>
        </w:r>
      </w:hyperlink>
      <w:r w:rsidRPr="00BE115E">
        <w:rPr>
          <w:color w:val="000000" w:themeColor="text1"/>
        </w:rPr>
        <w:t xml:space="preserve"> (Upper Endoscopy), CLEVELAND CLINIC, https://my.clevelandclinic.org/health/procedures/22549-egd-procedureupper-</w:t>
      </w:r>
    </w:p>
    <w:p w14:paraId="7CF1EE66" w14:textId="3E10718D" w:rsidR="00FA31C8" w:rsidRDefault="00FA31C8" w:rsidP="00FA31C8">
      <w:pPr>
        <w:pStyle w:val="FootnoteText"/>
      </w:pPr>
      <w:proofErr w:type="gramStart"/>
      <w:r w:rsidRPr="00BE115E">
        <w:rPr>
          <w:color w:val="000000" w:themeColor="text1"/>
        </w:rPr>
        <w:t>endoscopy</w:t>
      </w:r>
      <w:r w:rsidR="00BE115E" w:rsidRPr="00BE115E">
        <w:rPr>
          <w:color w:val="000000" w:themeColor="text1"/>
        </w:rPr>
        <w:t xml:space="preserve"> </w:t>
      </w:r>
      <w:r w:rsidRPr="00BE115E">
        <w:rPr>
          <w:color w:val="000000" w:themeColor="text1"/>
        </w:rPr>
        <w:t xml:space="preserve"> (</w:t>
      </w:r>
      <w:proofErr w:type="gramEnd"/>
      <w:r w:rsidRPr="00BE115E">
        <w:rPr>
          <w:color w:val="000000" w:themeColor="text1"/>
        </w:rPr>
        <w:t>last visited September 24, 2025).</w:t>
      </w:r>
    </w:p>
  </w:footnote>
  <w:footnote w:id="26">
    <w:p w14:paraId="6853B703" w14:textId="79854B86" w:rsidR="00FA31C8" w:rsidRDefault="00FA31C8" w:rsidP="00FA31C8">
      <w:pPr>
        <w:pStyle w:val="FootnoteText"/>
      </w:pPr>
      <w:r>
        <w:rPr>
          <w:rStyle w:val="FootnoteReference"/>
        </w:rPr>
        <w:footnoteRef/>
      </w:r>
      <w:r>
        <w:t xml:space="preserve"> </w:t>
      </w:r>
      <w:hyperlink r:id="rId23" w:history="1">
        <w:r w:rsidRPr="00135947">
          <w:rPr>
            <w:rStyle w:val="Hyperlink"/>
            <w:color w:val="000000" w:themeColor="text1"/>
            <w:u w:val="none"/>
          </w:rPr>
          <w:t>Lower GI Endoscopy</w:t>
        </w:r>
      </w:hyperlink>
      <w:r w:rsidRPr="00135947">
        <w:rPr>
          <w:color w:val="000000" w:themeColor="text1"/>
        </w:rPr>
        <w:t xml:space="preserve">, </w:t>
      </w:r>
      <w:r>
        <w:t xml:space="preserve">Veterans Health Library, </w:t>
      </w:r>
      <w:hyperlink r:id="rId24" w:history="1">
        <w:r w:rsidRPr="00665989">
          <w:rPr>
            <w:rStyle w:val="Hyperlink"/>
          </w:rPr>
          <w:t>https://www.veteranshealthlibrary.va.gov/Encyclopedia/3,82149</w:t>
        </w:r>
      </w:hyperlink>
      <w:r>
        <w:t xml:space="preserve"> (last visited September 24, 2025).</w:t>
      </w:r>
    </w:p>
  </w:footnote>
  <w:footnote w:id="27">
    <w:p w14:paraId="6EA0E6F2" w14:textId="6BC8ACDA" w:rsidR="00FA31C8" w:rsidRDefault="00FA31C8" w:rsidP="00FA31C8">
      <w:pPr>
        <w:pStyle w:val="FootnoteText"/>
      </w:pPr>
      <w:r>
        <w:rPr>
          <w:rStyle w:val="FootnoteReference"/>
        </w:rPr>
        <w:footnoteRef/>
      </w:r>
      <w:r>
        <w:t xml:space="preserve"> </w:t>
      </w:r>
      <w:r w:rsidRPr="007605D8">
        <w:t>Stauffer, C. M., &amp; Pfeifer, C.</w:t>
      </w:r>
      <w:r w:rsidR="00834B57">
        <w:t xml:space="preserve">, </w:t>
      </w:r>
      <w:hyperlink r:id="rId25" w:history="1">
        <w:r w:rsidRPr="00135947">
          <w:rPr>
            <w:rStyle w:val="Hyperlink"/>
            <w:i/>
            <w:iCs/>
            <w:color w:val="000000" w:themeColor="text1"/>
            <w:u w:val="none"/>
          </w:rPr>
          <w:t>Colonoscopy</w:t>
        </w:r>
        <w:r w:rsidR="00834B57" w:rsidRPr="00135947">
          <w:rPr>
            <w:rStyle w:val="Hyperlink"/>
            <w:color w:val="000000" w:themeColor="text1"/>
            <w:u w:val="none"/>
          </w:rPr>
          <w:t>,</w:t>
        </w:r>
      </w:hyperlink>
      <w:r w:rsidR="00834B57" w:rsidRPr="00135947">
        <w:rPr>
          <w:color w:val="000000" w:themeColor="text1"/>
        </w:rPr>
        <w:t xml:space="preserve"> </w:t>
      </w:r>
      <w:proofErr w:type="spellStart"/>
      <w:r w:rsidR="00834B57" w:rsidRPr="00135947">
        <w:rPr>
          <w:color w:val="000000" w:themeColor="text1"/>
        </w:rPr>
        <w:t>StatPearls</w:t>
      </w:r>
      <w:proofErr w:type="spellEnd"/>
      <w:r w:rsidR="00834B57" w:rsidRPr="00135947">
        <w:rPr>
          <w:color w:val="000000" w:themeColor="text1"/>
        </w:rPr>
        <w:t xml:space="preserve"> </w:t>
      </w:r>
      <w:r w:rsidR="00834B57">
        <w:t xml:space="preserve">Publishing (2023), </w:t>
      </w:r>
      <w:hyperlink r:id="rId26" w:history="1">
        <w:r w:rsidR="00834B57" w:rsidRPr="00BE688B">
          <w:rPr>
            <w:rStyle w:val="Hyperlink"/>
          </w:rPr>
          <w:t>https://europepmc.org/article/NBK/nbk559274</w:t>
        </w:r>
      </w:hyperlink>
      <w:r w:rsidR="00834B57">
        <w:t xml:space="preserve">. </w:t>
      </w:r>
    </w:p>
  </w:footnote>
  <w:footnote w:id="28">
    <w:p w14:paraId="2DC8D198" w14:textId="5B058C7C" w:rsidR="00FA31C8" w:rsidRPr="00834B57" w:rsidRDefault="00FA31C8" w:rsidP="00FA31C8">
      <w:pPr>
        <w:pStyle w:val="FootnoteText"/>
      </w:pPr>
      <w:r>
        <w:rPr>
          <w:rStyle w:val="FootnoteReference"/>
        </w:rPr>
        <w:footnoteRef/>
      </w:r>
      <w:r>
        <w:t xml:space="preserve"> </w:t>
      </w:r>
      <w:r w:rsidRPr="003E5109">
        <w:t xml:space="preserve">Upper Endoscopy, MAYO CLINIC, </w:t>
      </w:r>
      <w:r w:rsidR="00834B57">
        <w:rPr>
          <w:i/>
          <w:iCs/>
        </w:rPr>
        <w:t>supra</w:t>
      </w:r>
      <w:r w:rsidR="00834B57">
        <w:t xml:space="preserve"> note </w:t>
      </w:r>
      <w:r w:rsidR="00834B57">
        <w:fldChar w:fldCharType="begin"/>
      </w:r>
      <w:r w:rsidR="00834B57">
        <w:instrText xml:space="preserve"> NOTEREF _Ref213765533 \h </w:instrText>
      </w:r>
      <w:r w:rsidR="00834B57">
        <w:fldChar w:fldCharType="separate"/>
      </w:r>
      <w:r w:rsidR="00B837A6">
        <w:t>18</w:t>
      </w:r>
      <w:r w:rsidR="00834B57">
        <w:fldChar w:fldCharType="end"/>
      </w:r>
      <w:r w:rsidR="00834B57">
        <w:t>.</w:t>
      </w:r>
    </w:p>
  </w:footnote>
  <w:footnote w:id="29">
    <w:p w14:paraId="0C1D7B7B" w14:textId="477C93EE" w:rsidR="00FA31C8" w:rsidRDefault="00FA31C8" w:rsidP="00FA31C8">
      <w:pPr>
        <w:pStyle w:val="FootnoteText"/>
      </w:pPr>
      <w:r>
        <w:rPr>
          <w:rStyle w:val="FootnoteReference"/>
        </w:rPr>
        <w:footnoteRef/>
      </w:r>
      <w:r>
        <w:t xml:space="preserve"> </w:t>
      </w:r>
      <w:hyperlink r:id="rId27" w:history="1">
        <w:r w:rsidRPr="00135947">
          <w:rPr>
            <w:rStyle w:val="Hyperlink"/>
            <w:color w:val="000000" w:themeColor="text1"/>
            <w:u w:val="none"/>
          </w:rPr>
          <w:t>Key Statistics for Colorectal Cancer</w:t>
        </w:r>
      </w:hyperlink>
      <w:r w:rsidRPr="00135947">
        <w:rPr>
          <w:color w:val="000000" w:themeColor="text1"/>
        </w:rPr>
        <w:t xml:space="preserve">, American </w:t>
      </w:r>
      <w:r>
        <w:t xml:space="preserve">Cancer Society, </w:t>
      </w:r>
      <w:hyperlink r:id="rId28" w:history="1">
        <w:r w:rsidRPr="00665989">
          <w:rPr>
            <w:rStyle w:val="Hyperlink"/>
          </w:rPr>
          <w:t>https://www.cancer.org/cancer/types/colon-rectal-cancer/about/key-statistics.html</w:t>
        </w:r>
      </w:hyperlink>
      <w:r>
        <w:t>. (last accessed September 24, 2025).</w:t>
      </w:r>
    </w:p>
  </w:footnote>
  <w:footnote w:id="30">
    <w:p w14:paraId="6216C731" w14:textId="2A1FAFEE" w:rsidR="00FA31C8" w:rsidRDefault="00FA31C8" w:rsidP="00FA31C8">
      <w:pPr>
        <w:pStyle w:val="FootnoteText"/>
      </w:pPr>
      <w:r>
        <w:rPr>
          <w:rStyle w:val="FootnoteReference"/>
        </w:rPr>
        <w:footnoteRef/>
      </w:r>
      <w:r>
        <w:t xml:space="preserve"> </w:t>
      </w:r>
      <w:hyperlink r:id="rId29" w:anchor=":~:text=The%20most%20important%20thing%20is,before%20they%20turn%20into%20cancer" w:history="1">
        <w:r w:rsidRPr="00135947">
          <w:rPr>
            <w:rStyle w:val="Hyperlink"/>
            <w:color w:val="000000" w:themeColor="text1"/>
            <w:u w:val="none"/>
          </w:rPr>
          <w:t>Colorectal Cancer Screening Tests,</w:t>
        </w:r>
      </w:hyperlink>
      <w:r w:rsidRPr="00135947">
        <w:rPr>
          <w:color w:val="000000" w:themeColor="text1"/>
        </w:rPr>
        <w:t xml:space="preserve"> American </w:t>
      </w:r>
      <w:r>
        <w:t xml:space="preserve">Cancer Society, </w:t>
      </w:r>
      <w:hyperlink r:id="rId30" w:anchor=":~:text=The%20most%20important%20thing%20is,before%20they%20turn%20into%20cancer" w:history="1">
        <w:r w:rsidRPr="00665989">
          <w:rPr>
            <w:rStyle w:val="Hyperlink"/>
          </w:rPr>
          <w:t>https://www.cancer.org/cancer/types/colon-rectal-cancer/detection-diagnosis-staging/screening-tests-used.html#:~:text=The%20most%20important%20thing%20is,before%20they%20turn%20into%20cancer</w:t>
        </w:r>
      </w:hyperlink>
      <w:r w:rsidRPr="00BD0F34">
        <w:t>.</w:t>
      </w:r>
      <w:r>
        <w:t xml:space="preserve"> (last visited September 24, 2025).</w:t>
      </w:r>
    </w:p>
  </w:footnote>
  <w:footnote w:id="31">
    <w:p w14:paraId="1EE494C5" w14:textId="3879FE76" w:rsidR="00FA31C8" w:rsidRDefault="00FA31C8" w:rsidP="00FA31C8">
      <w:pPr>
        <w:pStyle w:val="FootnoteText"/>
      </w:pPr>
      <w:r>
        <w:rPr>
          <w:rStyle w:val="FootnoteReference"/>
        </w:rPr>
        <w:footnoteRef/>
      </w:r>
      <w:r>
        <w:t xml:space="preserve"> </w:t>
      </w:r>
      <w:hyperlink r:id="rId31" w:anchor=":~:text=A%20colonoscopy%20to%20follow%20up%20on%20a,covered%20as%20fully%20as%20a%20screening%20colonoscopy" w:history="1">
        <w:r w:rsidRPr="00135947">
          <w:rPr>
            <w:rStyle w:val="Hyperlink"/>
            <w:color w:val="000000" w:themeColor="text1"/>
            <w:u w:val="none"/>
          </w:rPr>
          <w:t>Screening Tests to Detect Colorectal Cancer and Polyps</w:t>
        </w:r>
      </w:hyperlink>
      <w:r w:rsidRPr="00135947">
        <w:rPr>
          <w:color w:val="000000" w:themeColor="text1"/>
        </w:rPr>
        <w:t xml:space="preserve">, </w:t>
      </w:r>
      <w:r>
        <w:t xml:space="preserve">National Cancer Institute, </w:t>
      </w:r>
      <w:hyperlink r:id="rId32" w:anchor=":~:text=A%20colonoscopy%20to%20follow%20up%20on%20a,covered%20as%20fully%20as%20a%20screening%20colonoscopy" w:history="1">
        <w:r w:rsidRPr="00665989">
          <w:rPr>
            <w:rStyle w:val="Hyperlink"/>
          </w:rPr>
          <w:t>https://www.cancer.gov/types/colorectal/screening-fact-sheet#:~:text=A%20colonoscopy%20to%20follow%20up%20on%20a,covered%20as%20fully%20as%20a%20screening%20colonoscopy</w:t>
        </w:r>
      </w:hyperlink>
      <w:r w:rsidRPr="00BD0F34">
        <w:t>)</w:t>
      </w:r>
      <w:r>
        <w:t>. (last accessed September 24, 2025).</w:t>
      </w:r>
    </w:p>
  </w:footnote>
  <w:footnote w:id="32">
    <w:p w14:paraId="422C079B" w14:textId="25E69526" w:rsidR="00FA31C8" w:rsidRPr="00834B57" w:rsidRDefault="00FA31C8" w:rsidP="00FA31C8">
      <w:pPr>
        <w:pStyle w:val="FootnoteText"/>
      </w:pPr>
      <w:r>
        <w:rPr>
          <w:rStyle w:val="FootnoteReference"/>
        </w:rPr>
        <w:footnoteRef/>
      </w:r>
      <w:r>
        <w:t xml:space="preserve"> Key Statistics for Colorectal Cancer, American Cancer Society, </w:t>
      </w:r>
      <w:r w:rsidR="00834B57">
        <w:rPr>
          <w:i/>
          <w:iCs/>
        </w:rPr>
        <w:t>supra</w:t>
      </w:r>
      <w:r w:rsidR="00834B57">
        <w:t xml:space="preserve"> note </w:t>
      </w:r>
      <w:r w:rsidR="00834B57">
        <w:fldChar w:fldCharType="begin"/>
      </w:r>
      <w:r w:rsidR="00834B57">
        <w:instrText xml:space="preserve"> NOTEREF _Ref213765575 \h </w:instrText>
      </w:r>
      <w:r w:rsidR="00834B57">
        <w:fldChar w:fldCharType="separate"/>
      </w:r>
      <w:r w:rsidR="00B837A6">
        <w:t>26</w:t>
      </w:r>
      <w:r w:rsidR="00834B57">
        <w:fldChar w:fldCharType="end"/>
      </w:r>
      <w:r w:rsidR="00834B57">
        <w:t>.</w:t>
      </w:r>
    </w:p>
  </w:footnote>
  <w:footnote w:id="33">
    <w:p w14:paraId="2E2CAE6F" w14:textId="0841D9C1" w:rsidR="00FA31C8" w:rsidRDefault="00FA31C8" w:rsidP="00FA31C8">
      <w:pPr>
        <w:pStyle w:val="FootnoteText"/>
      </w:pPr>
      <w:r>
        <w:rPr>
          <w:rStyle w:val="FootnoteReference"/>
        </w:rPr>
        <w:footnoteRef/>
      </w:r>
      <w:r>
        <w:t xml:space="preserve"> </w:t>
      </w:r>
      <w:hyperlink r:id="rId33" w:history="1">
        <w:r w:rsidRPr="003D5BAE">
          <w:rPr>
            <w:rStyle w:val="Hyperlink"/>
            <w:color w:val="000000" w:themeColor="text1"/>
            <w:u w:val="none"/>
          </w:rPr>
          <w:t>Cancers by State 2025,</w:t>
        </w:r>
      </w:hyperlink>
      <w:r w:rsidRPr="003D5BAE">
        <w:rPr>
          <w:color w:val="000000" w:themeColor="text1"/>
        </w:rPr>
        <w:t xml:space="preserve"> </w:t>
      </w:r>
      <w:r>
        <w:t xml:space="preserve">American Cancer Society, </w:t>
      </w:r>
      <w:hyperlink r:id="rId34" w:history="1">
        <w:r w:rsidRPr="00665989">
          <w:rPr>
            <w:rStyle w:val="Hyperlink"/>
          </w:rPr>
          <w:t>https://www.cancer.org/content/dam/cancer-org/research/cancer-facts-and-statistics/annual-cancer-facts-and-figures/2025/sd3-21-cancers-by-state-2025.pdf</w:t>
        </w:r>
      </w:hyperlink>
      <w:r>
        <w:t xml:space="preserve"> (last accessed September 24, 2025).</w:t>
      </w:r>
    </w:p>
  </w:footnote>
  <w:footnote w:id="34">
    <w:p w14:paraId="032CAC19" w14:textId="55C1BEF7" w:rsidR="00FA31C8" w:rsidRPr="00834B57" w:rsidRDefault="00FA31C8" w:rsidP="00FA31C8">
      <w:pPr>
        <w:pStyle w:val="FootnoteText"/>
      </w:pPr>
      <w:r>
        <w:rPr>
          <w:rStyle w:val="FootnoteReference"/>
        </w:rPr>
        <w:footnoteRef/>
      </w:r>
      <w:r>
        <w:t xml:space="preserve"> </w:t>
      </w:r>
      <w:r w:rsidRPr="00735B8F">
        <w:t xml:space="preserve">Colorectal Cancer Rates Are Skyrocketing in Young Adults—Is Your Lifestyle Putting You at </w:t>
      </w:r>
      <w:proofErr w:type="gramStart"/>
      <w:r w:rsidRPr="00735B8F">
        <w:t>Risk?</w:t>
      </w:r>
      <w:r w:rsidR="00834B57">
        <w:t>,</w:t>
      </w:r>
      <w:proofErr w:type="gramEnd"/>
      <w:r w:rsidR="00834B57">
        <w:t xml:space="preserve"> </w:t>
      </w:r>
      <w:r w:rsidR="00834B57">
        <w:rPr>
          <w:i/>
          <w:iCs/>
        </w:rPr>
        <w:t xml:space="preserve">supra </w:t>
      </w:r>
      <w:r w:rsidR="00834B57">
        <w:t xml:space="preserve">note </w:t>
      </w:r>
      <w:r w:rsidR="00834B57">
        <w:fldChar w:fldCharType="begin"/>
      </w:r>
      <w:r w:rsidR="00834B57">
        <w:instrText xml:space="preserve"> NOTEREF _Ref213765646 \h </w:instrText>
      </w:r>
      <w:r w:rsidR="00834B57">
        <w:fldChar w:fldCharType="separate"/>
      </w:r>
      <w:r w:rsidR="00B837A6">
        <w:t>7</w:t>
      </w:r>
      <w:r w:rsidR="00834B57">
        <w:fldChar w:fldCharType="end"/>
      </w:r>
      <w:r w:rsidR="00834B57">
        <w:t>.</w:t>
      </w:r>
    </w:p>
  </w:footnote>
  <w:footnote w:id="35">
    <w:p w14:paraId="63D2F167" w14:textId="1BAEABE9" w:rsidR="00FA31C8" w:rsidRDefault="00FA31C8" w:rsidP="00FA31C8">
      <w:pPr>
        <w:pStyle w:val="FootnoteText"/>
      </w:pPr>
      <w:r>
        <w:rPr>
          <w:rStyle w:val="FootnoteReference"/>
        </w:rPr>
        <w:footnoteRef/>
      </w:r>
      <w:r>
        <w:t xml:space="preserve"> </w:t>
      </w:r>
      <w:hyperlink r:id="rId35" w:history="1">
        <w:r w:rsidRPr="003D5BAE">
          <w:rPr>
            <w:rStyle w:val="Hyperlink"/>
            <w:color w:val="000000" w:themeColor="text1"/>
            <w:u w:val="none"/>
          </w:rPr>
          <w:t>Can Cancers in Young Adults Be Prevented?,</w:t>
        </w:r>
      </w:hyperlink>
      <w:r w:rsidRPr="003D5BAE">
        <w:rPr>
          <w:color w:val="000000" w:themeColor="text1"/>
        </w:rPr>
        <w:t xml:space="preserve"> AMERICAN </w:t>
      </w:r>
      <w:r w:rsidRPr="00735B8F">
        <w:t xml:space="preserve">CANCER SOCIETY, </w:t>
      </w:r>
      <w:hyperlink r:id="rId36" w:history="1">
        <w:r w:rsidR="003D5BAE" w:rsidRPr="00E141A5">
          <w:rPr>
            <w:rStyle w:val="Hyperlink"/>
          </w:rPr>
          <w:t>https://www.cancer.org/cancer/types/cancer-in-youngadults/prevention.html</w:t>
        </w:r>
      </w:hyperlink>
      <w:r w:rsidR="003D5BAE">
        <w:t xml:space="preserve"> </w:t>
      </w:r>
      <w:r w:rsidRPr="00735B8F">
        <w:t xml:space="preserve"> (last visited </w:t>
      </w:r>
      <w:r>
        <w:t>September 19</w:t>
      </w:r>
      <w:r w:rsidRPr="00735B8F">
        <w:t>, 2025).</w:t>
      </w:r>
    </w:p>
  </w:footnote>
  <w:footnote w:id="36">
    <w:p w14:paraId="2E83F0B6" w14:textId="22D7EFF3" w:rsidR="00FA31C8" w:rsidRDefault="00FA31C8" w:rsidP="00FA31C8">
      <w:pPr>
        <w:pStyle w:val="FootnoteText"/>
      </w:pPr>
      <w:r>
        <w:rPr>
          <w:rStyle w:val="FootnoteReference"/>
        </w:rPr>
        <w:footnoteRef/>
      </w:r>
      <w:r>
        <w:t xml:space="preserve"> </w:t>
      </w:r>
      <w:hyperlink r:id="rId37" w:history="1">
        <w:r w:rsidRPr="003D5BAE">
          <w:rPr>
            <w:rStyle w:val="Hyperlink"/>
            <w:color w:val="000000" w:themeColor="text1"/>
            <w:u w:val="none"/>
          </w:rPr>
          <w:t>Colorectal Cancer Cases have Tripled in Teens—and Jumped by 500% in Kids. What you Need to Know.</w:t>
        </w:r>
      </w:hyperlink>
      <w:r w:rsidRPr="003D5BAE">
        <w:rPr>
          <w:color w:val="000000" w:themeColor="text1"/>
        </w:rPr>
        <w:t xml:space="preserve"> (2024). American Association of Naturopathic Physicians. </w:t>
      </w:r>
      <w:hyperlink r:id="rId38" w:history="1">
        <w:r w:rsidR="003D5BAE" w:rsidRPr="003D5BAE">
          <w:rPr>
            <w:rStyle w:val="Hyperlink"/>
            <w:color w:val="000000" w:themeColor="text1"/>
            <w:u w:val="none"/>
          </w:rPr>
          <w:t>https://naturopathic.org/news/672625/Colorectal-Cancer-Cases-have-Tripled-in-Teensand-Jumped-by-500-in-Kids.-What-you-Need-to-Know.htm</w:t>
        </w:r>
      </w:hyperlink>
      <w:r w:rsidR="003D5BAE" w:rsidRPr="003D5BAE">
        <w:rPr>
          <w:color w:val="000000" w:themeColor="text1"/>
        </w:rPr>
        <w:t xml:space="preserve"> </w:t>
      </w:r>
      <w:r w:rsidRPr="003D5BAE">
        <w:rPr>
          <w:color w:val="000000" w:themeColor="text1"/>
        </w:rPr>
        <w:t xml:space="preserve"> (last accessed September 19, 2025).</w:t>
      </w:r>
    </w:p>
  </w:footnote>
  <w:footnote w:id="37">
    <w:p w14:paraId="16B63D01" w14:textId="3B7B9699" w:rsidR="00FA31C8" w:rsidRPr="003D5BAE" w:rsidRDefault="00FA31C8" w:rsidP="00FA31C8">
      <w:pPr>
        <w:pStyle w:val="FootnoteText"/>
        <w:rPr>
          <w:color w:val="000000" w:themeColor="text1"/>
        </w:rPr>
      </w:pPr>
      <w:r>
        <w:rPr>
          <w:rStyle w:val="FootnoteReference"/>
        </w:rPr>
        <w:footnoteRef/>
      </w:r>
      <w:r>
        <w:t xml:space="preserve"> </w:t>
      </w:r>
      <w:hyperlink r:id="rId39" w:history="1">
        <w:r w:rsidRPr="003D5BAE">
          <w:rPr>
            <w:rStyle w:val="Hyperlink"/>
            <w:color w:val="000000" w:themeColor="text1"/>
            <w:u w:val="none"/>
          </w:rPr>
          <w:t>American Cancer Society Guideline for Colorectal Cancer Screening</w:t>
        </w:r>
      </w:hyperlink>
      <w:r w:rsidRPr="003D5BAE">
        <w:rPr>
          <w:color w:val="000000" w:themeColor="text1"/>
        </w:rPr>
        <w:t>, AMERICAN CANCER SOCIETY,</w:t>
      </w:r>
    </w:p>
    <w:p w14:paraId="684EFC65" w14:textId="071B595D" w:rsidR="00FA31C8" w:rsidRDefault="003D5BAE" w:rsidP="00FA31C8">
      <w:pPr>
        <w:pStyle w:val="FootnoteText"/>
      </w:pPr>
      <w:hyperlink r:id="rId40" w:history="1">
        <w:r w:rsidRPr="003D5BAE">
          <w:rPr>
            <w:rStyle w:val="Hyperlink"/>
            <w:color w:val="000000" w:themeColor="text1"/>
            <w:u w:val="none"/>
          </w:rPr>
          <w:t>https://www.cancer.org/cancer/types/colon-rectal-cancer/detection-diagnosis-staging/acs-recommendations.html</w:t>
        </w:r>
      </w:hyperlink>
      <w:r w:rsidRPr="003D5BAE">
        <w:rPr>
          <w:color w:val="000000" w:themeColor="text1"/>
        </w:rPr>
        <w:t xml:space="preserve"> </w:t>
      </w:r>
      <w:r w:rsidR="00FA31C8" w:rsidRPr="003D5BAE">
        <w:rPr>
          <w:color w:val="000000" w:themeColor="text1"/>
        </w:rPr>
        <w:t xml:space="preserve"> (last visited September 24, 2025).</w:t>
      </w:r>
    </w:p>
  </w:footnote>
  <w:footnote w:id="38">
    <w:p w14:paraId="39358EE6" w14:textId="2F38FDC0" w:rsidR="00FA31C8" w:rsidRDefault="00FA31C8" w:rsidP="00FA31C8">
      <w:pPr>
        <w:pStyle w:val="FootnoteText"/>
      </w:pPr>
      <w:r>
        <w:rPr>
          <w:rStyle w:val="FootnoteReference"/>
        </w:rPr>
        <w:footnoteRef/>
      </w:r>
      <w:r>
        <w:t xml:space="preserve"> </w:t>
      </w:r>
      <w:hyperlink r:id="rId41" w:history="1">
        <w:r w:rsidRPr="003D5BAE">
          <w:rPr>
            <w:rStyle w:val="Hyperlink"/>
            <w:color w:val="000000" w:themeColor="text1"/>
            <w:u w:val="none"/>
          </w:rPr>
          <w:t>Key Statistics for Cancers in Young Adults</w:t>
        </w:r>
      </w:hyperlink>
      <w:r w:rsidRPr="003D5BAE">
        <w:rPr>
          <w:color w:val="000000" w:themeColor="text1"/>
        </w:rPr>
        <w:t xml:space="preserve">, AMERICAN CANCER SOCIETY, </w:t>
      </w:r>
      <w:hyperlink r:id="rId42" w:history="1">
        <w:r w:rsidR="003D5BAE" w:rsidRPr="003D5BAE">
          <w:rPr>
            <w:rStyle w:val="Hyperlink"/>
            <w:color w:val="000000" w:themeColor="text1"/>
            <w:u w:val="none"/>
          </w:rPr>
          <w:t>https://www.cancer.org/cancer/types/cancer-in-youngadults/key-statistics.html</w:t>
        </w:r>
      </w:hyperlink>
      <w:r w:rsidR="003D5BAE" w:rsidRPr="003D5BAE">
        <w:rPr>
          <w:color w:val="000000" w:themeColor="text1"/>
        </w:rPr>
        <w:t xml:space="preserve"> </w:t>
      </w:r>
      <w:r w:rsidRPr="003D5BAE">
        <w:rPr>
          <w:color w:val="000000" w:themeColor="text1"/>
        </w:rPr>
        <w:t xml:space="preserve">(last </w:t>
      </w:r>
      <w:r w:rsidRPr="008240A7">
        <w:t xml:space="preserve">visited </w:t>
      </w:r>
      <w:r>
        <w:t>September 19</w:t>
      </w:r>
      <w:r w:rsidRPr="008240A7">
        <w:t>, 2025).</w:t>
      </w:r>
    </w:p>
  </w:footnote>
  <w:footnote w:id="39">
    <w:p w14:paraId="56B7F016" w14:textId="352EC7B5" w:rsidR="00FA31C8" w:rsidRDefault="00FA31C8" w:rsidP="00FA31C8">
      <w:pPr>
        <w:pStyle w:val="FootnoteText"/>
      </w:pPr>
      <w:r>
        <w:rPr>
          <w:rStyle w:val="FootnoteReference"/>
        </w:rPr>
        <w:footnoteRef/>
      </w:r>
      <w:r>
        <w:t xml:space="preserve"> </w:t>
      </w:r>
      <w:hyperlink r:id="rId43" w:history="1">
        <w:r w:rsidRPr="003D5BAE">
          <w:rPr>
            <w:rStyle w:val="Hyperlink"/>
            <w:color w:val="000000" w:themeColor="text1"/>
            <w:u w:val="none"/>
          </w:rPr>
          <w:t>Adults Who Have Never Been Screened for Colorectal Cancer,</w:t>
        </w:r>
      </w:hyperlink>
      <w:r w:rsidRPr="003D5BAE">
        <w:rPr>
          <w:color w:val="000000" w:themeColor="text1"/>
        </w:rPr>
        <w:t xml:space="preserve"> Behavioral </w:t>
      </w:r>
      <w:r w:rsidRPr="0048564E">
        <w:t>Risk Factor Surveillance System, 2012 and 2020</w:t>
      </w:r>
      <w:r>
        <w:t xml:space="preserve">. (2022) CDC. </w:t>
      </w:r>
      <w:hyperlink r:id="rId44" w:history="1">
        <w:r w:rsidRPr="00665989">
          <w:rPr>
            <w:rStyle w:val="Hyperlink"/>
          </w:rPr>
          <w:t>https://www.cdc.gov/pcd/issues/2022/22_0001.htm</w:t>
        </w:r>
      </w:hyperlink>
      <w:r>
        <w:t xml:space="preserve"> (last accessed September 24, 2025).</w:t>
      </w:r>
    </w:p>
  </w:footnote>
  <w:footnote w:id="40">
    <w:p w14:paraId="6982505C" w14:textId="59655656" w:rsidR="00FA31C8" w:rsidRPr="00031808" w:rsidRDefault="00FA31C8" w:rsidP="00FA31C8">
      <w:pPr>
        <w:pStyle w:val="FootnoteText"/>
      </w:pPr>
      <w:r>
        <w:rPr>
          <w:rStyle w:val="FootnoteReference"/>
        </w:rPr>
        <w:footnoteRef/>
      </w:r>
      <w:r>
        <w:t xml:space="preserve"> </w:t>
      </w:r>
      <w:r w:rsidR="00031808">
        <w:rPr>
          <w:i/>
          <w:iCs/>
        </w:rPr>
        <w:t>Id</w:t>
      </w:r>
      <w:r w:rsidR="00031808">
        <w:t xml:space="preserve">. </w:t>
      </w:r>
    </w:p>
  </w:footnote>
  <w:footnote w:id="41">
    <w:p w14:paraId="4CA3E00F" w14:textId="225113AE" w:rsidR="00475222" w:rsidRDefault="00475222">
      <w:pPr>
        <w:pStyle w:val="FootnoteText"/>
      </w:pPr>
      <w:r>
        <w:rPr>
          <w:rStyle w:val="FootnoteReference"/>
        </w:rPr>
        <w:footnoteRef/>
      </w:r>
      <w:r>
        <w:t xml:space="preserve"> </w:t>
      </w:r>
      <w:r w:rsidR="00E51440" w:rsidRPr="00E51440">
        <w:rPr>
          <w:rFonts w:eastAsia="Times New Roman"/>
          <w:szCs w:val="24"/>
        </w:rPr>
        <w:t>National Colorectal Cancer Roundtable</w:t>
      </w:r>
      <w:r w:rsidR="00E51440">
        <w:rPr>
          <w:i/>
          <w:iCs/>
        </w:rPr>
        <w:t xml:space="preserve">, supra </w:t>
      </w:r>
      <w:r w:rsidR="00E51440">
        <w:t>note 15</w:t>
      </w:r>
      <w:r w:rsidR="00E51440" w:rsidRPr="00E51440">
        <w:t>.</w:t>
      </w:r>
      <w:r w:rsidR="00E51440">
        <w:t xml:space="preserve"> </w:t>
      </w:r>
    </w:p>
  </w:footnote>
  <w:footnote w:id="42">
    <w:p w14:paraId="4751C77E" w14:textId="71B2FC60" w:rsidR="00FA31C8" w:rsidRDefault="00FA31C8" w:rsidP="00FA31C8">
      <w:pPr>
        <w:pStyle w:val="FootnoteText"/>
      </w:pPr>
      <w:r>
        <w:rPr>
          <w:rStyle w:val="FootnoteReference"/>
        </w:rPr>
        <w:footnoteRef/>
      </w:r>
      <w:r>
        <w:t xml:space="preserve"> </w:t>
      </w:r>
      <w:r w:rsidRPr="002F11F1">
        <w:t xml:space="preserve">Michael Bretthauer et al, </w:t>
      </w:r>
      <w:hyperlink r:id="rId45" w:history="1">
        <w:r w:rsidRPr="005D1023">
          <w:rPr>
            <w:rStyle w:val="Hyperlink"/>
            <w:color w:val="000000" w:themeColor="text1"/>
            <w:u w:val="none"/>
          </w:rPr>
          <w:t>Effect of Colonoscopy Screening on Risks of Colorectal Cancer and Related Death</w:t>
        </w:r>
      </w:hyperlink>
      <w:r w:rsidRPr="005D1023">
        <w:rPr>
          <w:color w:val="000000" w:themeColor="text1"/>
        </w:rPr>
        <w:t xml:space="preserve">, THE </w:t>
      </w:r>
      <w:r w:rsidRPr="002F11F1">
        <w:t>NEW ENGLAND</w:t>
      </w:r>
      <w:r>
        <w:t xml:space="preserve"> </w:t>
      </w:r>
      <w:r w:rsidRPr="002F11F1">
        <w:t>JOURNAL OF MEDICINE (2022), available at</w:t>
      </w:r>
      <w:r>
        <w:t xml:space="preserve"> </w:t>
      </w:r>
      <w:hyperlink r:id="rId46" w:history="1">
        <w:r w:rsidR="00A62195" w:rsidRPr="00E141A5">
          <w:rPr>
            <w:rStyle w:val="Hyperlink"/>
          </w:rPr>
          <w:t>https://www.nejm.org/doi/full/10.1056/NEJMoa2208375</w:t>
        </w:r>
      </w:hyperlink>
      <w:r w:rsidR="00A62195">
        <w:t xml:space="preserve"> </w:t>
      </w:r>
      <w:r w:rsidRPr="002F11F1">
        <w:t>.</w:t>
      </w:r>
    </w:p>
  </w:footnote>
  <w:footnote w:id="43">
    <w:p w14:paraId="275F0018" w14:textId="033E6C0B" w:rsidR="00FA31C8" w:rsidRPr="00834B57" w:rsidRDefault="00FA31C8" w:rsidP="00FA31C8">
      <w:pPr>
        <w:pStyle w:val="FootnoteText"/>
      </w:pPr>
      <w:r>
        <w:rPr>
          <w:rStyle w:val="FootnoteReference"/>
        </w:rPr>
        <w:footnoteRef/>
      </w:r>
      <w:r>
        <w:t xml:space="preserve"> </w:t>
      </w:r>
      <w:r w:rsidRPr="00C528FA">
        <w:t xml:space="preserve">Schreuders, E. H., </w:t>
      </w:r>
      <w:proofErr w:type="spellStart"/>
      <w:r w:rsidRPr="00C528FA">
        <w:t>Ruco</w:t>
      </w:r>
      <w:proofErr w:type="spellEnd"/>
      <w:r w:rsidRPr="00C528FA">
        <w:t>, A., Rabeneck, L., Schoen, R. E., Sung, J. J., Young, G. P., &amp; Kuipers, E. J.</w:t>
      </w:r>
      <w:r w:rsidR="00834B57">
        <w:t xml:space="preserve">, </w:t>
      </w:r>
      <w:r w:rsidR="00834B57">
        <w:rPr>
          <w:i/>
          <w:iCs/>
        </w:rPr>
        <w:t xml:space="preserve">supra </w:t>
      </w:r>
      <w:r w:rsidR="00834B57">
        <w:t xml:space="preserve">note </w:t>
      </w:r>
      <w:r w:rsidR="00834B57">
        <w:fldChar w:fldCharType="begin"/>
      </w:r>
      <w:r w:rsidR="00834B57">
        <w:instrText xml:space="preserve"> NOTEREF _Ref213765762 \h </w:instrText>
      </w:r>
      <w:r w:rsidR="00834B57">
        <w:fldChar w:fldCharType="separate"/>
      </w:r>
      <w:r w:rsidR="00B837A6">
        <w:t>20</w:t>
      </w:r>
      <w:r w:rsidR="00834B57">
        <w:fldChar w:fldCharType="end"/>
      </w:r>
      <w:r w:rsidR="00834B57">
        <w:t>.</w:t>
      </w:r>
    </w:p>
  </w:footnote>
  <w:footnote w:id="44">
    <w:p w14:paraId="029371F6" w14:textId="77777777" w:rsidR="00FA31C8" w:rsidRDefault="00FA31C8" w:rsidP="00FA31C8">
      <w:pPr>
        <w:pStyle w:val="FootnoteText"/>
      </w:pPr>
      <w:r>
        <w:rPr>
          <w:rStyle w:val="FootnoteReference"/>
        </w:rPr>
        <w:footnoteRef/>
      </w:r>
      <w:r>
        <w:t xml:space="preserve"> </w:t>
      </w:r>
      <w:r w:rsidRPr="00C528FA">
        <w:rPr>
          <w:i/>
          <w:iCs/>
        </w:rPr>
        <w:t>Id</w:t>
      </w:r>
      <w:r>
        <w:t>.</w:t>
      </w:r>
    </w:p>
  </w:footnote>
  <w:footnote w:id="45">
    <w:p w14:paraId="6D87AAA7" w14:textId="782DE5BD" w:rsidR="00FA31C8" w:rsidRDefault="00FA31C8" w:rsidP="00FA31C8">
      <w:pPr>
        <w:pStyle w:val="FootnoteText"/>
      </w:pPr>
      <w:r>
        <w:rPr>
          <w:rStyle w:val="FootnoteReference"/>
        </w:rPr>
        <w:footnoteRef/>
      </w:r>
      <w:r>
        <w:t xml:space="preserve"> Ben-Ari, Elia (2022). </w:t>
      </w:r>
      <w:hyperlink r:id="rId47" w:history="1">
        <w:r w:rsidRPr="005D1023">
          <w:rPr>
            <w:rStyle w:val="Hyperlink"/>
            <w:color w:val="000000" w:themeColor="text1"/>
            <w:u w:val="none"/>
          </w:rPr>
          <w:t>Colonoscopy after Positive FIT Test Cuts Risk of Colorectal Cancer Death</w:t>
        </w:r>
      </w:hyperlink>
      <w:r w:rsidRPr="005D1023">
        <w:rPr>
          <w:color w:val="000000" w:themeColor="text1"/>
        </w:rPr>
        <w:t xml:space="preserve">. National </w:t>
      </w:r>
      <w:r>
        <w:t xml:space="preserve">Cancer Institute. </w:t>
      </w:r>
      <w:hyperlink r:id="rId48" w:history="1">
        <w:r w:rsidRPr="00665989">
          <w:rPr>
            <w:rStyle w:val="Hyperlink"/>
          </w:rPr>
          <w:t>https://www.cancer.gov/news-events/cancer-currents-blog/2022/positive-fit-stool-test-colonoscopy</w:t>
        </w:r>
      </w:hyperlink>
      <w:r>
        <w:t>. (last accessed September 24, 2025).</w:t>
      </w:r>
    </w:p>
  </w:footnote>
  <w:footnote w:id="46">
    <w:p w14:paraId="08AAC308" w14:textId="77777777" w:rsidR="00FA31C8" w:rsidRDefault="00FA31C8" w:rsidP="00FA31C8">
      <w:pPr>
        <w:pStyle w:val="FootnoteText"/>
      </w:pPr>
      <w:r>
        <w:rPr>
          <w:rStyle w:val="FootnoteReference"/>
        </w:rPr>
        <w:footnoteRef/>
      </w:r>
      <w:r>
        <w:t xml:space="preserve"> </w:t>
      </w:r>
      <w:r w:rsidRPr="005A17B2">
        <w:rPr>
          <w:i/>
          <w:iCs/>
        </w:rPr>
        <w:t>Id</w:t>
      </w:r>
      <w:r>
        <w:t>.</w:t>
      </w:r>
    </w:p>
  </w:footnote>
  <w:footnote w:id="47">
    <w:p w14:paraId="1A08C5C7" w14:textId="77777777" w:rsidR="00FA31C8" w:rsidRDefault="00FA31C8" w:rsidP="00FA31C8">
      <w:pPr>
        <w:pStyle w:val="FootnoteText"/>
      </w:pPr>
      <w:r>
        <w:rPr>
          <w:rStyle w:val="FootnoteReference"/>
        </w:rPr>
        <w:footnoteRef/>
      </w:r>
      <w:r>
        <w:t xml:space="preserve"> </w:t>
      </w:r>
      <w:r w:rsidRPr="00C528FA">
        <w:t xml:space="preserve">Forbes, N., </w:t>
      </w:r>
      <w:proofErr w:type="spellStart"/>
      <w:r w:rsidRPr="00C528FA">
        <w:t>Hilsden</w:t>
      </w:r>
      <w:proofErr w:type="spellEnd"/>
      <w:r w:rsidRPr="00C528FA">
        <w:t>, R. J., Martel, M., Ruan, Y., Dube, C., Rostom, A., ... &amp; Heitman, S. J. (2021). Association between time to colonoscopy after positive fecal testing and colorectal cancer outcomes: a systematic review. </w:t>
      </w:r>
      <w:r w:rsidRPr="00C528FA">
        <w:rPr>
          <w:i/>
          <w:iCs/>
        </w:rPr>
        <w:t>Clinical Gastroenterology and Hepatology</w:t>
      </w:r>
      <w:r w:rsidRPr="00C528FA">
        <w:t>, </w:t>
      </w:r>
      <w:r w:rsidRPr="00C528FA">
        <w:rPr>
          <w:i/>
          <w:iCs/>
        </w:rPr>
        <w:t>19</w:t>
      </w:r>
      <w:r w:rsidRPr="00C528FA">
        <w:t>(7), 1344-1354.</w:t>
      </w:r>
    </w:p>
  </w:footnote>
  <w:footnote w:id="48">
    <w:p w14:paraId="5D981BCA" w14:textId="510291AF" w:rsidR="00FA31C8" w:rsidRDefault="00FA31C8" w:rsidP="00FA31C8">
      <w:pPr>
        <w:pStyle w:val="FootnoteText"/>
      </w:pPr>
      <w:r>
        <w:rPr>
          <w:rStyle w:val="FootnoteReference"/>
        </w:rPr>
        <w:footnoteRef/>
      </w:r>
      <w:r>
        <w:t xml:space="preserve"> Rochman, S. (2024). </w:t>
      </w:r>
      <w:hyperlink r:id="rId49" w:history="1">
        <w:r w:rsidRPr="005D1023">
          <w:rPr>
            <w:rStyle w:val="Hyperlink"/>
            <w:color w:val="000000" w:themeColor="text1"/>
            <w:u w:val="none"/>
          </w:rPr>
          <w:t>Some patients delay colonoscopy after positive fecal test.</w:t>
        </w:r>
      </w:hyperlink>
      <w:r w:rsidRPr="005D1023">
        <w:rPr>
          <w:color w:val="000000" w:themeColor="text1"/>
        </w:rPr>
        <w:t xml:space="preserve"> Kaiser </w:t>
      </w:r>
      <w:r>
        <w:t xml:space="preserve">Permanente. </w:t>
      </w:r>
      <w:hyperlink r:id="rId50" w:history="1">
        <w:r w:rsidRPr="00665989">
          <w:rPr>
            <w:rStyle w:val="Hyperlink"/>
          </w:rPr>
          <w:t>https://divisionofresearch.kaiserpermanente.org/delay-after-positive-fecal-test/</w:t>
        </w:r>
      </w:hyperlink>
      <w:r>
        <w:t xml:space="preserve"> (last accessed September 24, 2025).</w:t>
      </w:r>
    </w:p>
  </w:footnote>
  <w:footnote w:id="49">
    <w:p w14:paraId="2B705FD3" w14:textId="7C2AB8FF" w:rsidR="00E74455" w:rsidRPr="00E74455" w:rsidRDefault="00E74455">
      <w:pPr>
        <w:pStyle w:val="FootnoteText"/>
      </w:pPr>
      <w:r>
        <w:rPr>
          <w:rStyle w:val="FootnoteReference"/>
        </w:rPr>
        <w:footnoteRef/>
      </w:r>
      <w:r>
        <w:t xml:space="preserve"> Megan A. Adams et al.</w:t>
      </w:r>
      <w:r>
        <w:rPr>
          <w:i/>
          <w:iCs/>
        </w:rPr>
        <w:t xml:space="preserve">, </w:t>
      </w:r>
      <w:hyperlink r:id="rId51" w:history="1">
        <w:r w:rsidRPr="005D1023">
          <w:rPr>
            <w:rStyle w:val="Hyperlink"/>
            <w:i/>
            <w:iCs/>
            <w:color w:val="000000" w:themeColor="text1"/>
            <w:u w:val="none"/>
          </w:rPr>
          <w:t>Trends In Wait Time For Outpatient Colonoscopy In the Veterans Health Administration, 2008-2015</w:t>
        </w:r>
        <w:r w:rsidRPr="005D1023">
          <w:rPr>
            <w:rStyle w:val="Hyperlink"/>
            <w:color w:val="000000" w:themeColor="text1"/>
            <w:u w:val="none"/>
          </w:rPr>
          <w:t>,</w:t>
        </w:r>
      </w:hyperlink>
      <w:r w:rsidRPr="005D1023">
        <w:rPr>
          <w:color w:val="000000" w:themeColor="text1"/>
        </w:rPr>
        <w:t xml:space="preserve"> </w:t>
      </w:r>
      <w:r w:rsidRPr="005D1023">
        <w:rPr>
          <w:smallCaps/>
          <w:color w:val="000000" w:themeColor="text1"/>
        </w:rPr>
        <w:t xml:space="preserve">Journal </w:t>
      </w:r>
      <w:r w:rsidRPr="008E0410">
        <w:rPr>
          <w:smallCaps/>
        </w:rPr>
        <w:t>of General Internal Medicine</w:t>
      </w:r>
      <w:r>
        <w:t xml:space="preserve"> (June 2020), </w:t>
      </w:r>
      <w:hyperlink r:id="rId52" w:history="1">
        <w:r w:rsidRPr="007210B7">
          <w:rPr>
            <w:rStyle w:val="Hyperlink"/>
          </w:rPr>
          <w:t>https://pubmed.ncbi.nlm.nih.gov/32212093/</w:t>
        </w:r>
      </w:hyperlink>
      <w:r>
        <w:t xml:space="preserve">. </w:t>
      </w:r>
    </w:p>
  </w:footnote>
  <w:footnote w:id="50">
    <w:p w14:paraId="7707B987" w14:textId="1F5958F5" w:rsidR="00E74455" w:rsidRPr="008E0F57" w:rsidRDefault="00E74455">
      <w:pPr>
        <w:pStyle w:val="FootnoteText"/>
      </w:pPr>
      <w:r>
        <w:rPr>
          <w:rStyle w:val="FootnoteReference"/>
        </w:rPr>
        <w:footnoteRef/>
      </w:r>
      <w:r>
        <w:t xml:space="preserve"> </w:t>
      </w:r>
      <w:proofErr w:type="spellStart"/>
      <w:r>
        <w:t>Mingqing</w:t>
      </w:r>
      <w:proofErr w:type="spellEnd"/>
      <w:r>
        <w:t xml:space="preserve"> Zhang et al., </w:t>
      </w:r>
      <w:hyperlink r:id="rId53" w:history="1">
        <w:r w:rsidRPr="005D1023">
          <w:rPr>
            <w:rStyle w:val="Hyperlink"/>
            <w:i/>
            <w:iCs/>
            <w:color w:val="000000" w:themeColor="text1"/>
            <w:u w:val="none"/>
          </w:rPr>
          <w:t>Postponing Colonoscopy For 6 Months In High-Risk Population Increases Colorectal Cancer Detection In China</w:t>
        </w:r>
        <w:r w:rsidRPr="005D1023">
          <w:rPr>
            <w:rStyle w:val="Hyperlink"/>
            <w:color w:val="000000" w:themeColor="text1"/>
            <w:u w:val="none"/>
          </w:rPr>
          <w:t xml:space="preserve">, </w:t>
        </w:r>
        <w:r w:rsidRPr="005D1023">
          <w:rPr>
            <w:rStyle w:val="Hyperlink"/>
            <w:smallCaps/>
            <w:color w:val="000000" w:themeColor="text1"/>
            <w:u w:val="none"/>
          </w:rPr>
          <w:t>Cancer</w:t>
        </w:r>
      </w:hyperlink>
      <w:r w:rsidRPr="008E0410">
        <w:rPr>
          <w:smallCaps/>
        </w:rPr>
        <w:t xml:space="preserve"> Medicine</w:t>
      </w:r>
      <w:r>
        <w:t xml:space="preserve"> (Mar. 2023), </w:t>
      </w:r>
      <w:hyperlink r:id="rId54" w:history="1">
        <w:r w:rsidR="008E0F57" w:rsidRPr="007210B7">
          <w:rPr>
            <w:rStyle w:val="Hyperlink"/>
          </w:rPr>
          <w:t>https://pmc.ncbi.nlm.nih.gov/articles/PMC10242305/</w:t>
        </w:r>
      </w:hyperlink>
      <w:r>
        <w:t>.</w:t>
      </w:r>
    </w:p>
  </w:footnote>
  <w:footnote w:id="51">
    <w:p w14:paraId="77D66BF8" w14:textId="60A37BA4" w:rsidR="008E0F57" w:rsidRPr="008E0F57" w:rsidRDefault="008E0F57">
      <w:pPr>
        <w:pStyle w:val="FootnoteText"/>
      </w:pPr>
      <w:r>
        <w:rPr>
          <w:rStyle w:val="FootnoteReference"/>
        </w:rPr>
        <w:footnoteRef/>
      </w:r>
      <w:r>
        <w:t xml:space="preserve"> Reema Alnasser et al., </w:t>
      </w:r>
      <w:hyperlink r:id="rId55" w:history="1">
        <w:r w:rsidRPr="005D1023">
          <w:rPr>
            <w:rStyle w:val="Hyperlink"/>
            <w:i/>
            <w:iCs/>
            <w:color w:val="000000" w:themeColor="text1"/>
            <w:u w:val="none"/>
          </w:rPr>
          <w:t>Factors Associated With Missed And Cancelled Appointments In The Endoscopy Unit: Descriptive Study</w:t>
        </w:r>
      </w:hyperlink>
      <w:r w:rsidRPr="005D1023">
        <w:rPr>
          <w:color w:val="000000" w:themeColor="text1"/>
        </w:rPr>
        <w:t xml:space="preserve">, </w:t>
      </w:r>
      <w:proofErr w:type="spellStart"/>
      <w:r w:rsidRPr="005D1023">
        <w:rPr>
          <w:smallCaps/>
          <w:color w:val="000000" w:themeColor="text1"/>
        </w:rPr>
        <w:t>Cureus</w:t>
      </w:r>
      <w:proofErr w:type="spellEnd"/>
      <w:r w:rsidRPr="005D1023">
        <w:rPr>
          <w:color w:val="000000" w:themeColor="text1"/>
        </w:rPr>
        <w:t xml:space="preserve"> (Mar. 2020), </w:t>
      </w:r>
      <w:hyperlink r:id="rId56" w:history="1">
        <w:r w:rsidR="005D1023" w:rsidRPr="005D1023">
          <w:rPr>
            <w:rStyle w:val="Hyperlink"/>
            <w:color w:val="000000" w:themeColor="text1"/>
            <w:u w:val="none"/>
          </w:rPr>
          <w:t>https://pmc.ncbi.nlm.nih.gov/articles/PMC7153807/</w:t>
        </w:r>
      </w:hyperlink>
      <w:r w:rsidR="005D1023" w:rsidRPr="005D1023">
        <w:rPr>
          <w:color w:val="000000" w:themeColor="text1"/>
        </w:rPr>
        <w:t xml:space="preserve"> </w:t>
      </w:r>
      <w:r w:rsidRPr="005D1023">
        <w:rPr>
          <w:color w:val="000000" w:themeColor="text1"/>
        </w:rPr>
        <w:t>.</w:t>
      </w:r>
    </w:p>
  </w:footnote>
  <w:footnote w:id="52">
    <w:p w14:paraId="2F6EEC93" w14:textId="77777777" w:rsidR="00FA31C8" w:rsidRDefault="00FA31C8" w:rsidP="00FA31C8">
      <w:pPr>
        <w:pStyle w:val="FootnoteText"/>
      </w:pPr>
      <w:r>
        <w:rPr>
          <w:rStyle w:val="FootnoteReference"/>
        </w:rPr>
        <w:footnoteRef/>
      </w:r>
      <w:r>
        <w:t xml:space="preserve"> </w:t>
      </w:r>
      <w:proofErr w:type="spellStart"/>
      <w:r w:rsidRPr="00586187">
        <w:t>Chukmaitov</w:t>
      </w:r>
      <w:proofErr w:type="spellEnd"/>
      <w:r w:rsidRPr="00586187">
        <w:t xml:space="preserve">, A. S., </w:t>
      </w:r>
      <w:proofErr w:type="spellStart"/>
      <w:r w:rsidRPr="00586187">
        <w:t>Menachemi</w:t>
      </w:r>
      <w:proofErr w:type="spellEnd"/>
      <w:r w:rsidRPr="00586187">
        <w:t>, N., Brown, L. S., Saunders, C., &amp; Brooks, R. G. (2008). A comparative study of quality outcomes in freestanding ambulatory surgery centers and hospital‐based outpatient departments: 1997–2004. </w:t>
      </w:r>
      <w:r w:rsidRPr="00586187">
        <w:rPr>
          <w:i/>
          <w:iCs/>
        </w:rPr>
        <w:t>Health services research</w:t>
      </w:r>
      <w:r w:rsidRPr="00586187">
        <w:t>, </w:t>
      </w:r>
      <w:r w:rsidRPr="00586187">
        <w:rPr>
          <w:i/>
          <w:iCs/>
        </w:rPr>
        <w:t>43</w:t>
      </w:r>
      <w:r w:rsidRPr="00586187">
        <w:t>(5p1), 1485-1504.</w:t>
      </w:r>
    </w:p>
  </w:footnote>
  <w:footnote w:id="53">
    <w:p w14:paraId="4D769539" w14:textId="77777777" w:rsidR="00FA31C8" w:rsidRDefault="00FA31C8" w:rsidP="00FA31C8">
      <w:pPr>
        <w:pStyle w:val="FootnoteText"/>
      </w:pPr>
      <w:r>
        <w:rPr>
          <w:rStyle w:val="FootnoteReference"/>
        </w:rPr>
        <w:footnoteRef/>
      </w:r>
      <w:r>
        <w:t xml:space="preserve"> </w:t>
      </w:r>
      <w:r w:rsidRPr="00152E80">
        <w:t xml:space="preserve">Rostom, A., Dubé, C., &amp; </w:t>
      </w:r>
      <w:proofErr w:type="spellStart"/>
      <w:r w:rsidRPr="00152E80">
        <w:t>Hilsden</w:t>
      </w:r>
      <w:proofErr w:type="spellEnd"/>
      <w:r w:rsidRPr="00152E80">
        <w:t xml:space="preserve">, R. (2022). Outcomes after outpatient endoscopy: Can administrative data tell the whole </w:t>
      </w:r>
      <w:proofErr w:type="gramStart"/>
      <w:r w:rsidRPr="00152E80">
        <w:t>story?.</w:t>
      </w:r>
      <w:proofErr w:type="gramEnd"/>
      <w:r w:rsidRPr="00152E80">
        <w:t> </w:t>
      </w:r>
      <w:r w:rsidRPr="00152E80">
        <w:rPr>
          <w:i/>
          <w:iCs/>
        </w:rPr>
        <w:t>Gastrointestinal Endoscopy</w:t>
      </w:r>
      <w:r w:rsidRPr="00152E80">
        <w:t>, </w:t>
      </w:r>
      <w:r w:rsidRPr="00152E80">
        <w:rPr>
          <w:i/>
          <w:iCs/>
        </w:rPr>
        <w:t>95</w:t>
      </w:r>
      <w:r w:rsidRPr="00152E80">
        <w:t>(6), 1098-1100.</w:t>
      </w:r>
    </w:p>
  </w:footnote>
  <w:footnote w:id="54">
    <w:p w14:paraId="59479308" w14:textId="45D719CE" w:rsidR="00FA31C8" w:rsidRPr="00403ABF" w:rsidRDefault="00FA31C8" w:rsidP="00FA31C8">
      <w:pPr>
        <w:pStyle w:val="FootnoteText"/>
      </w:pPr>
      <w:r>
        <w:rPr>
          <w:rStyle w:val="FootnoteReference"/>
        </w:rPr>
        <w:footnoteRef/>
      </w:r>
      <w:r>
        <w:t xml:space="preserve"> </w:t>
      </w:r>
      <w:proofErr w:type="spellStart"/>
      <w:r w:rsidRPr="00586187">
        <w:t>Chukmaitov</w:t>
      </w:r>
      <w:proofErr w:type="spellEnd"/>
      <w:r w:rsidRPr="00586187">
        <w:t>, A. S.,</w:t>
      </w:r>
      <w:r w:rsidR="00403ABF">
        <w:t xml:space="preserve"> </w:t>
      </w:r>
      <w:r w:rsidR="00403ABF">
        <w:rPr>
          <w:i/>
          <w:iCs/>
        </w:rPr>
        <w:t xml:space="preserve">supra </w:t>
      </w:r>
      <w:r w:rsidR="00403ABF">
        <w:t xml:space="preserve">note </w:t>
      </w:r>
      <w:r w:rsidR="00403ABF">
        <w:fldChar w:fldCharType="begin"/>
      </w:r>
      <w:r w:rsidR="00403ABF">
        <w:instrText xml:space="preserve"> NOTEREF _Ref213765875 \h </w:instrText>
      </w:r>
      <w:r w:rsidR="00403ABF">
        <w:fldChar w:fldCharType="separate"/>
      </w:r>
      <w:r w:rsidR="00B837A6">
        <w:t>48</w:t>
      </w:r>
      <w:r w:rsidR="00403ABF">
        <w:fldChar w:fldCharType="end"/>
      </w:r>
      <w:r w:rsidR="00403ABF">
        <w:t>.</w:t>
      </w:r>
    </w:p>
  </w:footnote>
  <w:footnote w:id="55">
    <w:p w14:paraId="29E08641" w14:textId="6CE205D9" w:rsidR="00FA31C8" w:rsidRDefault="00FA31C8" w:rsidP="00FA31C8">
      <w:pPr>
        <w:pStyle w:val="FootnoteText"/>
      </w:pPr>
      <w:r>
        <w:rPr>
          <w:rStyle w:val="FootnoteReference"/>
        </w:rPr>
        <w:footnoteRef/>
      </w:r>
      <w:r>
        <w:t xml:space="preserve"> </w:t>
      </w:r>
      <w:r w:rsidR="008E0410">
        <w:rPr>
          <w:i/>
          <w:iCs/>
        </w:rPr>
        <w:t>Id</w:t>
      </w:r>
      <w:r w:rsidR="008E0410">
        <w:t>.</w:t>
      </w:r>
    </w:p>
  </w:footnote>
  <w:footnote w:id="56">
    <w:p w14:paraId="10375997" w14:textId="3CCE3200" w:rsidR="0092301C" w:rsidRPr="00834B57" w:rsidRDefault="0092301C">
      <w:pPr>
        <w:pStyle w:val="FootnoteText"/>
      </w:pPr>
      <w:r>
        <w:rPr>
          <w:rStyle w:val="FootnoteReference"/>
        </w:rPr>
        <w:footnoteRef/>
      </w:r>
      <w:r>
        <w:t xml:space="preserve"> </w:t>
      </w:r>
      <w:r w:rsidRPr="00D10752">
        <w:rPr>
          <w:i/>
          <w:iCs/>
        </w:rPr>
        <w:t>See, e.g.</w:t>
      </w:r>
      <w:r>
        <w:t>, Megan A. Adams et al.</w:t>
      </w:r>
      <w:r>
        <w:rPr>
          <w:i/>
          <w:iCs/>
        </w:rPr>
        <w:t xml:space="preserve">, </w:t>
      </w:r>
      <w:r w:rsidR="00834B57">
        <w:rPr>
          <w:i/>
          <w:iCs/>
        </w:rPr>
        <w:t>supra</w:t>
      </w:r>
      <w:r w:rsidR="00834B57">
        <w:t xml:space="preserve"> note </w:t>
      </w:r>
      <w:r w:rsidR="00834B57">
        <w:fldChar w:fldCharType="begin"/>
      </w:r>
      <w:r w:rsidR="00834B57">
        <w:instrText xml:space="preserve"> NOTEREF _Ref213765813 \h </w:instrText>
      </w:r>
      <w:r w:rsidR="00834B57">
        <w:fldChar w:fldCharType="separate"/>
      </w:r>
      <w:r w:rsidR="00B837A6">
        <w:t>45</w:t>
      </w:r>
      <w:r w:rsidR="00834B57">
        <w:fldChar w:fldCharType="end"/>
      </w:r>
      <w:r w:rsidR="00834B57">
        <w:t>.</w:t>
      </w:r>
    </w:p>
  </w:footnote>
  <w:footnote w:id="57">
    <w:p w14:paraId="663E3B24" w14:textId="4C35FA48" w:rsidR="009807D1" w:rsidRPr="00403ABF" w:rsidRDefault="009807D1" w:rsidP="009807D1">
      <w:pPr>
        <w:pStyle w:val="FootnoteText"/>
      </w:pPr>
      <w:r>
        <w:rPr>
          <w:rStyle w:val="FootnoteReference"/>
        </w:rPr>
        <w:footnoteRef/>
      </w:r>
      <w:r>
        <w:t xml:space="preserve"> </w:t>
      </w:r>
      <w:r w:rsidRPr="00AE23EC">
        <w:t>U.S. Cancer Statistics Working Group</w:t>
      </w:r>
      <w:r w:rsidR="00403ABF">
        <w:t xml:space="preserve">, </w:t>
      </w:r>
      <w:r w:rsidR="00403ABF">
        <w:rPr>
          <w:i/>
          <w:iCs/>
        </w:rPr>
        <w:t xml:space="preserve">supra </w:t>
      </w:r>
      <w:r w:rsidR="00403ABF">
        <w:t xml:space="preserve">note </w:t>
      </w:r>
      <w:r w:rsidR="00403ABF">
        <w:fldChar w:fldCharType="begin"/>
      </w:r>
      <w:r w:rsidR="00403ABF">
        <w:instrText xml:space="preserve"> NOTEREF _Ref213765928 \h </w:instrText>
      </w:r>
      <w:r w:rsidR="00403ABF">
        <w:fldChar w:fldCharType="separate"/>
      </w:r>
      <w:r w:rsidR="00B837A6">
        <w:t>12</w:t>
      </w:r>
      <w:r w:rsidR="00403ABF">
        <w:fldChar w:fldCharType="end"/>
      </w:r>
      <w:r w:rsidR="00403ABF">
        <w:t>.</w:t>
      </w:r>
    </w:p>
  </w:footnote>
  <w:footnote w:id="58">
    <w:p w14:paraId="7C6FCFA2" w14:textId="2B41E58F" w:rsidR="009807D1" w:rsidRPr="00403ABF" w:rsidRDefault="009807D1" w:rsidP="009807D1">
      <w:pPr>
        <w:pStyle w:val="FootnoteText"/>
      </w:pPr>
      <w:r>
        <w:rPr>
          <w:rStyle w:val="FootnoteReference"/>
        </w:rPr>
        <w:footnoteRef/>
      </w:r>
      <w:r>
        <w:t xml:space="preserve"> </w:t>
      </w:r>
      <w:r w:rsidRPr="00AE23EC">
        <w:t>U.S. Preventive Services Task Force</w:t>
      </w:r>
      <w:r w:rsidR="00403ABF">
        <w:t xml:space="preserve">, </w:t>
      </w:r>
      <w:r w:rsidR="00403ABF">
        <w:rPr>
          <w:i/>
          <w:iCs/>
        </w:rPr>
        <w:t xml:space="preserve">supra </w:t>
      </w:r>
      <w:r w:rsidR="00403ABF">
        <w:t xml:space="preserve">note </w:t>
      </w:r>
      <w:r w:rsidR="00403ABF">
        <w:fldChar w:fldCharType="begin"/>
      </w:r>
      <w:r w:rsidR="00403ABF">
        <w:instrText xml:space="preserve"> NOTEREF _Ref213765928 \h </w:instrText>
      </w:r>
      <w:r w:rsidR="00403ABF">
        <w:fldChar w:fldCharType="separate"/>
      </w:r>
      <w:r w:rsidR="00B837A6">
        <w:t>12</w:t>
      </w:r>
      <w:r w:rsidR="00403ABF">
        <w:fldChar w:fldCharType="end"/>
      </w:r>
      <w:r w:rsidR="00403ABF">
        <w:t>.</w:t>
      </w:r>
    </w:p>
  </w:footnote>
  <w:footnote w:id="59">
    <w:p w14:paraId="65579B3E" w14:textId="209AA4BA" w:rsidR="008E71FE" w:rsidRDefault="008E71FE">
      <w:pPr>
        <w:pStyle w:val="FootnoteText"/>
      </w:pPr>
      <w:r>
        <w:rPr>
          <w:rStyle w:val="FootnoteReference"/>
        </w:rPr>
        <w:footnoteRef/>
      </w:r>
      <w:r>
        <w:t xml:space="preserve"> </w:t>
      </w:r>
      <w:hyperlink r:id="rId57" w:history="1">
        <w:r w:rsidRPr="00050E97">
          <w:rPr>
            <w:rStyle w:val="Hyperlink"/>
          </w:rPr>
          <w:t>https://www.americashealthrankings.org/explore/measures/colorectal_cancer_screening/MA</w:t>
        </w:r>
      </w:hyperlink>
      <w:r>
        <w:t xml:space="preserve"> </w:t>
      </w:r>
    </w:p>
  </w:footnote>
  <w:footnote w:id="60">
    <w:p w14:paraId="29D9657E" w14:textId="7CB4081D" w:rsidR="008E71FE" w:rsidRPr="00E51440" w:rsidRDefault="008E71FE">
      <w:pPr>
        <w:pStyle w:val="FootnoteText"/>
      </w:pPr>
      <w:r>
        <w:rPr>
          <w:rStyle w:val="FootnoteReference"/>
        </w:rPr>
        <w:footnoteRef/>
      </w:r>
      <w:r>
        <w:t xml:space="preserve"> </w:t>
      </w:r>
      <w:r w:rsidR="00D0159A">
        <w:rPr>
          <w:rFonts w:eastAsia="Times New Roman"/>
          <w:szCs w:val="24"/>
        </w:rPr>
        <w:t>80% in Every Community</w:t>
      </w:r>
      <w:r w:rsidR="00E51440">
        <w:rPr>
          <w:i/>
          <w:iCs/>
        </w:rPr>
        <w:t xml:space="preserve">, supra </w:t>
      </w:r>
      <w:r w:rsidR="00E51440">
        <w:t>note 1</w:t>
      </w:r>
      <w:r w:rsidR="00D0159A">
        <w:t>6</w:t>
      </w:r>
      <w:r w:rsidR="00E51440">
        <w:t xml:space="preserve">. </w:t>
      </w:r>
    </w:p>
  </w:footnote>
  <w:footnote w:id="61">
    <w:p w14:paraId="687D67D8" w14:textId="043BD777" w:rsidR="009807D1" w:rsidRPr="00B837A6" w:rsidRDefault="009807D1" w:rsidP="009807D1">
      <w:pPr>
        <w:pStyle w:val="FootnoteText"/>
      </w:pPr>
      <w:r>
        <w:rPr>
          <w:rStyle w:val="FootnoteReference"/>
        </w:rPr>
        <w:footnoteRef/>
      </w:r>
      <w:r>
        <w:t xml:space="preserve"> </w:t>
      </w:r>
      <w:r w:rsidRPr="00AE23EC">
        <w:t>Goede</w:t>
      </w:r>
      <w:r w:rsidR="00B837A6">
        <w:t xml:space="preserve">, </w:t>
      </w:r>
      <w:r w:rsidR="00B837A6">
        <w:rPr>
          <w:i/>
          <w:iCs/>
        </w:rPr>
        <w:t>supra</w:t>
      </w:r>
      <w:r w:rsidR="00B837A6">
        <w:t xml:space="preserve"> note </w:t>
      </w:r>
      <w:r w:rsidR="00B837A6">
        <w:fldChar w:fldCharType="begin"/>
      </w:r>
      <w:r w:rsidR="00B837A6">
        <w:instrText xml:space="preserve"> NOTEREF _Ref213767237 \h </w:instrText>
      </w:r>
      <w:r w:rsidR="00B837A6">
        <w:fldChar w:fldCharType="separate"/>
      </w:r>
      <w:r w:rsidR="00B837A6">
        <w:t>16</w:t>
      </w:r>
      <w:r w:rsidR="00B837A6">
        <w:fldChar w:fldCharType="end"/>
      </w:r>
      <w:r w:rsidR="00B837A6">
        <w:t>.</w:t>
      </w:r>
    </w:p>
  </w:footnote>
  <w:footnote w:id="62">
    <w:p w14:paraId="4B96FC59" w14:textId="66FB0A5D" w:rsidR="00787008" w:rsidRPr="000F695C" w:rsidRDefault="00787008" w:rsidP="00787008">
      <w:pPr>
        <w:rPr>
          <w:rFonts w:cs="Calibri"/>
          <w:color w:val="000000"/>
          <w:szCs w:val="16"/>
        </w:rPr>
      </w:pPr>
      <w:r w:rsidRPr="000F695C">
        <w:rPr>
          <w:rFonts w:cs="Calibri"/>
          <w:color w:val="000000"/>
        </w:rPr>
        <w:footnoteRef/>
      </w:r>
      <w:r w:rsidRPr="000F695C">
        <w:rPr>
          <w:rFonts w:cs="Calibri"/>
          <w:color w:val="000000"/>
          <w:szCs w:val="16"/>
        </w:rPr>
        <w:t xml:space="preserve"> </w:t>
      </w:r>
      <w:r w:rsidR="00834B57" w:rsidRPr="00735B8F">
        <w:t xml:space="preserve">Colorectal Cancer Rates Are Skyrocketing in Young Adults—Is Your Lifestyle Putting You at </w:t>
      </w:r>
      <w:proofErr w:type="gramStart"/>
      <w:r w:rsidR="00834B57" w:rsidRPr="00735B8F">
        <w:t>Risk?</w:t>
      </w:r>
      <w:r w:rsidR="00834B57">
        <w:t>,</w:t>
      </w:r>
      <w:proofErr w:type="gramEnd"/>
      <w:r w:rsidR="00834B57">
        <w:t xml:space="preserve"> </w:t>
      </w:r>
      <w:r w:rsidR="00834B57">
        <w:rPr>
          <w:i/>
          <w:iCs/>
        </w:rPr>
        <w:t xml:space="preserve">supra </w:t>
      </w:r>
      <w:r w:rsidR="00834B57">
        <w:t xml:space="preserve">note </w:t>
      </w:r>
      <w:r w:rsidR="00834B57">
        <w:fldChar w:fldCharType="begin"/>
      </w:r>
      <w:r w:rsidR="00834B57">
        <w:instrText xml:space="preserve"> NOTEREF _Ref213765646 \h </w:instrText>
      </w:r>
      <w:r w:rsidR="00834B57">
        <w:fldChar w:fldCharType="separate"/>
      </w:r>
      <w:r w:rsidR="00B837A6">
        <w:t>7</w:t>
      </w:r>
      <w:r w:rsidR="00834B57">
        <w:fldChar w:fldCharType="end"/>
      </w:r>
      <w:r w:rsidR="00834B57">
        <w:t>.</w:t>
      </w:r>
    </w:p>
  </w:footnote>
  <w:footnote w:id="63">
    <w:p w14:paraId="2E05BC2F" w14:textId="170A6B0A" w:rsidR="009807D1" w:rsidRDefault="009807D1" w:rsidP="009807D1">
      <w:pPr>
        <w:pStyle w:val="FootnoteText"/>
      </w:pPr>
      <w:r w:rsidRPr="0052706E">
        <w:rPr>
          <w:rStyle w:val="FootnoteReference"/>
          <w:rFonts w:asciiTheme="minorHAnsi" w:hAnsiTheme="minorHAnsi"/>
          <w:szCs w:val="16"/>
        </w:rPr>
        <w:footnoteRef/>
      </w:r>
      <w:r>
        <w:t xml:space="preserve"> </w:t>
      </w:r>
      <w:r w:rsidRPr="00B27E69">
        <w:rPr>
          <w:rFonts w:asciiTheme="minorHAnsi" w:hAnsiTheme="minorHAnsi"/>
          <w:szCs w:val="16"/>
        </w:rPr>
        <w:t xml:space="preserve">Shen Li et al, </w:t>
      </w:r>
      <w:hyperlink r:id="rId58" w:history="1">
        <w:r w:rsidRPr="00191881">
          <w:rPr>
            <w:rStyle w:val="Hyperlink"/>
            <w:rFonts w:asciiTheme="minorHAnsi" w:hAnsiTheme="minorHAnsi"/>
            <w:i/>
            <w:iCs/>
            <w:color w:val="000000" w:themeColor="text1"/>
            <w:szCs w:val="16"/>
            <w:u w:val="none"/>
          </w:rPr>
          <w:t>An Umbrella Review of Socioeconomic Status and Cancer</w:t>
        </w:r>
        <w:r w:rsidRPr="00191881">
          <w:rPr>
            <w:rStyle w:val="Hyperlink"/>
            <w:rFonts w:asciiTheme="minorHAnsi" w:hAnsiTheme="minorHAnsi"/>
            <w:color w:val="000000" w:themeColor="text1"/>
            <w:sz w:val="14"/>
            <w:szCs w:val="14"/>
            <w:u w:val="none"/>
          </w:rPr>
          <w:t>,</w:t>
        </w:r>
      </w:hyperlink>
      <w:r w:rsidRPr="00191881">
        <w:rPr>
          <w:rFonts w:asciiTheme="minorHAnsi" w:hAnsiTheme="minorHAnsi"/>
          <w:color w:val="000000" w:themeColor="text1"/>
          <w:sz w:val="14"/>
          <w:szCs w:val="14"/>
        </w:rPr>
        <w:t xml:space="preserve"> NATURE </w:t>
      </w:r>
      <w:r w:rsidRPr="00B27E69">
        <w:rPr>
          <w:rFonts w:asciiTheme="minorHAnsi" w:hAnsiTheme="minorHAnsi"/>
          <w:sz w:val="14"/>
          <w:szCs w:val="14"/>
        </w:rPr>
        <w:t xml:space="preserve">COMMUNICATIONS </w:t>
      </w:r>
      <w:r w:rsidRPr="00B27E69">
        <w:rPr>
          <w:rFonts w:asciiTheme="minorHAnsi" w:hAnsiTheme="minorHAnsi"/>
          <w:szCs w:val="16"/>
        </w:rPr>
        <w:t xml:space="preserve">(2024), available at </w:t>
      </w:r>
      <w:hyperlink r:id="rId59" w:history="1">
        <w:r w:rsidRPr="00E74074">
          <w:rPr>
            <w:rStyle w:val="Hyperlink"/>
            <w:rFonts w:asciiTheme="minorHAnsi" w:hAnsiTheme="minorHAnsi"/>
            <w:szCs w:val="16"/>
          </w:rPr>
          <w:t>https://www.nature.com/articles/s41467-024-54444-2</w:t>
        </w:r>
      </w:hyperlink>
      <w:r w:rsidRPr="00B27E69">
        <w:rPr>
          <w:rFonts w:asciiTheme="minorHAnsi" w:hAnsiTheme="minorHAnsi"/>
          <w:szCs w:val="16"/>
        </w:rPr>
        <w:t>.</w:t>
      </w:r>
    </w:p>
  </w:footnote>
  <w:footnote w:id="64">
    <w:p w14:paraId="2D113470" w14:textId="32652673" w:rsidR="009807D1" w:rsidRDefault="009807D1" w:rsidP="009807D1">
      <w:pPr>
        <w:pStyle w:val="FootnoteText"/>
      </w:pPr>
      <w:r w:rsidRPr="0052706E">
        <w:rPr>
          <w:rStyle w:val="FootnoteReference"/>
          <w:rFonts w:asciiTheme="minorHAnsi" w:hAnsiTheme="minorHAnsi"/>
          <w:szCs w:val="16"/>
        </w:rPr>
        <w:footnoteRef/>
      </w:r>
      <w:r>
        <w:t xml:space="preserve"> </w:t>
      </w:r>
      <w:r w:rsidR="009110C1">
        <w:rPr>
          <w:rFonts w:asciiTheme="minorHAnsi" w:hAnsiTheme="minorHAnsi"/>
          <w:i/>
          <w:iCs/>
          <w:szCs w:val="16"/>
        </w:rPr>
        <w:t>Id</w:t>
      </w:r>
      <w:r w:rsidR="009110C1">
        <w:rPr>
          <w:rFonts w:asciiTheme="minorHAnsi" w:hAnsiTheme="minorHAnsi"/>
          <w:szCs w:val="16"/>
        </w:rPr>
        <w:t>.</w:t>
      </w:r>
    </w:p>
  </w:footnote>
  <w:footnote w:id="65">
    <w:p w14:paraId="08156C9B" w14:textId="7A195653" w:rsidR="009807D1" w:rsidRPr="0052706E" w:rsidRDefault="009807D1" w:rsidP="009807D1">
      <w:pPr>
        <w:pStyle w:val="FootnoteText"/>
        <w:rPr>
          <w:rFonts w:asciiTheme="minorHAnsi" w:hAnsiTheme="minorHAnsi"/>
          <w:szCs w:val="16"/>
        </w:rPr>
      </w:pPr>
      <w:r w:rsidRPr="0052706E">
        <w:rPr>
          <w:rStyle w:val="FootnoteReference"/>
          <w:rFonts w:asciiTheme="minorHAnsi" w:hAnsiTheme="minorHAnsi"/>
          <w:szCs w:val="16"/>
        </w:rPr>
        <w:footnoteRef/>
      </w:r>
      <w:r>
        <w:t xml:space="preserve"> </w:t>
      </w:r>
      <w:r w:rsidRPr="00023C54">
        <w:rPr>
          <w:rFonts w:asciiTheme="minorHAnsi" w:hAnsiTheme="minorHAnsi"/>
          <w:szCs w:val="16"/>
        </w:rPr>
        <w:t xml:space="preserve">Amber Bourgeois et </w:t>
      </w:r>
      <w:r w:rsidRPr="00191881">
        <w:rPr>
          <w:rFonts w:asciiTheme="minorHAnsi" w:hAnsiTheme="minorHAnsi"/>
          <w:color w:val="000000" w:themeColor="text1"/>
          <w:szCs w:val="16"/>
        </w:rPr>
        <w:t xml:space="preserve">al, </w:t>
      </w:r>
      <w:hyperlink r:id="rId60" w:history="1">
        <w:r w:rsidRPr="00191881">
          <w:rPr>
            <w:rStyle w:val="Hyperlink"/>
            <w:rFonts w:asciiTheme="minorHAnsi" w:hAnsiTheme="minorHAnsi"/>
            <w:i/>
            <w:iCs/>
            <w:color w:val="000000" w:themeColor="text1"/>
            <w:szCs w:val="16"/>
            <w:u w:val="none"/>
          </w:rPr>
          <w:t>Barriers to Cancer Treatment for People Experiencing Socioeconomic Disadvantage in High-Income Countries: A Scoping Review</w:t>
        </w:r>
      </w:hyperlink>
      <w:r w:rsidRPr="00191881">
        <w:rPr>
          <w:rFonts w:asciiTheme="minorHAnsi" w:hAnsiTheme="minorHAnsi"/>
          <w:color w:val="000000" w:themeColor="text1"/>
          <w:szCs w:val="16"/>
        </w:rPr>
        <w:t xml:space="preserve">, </w:t>
      </w:r>
      <w:r w:rsidRPr="00191881">
        <w:rPr>
          <w:rFonts w:asciiTheme="minorHAnsi" w:hAnsiTheme="minorHAnsi"/>
          <w:color w:val="000000" w:themeColor="text1"/>
          <w:sz w:val="14"/>
          <w:szCs w:val="14"/>
        </w:rPr>
        <w:t xml:space="preserve">BMC </w:t>
      </w:r>
      <w:r w:rsidRPr="00023C54">
        <w:rPr>
          <w:rFonts w:asciiTheme="minorHAnsi" w:hAnsiTheme="minorHAnsi"/>
          <w:sz w:val="14"/>
          <w:szCs w:val="14"/>
        </w:rPr>
        <w:t>HEALTH SERV RES</w:t>
      </w:r>
      <w:r w:rsidRPr="00023C54">
        <w:rPr>
          <w:rFonts w:asciiTheme="minorHAnsi" w:hAnsiTheme="minorHAnsi"/>
          <w:szCs w:val="16"/>
        </w:rPr>
        <w:t xml:space="preserve">, (2024), available at </w:t>
      </w:r>
      <w:hyperlink r:id="rId61" w:history="1">
        <w:r w:rsidRPr="00E74074">
          <w:rPr>
            <w:rStyle w:val="Hyperlink"/>
            <w:rFonts w:asciiTheme="minorHAnsi" w:hAnsiTheme="minorHAnsi"/>
            <w:szCs w:val="16"/>
          </w:rPr>
          <w:t>https://pmc.ncbi.nlm.nih.gov/articles/PMC11134650/</w:t>
        </w:r>
      </w:hyperlink>
      <w:r>
        <w:rPr>
          <w:rFonts w:asciiTheme="minorHAnsi" w:hAnsi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E73C" w14:textId="77777777" w:rsidR="000176E5" w:rsidRDefault="00017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27C3" w14:textId="77777777" w:rsidR="000176E5" w:rsidRDefault="00017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C39E" w14:textId="77777777" w:rsidR="000176E5" w:rsidRDefault="000176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6558" w14:textId="77777777" w:rsidR="007626B1" w:rsidRDefault="007626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C000" w14:textId="77777777" w:rsidR="007626B1" w:rsidRDefault="007626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AC75" w14:textId="77777777" w:rsidR="007626B1" w:rsidRDefault="00762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300834"/>
    <w:multiLevelType w:val="hybridMultilevel"/>
    <w:tmpl w:val="99D8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A079D"/>
    <w:multiLevelType w:val="hybridMultilevel"/>
    <w:tmpl w:val="15F4ACE0"/>
    <w:lvl w:ilvl="0" w:tplc="3A6A5842">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 w15:restartNumberingAfterBreak="0">
    <w:nsid w:val="42603198"/>
    <w:multiLevelType w:val="hybridMultilevel"/>
    <w:tmpl w:val="A7CEF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30769"/>
    <w:multiLevelType w:val="hybridMultilevel"/>
    <w:tmpl w:val="16947154"/>
    <w:lvl w:ilvl="0" w:tplc="98D00C5A">
      <w:start w:val="2"/>
      <w:numFmt w:val="bullet"/>
      <w:lvlText w:val="-"/>
      <w:lvlJc w:val="left"/>
      <w:pPr>
        <w:ind w:left="720" w:hanging="360"/>
      </w:pPr>
      <w:rPr>
        <w:rFonts w:ascii="Aptos" w:eastAsia="Times New Roman"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96A27"/>
    <w:multiLevelType w:val="hybridMultilevel"/>
    <w:tmpl w:val="7406A7E2"/>
    <w:lvl w:ilvl="0" w:tplc="F964FE1C">
      <w:start w:val="1"/>
      <w:numFmt w:val="upperLetter"/>
      <w:lvlText w:val="%1."/>
      <w:lvlJc w:val="left"/>
      <w:pPr>
        <w:ind w:left="1080" w:hanging="720"/>
      </w:pPr>
      <w:rPr>
        <w:rFonts w:asciiTheme="minorHAnsi" w:eastAsia="Times New Roman"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B2934"/>
    <w:multiLevelType w:val="hybridMultilevel"/>
    <w:tmpl w:val="1C5A16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B74F5D"/>
    <w:multiLevelType w:val="hybridMultilevel"/>
    <w:tmpl w:val="19EE0288"/>
    <w:lvl w:ilvl="0" w:tplc="445CE5F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A75B8"/>
    <w:multiLevelType w:val="hybridMultilevel"/>
    <w:tmpl w:val="E75C445E"/>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 w15:restartNumberingAfterBreak="0">
    <w:nsid w:val="5F285AFA"/>
    <w:multiLevelType w:val="hybridMultilevel"/>
    <w:tmpl w:val="87AA0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F1237"/>
    <w:multiLevelType w:val="hybridMultilevel"/>
    <w:tmpl w:val="1CB00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C466C6"/>
    <w:multiLevelType w:val="hybridMultilevel"/>
    <w:tmpl w:val="418CF5AA"/>
    <w:lvl w:ilvl="0" w:tplc="AAA069B2">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A6D64"/>
    <w:multiLevelType w:val="hybridMultilevel"/>
    <w:tmpl w:val="0AD04DE2"/>
    <w:lvl w:ilvl="0" w:tplc="2BAE1FAE">
      <w:numFmt w:val="bullet"/>
      <w:lvlText w:val=""/>
      <w:lvlJc w:val="left"/>
      <w:pPr>
        <w:ind w:left="839" w:hanging="360"/>
      </w:pPr>
      <w:rPr>
        <w:rFonts w:ascii="Symbol" w:hAnsi="Symbol" w:hint="default"/>
      </w:rPr>
    </w:lvl>
    <w:lvl w:ilvl="1" w:tplc="BCFED690">
      <w:start w:val="1"/>
      <w:numFmt w:val="bullet"/>
      <w:lvlText w:val="o"/>
      <w:lvlJc w:val="left"/>
      <w:pPr>
        <w:ind w:left="1440" w:hanging="360"/>
      </w:pPr>
      <w:rPr>
        <w:rFonts w:ascii="Courier New" w:hAnsi="Courier New" w:hint="default"/>
      </w:rPr>
    </w:lvl>
    <w:lvl w:ilvl="2" w:tplc="FD8EEC34">
      <w:start w:val="1"/>
      <w:numFmt w:val="bullet"/>
      <w:lvlText w:val=""/>
      <w:lvlJc w:val="left"/>
      <w:pPr>
        <w:ind w:left="2160" w:hanging="360"/>
      </w:pPr>
      <w:rPr>
        <w:rFonts w:ascii="Wingdings" w:hAnsi="Wingdings" w:hint="default"/>
      </w:rPr>
    </w:lvl>
    <w:lvl w:ilvl="3" w:tplc="4F8E81B6">
      <w:start w:val="1"/>
      <w:numFmt w:val="bullet"/>
      <w:lvlText w:val=""/>
      <w:lvlJc w:val="left"/>
      <w:pPr>
        <w:ind w:left="2880" w:hanging="360"/>
      </w:pPr>
      <w:rPr>
        <w:rFonts w:ascii="Symbol" w:hAnsi="Symbol" w:hint="default"/>
      </w:rPr>
    </w:lvl>
    <w:lvl w:ilvl="4" w:tplc="88A6DE2C">
      <w:start w:val="1"/>
      <w:numFmt w:val="bullet"/>
      <w:lvlText w:val="o"/>
      <w:lvlJc w:val="left"/>
      <w:pPr>
        <w:ind w:left="3600" w:hanging="360"/>
      </w:pPr>
      <w:rPr>
        <w:rFonts w:ascii="Courier New" w:hAnsi="Courier New" w:hint="default"/>
      </w:rPr>
    </w:lvl>
    <w:lvl w:ilvl="5" w:tplc="EC3675E2">
      <w:start w:val="1"/>
      <w:numFmt w:val="bullet"/>
      <w:lvlText w:val=""/>
      <w:lvlJc w:val="left"/>
      <w:pPr>
        <w:ind w:left="4320" w:hanging="360"/>
      </w:pPr>
      <w:rPr>
        <w:rFonts w:ascii="Wingdings" w:hAnsi="Wingdings" w:hint="default"/>
      </w:rPr>
    </w:lvl>
    <w:lvl w:ilvl="6" w:tplc="C71C2CE4">
      <w:start w:val="1"/>
      <w:numFmt w:val="bullet"/>
      <w:lvlText w:val=""/>
      <w:lvlJc w:val="left"/>
      <w:pPr>
        <w:ind w:left="5040" w:hanging="360"/>
      </w:pPr>
      <w:rPr>
        <w:rFonts w:ascii="Symbol" w:hAnsi="Symbol" w:hint="default"/>
      </w:rPr>
    </w:lvl>
    <w:lvl w:ilvl="7" w:tplc="6DB8C4FC">
      <w:start w:val="1"/>
      <w:numFmt w:val="bullet"/>
      <w:lvlText w:val="o"/>
      <w:lvlJc w:val="left"/>
      <w:pPr>
        <w:ind w:left="5760" w:hanging="360"/>
      </w:pPr>
      <w:rPr>
        <w:rFonts w:ascii="Courier New" w:hAnsi="Courier New" w:hint="default"/>
      </w:rPr>
    </w:lvl>
    <w:lvl w:ilvl="8" w:tplc="7822292A">
      <w:start w:val="1"/>
      <w:numFmt w:val="bullet"/>
      <w:lvlText w:val=""/>
      <w:lvlJc w:val="left"/>
      <w:pPr>
        <w:ind w:left="6480" w:hanging="360"/>
      </w:pPr>
      <w:rPr>
        <w:rFonts w:ascii="Wingdings" w:hAnsi="Wingdings" w:hint="default"/>
      </w:rPr>
    </w:lvl>
  </w:abstractNum>
  <w:abstractNum w:abstractNumId="14" w15:restartNumberingAfterBreak="0">
    <w:nsid w:val="6B305504"/>
    <w:multiLevelType w:val="hybridMultilevel"/>
    <w:tmpl w:val="7EF293B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231CA"/>
    <w:multiLevelType w:val="hybridMultilevel"/>
    <w:tmpl w:val="E2E65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833E8"/>
    <w:multiLevelType w:val="hybridMultilevel"/>
    <w:tmpl w:val="9F82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85869">
    <w:abstractNumId w:val="1"/>
  </w:num>
  <w:num w:numId="2" w16cid:durableId="1890144081">
    <w:abstractNumId w:val="0"/>
  </w:num>
  <w:num w:numId="3" w16cid:durableId="1939753506">
    <w:abstractNumId w:val="16"/>
  </w:num>
  <w:num w:numId="4" w16cid:durableId="613051180">
    <w:abstractNumId w:val="12"/>
  </w:num>
  <w:num w:numId="5" w16cid:durableId="1936590862">
    <w:abstractNumId w:val="9"/>
  </w:num>
  <w:num w:numId="6" w16cid:durableId="1694071317">
    <w:abstractNumId w:val="10"/>
  </w:num>
  <w:num w:numId="7" w16cid:durableId="1794664924">
    <w:abstractNumId w:val="3"/>
  </w:num>
  <w:num w:numId="8" w16cid:durableId="1354259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184080">
    <w:abstractNumId w:val="11"/>
  </w:num>
  <w:num w:numId="10" w16cid:durableId="149946825">
    <w:abstractNumId w:val="4"/>
  </w:num>
  <w:num w:numId="11" w16cid:durableId="20323405">
    <w:abstractNumId w:val="6"/>
  </w:num>
  <w:num w:numId="12" w16cid:durableId="1454254935">
    <w:abstractNumId w:val="5"/>
  </w:num>
  <w:num w:numId="13" w16cid:durableId="1008751357">
    <w:abstractNumId w:val="14"/>
  </w:num>
  <w:num w:numId="14" w16cid:durableId="775947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24977">
    <w:abstractNumId w:val="13"/>
  </w:num>
  <w:num w:numId="16" w16cid:durableId="1794709449">
    <w:abstractNumId w:val="8"/>
  </w:num>
  <w:num w:numId="17" w16cid:durableId="111899582">
    <w:abstractNumId w:val="2"/>
  </w:num>
  <w:num w:numId="18" w16cid:durableId="17608345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25"/>
    <w:rsid w:val="00005989"/>
    <w:rsid w:val="000110A8"/>
    <w:rsid w:val="000176E5"/>
    <w:rsid w:val="00021AA8"/>
    <w:rsid w:val="00025C89"/>
    <w:rsid w:val="00031808"/>
    <w:rsid w:val="00035435"/>
    <w:rsid w:val="00046563"/>
    <w:rsid w:val="000553E1"/>
    <w:rsid w:val="000632B5"/>
    <w:rsid w:val="000739CD"/>
    <w:rsid w:val="000A78AB"/>
    <w:rsid w:val="000F1400"/>
    <w:rsid w:val="000F2CE0"/>
    <w:rsid w:val="000F695C"/>
    <w:rsid w:val="000F7694"/>
    <w:rsid w:val="00101F2C"/>
    <w:rsid w:val="0013171F"/>
    <w:rsid w:val="0013466E"/>
    <w:rsid w:val="00135947"/>
    <w:rsid w:val="00145C77"/>
    <w:rsid w:val="00145D72"/>
    <w:rsid w:val="00147321"/>
    <w:rsid w:val="00156D48"/>
    <w:rsid w:val="00175FA9"/>
    <w:rsid w:val="001804A8"/>
    <w:rsid w:val="00191881"/>
    <w:rsid w:val="001A5C35"/>
    <w:rsid w:val="001B0C40"/>
    <w:rsid w:val="001B4716"/>
    <w:rsid w:val="001C29B9"/>
    <w:rsid w:val="001D1459"/>
    <w:rsid w:val="001D17C6"/>
    <w:rsid w:val="001E3C19"/>
    <w:rsid w:val="001F6E11"/>
    <w:rsid w:val="00210452"/>
    <w:rsid w:val="00217FF6"/>
    <w:rsid w:val="002256AA"/>
    <w:rsid w:val="00242D0F"/>
    <w:rsid w:val="00242EFE"/>
    <w:rsid w:val="0025084A"/>
    <w:rsid w:val="0025084B"/>
    <w:rsid w:val="00280C3D"/>
    <w:rsid w:val="00281747"/>
    <w:rsid w:val="002A5270"/>
    <w:rsid w:val="002B01FB"/>
    <w:rsid w:val="002C31F0"/>
    <w:rsid w:val="002D27A9"/>
    <w:rsid w:val="002F4700"/>
    <w:rsid w:val="003233A0"/>
    <w:rsid w:val="00323B7E"/>
    <w:rsid w:val="0034078D"/>
    <w:rsid w:val="003422DC"/>
    <w:rsid w:val="00367B50"/>
    <w:rsid w:val="00372EB0"/>
    <w:rsid w:val="00390197"/>
    <w:rsid w:val="00392BE6"/>
    <w:rsid w:val="003A101B"/>
    <w:rsid w:val="003C0B10"/>
    <w:rsid w:val="003C6BF7"/>
    <w:rsid w:val="003D3D90"/>
    <w:rsid w:val="003D5BAE"/>
    <w:rsid w:val="003F1178"/>
    <w:rsid w:val="003F7346"/>
    <w:rsid w:val="0040022D"/>
    <w:rsid w:val="00400ECB"/>
    <w:rsid w:val="004030F6"/>
    <w:rsid w:val="00403ABF"/>
    <w:rsid w:val="004056C5"/>
    <w:rsid w:val="00406CAF"/>
    <w:rsid w:val="00414A2D"/>
    <w:rsid w:val="00431D3A"/>
    <w:rsid w:val="00467265"/>
    <w:rsid w:val="00475222"/>
    <w:rsid w:val="00482B77"/>
    <w:rsid w:val="004A0F6F"/>
    <w:rsid w:val="004B3C03"/>
    <w:rsid w:val="004B5A75"/>
    <w:rsid w:val="004C7D6D"/>
    <w:rsid w:val="004D1BAD"/>
    <w:rsid w:val="004E47DA"/>
    <w:rsid w:val="00500406"/>
    <w:rsid w:val="00507E97"/>
    <w:rsid w:val="00522B33"/>
    <w:rsid w:val="00547590"/>
    <w:rsid w:val="00551D3E"/>
    <w:rsid w:val="00561947"/>
    <w:rsid w:val="005655CA"/>
    <w:rsid w:val="00565CAE"/>
    <w:rsid w:val="00571D54"/>
    <w:rsid w:val="00577883"/>
    <w:rsid w:val="00584230"/>
    <w:rsid w:val="005A1EC1"/>
    <w:rsid w:val="005B02F9"/>
    <w:rsid w:val="005B35D2"/>
    <w:rsid w:val="005B4C98"/>
    <w:rsid w:val="005D1023"/>
    <w:rsid w:val="005D2ACD"/>
    <w:rsid w:val="005D51D2"/>
    <w:rsid w:val="006007A6"/>
    <w:rsid w:val="00600CBC"/>
    <w:rsid w:val="006216B9"/>
    <w:rsid w:val="006416FF"/>
    <w:rsid w:val="00641C94"/>
    <w:rsid w:val="00654D04"/>
    <w:rsid w:val="00673EDA"/>
    <w:rsid w:val="006778C5"/>
    <w:rsid w:val="006867F8"/>
    <w:rsid w:val="006925D7"/>
    <w:rsid w:val="006A227E"/>
    <w:rsid w:val="006A47AD"/>
    <w:rsid w:val="006B27A3"/>
    <w:rsid w:val="006B2AF7"/>
    <w:rsid w:val="006B34CB"/>
    <w:rsid w:val="006B792D"/>
    <w:rsid w:val="006C4C67"/>
    <w:rsid w:val="006E222C"/>
    <w:rsid w:val="00701112"/>
    <w:rsid w:val="007046F0"/>
    <w:rsid w:val="00706968"/>
    <w:rsid w:val="0071338D"/>
    <w:rsid w:val="00714035"/>
    <w:rsid w:val="007405D2"/>
    <w:rsid w:val="00742B85"/>
    <w:rsid w:val="00755D32"/>
    <w:rsid w:val="00762007"/>
    <w:rsid w:val="007626B1"/>
    <w:rsid w:val="00764430"/>
    <w:rsid w:val="0077120D"/>
    <w:rsid w:val="00772A22"/>
    <w:rsid w:val="00781FC8"/>
    <w:rsid w:val="00787008"/>
    <w:rsid w:val="007940A7"/>
    <w:rsid w:val="007A0F7C"/>
    <w:rsid w:val="007A1C8C"/>
    <w:rsid w:val="007A7E90"/>
    <w:rsid w:val="007B05F6"/>
    <w:rsid w:val="007D5827"/>
    <w:rsid w:val="007E5974"/>
    <w:rsid w:val="007E5E7B"/>
    <w:rsid w:val="007F0AAD"/>
    <w:rsid w:val="007F73BD"/>
    <w:rsid w:val="0080060E"/>
    <w:rsid w:val="00817012"/>
    <w:rsid w:val="00826C68"/>
    <w:rsid w:val="00831236"/>
    <w:rsid w:val="00834B57"/>
    <w:rsid w:val="00837A03"/>
    <w:rsid w:val="00850F1A"/>
    <w:rsid w:val="0085342E"/>
    <w:rsid w:val="00853EB0"/>
    <w:rsid w:val="00854C19"/>
    <w:rsid w:val="00863E49"/>
    <w:rsid w:val="00871044"/>
    <w:rsid w:val="008750B1"/>
    <w:rsid w:val="00890D40"/>
    <w:rsid w:val="008A559C"/>
    <w:rsid w:val="008B7C82"/>
    <w:rsid w:val="008D2135"/>
    <w:rsid w:val="008E0410"/>
    <w:rsid w:val="008E0F57"/>
    <w:rsid w:val="008E3BA1"/>
    <w:rsid w:val="008E4EAC"/>
    <w:rsid w:val="008E71FE"/>
    <w:rsid w:val="008F4A95"/>
    <w:rsid w:val="008F54DE"/>
    <w:rsid w:val="008F66FD"/>
    <w:rsid w:val="00901F58"/>
    <w:rsid w:val="009110C1"/>
    <w:rsid w:val="00912C09"/>
    <w:rsid w:val="00916F4A"/>
    <w:rsid w:val="0092301C"/>
    <w:rsid w:val="009264DA"/>
    <w:rsid w:val="00932AF8"/>
    <w:rsid w:val="00960D20"/>
    <w:rsid w:val="00972CD4"/>
    <w:rsid w:val="009739F7"/>
    <w:rsid w:val="009807D1"/>
    <w:rsid w:val="00980B2A"/>
    <w:rsid w:val="00984447"/>
    <w:rsid w:val="009B0276"/>
    <w:rsid w:val="009B081C"/>
    <w:rsid w:val="009B29DF"/>
    <w:rsid w:val="009B4CA2"/>
    <w:rsid w:val="009B71C1"/>
    <w:rsid w:val="009D49BB"/>
    <w:rsid w:val="009D581C"/>
    <w:rsid w:val="009D5D5B"/>
    <w:rsid w:val="009E4BA7"/>
    <w:rsid w:val="00A00547"/>
    <w:rsid w:val="00A02178"/>
    <w:rsid w:val="00A047CA"/>
    <w:rsid w:val="00A04D93"/>
    <w:rsid w:val="00A25460"/>
    <w:rsid w:val="00A353B8"/>
    <w:rsid w:val="00A36A97"/>
    <w:rsid w:val="00A3704A"/>
    <w:rsid w:val="00A424CD"/>
    <w:rsid w:val="00A42FD3"/>
    <w:rsid w:val="00A47966"/>
    <w:rsid w:val="00A56A35"/>
    <w:rsid w:val="00A6067A"/>
    <w:rsid w:val="00A61158"/>
    <w:rsid w:val="00A62195"/>
    <w:rsid w:val="00A6313E"/>
    <w:rsid w:val="00A8488D"/>
    <w:rsid w:val="00A9319F"/>
    <w:rsid w:val="00A9634A"/>
    <w:rsid w:val="00AB44E1"/>
    <w:rsid w:val="00AB595C"/>
    <w:rsid w:val="00AC1EA7"/>
    <w:rsid w:val="00AC310F"/>
    <w:rsid w:val="00B1486A"/>
    <w:rsid w:val="00B179DF"/>
    <w:rsid w:val="00B21CD2"/>
    <w:rsid w:val="00B24F37"/>
    <w:rsid w:val="00B34C12"/>
    <w:rsid w:val="00B35086"/>
    <w:rsid w:val="00B4559D"/>
    <w:rsid w:val="00B5673F"/>
    <w:rsid w:val="00B578AC"/>
    <w:rsid w:val="00B57913"/>
    <w:rsid w:val="00B57EF4"/>
    <w:rsid w:val="00B75E25"/>
    <w:rsid w:val="00B819D5"/>
    <w:rsid w:val="00B81A86"/>
    <w:rsid w:val="00B837A6"/>
    <w:rsid w:val="00B8714D"/>
    <w:rsid w:val="00B9416E"/>
    <w:rsid w:val="00BD615F"/>
    <w:rsid w:val="00BE115E"/>
    <w:rsid w:val="00BF4539"/>
    <w:rsid w:val="00C128D7"/>
    <w:rsid w:val="00C14997"/>
    <w:rsid w:val="00C31B08"/>
    <w:rsid w:val="00C33C5F"/>
    <w:rsid w:val="00C444AB"/>
    <w:rsid w:val="00C56BEF"/>
    <w:rsid w:val="00C61D73"/>
    <w:rsid w:val="00C64F79"/>
    <w:rsid w:val="00C83B01"/>
    <w:rsid w:val="00C85E83"/>
    <w:rsid w:val="00C90E90"/>
    <w:rsid w:val="00CA2940"/>
    <w:rsid w:val="00CB6D3B"/>
    <w:rsid w:val="00CB6DD7"/>
    <w:rsid w:val="00CC679A"/>
    <w:rsid w:val="00CD4A10"/>
    <w:rsid w:val="00CD567F"/>
    <w:rsid w:val="00CD6BAC"/>
    <w:rsid w:val="00CE4EDE"/>
    <w:rsid w:val="00CF473B"/>
    <w:rsid w:val="00CF76E4"/>
    <w:rsid w:val="00CF7A3C"/>
    <w:rsid w:val="00D0159A"/>
    <w:rsid w:val="00D01B6D"/>
    <w:rsid w:val="00D10752"/>
    <w:rsid w:val="00D11537"/>
    <w:rsid w:val="00D17A92"/>
    <w:rsid w:val="00D265D3"/>
    <w:rsid w:val="00D266D7"/>
    <w:rsid w:val="00D26BCE"/>
    <w:rsid w:val="00D358F2"/>
    <w:rsid w:val="00D56D3B"/>
    <w:rsid w:val="00D6772F"/>
    <w:rsid w:val="00D7654B"/>
    <w:rsid w:val="00D7713A"/>
    <w:rsid w:val="00D7746B"/>
    <w:rsid w:val="00D83419"/>
    <w:rsid w:val="00DA0C90"/>
    <w:rsid w:val="00DC23CA"/>
    <w:rsid w:val="00DD1B32"/>
    <w:rsid w:val="00DD2AE7"/>
    <w:rsid w:val="00DD5E1F"/>
    <w:rsid w:val="00DE4ADF"/>
    <w:rsid w:val="00DF653E"/>
    <w:rsid w:val="00E3022A"/>
    <w:rsid w:val="00E352DD"/>
    <w:rsid w:val="00E51440"/>
    <w:rsid w:val="00E70A3F"/>
    <w:rsid w:val="00E73E3E"/>
    <w:rsid w:val="00E74455"/>
    <w:rsid w:val="00E8260D"/>
    <w:rsid w:val="00E9078A"/>
    <w:rsid w:val="00E91E05"/>
    <w:rsid w:val="00E92858"/>
    <w:rsid w:val="00EA09AB"/>
    <w:rsid w:val="00EA2A22"/>
    <w:rsid w:val="00EA2C56"/>
    <w:rsid w:val="00EC58C1"/>
    <w:rsid w:val="00F3424F"/>
    <w:rsid w:val="00F3648B"/>
    <w:rsid w:val="00F51F5B"/>
    <w:rsid w:val="00F7679E"/>
    <w:rsid w:val="00F80026"/>
    <w:rsid w:val="00F8637E"/>
    <w:rsid w:val="00F91D3F"/>
    <w:rsid w:val="00FA05B4"/>
    <w:rsid w:val="00FA06F3"/>
    <w:rsid w:val="00FA31C8"/>
    <w:rsid w:val="00FB1356"/>
    <w:rsid w:val="00FB1E79"/>
    <w:rsid w:val="00FB5C19"/>
    <w:rsid w:val="00FC4365"/>
    <w:rsid w:val="00FC5554"/>
    <w:rsid w:val="00FD2FFE"/>
    <w:rsid w:val="00FF3B6F"/>
    <w:rsid w:val="00FF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CDF1"/>
  <w15:chartTrackingRefBased/>
  <w15:docId w15:val="{52307DB2-90FA-4700-873D-8907BFBA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5C"/>
    <w:pPr>
      <w:suppressAutoHyphens/>
      <w:spacing w:after="0" w:line="240" w:lineRule="auto"/>
    </w:pPr>
    <w:rPr>
      <w:rFonts w:ascii="Aptos" w:hAnsi="Aptos" w:cs="Times New Roman"/>
      <w:sz w:val="16"/>
      <w:szCs w:val="24"/>
    </w:rPr>
  </w:style>
  <w:style w:type="paragraph" w:styleId="Heading1">
    <w:name w:val="heading 1"/>
    <w:basedOn w:val="Normal"/>
    <w:next w:val="Normal"/>
    <w:link w:val="Heading1Char"/>
    <w:uiPriority w:val="1"/>
    <w:qFormat/>
    <w:rsid w:val="006B27A3"/>
    <w:pPr>
      <w:spacing w:after="120"/>
      <w:outlineLvl w:val="0"/>
    </w:pPr>
    <w:rPr>
      <w:rFonts w:asciiTheme="minorHAnsi" w:hAnsiTheme="minorHAnsi"/>
      <w:b/>
      <w:bCs/>
      <w:sz w:val="21"/>
      <w:szCs w:val="21"/>
    </w:rPr>
  </w:style>
  <w:style w:type="paragraph" w:styleId="Heading2">
    <w:name w:val="heading 2"/>
    <w:basedOn w:val="Normal"/>
    <w:next w:val="Normal"/>
    <w:link w:val="Heading2Char"/>
    <w:uiPriority w:val="1"/>
    <w:qFormat/>
    <w:rsid w:val="00706968"/>
    <w:pPr>
      <w:suppressAutoHyphens w:val="0"/>
      <w:spacing w:before="120" w:after="120"/>
      <w:ind w:left="720" w:hanging="720"/>
      <w:jc w:val="both"/>
      <w:outlineLvl w:val="1"/>
    </w:pPr>
    <w:rPr>
      <w:rFonts w:asciiTheme="minorHAnsi" w:eastAsia="Calibri" w:hAnsiTheme="minorHAnsi" w:cs="Arial"/>
      <w:b/>
      <w:kern w:val="2"/>
      <w:sz w:val="21"/>
      <w:szCs w:val="21"/>
    </w:rPr>
  </w:style>
  <w:style w:type="paragraph" w:styleId="Heading3">
    <w:name w:val="heading 3"/>
    <w:basedOn w:val="Normal"/>
    <w:next w:val="Normal"/>
    <w:link w:val="Heading3Char"/>
    <w:uiPriority w:val="1"/>
    <w:qFormat/>
    <w:rsid w:val="00156D48"/>
    <w:pPr>
      <w:suppressAutoHyphens w:val="0"/>
      <w:spacing w:after="120" w:line="257" w:lineRule="auto"/>
      <w:ind w:left="-720"/>
      <w:outlineLvl w:val="2"/>
    </w:pPr>
    <w:rPr>
      <w:rFonts w:asciiTheme="minorHAnsi" w:eastAsia="Calibri" w:hAnsiTheme="minorHAnsi" w:cs="Arial"/>
      <w:b/>
      <w:bCs/>
      <w:snapToGrid w:val="0"/>
      <w:sz w:val="22"/>
      <w:szCs w:val="22"/>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6B27A3"/>
    <w:rPr>
      <w:rFonts w:cs="Times New Roman"/>
      <w:b/>
      <w:bCs/>
      <w:sz w:val="21"/>
      <w:szCs w:val="21"/>
    </w:rPr>
  </w:style>
  <w:style w:type="character" w:customStyle="1" w:styleId="Heading2Char">
    <w:name w:val="Heading 2 Char"/>
    <w:link w:val="Heading2"/>
    <w:uiPriority w:val="1"/>
    <w:rsid w:val="00706968"/>
    <w:rPr>
      <w:rFonts w:eastAsia="Calibri" w:cs="Arial"/>
      <w:b/>
      <w:kern w:val="2"/>
      <w:sz w:val="21"/>
      <w:szCs w:val="21"/>
    </w:rPr>
  </w:style>
  <w:style w:type="character" w:customStyle="1" w:styleId="Heading3Char">
    <w:name w:val="Heading 3 Char"/>
    <w:link w:val="Heading3"/>
    <w:uiPriority w:val="1"/>
    <w:rsid w:val="00156D48"/>
    <w:rPr>
      <w:rFonts w:eastAsia="Calibri" w:cs="Arial"/>
      <w:b/>
      <w:bCs/>
      <w:snapToGrid w:val="0"/>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Subtitle">
    <w:name w:val="Subtitle"/>
    <w:basedOn w:val="Normal"/>
    <w:next w:val="Normal"/>
    <w:link w:val="SubtitleChar"/>
    <w:uiPriority w:val="11"/>
    <w:qFormat/>
    <w:rsid w:val="00B75E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E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5E25"/>
    <w:rPr>
      <w:rFonts w:ascii="Times New Roman" w:hAnsi="Times New Roman" w:cs="Times New Roman"/>
      <w:i/>
      <w:iCs/>
      <w:color w:val="404040" w:themeColor="text1" w:themeTint="BF"/>
      <w:sz w:val="24"/>
      <w:szCs w:val="24"/>
    </w:rPr>
  </w:style>
  <w:style w:type="paragraph" w:styleId="ListParagraph">
    <w:name w:val="List Paragraph"/>
    <w:basedOn w:val="Normal"/>
    <w:link w:val="ListParagraphChar"/>
    <w:uiPriority w:val="34"/>
    <w:qFormat/>
    <w:rsid w:val="00B75E25"/>
    <w:pPr>
      <w:ind w:left="720"/>
      <w:contextualSpacing/>
    </w:pPr>
  </w:style>
  <w:style w:type="character" w:styleId="IntenseEmphasis">
    <w:name w:val="Intense Emphasis"/>
    <w:basedOn w:val="DefaultParagraphFont"/>
    <w:uiPriority w:val="21"/>
    <w:qFormat/>
    <w:rsid w:val="00B75E25"/>
    <w:rPr>
      <w:i/>
      <w:iCs/>
      <w:color w:val="0F4761" w:themeColor="accent1" w:themeShade="BF"/>
    </w:rPr>
  </w:style>
  <w:style w:type="paragraph" w:styleId="IntenseQuote">
    <w:name w:val="Intense Quote"/>
    <w:basedOn w:val="Normal"/>
    <w:next w:val="Normal"/>
    <w:link w:val="IntenseQuoteChar"/>
    <w:uiPriority w:val="30"/>
    <w:qFormat/>
    <w:rsid w:val="00B75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E25"/>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B75E25"/>
    <w:rPr>
      <w:b/>
      <w:bCs/>
      <w:smallCaps/>
      <w:color w:val="0F4761" w:themeColor="accent1" w:themeShade="BF"/>
      <w:spacing w:val="5"/>
    </w:rPr>
  </w:style>
  <w:style w:type="paragraph" w:styleId="Header">
    <w:name w:val="header"/>
    <w:basedOn w:val="Normal"/>
    <w:link w:val="HeaderChar"/>
    <w:uiPriority w:val="99"/>
    <w:unhideWhenUsed/>
    <w:rsid w:val="00D56D3B"/>
    <w:pPr>
      <w:tabs>
        <w:tab w:val="center" w:pos="4680"/>
        <w:tab w:val="right" w:pos="9360"/>
      </w:tabs>
    </w:pPr>
  </w:style>
  <w:style w:type="character" w:customStyle="1" w:styleId="HeaderChar">
    <w:name w:val="Header Char"/>
    <w:basedOn w:val="DefaultParagraphFont"/>
    <w:link w:val="Header"/>
    <w:uiPriority w:val="99"/>
    <w:rsid w:val="00D56D3B"/>
    <w:rPr>
      <w:rFonts w:ascii="Times New Roman" w:hAnsi="Times New Roman" w:cs="Times New Roman"/>
      <w:sz w:val="24"/>
      <w:szCs w:val="24"/>
    </w:rPr>
  </w:style>
  <w:style w:type="paragraph" w:styleId="Footer">
    <w:name w:val="footer"/>
    <w:basedOn w:val="Normal"/>
    <w:link w:val="FooterChar"/>
    <w:uiPriority w:val="99"/>
    <w:unhideWhenUsed/>
    <w:rsid w:val="00D56D3B"/>
    <w:pPr>
      <w:tabs>
        <w:tab w:val="center" w:pos="4680"/>
        <w:tab w:val="right" w:pos="9360"/>
      </w:tabs>
    </w:pPr>
  </w:style>
  <w:style w:type="character" w:customStyle="1" w:styleId="FooterChar">
    <w:name w:val="Footer Char"/>
    <w:basedOn w:val="DefaultParagraphFont"/>
    <w:link w:val="Footer"/>
    <w:uiPriority w:val="99"/>
    <w:rsid w:val="00D56D3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F653E"/>
    <w:rPr>
      <w:sz w:val="16"/>
      <w:szCs w:val="16"/>
    </w:rPr>
  </w:style>
  <w:style w:type="paragraph" w:styleId="CommentText">
    <w:name w:val="annotation text"/>
    <w:basedOn w:val="Normal"/>
    <w:link w:val="CommentTextChar"/>
    <w:uiPriority w:val="99"/>
    <w:unhideWhenUsed/>
    <w:rsid w:val="00DF653E"/>
    <w:rPr>
      <w:sz w:val="20"/>
      <w:szCs w:val="20"/>
    </w:rPr>
  </w:style>
  <w:style w:type="character" w:customStyle="1" w:styleId="CommentTextChar">
    <w:name w:val="Comment Text Char"/>
    <w:basedOn w:val="DefaultParagraphFont"/>
    <w:link w:val="CommentText"/>
    <w:uiPriority w:val="99"/>
    <w:rsid w:val="00DF653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653E"/>
    <w:rPr>
      <w:b/>
      <w:bCs/>
    </w:rPr>
  </w:style>
  <w:style w:type="character" w:customStyle="1" w:styleId="CommentSubjectChar">
    <w:name w:val="Comment Subject Char"/>
    <w:basedOn w:val="CommentTextChar"/>
    <w:link w:val="CommentSubject"/>
    <w:uiPriority w:val="99"/>
    <w:semiHidden/>
    <w:rsid w:val="00DF653E"/>
    <w:rPr>
      <w:rFonts w:ascii="Times New Roman" w:hAnsi="Times New Roman" w:cs="Times New Roman"/>
      <w:b/>
      <w:bCs/>
      <w:sz w:val="20"/>
      <w:szCs w:val="20"/>
    </w:rPr>
  </w:style>
  <w:style w:type="paragraph" w:customStyle="1" w:styleId="DocID">
    <w:name w:val="DocID"/>
    <w:basedOn w:val="Normal"/>
    <w:qFormat/>
    <w:rsid w:val="00DA0C90"/>
    <w:rPr>
      <w:szCs w:val="16"/>
    </w:rPr>
  </w:style>
  <w:style w:type="paragraph" w:styleId="FootnoteText">
    <w:name w:val="footnote text"/>
    <w:basedOn w:val="Normal"/>
    <w:link w:val="FootnoteTextChar"/>
    <w:uiPriority w:val="99"/>
    <w:unhideWhenUsed/>
    <w:rsid w:val="00932AF8"/>
    <w:pPr>
      <w:suppressAutoHyphens w:val="0"/>
    </w:pPr>
    <w:rPr>
      <w:rFonts w:eastAsia="Calibri"/>
      <w:szCs w:val="20"/>
    </w:rPr>
  </w:style>
  <w:style w:type="character" w:customStyle="1" w:styleId="FootnoteTextChar">
    <w:name w:val="Footnote Text Char"/>
    <w:basedOn w:val="DefaultParagraphFont"/>
    <w:link w:val="FootnoteText"/>
    <w:uiPriority w:val="99"/>
    <w:rsid w:val="00932AF8"/>
    <w:rPr>
      <w:rFonts w:ascii="Aptos" w:eastAsia="Calibri" w:hAnsi="Aptos" w:cs="Times New Roman"/>
      <w:sz w:val="16"/>
      <w:szCs w:val="20"/>
    </w:rPr>
  </w:style>
  <w:style w:type="character" w:styleId="FootnoteReference">
    <w:name w:val="footnote reference"/>
    <w:basedOn w:val="DefaultParagraphFont"/>
    <w:uiPriority w:val="99"/>
    <w:unhideWhenUsed/>
    <w:rsid w:val="00AB44E1"/>
    <w:rPr>
      <w:vertAlign w:val="superscript"/>
    </w:rPr>
  </w:style>
  <w:style w:type="table" w:customStyle="1" w:styleId="TableGrid1">
    <w:name w:val="Table Grid1"/>
    <w:basedOn w:val="TableNormal"/>
    <w:next w:val="TableGrid"/>
    <w:uiPriority w:val="39"/>
    <w:rsid w:val="00AB44E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31C8"/>
    <w:rPr>
      <w:color w:val="467886" w:themeColor="hyperlink"/>
      <w:u w:val="single"/>
    </w:rPr>
  </w:style>
  <w:style w:type="character" w:customStyle="1" w:styleId="ListParagraphChar">
    <w:name w:val="List Paragraph Char"/>
    <w:basedOn w:val="DefaultParagraphFont"/>
    <w:link w:val="ListParagraph"/>
    <w:uiPriority w:val="34"/>
    <w:rsid w:val="00A25460"/>
    <w:rPr>
      <w:rFonts w:ascii="Times New Roman" w:hAnsi="Times New Roman" w:cs="Times New Roman"/>
      <w:sz w:val="24"/>
      <w:szCs w:val="24"/>
    </w:rPr>
  </w:style>
  <w:style w:type="paragraph" w:styleId="Revision">
    <w:name w:val="Revision"/>
    <w:hidden/>
    <w:uiPriority w:val="99"/>
    <w:semiHidden/>
    <w:rsid w:val="00762007"/>
    <w:pPr>
      <w:spacing w:after="0" w:line="240" w:lineRule="auto"/>
    </w:pPr>
    <w:rPr>
      <w:rFonts w:ascii="Aptos" w:hAnsi="Aptos" w:cs="Times New Roman"/>
      <w:sz w:val="16"/>
      <w:szCs w:val="24"/>
    </w:rPr>
  </w:style>
  <w:style w:type="character" w:styleId="UnresolvedMention">
    <w:name w:val="Unresolved Mention"/>
    <w:basedOn w:val="DefaultParagraphFont"/>
    <w:uiPriority w:val="99"/>
    <w:semiHidden/>
    <w:unhideWhenUsed/>
    <w:rsid w:val="00E74455"/>
    <w:rPr>
      <w:color w:val="605E5C"/>
      <w:shd w:val="clear" w:color="auto" w:fill="E1DFDD"/>
    </w:rPr>
  </w:style>
  <w:style w:type="character" w:styleId="FollowedHyperlink">
    <w:name w:val="FollowedHyperlink"/>
    <w:basedOn w:val="DefaultParagraphFont"/>
    <w:uiPriority w:val="99"/>
    <w:semiHidden/>
    <w:unhideWhenUsed/>
    <w:rsid w:val="00D015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6134">
      <w:bodyDiv w:val="1"/>
      <w:marLeft w:val="0"/>
      <w:marRight w:val="0"/>
      <w:marTop w:val="0"/>
      <w:marBottom w:val="0"/>
      <w:divBdr>
        <w:top w:val="none" w:sz="0" w:space="0" w:color="auto"/>
        <w:left w:val="none" w:sz="0" w:space="0" w:color="auto"/>
        <w:bottom w:val="none" w:sz="0" w:space="0" w:color="auto"/>
        <w:right w:val="none" w:sz="0" w:space="0" w:color="auto"/>
      </w:divBdr>
    </w:div>
    <w:div w:id="214292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s://winchesterhospital.org/-/media/files/winchester/winchester-community-benefits/wh-2025-community-health-needs-assessment.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pmc.ncbi.nlm.nih.gov/articles/PMC12537103/" TargetMode="External"/><Relationship Id="rId18" Type="http://schemas.openxmlformats.org/officeDocument/2006/relationships/hyperlink" Target="https://pmc.ncbi.nlm.nih.gov/articles/PMC9322671/" TargetMode="External"/><Relationship Id="rId26" Type="http://schemas.openxmlformats.org/officeDocument/2006/relationships/hyperlink" Target="https://europepmc.org/article/NBK/nbk559274" TargetMode="External"/><Relationship Id="rId39" Type="http://schemas.openxmlformats.org/officeDocument/2006/relationships/hyperlink" Target="https://www.cancer.org/cancer/types/colon-rectal-cancer/detection-diagnosis-staging/acs-recommendations.html" TargetMode="External"/><Relationship Id="rId21" Type="http://schemas.openxmlformats.org/officeDocument/2006/relationships/hyperlink" Target="https://www.cancer.org/cancer/diagnosis-staging/tests/endoscopy/upperendoscopy.html" TargetMode="External"/><Relationship Id="rId34" Type="http://schemas.openxmlformats.org/officeDocument/2006/relationships/hyperlink" Target="https://www.cancer.org/content/dam/cancer-org/research/cancer-facts-and-statistics/annual-cancer-facts-and-figures/2025/sd3-21-cancers-by-state-2025.pdf" TargetMode="External"/><Relationship Id="rId42" Type="http://schemas.openxmlformats.org/officeDocument/2006/relationships/hyperlink" Target="https://www.cancer.org/cancer/types/cancer-in-youngadults/key-statistics.html" TargetMode="External"/><Relationship Id="rId47" Type="http://schemas.openxmlformats.org/officeDocument/2006/relationships/hyperlink" Target="https://www.cancer.gov/news-events/cancer-currents-blog/2022/positive-fit-stool-test-colonoscopy" TargetMode="External"/><Relationship Id="rId50" Type="http://schemas.openxmlformats.org/officeDocument/2006/relationships/hyperlink" Target="https://divisionofresearch.kaiserpermanente.org/delay-after-positive-fecal-test/" TargetMode="External"/><Relationship Id="rId55" Type="http://schemas.openxmlformats.org/officeDocument/2006/relationships/hyperlink" Target="https://pmc.ncbi.nlm.nih.gov/articles/PMC7153807/" TargetMode="External"/><Relationship Id="rId7" Type="http://schemas.openxmlformats.org/officeDocument/2006/relationships/hyperlink" Target="https://donahue.umass.edu/business-groups/economic-public-policy-research/massachusetts-population-estimates-program/population-projections" TargetMode="External"/><Relationship Id="rId2" Type="http://schemas.openxmlformats.org/officeDocument/2006/relationships/hyperlink" Target="https://www.cancerresearch.org/blog/colorectal-cancer-awareness-month" TargetMode="External"/><Relationship Id="rId16" Type="http://schemas.openxmlformats.org/officeDocument/2006/relationships/hyperlink" Target="https://www.mayoclinic.org/tests-procedures/endoscopy/about/pac-20395197" TargetMode="External"/><Relationship Id="rId29" Type="http://schemas.openxmlformats.org/officeDocument/2006/relationships/hyperlink" Target="https://www.cancer.org/cancer/types/colon-rectal-cancer/detection-diagnosis-staging/screening-tests-used.html" TargetMode="External"/><Relationship Id="rId11" Type="http://schemas.openxmlformats.org/officeDocument/2006/relationships/hyperlink" Target="https://nccrt.org/our-impact/80-in-every-community/" TargetMode="External"/><Relationship Id="rId24" Type="http://schemas.openxmlformats.org/officeDocument/2006/relationships/hyperlink" Target="https://www.veteranshealthlibrary.va.gov/Encyclopedia/3,82149" TargetMode="External"/><Relationship Id="rId32" Type="http://schemas.openxmlformats.org/officeDocument/2006/relationships/hyperlink" Target="https://www.cancer.gov/types/colorectal/screening-fact-sheet" TargetMode="External"/><Relationship Id="rId37" Type="http://schemas.openxmlformats.org/officeDocument/2006/relationships/hyperlink" Target="https://naturopathic.org/news/672625/Colorectal-Cancer-Cases-have-Tripled-in-Teensand-Jumped-by-500-in-Kids.-What-you-Need-to-Know.htm" TargetMode="External"/><Relationship Id="rId40" Type="http://schemas.openxmlformats.org/officeDocument/2006/relationships/hyperlink" Target="https://www.cancer.org/cancer/types/colon-rectal-cancer/detection-diagnosis-staging/acs-recommendations.html" TargetMode="External"/><Relationship Id="rId45" Type="http://schemas.openxmlformats.org/officeDocument/2006/relationships/hyperlink" Target="https://www.nejm.org/doi/full/10.1056/NEJMoa2208375" TargetMode="External"/><Relationship Id="rId53" Type="http://schemas.openxmlformats.org/officeDocument/2006/relationships/hyperlink" Target="https://pmc.ncbi.nlm.nih.gov/articles/PMC10242305/" TargetMode="External"/><Relationship Id="rId58" Type="http://schemas.openxmlformats.org/officeDocument/2006/relationships/hyperlink" Target="https://www.nature.com/articles/s41467-024-54444-2" TargetMode="External"/><Relationship Id="rId5" Type="http://schemas.openxmlformats.org/officeDocument/2006/relationships/hyperlink" Target="https://www.health.harvard.edu/blog/how-well-do-colonoscopies-prevent-colorectal-cancer-what-you-need-to-know-202210182834" TargetMode="External"/><Relationship Id="rId61" Type="http://schemas.openxmlformats.org/officeDocument/2006/relationships/hyperlink" Target="https://pmc.ncbi.nlm.nih.gov/articles/PMC11134650/" TargetMode="External"/><Relationship Id="rId19" Type="http://schemas.openxmlformats.org/officeDocument/2006/relationships/hyperlink" Target="https://pmc.ncbi.nlm.nih.gov/articles/PMC9322671/" TargetMode="External"/><Relationship Id="rId14" Type="http://schemas.openxmlformats.org/officeDocument/2006/relationships/hyperlink" Target="https://my.clevelandclinic.org/health/diagnostics/25126-endoscopy" TargetMode="External"/><Relationship Id="rId22" Type="http://schemas.openxmlformats.org/officeDocument/2006/relationships/hyperlink" Target="https://my.clevelandclinic.org/health/procedures/22549-egd-procedureupper-endoscopy" TargetMode="External"/><Relationship Id="rId27" Type="http://schemas.openxmlformats.org/officeDocument/2006/relationships/hyperlink" Target="https://www.cancer.org/cancer/types/colon-rectal-cancer/about/key-statistics.html." TargetMode="External"/><Relationship Id="rId30" Type="http://schemas.openxmlformats.org/officeDocument/2006/relationships/hyperlink" Target="https://www.cancer.org/cancer/types/colon-rectal-cancer/detection-diagnosis-staging/screening-tests-used.html" TargetMode="External"/><Relationship Id="rId35" Type="http://schemas.openxmlformats.org/officeDocument/2006/relationships/hyperlink" Target="https://www.cancer.org/cancer/types/cancer-in-youngadults/prevention.html" TargetMode="External"/><Relationship Id="rId43" Type="http://schemas.openxmlformats.org/officeDocument/2006/relationships/hyperlink" Target="https://www.cdc.gov/pcd/issues/2022/22_0001.htm" TargetMode="External"/><Relationship Id="rId48" Type="http://schemas.openxmlformats.org/officeDocument/2006/relationships/hyperlink" Target="https://www.cancer.gov/news-events/cancer-currents-blog/2022/positive-fit-stool-test-colonoscopy" TargetMode="External"/><Relationship Id="rId56" Type="http://schemas.openxmlformats.org/officeDocument/2006/relationships/hyperlink" Target="https://pmc.ncbi.nlm.nih.gov/articles/PMC7153807/" TargetMode="External"/><Relationship Id="rId8" Type="http://schemas.openxmlformats.org/officeDocument/2006/relationships/hyperlink" Target="https://www.cancer.org/cancer/types/colon-rectal-cancer/detection-diagnosis-staging/acs-recommendations.html" TargetMode="External"/><Relationship Id="rId51" Type="http://schemas.openxmlformats.org/officeDocument/2006/relationships/hyperlink" Target="https://pubmed.ncbi.nlm.nih.gov/32212093/" TargetMode="External"/><Relationship Id="rId3" Type="http://schemas.openxmlformats.org/officeDocument/2006/relationships/hyperlink" Target="http://www.cancer.org/content/dam/cancer-org/research/cancer-facts-and-statistics/annual-cancer-facts-and-figures/2025/2025-cancer-facts-and-figures-acs.pdf" TargetMode="External"/><Relationship Id="rId12" Type="http://schemas.openxmlformats.org/officeDocument/2006/relationships/hyperlink" Target="https://pmc.ncbi.nlm.nih.gov/articles/PMC12537103/" TargetMode="External"/><Relationship Id="rId17" Type="http://schemas.openxmlformats.org/officeDocument/2006/relationships/hyperlink" Target="https://www.mayoclinic.org/tests-procedures/endoscopy/about/pac-20395197" TargetMode="External"/><Relationship Id="rId25" Type="http://schemas.openxmlformats.org/officeDocument/2006/relationships/hyperlink" Target="https://europepmc.org/article/NBK/nbk559274" TargetMode="External"/><Relationship Id="rId33" Type="http://schemas.openxmlformats.org/officeDocument/2006/relationships/hyperlink" Target="https://www.cancer.org/content/dam/cancer-org/research/cancer-facts-and-statistics/annual-cancer-facts-and-figures/2025/sd3-21-cancers-by-state-2025.pdf" TargetMode="External"/><Relationship Id="rId38" Type="http://schemas.openxmlformats.org/officeDocument/2006/relationships/hyperlink" Target="https://naturopathic.org/news/672625/Colorectal-Cancer-Cases-have-Tripled-in-Teensand-Jumped-by-500-in-Kids.-What-you-Need-to-Know.htm" TargetMode="External"/><Relationship Id="rId46" Type="http://schemas.openxmlformats.org/officeDocument/2006/relationships/hyperlink" Target="https://www.nejm.org/doi/full/10.1056/NEJMoa2208375" TargetMode="External"/><Relationship Id="rId59" Type="http://schemas.openxmlformats.org/officeDocument/2006/relationships/hyperlink" Target="https://www.nature.com/articles/s41467-024-54444-2" TargetMode="External"/><Relationship Id="rId20" Type="http://schemas.openxmlformats.org/officeDocument/2006/relationships/hyperlink" Target="https://www.cancer.org/cancer/diagnosis-staging/tests/endoscopy/upperendoscopy.html" TargetMode="External"/><Relationship Id="rId41" Type="http://schemas.openxmlformats.org/officeDocument/2006/relationships/hyperlink" Target="https://www.cancer.org/cancer/types/cancer-in-youngadults/key-statistics.html" TargetMode="External"/><Relationship Id="rId54" Type="http://schemas.openxmlformats.org/officeDocument/2006/relationships/hyperlink" Target="https://pmc.ncbi.nlm.nih.gov/articles/PMC10242305/" TargetMode="External"/><Relationship Id="rId1" Type="http://schemas.openxmlformats.org/officeDocument/2006/relationships/hyperlink" Target="https://www.cancerresearch.org/blog/colorectal-cancer-awareness-month" TargetMode="External"/><Relationship Id="rId6" Type="http://schemas.openxmlformats.org/officeDocument/2006/relationships/hyperlink" Target="https://www.health.harvard.edu/blog/how-well-do-colonoscopies-prevent-colorectal-cancer-what-you-need-to-know-202210182834" TargetMode="External"/><Relationship Id="rId15" Type="http://schemas.openxmlformats.org/officeDocument/2006/relationships/hyperlink" Target="https://my.clevelandclinic.org/health/diagnostics/25126-endoscopy" TargetMode="External"/><Relationship Id="rId23" Type="http://schemas.openxmlformats.org/officeDocument/2006/relationships/hyperlink" Target="https://www.veteranshealthlibrary.va.gov/Encyclopedia/3,82149" TargetMode="External"/><Relationship Id="rId28" Type="http://schemas.openxmlformats.org/officeDocument/2006/relationships/hyperlink" Target="https://www.cancer.org/cancer/types/colon-rectal-cancer/about/key-statistics.html" TargetMode="External"/><Relationship Id="rId36" Type="http://schemas.openxmlformats.org/officeDocument/2006/relationships/hyperlink" Target="https://www.cancer.org/cancer/types/cancer-in-youngadults/prevention.html" TargetMode="External"/><Relationship Id="rId49" Type="http://schemas.openxmlformats.org/officeDocument/2006/relationships/hyperlink" Target="https://divisionofresearch.kaiserpermanente.org/delay-after-positive-fecal-test/" TargetMode="External"/><Relationship Id="rId57" Type="http://schemas.openxmlformats.org/officeDocument/2006/relationships/hyperlink" Target="https://www.americashealthrankings.org/explore/measures/colorectal_cancer_screening/MA" TargetMode="External"/><Relationship Id="rId10" Type="http://schemas.openxmlformats.org/officeDocument/2006/relationships/hyperlink" Target="https://nccrt.org/our-impact/80-in-every-community/" TargetMode="External"/><Relationship Id="rId31" Type="http://schemas.openxmlformats.org/officeDocument/2006/relationships/hyperlink" Target="https://www.cancer.gov/types/colorectal/screening-fact-sheet" TargetMode="External"/><Relationship Id="rId44" Type="http://schemas.openxmlformats.org/officeDocument/2006/relationships/hyperlink" Target="https://www.cdc.gov/pcd/issues/2022/22_0001.htm" TargetMode="External"/><Relationship Id="rId52" Type="http://schemas.openxmlformats.org/officeDocument/2006/relationships/hyperlink" Target="https://pubmed.ncbi.nlm.nih.gov/32212093/" TargetMode="External"/><Relationship Id="rId60" Type="http://schemas.openxmlformats.org/officeDocument/2006/relationships/hyperlink" Target="https://pmc.ncbi.nlm.nih.gov/articles/PMC11134650/" TargetMode="External"/><Relationship Id="rId4" Type="http://schemas.openxmlformats.org/officeDocument/2006/relationships/hyperlink" Target="http://www.cancer.org/content/dam/cancer-org/research/cancer-facts-and-statistics/annual-cancer-facts-and-figures/2025/2025-cancer-facts-and-figures-acs.pdf" TargetMode="External"/><Relationship Id="rId9" Type="http://schemas.openxmlformats.org/officeDocument/2006/relationships/hyperlink" Target="https://www.cancer.org/cancer/types/colon-rectal-cancer/detection-diagnosis-staging/acs-recommend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25BFB-3CB8-493B-BBA2-A4185796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24</Pages>
  <Words>9730</Words>
  <Characters>55461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Taylor</dc:creator>
  <cp:keywords/>
  <dc:description/>
  <cp:lastModifiedBy>Marks, Brett (DPH)</cp:lastModifiedBy>
  <cp:revision>29</cp:revision>
  <dcterms:created xsi:type="dcterms:W3CDTF">2025-12-12T15:29:00Z</dcterms:created>
  <dcterms:modified xsi:type="dcterms:W3CDTF">2025-12-23T20:02:00Z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4909-7699-1861.7</vt:lpwstr>
  </property>
  <property fmtid="{D5CDD505-2E9C-101B-9397-08002B2CF9AE}" pid="3" name="DocXFormat">
    <vt:lpwstr>HB DocID w/ver w/HB Label</vt:lpwstr>
  </property>
  <property fmtid="{D5CDD505-2E9C-101B-9397-08002B2CF9AE}" pid="4" name="DocXLocation">
    <vt:lpwstr>NoDocId</vt:lpwstr>
  </property>
  <property fmtid="{D5CDD505-2E9C-101B-9397-08002B2CF9AE}" pid="5" name="ndDocumentId">
    <vt:lpwstr>4909-7699-1861</vt:lpwstr>
  </property>
</Properties>
</file>