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A49E" w14:textId="77777777" w:rsidR="006B6340" w:rsidRDefault="006B6340" w:rsidP="003938FD">
      <w:pPr>
        <w:jc w:val="center"/>
        <w:rPr>
          <w:b/>
          <w:iCs/>
          <w:sz w:val="28"/>
          <w:szCs w:val="28"/>
        </w:rPr>
      </w:pPr>
    </w:p>
    <w:p w14:paraId="46C7657B" w14:textId="77777777" w:rsidR="006B6340" w:rsidRPr="006B6340" w:rsidRDefault="006B6340" w:rsidP="006B6340">
      <w:pPr>
        <w:rPr>
          <w:sz w:val="28"/>
          <w:szCs w:val="28"/>
        </w:rPr>
      </w:pPr>
    </w:p>
    <w:p w14:paraId="3A92DAC7" w14:textId="77777777" w:rsidR="006B6340" w:rsidRPr="006B6340" w:rsidRDefault="006B6340" w:rsidP="006B6340">
      <w:pPr>
        <w:rPr>
          <w:sz w:val="28"/>
          <w:szCs w:val="28"/>
        </w:rPr>
      </w:pPr>
    </w:p>
    <w:p w14:paraId="5DE0A9F2" w14:textId="77777777" w:rsidR="006B6340" w:rsidRPr="006B6340" w:rsidRDefault="006B6340" w:rsidP="006B6340">
      <w:pPr>
        <w:rPr>
          <w:sz w:val="28"/>
          <w:szCs w:val="28"/>
        </w:rPr>
      </w:pPr>
    </w:p>
    <w:p w14:paraId="6F1FDBCB" w14:textId="77777777" w:rsidR="006B6340" w:rsidRPr="006B6340" w:rsidRDefault="006B6340" w:rsidP="006B6340">
      <w:pPr>
        <w:rPr>
          <w:sz w:val="28"/>
          <w:szCs w:val="28"/>
        </w:rPr>
      </w:pPr>
    </w:p>
    <w:p w14:paraId="119FDB3D" w14:textId="77777777" w:rsidR="006B6340" w:rsidRPr="006B6340" w:rsidRDefault="006B6340" w:rsidP="006B6340">
      <w:pPr>
        <w:rPr>
          <w:sz w:val="28"/>
          <w:szCs w:val="28"/>
        </w:rPr>
      </w:pPr>
    </w:p>
    <w:p w14:paraId="6F47775C" w14:textId="77777777" w:rsidR="006B6340" w:rsidRPr="006B6340" w:rsidRDefault="006B6340" w:rsidP="006B6340">
      <w:pPr>
        <w:rPr>
          <w:sz w:val="28"/>
          <w:szCs w:val="28"/>
        </w:rPr>
      </w:pPr>
    </w:p>
    <w:p w14:paraId="56E4345C" w14:textId="77777777" w:rsidR="006B6340" w:rsidRPr="006B6340" w:rsidRDefault="006B6340" w:rsidP="006B6340">
      <w:pPr>
        <w:rPr>
          <w:sz w:val="28"/>
          <w:szCs w:val="28"/>
        </w:rPr>
      </w:pPr>
    </w:p>
    <w:p w14:paraId="67EB827C" w14:textId="77777777" w:rsidR="006B6340" w:rsidRDefault="006B6340" w:rsidP="006B6340">
      <w:pPr>
        <w:rPr>
          <w:b/>
          <w:iCs/>
          <w:sz w:val="28"/>
          <w:szCs w:val="28"/>
        </w:rPr>
      </w:pPr>
    </w:p>
    <w:p w14:paraId="16212F02" w14:textId="6DB67EB8" w:rsidR="006B6340" w:rsidRDefault="006B6340" w:rsidP="006B6340">
      <w:pPr>
        <w:tabs>
          <w:tab w:val="left" w:pos="4089"/>
        </w:tabs>
        <w:rPr>
          <w:b/>
          <w:iCs/>
          <w:sz w:val="28"/>
          <w:szCs w:val="28"/>
        </w:rPr>
      </w:pPr>
      <w:r>
        <w:rPr>
          <w:b/>
          <w:iCs/>
          <w:sz w:val="28"/>
          <w:szCs w:val="28"/>
        </w:rPr>
        <w:tab/>
        <w:t>NARRATIVE</w:t>
      </w:r>
    </w:p>
    <w:p w14:paraId="3D774415" w14:textId="12152351" w:rsidR="006B6340" w:rsidRPr="006B6340" w:rsidRDefault="006B6340" w:rsidP="006B6340">
      <w:pPr>
        <w:tabs>
          <w:tab w:val="left" w:pos="4089"/>
        </w:tabs>
        <w:rPr>
          <w:sz w:val="28"/>
          <w:szCs w:val="28"/>
        </w:rPr>
        <w:sectPr w:rsidR="006B6340" w:rsidRPr="006B6340" w:rsidSect="00B174F1">
          <w:headerReference w:type="even" r:id="rId9"/>
          <w:footerReference w:type="even" r:id="rId10"/>
          <w:footerReference w:type="default" r:id="rId11"/>
          <w:pgSz w:w="12240" w:h="15840" w:code="1"/>
          <w:pgMar w:top="806" w:right="1224" w:bottom="1080" w:left="1224" w:header="720" w:footer="302" w:gutter="0"/>
          <w:cols w:space="720"/>
        </w:sectPr>
      </w:pPr>
      <w:r>
        <w:rPr>
          <w:sz w:val="28"/>
          <w:szCs w:val="28"/>
        </w:rPr>
        <w:tab/>
      </w:r>
    </w:p>
    <w:p w14:paraId="408C4888" w14:textId="0F073FCE" w:rsidR="003938FD" w:rsidRDefault="003938FD" w:rsidP="003938FD">
      <w:pPr>
        <w:jc w:val="center"/>
        <w:rPr>
          <w:b/>
          <w:iCs/>
          <w:sz w:val="28"/>
          <w:szCs w:val="28"/>
        </w:rPr>
      </w:pPr>
      <w:r>
        <w:rPr>
          <w:b/>
          <w:iCs/>
          <w:sz w:val="28"/>
          <w:szCs w:val="28"/>
        </w:rPr>
        <w:lastRenderedPageBreak/>
        <w:t>DETERMINATION OF NEED APPLICATION #</w:t>
      </w:r>
      <w:r w:rsidR="0094420A" w:rsidRPr="0094420A">
        <w:rPr>
          <w:b/>
          <w:iCs/>
          <w:sz w:val="28"/>
          <w:szCs w:val="28"/>
        </w:rPr>
        <w:t>Atrius Health, Inc. -22101711-RE</w:t>
      </w:r>
    </w:p>
    <w:p w14:paraId="34D11772" w14:textId="4A1FC9C4" w:rsidR="00630265" w:rsidRPr="003938FD" w:rsidRDefault="00CC2CD3" w:rsidP="00884312">
      <w:pPr>
        <w:jc w:val="center"/>
        <w:rPr>
          <w:b/>
          <w:iCs/>
          <w:sz w:val="28"/>
          <w:szCs w:val="28"/>
        </w:rPr>
      </w:pPr>
      <w:r w:rsidRPr="003938FD">
        <w:rPr>
          <w:b/>
          <w:iCs/>
          <w:sz w:val="28"/>
          <w:szCs w:val="28"/>
        </w:rPr>
        <w:t>NARRATIVE</w:t>
      </w:r>
    </w:p>
    <w:p w14:paraId="547D442F" w14:textId="77777777" w:rsidR="002343B8" w:rsidRPr="002343B8" w:rsidRDefault="002343B8" w:rsidP="002343B8">
      <w:pPr>
        <w:rPr>
          <w:sz w:val="28"/>
          <w:szCs w:val="28"/>
        </w:rPr>
      </w:pPr>
    </w:p>
    <w:p w14:paraId="64AD9BC2" w14:textId="07154F2F" w:rsidR="002343B8" w:rsidRPr="00B174F1" w:rsidRDefault="002343B8" w:rsidP="00E5334D">
      <w:pPr>
        <w:pStyle w:val="ListParagraph"/>
        <w:numPr>
          <w:ilvl w:val="0"/>
          <w:numId w:val="15"/>
        </w:numPr>
        <w:ind w:left="360"/>
        <w:rPr>
          <w:rFonts w:ascii="Times New Roman" w:hAnsi="Times New Roman" w:cs="Times New Roman"/>
          <w:b/>
          <w:sz w:val="24"/>
          <w:szCs w:val="24"/>
        </w:rPr>
      </w:pPr>
      <w:r w:rsidRPr="00B174F1">
        <w:rPr>
          <w:b/>
          <w:sz w:val="24"/>
          <w:szCs w:val="24"/>
        </w:rPr>
        <w:t>Project Description</w:t>
      </w:r>
    </w:p>
    <w:p w14:paraId="733D55C3" w14:textId="3BF13C86" w:rsidR="00864281" w:rsidRDefault="00864281" w:rsidP="00E5334D">
      <w:pPr>
        <w:ind w:left="360"/>
        <w:jc w:val="both"/>
      </w:pPr>
      <w:r>
        <w:t>The Applicant is Atrius Health, Inc.</w:t>
      </w:r>
      <w:r w:rsidR="005E5D0C">
        <w:t xml:space="preserve">  The Applicant</w:t>
      </w:r>
      <w:r>
        <w:t xml:space="preserve"> and its affiliate, Atrius MSO</w:t>
      </w:r>
      <w:r w:rsidR="005E5D0C">
        <w:t xml:space="preserve">, LLC </w:t>
      </w:r>
      <w:r>
        <w:t>own and operate 30 medical practice locations in Massachusetts.  Atrius Health, Inc. is a Massachusetts nonprofit multi-specialty medical group practice organized under M.G.L. c. 180 that holds the clinic and satellite licenses for its locations licensed by</w:t>
      </w:r>
      <w:r w:rsidR="00945768">
        <w:t xml:space="preserve"> </w:t>
      </w:r>
      <w:bookmarkStart w:id="0" w:name="_BPDCD_5"/>
      <w:r w:rsidR="00945768" w:rsidRPr="00307942">
        <w:t xml:space="preserve">the </w:t>
      </w:r>
      <w:bookmarkStart w:id="1" w:name="_BPDCI_6"/>
      <w:bookmarkEnd w:id="0"/>
      <w:r w:rsidR="00945768" w:rsidRPr="00307942">
        <w:t>Massachusetts Department of Public Health (</w:t>
      </w:r>
      <w:r w:rsidRPr="00307942">
        <w:t>DPH</w:t>
      </w:r>
      <w:r w:rsidR="00945768" w:rsidRPr="00307942">
        <w:t>)</w:t>
      </w:r>
      <w:r w:rsidRPr="00307942">
        <w:t xml:space="preserve"> </w:t>
      </w:r>
      <w:bookmarkEnd w:id="1"/>
      <w:r>
        <w:t>under M.G.L. c. 111 s. 51 and is a</w:t>
      </w:r>
      <w:r w:rsidR="00945768">
        <w:t xml:space="preserve"> </w:t>
      </w:r>
      <w:bookmarkStart w:id="2" w:name="_BPDCI_7"/>
      <w:r w:rsidR="00945768" w:rsidRPr="00307942">
        <w:t>Massachusetts</w:t>
      </w:r>
      <w:r w:rsidRPr="00307942">
        <w:t xml:space="preserve"> </w:t>
      </w:r>
      <w:bookmarkEnd w:id="2"/>
      <w:r>
        <w:t>Health Policy Commission</w:t>
      </w:r>
      <w:r w:rsidR="00945768">
        <w:t xml:space="preserve"> </w:t>
      </w:r>
      <w:bookmarkStart w:id="3" w:name="_BPDCI_8"/>
      <w:r w:rsidR="00945768" w:rsidRPr="00307942">
        <w:t>(HPC)</w:t>
      </w:r>
      <w:r w:rsidRPr="00307942">
        <w:t xml:space="preserve"> </w:t>
      </w:r>
      <w:bookmarkEnd w:id="3"/>
      <w:r>
        <w:t>Certified</w:t>
      </w:r>
      <w:r w:rsidR="00021F0D">
        <w:t xml:space="preserve"> </w:t>
      </w:r>
      <w:bookmarkStart w:id="4" w:name="_BPDCD_9"/>
      <w:r w:rsidR="00021F0D" w:rsidRPr="00307942">
        <w:t>Accountable Car</w:t>
      </w:r>
      <w:r w:rsidR="00D141F2">
        <w:t xml:space="preserve">e </w:t>
      </w:r>
      <w:r w:rsidR="00021F0D" w:rsidRPr="00307942">
        <w:t>Organization</w:t>
      </w:r>
      <w:r w:rsidRPr="00307942">
        <w:t xml:space="preserve"> </w:t>
      </w:r>
      <w:r w:rsidR="00021F0D" w:rsidRPr="00307942">
        <w:t>(</w:t>
      </w:r>
      <w:r w:rsidRPr="00307942">
        <w:t>ACO</w:t>
      </w:r>
      <w:r w:rsidR="00021F0D" w:rsidRPr="00307942">
        <w:t>)</w:t>
      </w:r>
      <w:r w:rsidRPr="00307942">
        <w:t xml:space="preserve">.  Atrius </w:t>
      </w:r>
      <w:bookmarkEnd w:id="4"/>
      <w:r>
        <w:t>MSO, LLC provides administrative and support services to Atrius Health, Inc. under an administrative services agreement.</w:t>
      </w:r>
    </w:p>
    <w:p w14:paraId="13101673" w14:textId="36454460" w:rsidR="0067083C" w:rsidRDefault="0067083C" w:rsidP="00E5334D">
      <w:pPr>
        <w:ind w:left="360"/>
        <w:jc w:val="both"/>
        <w:rPr>
          <w:rFonts w:ascii="Calibri" w:hAnsi="Calibri" w:cs="Calibri"/>
        </w:rPr>
      </w:pPr>
      <w:r w:rsidRPr="00AE2597">
        <w:rPr>
          <w:rFonts w:ascii="Calibri" w:hAnsi="Calibri" w:cs="Calibri"/>
        </w:rPr>
        <w:t xml:space="preserve">In 2016, </w:t>
      </w:r>
      <w:r w:rsidR="003938FD">
        <w:rPr>
          <w:rFonts w:ascii="Calibri" w:hAnsi="Calibri" w:cs="Calibri"/>
        </w:rPr>
        <w:t xml:space="preserve">Atrius Health acquired </w:t>
      </w:r>
      <w:r w:rsidRPr="00AE2597">
        <w:rPr>
          <w:rFonts w:ascii="Calibri" w:hAnsi="Calibri" w:cs="Calibri"/>
        </w:rPr>
        <w:t>PMG Physician Associates</w:t>
      </w:r>
      <w:r w:rsidR="002466AB">
        <w:rPr>
          <w:rFonts w:ascii="Calibri" w:hAnsi="Calibri" w:cs="Calibri"/>
        </w:rPr>
        <w:t xml:space="preserve"> (“PMG”)</w:t>
      </w:r>
      <w:r w:rsidRPr="00AE2597">
        <w:rPr>
          <w:rFonts w:ascii="Calibri" w:hAnsi="Calibri" w:cs="Calibri"/>
        </w:rPr>
        <w:t xml:space="preserve">, </w:t>
      </w:r>
      <w:bookmarkStart w:id="5" w:name="_BPDCI_10"/>
      <w:r w:rsidR="00945768" w:rsidRPr="00307942">
        <w:t xml:space="preserve">a medical practice </w:t>
      </w:r>
      <w:bookmarkEnd w:id="5"/>
      <w:r w:rsidRPr="00307942">
        <w:t>with</w:t>
      </w:r>
      <w:r w:rsidRPr="00AE2597">
        <w:rPr>
          <w:rFonts w:ascii="Calibri" w:hAnsi="Calibri" w:cs="Calibri"/>
        </w:rPr>
        <w:t xml:space="preserve"> </w:t>
      </w:r>
      <w:r w:rsidR="008564B2">
        <w:rPr>
          <w:rFonts w:ascii="Calibri" w:hAnsi="Calibri" w:cs="Calibri"/>
        </w:rPr>
        <w:t xml:space="preserve">seven </w:t>
      </w:r>
      <w:r w:rsidRPr="00AE2597">
        <w:rPr>
          <w:rFonts w:ascii="Calibri" w:hAnsi="Calibri" w:cs="Calibri"/>
        </w:rPr>
        <w:t>practice locations in the Plymouth region</w:t>
      </w:r>
      <w:r w:rsidRPr="00193C74">
        <w:rPr>
          <w:rFonts w:cstheme="minorHAnsi"/>
        </w:rPr>
        <w:t xml:space="preserve"> </w:t>
      </w:r>
      <w:r>
        <w:rPr>
          <w:rFonts w:cstheme="minorHAnsi"/>
        </w:rPr>
        <w:t>(</w:t>
      </w:r>
      <w:r w:rsidRPr="00090211">
        <w:rPr>
          <w:rFonts w:cstheme="minorHAnsi"/>
        </w:rPr>
        <w:t xml:space="preserve">four in Plymouth, one in Kingston, one in </w:t>
      </w:r>
      <w:r w:rsidRPr="00E5334D">
        <w:t>Duxbury</w:t>
      </w:r>
      <w:r w:rsidRPr="00090211">
        <w:rPr>
          <w:rFonts w:cstheme="minorHAnsi"/>
        </w:rPr>
        <w:t>, and one in Bourne</w:t>
      </w:r>
      <w:r>
        <w:rPr>
          <w:rFonts w:cstheme="minorHAnsi"/>
        </w:rPr>
        <w:t>)</w:t>
      </w:r>
      <w:r>
        <w:rPr>
          <w:rFonts w:ascii="Calibri" w:hAnsi="Calibri" w:cs="Calibri"/>
        </w:rPr>
        <w:t xml:space="preserve"> </w:t>
      </w:r>
      <w:r w:rsidRPr="00AE2597">
        <w:rPr>
          <w:rFonts w:ascii="Calibri" w:hAnsi="Calibri" w:cs="Calibri"/>
        </w:rPr>
        <w:t xml:space="preserve">and </w:t>
      </w:r>
      <w:r w:rsidR="003938FD">
        <w:rPr>
          <w:rFonts w:ascii="Calibri" w:hAnsi="Calibri" w:cs="Calibri"/>
        </w:rPr>
        <w:t xml:space="preserve">PMG </w:t>
      </w:r>
      <w:r w:rsidRPr="00AE2597">
        <w:rPr>
          <w:rFonts w:ascii="Calibri" w:hAnsi="Calibri" w:cs="Calibri"/>
        </w:rPr>
        <w:t>became part of Atrius Health.</w:t>
      </w:r>
      <w:r>
        <w:rPr>
          <w:rFonts w:ascii="Calibri" w:hAnsi="Calibri" w:cs="Calibri"/>
        </w:rPr>
        <w:t xml:space="preserve">  Atrius Health is in the process of consolidating</w:t>
      </w:r>
      <w:r w:rsidR="008564B2">
        <w:rPr>
          <w:rFonts w:ascii="Calibri" w:hAnsi="Calibri" w:cs="Calibri"/>
        </w:rPr>
        <w:t xml:space="preserve"> six</w:t>
      </w:r>
      <w:r w:rsidRPr="00193C74">
        <w:rPr>
          <w:rFonts w:ascii="Calibri" w:hAnsi="Calibri" w:cs="Calibri"/>
        </w:rPr>
        <w:t xml:space="preserve"> of these practice</w:t>
      </w:r>
      <w:r w:rsidR="007263AB">
        <w:rPr>
          <w:rFonts w:ascii="Calibri" w:hAnsi="Calibri" w:cs="Calibri"/>
        </w:rPr>
        <w:t xml:space="preserve"> locations</w:t>
      </w:r>
      <w:r w:rsidRPr="00193C74">
        <w:rPr>
          <w:rFonts w:ascii="Calibri" w:hAnsi="Calibri" w:cs="Calibri"/>
        </w:rPr>
        <w:t xml:space="preserve"> </w:t>
      </w:r>
      <w:r>
        <w:rPr>
          <w:rFonts w:ascii="Calibri" w:hAnsi="Calibri" w:cs="Calibri"/>
        </w:rPr>
        <w:t xml:space="preserve">(the Bourne practice </w:t>
      </w:r>
      <w:r w:rsidR="007263AB">
        <w:rPr>
          <w:rFonts w:ascii="Calibri" w:hAnsi="Calibri" w:cs="Calibri"/>
        </w:rPr>
        <w:t xml:space="preserve">location </w:t>
      </w:r>
      <w:r>
        <w:rPr>
          <w:rFonts w:ascii="Calibri" w:hAnsi="Calibri" w:cs="Calibri"/>
        </w:rPr>
        <w:t>will remain</w:t>
      </w:r>
      <w:bookmarkStart w:id="6" w:name="_BPDCD_11"/>
      <w:r w:rsidR="00945768" w:rsidRPr="00307942">
        <w:rPr>
          <w:rFonts w:ascii="Calibri" w:hAnsi="Calibri" w:cs="Calibri"/>
        </w:rPr>
        <w:t xml:space="preserve"> at its current location</w:t>
      </w:r>
      <w:r w:rsidRPr="00307942">
        <w:rPr>
          <w:rFonts w:ascii="Calibri" w:hAnsi="Calibri" w:cs="Calibri"/>
        </w:rPr>
        <w:t xml:space="preserve">)– </w:t>
      </w:r>
      <w:bookmarkEnd w:id="6"/>
      <w:r w:rsidRPr="00193C74">
        <w:rPr>
          <w:rFonts w:ascii="Calibri" w:hAnsi="Calibri" w:cs="Calibri"/>
        </w:rPr>
        <w:t xml:space="preserve">including </w:t>
      </w:r>
      <w:proofErr w:type="gramStart"/>
      <w:r w:rsidRPr="00193C74">
        <w:rPr>
          <w:rFonts w:ascii="Calibri" w:hAnsi="Calibri" w:cs="Calibri"/>
        </w:rPr>
        <w:t>all of</w:t>
      </w:r>
      <w:proofErr w:type="gramEnd"/>
      <w:r w:rsidRPr="00193C74">
        <w:rPr>
          <w:rFonts w:ascii="Calibri" w:hAnsi="Calibri" w:cs="Calibri"/>
        </w:rPr>
        <w:t xml:space="preserve"> their provider and support personnel - into a single location in Plymouth</w:t>
      </w:r>
      <w:r>
        <w:rPr>
          <w:rFonts w:ascii="Calibri" w:hAnsi="Calibri" w:cs="Calibri"/>
        </w:rPr>
        <w:t xml:space="preserve"> </w:t>
      </w:r>
      <w:r>
        <w:rPr>
          <w:rFonts w:cstheme="minorHAnsi"/>
        </w:rPr>
        <w:t>at 36 Shops at 5 Way</w:t>
      </w:r>
      <w:r w:rsidR="008564B2">
        <w:rPr>
          <w:rFonts w:cstheme="minorHAnsi"/>
        </w:rPr>
        <w:t>,</w:t>
      </w:r>
      <w:r>
        <w:rPr>
          <w:rFonts w:cstheme="minorHAnsi"/>
        </w:rPr>
        <w:t xml:space="preserve"> Plymouth, MA (the “Plymouth Practice”)</w:t>
      </w:r>
      <w:r w:rsidRPr="00090211">
        <w:rPr>
          <w:rFonts w:cstheme="minorHAnsi"/>
        </w:rPr>
        <w:t xml:space="preserve">. </w:t>
      </w:r>
      <w:r>
        <w:rPr>
          <w:rFonts w:cstheme="minorHAnsi"/>
        </w:rPr>
        <w:t xml:space="preserve"> The Plymouth Practice will be licensed as a new satellite clinic of the Atrius Health - Harvard Vanguard Medical Associates Wellesley Practice.  The construction </w:t>
      </w:r>
      <w:r w:rsidR="00A736FA">
        <w:rPr>
          <w:rFonts w:cstheme="minorHAnsi"/>
        </w:rPr>
        <w:t>plans are</w:t>
      </w:r>
      <w:r w:rsidRPr="00090211">
        <w:rPr>
          <w:rFonts w:cstheme="minorHAnsi"/>
        </w:rPr>
        <w:t xml:space="preserve"> concurrently under review by th</w:t>
      </w:r>
      <w:r w:rsidRPr="00307942">
        <w:rPr>
          <w:rFonts w:ascii="Calibri" w:hAnsi="Calibri" w:cs="Calibri"/>
        </w:rPr>
        <w:t xml:space="preserve">e </w:t>
      </w:r>
      <w:bookmarkStart w:id="7" w:name="_BPDCI_13"/>
      <w:r w:rsidRPr="00307942">
        <w:rPr>
          <w:rFonts w:ascii="Calibri" w:hAnsi="Calibri" w:cs="Calibri"/>
        </w:rPr>
        <w:t>DPH</w:t>
      </w:r>
      <w:r w:rsidR="00A736FA" w:rsidRPr="00307942">
        <w:rPr>
          <w:rFonts w:ascii="Calibri" w:hAnsi="Calibri" w:cs="Calibri"/>
        </w:rPr>
        <w:t xml:space="preserve"> </w:t>
      </w:r>
      <w:bookmarkEnd w:id="7"/>
      <w:r w:rsidR="00A736FA" w:rsidRPr="00307942">
        <w:rPr>
          <w:rFonts w:ascii="Calibri" w:hAnsi="Calibri" w:cs="Calibri"/>
        </w:rPr>
        <w:t>Plan</w:t>
      </w:r>
      <w:r w:rsidR="00A736FA">
        <w:rPr>
          <w:rFonts w:cstheme="minorHAnsi"/>
        </w:rPr>
        <w:t xml:space="preserve"> Review Department</w:t>
      </w:r>
      <w:r w:rsidRPr="00090211">
        <w:rPr>
          <w:rFonts w:cstheme="minorHAnsi"/>
        </w:rPr>
        <w:t>.</w:t>
      </w:r>
      <w:r>
        <w:rPr>
          <w:rFonts w:cstheme="minorHAnsi"/>
        </w:rPr>
        <w:t xml:space="preserve">   </w:t>
      </w:r>
    </w:p>
    <w:p w14:paraId="28B723A2" w14:textId="77777777" w:rsidR="0067083C" w:rsidRDefault="0067083C" w:rsidP="00E5334D">
      <w:pPr>
        <w:ind w:left="360"/>
        <w:jc w:val="both"/>
        <w:rPr>
          <w:rFonts w:cstheme="minorHAnsi"/>
        </w:rPr>
      </w:pPr>
      <w:r>
        <w:rPr>
          <w:rFonts w:ascii="Calibri" w:hAnsi="Calibri" w:cs="Calibri"/>
        </w:rPr>
        <w:t>Like Atrius Health’s</w:t>
      </w:r>
      <w:r w:rsidRPr="00193C74">
        <w:rPr>
          <w:rFonts w:ascii="Calibri" w:hAnsi="Calibri" w:cs="Calibri"/>
        </w:rPr>
        <w:t xml:space="preserve"> other licensed clinic locations, the Plymouth clinic satellite will be a multispecialty practice, </w:t>
      </w:r>
      <w:r>
        <w:rPr>
          <w:rFonts w:ascii="Calibri" w:hAnsi="Calibri" w:cs="Calibri"/>
        </w:rPr>
        <w:t xml:space="preserve">offering </w:t>
      </w:r>
      <w:r w:rsidRPr="00193C74">
        <w:rPr>
          <w:rFonts w:ascii="Calibri" w:hAnsi="Calibri" w:cs="Calibri"/>
        </w:rPr>
        <w:t>a full</w:t>
      </w:r>
      <w:r>
        <w:rPr>
          <w:rFonts w:ascii="Calibri" w:hAnsi="Calibri" w:cs="Calibri"/>
        </w:rPr>
        <w:t xml:space="preserve"> range of services including internal medicine</w:t>
      </w:r>
      <w:r w:rsidR="008564B2">
        <w:rPr>
          <w:rFonts w:ascii="Calibri" w:hAnsi="Calibri" w:cs="Calibri"/>
        </w:rPr>
        <w:t>,</w:t>
      </w:r>
      <w:r w:rsidRPr="00193C74">
        <w:rPr>
          <w:rFonts w:ascii="Calibri" w:hAnsi="Calibri" w:cs="Calibri"/>
        </w:rPr>
        <w:t xml:space="preserve"> pediatrics, and various specialty and ancillary services, including </w:t>
      </w:r>
      <w:r w:rsidRPr="00E5334D">
        <w:t>pharmacy</w:t>
      </w:r>
      <w:r w:rsidRPr="00193C74">
        <w:rPr>
          <w:rFonts w:ascii="Calibri" w:hAnsi="Calibri" w:cs="Calibri"/>
        </w:rPr>
        <w:t xml:space="preserve">, </w:t>
      </w:r>
      <w:proofErr w:type="gramStart"/>
      <w:r w:rsidRPr="00193C74">
        <w:rPr>
          <w:rFonts w:ascii="Calibri" w:hAnsi="Calibri" w:cs="Calibri"/>
        </w:rPr>
        <w:t>lab</w:t>
      </w:r>
      <w:proofErr w:type="gramEnd"/>
      <w:r w:rsidRPr="00193C74">
        <w:rPr>
          <w:rFonts w:ascii="Calibri" w:hAnsi="Calibri" w:cs="Calibri"/>
        </w:rPr>
        <w:t xml:space="preserve"> and radiology.</w:t>
      </w:r>
      <w:r>
        <w:rPr>
          <w:rFonts w:ascii="Calibri" w:hAnsi="Calibri" w:cs="Calibri"/>
        </w:rPr>
        <w:t xml:space="preserve"> Atrius Health is filing this Notice for Determination of Need (DON) application to provide advanced imaging modalities </w:t>
      </w:r>
      <w:r>
        <w:rPr>
          <w:rFonts w:cstheme="minorHAnsi"/>
        </w:rPr>
        <w:t xml:space="preserve">of MRI and </w:t>
      </w:r>
      <w:r w:rsidR="008564B2">
        <w:rPr>
          <w:rFonts w:cstheme="minorHAnsi"/>
        </w:rPr>
        <w:t>Computerized Tomography (</w:t>
      </w:r>
      <w:r w:rsidRPr="00945768">
        <w:rPr>
          <w:rFonts w:cstheme="minorHAnsi"/>
        </w:rPr>
        <w:t>CT</w:t>
      </w:r>
      <w:r w:rsidR="008564B2">
        <w:rPr>
          <w:rFonts w:cstheme="minorHAnsi"/>
        </w:rPr>
        <w:t>)</w:t>
      </w:r>
      <w:r>
        <w:rPr>
          <w:rFonts w:cstheme="minorHAnsi"/>
        </w:rPr>
        <w:t xml:space="preserve"> </w:t>
      </w:r>
      <w:r w:rsidRPr="00090211">
        <w:rPr>
          <w:rFonts w:cstheme="minorHAnsi"/>
        </w:rPr>
        <w:t>at</w:t>
      </w:r>
      <w:r>
        <w:rPr>
          <w:rFonts w:cstheme="minorHAnsi"/>
        </w:rPr>
        <w:t xml:space="preserve"> the Plymouth Practice.  Specifically, </w:t>
      </w:r>
      <w:r w:rsidRPr="00090211">
        <w:rPr>
          <w:rFonts w:cstheme="minorHAnsi"/>
        </w:rPr>
        <w:t xml:space="preserve">Atrius </w:t>
      </w:r>
      <w:r>
        <w:rPr>
          <w:rFonts w:cstheme="minorHAnsi"/>
        </w:rPr>
        <w:t xml:space="preserve">Health </w:t>
      </w:r>
      <w:r w:rsidRPr="00090211">
        <w:rPr>
          <w:rFonts w:cstheme="minorHAnsi"/>
        </w:rPr>
        <w:t>is seeking approval</w:t>
      </w:r>
      <w:r>
        <w:rPr>
          <w:rFonts w:cstheme="minorHAnsi"/>
        </w:rPr>
        <w:t xml:space="preserve"> for one fixed/installed scanner </w:t>
      </w:r>
      <w:r w:rsidRPr="00090211">
        <w:rPr>
          <w:rFonts w:cstheme="minorHAnsi"/>
        </w:rPr>
        <w:t xml:space="preserve">to provide </w:t>
      </w:r>
      <w:r w:rsidR="007263AB">
        <w:rPr>
          <w:rFonts w:cstheme="minorHAnsi"/>
        </w:rPr>
        <w:t xml:space="preserve">full-time </w:t>
      </w:r>
      <w:r w:rsidR="008564B2">
        <w:rPr>
          <w:rFonts w:cstheme="minorHAnsi"/>
        </w:rPr>
        <w:t xml:space="preserve">CT </w:t>
      </w:r>
      <w:r w:rsidR="007263AB">
        <w:rPr>
          <w:rFonts w:cstheme="minorHAnsi"/>
        </w:rPr>
        <w:t xml:space="preserve">services </w:t>
      </w:r>
      <w:r w:rsidRPr="00090211">
        <w:rPr>
          <w:rFonts w:cstheme="minorHAnsi"/>
        </w:rPr>
        <w:t xml:space="preserve">and </w:t>
      </w:r>
      <w:r>
        <w:rPr>
          <w:rFonts w:cstheme="minorHAnsi"/>
        </w:rPr>
        <w:t>two days of service of a mobile MRI at the Plymouth Practice (the “Proposed Project”).  Atrius Health will either purchase or lease the CT scanner</w:t>
      </w:r>
      <w:r w:rsidR="007263AB">
        <w:rPr>
          <w:rFonts w:cstheme="minorHAnsi"/>
        </w:rPr>
        <w:t>.</w:t>
      </w:r>
      <w:r>
        <w:rPr>
          <w:rFonts w:cstheme="minorHAnsi"/>
        </w:rPr>
        <w:t xml:space="preserve"> </w:t>
      </w:r>
      <w:r w:rsidR="007263AB">
        <w:rPr>
          <w:rFonts w:cstheme="minorHAnsi"/>
        </w:rPr>
        <w:t xml:space="preserve"> T</w:t>
      </w:r>
      <w:r>
        <w:rPr>
          <w:rFonts w:cstheme="minorHAnsi"/>
        </w:rPr>
        <w:t>he MRI service</w:t>
      </w:r>
      <w:r w:rsidR="008564B2">
        <w:rPr>
          <w:rFonts w:cstheme="minorHAnsi"/>
        </w:rPr>
        <w:t>s</w:t>
      </w:r>
      <w:r>
        <w:rPr>
          <w:rFonts w:cstheme="minorHAnsi"/>
        </w:rPr>
        <w:t xml:space="preserve"> will be provided pursuant to an existing lease that Atrius Health currently holds for provision of mobile MRI services.  The Proposed Project will </w:t>
      </w:r>
      <w:r w:rsidRPr="00090211">
        <w:rPr>
          <w:rFonts w:cstheme="minorHAnsi"/>
        </w:rPr>
        <w:t>compl</w:t>
      </w:r>
      <w:r>
        <w:rPr>
          <w:rFonts w:cstheme="minorHAnsi"/>
        </w:rPr>
        <w:t>e</w:t>
      </w:r>
      <w:r w:rsidRPr="00090211">
        <w:rPr>
          <w:rFonts w:cstheme="minorHAnsi"/>
        </w:rPr>
        <w:t xml:space="preserve">ment the general diagnostic imaging modalities </w:t>
      </w:r>
      <w:r>
        <w:rPr>
          <w:rFonts w:cstheme="minorHAnsi"/>
        </w:rPr>
        <w:t>(</w:t>
      </w:r>
      <w:r w:rsidRPr="00090211">
        <w:rPr>
          <w:rFonts w:cstheme="minorHAnsi"/>
        </w:rPr>
        <w:t xml:space="preserve">X-Ray and </w:t>
      </w:r>
      <w:r>
        <w:rPr>
          <w:rFonts w:cstheme="minorHAnsi"/>
        </w:rPr>
        <w:t>u</w:t>
      </w:r>
      <w:r w:rsidRPr="00090211">
        <w:rPr>
          <w:rFonts w:cstheme="minorHAnsi"/>
        </w:rPr>
        <w:t>ltrasound</w:t>
      </w:r>
      <w:r>
        <w:rPr>
          <w:rFonts w:cstheme="minorHAnsi"/>
        </w:rPr>
        <w:t xml:space="preserve">) which will be available at the </w:t>
      </w:r>
      <w:r w:rsidRPr="00B64F42">
        <w:rPr>
          <w:rFonts w:cstheme="minorHAnsi"/>
        </w:rPr>
        <w:t>Plymouth</w:t>
      </w:r>
      <w:r>
        <w:rPr>
          <w:rFonts w:cstheme="minorHAnsi"/>
        </w:rPr>
        <w:t xml:space="preserve"> Practice. </w:t>
      </w:r>
    </w:p>
    <w:p w14:paraId="3EFDACE9" w14:textId="14488003" w:rsidR="0067083C" w:rsidRDefault="0067083C" w:rsidP="00E5334D">
      <w:pPr>
        <w:ind w:left="360"/>
        <w:jc w:val="both"/>
        <w:rPr>
          <w:rFonts w:cstheme="minorHAnsi"/>
        </w:rPr>
      </w:pPr>
      <w:r>
        <w:rPr>
          <w:rFonts w:cstheme="minorHAnsi"/>
        </w:rPr>
        <w:t>The total capital cos</w:t>
      </w:r>
      <w:r w:rsidR="001F1265">
        <w:rPr>
          <w:rFonts w:cstheme="minorHAnsi"/>
        </w:rPr>
        <w:t>t</w:t>
      </w:r>
      <w:r>
        <w:rPr>
          <w:rFonts w:cstheme="minorHAnsi"/>
        </w:rPr>
        <w:t xml:space="preserve"> for the Plymouth Practice, including all DON required equipment, is estimated to be $18 million. Because this amount is below the capital expenditure threshold for </w:t>
      </w:r>
      <w:r w:rsidRPr="00193C74">
        <w:rPr>
          <w:rFonts w:ascii="Calibri" w:hAnsi="Calibri" w:cs="Calibri"/>
        </w:rPr>
        <w:t>requiring a Notice of D</w:t>
      </w:r>
      <w:r>
        <w:rPr>
          <w:rFonts w:ascii="Calibri" w:hAnsi="Calibri" w:cs="Calibri"/>
        </w:rPr>
        <w:t>ON</w:t>
      </w:r>
      <w:r w:rsidRPr="00193C74">
        <w:rPr>
          <w:rFonts w:ascii="Calibri" w:hAnsi="Calibri" w:cs="Calibri"/>
        </w:rPr>
        <w:t xml:space="preserve"> for the construction of a new clinic facility</w:t>
      </w:r>
      <w:r>
        <w:rPr>
          <w:rFonts w:ascii="Calibri" w:hAnsi="Calibri" w:cs="Calibri"/>
        </w:rPr>
        <w:t>,</w:t>
      </w:r>
      <w:r>
        <w:rPr>
          <w:rFonts w:cstheme="minorHAnsi"/>
        </w:rPr>
        <w:t xml:space="preserve"> </w:t>
      </w:r>
      <w:r w:rsidRPr="00E5334D">
        <w:rPr>
          <w:rFonts w:ascii="Calibri" w:hAnsi="Calibri" w:cs="Calibri"/>
        </w:rPr>
        <w:t>and</w:t>
      </w:r>
      <w:r>
        <w:rPr>
          <w:rFonts w:cstheme="minorHAnsi"/>
        </w:rPr>
        <w:t xml:space="preserve"> the associated expenditures are for outpatient services only (and there are no ASC services), this application for a Notice of DON is limited to the Substantial Change in Service associated with the addition and expansion of DON-required Equipment.</w:t>
      </w:r>
    </w:p>
    <w:p w14:paraId="24605F38" w14:textId="07BBD1DB" w:rsidR="0067083C" w:rsidRDefault="0067083C" w:rsidP="00E5334D">
      <w:pPr>
        <w:ind w:left="360"/>
        <w:jc w:val="both"/>
        <w:rPr>
          <w:rFonts w:cstheme="minorHAnsi"/>
        </w:rPr>
      </w:pPr>
      <w:r>
        <w:rPr>
          <w:rFonts w:cstheme="minorHAnsi"/>
        </w:rPr>
        <w:t>The Proposed Project is</w:t>
      </w:r>
      <w:r w:rsidRPr="00090211">
        <w:rPr>
          <w:rFonts w:cstheme="minorHAnsi"/>
        </w:rPr>
        <w:t xml:space="preserve"> </w:t>
      </w:r>
      <w:r>
        <w:rPr>
          <w:rFonts w:cstheme="minorHAnsi"/>
        </w:rPr>
        <w:t xml:space="preserve">part of Atrius Health’s ongoing efforts </w:t>
      </w:r>
      <w:r w:rsidRPr="00090211">
        <w:rPr>
          <w:rFonts w:cstheme="minorHAnsi"/>
        </w:rPr>
        <w:t>to improve access</w:t>
      </w:r>
      <w:r>
        <w:rPr>
          <w:rFonts w:cstheme="minorHAnsi"/>
        </w:rPr>
        <w:t xml:space="preserve"> to necessary care</w:t>
      </w:r>
      <w:r w:rsidRPr="00090211">
        <w:rPr>
          <w:rFonts w:cstheme="minorHAnsi"/>
        </w:rPr>
        <w:t xml:space="preserve">, promote care coordination, and </w:t>
      </w:r>
      <w:r>
        <w:rPr>
          <w:rFonts w:cstheme="minorHAnsi"/>
        </w:rPr>
        <w:t xml:space="preserve">help control </w:t>
      </w:r>
      <w:r w:rsidRPr="00090211">
        <w:rPr>
          <w:rFonts w:cstheme="minorHAnsi"/>
        </w:rPr>
        <w:t>total medical expense</w:t>
      </w:r>
      <w:r>
        <w:rPr>
          <w:rFonts w:cstheme="minorHAnsi"/>
        </w:rPr>
        <w:t xml:space="preserve"> (TME)</w:t>
      </w:r>
      <w:r w:rsidRPr="00090211">
        <w:rPr>
          <w:rFonts w:cstheme="minorHAnsi"/>
        </w:rPr>
        <w:t xml:space="preserve"> </w:t>
      </w:r>
      <w:r>
        <w:rPr>
          <w:rFonts w:cstheme="minorHAnsi"/>
        </w:rPr>
        <w:t>for the community from Plymouth</w:t>
      </w:r>
      <w:r w:rsidRPr="00307942">
        <w:rPr>
          <w:rFonts w:ascii="Calibri" w:hAnsi="Calibri" w:cs="Calibri"/>
        </w:rPr>
        <w:t xml:space="preserve">, </w:t>
      </w:r>
      <w:bookmarkStart w:id="8" w:name="_BPDCI_14"/>
      <w:r w:rsidR="00945768" w:rsidRPr="00307942">
        <w:rPr>
          <w:rFonts w:ascii="Calibri" w:hAnsi="Calibri" w:cs="Calibri"/>
        </w:rPr>
        <w:t xml:space="preserve">the </w:t>
      </w:r>
      <w:bookmarkEnd w:id="8"/>
      <w:r w:rsidRPr="00307942">
        <w:rPr>
          <w:rFonts w:ascii="Calibri" w:hAnsi="Calibri" w:cs="Calibri"/>
        </w:rPr>
        <w:t>surrounding</w:t>
      </w:r>
      <w:r w:rsidRPr="00090211">
        <w:rPr>
          <w:rFonts w:cstheme="minorHAnsi"/>
        </w:rPr>
        <w:t xml:space="preserve"> towns</w:t>
      </w:r>
      <w:r w:rsidR="001F1265">
        <w:rPr>
          <w:rFonts w:cstheme="minorHAnsi"/>
        </w:rPr>
        <w:t>,</w:t>
      </w:r>
      <w:r>
        <w:rPr>
          <w:rFonts w:cstheme="minorHAnsi"/>
        </w:rPr>
        <w:t xml:space="preserve"> and the </w:t>
      </w:r>
      <w:r w:rsidRPr="00E5334D">
        <w:rPr>
          <w:rFonts w:ascii="Calibri" w:hAnsi="Calibri" w:cs="Calibri"/>
        </w:rPr>
        <w:t>Commonwealth</w:t>
      </w:r>
      <w:r w:rsidRPr="00090211">
        <w:rPr>
          <w:rFonts w:cstheme="minorHAnsi"/>
        </w:rPr>
        <w:t>.</w:t>
      </w:r>
      <w:r>
        <w:rPr>
          <w:rFonts w:cstheme="minorHAnsi"/>
        </w:rPr>
        <w:t xml:space="preserve">  The Proposed Project is driven by a need to expand access to cost</w:t>
      </w:r>
      <w:r w:rsidR="001F1265">
        <w:rPr>
          <w:rFonts w:cstheme="minorHAnsi"/>
        </w:rPr>
        <w:t>-</w:t>
      </w:r>
      <w:r>
        <w:rPr>
          <w:rFonts w:cstheme="minorHAnsi"/>
        </w:rPr>
        <w:t xml:space="preserve">effective advanced imaging for </w:t>
      </w:r>
      <w:r w:rsidRPr="00090211">
        <w:rPr>
          <w:rFonts w:cstheme="minorHAnsi"/>
        </w:rPr>
        <w:t xml:space="preserve">Atrius Health </w:t>
      </w:r>
      <w:r>
        <w:rPr>
          <w:rFonts w:cstheme="minorHAnsi"/>
        </w:rPr>
        <w:t>patients in the greater Plymouth area currently served by the PMG practice</w:t>
      </w:r>
      <w:r w:rsidR="007263AB">
        <w:rPr>
          <w:rFonts w:cstheme="minorHAnsi"/>
        </w:rPr>
        <w:t xml:space="preserve"> locations</w:t>
      </w:r>
      <w:r>
        <w:rPr>
          <w:rFonts w:cstheme="minorHAnsi"/>
        </w:rPr>
        <w:t xml:space="preserve"> and which will be served in the future by the Plymouth Practice.</w:t>
      </w:r>
      <w:r w:rsidR="009F7354">
        <w:rPr>
          <w:rFonts w:cstheme="minorHAnsi"/>
        </w:rPr>
        <w:t xml:space="preserve"> </w:t>
      </w:r>
      <w:r>
        <w:rPr>
          <w:rFonts w:cstheme="minorHAnsi"/>
        </w:rPr>
        <w:t xml:space="preserve"> Today, the only available CT and MRI services in the Plymouth area are higher cost, hospital-based services.  The closest Atrius Health (ambulatory) location for CT and MRI services is approximately </w:t>
      </w:r>
      <w:r>
        <w:rPr>
          <w:rFonts w:cstheme="minorHAnsi"/>
        </w:rPr>
        <w:lastRenderedPageBreak/>
        <w:t xml:space="preserve">30 minutes away in Weymouth, MA. By having access to these advanced imaging modalities in an outpatient physician practice setting closer to their homes, patients in the Plymouth Practice service area will be more likely to receive the right care, in the right place, at the right time.  Care coordination will be greatly improved by retaining these procedures within the Atrius Health provider network, utilizing Atrius Health’s dedicated primary care </w:t>
      </w:r>
      <w:r w:rsidRPr="00307942">
        <w:rPr>
          <w:rFonts w:ascii="Calibri" w:hAnsi="Calibri" w:cs="Calibri"/>
        </w:rPr>
        <w:t xml:space="preserve">focused </w:t>
      </w:r>
      <w:bookmarkStart w:id="9" w:name="_BPDCD_15"/>
      <w:r w:rsidRPr="00307942">
        <w:rPr>
          <w:rFonts w:ascii="Calibri" w:hAnsi="Calibri" w:cs="Calibri"/>
        </w:rPr>
        <w:t>radiolog</w:t>
      </w:r>
      <w:r w:rsidR="00945768" w:rsidRPr="00307942">
        <w:rPr>
          <w:rFonts w:ascii="Calibri" w:hAnsi="Calibri" w:cs="Calibri"/>
        </w:rPr>
        <w:t>y</w:t>
      </w:r>
      <w:r w:rsidRPr="00307942">
        <w:rPr>
          <w:rFonts w:ascii="Calibri" w:hAnsi="Calibri" w:cs="Calibri"/>
        </w:rPr>
        <w:t xml:space="preserve"> </w:t>
      </w:r>
      <w:bookmarkEnd w:id="9"/>
      <w:r w:rsidRPr="00307942">
        <w:rPr>
          <w:rFonts w:ascii="Calibri" w:hAnsi="Calibri" w:cs="Calibri"/>
        </w:rPr>
        <w:t>team</w:t>
      </w:r>
      <w:r>
        <w:rPr>
          <w:rFonts w:cstheme="minorHAnsi"/>
        </w:rPr>
        <w:t xml:space="preserve"> and a common electronic medical record (EMR) and common </w:t>
      </w:r>
      <w:r w:rsidRPr="004828A2">
        <w:t>Picture Archiving and Communication</w:t>
      </w:r>
      <w:r>
        <w:rPr>
          <w:rFonts w:cstheme="minorHAnsi"/>
        </w:rPr>
        <w:t xml:space="preserve"> (PAC) system for radiology services (including MRI and CT).  These integrated systems support real</w:t>
      </w:r>
      <w:r w:rsidR="008564B2">
        <w:rPr>
          <w:rFonts w:cstheme="minorHAnsi"/>
        </w:rPr>
        <w:t>-</w:t>
      </w:r>
      <w:r>
        <w:rPr>
          <w:rFonts w:cstheme="minorHAnsi"/>
        </w:rPr>
        <w:t>time communication among Atrius Health providers and seamless access to imaging and other test results, as well as patient medical history, including prior imaging, helping</w:t>
      </w:r>
      <w:r w:rsidR="007263AB">
        <w:rPr>
          <w:rFonts w:cstheme="minorHAnsi"/>
        </w:rPr>
        <w:t xml:space="preserve"> to</w:t>
      </w:r>
      <w:r>
        <w:rPr>
          <w:rFonts w:cstheme="minorHAnsi"/>
        </w:rPr>
        <w:t xml:space="preserve"> avoid duplicative testing.  By integrating MRI and CT into the range of services </w:t>
      </w:r>
      <w:r w:rsidRPr="00307942">
        <w:rPr>
          <w:rFonts w:ascii="Calibri" w:hAnsi="Calibri" w:cs="Calibri"/>
        </w:rPr>
        <w:t xml:space="preserve">available </w:t>
      </w:r>
      <w:bookmarkStart w:id="10" w:name="_BPDCD_16"/>
      <w:r w:rsidR="00945768" w:rsidRPr="00307942">
        <w:rPr>
          <w:rFonts w:ascii="Calibri" w:hAnsi="Calibri" w:cs="Calibri"/>
        </w:rPr>
        <w:t>to</w:t>
      </w:r>
      <w:r w:rsidRPr="00307942">
        <w:rPr>
          <w:rFonts w:ascii="Calibri" w:hAnsi="Calibri" w:cs="Calibri"/>
        </w:rPr>
        <w:t xml:space="preserve"> </w:t>
      </w:r>
      <w:bookmarkEnd w:id="10"/>
      <w:r w:rsidRPr="00307942">
        <w:rPr>
          <w:rFonts w:ascii="Calibri" w:hAnsi="Calibri" w:cs="Calibri"/>
        </w:rPr>
        <w:t>Plymouth</w:t>
      </w:r>
      <w:r>
        <w:rPr>
          <w:rFonts w:cstheme="minorHAnsi"/>
        </w:rPr>
        <w:t xml:space="preserve"> Practice patients, the Proposed Project will help reduce the number of procedures performed at </w:t>
      </w:r>
      <w:r w:rsidR="007263AB">
        <w:rPr>
          <w:rFonts w:cstheme="minorHAnsi"/>
        </w:rPr>
        <w:t xml:space="preserve">higher cost </w:t>
      </w:r>
      <w:r>
        <w:rPr>
          <w:rFonts w:cstheme="minorHAnsi"/>
        </w:rPr>
        <w:t xml:space="preserve">outside facilities and the resultant delays in </w:t>
      </w:r>
      <w:bookmarkStart w:id="11" w:name="_BPDCI_17"/>
      <w:r w:rsidR="00945768" w:rsidRPr="00307942">
        <w:rPr>
          <w:rFonts w:ascii="Calibri" w:hAnsi="Calibri" w:cs="Calibri"/>
        </w:rPr>
        <w:t xml:space="preserve">the </w:t>
      </w:r>
      <w:bookmarkEnd w:id="11"/>
      <w:r w:rsidRPr="00307942">
        <w:rPr>
          <w:rFonts w:ascii="Calibri" w:hAnsi="Calibri" w:cs="Calibri"/>
        </w:rPr>
        <w:t>reporting</w:t>
      </w:r>
      <w:r>
        <w:rPr>
          <w:rFonts w:cstheme="minorHAnsi"/>
        </w:rPr>
        <w:t xml:space="preserve"> of findings and results which can affect patient outcomes. </w:t>
      </w:r>
    </w:p>
    <w:p w14:paraId="2E6889C9" w14:textId="77777777" w:rsidR="0067083C" w:rsidRDefault="0067083C" w:rsidP="00E5334D">
      <w:pPr>
        <w:ind w:left="360"/>
        <w:jc w:val="both"/>
        <w:rPr>
          <w:rFonts w:cstheme="minorHAnsi"/>
        </w:rPr>
      </w:pPr>
      <w:r>
        <w:t xml:space="preserve">Atrius Health’s historical utilization data strongly suggest that demand for these advanced imaging modalities has been increasing; when coupled with evidence of the aging of the patient population in Massachusetts, it is likely that demand will </w:t>
      </w:r>
      <w:proofErr w:type="gramStart"/>
      <w:r w:rsidRPr="00E5334D">
        <w:rPr>
          <w:rFonts w:ascii="Calibri" w:hAnsi="Calibri" w:cs="Calibri"/>
        </w:rPr>
        <w:t>continue</w:t>
      </w:r>
      <w:r>
        <w:t xml:space="preserve"> on</w:t>
      </w:r>
      <w:proofErr w:type="gramEnd"/>
      <w:r>
        <w:t xml:space="preserve"> an upward trajectory. Today, patients over age 19 constitute 96% of the</w:t>
      </w:r>
      <w:r w:rsidR="000D32F1" w:rsidRPr="000D32F1">
        <w:t xml:space="preserve"> </w:t>
      </w:r>
      <w:r w:rsidR="000D32F1">
        <w:t xml:space="preserve">Plymouth </w:t>
      </w:r>
      <w:r>
        <w:t>patient panel, and nearly 36% are over the age of 65.</w:t>
      </w:r>
      <w:r w:rsidRPr="00F15831">
        <w:rPr>
          <w:rFonts w:cstheme="minorHAnsi"/>
        </w:rPr>
        <w:t xml:space="preserve"> </w:t>
      </w:r>
      <w:r>
        <w:t>As the population continues to age, the need and demand for access to MRI and CT imaging services will continue to rise.</w:t>
      </w:r>
      <w:r>
        <w:rPr>
          <w:rFonts w:cstheme="minorHAnsi"/>
        </w:rPr>
        <w:t xml:space="preserve">  </w:t>
      </w:r>
      <w:proofErr w:type="gramStart"/>
      <w:r>
        <w:rPr>
          <w:rFonts w:cstheme="minorHAnsi"/>
        </w:rPr>
        <w:t>By improving access to these services, there</w:t>
      </w:r>
      <w:proofErr w:type="gramEnd"/>
      <w:r>
        <w:rPr>
          <w:rFonts w:cstheme="minorHAnsi"/>
        </w:rPr>
        <w:t xml:space="preserve"> will be more timely diagnosis of illness and disease and referral to treatment.  Offering </w:t>
      </w:r>
      <w:r w:rsidR="007263AB">
        <w:rPr>
          <w:rFonts w:cstheme="minorHAnsi"/>
        </w:rPr>
        <w:t>MRI and CT imaging</w:t>
      </w:r>
      <w:r>
        <w:rPr>
          <w:rFonts w:cstheme="minorHAnsi"/>
        </w:rPr>
        <w:t xml:space="preserve"> services locally, at the same location with other providers and specialties, will facilitate “one-stop shopping” for patients who seek or require additional services, and help address barriers to timely receipt of necessary care, such as limited transportation options.</w:t>
      </w:r>
    </w:p>
    <w:p w14:paraId="2AD8E060" w14:textId="7455467C" w:rsidR="0067083C" w:rsidRPr="00264215" w:rsidRDefault="0067083C" w:rsidP="00E5334D">
      <w:pPr>
        <w:ind w:left="360"/>
        <w:jc w:val="both"/>
        <w:rPr>
          <w:rFonts w:cstheme="minorHAnsi"/>
        </w:rPr>
      </w:pPr>
      <w:r w:rsidRPr="00945768">
        <w:rPr>
          <w:rFonts w:cstheme="minorHAnsi"/>
        </w:rPr>
        <w:t>Atrius Health’s care model</w:t>
      </w:r>
      <w:r w:rsidR="00FB3B46" w:rsidRPr="00945768">
        <w:rPr>
          <w:rFonts w:cstheme="minorHAnsi"/>
        </w:rPr>
        <w:t xml:space="preserve"> is focused on </w:t>
      </w:r>
      <w:r w:rsidR="0086167E" w:rsidRPr="00945768">
        <w:rPr>
          <w:rFonts w:cstheme="minorHAnsi"/>
        </w:rPr>
        <w:t>improving health outcomes through cost-effective delivery of coordinated services</w:t>
      </w:r>
      <w:bookmarkStart w:id="12" w:name="_BPDCD_18"/>
      <w:r w:rsidR="00D33249">
        <w:rPr>
          <w:rFonts w:cstheme="minorHAnsi"/>
        </w:rPr>
        <w:t xml:space="preserve">. </w:t>
      </w:r>
      <w:bookmarkEnd w:id="12"/>
      <w:r w:rsidR="0086167E" w:rsidRPr="00945768">
        <w:t xml:space="preserve">Atrius Health’s </w:t>
      </w:r>
      <w:r w:rsidR="0025321F" w:rsidRPr="00945768">
        <w:t xml:space="preserve">system </w:t>
      </w:r>
      <w:r w:rsidR="0086167E" w:rsidRPr="00945768">
        <w:t>of integrated primary, specialty and ancillary services</w:t>
      </w:r>
      <w:r w:rsidR="0078530F" w:rsidRPr="00945768">
        <w:t xml:space="preserve"> </w:t>
      </w:r>
      <w:r w:rsidR="0078530F" w:rsidRPr="00945768">
        <w:rPr>
          <w:rFonts w:cstheme="minorHAnsi"/>
        </w:rPr>
        <w:t>enables Atrius</w:t>
      </w:r>
      <w:r w:rsidRPr="00945768">
        <w:rPr>
          <w:rFonts w:cstheme="minorHAnsi"/>
        </w:rPr>
        <w:t xml:space="preserve"> providers to refer patients within the Atrius Health network, as clinically appropriate and in accordance with patient preferences, ensuring highly coordinated care in the lowest cost setting possible.</w:t>
      </w:r>
      <w:r w:rsidRPr="00264215">
        <w:rPr>
          <w:rFonts w:cstheme="minorHAnsi"/>
        </w:rPr>
        <w:t xml:space="preserve">  Th</w:t>
      </w:r>
      <w:r w:rsidR="0025321F">
        <w:rPr>
          <w:rFonts w:cstheme="minorHAnsi"/>
        </w:rPr>
        <w:t>e</w:t>
      </w:r>
      <w:r w:rsidRPr="00264215">
        <w:rPr>
          <w:rFonts w:cstheme="minorHAnsi"/>
        </w:rPr>
        <w:t xml:space="preserve"> care model forms the foundation for Atrius Health’s long and successful history of participating in value- and risk-based arrangements with commercial and government payers.  Under these arrangements, Atrius Health is fully accountable, </w:t>
      </w:r>
      <w:proofErr w:type="gramStart"/>
      <w:r w:rsidRPr="00264215">
        <w:rPr>
          <w:rFonts w:cstheme="minorHAnsi"/>
        </w:rPr>
        <w:t>financially</w:t>
      </w:r>
      <w:proofErr w:type="gramEnd"/>
      <w:r w:rsidRPr="00264215">
        <w:rPr>
          <w:rFonts w:cstheme="minorHAnsi"/>
        </w:rPr>
        <w:t xml:space="preserve"> and clinically, for all care and treatment rendered to its patients.  Atrius Health’s experience with value-based care includes participation in </w:t>
      </w:r>
      <w:r w:rsidR="0025321F">
        <w:rPr>
          <w:rFonts w:cstheme="minorHAnsi"/>
        </w:rPr>
        <w:t xml:space="preserve">alternative payment </w:t>
      </w:r>
      <w:r w:rsidRPr="00264215">
        <w:rPr>
          <w:rFonts w:cstheme="minorHAnsi"/>
        </w:rPr>
        <w:t>models targeted to vulnerable populations, such as MassHealth members and Medicare beneficiaries.  Atrius Health currently participates in the Medicare Shared Savings Program, as well as in the Centers for Medicare and Medicaid Services Innovation Center (CMMI) Primary Care First model (PCF</w:t>
      </w:r>
      <w:r w:rsidR="008564B2" w:rsidRPr="00264215">
        <w:rPr>
          <w:rFonts w:cstheme="minorHAnsi"/>
        </w:rPr>
        <w:t>).</w:t>
      </w:r>
      <w:r w:rsidRPr="00264215">
        <w:rPr>
          <w:rFonts w:cstheme="minorHAnsi"/>
        </w:rPr>
        <w:t xml:space="preserve"> </w:t>
      </w:r>
      <w:r w:rsidR="00804BBF">
        <w:rPr>
          <w:rFonts w:cstheme="minorHAnsi"/>
        </w:rPr>
        <w:t xml:space="preserve"> </w:t>
      </w:r>
      <w:r w:rsidRPr="00264215">
        <w:rPr>
          <w:rFonts w:cstheme="minorHAnsi"/>
        </w:rPr>
        <w:t xml:space="preserve">Atrius Health has been certified as an accountable care organization (ACO) by </w:t>
      </w:r>
      <w:r w:rsidRPr="00307942">
        <w:rPr>
          <w:rFonts w:ascii="Calibri" w:hAnsi="Calibri" w:cs="Calibri"/>
        </w:rPr>
        <w:t xml:space="preserve">the </w:t>
      </w:r>
      <w:bookmarkStart w:id="13" w:name="_BPDCD_19"/>
      <w:r w:rsidRPr="00307942">
        <w:rPr>
          <w:rFonts w:ascii="Calibri" w:hAnsi="Calibri" w:cs="Calibri"/>
        </w:rPr>
        <w:t xml:space="preserve">HPC </w:t>
      </w:r>
      <w:bookmarkEnd w:id="13"/>
      <w:r w:rsidRPr="00307942">
        <w:rPr>
          <w:rFonts w:ascii="Calibri" w:hAnsi="Calibri" w:cs="Calibri"/>
        </w:rPr>
        <w:t>since</w:t>
      </w:r>
      <w:r w:rsidRPr="00264215">
        <w:rPr>
          <w:rFonts w:cstheme="minorHAnsi"/>
        </w:rPr>
        <w:t xml:space="preserve"> 2017 </w:t>
      </w:r>
      <w:r w:rsidR="006E3FD0" w:rsidRPr="00264215">
        <w:rPr>
          <w:rFonts w:cstheme="minorHAnsi"/>
        </w:rPr>
        <w:t>and</w:t>
      </w:r>
      <w:r w:rsidRPr="00264215">
        <w:rPr>
          <w:rFonts w:cstheme="minorHAnsi"/>
        </w:rPr>
        <w:t xml:space="preserve"> participates in MassHealth as the ACO Partner in an Accountable Care Partnership Plan.</w:t>
      </w:r>
    </w:p>
    <w:p w14:paraId="5D249D50" w14:textId="6C9A0614" w:rsidR="0067083C" w:rsidRDefault="0067083C" w:rsidP="00E5334D">
      <w:pPr>
        <w:ind w:left="360"/>
        <w:jc w:val="both"/>
      </w:pPr>
      <w:r>
        <w:rPr>
          <w:rFonts w:cstheme="minorHAnsi"/>
        </w:rPr>
        <w:t xml:space="preserve">Atrius Health has demonstrated its commitment to the Commonwealth’s cost containment goals over the years through its emphasis on </w:t>
      </w:r>
      <w:r w:rsidR="007263AB">
        <w:rPr>
          <w:rFonts w:cstheme="minorHAnsi"/>
        </w:rPr>
        <w:t xml:space="preserve">the </w:t>
      </w:r>
      <w:r>
        <w:rPr>
          <w:rFonts w:cstheme="minorHAnsi"/>
        </w:rPr>
        <w:t xml:space="preserve">provision of high value, coordinated </w:t>
      </w:r>
      <w:r w:rsidRPr="00307942">
        <w:rPr>
          <w:rFonts w:ascii="Calibri" w:hAnsi="Calibri" w:cs="Calibri"/>
        </w:rPr>
        <w:t>care</w:t>
      </w:r>
      <w:bookmarkStart w:id="14" w:name="_BPDCD_20"/>
      <w:r w:rsidR="00945768" w:rsidRPr="00307942">
        <w:rPr>
          <w:rFonts w:ascii="Calibri" w:hAnsi="Calibri" w:cs="Calibri"/>
        </w:rPr>
        <w:t xml:space="preserve"> and</w:t>
      </w:r>
      <w:r w:rsidR="000C0533">
        <w:rPr>
          <w:rFonts w:ascii="Calibri" w:hAnsi="Calibri" w:cs="Calibri"/>
        </w:rPr>
        <w:t xml:space="preserve"> </w:t>
      </w:r>
      <w:bookmarkEnd w:id="14"/>
      <w:r>
        <w:rPr>
          <w:rFonts w:cstheme="minorHAnsi"/>
        </w:rPr>
        <w:t xml:space="preserve">the Proposed Project is aligned with this focus.  Atrius Health’s </w:t>
      </w:r>
      <w:r w:rsidRPr="00E5334D">
        <w:rPr>
          <w:rFonts w:ascii="Calibri" w:hAnsi="Calibri" w:cs="Calibri"/>
        </w:rPr>
        <w:t>achievements</w:t>
      </w:r>
      <w:r>
        <w:rPr>
          <w:rFonts w:cstheme="minorHAnsi"/>
        </w:rPr>
        <w:t xml:space="preserve"> are predicated in part on offering a range of services within its own practices, minimizing the need to send patients to more expensive hospital-based or hospital-affiliated providers with higher rates, administrative inefficiencies associated with </w:t>
      </w:r>
      <w:r w:rsidR="008564B2">
        <w:rPr>
          <w:rFonts w:cstheme="minorHAnsi"/>
        </w:rPr>
        <w:t xml:space="preserve">these </w:t>
      </w:r>
      <w:r>
        <w:rPr>
          <w:rFonts w:cstheme="minorHAnsi"/>
        </w:rPr>
        <w:t xml:space="preserve">external referrals, and disruptions to care. The most recent cost trends report shows Atrius Health with the </w:t>
      </w:r>
      <w:r w:rsidRPr="00307942">
        <w:rPr>
          <w:rFonts w:ascii="Calibri" w:hAnsi="Calibri" w:cs="Calibri"/>
        </w:rPr>
        <w:t xml:space="preserve">lowest </w:t>
      </w:r>
      <w:bookmarkStart w:id="15" w:name="_BPDCD_21"/>
      <w:r w:rsidRPr="00307942">
        <w:rPr>
          <w:rFonts w:ascii="Calibri" w:hAnsi="Calibri" w:cs="Calibri"/>
        </w:rPr>
        <w:t>percent</w:t>
      </w:r>
      <w:r w:rsidR="00945768" w:rsidRPr="00307942">
        <w:rPr>
          <w:rFonts w:ascii="Calibri" w:hAnsi="Calibri" w:cs="Calibri"/>
        </w:rPr>
        <w:t>age among provider organizations</w:t>
      </w:r>
      <w:r w:rsidRPr="00307942">
        <w:rPr>
          <w:rFonts w:ascii="Calibri" w:hAnsi="Calibri" w:cs="Calibri"/>
        </w:rPr>
        <w:t xml:space="preserve"> </w:t>
      </w:r>
      <w:bookmarkEnd w:id="15"/>
      <w:r w:rsidRPr="00307942">
        <w:rPr>
          <w:rFonts w:ascii="Calibri" w:hAnsi="Calibri" w:cs="Calibri"/>
        </w:rPr>
        <w:t>of certain</w:t>
      </w:r>
      <w:r>
        <w:rPr>
          <w:rFonts w:cstheme="minorHAnsi"/>
        </w:rPr>
        <w:t xml:space="preserve"> services encounters taking place at a hospital outpatient department in 2</w:t>
      </w:r>
      <w:r w:rsidR="00C369AE">
        <w:rPr>
          <w:rFonts w:cstheme="minorHAnsi"/>
        </w:rPr>
        <w:t>019, and second lowest in 2020.</w:t>
      </w:r>
      <w:r>
        <w:rPr>
          <w:rStyle w:val="FootnoteReference"/>
          <w:rFonts w:cstheme="minorHAnsi"/>
        </w:rPr>
        <w:footnoteReference w:id="1"/>
      </w:r>
      <w:r>
        <w:rPr>
          <w:rFonts w:cstheme="minorHAnsi"/>
        </w:rPr>
        <w:t xml:space="preserve">  The HPC 2021 Cost Trends Report shows </w:t>
      </w:r>
      <w:r>
        <w:rPr>
          <w:rFonts w:cstheme="minorHAnsi"/>
        </w:rPr>
        <w:lastRenderedPageBreak/>
        <w:t>Atrius Health with the lowest spending on low-value services among provider organizations for 2018</w:t>
      </w:r>
      <w:r>
        <w:rPr>
          <w:rStyle w:val="FootnoteReference"/>
          <w:rFonts w:cstheme="minorHAnsi"/>
        </w:rPr>
        <w:footnoteReference w:id="2"/>
      </w:r>
      <w:r>
        <w:rPr>
          <w:rFonts w:cstheme="minorHAnsi"/>
        </w:rPr>
        <w:t xml:space="preserve"> and Atrius Health remained among the </w:t>
      </w:r>
      <w:r w:rsidR="00C92C99">
        <w:rPr>
          <w:rFonts w:cstheme="minorHAnsi"/>
        </w:rPr>
        <w:t xml:space="preserve">provider organizations with the </w:t>
      </w:r>
      <w:r>
        <w:rPr>
          <w:rFonts w:cstheme="minorHAnsi"/>
        </w:rPr>
        <w:t>lowest spending</w:t>
      </w:r>
      <w:r w:rsidR="00C92C99">
        <w:rPr>
          <w:rFonts w:cstheme="minorHAnsi"/>
        </w:rPr>
        <w:t xml:space="preserve"> on low-value services</w:t>
      </w:r>
      <w:r>
        <w:rPr>
          <w:rFonts w:cstheme="minorHAnsi"/>
        </w:rPr>
        <w:t xml:space="preserve"> in 2019.</w:t>
      </w:r>
      <w:r>
        <w:rPr>
          <w:rStyle w:val="FootnoteReference"/>
          <w:rFonts w:cstheme="minorHAnsi"/>
        </w:rPr>
        <w:footnoteReference w:id="3"/>
      </w:r>
      <w:r w:rsidR="00C369AE">
        <w:rPr>
          <w:rFonts w:cstheme="minorHAnsi"/>
        </w:rPr>
        <w:t xml:space="preserve"> </w:t>
      </w:r>
      <w:r>
        <w:t>The HPC reported in its Board Meeting on June 8, 2022 that Atrius Health was consistently among the three provider groups with the lowest unadjusted total medical spending per member per year (</w:t>
      </w:r>
      <w:r w:rsidRPr="00945768">
        <w:t>PMPY</w:t>
      </w:r>
      <w:r>
        <w:t>) for the five year period 2015-2020.</w:t>
      </w:r>
      <w:r>
        <w:rPr>
          <w:rStyle w:val="FootnoteReference"/>
        </w:rPr>
        <w:footnoteReference w:id="4"/>
      </w:r>
      <w:r>
        <w:t xml:space="preserve"> After adjusting for patient risk scores and other characteristics, the HPC reported Atrius Health had the second lowest medical claims spending PMPY in 2019</w:t>
      </w:r>
      <w:r>
        <w:rPr>
          <w:rStyle w:val="FootnoteReference"/>
        </w:rPr>
        <w:footnoteReference w:id="5"/>
      </w:r>
      <w:r>
        <w:t xml:space="preserve">.  As demonstrated by this performance data, Atrius Health is clearly a </w:t>
      </w:r>
      <w:r w:rsidR="006E3FD0">
        <w:t>low-cost</w:t>
      </w:r>
      <w:r>
        <w:t xml:space="preserve"> provider.  Atrius </w:t>
      </w:r>
      <w:r w:rsidR="00EB1A21">
        <w:t xml:space="preserve">Health </w:t>
      </w:r>
      <w:r>
        <w:t xml:space="preserve">believes that </w:t>
      </w:r>
      <w:r w:rsidR="003938FD">
        <w:t xml:space="preserve">the addition of a </w:t>
      </w:r>
      <w:r>
        <w:t xml:space="preserve">CT </w:t>
      </w:r>
      <w:r w:rsidR="008564B2">
        <w:t>s</w:t>
      </w:r>
      <w:r>
        <w:t xml:space="preserve">canner and MRI services to the Plymouth </w:t>
      </w:r>
      <w:r w:rsidR="00EB1A21">
        <w:t>Practice</w:t>
      </w:r>
      <w:r>
        <w:t xml:space="preserve"> will further lower the cost of care of the patients served at this new location.</w:t>
      </w:r>
    </w:p>
    <w:p w14:paraId="710302AE" w14:textId="49D37577" w:rsidR="0067083C" w:rsidRDefault="0067083C" w:rsidP="00E5334D">
      <w:pPr>
        <w:ind w:left="360"/>
        <w:jc w:val="both"/>
      </w:pPr>
      <w:r>
        <w:t xml:space="preserve">The Proposed Project will also allow Atrius Health to leverage the capacity of its existing mobile MRI lease, keeping capital expenditures down. Currently, </w:t>
      </w:r>
      <w:r w:rsidRPr="00E5334D">
        <w:rPr>
          <w:rFonts w:ascii="Calibri" w:hAnsi="Calibri" w:cs="Calibri"/>
        </w:rPr>
        <w:t>Atrius</w:t>
      </w:r>
      <w:r>
        <w:t xml:space="preserve"> Health leases a mobile MRI unit </w:t>
      </w:r>
      <w:proofErr w:type="gramStart"/>
      <w:r>
        <w:t>on a monthly basis</w:t>
      </w:r>
      <w:proofErr w:type="gramEnd"/>
      <w:r>
        <w:t xml:space="preserve"> and has DPH approval to provide mobile MRI services at two of its licensed clinic locations - three days of service at the Atrius Health Chelmsford clinic satellite and two</w:t>
      </w:r>
      <w:r w:rsidR="00945768">
        <w:t xml:space="preserve"> </w:t>
      </w:r>
      <w:bookmarkStart w:id="16" w:name="_BPDCI_22"/>
      <w:r w:rsidR="00945768" w:rsidRPr="00307942">
        <w:rPr>
          <w:rFonts w:ascii="Calibri" w:hAnsi="Calibri" w:cs="Calibri"/>
        </w:rPr>
        <w:t>days of service</w:t>
      </w:r>
      <w:r w:rsidRPr="00307942">
        <w:rPr>
          <w:rFonts w:ascii="Calibri" w:hAnsi="Calibri" w:cs="Calibri"/>
        </w:rPr>
        <w:t xml:space="preserve"> </w:t>
      </w:r>
      <w:bookmarkEnd w:id="16"/>
      <w:r w:rsidRPr="00307942">
        <w:rPr>
          <w:rFonts w:ascii="Calibri" w:hAnsi="Calibri" w:cs="Calibri"/>
        </w:rPr>
        <w:t>at</w:t>
      </w:r>
      <w:r>
        <w:t xml:space="preserve"> its Concord clinic satellite.  The Proposed Project will maximize use of the equipment under the current lease (i.e., by having the MRI in </w:t>
      </w:r>
      <w:r w:rsidRPr="00E5334D">
        <w:rPr>
          <w:rFonts w:ascii="Calibri" w:hAnsi="Calibri" w:cs="Calibri"/>
        </w:rPr>
        <w:t>service</w:t>
      </w:r>
      <w:r>
        <w:t xml:space="preserve"> 7 days/week) with no additional lease expense and minimal new capital expense.  </w:t>
      </w:r>
    </w:p>
    <w:p w14:paraId="35AC9C0E" w14:textId="77777777" w:rsidR="0067083C" w:rsidRDefault="0067083C" w:rsidP="00E5334D">
      <w:pPr>
        <w:ind w:left="360"/>
        <w:jc w:val="both"/>
      </w:pPr>
      <w:r>
        <w:t xml:space="preserve">Approval of the Proposed Project will lead to improved patient health outcomes and community health through better access to these high-quality services in an appropriate setting and more timely diagnosis of illness and disease. Furthermore, offering these services in a lower-cost, efficient, ambulatory setting and within the Atrius Health system of coordinated care will contribute to lowering costs for patients, </w:t>
      </w:r>
      <w:proofErr w:type="gramStart"/>
      <w:r>
        <w:t>payers</w:t>
      </w:r>
      <w:proofErr w:type="gramEnd"/>
      <w:r>
        <w:t xml:space="preserve"> and the Commonwealth.  For these reasons</w:t>
      </w:r>
      <w:r w:rsidR="005B5A90">
        <w:t xml:space="preserve"> and those set forth below</w:t>
      </w:r>
      <w:r>
        <w:t>, the Proposed Project meets the factors for D</w:t>
      </w:r>
      <w:r w:rsidR="008564B2">
        <w:t>ON</w:t>
      </w:r>
      <w:r>
        <w:t xml:space="preserve"> approval.</w:t>
      </w:r>
    </w:p>
    <w:p w14:paraId="39EB85AD" w14:textId="35C2D92D" w:rsidR="00B174F1" w:rsidRDefault="00B174F1">
      <w:pPr>
        <w:rPr>
          <w:rFonts w:ascii="Times New Roman" w:hAnsi="Times New Roman" w:cs="Times New Roman"/>
        </w:rPr>
      </w:pPr>
      <w:r>
        <w:rPr>
          <w:rFonts w:ascii="Times New Roman" w:hAnsi="Times New Roman" w:cs="Times New Roman"/>
        </w:rPr>
        <w:br w:type="page"/>
      </w:r>
    </w:p>
    <w:p w14:paraId="0F1266BF" w14:textId="2E959CD4" w:rsidR="0058476B" w:rsidRDefault="00B174F1" w:rsidP="00B174F1">
      <w:pPr>
        <w:pStyle w:val="ListParagraph"/>
        <w:numPr>
          <w:ilvl w:val="0"/>
          <w:numId w:val="17"/>
        </w:numPr>
        <w:ind w:left="360"/>
        <w:rPr>
          <w:rFonts w:cstheme="minorHAnsi"/>
          <w:b/>
          <w:bCs/>
          <w:sz w:val="24"/>
          <w:szCs w:val="24"/>
        </w:rPr>
      </w:pPr>
      <w:r w:rsidRPr="00B174F1">
        <w:rPr>
          <w:rFonts w:cstheme="minorHAnsi"/>
          <w:b/>
          <w:bCs/>
          <w:sz w:val="24"/>
          <w:szCs w:val="24"/>
        </w:rPr>
        <w:lastRenderedPageBreak/>
        <w:t xml:space="preserve"> Factors</w:t>
      </w:r>
    </w:p>
    <w:p w14:paraId="3CAE2EE8" w14:textId="517A3052" w:rsidR="00B174F1" w:rsidRPr="00B174F1" w:rsidRDefault="00B174F1" w:rsidP="00B174F1">
      <w:pPr>
        <w:rPr>
          <w:rFonts w:cstheme="minorHAnsi"/>
          <w:b/>
          <w:bCs/>
          <w:sz w:val="24"/>
          <w:szCs w:val="24"/>
        </w:rPr>
      </w:pPr>
      <w:r>
        <w:rPr>
          <w:rFonts w:cstheme="minorHAnsi"/>
          <w:b/>
          <w:bCs/>
          <w:sz w:val="24"/>
          <w:szCs w:val="24"/>
        </w:rPr>
        <w:t>Factor 1: Applicant Patient Panel Need, Public Health Values and Operational Objectives</w:t>
      </w:r>
    </w:p>
    <w:p w14:paraId="5060F67C" w14:textId="77777777" w:rsidR="00B174F1" w:rsidRDefault="00362076" w:rsidP="00D63AC2">
      <w:pPr>
        <w:spacing w:after="0" w:line="240" w:lineRule="auto"/>
        <w:rPr>
          <w:b/>
        </w:rPr>
      </w:pPr>
      <w:r>
        <w:rPr>
          <w:b/>
        </w:rPr>
        <w:t>F</w:t>
      </w:r>
      <w:proofErr w:type="gramStart"/>
      <w:r>
        <w:rPr>
          <w:b/>
        </w:rPr>
        <w:t>1.a.i.</w:t>
      </w:r>
      <w:proofErr w:type="gramEnd"/>
      <w:r>
        <w:rPr>
          <w:b/>
        </w:rPr>
        <w:tab/>
      </w:r>
      <w:r w:rsidRPr="004865A3">
        <w:rPr>
          <w:b/>
        </w:rPr>
        <w:t>Patient Panel:</w:t>
      </w:r>
    </w:p>
    <w:p w14:paraId="4D4AE8CD" w14:textId="0B85611E" w:rsidR="00362076" w:rsidRDefault="00362076" w:rsidP="00D63AC2">
      <w:pPr>
        <w:keepNext/>
        <w:keepLines/>
        <w:spacing w:after="0" w:line="240" w:lineRule="auto"/>
        <w:ind w:left="720"/>
        <w:rPr>
          <w:b/>
        </w:rPr>
      </w:pPr>
      <w:r w:rsidRPr="00E552E4">
        <w:rPr>
          <w:b/>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E552E4">
        <w:rPr>
          <w:b/>
        </w:rPr>
        <w:t>status</w:t>
      </w:r>
      <w:proofErr w:type="gramEnd"/>
      <w:r w:rsidRPr="00E552E4">
        <w:rPr>
          <w:b/>
        </w:rPr>
        <w:t xml:space="preserve"> and other priority populations relevant to the Applicant's existing patient panel and payer mix</w:t>
      </w:r>
      <w:r w:rsidRPr="006E1535">
        <w:rPr>
          <w:b/>
        </w:rPr>
        <w:t>.</w:t>
      </w:r>
    </w:p>
    <w:p w14:paraId="16EB81F6" w14:textId="77777777" w:rsidR="00B174F1" w:rsidRDefault="00B174F1" w:rsidP="00B174F1">
      <w:pPr>
        <w:spacing w:after="0"/>
        <w:ind w:left="720"/>
        <w:rPr>
          <w:b/>
        </w:rPr>
      </w:pPr>
    </w:p>
    <w:p w14:paraId="4DD1E9E5" w14:textId="77777777" w:rsidR="00362076" w:rsidRDefault="00362076" w:rsidP="00C255B7">
      <w:pPr>
        <w:ind w:left="720"/>
        <w:jc w:val="both"/>
        <w:rPr>
          <w:rFonts w:cstheme="minorHAnsi"/>
        </w:rPr>
      </w:pPr>
      <w:r>
        <w:t>Atrius Health is a Massachusetts non-profit multispecialty medical group with more than 30 locations across eastern Massachusetts.  Atrius Health provides a range of services including primary and specialty care, and associated ancillary services, such as imaging and lab services, to its 383,507 patients</w:t>
      </w:r>
      <w:r>
        <w:rPr>
          <w:rStyle w:val="FootnoteReference"/>
        </w:rPr>
        <w:footnoteReference w:id="6"/>
      </w:r>
      <w:r>
        <w:t xml:space="preserve">.  </w:t>
      </w:r>
      <w:bookmarkStart w:id="17" w:name="_Hlk117165085"/>
      <w:r>
        <w:rPr>
          <w:rFonts w:cstheme="minorHAnsi"/>
        </w:rPr>
        <w:t xml:space="preserve">Atrius Health has a history of </w:t>
      </w:r>
      <w:proofErr w:type="gramStart"/>
      <w:r>
        <w:rPr>
          <w:rFonts w:cstheme="minorHAnsi"/>
        </w:rPr>
        <w:t>entering into</w:t>
      </w:r>
      <w:proofErr w:type="gramEnd"/>
      <w:r>
        <w:rPr>
          <w:rFonts w:cstheme="minorHAnsi"/>
        </w:rPr>
        <w:t xml:space="preserve"> risk-based arrangements with payers under which Atrius Health is fully accountable, financially and clinically, for all care and treatment rendered to its patients. </w:t>
      </w:r>
      <w:bookmarkEnd w:id="17"/>
      <w:r>
        <w:rPr>
          <w:rFonts w:cstheme="minorHAnsi"/>
        </w:rPr>
        <w:t xml:space="preserve"> Atrius Health is committed to value-based care and strives to provide the right care, at the right time, in the right place, at low cost.  </w:t>
      </w:r>
    </w:p>
    <w:p w14:paraId="0906E5D7" w14:textId="77777777" w:rsidR="00362076" w:rsidRPr="00C2145D" w:rsidRDefault="00D33E32" w:rsidP="00C255B7">
      <w:pPr>
        <w:pStyle w:val="ListParagraph"/>
        <w:numPr>
          <w:ilvl w:val="0"/>
          <w:numId w:val="12"/>
        </w:numPr>
        <w:jc w:val="both"/>
        <w:rPr>
          <w:rFonts w:cstheme="minorHAnsi"/>
          <w:b/>
          <w:bCs/>
        </w:rPr>
      </w:pPr>
      <w:r w:rsidRPr="00C2145D">
        <w:rPr>
          <w:rFonts w:cstheme="minorHAnsi"/>
          <w:b/>
          <w:bCs/>
        </w:rPr>
        <w:t>A</w:t>
      </w:r>
      <w:r w:rsidR="00362076" w:rsidRPr="00C2145D">
        <w:rPr>
          <w:rFonts w:cstheme="minorHAnsi"/>
          <w:b/>
          <w:bCs/>
        </w:rPr>
        <w:t>trius Health Patient Panel</w:t>
      </w:r>
    </w:p>
    <w:p w14:paraId="49971692" w14:textId="33598C73" w:rsidR="00C2145D" w:rsidRDefault="006A6B11" w:rsidP="00C255B7">
      <w:pPr>
        <w:ind w:left="1080"/>
        <w:jc w:val="both"/>
        <w:rPr>
          <w:rFonts w:cstheme="minorHAnsi"/>
        </w:rPr>
      </w:pPr>
      <w:r w:rsidRPr="006A6B11">
        <w:rPr>
          <w:rFonts w:cstheme="minorHAnsi"/>
        </w:rPr>
        <w:t xml:space="preserve">Atrius Health’s patient panel for the period January 1, </w:t>
      </w:r>
      <w:proofErr w:type="gramStart"/>
      <w:r w:rsidRPr="006A6B11">
        <w:rPr>
          <w:rFonts w:cstheme="minorHAnsi"/>
        </w:rPr>
        <w:t>2022</w:t>
      </w:r>
      <w:proofErr w:type="gramEnd"/>
      <w:r w:rsidRPr="006A6B11">
        <w:rPr>
          <w:rFonts w:cstheme="minorHAnsi"/>
        </w:rPr>
        <w:t xml:space="preserve"> through June 30, 2022 was estimated to be 383,507 unique patients</w:t>
      </w:r>
      <w:r w:rsidR="00362076">
        <w:rPr>
          <w:rFonts w:cstheme="minorHAnsi"/>
        </w:rPr>
        <w:t xml:space="preserve">; Table 1 </w:t>
      </w:r>
      <w:r w:rsidR="008564B2">
        <w:rPr>
          <w:rFonts w:cstheme="minorHAnsi"/>
        </w:rPr>
        <w:t xml:space="preserve">shows </w:t>
      </w:r>
      <w:r w:rsidR="00362076">
        <w:rPr>
          <w:rFonts w:cstheme="minorHAnsi"/>
        </w:rPr>
        <w:t xml:space="preserve">the historic patient panel volume since 2019. </w:t>
      </w:r>
    </w:p>
    <w:p w14:paraId="68AC0EF1" w14:textId="28BF864A" w:rsidR="00D33E32" w:rsidRDefault="00C2145D" w:rsidP="00C2145D">
      <w:pPr>
        <w:ind w:left="1080"/>
        <w:rPr>
          <w:rFonts w:ascii="Calibri" w:eastAsia="Times New Roman" w:hAnsi="Calibri" w:cs="Calibri"/>
          <w:b/>
          <w:bCs/>
          <w:color w:val="222B35"/>
        </w:rPr>
      </w:pPr>
      <w:r w:rsidRPr="00884312">
        <w:rPr>
          <w:rFonts w:ascii="Calibri" w:eastAsia="Times New Roman" w:hAnsi="Calibri" w:cs="Calibri"/>
          <w:b/>
          <w:bCs/>
          <w:color w:val="222B35"/>
        </w:rPr>
        <w:t>Table 1: Atrius Health - Patient Panel, January 2019 – June 2022</w:t>
      </w:r>
    </w:p>
    <w:tbl>
      <w:tblPr>
        <w:tblStyle w:val="TableGrid"/>
        <w:tblW w:w="8700" w:type="dxa"/>
        <w:tblInd w:w="1080" w:type="dxa"/>
        <w:tblLook w:val="04A0" w:firstRow="1" w:lastRow="0" w:firstColumn="1" w:lastColumn="0" w:noHBand="0" w:noVBand="1"/>
      </w:tblPr>
      <w:tblGrid>
        <w:gridCol w:w="3609"/>
        <w:gridCol w:w="1272"/>
        <w:gridCol w:w="1273"/>
        <w:gridCol w:w="1273"/>
        <w:gridCol w:w="1273"/>
      </w:tblGrid>
      <w:tr w:rsidR="00C2145D" w14:paraId="1104E6EC" w14:textId="77777777" w:rsidTr="00C2145D">
        <w:tc>
          <w:tcPr>
            <w:tcW w:w="3609" w:type="dxa"/>
            <w:tcBorders>
              <w:top w:val="nil"/>
              <w:left w:val="nil"/>
            </w:tcBorders>
          </w:tcPr>
          <w:p w14:paraId="1DC6625D" w14:textId="77777777" w:rsidR="00C2145D" w:rsidRDefault="00C2145D" w:rsidP="00C2145D">
            <w:pPr>
              <w:rPr>
                <w:rFonts w:cstheme="minorHAnsi"/>
              </w:rPr>
            </w:pPr>
          </w:p>
        </w:tc>
        <w:tc>
          <w:tcPr>
            <w:tcW w:w="1272" w:type="dxa"/>
            <w:shd w:val="clear" w:color="auto" w:fill="DEEAF6" w:themeFill="accent1" w:themeFillTint="33"/>
            <w:vAlign w:val="center"/>
          </w:tcPr>
          <w:p w14:paraId="368AA249" w14:textId="3D59FDBF" w:rsidR="00C2145D" w:rsidRDefault="00C2145D" w:rsidP="00C2145D">
            <w:pPr>
              <w:jc w:val="center"/>
              <w:rPr>
                <w:rFonts w:cstheme="minorHAnsi"/>
              </w:rPr>
            </w:pPr>
            <w:r w:rsidRPr="00884312">
              <w:rPr>
                <w:rFonts w:ascii="Calibri" w:eastAsia="Times New Roman" w:hAnsi="Calibri" w:cs="Calibri"/>
                <w:b/>
                <w:bCs/>
                <w:color w:val="000000"/>
              </w:rPr>
              <w:t>2019</w:t>
            </w:r>
          </w:p>
        </w:tc>
        <w:tc>
          <w:tcPr>
            <w:tcW w:w="1273" w:type="dxa"/>
            <w:shd w:val="clear" w:color="auto" w:fill="DEEAF6" w:themeFill="accent1" w:themeFillTint="33"/>
            <w:vAlign w:val="center"/>
          </w:tcPr>
          <w:p w14:paraId="27453B5E" w14:textId="2820524A" w:rsidR="00C2145D" w:rsidRDefault="00C2145D" w:rsidP="00C2145D">
            <w:pPr>
              <w:jc w:val="center"/>
              <w:rPr>
                <w:rFonts w:cstheme="minorHAnsi"/>
              </w:rPr>
            </w:pPr>
            <w:r w:rsidRPr="00884312">
              <w:rPr>
                <w:rFonts w:ascii="Calibri" w:eastAsia="Times New Roman" w:hAnsi="Calibri" w:cs="Calibri"/>
                <w:b/>
                <w:bCs/>
                <w:color w:val="000000"/>
              </w:rPr>
              <w:t>2020</w:t>
            </w:r>
          </w:p>
        </w:tc>
        <w:tc>
          <w:tcPr>
            <w:tcW w:w="1273" w:type="dxa"/>
            <w:shd w:val="clear" w:color="auto" w:fill="DEEAF6" w:themeFill="accent1" w:themeFillTint="33"/>
            <w:vAlign w:val="center"/>
          </w:tcPr>
          <w:p w14:paraId="097A1CD8" w14:textId="28053F6B" w:rsidR="00C2145D" w:rsidRDefault="00C2145D" w:rsidP="00C2145D">
            <w:pPr>
              <w:jc w:val="center"/>
              <w:rPr>
                <w:rFonts w:cstheme="minorHAnsi"/>
              </w:rPr>
            </w:pPr>
            <w:r w:rsidRPr="00884312">
              <w:rPr>
                <w:rFonts w:ascii="Calibri" w:eastAsia="Times New Roman" w:hAnsi="Calibri" w:cs="Calibri"/>
                <w:b/>
                <w:bCs/>
                <w:color w:val="000000"/>
              </w:rPr>
              <w:t>2021</w:t>
            </w:r>
          </w:p>
        </w:tc>
        <w:tc>
          <w:tcPr>
            <w:tcW w:w="1273" w:type="dxa"/>
            <w:shd w:val="clear" w:color="auto" w:fill="DEEAF6" w:themeFill="accent1" w:themeFillTint="33"/>
            <w:vAlign w:val="center"/>
          </w:tcPr>
          <w:p w14:paraId="6F8F5225" w14:textId="6BC25241" w:rsidR="00C2145D" w:rsidRDefault="00C2145D" w:rsidP="00C2145D">
            <w:pPr>
              <w:jc w:val="center"/>
              <w:rPr>
                <w:rFonts w:cstheme="minorHAnsi"/>
              </w:rPr>
            </w:pPr>
            <w:r w:rsidRPr="00884312">
              <w:rPr>
                <w:rFonts w:ascii="Calibri" w:eastAsia="Times New Roman" w:hAnsi="Calibri" w:cs="Calibri"/>
                <w:b/>
                <w:bCs/>
                <w:color w:val="000000"/>
              </w:rPr>
              <w:t>2022</w:t>
            </w:r>
            <w:r w:rsidRPr="00884312">
              <w:rPr>
                <w:rFonts w:ascii="Calibri" w:eastAsia="Times New Roman" w:hAnsi="Calibri" w:cs="Calibri"/>
                <w:color w:val="000000"/>
              </w:rPr>
              <w:t>*</w:t>
            </w:r>
          </w:p>
        </w:tc>
      </w:tr>
      <w:tr w:rsidR="00C2145D" w14:paraId="3FB0D8F5" w14:textId="77777777" w:rsidTr="00C2145D">
        <w:trPr>
          <w:trHeight w:val="345"/>
        </w:trPr>
        <w:tc>
          <w:tcPr>
            <w:tcW w:w="3609" w:type="dxa"/>
            <w:vAlign w:val="center"/>
          </w:tcPr>
          <w:p w14:paraId="041BA80E" w14:textId="3A8287DA" w:rsidR="00C2145D" w:rsidRDefault="00C2145D" w:rsidP="00C2145D">
            <w:pPr>
              <w:rPr>
                <w:rFonts w:cstheme="minorHAnsi"/>
              </w:rPr>
            </w:pPr>
            <w:r w:rsidRPr="00884312">
              <w:rPr>
                <w:rFonts w:ascii="Calibri" w:eastAsia="Times New Roman" w:hAnsi="Calibri" w:cs="Calibri"/>
                <w:b/>
                <w:bCs/>
                <w:color w:val="000000"/>
              </w:rPr>
              <w:t>Unique number of patients served</w:t>
            </w:r>
          </w:p>
        </w:tc>
        <w:tc>
          <w:tcPr>
            <w:tcW w:w="1272" w:type="dxa"/>
            <w:vAlign w:val="center"/>
          </w:tcPr>
          <w:p w14:paraId="066D40BE" w14:textId="40684A53" w:rsidR="00C2145D" w:rsidRDefault="00C2145D" w:rsidP="00C2145D">
            <w:pPr>
              <w:jc w:val="center"/>
              <w:rPr>
                <w:rFonts w:cstheme="minorHAnsi"/>
              </w:rPr>
            </w:pPr>
            <w:r w:rsidRPr="00884312">
              <w:rPr>
                <w:rFonts w:ascii="Calibri" w:eastAsia="Times New Roman" w:hAnsi="Calibri" w:cs="Calibri"/>
                <w:color w:val="000000"/>
              </w:rPr>
              <w:t>427,618</w:t>
            </w:r>
          </w:p>
        </w:tc>
        <w:tc>
          <w:tcPr>
            <w:tcW w:w="1273" w:type="dxa"/>
            <w:vAlign w:val="center"/>
          </w:tcPr>
          <w:p w14:paraId="69742C2F" w14:textId="20DB2E93" w:rsidR="00C2145D" w:rsidRDefault="00C2145D" w:rsidP="00C2145D">
            <w:pPr>
              <w:jc w:val="center"/>
              <w:rPr>
                <w:rFonts w:cstheme="minorHAnsi"/>
              </w:rPr>
            </w:pPr>
            <w:r w:rsidRPr="00884312">
              <w:rPr>
                <w:rFonts w:ascii="Calibri" w:eastAsia="Times New Roman" w:hAnsi="Calibri" w:cs="Calibri"/>
                <w:color w:val="000000"/>
              </w:rPr>
              <w:t>417,689</w:t>
            </w:r>
          </w:p>
        </w:tc>
        <w:tc>
          <w:tcPr>
            <w:tcW w:w="1273" w:type="dxa"/>
            <w:vAlign w:val="center"/>
          </w:tcPr>
          <w:p w14:paraId="2696BF1B" w14:textId="13967C7F" w:rsidR="00C2145D" w:rsidRDefault="00C2145D" w:rsidP="00C2145D">
            <w:pPr>
              <w:jc w:val="center"/>
              <w:rPr>
                <w:rFonts w:cstheme="minorHAnsi"/>
              </w:rPr>
            </w:pPr>
            <w:r w:rsidRPr="00884312">
              <w:rPr>
                <w:rFonts w:ascii="Calibri" w:eastAsia="Times New Roman" w:hAnsi="Calibri" w:cs="Calibri"/>
                <w:color w:val="000000"/>
              </w:rPr>
              <w:t>381,725</w:t>
            </w:r>
          </w:p>
        </w:tc>
        <w:tc>
          <w:tcPr>
            <w:tcW w:w="1273" w:type="dxa"/>
            <w:vAlign w:val="center"/>
          </w:tcPr>
          <w:p w14:paraId="476D0310" w14:textId="18DA84A2" w:rsidR="00C2145D" w:rsidRDefault="00C2145D" w:rsidP="00C2145D">
            <w:pPr>
              <w:jc w:val="center"/>
              <w:rPr>
                <w:rFonts w:cstheme="minorHAnsi"/>
              </w:rPr>
            </w:pPr>
            <w:r w:rsidRPr="00884312">
              <w:rPr>
                <w:rFonts w:ascii="Calibri" w:eastAsia="Times New Roman" w:hAnsi="Calibri" w:cs="Calibri"/>
                <w:color w:val="000000"/>
              </w:rPr>
              <w:t>383,507</w:t>
            </w:r>
          </w:p>
        </w:tc>
      </w:tr>
    </w:tbl>
    <w:p w14:paraId="252F5371" w14:textId="2D809D29" w:rsidR="00362076" w:rsidRDefault="00341B7C" w:rsidP="00341B7C">
      <w:pPr>
        <w:jc w:val="right"/>
        <w:rPr>
          <w:rFonts w:cstheme="minorHAnsi"/>
          <w:sz w:val="20"/>
          <w:szCs w:val="20"/>
        </w:rPr>
      </w:pPr>
      <w:r w:rsidRPr="00341B7C">
        <w:rPr>
          <w:rFonts w:ascii="Calibri" w:eastAsia="Times New Roman" w:hAnsi="Calibri" w:cs="Calibri"/>
          <w:color w:val="000000"/>
          <w:sz w:val="20"/>
          <w:szCs w:val="20"/>
        </w:rPr>
        <w:t xml:space="preserve">*Reporting </w:t>
      </w:r>
      <w:r>
        <w:rPr>
          <w:rFonts w:ascii="Calibri" w:eastAsia="Times New Roman" w:hAnsi="Calibri" w:cs="Calibri"/>
          <w:color w:val="000000"/>
          <w:sz w:val="20"/>
          <w:szCs w:val="20"/>
        </w:rPr>
        <w:t xml:space="preserve">unique patients based on patient encounters from </w:t>
      </w:r>
      <w:r w:rsidRPr="00341B7C">
        <w:rPr>
          <w:rFonts w:cstheme="minorHAnsi"/>
          <w:sz w:val="20"/>
          <w:szCs w:val="20"/>
        </w:rPr>
        <w:t>January 1 - June 30, 2022.</w:t>
      </w:r>
    </w:p>
    <w:p w14:paraId="23A0E268" w14:textId="45030C9F" w:rsidR="00362076" w:rsidRDefault="00362076" w:rsidP="00C255B7">
      <w:pPr>
        <w:ind w:left="1080"/>
        <w:jc w:val="both"/>
        <w:rPr>
          <w:rFonts w:cstheme="minorHAnsi"/>
        </w:rPr>
      </w:pPr>
      <w:r>
        <w:rPr>
          <w:rFonts w:cstheme="minorHAnsi"/>
        </w:rPr>
        <w:t>The top 15 towns</w:t>
      </w:r>
      <w:r w:rsidR="005108F4">
        <w:rPr>
          <w:rFonts w:cstheme="minorHAnsi"/>
        </w:rPr>
        <w:t xml:space="preserve"> from which </w:t>
      </w:r>
      <w:r w:rsidR="0041058B">
        <w:rPr>
          <w:rFonts w:cstheme="minorHAnsi"/>
        </w:rPr>
        <w:t xml:space="preserve">Atrius Health </w:t>
      </w:r>
      <w:r w:rsidR="000C0533">
        <w:rPr>
          <w:rFonts w:cstheme="minorHAnsi"/>
        </w:rPr>
        <w:t xml:space="preserve">has </w:t>
      </w:r>
      <w:r>
        <w:rPr>
          <w:rFonts w:cstheme="minorHAnsi"/>
        </w:rPr>
        <w:t>patients are Boston, Plymouth</w:t>
      </w:r>
      <w:r w:rsidR="00122AC2">
        <w:rPr>
          <w:rFonts w:cstheme="minorHAnsi"/>
        </w:rPr>
        <w:t xml:space="preserve"> (3.3%</w:t>
      </w:r>
      <w:r w:rsidR="006E3FD0">
        <w:rPr>
          <w:rFonts w:cstheme="minorHAnsi"/>
        </w:rPr>
        <w:t>),</w:t>
      </w:r>
      <w:r>
        <w:rPr>
          <w:rFonts w:cstheme="minorHAnsi"/>
        </w:rPr>
        <w:t xml:space="preserve"> Quincy, Cambridge, Somerville, Braintree, Medford, Dorchester, Lowell, Dedham, Weymouth, Peabody, Norwood, Newton, and Arlington. These 15 towns account for 32.6% of </w:t>
      </w:r>
      <w:r w:rsidR="008564B2">
        <w:rPr>
          <w:rFonts w:cstheme="minorHAnsi"/>
        </w:rPr>
        <w:t xml:space="preserve">Atrius Health’s </w:t>
      </w:r>
      <w:r>
        <w:rPr>
          <w:rFonts w:cstheme="minorHAnsi"/>
        </w:rPr>
        <w:t xml:space="preserve">total patient panel. </w:t>
      </w:r>
    </w:p>
    <w:p w14:paraId="6E1A66C7" w14:textId="24083411" w:rsidR="00362076" w:rsidRDefault="00362076" w:rsidP="00C255B7">
      <w:pPr>
        <w:ind w:left="1080"/>
        <w:jc w:val="both"/>
        <w:rPr>
          <w:rFonts w:cstheme="minorHAnsi"/>
        </w:rPr>
      </w:pPr>
      <w:r>
        <w:rPr>
          <w:rFonts w:cstheme="minorHAnsi"/>
        </w:rPr>
        <w:t xml:space="preserve">The Atrius Health patient panel mix can be broken down by gender, age, and race as outlined in Table 2 based on 2021 actual annual data. </w:t>
      </w:r>
      <w:proofErr w:type="gramStart"/>
      <w:r>
        <w:rPr>
          <w:rFonts w:cstheme="minorHAnsi"/>
        </w:rPr>
        <w:t>Similar to</w:t>
      </w:r>
      <w:proofErr w:type="gramEnd"/>
      <w:r>
        <w:rPr>
          <w:rFonts w:cstheme="minorHAnsi"/>
        </w:rPr>
        <w:t xml:space="preserve"> statewide experience</w:t>
      </w:r>
      <w:r w:rsidR="00786346">
        <w:rPr>
          <w:rFonts w:cstheme="minorHAnsi"/>
        </w:rPr>
        <w:t xml:space="preserve"> reported by the UMass Donahue Institute</w:t>
      </w:r>
      <w:r>
        <w:rPr>
          <w:rFonts w:cstheme="minorHAnsi"/>
        </w:rPr>
        <w:t xml:space="preserve">, Atrius Health has seen increases in the aging population evidenced by the increasing percentage of </w:t>
      </w:r>
      <w:r w:rsidR="005108F4">
        <w:rPr>
          <w:rFonts w:cstheme="minorHAnsi"/>
        </w:rPr>
        <w:t xml:space="preserve">the </w:t>
      </w:r>
      <w:r>
        <w:rPr>
          <w:rFonts w:cstheme="minorHAnsi"/>
        </w:rPr>
        <w:t>patient panel over</w:t>
      </w:r>
      <w:r w:rsidR="00AA7E47">
        <w:rPr>
          <w:rFonts w:cstheme="minorHAnsi"/>
        </w:rPr>
        <w:t xml:space="preserve"> age</w:t>
      </w:r>
      <w:r>
        <w:rPr>
          <w:rFonts w:cstheme="minorHAnsi"/>
        </w:rPr>
        <w:t xml:space="preserve"> 65.</w:t>
      </w:r>
      <w:r w:rsidR="002A134A">
        <w:rPr>
          <w:rStyle w:val="FootnoteReference"/>
          <w:rFonts w:cstheme="minorHAnsi"/>
        </w:rPr>
        <w:footnoteReference w:id="7"/>
      </w:r>
    </w:p>
    <w:p w14:paraId="05E5C693" w14:textId="2A6033CE" w:rsidR="00362076" w:rsidRPr="008A187C" w:rsidRDefault="005108F4" w:rsidP="00C2145D">
      <w:pPr>
        <w:ind w:left="1080"/>
        <w:rPr>
          <w:rFonts w:cstheme="minorHAnsi"/>
          <w:b/>
        </w:rPr>
      </w:pPr>
      <w:r w:rsidRPr="00884312">
        <w:rPr>
          <w:rFonts w:cstheme="minorHAnsi"/>
          <w:b/>
          <w:bCs/>
        </w:rPr>
        <w:t>Table 2:</w:t>
      </w:r>
      <w:r>
        <w:rPr>
          <w:rFonts w:cstheme="minorHAnsi"/>
        </w:rPr>
        <w:t xml:space="preserve"> </w:t>
      </w:r>
      <w:r w:rsidR="008564B2" w:rsidRPr="008A187C">
        <w:rPr>
          <w:rFonts w:cstheme="minorHAnsi"/>
          <w:b/>
        </w:rPr>
        <w:t>A</w:t>
      </w:r>
      <w:r>
        <w:rPr>
          <w:rFonts w:cstheme="minorHAnsi"/>
          <w:b/>
        </w:rPr>
        <w:t xml:space="preserve">trius Health Patient </w:t>
      </w:r>
      <w:r w:rsidRPr="00C2145D">
        <w:rPr>
          <w:rFonts w:ascii="Calibri" w:eastAsia="Times New Roman" w:hAnsi="Calibri" w:cs="Calibri"/>
          <w:b/>
          <w:bCs/>
          <w:color w:val="222B35"/>
        </w:rPr>
        <w:t>Panel</w:t>
      </w:r>
      <w:r>
        <w:rPr>
          <w:rFonts w:cstheme="minorHAnsi"/>
          <w:b/>
        </w:rPr>
        <w:t xml:space="preserve"> Demographics</w:t>
      </w:r>
    </w:p>
    <w:tbl>
      <w:tblPr>
        <w:tblW w:w="7277" w:type="dxa"/>
        <w:tblInd w:w="1080" w:type="dxa"/>
        <w:tblLook w:val="04A0" w:firstRow="1" w:lastRow="0" w:firstColumn="1" w:lastColumn="0" w:noHBand="0" w:noVBand="1"/>
      </w:tblPr>
      <w:tblGrid>
        <w:gridCol w:w="2037"/>
        <w:gridCol w:w="1310"/>
        <w:gridCol w:w="1310"/>
        <w:gridCol w:w="1310"/>
        <w:gridCol w:w="1310"/>
      </w:tblGrid>
      <w:tr w:rsidR="00362076" w:rsidRPr="0052524E" w14:paraId="4A02BD9D" w14:textId="77777777" w:rsidTr="0054089C">
        <w:trPr>
          <w:cantSplit/>
          <w:trHeight w:val="462"/>
          <w:tblHeader/>
        </w:trPr>
        <w:tc>
          <w:tcPr>
            <w:tcW w:w="2037" w:type="dxa"/>
            <w:tcBorders>
              <w:bottom w:val="single" w:sz="4" w:space="0" w:color="auto"/>
              <w:right w:val="single" w:sz="4" w:space="0" w:color="auto"/>
            </w:tcBorders>
            <w:shd w:val="clear" w:color="000000" w:fill="FFFFFF" w:themeFill="background1"/>
            <w:noWrap/>
            <w:vAlign w:val="bottom"/>
            <w:hideMark/>
          </w:tcPr>
          <w:p w14:paraId="5AFFA6A1" w14:textId="0A61B624" w:rsidR="00362076" w:rsidRPr="0052524E" w:rsidRDefault="00362076" w:rsidP="00D33E32">
            <w:pPr>
              <w:spacing w:after="0" w:line="240" w:lineRule="auto"/>
              <w:rPr>
                <w:rFonts w:ascii="Calibri" w:eastAsia="Times New Roman" w:hAnsi="Calibri" w:cs="Calibri"/>
                <w:b/>
                <w:bCs/>
                <w:color w:val="000000"/>
                <w:sz w:val="20"/>
                <w:szCs w:val="20"/>
              </w:rPr>
            </w:pPr>
          </w:p>
        </w:tc>
        <w:tc>
          <w:tcPr>
            <w:tcW w:w="131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CA8554B" w14:textId="77777777" w:rsidR="00362076" w:rsidRPr="0052524E" w:rsidRDefault="00362076" w:rsidP="00D33E32">
            <w:pPr>
              <w:spacing w:after="0" w:line="240" w:lineRule="auto"/>
              <w:jc w:val="center"/>
              <w:rPr>
                <w:rFonts w:ascii="Calibri" w:eastAsia="Times New Roman" w:hAnsi="Calibri" w:cs="Calibri"/>
                <w:b/>
                <w:bCs/>
                <w:color w:val="000000"/>
                <w:sz w:val="20"/>
                <w:szCs w:val="20"/>
              </w:rPr>
            </w:pPr>
            <w:r w:rsidRPr="0052524E">
              <w:rPr>
                <w:rFonts w:ascii="Calibri" w:eastAsia="Times New Roman" w:hAnsi="Calibri" w:cs="Calibri"/>
                <w:b/>
                <w:bCs/>
                <w:color w:val="000000"/>
                <w:sz w:val="20"/>
                <w:szCs w:val="20"/>
              </w:rPr>
              <w:t>2019</w:t>
            </w:r>
          </w:p>
        </w:tc>
        <w:tc>
          <w:tcPr>
            <w:tcW w:w="1310" w:type="dxa"/>
            <w:tcBorders>
              <w:top w:val="single" w:sz="4" w:space="0" w:color="auto"/>
              <w:left w:val="nil"/>
              <w:bottom w:val="single" w:sz="4" w:space="0" w:color="auto"/>
              <w:right w:val="single" w:sz="4" w:space="0" w:color="auto"/>
            </w:tcBorders>
            <w:shd w:val="clear" w:color="000000" w:fill="DDEBF7"/>
            <w:noWrap/>
            <w:vAlign w:val="center"/>
            <w:hideMark/>
          </w:tcPr>
          <w:p w14:paraId="00DCD9D1" w14:textId="77777777" w:rsidR="00362076" w:rsidRPr="0052524E" w:rsidRDefault="00362076" w:rsidP="00D33E32">
            <w:pPr>
              <w:spacing w:after="0" w:line="240" w:lineRule="auto"/>
              <w:jc w:val="center"/>
              <w:rPr>
                <w:rFonts w:ascii="Calibri" w:eastAsia="Times New Roman" w:hAnsi="Calibri" w:cs="Calibri"/>
                <w:b/>
                <w:bCs/>
                <w:color w:val="000000"/>
                <w:sz w:val="20"/>
                <w:szCs w:val="20"/>
              </w:rPr>
            </w:pPr>
            <w:r w:rsidRPr="0052524E">
              <w:rPr>
                <w:rFonts w:ascii="Calibri" w:eastAsia="Times New Roman" w:hAnsi="Calibri" w:cs="Calibri"/>
                <w:b/>
                <w:bCs/>
                <w:color w:val="000000"/>
                <w:sz w:val="20"/>
                <w:szCs w:val="20"/>
              </w:rPr>
              <w:t>2020</w:t>
            </w:r>
          </w:p>
        </w:tc>
        <w:tc>
          <w:tcPr>
            <w:tcW w:w="1310" w:type="dxa"/>
            <w:tcBorders>
              <w:top w:val="single" w:sz="4" w:space="0" w:color="auto"/>
              <w:left w:val="nil"/>
              <w:bottom w:val="single" w:sz="4" w:space="0" w:color="auto"/>
              <w:right w:val="single" w:sz="4" w:space="0" w:color="auto"/>
            </w:tcBorders>
            <w:shd w:val="clear" w:color="000000" w:fill="DDEBF7"/>
            <w:noWrap/>
            <w:vAlign w:val="center"/>
            <w:hideMark/>
          </w:tcPr>
          <w:p w14:paraId="339CE9EA" w14:textId="77777777" w:rsidR="00362076" w:rsidRPr="0052524E" w:rsidRDefault="00362076" w:rsidP="00D33E32">
            <w:pPr>
              <w:spacing w:after="0" w:line="240" w:lineRule="auto"/>
              <w:jc w:val="center"/>
              <w:rPr>
                <w:rFonts w:ascii="Calibri" w:eastAsia="Times New Roman" w:hAnsi="Calibri" w:cs="Calibri"/>
                <w:b/>
                <w:bCs/>
                <w:color w:val="000000"/>
                <w:sz w:val="20"/>
                <w:szCs w:val="20"/>
              </w:rPr>
            </w:pPr>
            <w:r w:rsidRPr="0052524E">
              <w:rPr>
                <w:rFonts w:ascii="Calibri" w:eastAsia="Times New Roman" w:hAnsi="Calibri" w:cs="Calibri"/>
                <w:b/>
                <w:bCs/>
                <w:color w:val="000000"/>
                <w:sz w:val="20"/>
                <w:szCs w:val="20"/>
              </w:rPr>
              <w:t>2021</w:t>
            </w:r>
          </w:p>
        </w:tc>
        <w:tc>
          <w:tcPr>
            <w:tcW w:w="1310" w:type="dxa"/>
            <w:tcBorders>
              <w:top w:val="single" w:sz="4" w:space="0" w:color="auto"/>
              <w:left w:val="nil"/>
              <w:bottom w:val="single" w:sz="4" w:space="0" w:color="auto"/>
              <w:right w:val="single" w:sz="4" w:space="0" w:color="auto"/>
            </w:tcBorders>
            <w:shd w:val="clear" w:color="000000" w:fill="DDEBF7"/>
            <w:noWrap/>
            <w:vAlign w:val="center"/>
            <w:hideMark/>
          </w:tcPr>
          <w:p w14:paraId="25C67853" w14:textId="77777777" w:rsidR="00362076" w:rsidRPr="0052524E" w:rsidRDefault="00362076" w:rsidP="00D33E32">
            <w:pPr>
              <w:spacing w:after="0" w:line="240" w:lineRule="auto"/>
              <w:jc w:val="center"/>
              <w:rPr>
                <w:rFonts w:ascii="Calibri" w:eastAsia="Times New Roman" w:hAnsi="Calibri" w:cs="Calibri"/>
                <w:b/>
                <w:bCs/>
                <w:color w:val="000000"/>
                <w:sz w:val="20"/>
                <w:szCs w:val="20"/>
              </w:rPr>
            </w:pPr>
            <w:r w:rsidRPr="0052524E">
              <w:rPr>
                <w:rFonts w:ascii="Calibri" w:eastAsia="Times New Roman" w:hAnsi="Calibri" w:cs="Calibri"/>
                <w:b/>
                <w:bCs/>
                <w:color w:val="000000"/>
                <w:sz w:val="20"/>
                <w:szCs w:val="20"/>
              </w:rPr>
              <w:t>2022</w:t>
            </w:r>
            <w:r w:rsidRPr="0052524E">
              <w:rPr>
                <w:rFonts w:ascii="Calibri" w:eastAsia="Times New Roman" w:hAnsi="Calibri" w:cs="Calibri"/>
                <w:color w:val="000000"/>
                <w:sz w:val="20"/>
                <w:szCs w:val="20"/>
              </w:rPr>
              <w:t>*</w:t>
            </w:r>
          </w:p>
        </w:tc>
      </w:tr>
      <w:tr w:rsidR="00362076" w:rsidRPr="0052524E" w14:paraId="7B67A875" w14:textId="77777777" w:rsidTr="0054089C">
        <w:trPr>
          <w:cantSplit/>
          <w:trHeight w:val="259"/>
        </w:trPr>
        <w:tc>
          <w:tcPr>
            <w:tcW w:w="2037" w:type="dxa"/>
            <w:tcBorders>
              <w:top w:val="nil"/>
              <w:left w:val="single" w:sz="4" w:space="0" w:color="auto"/>
              <w:bottom w:val="nil"/>
              <w:right w:val="single" w:sz="4" w:space="0" w:color="auto"/>
            </w:tcBorders>
            <w:shd w:val="clear" w:color="auto" w:fill="auto"/>
            <w:noWrap/>
            <w:vAlign w:val="bottom"/>
            <w:hideMark/>
          </w:tcPr>
          <w:p w14:paraId="0A24ED64" w14:textId="45EAE5B2" w:rsidR="00BE0581" w:rsidRDefault="00BE0581" w:rsidP="00BE0581">
            <w:pPr>
              <w:spacing w:after="0" w:line="240" w:lineRule="auto"/>
              <w:rPr>
                <w:rFonts w:ascii="Calibri" w:eastAsia="Times New Roman" w:hAnsi="Calibri" w:cs="Calibri"/>
                <w:color w:val="000000"/>
                <w:sz w:val="20"/>
                <w:szCs w:val="20"/>
              </w:rPr>
            </w:pPr>
            <w:r w:rsidRPr="0052524E">
              <w:rPr>
                <w:rFonts w:ascii="Calibri" w:eastAsia="Times New Roman" w:hAnsi="Calibri" w:cs="Calibri"/>
                <w:b/>
                <w:bCs/>
                <w:color w:val="000000"/>
                <w:sz w:val="20"/>
                <w:szCs w:val="20"/>
              </w:rPr>
              <w:t>Gender</w:t>
            </w:r>
          </w:p>
          <w:p w14:paraId="4553C4F6" w14:textId="4600074D" w:rsidR="00362076" w:rsidRPr="0052524E" w:rsidRDefault="00362076" w:rsidP="00D33E32">
            <w:pPr>
              <w:spacing w:after="0" w:line="240" w:lineRule="auto"/>
              <w:ind w:firstLineChars="100" w:firstLine="200"/>
              <w:rPr>
                <w:rFonts w:ascii="Calibri" w:eastAsia="Times New Roman" w:hAnsi="Calibri" w:cs="Calibri"/>
                <w:color w:val="000000"/>
                <w:sz w:val="20"/>
                <w:szCs w:val="20"/>
              </w:rPr>
            </w:pPr>
            <w:r w:rsidRPr="0052524E">
              <w:rPr>
                <w:rFonts w:ascii="Calibri" w:eastAsia="Times New Roman" w:hAnsi="Calibri" w:cs="Calibri"/>
                <w:color w:val="000000"/>
                <w:sz w:val="20"/>
                <w:szCs w:val="20"/>
              </w:rPr>
              <w:t>Female</w:t>
            </w:r>
          </w:p>
        </w:tc>
        <w:tc>
          <w:tcPr>
            <w:tcW w:w="1310" w:type="dxa"/>
            <w:tcBorders>
              <w:top w:val="nil"/>
              <w:left w:val="single" w:sz="4" w:space="0" w:color="auto"/>
              <w:bottom w:val="nil"/>
              <w:right w:val="single" w:sz="4" w:space="0" w:color="auto"/>
            </w:tcBorders>
            <w:shd w:val="clear" w:color="auto" w:fill="auto"/>
            <w:noWrap/>
            <w:vAlign w:val="bottom"/>
            <w:hideMark/>
          </w:tcPr>
          <w:p w14:paraId="39B7F4A6"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58.4%</w:t>
            </w:r>
          </w:p>
        </w:tc>
        <w:tc>
          <w:tcPr>
            <w:tcW w:w="1310" w:type="dxa"/>
            <w:tcBorders>
              <w:top w:val="nil"/>
              <w:left w:val="nil"/>
              <w:bottom w:val="nil"/>
              <w:right w:val="single" w:sz="4" w:space="0" w:color="auto"/>
            </w:tcBorders>
            <w:shd w:val="clear" w:color="auto" w:fill="auto"/>
            <w:noWrap/>
            <w:vAlign w:val="bottom"/>
            <w:hideMark/>
          </w:tcPr>
          <w:p w14:paraId="613151A1"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58.3%</w:t>
            </w:r>
          </w:p>
        </w:tc>
        <w:tc>
          <w:tcPr>
            <w:tcW w:w="1310" w:type="dxa"/>
            <w:tcBorders>
              <w:top w:val="nil"/>
              <w:left w:val="nil"/>
              <w:bottom w:val="nil"/>
              <w:right w:val="single" w:sz="4" w:space="0" w:color="auto"/>
            </w:tcBorders>
            <w:shd w:val="clear" w:color="auto" w:fill="auto"/>
            <w:noWrap/>
            <w:vAlign w:val="bottom"/>
            <w:hideMark/>
          </w:tcPr>
          <w:p w14:paraId="3C1578B6"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58.0%</w:t>
            </w:r>
          </w:p>
        </w:tc>
        <w:tc>
          <w:tcPr>
            <w:tcW w:w="1310" w:type="dxa"/>
            <w:tcBorders>
              <w:top w:val="nil"/>
              <w:left w:val="nil"/>
              <w:bottom w:val="nil"/>
              <w:right w:val="single" w:sz="4" w:space="0" w:color="auto"/>
            </w:tcBorders>
            <w:shd w:val="clear" w:color="auto" w:fill="auto"/>
            <w:noWrap/>
            <w:vAlign w:val="bottom"/>
            <w:hideMark/>
          </w:tcPr>
          <w:p w14:paraId="1EC4B530"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58.1%</w:t>
            </w:r>
          </w:p>
        </w:tc>
      </w:tr>
      <w:tr w:rsidR="00362076" w:rsidRPr="0052524E" w14:paraId="7313E159" w14:textId="77777777" w:rsidTr="0054089C">
        <w:trPr>
          <w:cantSplit/>
          <w:trHeight w:val="259"/>
        </w:trPr>
        <w:tc>
          <w:tcPr>
            <w:tcW w:w="2037" w:type="dxa"/>
            <w:tcBorders>
              <w:top w:val="nil"/>
              <w:left w:val="single" w:sz="4" w:space="0" w:color="auto"/>
              <w:bottom w:val="single" w:sz="4" w:space="0" w:color="auto"/>
              <w:right w:val="single" w:sz="4" w:space="0" w:color="auto"/>
            </w:tcBorders>
            <w:shd w:val="clear" w:color="auto" w:fill="auto"/>
            <w:noWrap/>
            <w:vAlign w:val="bottom"/>
            <w:hideMark/>
          </w:tcPr>
          <w:p w14:paraId="52B68F48" w14:textId="77777777" w:rsidR="00362076" w:rsidRPr="0052524E" w:rsidRDefault="00362076" w:rsidP="00D33E32">
            <w:pPr>
              <w:spacing w:after="0" w:line="240" w:lineRule="auto"/>
              <w:ind w:firstLineChars="100" w:firstLine="200"/>
              <w:rPr>
                <w:rFonts w:ascii="Calibri" w:eastAsia="Times New Roman" w:hAnsi="Calibri" w:cs="Calibri"/>
                <w:color w:val="000000"/>
                <w:sz w:val="20"/>
                <w:szCs w:val="20"/>
              </w:rPr>
            </w:pPr>
            <w:r w:rsidRPr="0052524E">
              <w:rPr>
                <w:rFonts w:ascii="Calibri" w:eastAsia="Times New Roman" w:hAnsi="Calibri" w:cs="Calibri"/>
                <w:color w:val="000000"/>
                <w:sz w:val="20"/>
                <w:szCs w:val="20"/>
              </w:rPr>
              <w:t>Male</w:t>
            </w:r>
          </w:p>
        </w:tc>
        <w:tc>
          <w:tcPr>
            <w:tcW w:w="1310" w:type="dxa"/>
            <w:tcBorders>
              <w:top w:val="nil"/>
              <w:left w:val="single" w:sz="4" w:space="0" w:color="auto"/>
              <w:bottom w:val="nil"/>
              <w:right w:val="single" w:sz="4" w:space="0" w:color="auto"/>
            </w:tcBorders>
            <w:shd w:val="clear" w:color="auto" w:fill="auto"/>
            <w:noWrap/>
            <w:vAlign w:val="bottom"/>
            <w:hideMark/>
          </w:tcPr>
          <w:p w14:paraId="40A3A3E2"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41.6%</w:t>
            </w:r>
          </w:p>
        </w:tc>
        <w:tc>
          <w:tcPr>
            <w:tcW w:w="1310" w:type="dxa"/>
            <w:tcBorders>
              <w:top w:val="nil"/>
              <w:left w:val="nil"/>
              <w:bottom w:val="nil"/>
              <w:right w:val="single" w:sz="4" w:space="0" w:color="auto"/>
            </w:tcBorders>
            <w:shd w:val="clear" w:color="auto" w:fill="auto"/>
            <w:noWrap/>
            <w:vAlign w:val="bottom"/>
            <w:hideMark/>
          </w:tcPr>
          <w:p w14:paraId="60D2F010"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41.7%</w:t>
            </w:r>
          </w:p>
        </w:tc>
        <w:tc>
          <w:tcPr>
            <w:tcW w:w="1310" w:type="dxa"/>
            <w:tcBorders>
              <w:top w:val="nil"/>
              <w:left w:val="nil"/>
              <w:bottom w:val="nil"/>
              <w:right w:val="single" w:sz="4" w:space="0" w:color="auto"/>
            </w:tcBorders>
            <w:shd w:val="clear" w:color="auto" w:fill="auto"/>
            <w:noWrap/>
            <w:vAlign w:val="bottom"/>
            <w:hideMark/>
          </w:tcPr>
          <w:p w14:paraId="17508349"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42.0%</w:t>
            </w:r>
          </w:p>
        </w:tc>
        <w:tc>
          <w:tcPr>
            <w:tcW w:w="1310" w:type="dxa"/>
            <w:tcBorders>
              <w:top w:val="nil"/>
              <w:left w:val="nil"/>
              <w:bottom w:val="nil"/>
              <w:right w:val="single" w:sz="4" w:space="0" w:color="auto"/>
            </w:tcBorders>
            <w:shd w:val="clear" w:color="auto" w:fill="auto"/>
            <w:noWrap/>
            <w:vAlign w:val="bottom"/>
            <w:hideMark/>
          </w:tcPr>
          <w:p w14:paraId="06C94976"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41.9%</w:t>
            </w:r>
          </w:p>
        </w:tc>
      </w:tr>
      <w:tr w:rsidR="00362076" w:rsidRPr="0052524E" w14:paraId="521E3C1C" w14:textId="77777777" w:rsidTr="0054089C">
        <w:trPr>
          <w:cantSplit/>
          <w:trHeight w:val="259"/>
        </w:trPr>
        <w:tc>
          <w:tcPr>
            <w:tcW w:w="2037" w:type="dxa"/>
            <w:tcBorders>
              <w:top w:val="nil"/>
              <w:left w:val="single" w:sz="4" w:space="0" w:color="auto"/>
              <w:bottom w:val="nil"/>
              <w:right w:val="single" w:sz="4" w:space="0" w:color="auto"/>
            </w:tcBorders>
            <w:shd w:val="clear" w:color="auto" w:fill="auto"/>
            <w:noWrap/>
            <w:vAlign w:val="bottom"/>
            <w:hideMark/>
          </w:tcPr>
          <w:p w14:paraId="4EB56AFD" w14:textId="2FD4B713" w:rsidR="0054089C" w:rsidRDefault="0054089C" w:rsidP="0054089C">
            <w:pPr>
              <w:spacing w:after="0" w:line="240" w:lineRule="auto"/>
              <w:rPr>
                <w:rFonts w:ascii="Calibri" w:eastAsia="Times New Roman" w:hAnsi="Calibri" w:cs="Calibri"/>
                <w:color w:val="000000"/>
                <w:sz w:val="20"/>
                <w:szCs w:val="20"/>
              </w:rPr>
            </w:pPr>
            <w:r w:rsidRPr="0052524E">
              <w:rPr>
                <w:rFonts w:ascii="Calibri" w:eastAsia="Times New Roman" w:hAnsi="Calibri" w:cs="Calibri"/>
                <w:b/>
                <w:bCs/>
                <w:color w:val="000000"/>
                <w:sz w:val="20"/>
                <w:szCs w:val="20"/>
              </w:rPr>
              <w:lastRenderedPageBreak/>
              <w:t>Age</w:t>
            </w:r>
          </w:p>
          <w:p w14:paraId="4EDCCB97" w14:textId="6A90C3D3" w:rsidR="00362076" w:rsidRPr="0052524E" w:rsidRDefault="00362076" w:rsidP="00D33E32">
            <w:pPr>
              <w:spacing w:after="0" w:line="240" w:lineRule="auto"/>
              <w:ind w:firstLineChars="100" w:firstLine="200"/>
              <w:rPr>
                <w:rFonts w:ascii="Calibri" w:eastAsia="Times New Roman" w:hAnsi="Calibri" w:cs="Calibri"/>
                <w:color w:val="000000"/>
                <w:sz w:val="20"/>
                <w:szCs w:val="20"/>
              </w:rPr>
            </w:pPr>
            <w:r w:rsidRPr="0052524E">
              <w:rPr>
                <w:rFonts w:ascii="Calibri" w:eastAsia="Times New Roman" w:hAnsi="Calibri" w:cs="Calibri"/>
                <w:color w:val="000000"/>
                <w:sz w:val="20"/>
                <w:szCs w:val="20"/>
              </w:rPr>
              <w:t>0 to 18</w:t>
            </w:r>
          </w:p>
        </w:tc>
        <w:tc>
          <w:tcPr>
            <w:tcW w:w="1310" w:type="dxa"/>
            <w:tcBorders>
              <w:top w:val="nil"/>
              <w:left w:val="single" w:sz="4" w:space="0" w:color="auto"/>
              <w:bottom w:val="nil"/>
              <w:right w:val="single" w:sz="4" w:space="0" w:color="auto"/>
            </w:tcBorders>
            <w:shd w:val="clear" w:color="auto" w:fill="auto"/>
            <w:noWrap/>
            <w:vAlign w:val="bottom"/>
            <w:hideMark/>
          </w:tcPr>
          <w:p w14:paraId="077B3ECB"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0.7%</w:t>
            </w:r>
          </w:p>
        </w:tc>
        <w:tc>
          <w:tcPr>
            <w:tcW w:w="1310" w:type="dxa"/>
            <w:tcBorders>
              <w:top w:val="nil"/>
              <w:left w:val="nil"/>
              <w:bottom w:val="nil"/>
              <w:right w:val="single" w:sz="4" w:space="0" w:color="auto"/>
            </w:tcBorders>
            <w:shd w:val="clear" w:color="auto" w:fill="auto"/>
            <w:noWrap/>
            <w:vAlign w:val="bottom"/>
            <w:hideMark/>
          </w:tcPr>
          <w:p w14:paraId="1E24AA8B"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0.7%</w:t>
            </w:r>
          </w:p>
        </w:tc>
        <w:tc>
          <w:tcPr>
            <w:tcW w:w="1310" w:type="dxa"/>
            <w:tcBorders>
              <w:top w:val="nil"/>
              <w:left w:val="nil"/>
              <w:bottom w:val="nil"/>
              <w:right w:val="single" w:sz="4" w:space="0" w:color="auto"/>
            </w:tcBorders>
            <w:shd w:val="clear" w:color="auto" w:fill="auto"/>
            <w:noWrap/>
            <w:vAlign w:val="bottom"/>
            <w:hideMark/>
          </w:tcPr>
          <w:p w14:paraId="7FAF6431"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0.7%</w:t>
            </w:r>
          </w:p>
        </w:tc>
        <w:tc>
          <w:tcPr>
            <w:tcW w:w="1310" w:type="dxa"/>
            <w:tcBorders>
              <w:top w:val="nil"/>
              <w:left w:val="nil"/>
              <w:bottom w:val="nil"/>
              <w:right w:val="single" w:sz="4" w:space="0" w:color="auto"/>
            </w:tcBorders>
            <w:shd w:val="clear" w:color="auto" w:fill="auto"/>
            <w:noWrap/>
            <w:vAlign w:val="bottom"/>
            <w:hideMark/>
          </w:tcPr>
          <w:p w14:paraId="06A3B9DE"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0.7%</w:t>
            </w:r>
          </w:p>
        </w:tc>
      </w:tr>
      <w:tr w:rsidR="00362076" w:rsidRPr="0052524E" w14:paraId="5291DF77" w14:textId="77777777" w:rsidTr="0054089C">
        <w:trPr>
          <w:cantSplit/>
          <w:trHeight w:val="259"/>
        </w:trPr>
        <w:tc>
          <w:tcPr>
            <w:tcW w:w="2037" w:type="dxa"/>
            <w:tcBorders>
              <w:top w:val="nil"/>
              <w:left w:val="single" w:sz="4" w:space="0" w:color="auto"/>
              <w:bottom w:val="nil"/>
              <w:right w:val="single" w:sz="4" w:space="0" w:color="auto"/>
            </w:tcBorders>
            <w:shd w:val="clear" w:color="auto" w:fill="auto"/>
            <w:noWrap/>
            <w:vAlign w:val="bottom"/>
            <w:hideMark/>
          </w:tcPr>
          <w:p w14:paraId="6CF4DC6E" w14:textId="77777777" w:rsidR="00362076" w:rsidRPr="0052524E" w:rsidRDefault="00362076" w:rsidP="00D33E32">
            <w:pPr>
              <w:spacing w:after="0" w:line="240" w:lineRule="auto"/>
              <w:ind w:firstLineChars="100" w:firstLine="200"/>
              <w:rPr>
                <w:rFonts w:ascii="Calibri" w:eastAsia="Times New Roman" w:hAnsi="Calibri" w:cs="Calibri"/>
                <w:color w:val="000000"/>
                <w:sz w:val="20"/>
                <w:szCs w:val="20"/>
              </w:rPr>
            </w:pPr>
            <w:r w:rsidRPr="0052524E">
              <w:rPr>
                <w:rFonts w:ascii="Calibri" w:eastAsia="Times New Roman" w:hAnsi="Calibri" w:cs="Calibri"/>
                <w:color w:val="000000"/>
                <w:sz w:val="20"/>
                <w:szCs w:val="20"/>
              </w:rPr>
              <w:t>19 to 64</w:t>
            </w:r>
          </w:p>
        </w:tc>
        <w:tc>
          <w:tcPr>
            <w:tcW w:w="1310" w:type="dxa"/>
            <w:tcBorders>
              <w:top w:val="nil"/>
              <w:left w:val="single" w:sz="4" w:space="0" w:color="auto"/>
              <w:bottom w:val="nil"/>
              <w:right w:val="single" w:sz="4" w:space="0" w:color="auto"/>
            </w:tcBorders>
            <w:shd w:val="clear" w:color="auto" w:fill="auto"/>
            <w:noWrap/>
            <w:vAlign w:val="bottom"/>
            <w:hideMark/>
          </w:tcPr>
          <w:p w14:paraId="08B95523"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76.8%</w:t>
            </w:r>
          </w:p>
        </w:tc>
        <w:tc>
          <w:tcPr>
            <w:tcW w:w="1310" w:type="dxa"/>
            <w:tcBorders>
              <w:top w:val="nil"/>
              <w:left w:val="nil"/>
              <w:bottom w:val="nil"/>
              <w:right w:val="single" w:sz="4" w:space="0" w:color="auto"/>
            </w:tcBorders>
            <w:shd w:val="clear" w:color="auto" w:fill="auto"/>
            <w:noWrap/>
            <w:vAlign w:val="bottom"/>
            <w:hideMark/>
          </w:tcPr>
          <w:p w14:paraId="4903C5DA"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76.1%</w:t>
            </w:r>
          </w:p>
        </w:tc>
        <w:tc>
          <w:tcPr>
            <w:tcW w:w="1310" w:type="dxa"/>
            <w:tcBorders>
              <w:top w:val="nil"/>
              <w:left w:val="nil"/>
              <w:bottom w:val="nil"/>
              <w:right w:val="single" w:sz="4" w:space="0" w:color="auto"/>
            </w:tcBorders>
            <w:shd w:val="clear" w:color="auto" w:fill="auto"/>
            <w:noWrap/>
            <w:vAlign w:val="bottom"/>
            <w:hideMark/>
          </w:tcPr>
          <w:p w14:paraId="30CA277E"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75.1%</w:t>
            </w:r>
          </w:p>
        </w:tc>
        <w:tc>
          <w:tcPr>
            <w:tcW w:w="1310" w:type="dxa"/>
            <w:tcBorders>
              <w:top w:val="nil"/>
              <w:left w:val="nil"/>
              <w:bottom w:val="nil"/>
              <w:right w:val="single" w:sz="4" w:space="0" w:color="auto"/>
            </w:tcBorders>
            <w:shd w:val="clear" w:color="auto" w:fill="auto"/>
            <w:noWrap/>
            <w:vAlign w:val="bottom"/>
            <w:hideMark/>
          </w:tcPr>
          <w:p w14:paraId="5659EACF"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74.8%</w:t>
            </w:r>
          </w:p>
        </w:tc>
      </w:tr>
      <w:tr w:rsidR="00362076" w:rsidRPr="0052524E" w14:paraId="0C685EFB" w14:textId="77777777" w:rsidTr="0054089C">
        <w:trPr>
          <w:cantSplit/>
          <w:trHeight w:val="259"/>
        </w:trPr>
        <w:tc>
          <w:tcPr>
            <w:tcW w:w="2037" w:type="dxa"/>
            <w:tcBorders>
              <w:top w:val="nil"/>
              <w:left w:val="single" w:sz="4" w:space="0" w:color="auto"/>
              <w:bottom w:val="single" w:sz="4" w:space="0" w:color="auto"/>
              <w:right w:val="single" w:sz="4" w:space="0" w:color="auto"/>
            </w:tcBorders>
            <w:shd w:val="clear" w:color="auto" w:fill="auto"/>
            <w:noWrap/>
            <w:vAlign w:val="bottom"/>
            <w:hideMark/>
          </w:tcPr>
          <w:p w14:paraId="4136B105" w14:textId="77777777" w:rsidR="00362076" w:rsidRPr="0052524E" w:rsidRDefault="00362076" w:rsidP="00D33E32">
            <w:pPr>
              <w:spacing w:after="0" w:line="240" w:lineRule="auto"/>
              <w:ind w:firstLineChars="100" w:firstLine="200"/>
              <w:rPr>
                <w:rFonts w:ascii="Calibri" w:eastAsia="Times New Roman" w:hAnsi="Calibri" w:cs="Calibri"/>
                <w:color w:val="000000"/>
                <w:sz w:val="20"/>
                <w:szCs w:val="20"/>
              </w:rPr>
            </w:pPr>
            <w:r w:rsidRPr="0052524E">
              <w:rPr>
                <w:rFonts w:ascii="Calibri" w:eastAsia="Times New Roman" w:hAnsi="Calibri" w:cs="Calibri"/>
                <w:color w:val="000000"/>
                <w:sz w:val="20"/>
                <w:szCs w:val="20"/>
              </w:rPr>
              <w:t>65+</w:t>
            </w:r>
          </w:p>
        </w:tc>
        <w:tc>
          <w:tcPr>
            <w:tcW w:w="1310" w:type="dxa"/>
            <w:tcBorders>
              <w:top w:val="nil"/>
              <w:left w:val="single" w:sz="4" w:space="0" w:color="auto"/>
              <w:bottom w:val="nil"/>
              <w:right w:val="single" w:sz="4" w:space="0" w:color="auto"/>
            </w:tcBorders>
            <w:shd w:val="clear" w:color="auto" w:fill="auto"/>
            <w:noWrap/>
            <w:vAlign w:val="bottom"/>
            <w:hideMark/>
          </w:tcPr>
          <w:p w14:paraId="6A31F005"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22.6%</w:t>
            </w:r>
          </w:p>
        </w:tc>
        <w:tc>
          <w:tcPr>
            <w:tcW w:w="1310" w:type="dxa"/>
            <w:tcBorders>
              <w:top w:val="nil"/>
              <w:left w:val="nil"/>
              <w:bottom w:val="nil"/>
              <w:right w:val="single" w:sz="4" w:space="0" w:color="auto"/>
            </w:tcBorders>
            <w:shd w:val="clear" w:color="auto" w:fill="auto"/>
            <w:noWrap/>
            <w:vAlign w:val="bottom"/>
            <w:hideMark/>
          </w:tcPr>
          <w:p w14:paraId="18D1DC8A"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23.2%</w:t>
            </w:r>
          </w:p>
        </w:tc>
        <w:tc>
          <w:tcPr>
            <w:tcW w:w="1310" w:type="dxa"/>
            <w:tcBorders>
              <w:top w:val="nil"/>
              <w:left w:val="nil"/>
              <w:bottom w:val="nil"/>
              <w:right w:val="single" w:sz="4" w:space="0" w:color="auto"/>
            </w:tcBorders>
            <w:shd w:val="clear" w:color="auto" w:fill="auto"/>
            <w:noWrap/>
            <w:vAlign w:val="bottom"/>
            <w:hideMark/>
          </w:tcPr>
          <w:p w14:paraId="4606631D"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24.2%</w:t>
            </w:r>
          </w:p>
        </w:tc>
        <w:tc>
          <w:tcPr>
            <w:tcW w:w="1310" w:type="dxa"/>
            <w:tcBorders>
              <w:top w:val="nil"/>
              <w:left w:val="nil"/>
              <w:bottom w:val="nil"/>
              <w:right w:val="single" w:sz="4" w:space="0" w:color="auto"/>
            </w:tcBorders>
            <w:shd w:val="clear" w:color="auto" w:fill="auto"/>
            <w:noWrap/>
            <w:vAlign w:val="bottom"/>
            <w:hideMark/>
          </w:tcPr>
          <w:p w14:paraId="7E152639"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24.5%</w:t>
            </w:r>
          </w:p>
        </w:tc>
      </w:tr>
      <w:tr w:rsidR="00362076" w:rsidRPr="0052524E" w14:paraId="66C0A32D" w14:textId="77777777" w:rsidTr="0054089C">
        <w:trPr>
          <w:cantSplit/>
          <w:trHeight w:val="259"/>
        </w:trPr>
        <w:tc>
          <w:tcPr>
            <w:tcW w:w="2037" w:type="dxa"/>
            <w:tcBorders>
              <w:top w:val="nil"/>
              <w:left w:val="single" w:sz="4" w:space="0" w:color="auto"/>
              <w:bottom w:val="nil"/>
              <w:right w:val="single" w:sz="4" w:space="0" w:color="auto"/>
            </w:tcBorders>
            <w:shd w:val="clear" w:color="auto" w:fill="auto"/>
            <w:noWrap/>
            <w:vAlign w:val="bottom"/>
            <w:hideMark/>
          </w:tcPr>
          <w:p w14:paraId="0E65522C" w14:textId="304531A3" w:rsidR="0054089C" w:rsidRDefault="0054089C" w:rsidP="0054089C">
            <w:pPr>
              <w:spacing w:after="0" w:line="240" w:lineRule="auto"/>
              <w:rPr>
                <w:rFonts w:ascii="Calibri" w:eastAsia="Times New Roman" w:hAnsi="Calibri" w:cs="Calibri"/>
                <w:color w:val="000000"/>
                <w:sz w:val="20"/>
                <w:szCs w:val="20"/>
              </w:rPr>
            </w:pPr>
            <w:r w:rsidRPr="0052524E">
              <w:rPr>
                <w:rFonts w:ascii="Calibri" w:eastAsia="Times New Roman" w:hAnsi="Calibri" w:cs="Calibri"/>
                <w:b/>
                <w:bCs/>
                <w:color w:val="000000"/>
                <w:sz w:val="20"/>
                <w:szCs w:val="20"/>
              </w:rPr>
              <w:t>Race</w:t>
            </w:r>
          </w:p>
          <w:p w14:paraId="17651671" w14:textId="62FFE79D" w:rsidR="00362076" w:rsidRPr="0052524E" w:rsidRDefault="00362076" w:rsidP="00D33E32">
            <w:pPr>
              <w:spacing w:after="0" w:line="240" w:lineRule="auto"/>
              <w:ind w:firstLineChars="100" w:firstLine="200"/>
              <w:rPr>
                <w:rFonts w:ascii="Calibri" w:eastAsia="Times New Roman" w:hAnsi="Calibri" w:cs="Calibri"/>
                <w:color w:val="000000"/>
                <w:sz w:val="20"/>
                <w:szCs w:val="20"/>
              </w:rPr>
            </w:pPr>
            <w:r w:rsidRPr="0052524E">
              <w:rPr>
                <w:rFonts w:ascii="Calibri" w:eastAsia="Times New Roman" w:hAnsi="Calibri" w:cs="Calibri"/>
                <w:color w:val="000000"/>
                <w:sz w:val="20"/>
                <w:szCs w:val="20"/>
              </w:rPr>
              <w:t>Caucasian</w:t>
            </w:r>
          </w:p>
        </w:tc>
        <w:tc>
          <w:tcPr>
            <w:tcW w:w="1310" w:type="dxa"/>
            <w:tcBorders>
              <w:top w:val="nil"/>
              <w:left w:val="single" w:sz="4" w:space="0" w:color="auto"/>
              <w:bottom w:val="nil"/>
              <w:right w:val="single" w:sz="4" w:space="0" w:color="auto"/>
            </w:tcBorders>
            <w:shd w:val="clear" w:color="auto" w:fill="auto"/>
            <w:noWrap/>
            <w:vAlign w:val="bottom"/>
            <w:hideMark/>
          </w:tcPr>
          <w:p w14:paraId="1C1ABC67"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68.8%</w:t>
            </w:r>
          </w:p>
        </w:tc>
        <w:tc>
          <w:tcPr>
            <w:tcW w:w="1310" w:type="dxa"/>
            <w:tcBorders>
              <w:top w:val="nil"/>
              <w:left w:val="nil"/>
              <w:bottom w:val="nil"/>
              <w:right w:val="single" w:sz="4" w:space="0" w:color="auto"/>
            </w:tcBorders>
            <w:shd w:val="clear" w:color="auto" w:fill="auto"/>
            <w:noWrap/>
            <w:vAlign w:val="bottom"/>
            <w:hideMark/>
          </w:tcPr>
          <w:p w14:paraId="48BA7C9B"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68.1%</w:t>
            </w:r>
          </w:p>
        </w:tc>
        <w:tc>
          <w:tcPr>
            <w:tcW w:w="1310" w:type="dxa"/>
            <w:tcBorders>
              <w:top w:val="nil"/>
              <w:left w:val="nil"/>
              <w:bottom w:val="nil"/>
              <w:right w:val="single" w:sz="4" w:space="0" w:color="auto"/>
            </w:tcBorders>
            <w:shd w:val="clear" w:color="auto" w:fill="auto"/>
            <w:noWrap/>
            <w:vAlign w:val="bottom"/>
            <w:hideMark/>
          </w:tcPr>
          <w:p w14:paraId="354B2133"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67.7%</w:t>
            </w:r>
          </w:p>
        </w:tc>
        <w:tc>
          <w:tcPr>
            <w:tcW w:w="1310" w:type="dxa"/>
            <w:tcBorders>
              <w:top w:val="nil"/>
              <w:left w:val="nil"/>
              <w:bottom w:val="nil"/>
              <w:right w:val="single" w:sz="4" w:space="0" w:color="auto"/>
            </w:tcBorders>
            <w:shd w:val="clear" w:color="auto" w:fill="auto"/>
            <w:noWrap/>
            <w:vAlign w:val="bottom"/>
            <w:hideMark/>
          </w:tcPr>
          <w:p w14:paraId="1E4561AB"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67.4%</w:t>
            </w:r>
          </w:p>
        </w:tc>
      </w:tr>
      <w:tr w:rsidR="00362076" w:rsidRPr="0052524E" w14:paraId="71B49D7D" w14:textId="77777777" w:rsidTr="0054089C">
        <w:trPr>
          <w:cantSplit/>
          <w:trHeight w:val="259"/>
        </w:trPr>
        <w:tc>
          <w:tcPr>
            <w:tcW w:w="2037" w:type="dxa"/>
            <w:tcBorders>
              <w:top w:val="nil"/>
              <w:left w:val="single" w:sz="4" w:space="0" w:color="auto"/>
              <w:bottom w:val="nil"/>
              <w:right w:val="single" w:sz="4" w:space="0" w:color="auto"/>
            </w:tcBorders>
            <w:shd w:val="clear" w:color="auto" w:fill="auto"/>
            <w:noWrap/>
            <w:vAlign w:val="bottom"/>
            <w:hideMark/>
          </w:tcPr>
          <w:p w14:paraId="0740EF2F" w14:textId="77777777" w:rsidR="00362076" w:rsidRPr="0052524E" w:rsidRDefault="00362076" w:rsidP="00D33E32">
            <w:pPr>
              <w:spacing w:after="0" w:line="240" w:lineRule="auto"/>
              <w:ind w:firstLineChars="100" w:firstLine="200"/>
              <w:rPr>
                <w:rFonts w:ascii="Calibri" w:eastAsia="Times New Roman" w:hAnsi="Calibri" w:cs="Calibri"/>
                <w:color w:val="000000"/>
                <w:sz w:val="20"/>
                <w:szCs w:val="20"/>
              </w:rPr>
            </w:pPr>
            <w:r w:rsidRPr="0052524E">
              <w:rPr>
                <w:rFonts w:ascii="Calibri" w:eastAsia="Times New Roman" w:hAnsi="Calibri" w:cs="Calibri"/>
                <w:color w:val="000000"/>
                <w:sz w:val="20"/>
                <w:szCs w:val="20"/>
              </w:rPr>
              <w:t>Black</w:t>
            </w:r>
          </w:p>
        </w:tc>
        <w:tc>
          <w:tcPr>
            <w:tcW w:w="1310" w:type="dxa"/>
            <w:tcBorders>
              <w:top w:val="nil"/>
              <w:left w:val="single" w:sz="4" w:space="0" w:color="auto"/>
              <w:bottom w:val="nil"/>
              <w:right w:val="single" w:sz="4" w:space="0" w:color="auto"/>
            </w:tcBorders>
            <w:shd w:val="clear" w:color="auto" w:fill="auto"/>
            <w:noWrap/>
            <w:vAlign w:val="bottom"/>
            <w:hideMark/>
          </w:tcPr>
          <w:p w14:paraId="61249EE3"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6.7%</w:t>
            </w:r>
          </w:p>
        </w:tc>
        <w:tc>
          <w:tcPr>
            <w:tcW w:w="1310" w:type="dxa"/>
            <w:tcBorders>
              <w:top w:val="nil"/>
              <w:left w:val="nil"/>
              <w:bottom w:val="nil"/>
              <w:right w:val="single" w:sz="4" w:space="0" w:color="auto"/>
            </w:tcBorders>
            <w:shd w:val="clear" w:color="auto" w:fill="auto"/>
            <w:noWrap/>
            <w:vAlign w:val="bottom"/>
            <w:hideMark/>
          </w:tcPr>
          <w:p w14:paraId="54F048E0"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6.7%</w:t>
            </w:r>
          </w:p>
        </w:tc>
        <w:tc>
          <w:tcPr>
            <w:tcW w:w="1310" w:type="dxa"/>
            <w:tcBorders>
              <w:top w:val="nil"/>
              <w:left w:val="nil"/>
              <w:bottom w:val="nil"/>
              <w:right w:val="single" w:sz="4" w:space="0" w:color="auto"/>
            </w:tcBorders>
            <w:shd w:val="clear" w:color="auto" w:fill="auto"/>
            <w:noWrap/>
            <w:vAlign w:val="bottom"/>
            <w:hideMark/>
          </w:tcPr>
          <w:p w14:paraId="21288E1F"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7.1%</w:t>
            </w:r>
          </w:p>
        </w:tc>
        <w:tc>
          <w:tcPr>
            <w:tcW w:w="1310" w:type="dxa"/>
            <w:tcBorders>
              <w:top w:val="nil"/>
              <w:left w:val="nil"/>
              <w:bottom w:val="nil"/>
              <w:right w:val="single" w:sz="4" w:space="0" w:color="auto"/>
            </w:tcBorders>
            <w:shd w:val="clear" w:color="auto" w:fill="auto"/>
            <w:noWrap/>
            <w:vAlign w:val="bottom"/>
            <w:hideMark/>
          </w:tcPr>
          <w:p w14:paraId="2BE0FF73"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7.3%</w:t>
            </w:r>
          </w:p>
        </w:tc>
      </w:tr>
      <w:tr w:rsidR="00362076" w:rsidRPr="0052524E" w14:paraId="3FC48BB1" w14:textId="77777777" w:rsidTr="0054089C">
        <w:trPr>
          <w:cantSplit/>
          <w:trHeight w:val="259"/>
        </w:trPr>
        <w:tc>
          <w:tcPr>
            <w:tcW w:w="2037" w:type="dxa"/>
            <w:tcBorders>
              <w:top w:val="nil"/>
              <w:left w:val="single" w:sz="4" w:space="0" w:color="auto"/>
              <w:bottom w:val="nil"/>
              <w:right w:val="single" w:sz="4" w:space="0" w:color="auto"/>
            </w:tcBorders>
            <w:shd w:val="clear" w:color="auto" w:fill="auto"/>
            <w:noWrap/>
            <w:vAlign w:val="bottom"/>
            <w:hideMark/>
          </w:tcPr>
          <w:p w14:paraId="390AC5E3" w14:textId="77777777" w:rsidR="00362076" w:rsidRPr="0052524E" w:rsidRDefault="00362076" w:rsidP="00D33E32">
            <w:pPr>
              <w:spacing w:after="0" w:line="240" w:lineRule="auto"/>
              <w:ind w:firstLineChars="100" w:firstLine="200"/>
              <w:rPr>
                <w:rFonts w:ascii="Calibri" w:eastAsia="Times New Roman" w:hAnsi="Calibri" w:cs="Calibri"/>
                <w:color w:val="000000"/>
                <w:sz w:val="20"/>
                <w:szCs w:val="20"/>
              </w:rPr>
            </w:pPr>
            <w:r w:rsidRPr="0052524E">
              <w:rPr>
                <w:rFonts w:ascii="Calibri" w:eastAsia="Times New Roman" w:hAnsi="Calibri" w:cs="Calibri"/>
                <w:color w:val="000000"/>
                <w:sz w:val="20"/>
                <w:szCs w:val="20"/>
              </w:rPr>
              <w:t>Asian</w:t>
            </w:r>
          </w:p>
        </w:tc>
        <w:tc>
          <w:tcPr>
            <w:tcW w:w="1310" w:type="dxa"/>
            <w:tcBorders>
              <w:top w:val="nil"/>
              <w:left w:val="single" w:sz="4" w:space="0" w:color="auto"/>
              <w:bottom w:val="nil"/>
              <w:right w:val="single" w:sz="4" w:space="0" w:color="auto"/>
            </w:tcBorders>
            <w:shd w:val="clear" w:color="auto" w:fill="auto"/>
            <w:noWrap/>
            <w:vAlign w:val="bottom"/>
            <w:hideMark/>
          </w:tcPr>
          <w:p w14:paraId="6D566A82"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6.5%</w:t>
            </w:r>
          </w:p>
        </w:tc>
        <w:tc>
          <w:tcPr>
            <w:tcW w:w="1310" w:type="dxa"/>
            <w:tcBorders>
              <w:top w:val="nil"/>
              <w:left w:val="nil"/>
              <w:bottom w:val="nil"/>
              <w:right w:val="single" w:sz="4" w:space="0" w:color="auto"/>
            </w:tcBorders>
            <w:shd w:val="clear" w:color="auto" w:fill="auto"/>
            <w:noWrap/>
            <w:vAlign w:val="bottom"/>
            <w:hideMark/>
          </w:tcPr>
          <w:p w14:paraId="2740DD49"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6.6%</w:t>
            </w:r>
          </w:p>
        </w:tc>
        <w:tc>
          <w:tcPr>
            <w:tcW w:w="1310" w:type="dxa"/>
            <w:tcBorders>
              <w:top w:val="nil"/>
              <w:left w:val="nil"/>
              <w:bottom w:val="nil"/>
              <w:right w:val="single" w:sz="4" w:space="0" w:color="auto"/>
            </w:tcBorders>
            <w:shd w:val="clear" w:color="auto" w:fill="auto"/>
            <w:noWrap/>
            <w:vAlign w:val="bottom"/>
            <w:hideMark/>
          </w:tcPr>
          <w:p w14:paraId="7E760E43"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6.8%</w:t>
            </w:r>
          </w:p>
        </w:tc>
        <w:tc>
          <w:tcPr>
            <w:tcW w:w="1310" w:type="dxa"/>
            <w:tcBorders>
              <w:top w:val="nil"/>
              <w:left w:val="nil"/>
              <w:bottom w:val="nil"/>
              <w:right w:val="single" w:sz="4" w:space="0" w:color="auto"/>
            </w:tcBorders>
            <w:shd w:val="clear" w:color="auto" w:fill="auto"/>
            <w:noWrap/>
            <w:vAlign w:val="bottom"/>
            <w:hideMark/>
          </w:tcPr>
          <w:p w14:paraId="120E0AE4"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7.3%</w:t>
            </w:r>
          </w:p>
        </w:tc>
      </w:tr>
      <w:tr w:rsidR="00362076" w:rsidRPr="0052524E" w14:paraId="7667578A" w14:textId="77777777" w:rsidTr="0054089C">
        <w:trPr>
          <w:cantSplit/>
          <w:trHeight w:val="259"/>
        </w:trPr>
        <w:tc>
          <w:tcPr>
            <w:tcW w:w="2037" w:type="dxa"/>
            <w:tcBorders>
              <w:top w:val="nil"/>
              <w:left w:val="single" w:sz="4" w:space="0" w:color="auto"/>
              <w:bottom w:val="nil"/>
              <w:right w:val="single" w:sz="4" w:space="0" w:color="auto"/>
            </w:tcBorders>
            <w:shd w:val="clear" w:color="auto" w:fill="auto"/>
            <w:noWrap/>
            <w:vAlign w:val="bottom"/>
            <w:hideMark/>
          </w:tcPr>
          <w:p w14:paraId="722FEE59" w14:textId="77777777" w:rsidR="00362076" w:rsidRPr="0052524E" w:rsidRDefault="00362076" w:rsidP="00D33E32">
            <w:pPr>
              <w:spacing w:after="0" w:line="240" w:lineRule="auto"/>
              <w:ind w:firstLineChars="100" w:firstLine="200"/>
              <w:rPr>
                <w:rFonts w:ascii="Calibri" w:eastAsia="Times New Roman" w:hAnsi="Calibri" w:cs="Calibri"/>
                <w:color w:val="000000"/>
                <w:sz w:val="20"/>
                <w:szCs w:val="20"/>
              </w:rPr>
            </w:pPr>
            <w:r w:rsidRPr="0052524E">
              <w:rPr>
                <w:rFonts w:ascii="Calibri" w:eastAsia="Times New Roman" w:hAnsi="Calibri" w:cs="Calibri"/>
                <w:color w:val="000000"/>
                <w:sz w:val="20"/>
                <w:szCs w:val="20"/>
              </w:rPr>
              <w:t>Patient Decl</w:t>
            </w:r>
            <w:r w:rsidR="00341B7C">
              <w:rPr>
                <w:rFonts w:ascii="Calibri" w:eastAsia="Times New Roman" w:hAnsi="Calibri" w:cs="Calibri"/>
                <w:color w:val="000000"/>
                <w:sz w:val="20"/>
                <w:szCs w:val="20"/>
              </w:rPr>
              <w:t>ined</w:t>
            </w:r>
          </w:p>
        </w:tc>
        <w:tc>
          <w:tcPr>
            <w:tcW w:w="1310" w:type="dxa"/>
            <w:tcBorders>
              <w:top w:val="nil"/>
              <w:left w:val="single" w:sz="4" w:space="0" w:color="auto"/>
              <w:bottom w:val="nil"/>
              <w:right w:val="single" w:sz="4" w:space="0" w:color="auto"/>
            </w:tcBorders>
            <w:shd w:val="clear" w:color="auto" w:fill="auto"/>
            <w:noWrap/>
            <w:vAlign w:val="bottom"/>
            <w:hideMark/>
          </w:tcPr>
          <w:p w14:paraId="33D7BF7F" w14:textId="32D5C7BA" w:rsidR="00362076" w:rsidRPr="0052524E" w:rsidRDefault="00884312" w:rsidP="00D33E3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11.0</w:t>
            </w:r>
            <w:r w:rsidR="00362076" w:rsidRPr="0052524E">
              <w:rPr>
                <w:rFonts w:ascii="Calibri" w:eastAsia="Times New Roman" w:hAnsi="Calibri" w:cs="Calibri"/>
                <w:color w:val="000000"/>
                <w:sz w:val="20"/>
                <w:szCs w:val="20"/>
              </w:rPr>
              <w:t>%</w:t>
            </w:r>
          </w:p>
        </w:tc>
        <w:tc>
          <w:tcPr>
            <w:tcW w:w="1310" w:type="dxa"/>
            <w:tcBorders>
              <w:top w:val="nil"/>
              <w:left w:val="nil"/>
              <w:bottom w:val="nil"/>
              <w:right w:val="single" w:sz="4" w:space="0" w:color="auto"/>
            </w:tcBorders>
            <w:shd w:val="clear" w:color="auto" w:fill="auto"/>
            <w:noWrap/>
            <w:vAlign w:val="bottom"/>
            <w:hideMark/>
          </w:tcPr>
          <w:p w14:paraId="76DA4C04" w14:textId="25B54319" w:rsidR="00362076" w:rsidRPr="0052524E" w:rsidRDefault="00884312" w:rsidP="00D33E3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11.6</w:t>
            </w:r>
            <w:r w:rsidR="00362076" w:rsidRPr="0052524E">
              <w:rPr>
                <w:rFonts w:ascii="Calibri" w:eastAsia="Times New Roman" w:hAnsi="Calibri" w:cs="Calibri"/>
                <w:color w:val="000000"/>
                <w:sz w:val="20"/>
                <w:szCs w:val="20"/>
              </w:rPr>
              <w:t>%</w:t>
            </w:r>
          </w:p>
        </w:tc>
        <w:tc>
          <w:tcPr>
            <w:tcW w:w="1310" w:type="dxa"/>
            <w:tcBorders>
              <w:top w:val="nil"/>
              <w:left w:val="nil"/>
              <w:bottom w:val="nil"/>
              <w:right w:val="single" w:sz="4" w:space="0" w:color="auto"/>
            </w:tcBorders>
            <w:shd w:val="clear" w:color="auto" w:fill="auto"/>
            <w:noWrap/>
            <w:vAlign w:val="bottom"/>
            <w:hideMark/>
          </w:tcPr>
          <w:p w14:paraId="2FA33056" w14:textId="7FA546C3" w:rsidR="00362076" w:rsidRPr="0052524E" w:rsidRDefault="00884312" w:rsidP="00D33E3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11.2</w:t>
            </w:r>
            <w:r w:rsidR="00362076" w:rsidRPr="0052524E">
              <w:rPr>
                <w:rFonts w:ascii="Calibri" w:eastAsia="Times New Roman" w:hAnsi="Calibri" w:cs="Calibri"/>
                <w:color w:val="000000"/>
                <w:sz w:val="20"/>
                <w:szCs w:val="20"/>
              </w:rPr>
              <w:t>%</w:t>
            </w:r>
          </w:p>
        </w:tc>
        <w:tc>
          <w:tcPr>
            <w:tcW w:w="1310" w:type="dxa"/>
            <w:tcBorders>
              <w:top w:val="nil"/>
              <w:left w:val="nil"/>
              <w:bottom w:val="nil"/>
              <w:right w:val="single" w:sz="4" w:space="0" w:color="auto"/>
            </w:tcBorders>
            <w:shd w:val="clear" w:color="auto" w:fill="auto"/>
            <w:noWrap/>
            <w:vAlign w:val="bottom"/>
            <w:hideMark/>
          </w:tcPr>
          <w:p w14:paraId="228228E3" w14:textId="77777777" w:rsidR="00362076" w:rsidRPr="0052524E" w:rsidRDefault="00EB6F64" w:rsidP="00D33E3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10.4</w:t>
            </w:r>
            <w:r w:rsidR="00362076" w:rsidRPr="0052524E">
              <w:rPr>
                <w:rFonts w:ascii="Calibri" w:eastAsia="Times New Roman" w:hAnsi="Calibri" w:cs="Calibri"/>
                <w:color w:val="000000"/>
                <w:sz w:val="20"/>
                <w:szCs w:val="20"/>
              </w:rPr>
              <w:t>%</w:t>
            </w:r>
          </w:p>
        </w:tc>
      </w:tr>
      <w:tr w:rsidR="00362076" w:rsidRPr="0052524E" w14:paraId="6086AF14" w14:textId="77777777" w:rsidTr="0054089C">
        <w:trPr>
          <w:cantSplit/>
          <w:trHeight w:val="259"/>
        </w:trPr>
        <w:tc>
          <w:tcPr>
            <w:tcW w:w="2037" w:type="dxa"/>
            <w:tcBorders>
              <w:top w:val="nil"/>
              <w:left w:val="single" w:sz="4" w:space="0" w:color="auto"/>
              <w:bottom w:val="nil"/>
              <w:right w:val="single" w:sz="4" w:space="0" w:color="auto"/>
            </w:tcBorders>
            <w:shd w:val="clear" w:color="auto" w:fill="auto"/>
            <w:noWrap/>
            <w:vAlign w:val="bottom"/>
            <w:hideMark/>
          </w:tcPr>
          <w:p w14:paraId="7596497B" w14:textId="77777777" w:rsidR="00362076" w:rsidRPr="0052524E" w:rsidRDefault="00362076" w:rsidP="00D33E32">
            <w:pPr>
              <w:spacing w:after="0" w:line="240" w:lineRule="auto"/>
              <w:ind w:firstLineChars="100" w:firstLine="200"/>
              <w:rPr>
                <w:rFonts w:ascii="Calibri" w:eastAsia="Times New Roman" w:hAnsi="Calibri" w:cs="Calibri"/>
                <w:color w:val="000000"/>
                <w:sz w:val="20"/>
                <w:szCs w:val="20"/>
              </w:rPr>
            </w:pPr>
            <w:r w:rsidRPr="0052524E">
              <w:rPr>
                <w:rFonts w:ascii="Calibri" w:eastAsia="Times New Roman" w:hAnsi="Calibri" w:cs="Calibri"/>
                <w:color w:val="000000"/>
                <w:sz w:val="20"/>
                <w:szCs w:val="20"/>
              </w:rPr>
              <w:t>Hispanic</w:t>
            </w:r>
          </w:p>
        </w:tc>
        <w:tc>
          <w:tcPr>
            <w:tcW w:w="1310" w:type="dxa"/>
            <w:tcBorders>
              <w:top w:val="nil"/>
              <w:left w:val="single" w:sz="4" w:space="0" w:color="auto"/>
              <w:bottom w:val="nil"/>
              <w:right w:val="single" w:sz="4" w:space="0" w:color="auto"/>
            </w:tcBorders>
            <w:shd w:val="clear" w:color="auto" w:fill="auto"/>
            <w:noWrap/>
            <w:vAlign w:val="bottom"/>
            <w:hideMark/>
          </w:tcPr>
          <w:p w14:paraId="218DF9BC"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3.3%</w:t>
            </w:r>
          </w:p>
        </w:tc>
        <w:tc>
          <w:tcPr>
            <w:tcW w:w="1310" w:type="dxa"/>
            <w:tcBorders>
              <w:top w:val="nil"/>
              <w:left w:val="nil"/>
              <w:bottom w:val="nil"/>
              <w:right w:val="single" w:sz="4" w:space="0" w:color="auto"/>
            </w:tcBorders>
            <w:shd w:val="clear" w:color="auto" w:fill="auto"/>
            <w:noWrap/>
            <w:vAlign w:val="bottom"/>
            <w:hideMark/>
          </w:tcPr>
          <w:p w14:paraId="5EB2531F"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3.4%</w:t>
            </w:r>
          </w:p>
        </w:tc>
        <w:tc>
          <w:tcPr>
            <w:tcW w:w="1310" w:type="dxa"/>
            <w:tcBorders>
              <w:top w:val="nil"/>
              <w:left w:val="nil"/>
              <w:bottom w:val="nil"/>
              <w:right w:val="single" w:sz="4" w:space="0" w:color="auto"/>
            </w:tcBorders>
            <w:shd w:val="clear" w:color="auto" w:fill="auto"/>
            <w:noWrap/>
            <w:vAlign w:val="bottom"/>
            <w:hideMark/>
          </w:tcPr>
          <w:p w14:paraId="7A2BC472"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3.6%</w:t>
            </w:r>
          </w:p>
        </w:tc>
        <w:tc>
          <w:tcPr>
            <w:tcW w:w="1310" w:type="dxa"/>
            <w:tcBorders>
              <w:top w:val="nil"/>
              <w:left w:val="nil"/>
              <w:bottom w:val="nil"/>
              <w:right w:val="single" w:sz="4" w:space="0" w:color="auto"/>
            </w:tcBorders>
            <w:shd w:val="clear" w:color="auto" w:fill="auto"/>
            <w:noWrap/>
            <w:vAlign w:val="bottom"/>
            <w:hideMark/>
          </w:tcPr>
          <w:p w14:paraId="7C1C30BD"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3.8%</w:t>
            </w:r>
          </w:p>
        </w:tc>
      </w:tr>
      <w:tr w:rsidR="00362076" w:rsidRPr="0052524E" w14:paraId="4B20C56C" w14:textId="77777777" w:rsidTr="0054089C">
        <w:trPr>
          <w:cantSplit/>
          <w:trHeight w:val="259"/>
        </w:trPr>
        <w:tc>
          <w:tcPr>
            <w:tcW w:w="2037" w:type="dxa"/>
            <w:tcBorders>
              <w:top w:val="nil"/>
              <w:left w:val="single" w:sz="4" w:space="0" w:color="auto"/>
              <w:bottom w:val="nil"/>
              <w:right w:val="single" w:sz="4" w:space="0" w:color="auto"/>
            </w:tcBorders>
            <w:shd w:val="clear" w:color="auto" w:fill="auto"/>
            <w:noWrap/>
            <w:vAlign w:val="bottom"/>
            <w:hideMark/>
          </w:tcPr>
          <w:p w14:paraId="29F78C2D" w14:textId="77777777" w:rsidR="00362076" w:rsidRPr="0052524E" w:rsidRDefault="00362076" w:rsidP="00D33E32">
            <w:pPr>
              <w:spacing w:after="0" w:line="240" w:lineRule="auto"/>
              <w:ind w:firstLineChars="100" w:firstLine="200"/>
              <w:rPr>
                <w:rFonts w:ascii="Calibri" w:eastAsia="Times New Roman" w:hAnsi="Calibri" w:cs="Calibri"/>
                <w:color w:val="000000"/>
                <w:sz w:val="20"/>
                <w:szCs w:val="20"/>
              </w:rPr>
            </w:pPr>
            <w:r w:rsidRPr="0052524E">
              <w:rPr>
                <w:rFonts w:ascii="Calibri" w:eastAsia="Times New Roman" w:hAnsi="Calibri" w:cs="Calibri"/>
                <w:color w:val="000000"/>
                <w:sz w:val="20"/>
                <w:szCs w:val="20"/>
              </w:rPr>
              <w:t>Other</w:t>
            </w:r>
          </w:p>
        </w:tc>
        <w:tc>
          <w:tcPr>
            <w:tcW w:w="1310" w:type="dxa"/>
            <w:tcBorders>
              <w:top w:val="nil"/>
              <w:left w:val="single" w:sz="4" w:space="0" w:color="auto"/>
              <w:bottom w:val="nil"/>
              <w:right w:val="single" w:sz="4" w:space="0" w:color="auto"/>
            </w:tcBorders>
            <w:shd w:val="clear" w:color="auto" w:fill="auto"/>
            <w:noWrap/>
            <w:vAlign w:val="bottom"/>
            <w:hideMark/>
          </w:tcPr>
          <w:p w14:paraId="18C96222"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3.6%</w:t>
            </w:r>
          </w:p>
        </w:tc>
        <w:tc>
          <w:tcPr>
            <w:tcW w:w="1310" w:type="dxa"/>
            <w:tcBorders>
              <w:top w:val="nil"/>
              <w:left w:val="nil"/>
              <w:bottom w:val="nil"/>
              <w:right w:val="single" w:sz="4" w:space="0" w:color="auto"/>
            </w:tcBorders>
            <w:shd w:val="clear" w:color="auto" w:fill="auto"/>
            <w:noWrap/>
            <w:vAlign w:val="bottom"/>
            <w:hideMark/>
          </w:tcPr>
          <w:p w14:paraId="00C66648"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3.5%</w:t>
            </w:r>
          </w:p>
        </w:tc>
        <w:tc>
          <w:tcPr>
            <w:tcW w:w="1310" w:type="dxa"/>
            <w:tcBorders>
              <w:top w:val="nil"/>
              <w:left w:val="nil"/>
              <w:bottom w:val="nil"/>
              <w:right w:val="single" w:sz="4" w:space="0" w:color="auto"/>
            </w:tcBorders>
            <w:shd w:val="clear" w:color="auto" w:fill="auto"/>
            <w:noWrap/>
            <w:vAlign w:val="bottom"/>
            <w:hideMark/>
          </w:tcPr>
          <w:p w14:paraId="564E86E9"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3.5%</w:t>
            </w:r>
          </w:p>
        </w:tc>
        <w:tc>
          <w:tcPr>
            <w:tcW w:w="1310" w:type="dxa"/>
            <w:tcBorders>
              <w:top w:val="nil"/>
              <w:left w:val="nil"/>
              <w:bottom w:val="nil"/>
              <w:right w:val="single" w:sz="4" w:space="0" w:color="auto"/>
            </w:tcBorders>
            <w:shd w:val="clear" w:color="auto" w:fill="auto"/>
            <w:noWrap/>
            <w:vAlign w:val="bottom"/>
            <w:hideMark/>
          </w:tcPr>
          <w:p w14:paraId="1D9A7FAD"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3.6%</w:t>
            </w:r>
          </w:p>
        </w:tc>
      </w:tr>
      <w:tr w:rsidR="00362076" w:rsidRPr="0052524E" w14:paraId="351D8FAD" w14:textId="77777777" w:rsidTr="0054089C">
        <w:trPr>
          <w:cantSplit/>
          <w:trHeight w:val="259"/>
        </w:trPr>
        <w:tc>
          <w:tcPr>
            <w:tcW w:w="2037" w:type="dxa"/>
            <w:tcBorders>
              <w:top w:val="nil"/>
              <w:left w:val="single" w:sz="4" w:space="0" w:color="auto"/>
              <w:bottom w:val="nil"/>
              <w:right w:val="single" w:sz="4" w:space="0" w:color="auto"/>
            </w:tcBorders>
            <w:shd w:val="clear" w:color="auto" w:fill="auto"/>
            <w:noWrap/>
            <w:vAlign w:val="bottom"/>
            <w:hideMark/>
          </w:tcPr>
          <w:p w14:paraId="43429534" w14:textId="77777777" w:rsidR="00362076" w:rsidRPr="0052524E" w:rsidRDefault="00362076" w:rsidP="00D33E32">
            <w:pPr>
              <w:spacing w:after="0" w:line="240" w:lineRule="auto"/>
              <w:ind w:firstLineChars="100" w:firstLine="200"/>
              <w:rPr>
                <w:rFonts w:ascii="Calibri" w:eastAsia="Times New Roman" w:hAnsi="Calibri" w:cs="Calibri"/>
                <w:color w:val="000000"/>
                <w:sz w:val="20"/>
                <w:szCs w:val="20"/>
              </w:rPr>
            </w:pPr>
            <w:r w:rsidRPr="0052524E">
              <w:rPr>
                <w:rFonts w:ascii="Calibri" w:eastAsia="Times New Roman" w:hAnsi="Calibri" w:cs="Calibri"/>
                <w:color w:val="000000"/>
                <w:sz w:val="20"/>
                <w:szCs w:val="20"/>
              </w:rPr>
              <w:t>Nat</w:t>
            </w:r>
            <w:r w:rsidR="001C37C2">
              <w:rPr>
                <w:rFonts w:ascii="Calibri" w:eastAsia="Times New Roman" w:hAnsi="Calibri" w:cs="Calibri"/>
                <w:color w:val="000000"/>
                <w:sz w:val="20"/>
                <w:szCs w:val="20"/>
              </w:rPr>
              <w:t>ive</w:t>
            </w:r>
            <w:r w:rsidRPr="0052524E">
              <w:rPr>
                <w:rFonts w:ascii="Calibri" w:eastAsia="Times New Roman" w:hAnsi="Calibri" w:cs="Calibri"/>
                <w:color w:val="000000"/>
                <w:sz w:val="20"/>
                <w:szCs w:val="20"/>
              </w:rPr>
              <w:t xml:space="preserve"> American</w:t>
            </w:r>
          </w:p>
        </w:tc>
        <w:tc>
          <w:tcPr>
            <w:tcW w:w="1310" w:type="dxa"/>
            <w:tcBorders>
              <w:top w:val="nil"/>
              <w:left w:val="single" w:sz="4" w:space="0" w:color="auto"/>
              <w:bottom w:val="nil"/>
              <w:right w:val="single" w:sz="4" w:space="0" w:color="auto"/>
            </w:tcBorders>
            <w:shd w:val="clear" w:color="auto" w:fill="auto"/>
            <w:noWrap/>
            <w:vAlign w:val="bottom"/>
            <w:hideMark/>
          </w:tcPr>
          <w:p w14:paraId="6C62C4FA"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0.1%</w:t>
            </w:r>
          </w:p>
        </w:tc>
        <w:tc>
          <w:tcPr>
            <w:tcW w:w="1310" w:type="dxa"/>
            <w:tcBorders>
              <w:top w:val="nil"/>
              <w:left w:val="nil"/>
              <w:bottom w:val="nil"/>
              <w:right w:val="single" w:sz="4" w:space="0" w:color="auto"/>
            </w:tcBorders>
            <w:shd w:val="clear" w:color="auto" w:fill="auto"/>
            <w:noWrap/>
            <w:vAlign w:val="bottom"/>
            <w:hideMark/>
          </w:tcPr>
          <w:p w14:paraId="242BA9E7"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0.1%</w:t>
            </w:r>
          </w:p>
        </w:tc>
        <w:tc>
          <w:tcPr>
            <w:tcW w:w="1310" w:type="dxa"/>
            <w:tcBorders>
              <w:top w:val="nil"/>
              <w:left w:val="nil"/>
              <w:bottom w:val="nil"/>
              <w:right w:val="single" w:sz="4" w:space="0" w:color="auto"/>
            </w:tcBorders>
            <w:shd w:val="clear" w:color="auto" w:fill="auto"/>
            <w:noWrap/>
            <w:vAlign w:val="bottom"/>
            <w:hideMark/>
          </w:tcPr>
          <w:p w14:paraId="3A21B8CB"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0.1%</w:t>
            </w:r>
          </w:p>
        </w:tc>
        <w:tc>
          <w:tcPr>
            <w:tcW w:w="1310" w:type="dxa"/>
            <w:tcBorders>
              <w:top w:val="nil"/>
              <w:left w:val="nil"/>
              <w:bottom w:val="nil"/>
              <w:right w:val="single" w:sz="4" w:space="0" w:color="auto"/>
            </w:tcBorders>
            <w:shd w:val="clear" w:color="auto" w:fill="auto"/>
            <w:noWrap/>
            <w:vAlign w:val="bottom"/>
            <w:hideMark/>
          </w:tcPr>
          <w:p w14:paraId="3ABB0E3A"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0.1%</w:t>
            </w:r>
          </w:p>
        </w:tc>
      </w:tr>
      <w:tr w:rsidR="00362076" w:rsidRPr="0052524E" w14:paraId="7B6A3F41" w14:textId="77777777" w:rsidTr="0054089C">
        <w:trPr>
          <w:cantSplit/>
          <w:trHeight w:val="259"/>
        </w:trPr>
        <w:tc>
          <w:tcPr>
            <w:tcW w:w="2037" w:type="dxa"/>
            <w:tcBorders>
              <w:top w:val="nil"/>
              <w:left w:val="single" w:sz="4" w:space="0" w:color="auto"/>
              <w:bottom w:val="single" w:sz="4" w:space="0" w:color="auto"/>
              <w:right w:val="single" w:sz="4" w:space="0" w:color="auto"/>
            </w:tcBorders>
            <w:shd w:val="clear" w:color="auto" w:fill="auto"/>
            <w:noWrap/>
            <w:vAlign w:val="bottom"/>
            <w:hideMark/>
          </w:tcPr>
          <w:p w14:paraId="4A1DBA10" w14:textId="77777777" w:rsidR="00362076" w:rsidRPr="0052524E" w:rsidRDefault="00362076" w:rsidP="00D33E32">
            <w:pPr>
              <w:spacing w:after="0" w:line="240" w:lineRule="auto"/>
              <w:ind w:firstLineChars="100" w:firstLine="200"/>
              <w:rPr>
                <w:rFonts w:ascii="Calibri" w:eastAsia="Times New Roman" w:hAnsi="Calibri" w:cs="Calibri"/>
                <w:color w:val="000000"/>
                <w:sz w:val="20"/>
                <w:szCs w:val="20"/>
              </w:rPr>
            </w:pPr>
            <w:r w:rsidRPr="0052524E">
              <w:rPr>
                <w:rFonts w:ascii="Calibri" w:eastAsia="Times New Roman" w:hAnsi="Calibri" w:cs="Calibri"/>
                <w:color w:val="000000"/>
                <w:sz w:val="20"/>
                <w:szCs w:val="20"/>
              </w:rPr>
              <w:t>Native Hawai</w:t>
            </w:r>
            <w:r w:rsidR="001C37C2">
              <w:rPr>
                <w:rFonts w:ascii="Calibri" w:eastAsia="Times New Roman" w:hAnsi="Calibri" w:cs="Calibri"/>
                <w:color w:val="000000"/>
                <w:sz w:val="20"/>
                <w:szCs w:val="20"/>
              </w:rPr>
              <w:t>ian</w:t>
            </w:r>
          </w:p>
        </w:tc>
        <w:tc>
          <w:tcPr>
            <w:tcW w:w="1310" w:type="dxa"/>
            <w:tcBorders>
              <w:top w:val="nil"/>
              <w:left w:val="single" w:sz="4" w:space="0" w:color="auto"/>
              <w:bottom w:val="single" w:sz="4" w:space="0" w:color="auto"/>
              <w:right w:val="single" w:sz="4" w:space="0" w:color="auto"/>
            </w:tcBorders>
            <w:shd w:val="clear" w:color="auto" w:fill="auto"/>
            <w:noWrap/>
            <w:vAlign w:val="bottom"/>
            <w:hideMark/>
          </w:tcPr>
          <w:p w14:paraId="7177C5F6"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0.0%</w:t>
            </w:r>
          </w:p>
        </w:tc>
        <w:tc>
          <w:tcPr>
            <w:tcW w:w="1310" w:type="dxa"/>
            <w:tcBorders>
              <w:top w:val="nil"/>
              <w:left w:val="nil"/>
              <w:bottom w:val="single" w:sz="4" w:space="0" w:color="auto"/>
              <w:right w:val="single" w:sz="4" w:space="0" w:color="auto"/>
            </w:tcBorders>
            <w:shd w:val="clear" w:color="auto" w:fill="auto"/>
            <w:noWrap/>
            <w:vAlign w:val="bottom"/>
            <w:hideMark/>
          </w:tcPr>
          <w:p w14:paraId="1AF25984"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0.0%</w:t>
            </w:r>
          </w:p>
        </w:tc>
        <w:tc>
          <w:tcPr>
            <w:tcW w:w="1310" w:type="dxa"/>
            <w:tcBorders>
              <w:top w:val="nil"/>
              <w:left w:val="nil"/>
              <w:bottom w:val="single" w:sz="4" w:space="0" w:color="auto"/>
              <w:right w:val="single" w:sz="4" w:space="0" w:color="auto"/>
            </w:tcBorders>
            <w:shd w:val="clear" w:color="auto" w:fill="auto"/>
            <w:noWrap/>
            <w:vAlign w:val="bottom"/>
            <w:hideMark/>
          </w:tcPr>
          <w:p w14:paraId="5E60ED33"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0.0%</w:t>
            </w:r>
          </w:p>
        </w:tc>
        <w:tc>
          <w:tcPr>
            <w:tcW w:w="1310" w:type="dxa"/>
            <w:tcBorders>
              <w:top w:val="nil"/>
              <w:left w:val="nil"/>
              <w:bottom w:val="single" w:sz="4" w:space="0" w:color="auto"/>
              <w:right w:val="single" w:sz="4" w:space="0" w:color="auto"/>
            </w:tcBorders>
            <w:shd w:val="clear" w:color="auto" w:fill="auto"/>
            <w:noWrap/>
            <w:vAlign w:val="bottom"/>
            <w:hideMark/>
          </w:tcPr>
          <w:p w14:paraId="4778ABF9" w14:textId="77777777" w:rsidR="00362076" w:rsidRPr="0052524E" w:rsidRDefault="00362076" w:rsidP="00D33E32">
            <w:pPr>
              <w:spacing w:after="0" w:line="240" w:lineRule="auto"/>
              <w:jc w:val="right"/>
              <w:rPr>
                <w:rFonts w:ascii="Calibri" w:eastAsia="Times New Roman" w:hAnsi="Calibri" w:cs="Calibri"/>
                <w:color w:val="000000"/>
                <w:sz w:val="20"/>
                <w:szCs w:val="20"/>
              </w:rPr>
            </w:pPr>
            <w:r w:rsidRPr="0052524E">
              <w:rPr>
                <w:rFonts w:ascii="Calibri" w:eastAsia="Times New Roman" w:hAnsi="Calibri" w:cs="Calibri"/>
                <w:color w:val="000000"/>
                <w:sz w:val="20"/>
                <w:szCs w:val="20"/>
              </w:rPr>
              <w:t>0.0%</w:t>
            </w:r>
          </w:p>
        </w:tc>
      </w:tr>
    </w:tbl>
    <w:p w14:paraId="36098B9D" w14:textId="02989FDA" w:rsidR="00341B7C" w:rsidRPr="00341B7C" w:rsidRDefault="00341B7C" w:rsidP="00D63AC2">
      <w:pPr>
        <w:ind w:left="720" w:firstLine="720"/>
        <w:jc w:val="center"/>
        <w:rPr>
          <w:rFonts w:cstheme="minorHAnsi"/>
          <w:sz w:val="20"/>
          <w:szCs w:val="20"/>
        </w:rPr>
      </w:pPr>
      <w:r w:rsidRPr="00341B7C">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005108F4">
        <w:rPr>
          <w:rFonts w:ascii="Calibri" w:eastAsia="Times New Roman" w:hAnsi="Calibri" w:cs="Calibri"/>
          <w:color w:val="000000"/>
          <w:sz w:val="20"/>
          <w:szCs w:val="20"/>
        </w:rPr>
        <w:t>B</w:t>
      </w:r>
      <w:r>
        <w:rPr>
          <w:rFonts w:ascii="Calibri" w:eastAsia="Times New Roman" w:hAnsi="Calibri" w:cs="Calibri"/>
          <w:color w:val="000000"/>
          <w:sz w:val="20"/>
          <w:szCs w:val="20"/>
        </w:rPr>
        <w:t>ased on</w:t>
      </w:r>
      <w:r w:rsidR="00554596">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patient encounters from </w:t>
      </w:r>
      <w:r w:rsidRPr="00341B7C">
        <w:rPr>
          <w:rFonts w:cstheme="minorHAnsi"/>
          <w:sz w:val="20"/>
          <w:szCs w:val="20"/>
        </w:rPr>
        <w:t>January 1 - June 30, 2022</w:t>
      </w:r>
    </w:p>
    <w:p w14:paraId="273DC833" w14:textId="2107F645" w:rsidR="00CA73D3" w:rsidRDefault="00362076" w:rsidP="00C255B7">
      <w:pPr>
        <w:ind w:left="1080"/>
        <w:jc w:val="both"/>
        <w:rPr>
          <w:rFonts w:cstheme="minorHAnsi"/>
        </w:rPr>
      </w:pPr>
      <w:r>
        <w:rPr>
          <w:rFonts w:cstheme="minorHAnsi"/>
        </w:rPr>
        <w:t xml:space="preserve">Atrius Health has a history of </w:t>
      </w:r>
      <w:proofErr w:type="gramStart"/>
      <w:r>
        <w:rPr>
          <w:rFonts w:cstheme="minorHAnsi"/>
        </w:rPr>
        <w:t>entering into</w:t>
      </w:r>
      <w:proofErr w:type="gramEnd"/>
      <w:r>
        <w:rPr>
          <w:rFonts w:cstheme="minorHAnsi"/>
        </w:rPr>
        <w:t xml:space="preserve"> risk-based arrangements </w:t>
      </w:r>
      <w:r w:rsidRPr="00D33249">
        <w:rPr>
          <w:rFonts w:cstheme="minorHAnsi"/>
        </w:rPr>
        <w:t>wit</w:t>
      </w:r>
      <w:r>
        <w:rPr>
          <w:rFonts w:cstheme="minorHAnsi"/>
        </w:rPr>
        <w:t xml:space="preserve">h payers </w:t>
      </w:r>
      <w:r w:rsidR="005108F4">
        <w:rPr>
          <w:rFonts w:cstheme="minorHAnsi"/>
        </w:rPr>
        <w:t xml:space="preserve">pursuant </w:t>
      </w:r>
      <w:r w:rsidR="006E3FD0">
        <w:rPr>
          <w:rFonts w:cstheme="minorHAnsi"/>
        </w:rPr>
        <w:t>to which</w:t>
      </w:r>
      <w:r>
        <w:rPr>
          <w:rFonts w:cstheme="minorHAnsi"/>
        </w:rPr>
        <w:t xml:space="preserve"> Atrius Health is fully accountable, financially and clinically, for all care and treatment rendered to its patients. </w:t>
      </w:r>
      <w:r w:rsidR="0041058B">
        <w:rPr>
          <w:rFonts w:cstheme="minorHAnsi"/>
        </w:rPr>
        <w:t>I</w:t>
      </w:r>
      <w:r>
        <w:rPr>
          <w:rFonts w:cstheme="minorHAnsi"/>
        </w:rPr>
        <w:t xml:space="preserve">n 2021, </w:t>
      </w:r>
      <w:r w:rsidR="00584528">
        <w:rPr>
          <w:rFonts w:cstheme="minorHAnsi"/>
        </w:rPr>
        <w:t>more than half (</w:t>
      </w:r>
      <w:r>
        <w:rPr>
          <w:rFonts w:cstheme="minorHAnsi"/>
        </w:rPr>
        <w:t>54.3%</w:t>
      </w:r>
      <w:r w:rsidR="00584528">
        <w:rPr>
          <w:rFonts w:cstheme="minorHAnsi"/>
        </w:rPr>
        <w:t>)</w:t>
      </w:r>
      <w:r>
        <w:rPr>
          <w:rFonts w:cstheme="minorHAnsi"/>
        </w:rPr>
        <w:t xml:space="preserve"> of the Atrius Health Patient Panel </w:t>
      </w:r>
      <w:r w:rsidR="00584528">
        <w:rPr>
          <w:rFonts w:cstheme="minorHAnsi"/>
        </w:rPr>
        <w:t xml:space="preserve">was enrolled in </w:t>
      </w:r>
      <w:r w:rsidR="006E3FD0">
        <w:rPr>
          <w:rFonts w:cstheme="minorHAnsi"/>
        </w:rPr>
        <w:t>risk-based</w:t>
      </w:r>
      <w:r>
        <w:rPr>
          <w:rFonts w:cstheme="minorHAnsi"/>
        </w:rPr>
        <w:t xml:space="preserve"> </w:t>
      </w:r>
      <w:r w:rsidR="002A134A">
        <w:rPr>
          <w:rFonts w:cstheme="minorHAnsi"/>
        </w:rPr>
        <w:t>arrangements;</w:t>
      </w:r>
      <w:r w:rsidR="00584528">
        <w:rPr>
          <w:rFonts w:cstheme="minorHAnsi"/>
        </w:rPr>
        <w:t xml:space="preserve"> the remainder were in </w:t>
      </w:r>
      <w:r>
        <w:rPr>
          <w:rFonts w:cstheme="minorHAnsi"/>
        </w:rPr>
        <w:t xml:space="preserve">fee for service type </w:t>
      </w:r>
      <w:r w:rsidRPr="00784A40">
        <w:rPr>
          <w:rFonts w:cstheme="minorHAnsi"/>
        </w:rPr>
        <w:t>arrangements</w:t>
      </w:r>
      <w:r w:rsidRPr="002E4A65">
        <w:rPr>
          <w:rFonts w:cstheme="minorHAnsi"/>
        </w:rPr>
        <w:t xml:space="preserve">. </w:t>
      </w:r>
    </w:p>
    <w:p w14:paraId="08360EEB" w14:textId="16728B96" w:rsidR="00EB6F64" w:rsidRDefault="00362076" w:rsidP="00C255B7">
      <w:pPr>
        <w:ind w:left="1080"/>
        <w:jc w:val="both"/>
        <w:rPr>
          <w:rFonts w:cstheme="minorHAnsi"/>
        </w:rPr>
      </w:pPr>
      <w:r w:rsidRPr="002E4A65">
        <w:rPr>
          <w:rFonts w:cstheme="minorHAnsi"/>
        </w:rPr>
        <w:t xml:space="preserve">The </w:t>
      </w:r>
      <w:r w:rsidR="00584528">
        <w:rPr>
          <w:rFonts w:cstheme="minorHAnsi"/>
        </w:rPr>
        <w:t>p</w:t>
      </w:r>
      <w:r w:rsidRPr="002E4A65">
        <w:rPr>
          <w:rFonts w:cstheme="minorHAnsi"/>
        </w:rPr>
        <w:t xml:space="preserve">ayer </w:t>
      </w:r>
      <w:r w:rsidR="00584528">
        <w:rPr>
          <w:rFonts w:cstheme="minorHAnsi"/>
        </w:rPr>
        <w:t>m</w:t>
      </w:r>
      <w:r w:rsidRPr="002E4A65">
        <w:rPr>
          <w:rFonts w:cstheme="minorHAnsi"/>
        </w:rPr>
        <w:t xml:space="preserve">ix </w:t>
      </w:r>
      <w:r w:rsidR="00CA73D3">
        <w:rPr>
          <w:rFonts w:cstheme="minorHAnsi"/>
        </w:rPr>
        <w:t xml:space="preserve">for CT and MRI services </w:t>
      </w:r>
      <w:r w:rsidR="008F1A33">
        <w:rPr>
          <w:rFonts w:cstheme="minorHAnsi"/>
        </w:rPr>
        <w:t>rendered to</w:t>
      </w:r>
      <w:r w:rsidR="00584528">
        <w:rPr>
          <w:rFonts w:cstheme="minorHAnsi"/>
        </w:rPr>
        <w:t xml:space="preserve"> the Atrius Health Patient Panel in 2021 is set </w:t>
      </w:r>
      <w:proofErr w:type="gramStart"/>
      <w:r w:rsidR="00584528">
        <w:rPr>
          <w:rFonts w:cstheme="minorHAnsi"/>
        </w:rPr>
        <w:t xml:space="preserve">forth </w:t>
      </w:r>
      <w:r w:rsidRPr="002E4A65">
        <w:rPr>
          <w:rFonts w:cstheme="minorHAnsi"/>
        </w:rPr>
        <w:t xml:space="preserve"> </w:t>
      </w:r>
      <w:r w:rsidR="00F23A2E">
        <w:rPr>
          <w:rFonts w:cstheme="minorHAnsi"/>
        </w:rPr>
        <w:t>below</w:t>
      </w:r>
      <w:proofErr w:type="gramEnd"/>
      <w:r w:rsidR="00F23A2E">
        <w:rPr>
          <w:rFonts w:cstheme="minorHAnsi"/>
        </w:rPr>
        <w:t xml:space="preserve"> </w:t>
      </w:r>
      <w:r w:rsidRPr="002E4A65">
        <w:rPr>
          <w:rFonts w:cstheme="minorHAnsi"/>
        </w:rPr>
        <w:t>in Table 3</w:t>
      </w:r>
      <w:r w:rsidR="008F1A33">
        <w:rPr>
          <w:rFonts w:cstheme="minorHAnsi"/>
        </w:rPr>
        <w:t xml:space="preserve">. </w:t>
      </w:r>
    </w:p>
    <w:p w14:paraId="1CE6FE4D" w14:textId="2B018A6B" w:rsidR="00EB6F64" w:rsidRPr="000128E7" w:rsidRDefault="00554596" w:rsidP="000128E7">
      <w:pPr>
        <w:ind w:left="1080"/>
        <w:rPr>
          <w:rFonts w:cstheme="minorHAnsi"/>
          <w:b/>
          <w:bCs/>
        </w:rPr>
      </w:pPr>
      <w:r w:rsidRPr="000128E7">
        <w:rPr>
          <w:rFonts w:cstheme="minorHAnsi"/>
          <w:b/>
          <w:bCs/>
        </w:rPr>
        <w:t>Table 3</w:t>
      </w:r>
      <w:r w:rsidR="000128E7">
        <w:rPr>
          <w:rFonts w:cstheme="minorHAnsi"/>
          <w:b/>
          <w:bCs/>
        </w:rPr>
        <w:t>: Atrius Health – Patient Payer Product Mix</w:t>
      </w:r>
    </w:p>
    <w:tbl>
      <w:tblPr>
        <w:tblW w:w="8430" w:type="dxa"/>
        <w:tblInd w:w="1075" w:type="dxa"/>
        <w:tblLook w:val="04A0" w:firstRow="1" w:lastRow="0" w:firstColumn="1" w:lastColumn="0" w:noHBand="0" w:noVBand="1"/>
      </w:tblPr>
      <w:tblGrid>
        <w:gridCol w:w="870"/>
        <w:gridCol w:w="2970"/>
        <w:gridCol w:w="1080"/>
        <w:gridCol w:w="990"/>
        <w:gridCol w:w="990"/>
        <w:gridCol w:w="1530"/>
      </w:tblGrid>
      <w:tr w:rsidR="003C5E8B" w:rsidRPr="003C5E8B" w14:paraId="37913ED2" w14:textId="77777777" w:rsidTr="00BA014C">
        <w:trPr>
          <w:cantSplit/>
          <w:trHeight w:val="332"/>
          <w:tblHeader/>
        </w:trPr>
        <w:tc>
          <w:tcPr>
            <w:tcW w:w="870" w:type="dxa"/>
            <w:tcBorders>
              <w:top w:val="single" w:sz="4" w:space="0" w:color="auto"/>
              <w:left w:val="single" w:sz="4" w:space="0" w:color="auto"/>
              <w:bottom w:val="single" w:sz="4" w:space="0" w:color="auto"/>
              <w:right w:val="nil"/>
            </w:tcBorders>
            <w:shd w:val="clear" w:color="auto" w:fill="DEEAF6" w:themeFill="accent1" w:themeFillTint="33"/>
            <w:noWrap/>
            <w:vAlign w:val="center"/>
            <w:hideMark/>
          </w:tcPr>
          <w:p w14:paraId="64B69AE6" w14:textId="4361ACF8" w:rsidR="003C5E8B" w:rsidRPr="003C5E8B" w:rsidRDefault="005108F4" w:rsidP="00C255B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Service</w:t>
            </w:r>
          </w:p>
        </w:tc>
        <w:tc>
          <w:tcPr>
            <w:tcW w:w="297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C615BF8" w14:textId="77777777" w:rsidR="003C5E8B" w:rsidRPr="003C5E8B" w:rsidRDefault="003C5E8B" w:rsidP="00C255B7">
            <w:pPr>
              <w:spacing w:after="0" w:line="240" w:lineRule="auto"/>
              <w:jc w:val="center"/>
              <w:rPr>
                <w:rFonts w:ascii="Calibri" w:eastAsia="Times New Roman" w:hAnsi="Calibri" w:cs="Calibri"/>
                <w:b/>
                <w:bCs/>
                <w:color w:val="000000"/>
              </w:rPr>
            </w:pPr>
            <w:r w:rsidRPr="003C5E8B">
              <w:rPr>
                <w:rFonts w:ascii="Calibri" w:eastAsia="Times New Roman" w:hAnsi="Calibri" w:cs="Calibri"/>
                <w:b/>
                <w:bCs/>
                <w:color w:val="000000"/>
              </w:rPr>
              <w:t>Product Category</w:t>
            </w:r>
          </w:p>
        </w:tc>
        <w:tc>
          <w:tcPr>
            <w:tcW w:w="108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4E1220F2" w14:textId="77777777" w:rsidR="003C5E8B" w:rsidRPr="003C5E8B" w:rsidRDefault="003C5E8B" w:rsidP="00C255B7">
            <w:pPr>
              <w:spacing w:after="0" w:line="240" w:lineRule="auto"/>
              <w:jc w:val="center"/>
              <w:rPr>
                <w:rFonts w:ascii="Calibri" w:eastAsia="Times New Roman" w:hAnsi="Calibri" w:cs="Calibri"/>
                <w:b/>
                <w:bCs/>
                <w:color w:val="000000"/>
              </w:rPr>
            </w:pPr>
            <w:r w:rsidRPr="003C5E8B">
              <w:rPr>
                <w:rFonts w:ascii="Calibri" w:eastAsia="Times New Roman" w:hAnsi="Calibri" w:cs="Calibri"/>
                <w:b/>
                <w:bCs/>
                <w:color w:val="000000"/>
              </w:rPr>
              <w:t>2019</w:t>
            </w:r>
          </w:p>
        </w:tc>
        <w:tc>
          <w:tcPr>
            <w:tcW w:w="99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2886B450" w14:textId="77777777" w:rsidR="003C5E8B" w:rsidRPr="003C5E8B" w:rsidRDefault="003C5E8B" w:rsidP="00C255B7">
            <w:pPr>
              <w:spacing w:after="0" w:line="240" w:lineRule="auto"/>
              <w:jc w:val="center"/>
              <w:rPr>
                <w:rFonts w:ascii="Calibri" w:eastAsia="Times New Roman" w:hAnsi="Calibri" w:cs="Calibri"/>
                <w:b/>
                <w:bCs/>
                <w:color w:val="000000"/>
              </w:rPr>
            </w:pPr>
            <w:r w:rsidRPr="003C5E8B">
              <w:rPr>
                <w:rFonts w:ascii="Calibri" w:eastAsia="Times New Roman" w:hAnsi="Calibri" w:cs="Calibri"/>
                <w:b/>
                <w:bCs/>
                <w:color w:val="000000"/>
              </w:rPr>
              <w:t>2020</w:t>
            </w:r>
          </w:p>
        </w:tc>
        <w:tc>
          <w:tcPr>
            <w:tcW w:w="99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52C03714" w14:textId="77777777" w:rsidR="003C5E8B" w:rsidRPr="003C5E8B" w:rsidRDefault="003C5E8B" w:rsidP="00C255B7">
            <w:pPr>
              <w:spacing w:after="0" w:line="240" w:lineRule="auto"/>
              <w:jc w:val="center"/>
              <w:rPr>
                <w:rFonts w:ascii="Calibri" w:eastAsia="Times New Roman" w:hAnsi="Calibri" w:cs="Calibri"/>
                <w:b/>
                <w:bCs/>
                <w:color w:val="000000"/>
              </w:rPr>
            </w:pPr>
            <w:r w:rsidRPr="003C5E8B">
              <w:rPr>
                <w:rFonts w:ascii="Calibri" w:eastAsia="Times New Roman" w:hAnsi="Calibri" w:cs="Calibri"/>
                <w:b/>
                <w:bCs/>
                <w:color w:val="000000"/>
              </w:rPr>
              <w:t>2021</w:t>
            </w:r>
          </w:p>
        </w:tc>
        <w:tc>
          <w:tcPr>
            <w:tcW w:w="153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30DE830" w14:textId="77777777" w:rsidR="003C5E8B" w:rsidRPr="003C5E8B" w:rsidRDefault="003C5E8B" w:rsidP="00C255B7">
            <w:pPr>
              <w:spacing w:after="0" w:line="240" w:lineRule="auto"/>
              <w:jc w:val="center"/>
              <w:rPr>
                <w:rFonts w:ascii="Calibri" w:eastAsia="Times New Roman" w:hAnsi="Calibri" w:cs="Calibri"/>
                <w:b/>
                <w:bCs/>
                <w:color w:val="000000"/>
              </w:rPr>
            </w:pPr>
            <w:r w:rsidRPr="003C5E8B">
              <w:rPr>
                <w:rFonts w:ascii="Calibri" w:eastAsia="Times New Roman" w:hAnsi="Calibri" w:cs="Calibri"/>
                <w:b/>
                <w:bCs/>
                <w:color w:val="000000"/>
              </w:rPr>
              <w:t>YTD Aug 2022</w:t>
            </w:r>
          </w:p>
        </w:tc>
      </w:tr>
      <w:tr w:rsidR="003C5E8B" w:rsidRPr="003C5E8B" w14:paraId="38578339" w14:textId="77777777" w:rsidTr="00BA014C">
        <w:trPr>
          <w:cantSplit/>
          <w:trHeight w:val="300"/>
        </w:trPr>
        <w:tc>
          <w:tcPr>
            <w:tcW w:w="870" w:type="dxa"/>
            <w:tcBorders>
              <w:top w:val="single" w:sz="4" w:space="0" w:color="auto"/>
              <w:left w:val="single" w:sz="4" w:space="0" w:color="auto"/>
              <w:bottom w:val="nil"/>
              <w:right w:val="single" w:sz="4" w:space="0" w:color="auto"/>
            </w:tcBorders>
            <w:shd w:val="clear" w:color="auto" w:fill="auto"/>
            <w:noWrap/>
            <w:vAlign w:val="center"/>
            <w:hideMark/>
          </w:tcPr>
          <w:p w14:paraId="5A23DFC5" w14:textId="77777777" w:rsidR="003C5E8B" w:rsidRPr="003C5E8B" w:rsidRDefault="003C5E8B" w:rsidP="00C255B7">
            <w:pPr>
              <w:spacing w:after="0" w:line="240" w:lineRule="auto"/>
              <w:jc w:val="center"/>
              <w:rPr>
                <w:rFonts w:ascii="Calibri" w:eastAsia="Times New Roman" w:hAnsi="Calibri" w:cs="Calibri"/>
                <w:b/>
                <w:bCs/>
                <w:color w:val="000000"/>
              </w:rPr>
            </w:pPr>
            <w:r w:rsidRPr="003C5E8B">
              <w:rPr>
                <w:rFonts w:ascii="Calibri" w:eastAsia="Times New Roman" w:hAnsi="Calibri" w:cs="Calibri"/>
                <w:b/>
                <w:bCs/>
                <w:color w:val="000000"/>
              </w:rPr>
              <w:t>CT</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D4C6E78"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Commercial HMO</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836CCA1"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37.5%</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95530EE"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34.3%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442D846"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30.6%</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436FF003"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29.8%</w:t>
            </w:r>
          </w:p>
        </w:tc>
      </w:tr>
      <w:tr w:rsidR="003C5E8B" w:rsidRPr="003C5E8B" w14:paraId="1D16065D" w14:textId="77777777" w:rsidTr="00BA014C">
        <w:trPr>
          <w:cantSplit/>
          <w:trHeight w:val="300"/>
        </w:trPr>
        <w:tc>
          <w:tcPr>
            <w:tcW w:w="870" w:type="dxa"/>
            <w:tcBorders>
              <w:top w:val="nil"/>
              <w:left w:val="single" w:sz="4" w:space="0" w:color="auto"/>
              <w:bottom w:val="nil"/>
              <w:right w:val="nil"/>
            </w:tcBorders>
            <w:shd w:val="clear" w:color="auto" w:fill="auto"/>
            <w:noWrap/>
            <w:vAlign w:val="center"/>
            <w:hideMark/>
          </w:tcPr>
          <w:p w14:paraId="1051FD46" w14:textId="50A6942A" w:rsidR="003C5E8B" w:rsidRPr="003C5E8B" w:rsidRDefault="003C5E8B" w:rsidP="00C255B7">
            <w:pPr>
              <w:spacing w:after="0" w:line="240" w:lineRule="auto"/>
              <w:jc w:val="center"/>
              <w:rPr>
                <w:rFonts w:ascii="Calibri" w:eastAsia="Times New Roman" w:hAnsi="Calibri" w:cs="Calibri"/>
                <w:b/>
                <w:bCs/>
                <w:color w:val="000000"/>
              </w:rPr>
            </w:pPr>
          </w:p>
        </w:tc>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46E188F"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Commercial PPO/Indemnity</w:t>
            </w:r>
          </w:p>
        </w:tc>
        <w:tc>
          <w:tcPr>
            <w:tcW w:w="1080" w:type="dxa"/>
            <w:tcBorders>
              <w:top w:val="nil"/>
              <w:left w:val="nil"/>
              <w:bottom w:val="single" w:sz="4" w:space="0" w:color="auto"/>
              <w:right w:val="single" w:sz="4" w:space="0" w:color="auto"/>
            </w:tcBorders>
            <w:shd w:val="clear" w:color="auto" w:fill="auto"/>
            <w:noWrap/>
            <w:vAlign w:val="center"/>
            <w:hideMark/>
          </w:tcPr>
          <w:p w14:paraId="7EB0ED47"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16.4%</w:t>
            </w:r>
          </w:p>
        </w:tc>
        <w:tc>
          <w:tcPr>
            <w:tcW w:w="990" w:type="dxa"/>
            <w:tcBorders>
              <w:top w:val="nil"/>
              <w:left w:val="nil"/>
              <w:bottom w:val="single" w:sz="4" w:space="0" w:color="auto"/>
              <w:right w:val="single" w:sz="4" w:space="0" w:color="auto"/>
            </w:tcBorders>
            <w:shd w:val="clear" w:color="auto" w:fill="auto"/>
            <w:noWrap/>
            <w:vAlign w:val="center"/>
            <w:hideMark/>
          </w:tcPr>
          <w:p w14:paraId="648BB9FF"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16.2%</w:t>
            </w:r>
          </w:p>
        </w:tc>
        <w:tc>
          <w:tcPr>
            <w:tcW w:w="990" w:type="dxa"/>
            <w:tcBorders>
              <w:top w:val="nil"/>
              <w:left w:val="nil"/>
              <w:bottom w:val="single" w:sz="4" w:space="0" w:color="auto"/>
              <w:right w:val="single" w:sz="4" w:space="0" w:color="auto"/>
            </w:tcBorders>
            <w:shd w:val="clear" w:color="auto" w:fill="auto"/>
            <w:noWrap/>
            <w:vAlign w:val="center"/>
            <w:hideMark/>
          </w:tcPr>
          <w:p w14:paraId="5F6B598E"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16.1%</w:t>
            </w:r>
          </w:p>
        </w:tc>
        <w:tc>
          <w:tcPr>
            <w:tcW w:w="1530" w:type="dxa"/>
            <w:tcBorders>
              <w:top w:val="nil"/>
              <w:left w:val="nil"/>
              <w:bottom w:val="single" w:sz="4" w:space="0" w:color="auto"/>
              <w:right w:val="single" w:sz="4" w:space="0" w:color="auto"/>
            </w:tcBorders>
            <w:shd w:val="clear" w:color="auto" w:fill="auto"/>
            <w:noWrap/>
            <w:vAlign w:val="center"/>
            <w:hideMark/>
          </w:tcPr>
          <w:p w14:paraId="34578855"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14.6%</w:t>
            </w:r>
          </w:p>
        </w:tc>
      </w:tr>
      <w:tr w:rsidR="003C5E8B" w:rsidRPr="003C5E8B" w14:paraId="3ACB521F" w14:textId="77777777" w:rsidTr="00BA014C">
        <w:trPr>
          <w:cantSplit/>
          <w:trHeight w:val="300"/>
        </w:trPr>
        <w:tc>
          <w:tcPr>
            <w:tcW w:w="870" w:type="dxa"/>
            <w:tcBorders>
              <w:top w:val="nil"/>
              <w:left w:val="single" w:sz="4" w:space="0" w:color="auto"/>
              <w:bottom w:val="nil"/>
              <w:right w:val="nil"/>
            </w:tcBorders>
            <w:shd w:val="clear" w:color="auto" w:fill="auto"/>
            <w:noWrap/>
            <w:vAlign w:val="center"/>
            <w:hideMark/>
          </w:tcPr>
          <w:p w14:paraId="70FEDD52" w14:textId="218EE13B" w:rsidR="003C5E8B" w:rsidRPr="003C5E8B" w:rsidRDefault="003C5E8B" w:rsidP="00C255B7">
            <w:pPr>
              <w:spacing w:after="0" w:line="240" w:lineRule="auto"/>
              <w:jc w:val="center"/>
              <w:rPr>
                <w:rFonts w:ascii="Calibri" w:eastAsia="Times New Roman" w:hAnsi="Calibri" w:cs="Calibri"/>
                <w:b/>
                <w:bCs/>
                <w:color w:val="000000"/>
              </w:rPr>
            </w:pPr>
          </w:p>
        </w:tc>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C7D9430"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Medicaid HMO</w:t>
            </w:r>
          </w:p>
        </w:tc>
        <w:tc>
          <w:tcPr>
            <w:tcW w:w="1080" w:type="dxa"/>
            <w:tcBorders>
              <w:top w:val="nil"/>
              <w:left w:val="nil"/>
              <w:bottom w:val="single" w:sz="4" w:space="0" w:color="auto"/>
              <w:right w:val="single" w:sz="4" w:space="0" w:color="auto"/>
            </w:tcBorders>
            <w:shd w:val="clear" w:color="auto" w:fill="auto"/>
            <w:noWrap/>
            <w:vAlign w:val="center"/>
            <w:hideMark/>
          </w:tcPr>
          <w:p w14:paraId="78AAE9F3"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4.0%</w:t>
            </w:r>
          </w:p>
        </w:tc>
        <w:tc>
          <w:tcPr>
            <w:tcW w:w="990" w:type="dxa"/>
            <w:tcBorders>
              <w:top w:val="nil"/>
              <w:left w:val="nil"/>
              <w:bottom w:val="single" w:sz="4" w:space="0" w:color="auto"/>
              <w:right w:val="single" w:sz="4" w:space="0" w:color="auto"/>
            </w:tcBorders>
            <w:shd w:val="clear" w:color="auto" w:fill="auto"/>
            <w:noWrap/>
            <w:vAlign w:val="center"/>
            <w:hideMark/>
          </w:tcPr>
          <w:p w14:paraId="4FDDFA80"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4.3%</w:t>
            </w:r>
          </w:p>
        </w:tc>
        <w:tc>
          <w:tcPr>
            <w:tcW w:w="990" w:type="dxa"/>
            <w:tcBorders>
              <w:top w:val="nil"/>
              <w:left w:val="nil"/>
              <w:bottom w:val="single" w:sz="4" w:space="0" w:color="auto"/>
              <w:right w:val="single" w:sz="4" w:space="0" w:color="auto"/>
            </w:tcBorders>
            <w:shd w:val="clear" w:color="auto" w:fill="auto"/>
            <w:noWrap/>
            <w:vAlign w:val="center"/>
            <w:hideMark/>
          </w:tcPr>
          <w:p w14:paraId="11DFD7A5"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5.0%</w:t>
            </w:r>
          </w:p>
        </w:tc>
        <w:tc>
          <w:tcPr>
            <w:tcW w:w="1530" w:type="dxa"/>
            <w:tcBorders>
              <w:top w:val="nil"/>
              <w:left w:val="nil"/>
              <w:bottom w:val="single" w:sz="4" w:space="0" w:color="auto"/>
              <w:right w:val="single" w:sz="4" w:space="0" w:color="auto"/>
            </w:tcBorders>
            <w:shd w:val="clear" w:color="auto" w:fill="auto"/>
            <w:noWrap/>
            <w:vAlign w:val="center"/>
            <w:hideMark/>
          </w:tcPr>
          <w:p w14:paraId="536091EF"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4.7%</w:t>
            </w:r>
          </w:p>
        </w:tc>
      </w:tr>
      <w:tr w:rsidR="003C5E8B" w:rsidRPr="003C5E8B" w14:paraId="4FBC7885" w14:textId="77777777" w:rsidTr="00BA014C">
        <w:trPr>
          <w:cantSplit/>
          <w:trHeight w:val="300"/>
        </w:trPr>
        <w:tc>
          <w:tcPr>
            <w:tcW w:w="870" w:type="dxa"/>
            <w:tcBorders>
              <w:top w:val="nil"/>
              <w:left w:val="single" w:sz="4" w:space="0" w:color="auto"/>
              <w:bottom w:val="nil"/>
              <w:right w:val="nil"/>
            </w:tcBorders>
            <w:shd w:val="clear" w:color="auto" w:fill="auto"/>
            <w:noWrap/>
            <w:vAlign w:val="center"/>
            <w:hideMark/>
          </w:tcPr>
          <w:p w14:paraId="251A3000" w14:textId="01636356" w:rsidR="003C5E8B" w:rsidRPr="003C5E8B" w:rsidRDefault="003C5E8B" w:rsidP="00C255B7">
            <w:pPr>
              <w:spacing w:after="0" w:line="240" w:lineRule="auto"/>
              <w:jc w:val="center"/>
              <w:rPr>
                <w:rFonts w:ascii="Calibri" w:eastAsia="Times New Roman" w:hAnsi="Calibri" w:cs="Calibri"/>
                <w:b/>
                <w:bCs/>
                <w:color w:val="000000"/>
              </w:rPr>
            </w:pPr>
          </w:p>
        </w:tc>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8B04770"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Medicare</w:t>
            </w:r>
          </w:p>
        </w:tc>
        <w:tc>
          <w:tcPr>
            <w:tcW w:w="1080" w:type="dxa"/>
            <w:tcBorders>
              <w:top w:val="nil"/>
              <w:left w:val="nil"/>
              <w:bottom w:val="single" w:sz="4" w:space="0" w:color="auto"/>
              <w:right w:val="single" w:sz="4" w:space="0" w:color="auto"/>
            </w:tcBorders>
            <w:shd w:val="clear" w:color="auto" w:fill="auto"/>
            <w:noWrap/>
            <w:vAlign w:val="center"/>
            <w:hideMark/>
          </w:tcPr>
          <w:p w14:paraId="1DB192EB"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27.2%</w:t>
            </w:r>
          </w:p>
        </w:tc>
        <w:tc>
          <w:tcPr>
            <w:tcW w:w="990" w:type="dxa"/>
            <w:tcBorders>
              <w:top w:val="nil"/>
              <w:left w:val="nil"/>
              <w:bottom w:val="single" w:sz="4" w:space="0" w:color="auto"/>
              <w:right w:val="single" w:sz="4" w:space="0" w:color="auto"/>
            </w:tcBorders>
            <w:shd w:val="clear" w:color="auto" w:fill="auto"/>
            <w:noWrap/>
            <w:vAlign w:val="center"/>
            <w:hideMark/>
          </w:tcPr>
          <w:p w14:paraId="405E0555"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32.7%</w:t>
            </w:r>
          </w:p>
        </w:tc>
        <w:tc>
          <w:tcPr>
            <w:tcW w:w="990" w:type="dxa"/>
            <w:tcBorders>
              <w:top w:val="nil"/>
              <w:left w:val="nil"/>
              <w:bottom w:val="single" w:sz="4" w:space="0" w:color="auto"/>
              <w:right w:val="single" w:sz="4" w:space="0" w:color="auto"/>
            </w:tcBorders>
            <w:shd w:val="clear" w:color="auto" w:fill="auto"/>
            <w:noWrap/>
            <w:vAlign w:val="center"/>
            <w:hideMark/>
          </w:tcPr>
          <w:p w14:paraId="71FF5E0D"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37.6%</w:t>
            </w:r>
          </w:p>
        </w:tc>
        <w:tc>
          <w:tcPr>
            <w:tcW w:w="1530" w:type="dxa"/>
            <w:tcBorders>
              <w:top w:val="nil"/>
              <w:left w:val="nil"/>
              <w:bottom w:val="single" w:sz="4" w:space="0" w:color="auto"/>
              <w:right w:val="single" w:sz="4" w:space="0" w:color="auto"/>
            </w:tcBorders>
            <w:shd w:val="clear" w:color="auto" w:fill="auto"/>
            <w:noWrap/>
            <w:vAlign w:val="center"/>
            <w:hideMark/>
          </w:tcPr>
          <w:p w14:paraId="6CC80032"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39.7%</w:t>
            </w:r>
          </w:p>
        </w:tc>
      </w:tr>
      <w:tr w:rsidR="003C5E8B" w:rsidRPr="003C5E8B" w14:paraId="68B39D44" w14:textId="77777777" w:rsidTr="00BA014C">
        <w:trPr>
          <w:cantSplit/>
          <w:trHeight w:val="300"/>
        </w:trPr>
        <w:tc>
          <w:tcPr>
            <w:tcW w:w="870" w:type="dxa"/>
            <w:tcBorders>
              <w:top w:val="nil"/>
              <w:left w:val="single" w:sz="4" w:space="0" w:color="auto"/>
              <w:bottom w:val="nil"/>
              <w:right w:val="nil"/>
            </w:tcBorders>
            <w:shd w:val="clear" w:color="auto" w:fill="auto"/>
            <w:noWrap/>
            <w:vAlign w:val="center"/>
            <w:hideMark/>
          </w:tcPr>
          <w:p w14:paraId="0C6877FC" w14:textId="5CE697FB" w:rsidR="003C5E8B" w:rsidRPr="003C5E8B" w:rsidRDefault="003C5E8B" w:rsidP="00C255B7">
            <w:pPr>
              <w:spacing w:after="0" w:line="240" w:lineRule="auto"/>
              <w:jc w:val="center"/>
              <w:rPr>
                <w:rFonts w:ascii="Calibri" w:eastAsia="Times New Roman" w:hAnsi="Calibri" w:cs="Calibri"/>
                <w:b/>
                <w:bCs/>
                <w:color w:val="000000"/>
              </w:rPr>
            </w:pPr>
          </w:p>
        </w:tc>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ECFC714"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Medicare HMO</w:t>
            </w:r>
          </w:p>
        </w:tc>
        <w:tc>
          <w:tcPr>
            <w:tcW w:w="1080" w:type="dxa"/>
            <w:tcBorders>
              <w:top w:val="nil"/>
              <w:left w:val="nil"/>
              <w:bottom w:val="single" w:sz="4" w:space="0" w:color="auto"/>
              <w:right w:val="single" w:sz="4" w:space="0" w:color="auto"/>
            </w:tcBorders>
            <w:shd w:val="clear" w:color="auto" w:fill="auto"/>
            <w:noWrap/>
            <w:vAlign w:val="center"/>
            <w:hideMark/>
          </w:tcPr>
          <w:p w14:paraId="24151D83"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12.9%</w:t>
            </w:r>
          </w:p>
        </w:tc>
        <w:tc>
          <w:tcPr>
            <w:tcW w:w="990" w:type="dxa"/>
            <w:tcBorders>
              <w:top w:val="nil"/>
              <w:left w:val="nil"/>
              <w:bottom w:val="single" w:sz="4" w:space="0" w:color="auto"/>
              <w:right w:val="single" w:sz="4" w:space="0" w:color="auto"/>
            </w:tcBorders>
            <w:shd w:val="clear" w:color="auto" w:fill="auto"/>
            <w:noWrap/>
            <w:vAlign w:val="center"/>
            <w:hideMark/>
          </w:tcPr>
          <w:p w14:paraId="5919FCDC"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12.3%</w:t>
            </w:r>
          </w:p>
        </w:tc>
        <w:tc>
          <w:tcPr>
            <w:tcW w:w="990" w:type="dxa"/>
            <w:tcBorders>
              <w:top w:val="nil"/>
              <w:left w:val="nil"/>
              <w:bottom w:val="single" w:sz="4" w:space="0" w:color="auto"/>
              <w:right w:val="single" w:sz="4" w:space="0" w:color="auto"/>
            </w:tcBorders>
            <w:shd w:val="clear" w:color="auto" w:fill="auto"/>
            <w:noWrap/>
            <w:vAlign w:val="center"/>
            <w:hideMark/>
          </w:tcPr>
          <w:p w14:paraId="55066EB2"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10.6%</w:t>
            </w:r>
          </w:p>
        </w:tc>
        <w:tc>
          <w:tcPr>
            <w:tcW w:w="1530" w:type="dxa"/>
            <w:tcBorders>
              <w:top w:val="nil"/>
              <w:left w:val="nil"/>
              <w:bottom w:val="single" w:sz="4" w:space="0" w:color="auto"/>
              <w:right w:val="single" w:sz="4" w:space="0" w:color="auto"/>
            </w:tcBorders>
            <w:shd w:val="clear" w:color="auto" w:fill="auto"/>
            <w:noWrap/>
            <w:vAlign w:val="center"/>
            <w:hideMark/>
          </w:tcPr>
          <w:p w14:paraId="72D17648"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10.0%</w:t>
            </w:r>
          </w:p>
        </w:tc>
      </w:tr>
      <w:tr w:rsidR="003C5E8B" w:rsidRPr="003C5E8B" w14:paraId="61A9085B" w14:textId="77777777" w:rsidTr="00BA014C">
        <w:trPr>
          <w:cantSplit/>
          <w:trHeight w:val="300"/>
        </w:trPr>
        <w:tc>
          <w:tcPr>
            <w:tcW w:w="870" w:type="dxa"/>
            <w:tcBorders>
              <w:top w:val="nil"/>
              <w:left w:val="single" w:sz="4" w:space="0" w:color="auto"/>
              <w:bottom w:val="nil"/>
              <w:right w:val="nil"/>
            </w:tcBorders>
            <w:shd w:val="clear" w:color="auto" w:fill="auto"/>
            <w:noWrap/>
            <w:vAlign w:val="center"/>
            <w:hideMark/>
          </w:tcPr>
          <w:p w14:paraId="4DA5364F" w14:textId="15616BCD" w:rsidR="003C5E8B" w:rsidRPr="003C5E8B" w:rsidRDefault="003C5E8B" w:rsidP="00C255B7">
            <w:pPr>
              <w:spacing w:after="0" w:line="240" w:lineRule="auto"/>
              <w:jc w:val="center"/>
              <w:rPr>
                <w:rFonts w:ascii="Calibri" w:eastAsia="Times New Roman" w:hAnsi="Calibri" w:cs="Calibri"/>
                <w:b/>
                <w:bCs/>
                <w:color w:val="000000"/>
              </w:rPr>
            </w:pPr>
          </w:p>
        </w:tc>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6215129"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Other Government</w:t>
            </w:r>
          </w:p>
        </w:tc>
        <w:tc>
          <w:tcPr>
            <w:tcW w:w="1080" w:type="dxa"/>
            <w:tcBorders>
              <w:top w:val="nil"/>
              <w:left w:val="nil"/>
              <w:bottom w:val="single" w:sz="4" w:space="0" w:color="auto"/>
              <w:right w:val="single" w:sz="4" w:space="0" w:color="auto"/>
            </w:tcBorders>
            <w:shd w:val="clear" w:color="auto" w:fill="auto"/>
            <w:noWrap/>
            <w:vAlign w:val="center"/>
            <w:hideMark/>
          </w:tcPr>
          <w:p w14:paraId="57337147"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2.0%</w:t>
            </w:r>
          </w:p>
        </w:tc>
        <w:tc>
          <w:tcPr>
            <w:tcW w:w="990" w:type="dxa"/>
            <w:tcBorders>
              <w:top w:val="nil"/>
              <w:left w:val="nil"/>
              <w:bottom w:val="single" w:sz="4" w:space="0" w:color="auto"/>
              <w:right w:val="single" w:sz="4" w:space="0" w:color="auto"/>
            </w:tcBorders>
            <w:shd w:val="clear" w:color="auto" w:fill="auto"/>
            <w:noWrap/>
            <w:vAlign w:val="center"/>
            <w:hideMark/>
          </w:tcPr>
          <w:p w14:paraId="6B8D9365"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0.1%</w:t>
            </w:r>
          </w:p>
        </w:tc>
        <w:tc>
          <w:tcPr>
            <w:tcW w:w="990" w:type="dxa"/>
            <w:tcBorders>
              <w:top w:val="nil"/>
              <w:left w:val="nil"/>
              <w:bottom w:val="single" w:sz="4" w:space="0" w:color="auto"/>
              <w:right w:val="single" w:sz="4" w:space="0" w:color="auto"/>
            </w:tcBorders>
            <w:shd w:val="clear" w:color="auto" w:fill="auto"/>
            <w:noWrap/>
            <w:vAlign w:val="center"/>
            <w:hideMark/>
          </w:tcPr>
          <w:p w14:paraId="315C8B65"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0.1%</w:t>
            </w:r>
          </w:p>
        </w:tc>
        <w:tc>
          <w:tcPr>
            <w:tcW w:w="1530" w:type="dxa"/>
            <w:tcBorders>
              <w:top w:val="nil"/>
              <w:left w:val="nil"/>
              <w:bottom w:val="single" w:sz="4" w:space="0" w:color="auto"/>
              <w:right w:val="single" w:sz="4" w:space="0" w:color="auto"/>
            </w:tcBorders>
            <w:shd w:val="clear" w:color="auto" w:fill="auto"/>
            <w:noWrap/>
            <w:vAlign w:val="center"/>
            <w:hideMark/>
          </w:tcPr>
          <w:p w14:paraId="465C655A"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0.1%</w:t>
            </w:r>
          </w:p>
        </w:tc>
      </w:tr>
      <w:tr w:rsidR="003C5E8B" w:rsidRPr="003C5E8B" w14:paraId="754D80CC" w14:textId="77777777" w:rsidTr="00BA014C">
        <w:trPr>
          <w:cantSplit/>
          <w:trHeight w:val="300"/>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2CB28305" w14:textId="557160D4" w:rsidR="003C5E8B" w:rsidRPr="003C5E8B" w:rsidRDefault="003C5E8B" w:rsidP="00C255B7">
            <w:pPr>
              <w:spacing w:after="0" w:line="240" w:lineRule="auto"/>
              <w:jc w:val="center"/>
              <w:rPr>
                <w:rFonts w:ascii="Calibri" w:eastAsia="Times New Roman" w:hAnsi="Calibri" w:cs="Calibri"/>
                <w:b/>
                <w:bCs/>
                <w:color w:val="000000"/>
              </w:rPr>
            </w:pPr>
          </w:p>
        </w:tc>
        <w:tc>
          <w:tcPr>
            <w:tcW w:w="2970" w:type="dxa"/>
            <w:tcBorders>
              <w:top w:val="nil"/>
              <w:left w:val="nil"/>
              <w:bottom w:val="single" w:sz="4" w:space="0" w:color="auto"/>
              <w:right w:val="single" w:sz="4" w:space="0" w:color="auto"/>
            </w:tcBorders>
            <w:shd w:val="clear" w:color="auto" w:fill="auto"/>
            <w:noWrap/>
            <w:vAlign w:val="center"/>
            <w:hideMark/>
          </w:tcPr>
          <w:p w14:paraId="5759293D"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Self Pay</w:t>
            </w:r>
          </w:p>
        </w:tc>
        <w:tc>
          <w:tcPr>
            <w:tcW w:w="1080" w:type="dxa"/>
            <w:tcBorders>
              <w:top w:val="nil"/>
              <w:left w:val="nil"/>
              <w:bottom w:val="single" w:sz="4" w:space="0" w:color="auto"/>
              <w:right w:val="single" w:sz="4" w:space="0" w:color="auto"/>
            </w:tcBorders>
            <w:shd w:val="clear" w:color="auto" w:fill="auto"/>
            <w:noWrap/>
            <w:vAlign w:val="center"/>
            <w:hideMark/>
          </w:tcPr>
          <w:p w14:paraId="128FDB82"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0.1%</w:t>
            </w:r>
          </w:p>
        </w:tc>
        <w:tc>
          <w:tcPr>
            <w:tcW w:w="990" w:type="dxa"/>
            <w:tcBorders>
              <w:top w:val="nil"/>
              <w:left w:val="nil"/>
              <w:bottom w:val="single" w:sz="4" w:space="0" w:color="auto"/>
              <w:right w:val="single" w:sz="4" w:space="0" w:color="auto"/>
            </w:tcBorders>
            <w:shd w:val="clear" w:color="auto" w:fill="auto"/>
            <w:noWrap/>
            <w:vAlign w:val="center"/>
            <w:hideMark/>
          </w:tcPr>
          <w:p w14:paraId="33E4D59B"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0.1%</w:t>
            </w:r>
          </w:p>
        </w:tc>
        <w:tc>
          <w:tcPr>
            <w:tcW w:w="990" w:type="dxa"/>
            <w:tcBorders>
              <w:top w:val="nil"/>
              <w:left w:val="nil"/>
              <w:bottom w:val="single" w:sz="4" w:space="0" w:color="auto"/>
              <w:right w:val="single" w:sz="4" w:space="0" w:color="auto"/>
            </w:tcBorders>
            <w:shd w:val="clear" w:color="auto" w:fill="auto"/>
            <w:noWrap/>
            <w:vAlign w:val="center"/>
            <w:hideMark/>
          </w:tcPr>
          <w:p w14:paraId="6CE36ACE"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0.1%</w:t>
            </w:r>
          </w:p>
        </w:tc>
        <w:tc>
          <w:tcPr>
            <w:tcW w:w="1530" w:type="dxa"/>
            <w:tcBorders>
              <w:top w:val="nil"/>
              <w:left w:val="nil"/>
              <w:bottom w:val="single" w:sz="4" w:space="0" w:color="auto"/>
              <w:right w:val="single" w:sz="4" w:space="0" w:color="auto"/>
            </w:tcBorders>
            <w:shd w:val="clear" w:color="auto" w:fill="auto"/>
            <w:noWrap/>
            <w:vAlign w:val="center"/>
            <w:hideMark/>
          </w:tcPr>
          <w:p w14:paraId="6B855652"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1.1%</w:t>
            </w:r>
          </w:p>
        </w:tc>
      </w:tr>
      <w:tr w:rsidR="003C5E8B" w:rsidRPr="003C5E8B" w14:paraId="15D3ED8D" w14:textId="77777777" w:rsidTr="00BA014C">
        <w:trPr>
          <w:cantSplit/>
          <w:trHeight w:val="300"/>
        </w:trPr>
        <w:tc>
          <w:tcPr>
            <w:tcW w:w="870" w:type="dxa"/>
            <w:tcBorders>
              <w:top w:val="single" w:sz="4" w:space="0" w:color="auto"/>
              <w:left w:val="single" w:sz="4" w:space="0" w:color="auto"/>
              <w:bottom w:val="nil"/>
              <w:right w:val="single" w:sz="4" w:space="0" w:color="auto"/>
            </w:tcBorders>
            <w:shd w:val="clear" w:color="auto" w:fill="auto"/>
            <w:noWrap/>
            <w:vAlign w:val="center"/>
            <w:hideMark/>
          </w:tcPr>
          <w:p w14:paraId="4B27DBA7" w14:textId="77777777" w:rsidR="003C5E8B" w:rsidRPr="003C5E8B" w:rsidRDefault="003C5E8B" w:rsidP="00C255B7">
            <w:pPr>
              <w:spacing w:after="0" w:line="240" w:lineRule="auto"/>
              <w:jc w:val="center"/>
              <w:rPr>
                <w:rFonts w:ascii="Calibri" w:eastAsia="Times New Roman" w:hAnsi="Calibri" w:cs="Calibri"/>
                <w:b/>
                <w:bCs/>
                <w:color w:val="000000"/>
              </w:rPr>
            </w:pPr>
            <w:r w:rsidRPr="003C5E8B">
              <w:rPr>
                <w:rFonts w:ascii="Calibri" w:eastAsia="Times New Roman" w:hAnsi="Calibri" w:cs="Calibri"/>
                <w:b/>
                <w:bCs/>
                <w:color w:val="000000"/>
              </w:rPr>
              <w:t>MRI</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32270C8"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Commercial HMO</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B4D7DB3"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43.2%</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6DC1C17"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41.6%</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52E4CBD"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37.4%</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2C42B2D9"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35.2%</w:t>
            </w:r>
          </w:p>
        </w:tc>
      </w:tr>
      <w:tr w:rsidR="003C5E8B" w:rsidRPr="003C5E8B" w14:paraId="3407FC60" w14:textId="77777777" w:rsidTr="00BA014C">
        <w:trPr>
          <w:cantSplit/>
          <w:trHeight w:val="300"/>
        </w:trPr>
        <w:tc>
          <w:tcPr>
            <w:tcW w:w="870" w:type="dxa"/>
            <w:tcBorders>
              <w:top w:val="nil"/>
              <w:left w:val="single" w:sz="4" w:space="0" w:color="auto"/>
              <w:bottom w:val="nil"/>
              <w:right w:val="nil"/>
            </w:tcBorders>
            <w:shd w:val="clear" w:color="auto" w:fill="auto"/>
            <w:noWrap/>
            <w:vAlign w:val="center"/>
            <w:hideMark/>
          </w:tcPr>
          <w:p w14:paraId="7E4CEEF8" w14:textId="0815CB95" w:rsidR="003C5E8B" w:rsidRPr="003C5E8B" w:rsidRDefault="003C5E8B" w:rsidP="00C255B7">
            <w:pPr>
              <w:spacing w:after="0" w:line="240" w:lineRule="auto"/>
              <w:jc w:val="center"/>
              <w:rPr>
                <w:rFonts w:ascii="Calibri" w:eastAsia="Times New Roman" w:hAnsi="Calibri" w:cs="Calibri"/>
                <w:b/>
                <w:bCs/>
                <w:color w:val="000000"/>
              </w:rPr>
            </w:pPr>
          </w:p>
        </w:tc>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8789B80"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Commercial PPO/Indemnity</w:t>
            </w:r>
          </w:p>
        </w:tc>
        <w:tc>
          <w:tcPr>
            <w:tcW w:w="1080" w:type="dxa"/>
            <w:tcBorders>
              <w:top w:val="nil"/>
              <w:left w:val="nil"/>
              <w:bottom w:val="single" w:sz="4" w:space="0" w:color="auto"/>
              <w:right w:val="single" w:sz="4" w:space="0" w:color="auto"/>
            </w:tcBorders>
            <w:shd w:val="clear" w:color="auto" w:fill="auto"/>
            <w:noWrap/>
            <w:vAlign w:val="center"/>
            <w:hideMark/>
          </w:tcPr>
          <w:p w14:paraId="75F25DA1"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20.0%</w:t>
            </w:r>
          </w:p>
        </w:tc>
        <w:tc>
          <w:tcPr>
            <w:tcW w:w="990" w:type="dxa"/>
            <w:tcBorders>
              <w:top w:val="nil"/>
              <w:left w:val="nil"/>
              <w:bottom w:val="single" w:sz="4" w:space="0" w:color="auto"/>
              <w:right w:val="single" w:sz="4" w:space="0" w:color="auto"/>
            </w:tcBorders>
            <w:shd w:val="clear" w:color="auto" w:fill="auto"/>
            <w:noWrap/>
            <w:vAlign w:val="center"/>
            <w:hideMark/>
          </w:tcPr>
          <w:p w14:paraId="6DFEEB69"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19.5%</w:t>
            </w:r>
          </w:p>
        </w:tc>
        <w:tc>
          <w:tcPr>
            <w:tcW w:w="990" w:type="dxa"/>
            <w:tcBorders>
              <w:top w:val="nil"/>
              <w:left w:val="nil"/>
              <w:bottom w:val="single" w:sz="4" w:space="0" w:color="auto"/>
              <w:right w:val="single" w:sz="4" w:space="0" w:color="auto"/>
            </w:tcBorders>
            <w:shd w:val="clear" w:color="auto" w:fill="auto"/>
            <w:noWrap/>
            <w:vAlign w:val="center"/>
            <w:hideMark/>
          </w:tcPr>
          <w:p w14:paraId="679A1A25"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18.8%</w:t>
            </w:r>
          </w:p>
        </w:tc>
        <w:tc>
          <w:tcPr>
            <w:tcW w:w="1530" w:type="dxa"/>
            <w:tcBorders>
              <w:top w:val="nil"/>
              <w:left w:val="nil"/>
              <w:bottom w:val="single" w:sz="4" w:space="0" w:color="auto"/>
              <w:right w:val="single" w:sz="4" w:space="0" w:color="auto"/>
            </w:tcBorders>
            <w:shd w:val="clear" w:color="auto" w:fill="auto"/>
            <w:noWrap/>
            <w:vAlign w:val="center"/>
            <w:hideMark/>
          </w:tcPr>
          <w:p w14:paraId="1DE9F927"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18.1%</w:t>
            </w:r>
          </w:p>
        </w:tc>
      </w:tr>
      <w:tr w:rsidR="003C5E8B" w:rsidRPr="003C5E8B" w14:paraId="1FCDA554" w14:textId="77777777" w:rsidTr="00BA014C">
        <w:trPr>
          <w:cantSplit/>
          <w:trHeight w:val="300"/>
        </w:trPr>
        <w:tc>
          <w:tcPr>
            <w:tcW w:w="870" w:type="dxa"/>
            <w:tcBorders>
              <w:top w:val="nil"/>
              <w:left w:val="single" w:sz="4" w:space="0" w:color="auto"/>
              <w:bottom w:val="nil"/>
              <w:right w:val="nil"/>
            </w:tcBorders>
            <w:shd w:val="clear" w:color="auto" w:fill="auto"/>
            <w:noWrap/>
            <w:vAlign w:val="center"/>
            <w:hideMark/>
          </w:tcPr>
          <w:p w14:paraId="3169B2FC" w14:textId="472FCD93" w:rsidR="003C5E8B" w:rsidRPr="003C5E8B" w:rsidRDefault="003C5E8B" w:rsidP="00C255B7">
            <w:pPr>
              <w:spacing w:after="0" w:line="240" w:lineRule="auto"/>
              <w:jc w:val="center"/>
              <w:rPr>
                <w:rFonts w:ascii="Calibri" w:eastAsia="Times New Roman" w:hAnsi="Calibri" w:cs="Calibri"/>
                <w:b/>
                <w:bCs/>
                <w:color w:val="000000"/>
              </w:rPr>
            </w:pPr>
          </w:p>
        </w:tc>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F044BA8"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Medicaid HMO</w:t>
            </w:r>
          </w:p>
        </w:tc>
        <w:tc>
          <w:tcPr>
            <w:tcW w:w="1080" w:type="dxa"/>
            <w:tcBorders>
              <w:top w:val="nil"/>
              <w:left w:val="nil"/>
              <w:bottom w:val="single" w:sz="4" w:space="0" w:color="auto"/>
              <w:right w:val="single" w:sz="4" w:space="0" w:color="auto"/>
            </w:tcBorders>
            <w:shd w:val="clear" w:color="auto" w:fill="auto"/>
            <w:noWrap/>
            <w:vAlign w:val="center"/>
            <w:hideMark/>
          </w:tcPr>
          <w:p w14:paraId="22D74B44"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5.7%</w:t>
            </w:r>
          </w:p>
        </w:tc>
        <w:tc>
          <w:tcPr>
            <w:tcW w:w="990" w:type="dxa"/>
            <w:tcBorders>
              <w:top w:val="nil"/>
              <w:left w:val="nil"/>
              <w:bottom w:val="single" w:sz="4" w:space="0" w:color="auto"/>
              <w:right w:val="single" w:sz="4" w:space="0" w:color="auto"/>
            </w:tcBorders>
            <w:shd w:val="clear" w:color="auto" w:fill="auto"/>
            <w:noWrap/>
            <w:vAlign w:val="center"/>
            <w:hideMark/>
          </w:tcPr>
          <w:p w14:paraId="386F445F"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5.9%</w:t>
            </w:r>
          </w:p>
        </w:tc>
        <w:tc>
          <w:tcPr>
            <w:tcW w:w="990" w:type="dxa"/>
            <w:tcBorders>
              <w:top w:val="nil"/>
              <w:left w:val="nil"/>
              <w:bottom w:val="single" w:sz="4" w:space="0" w:color="auto"/>
              <w:right w:val="single" w:sz="4" w:space="0" w:color="auto"/>
            </w:tcBorders>
            <w:shd w:val="clear" w:color="auto" w:fill="auto"/>
            <w:noWrap/>
            <w:vAlign w:val="center"/>
            <w:hideMark/>
          </w:tcPr>
          <w:p w14:paraId="1F9ED418"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6.2%</w:t>
            </w:r>
          </w:p>
        </w:tc>
        <w:tc>
          <w:tcPr>
            <w:tcW w:w="1530" w:type="dxa"/>
            <w:tcBorders>
              <w:top w:val="nil"/>
              <w:left w:val="nil"/>
              <w:bottom w:val="single" w:sz="4" w:space="0" w:color="auto"/>
              <w:right w:val="single" w:sz="4" w:space="0" w:color="auto"/>
            </w:tcBorders>
            <w:shd w:val="clear" w:color="auto" w:fill="auto"/>
            <w:noWrap/>
            <w:vAlign w:val="center"/>
            <w:hideMark/>
          </w:tcPr>
          <w:p w14:paraId="2B3B5F8E"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5.8%</w:t>
            </w:r>
          </w:p>
        </w:tc>
      </w:tr>
      <w:tr w:rsidR="003C5E8B" w:rsidRPr="003C5E8B" w14:paraId="1BC8686D" w14:textId="77777777" w:rsidTr="00BA014C">
        <w:trPr>
          <w:cantSplit/>
          <w:trHeight w:val="300"/>
        </w:trPr>
        <w:tc>
          <w:tcPr>
            <w:tcW w:w="870" w:type="dxa"/>
            <w:tcBorders>
              <w:top w:val="nil"/>
              <w:left w:val="single" w:sz="4" w:space="0" w:color="auto"/>
              <w:bottom w:val="nil"/>
              <w:right w:val="nil"/>
            </w:tcBorders>
            <w:shd w:val="clear" w:color="auto" w:fill="auto"/>
            <w:noWrap/>
            <w:vAlign w:val="center"/>
            <w:hideMark/>
          </w:tcPr>
          <w:p w14:paraId="2F4C39B8" w14:textId="0FEE4DF5" w:rsidR="003C5E8B" w:rsidRPr="003C5E8B" w:rsidRDefault="003C5E8B" w:rsidP="00C255B7">
            <w:pPr>
              <w:spacing w:after="0" w:line="240" w:lineRule="auto"/>
              <w:jc w:val="center"/>
              <w:rPr>
                <w:rFonts w:ascii="Calibri" w:eastAsia="Times New Roman" w:hAnsi="Calibri" w:cs="Calibri"/>
                <w:b/>
                <w:bCs/>
                <w:color w:val="000000"/>
              </w:rPr>
            </w:pPr>
          </w:p>
        </w:tc>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A4F1625"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Medicare</w:t>
            </w:r>
          </w:p>
        </w:tc>
        <w:tc>
          <w:tcPr>
            <w:tcW w:w="1080" w:type="dxa"/>
            <w:tcBorders>
              <w:top w:val="nil"/>
              <w:left w:val="nil"/>
              <w:bottom w:val="single" w:sz="4" w:space="0" w:color="auto"/>
              <w:right w:val="single" w:sz="4" w:space="0" w:color="auto"/>
            </w:tcBorders>
            <w:shd w:val="clear" w:color="auto" w:fill="auto"/>
            <w:noWrap/>
            <w:vAlign w:val="center"/>
            <w:hideMark/>
          </w:tcPr>
          <w:p w14:paraId="67115C29"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19.8%</w:t>
            </w:r>
          </w:p>
        </w:tc>
        <w:tc>
          <w:tcPr>
            <w:tcW w:w="990" w:type="dxa"/>
            <w:tcBorders>
              <w:top w:val="nil"/>
              <w:left w:val="nil"/>
              <w:bottom w:val="single" w:sz="4" w:space="0" w:color="auto"/>
              <w:right w:val="single" w:sz="4" w:space="0" w:color="auto"/>
            </w:tcBorders>
            <w:shd w:val="clear" w:color="auto" w:fill="auto"/>
            <w:noWrap/>
            <w:vAlign w:val="center"/>
            <w:hideMark/>
          </w:tcPr>
          <w:p w14:paraId="20097F1E"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23.9%</w:t>
            </w:r>
          </w:p>
        </w:tc>
        <w:tc>
          <w:tcPr>
            <w:tcW w:w="990" w:type="dxa"/>
            <w:tcBorders>
              <w:top w:val="nil"/>
              <w:left w:val="nil"/>
              <w:bottom w:val="single" w:sz="4" w:space="0" w:color="auto"/>
              <w:right w:val="single" w:sz="4" w:space="0" w:color="auto"/>
            </w:tcBorders>
            <w:shd w:val="clear" w:color="auto" w:fill="auto"/>
            <w:noWrap/>
            <w:vAlign w:val="center"/>
            <w:hideMark/>
          </w:tcPr>
          <w:p w14:paraId="275E5CCB"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29.7%</w:t>
            </w:r>
          </w:p>
        </w:tc>
        <w:tc>
          <w:tcPr>
            <w:tcW w:w="1530" w:type="dxa"/>
            <w:tcBorders>
              <w:top w:val="nil"/>
              <w:left w:val="nil"/>
              <w:bottom w:val="single" w:sz="4" w:space="0" w:color="auto"/>
              <w:right w:val="single" w:sz="4" w:space="0" w:color="auto"/>
            </w:tcBorders>
            <w:shd w:val="clear" w:color="auto" w:fill="auto"/>
            <w:noWrap/>
            <w:vAlign w:val="center"/>
            <w:hideMark/>
          </w:tcPr>
          <w:p w14:paraId="6A1AA8BE"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33.0%</w:t>
            </w:r>
          </w:p>
        </w:tc>
      </w:tr>
      <w:tr w:rsidR="003C5E8B" w:rsidRPr="003C5E8B" w14:paraId="44CD9A23" w14:textId="77777777" w:rsidTr="00BA014C">
        <w:trPr>
          <w:cantSplit/>
          <w:trHeight w:val="300"/>
        </w:trPr>
        <w:tc>
          <w:tcPr>
            <w:tcW w:w="870" w:type="dxa"/>
            <w:tcBorders>
              <w:top w:val="nil"/>
              <w:left w:val="single" w:sz="4" w:space="0" w:color="auto"/>
              <w:bottom w:val="nil"/>
              <w:right w:val="nil"/>
            </w:tcBorders>
            <w:shd w:val="clear" w:color="auto" w:fill="auto"/>
            <w:noWrap/>
            <w:vAlign w:val="center"/>
            <w:hideMark/>
          </w:tcPr>
          <w:p w14:paraId="725AEA8C" w14:textId="44316368" w:rsidR="003C5E8B" w:rsidRPr="003C5E8B" w:rsidRDefault="003C5E8B" w:rsidP="00C255B7">
            <w:pPr>
              <w:spacing w:after="0" w:line="240" w:lineRule="auto"/>
              <w:jc w:val="center"/>
              <w:rPr>
                <w:rFonts w:ascii="Calibri" w:eastAsia="Times New Roman" w:hAnsi="Calibri" w:cs="Calibri"/>
                <w:b/>
                <w:bCs/>
                <w:color w:val="000000"/>
              </w:rPr>
            </w:pPr>
          </w:p>
        </w:tc>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4E4EB9B"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Medicare HMO</w:t>
            </w:r>
          </w:p>
        </w:tc>
        <w:tc>
          <w:tcPr>
            <w:tcW w:w="1080" w:type="dxa"/>
            <w:tcBorders>
              <w:top w:val="nil"/>
              <w:left w:val="nil"/>
              <w:bottom w:val="single" w:sz="4" w:space="0" w:color="auto"/>
              <w:right w:val="single" w:sz="4" w:space="0" w:color="auto"/>
            </w:tcBorders>
            <w:shd w:val="clear" w:color="auto" w:fill="auto"/>
            <w:noWrap/>
            <w:vAlign w:val="center"/>
            <w:hideMark/>
          </w:tcPr>
          <w:p w14:paraId="7D2F5EC4"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8.9%</w:t>
            </w:r>
          </w:p>
        </w:tc>
        <w:tc>
          <w:tcPr>
            <w:tcW w:w="990" w:type="dxa"/>
            <w:tcBorders>
              <w:top w:val="nil"/>
              <w:left w:val="nil"/>
              <w:bottom w:val="single" w:sz="4" w:space="0" w:color="auto"/>
              <w:right w:val="single" w:sz="4" w:space="0" w:color="auto"/>
            </w:tcBorders>
            <w:shd w:val="clear" w:color="auto" w:fill="auto"/>
            <w:noWrap/>
            <w:vAlign w:val="center"/>
            <w:hideMark/>
          </w:tcPr>
          <w:p w14:paraId="1D536DA8"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8.9%</w:t>
            </w:r>
          </w:p>
        </w:tc>
        <w:tc>
          <w:tcPr>
            <w:tcW w:w="990" w:type="dxa"/>
            <w:tcBorders>
              <w:top w:val="nil"/>
              <w:left w:val="nil"/>
              <w:bottom w:val="single" w:sz="4" w:space="0" w:color="auto"/>
              <w:right w:val="single" w:sz="4" w:space="0" w:color="auto"/>
            </w:tcBorders>
            <w:shd w:val="clear" w:color="auto" w:fill="auto"/>
            <w:noWrap/>
            <w:vAlign w:val="center"/>
            <w:hideMark/>
          </w:tcPr>
          <w:p w14:paraId="24A2819A"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7.9%</w:t>
            </w:r>
          </w:p>
        </w:tc>
        <w:tc>
          <w:tcPr>
            <w:tcW w:w="1530" w:type="dxa"/>
            <w:tcBorders>
              <w:top w:val="nil"/>
              <w:left w:val="nil"/>
              <w:bottom w:val="single" w:sz="4" w:space="0" w:color="auto"/>
              <w:right w:val="single" w:sz="4" w:space="0" w:color="auto"/>
            </w:tcBorders>
            <w:shd w:val="clear" w:color="auto" w:fill="auto"/>
            <w:noWrap/>
            <w:vAlign w:val="center"/>
            <w:hideMark/>
          </w:tcPr>
          <w:p w14:paraId="0952B3EF"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7.6%</w:t>
            </w:r>
          </w:p>
        </w:tc>
      </w:tr>
      <w:tr w:rsidR="003C5E8B" w:rsidRPr="003C5E8B" w14:paraId="76691C7E" w14:textId="77777777" w:rsidTr="00BA014C">
        <w:trPr>
          <w:cantSplit/>
          <w:trHeight w:val="300"/>
        </w:trPr>
        <w:tc>
          <w:tcPr>
            <w:tcW w:w="870" w:type="dxa"/>
            <w:tcBorders>
              <w:top w:val="nil"/>
              <w:left w:val="single" w:sz="4" w:space="0" w:color="auto"/>
              <w:bottom w:val="nil"/>
              <w:right w:val="nil"/>
            </w:tcBorders>
            <w:shd w:val="clear" w:color="auto" w:fill="auto"/>
            <w:noWrap/>
            <w:vAlign w:val="center"/>
            <w:hideMark/>
          </w:tcPr>
          <w:p w14:paraId="1E9F010A" w14:textId="35BF577C" w:rsidR="003C5E8B" w:rsidRPr="003C5E8B" w:rsidRDefault="003C5E8B" w:rsidP="00C255B7">
            <w:pPr>
              <w:spacing w:after="0" w:line="240" w:lineRule="auto"/>
              <w:jc w:val="center"/>
              <w:rPr>
                <w:rFonts w:ascii="Calibri" w:eastAsia="Times New Roman" w:hAnsi="Calibri" w:cs="Calibri"/>
                <w:b/>
                <w:bCs/>
                <w:color w:val="000000"/>
              </w:rPr>
            </w:pPr>
          </w:p>
        </w:tc>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4F7ABAE"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Other Government</w:t>
            </w:r>
          </w:p>
        </w:tc>
        <w:tc>
          <w:tcPr>
            <w:tcW w:w="1080" w:type="dxa"/>
            <w:tcBorders>
              <w:top w:val="nil"/>
              <w:left w:val="nil"/>
              <w:bottom w:val="single" w:sz="4" w:space="0" w:color="auto"/>
              <w:right w:val="single" w:sz="4" w:space="0" w:color="auto"/>
            </w:tcBorders>
            <w:shd w:val="clear" w:color="auto" w:fill="auto"/>
            <w:noWrap/>
            <w:vAlign w:val="center"/>
            <w:hideMark/>
          </w:tcPr>
          <w:p w14:paraId="3C822441"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2.3%</w:t>
            </w:r>
          </w:p>
        </w:tc>
        <w:tc>
          <w:tcPr>
            <w:tcW w:w="990" w:type="dxa"/>
            <w:tcBorders>
              <w:top w:val="nil"/>
              <w:left w:val="nil"/>
              <w:bottom w:val="single" w:sz="4" w:space="0" w:color="auto"/>
              <w:right w:val="single" w:sz="4" w:space="0" w:color="auto"/>
            </w:tcBorders>
            <w:shd w:val="clear" w:color="auto" w:fill="auto"/>
            <w:noWrap/>
            <w:vAlign w:val="center"/>
            <w:hideMark/>
          </w:tcPr>
          <w:p w14:paraId="67B5969F"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0.2%</w:t>
            </w:r>
          </w:p>
        </w:tc>
        <w:tc>
          <w:tcPr>
            <w:tcW w:w="990" w:type="dxa"/>
            <w:tcBorders>
              <w:top w:val="nil"/>
              <w:left w:val="nil"/>
              <w:bottom w:val="single" w:sz="4" w:space="0" w:color="auto"/>
              <w:right w:val="single" w:sz="4" w:space="0" w:color="auto"/>
            </w:tcBorders>
            <w:shd w:val="clear" w:color="auto" w:fill="auto"/>
            <w:noWrap/>
            <w:vAlign w:val="center"/>
            <w:hideMark/>
          </w:tcPr>
          <w:p w14:paraId="3C6036C4"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0.1%</w:t>
            </w:r>
          </w:p>
        </w:tc>
        <w:tc>
          <w:tcPr>
            <w:tcW w:w="1530" w:type="dxa"/>
            <w:tcBorders>
              <w:top w:val="nil"/>
              <w:left w:val="nil"/>
              <w:bottom w:val="single" w:sz="4" w:space="0" w:color="auto"/>
              <w:right w:val="single" w:sz="4" w:space="0" w:color="auto"/>
            </w:tcBorders>
            <w:shd w:val="clear" w:color="auto" w:fill="auto"/>
            <w:noWrap/>
            <w:vAlign w:val="center"/>
            <w:hideMark/>
          </w:tcPr>
          <w:p w14:paraId="5221D159"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0.1%</w:t>
            </w:r>
          </w:p>
        </w:tc>
      </w:tr>
      <w:tr w:rsidR="003C5E8B" w:rsidRPr="003C5E8B" w14:paraId="4769549D" w14:textId="77777777" w:rsidTr="00BA014C">
        <w:trPr>
          <w:cantSplit/>
          <w:trHeight w:val="300"/>
        </w:trPr>
        <w:tc>
          <w:tcPr>
            <w:tcW w:w="870" w:type="dxa"/>
            <w:tcBorders>
              <w:top w:val="nil"/>
              <w:left w:val="single" w:sz="4" w:space="0" w:color="auto"/>
              <w:bottom w:val="single" w:sz="4" w:space="0" w:color="auto"/>
              <w:right w:val="nil"/>
            </w:tcBorders>
            <w:shd w:val="clear" w:color="auto" w:fill="auto"/>
            <w:noWrap/>
            <w:vAlign w:val="center"/>
            <w:hideMark/>
          </w:tcPr>
          <w:p w14:paraId="397713D2" w14:textId="088C0D90" w:rsidR="003C5E8B" w:rsidRPr="003C5E8B" w:rsidRDefault="003C5E8B" w:rsidP="00C255B7">
            <w:pPr>
              <w:spacing w:after="0" w:line="240" w:lineRule="auto"/>
              <w:jc w:val="center"/>
              <w:rPr>
                <w:rFonts w:ascii="Calibri" w:eastAsia="Times New Roman" w:hAnsi="Calibri" w:cs="Calibri"/>
                <w:b/>
                <w:bCs/>
                <w:color w:val="000000"/>
              </w:rPr>
            </w:pPr>
          </w:p>
        </w:tc>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840377B"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Self Pay</w:t>
            </w:r>
          </w:p>
        </w:tc>
        <w:tc>
          <w:tcPr>
            <w:tcW w:w="1080" w:type="dxa"/>
            <w:tcBorders>
              <w:top w:val="nil"/>
              <w:left w:val="nil"/>
              <w:bottom w:val="single" w:sz="4" w:space="0" w:color="auto"/>
              <w:right w:val="single" w:sz="4" w:space="0" w:color="auto"/>
            </w:tcBorders>
            <w:shd w:val="clear" w:color="auto" w:fill="auto"/>
            <w:noWrap/>
            <w:vAlign w:val="center"/>
            <w:hideMark/>
          </w:tcPr>
          <w:p w14:paraId="429D3B81"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0.0%</w:t>
            </w:r>
          </w:p>
        </w:tc>
        <w:tc>
          <w:tcPr>
            <w:tcW w:w="990" w:type="dxa"/>
            <w:tcBorders>
              <w:top w:val="nil"/>
              <w:left w:val="nil"/>
              <w:bottom w:val="single" w:sz="4" w:space="0" w:color="auto"/>
              <w:right w:val="single" w:sz="4" w:space="0" w:color="auto"/>
            </w:tcBorders>
            <w:shd w:val="clear" w:color="auto" w:fill="auto"/>
            <w:noWrap/>
            <w:vAlign w:val="center"/>
            <w:hideMark/>
          </w:tcPr>
          <w:p w14:paraId="2500AB31"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0.0%</w:t>
            </w:r>
          </w:p>
        </w:tc>
        <w:tc>
          <w:tcPr>
            <w:tcW w:w="990" w:type="dxa"/>
            <w:tcBorders>
              <w:top w:val="nil"/>
              <w:left w:val="nil"/>
              <w:bottom w:val="single" w:sz="4" w:space="0" w:color="auto"/>
              <w:right w:val="single" w:sz="4" w:space="0" w:color="auto"/>
            </w:tcBorders>
            <w:shd w:val="clear" w:color="auto" w:fill="auto"/>
            <w:noWrap/>
            <w:vAlign w:val="center"/>
            <w:hideMark/>
          </w:tcPr>
          <w:p w14:paraId="25B43CC9"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0.0%</w:t>
            </w:r>
          </w:p>
        </w:tc>
        <w:tc>
          <w:tcPr>
            <w:tcW w:w="1530" w:type="dxa"/>
            <w:tcBorders>
              <w:top w:val="nil"/>
              <w:left w:val="nil"/>
              <w:bottom w:val="single" w:sz="4" w:space="0" w:color="auto"/>
              <w:right w:val="single" w:sz="4" w:space="0" w:color="auto"/>
            </w:tcBorders>
            <w:shd w:val="clear" w:color="auto" w:fill="auto"/>
            <w:noWrap/>
            <w:vAlign w:val="center"/>
            <w:hideMark/>
          </w:tcPr>
          <w:p w14:paraId="0E8CB786" w14:textId="77777777" w:rsidR="003C5E8B" w:rsidRPr="003C5E8B" w:rsidRDefault="003C5E8B" w:rsidP="00C255B7">
            <w:pPr>
              <w:spacing w:after="0" w:line="240" w:lineRule="auto"/>
              <w:jc w:val="center"/>
              <w:rPr>
                <w:rFonts w:ascii="Calibri" w:eastAsia="Times New Roman" w:hAnsi="Calibri" w:cs="Calibri"/>
                <w:color w:val="000000"/>
              </w:rPr>
            </w:pPr>
            <w:r w:rsidRPr="003C5E8B">
              <w:rPr>
                <w:rFonts w:ascii="Calibri" w:eastAsia="Times New Roman" w:hAnsi="Calibri" w:cs="Calibri"/>
                <w:color w:val="000000"/>
              </w:rPr>
              <w:t>0.1%</w:t>
            </w:r>
          </w:p>
        </w:tc>
      </w:tr>
    </w:tbl>
    <w:p w14:paraId="2EDFE912" w14:textId="77777777" w:rsidR="00A736FA" w:rsidRPr="00E736C2" w:rsidRDefault="00A736FA" w:rsidP="00362076">
      <w:pPr>
        <w:rPr>
          <w:rFonts w:cstheme="minorHAnsi"/>
          <w:sz w:val="10"/>
          <w:szCs w:val="10"/>
        </w:rPr>
      </w:pPr>
    </w:p>
    <w:p w14:paraId="5EFD2FCE" w14:textId="77777777" w:rsidR="00362076" w:rsidRDefault="00584528" w:rsidP="00C255B7">
      <w:pPr>
        <w:pStyle w:val="ListParagraph"/>
        <w:numPr>
          <w:ilvl w:val="0"/>
          <w:numId w:val="12"/>
        </w:numPr>
        <w:jc w:val="both"/>
        <w:rPr>
          <w:rFonts w:cstheme="minorHAnsi"/>
        </w:rPr>
      </w:pPr>
      <w:r w:rsidRPr="00C255B7">
        <w:rPr>
          <w:rFonts w:cstheme="minorHAnsi"/>
          <w:b/>
          <w:bCs/>
        </w:rPr>
        <w:t>Plymouth</w:t>
      </w:r>
      <w:r>
        <w:rPr>
          <w:rFonts w:cstheme="minorHAnsi"/>
        </w:rPr>
        <w:t xml:space="preserve"> </w:t>
      </w:r>
      <w:r w:rsidR="00362076" w:rsidRPr="00C255B7">
        <w:rPr>
          <w:rFonts w:cstheme="minorHAnsi"/>
          <w:b/>
          <w:bCs/>
        </w:rPr>
        <w:t>Practice</w:t>
      </w:r>
      <w:r w:rsidR="00362076">
        <w:rPr>
          <w:rFonts w:cstheme="minorHAnsi"/>
        </w:rPr>
        <w:t xml:space="preserve"> </w:t>
      </w:r>
      <w:r w:rsidR="00362076" w:rsidRPr="00C255B7">
        <w:rPr>
          <w:rFonts w:cstheme="minorHAnsi"/>
          <w:b/>
          <w:bCs/>
        </w:rPr>
        <w:t>Patient</w:t>
      </w:r>
      <w:r w:rsidR="00362076">
        <w:rPr>
          <w:rFonts w:cstheme="minorHAnsi"/>
        </w:rPr>
        <w:t xml:space="preserve"> </w:t>
      </w:r>
      <w:r w:rsidR="00362076" w:rsidRPr="00C255B7">
        <w:rPr>
          <w:rFonts w:cstheme="minorHAnsi"/>
          <w:b/>
          <w:bCs/>
        </w:rPr>
        <w:t>Panel</w:t>
      </w:r>
    </w:p>
    <w:p w14:paraId="21E64683" w14:textId="1446928E" w:rsidR="00D33249" w:rsidRDefault="00362076" w:rsidP="00D353A7">
      <w:pPr>
        <w:ind w:left="1080"/>
        <w:jc w:val="both"/>
        <w:rPr>
          <w:rFonts w:cstheme="minorHAnsi"/>
        </w:rPr>
      </w:pPr>
      <w:r w:rsidRPr="00ED3089">
        <w:rPr>
          <w:rFonts w:cstheme="minorHAnsi"/>
        </w:rPr>
        <w:t xml:space="preserve">As described in the Project Description, the Proposed Project will be in Plymouth, MA. This will be a new, DPH licensed clinic </w:t>
      </w:r>
      <w:r w:rsidR="00584528">
        <w:rPr>
          <w:rFonts w:cstheme="minorHAnsi"/>
        </w:rPr>
        <w:t xml:space="preserve">satellite </w:t>
      </w:r>
      <w:r w:rsidR="003938FD">
        <w:rPr>
          <w:rFonts w:cstheme="minorHAnsi"/>
        </w:rPr>
        <w:t xml:space="preserve">resulting from the </w:t>
      </w:r>
      <w:r w:rsidRPr="00ED3089">
        <w:rPr>
          <w:rFonts w:cstheme="minorHAnsi"/>
        </w:rPr>
        <w:t xml:space="preserve">consolidation of </w:t>
      </w:r>
      <w:r w:rsidR="00060FFD">
        <w:rPr>
          <w:rFonts w:cstheme="minorHAnsi"/>
        </w:rPr>
        <w:t xml:space="preserve">the </w:t>
      </w:r>
      <w:r w:rsidRPr="00ED3089">
        <w:rPr>
          <w:rFonts w:cstheme="minorHAnsi"/>
        </w:rPr>
        <w:t>following six (6) PMG practice locations</w:t>
      </w:r>
      <w:r w:rsidR="00F23A2E">
        <w:rPr>
          <w:rFonts w:cstheme="minorHAnsi"/>
        </w:rPr>
        <w:t>:</w:t>
      </w:r>
      <w:r w:rsidRPr="00ED3089">
        <w:rPr>
          <w:rFonts w:cstheme="minorHAnsi"/>
        </w:rPr>
        <w:t xml:space="preserve"> </w:t>
      </w:r>
    </w:p>
    <w:p w14:paraId="08AD3F55" w14:textId="19832131" w:rsidR="00362076" w:rsidRDefault="00362076" w:rsidP="00651675">
      <w:pPr>
        <w:pStyle w:val="ListParagraph"/>
        <w:numPr>
          <w:ilvl w:val="0"/>
          <w:numId w:val="2"/>
        </w:numPr>
        <w:ind w:left="1440"/>
      </w:pPr>
      <w:r>
        <w:t>Duxbury—20 Tremont Street Duxbury, MA 02332</w:t>
      </w:r>
    </w:p>
    <w:p w14:paraId="7963663C" w14:textId="523396E6" w:rsidR="00362076" w:rsidRDefault="00362076" w:rsidP="00651675">
      <w:pPr>
        <w:pStyle w:val="ListParagraph"/>
        <w:numPr>
          <w:ilvl w:val="0"/>
          <w:numId w:val="2"/>
        </w:numPr>
        <w:ind w:left="1440"/>
      </w:pPr>
      <w:r>
        <w:lastRenderedPageBreak/>
        <w:t>Kingston</w:t>
      </w:r>
      <w:r w:rsidR="003938FD">
        <w:t xml:space="preserve"> - </w:t>
      </w:r>
      <w:r>
        <w:t xml:space="preserve">214 Main Street Kingston, MA 02364  </w:t>
      </w:r>
    </w:p>
    <w:p w14:paraId="7555FB23" w14:textId="09ECF2EF" w:rsidR="00362076" w:rsidRDefault="00362076" w:rsidP="00651675">
      <w:pPr>
        <w:pStyle w:val="ListParagraph"/>
        <w:numPr>
          <w:ilvl w:val="0"/>
          <w:numId w:val="2"/>
        </w:numPr>
        <w:ind w:left="1440"/>
      </w:pPr>
      <w:r>
        <w:t>Plymouth—Cordage Park</w:t>
      </w:r>
      <w:r w:rsidR="007C093E">
        <w:t xml:space="preserve">, </w:t>
      </w:r>
      <w:r>
        <w:t>10 Cordage Park Circle</w:t>
      </w:r>
      <w:r w:rsidR="007C093E">
        <w:t>,</w:t>
      </w:r>
      <w:r>
        <w:t xml:space="preserve"> Plymouth, MA 02360</w:t>
      </w:r>
    </w:p>
    <w:p w14:paraId="7E906AEB" w14:textId="3A70F7F7" w:rsidR="00362076" w:rsidRDefault="00362076" w:rsidP="00651675">
      <w:pPr>
        <w:pStyle w:val="ListParagraph"/>
        <w:numPr>
          <w:ilvl w:val="0"/>
          <w:numId w:val="2"/>
        </w:numPr>
        <w:ind w:left="1440"/>
      </w:pPr>
      <w:r>
        <w:t>Plymouth—Court Street</w:t>
      </w:r>
      <w:r w:rsidR="007C093E">
        <w:t xml:space="preserve">, </w:t>
      </w:r>
      <w:r>
        <w:t>362 Court Street</w:t>
      </w:r>
      <w:r w:rsidR="007C093E">
        <w:t>,</w:t>
      </w:r>
      <w:r>
        <w:t xml:space="preserve"> Plymouth, MA 02360</w:t>
      </w:r>
    </w:p>
    <w:p w14:paraId="0562A74B" w14:textId="7076CFFD" w:rsidR="00362076" w:rsidRDefault="00362076" w:rsidP="00651675">
      <w:pPr>
        <w:pStyle w:val="ListParagraph"/>
        <w:numPr>
          <w:ilvl w:val="0"/>
          <w:numId w:val="2"/>
        </w:numPr>
        <w:ind w:left="1440"/>
      </w:pPr>
      <w:r>
        <w:t>Plymouth—Long Pond</w:t>
      </w:r>
      <w:r w:rsidR="007C093E">
        <w:t xml:space="preserve">, </w:t>
      </w:r>
      <w:r>
        <w:t>110 Long Pond Road</w:t>
      </w:r>
      <w:r w:rsidR="007C093E">
        <w:t>,</w:t>
      </w:r>
      <w:r>
        <w:t xml:space="preserve"> Plymouth, MA 02360</w:t>
      </w:r>
    </w:p>
    <w:p w14:paraId="34B8ADB5" w14:textId="00F99546" w:rsidR="00362076" w:rsidRPr="00BF6EEC" w:rsidRDefault="00362076" w:rsidP="00651675">
      <w:pPr>
        <w:pStyle w:val="ListParagraph"/>
        <w:numPr>
          <w:ilvl w:val="0"/>
          <w:numId w:val="2"/>
        </w:numPr>
        <w:ind w:left="1440"/>
        <w:rPr>
          <w:rFonts w:cstheme="minorHAnsi"/>
        </w:rPr>
      </w:pPr>
      <w:r>
        <w:t>Plymouth—Pine Hills</w:t>
      </w:r>
      <w:r w:rsidR="007C093E">
        <w:t xml:space="preserve">, 3 </w:t>
      </w:r>
      <w:r>
        <w:t>Village Green North, Plymouth, MA 02360</w:t>
      </w:r>
    </w:p>
    <w:p w14:paraId="2BECBAD8" w14:textId="5673F169" w:rsidR="00362076" w:rsidRDefault="00362076" w:rsidP="00D353A7">
      <w:pPr>
        <w:ind w:left="1080"/>
        <w:jc w:val="both"/>
        <w:rPr>
          <w:rFonts w:cstheme="minorHAnsi"/>
        </w:rPr>
      </w:pPr>
      <w:r>
        <w:rPr>
          <w:rFonts w:cstheme="minorHAnsi"/>
        </w:rPr>
        <w:t>The PMG practice located at 2 Technology Park Drive in Bourne, MA will remain at its present location.</w:t>
      </w:r>
      <w:r>
        <w:t xml:space="preserve"> The patients for th</w:t>
      </w:r>
      <w:r w:rsidR="00A12075">
        <w:t xml:space="preserve">e Bourne </w:t>
      </w:r>
      <w:r w:rsidR="00A12075" w:rsidRPr="00D353A7">
        <w:rPr>
          <w:rFonts w:cstheme="minorHAnsi"/>
        </w:rPr>
        <w:t>practice</w:t>
      </w:r>
      <w:r>
        <w:t xml:space="preserve"> location are included in the</w:t>
      </w:r>
      <w:r w:rsidR="00584528">
        <w:t xml:space="preserve"> Plymouth Practice Patient Panel because they are likely to</w:t>
      </w:r>
      <w:r w:rsidR="00EB6F64">
        <w:t xml:space="preserve"> obtain CT and MRI services at</w:t>
      </w:r>
      <w:r w:rsidR="00584528">
        <w:t xml:space="preserve"> the </w:t>
      </w:r>
      <w:r w:rsidR="00EB6F64">
        <w:t xml:space="preserve">new </w:t>
      </w:r>
      <w:r w:rsidR="00584528">
        <w:t>Plymouth Practice</w:t>
      </w:r>
      <w:r w:rsidR="00EB6F64">
        <w:t xml:space="preserve"> location</w:t>
      </w:r>
      <w:r w:rsidR="00F23A2E">
        <w:t>, in addition to the patients who currently obtain care at the six locations which will be consolidated at the Plymouth Practice</w:t>
      </w:r>
      <w:r w:rsidR="00EB6F64">
        <w:t>.</w:t>
      </w:r>
      <w:r w:rsidR="007B1BD2" w:rsidRPr="007B1BD2">
        <w:rPr>
          <w:rFonts w:cstheme="minorHAnsi"/>
        </w:rPr>
        <w:t xml:space="preserve"> </w:t>
      </w:r>
      <w:r w:rsidR="007B1BD2">
        <w:rPr>
          <w:rFonts w:cstheme="minorHAnsi"/>
        </w:rPr>
        <w:t>The Plymouth Practice Patient Panel is represented by patients living in the greater Plymouth area</w:t>
      </w:r>
      <w:r w:rsidR="002466AB">
        <w:rPr>
          <w:rFonts w:cstheme="minorHAnsi"/>
        </w:rPr>
        <w:t xml:space="preserve">, primarily from the </w:t>
      </w:r>
      <w:r w:rsidR="00F53DEE">
        <w:rPr>
          <w:rFonts w:cstheme="minorHAnsi"/>
        </w:rPr>
        <w:t>following Plymouth</w:t>
      </w:r>
      <w:r w:rsidR="007B1BD2">
        <w:rPr>
          <w:rFonts w:cstheme="minorHAnsi"/>
        </w:rPr>
        <w:t>, Kingston, Buzzards Bay, Carver, Duxbury, Sagamore Beach, Halifax, Sandwich, Middleboro, Pembroke, Plympton, Marshfield, Wareham, East Falmouth, and East Sandwich.</w:t>
      </w:r>
      <w:r w:rsidR="00F23A2E">
        <w:rPr>
          <w:rFonts w:cstheme="minorHAnsi"/>
        </w:rPr>
        <w:t xml:space="preserve">  </w:t>
      </w:r>
      <w:r w:rsidR="007B1BD2">
        <w:rPr>
          <w:rFonts w:cstheme="minorHAnsi"/>
        </w:rPr>
        <w:t xml:space="preserve"> </w:t>
      </w:r>
    </w:p>
    <w:p w14:paraId="33C8ABE3" w14:textId="15E80E3A" w:rsidR="00362076" w:rsidRDefault="00362076" w:rsidP="009E10AE">
      <w:pPr>
        <w:ind w:left="1080"/>
        <w:jc w:val="both"/>
        <w:rPr>
          <w:rFonts w:cstheme="minorHAnsi"/>
        </w:rPr>
      </w:pPr>
      <w:r>
        <w:rPr>
          <w:rFonts w:cstheme="minorHAnsi"/>
        </w:rPr>
        <w:t>The P</w:t>
      </w:r>
      <w:r w:rsidR="00973435">
        <w:rPr>
          <w:rFonts w:cstheme="minorHAnsi"/>
        </w:rPr>
        <w:t>lymouth Practice Patient Panel</w:t>
      </w:r>
      <w:r>
        <w:rPr>
          <w:rFonts w:cstheme="minorHAnsi"/>
        </w:rPr>
        <w:t xml:space="preserve"> comprises about 7.6% of the total </w:t>
      </w:r>
      <w:r w:rsidRPr="00BE170C">
        <w:rPr>
          <w:rFonts w:cstheme="minorHAnsi"/>
        </w:rPr>
        <w:t>Atrius Health</w:t>
      </w:r>
      <w:r>
        <w:rPr>
          <w:rFonts w:cstheme="minorHAnsi"/>
        </w:rPr>
        <w:t xml:space="preserve"> patient panel. The demographics of the </w:t>
      </w:r>
      <w:r w:rsidR="00973435">
        <w:rPr>
          <w:rFonts w:cstheme="minorHAnsi"/>
        </w:rPr>
        <w:t xml:space="preserve">Plymouth </w:t>
      </w:r>
      <w:r>
        <w:rPr>
          <w:rFonts w:cstheme="minorHAnsi"/>
        </w:rPr>
        <w:t xml:space="preserve">Practice </w:t>
      </w:r>
      <w:r w:rsidR="00973435">
        <w:rPr>
          <w:rFonts w:cstheme="minorHAnsi"/>
        </w:rPr>
        <w:t>P</w:t>
      </w:r>
      <w:r>
        <w:rPr>
          <w:rFonts w:cstheme="minorHAnsi"/>
        </w:rPr>
        <w:t xml:space="preserve">atient </w:t>
      </w:r>
      <w:r w:rsidR="00973435">
        <w:rPr>
          <w:rFonts w:cstheme="minorHAnsi"/>
        </w:rPr>
        <w:t>P</w:t>
      </w:r>
      <w:r>
        <w:rPr>
          <w:rFonts w:cstheme="minorHAnsi"/>
        </w:rPr>
        <w:t xml:space="preserve">anel are relatively consistent with the Atrius Health patient panel </w:t>
      </w:r>
      <w:r w:rsidR="00F23A2E">
        <w:rPr>
          <w:rFonts w:cstheme="minorHAnsi"/>
        </w:rPr>
        <w:t xml:space="preserve">in terms </w:t>
      </w:r>
      <w:r>
        <w:rPr>
          <w:rFonts w:cstheme="minorHAnsi"/>
        </w:rPr>
        <w:t>o</w:t>
      </w:r>
      <w:r w:rsidR="000C0533">
        <w:rPr>
          <w:rFonts w:cstheme="minorHAnsi"/>
        </w:rPr>
        <w:t>f</w:t>
      </w:r>
      <w:r>
        <w:rPr>
          <w:rFonts w:cstheme="minorHAnsi"/>
        </w:rPr>
        <w:t xml:space="preserve"> gender, race, and payer mix. The biggest demographic difference between the broader Atrius Health patient panel and the Plymouth Practice </w:t>
      </w:r>
      <w:r w:rsidR="00973435">
        <w:rPr>
          <w:rFonts w:cstheme="minorHAnsi"/>
        </w:rPr>
        <w:t>P</w:t>
      </w:r>
      <w:r>
        <w:rPr>
          <w:rFonts w:cstheme="minorHAnsi"/>
        </w:rPr>
        <w:t xml:space="preserve">atient </w:t>
      </w:r>
      <w:r w:rsidR="00973435">
        <w:rPr>
          <w:rFonts w:cstheme="minorHAnsi"/>
        </w:rPr>
        <w:t>P</w:t>
      </w:r>
      <w:r>
        <w:rPr>
          <w:rFonts w:cstheme="minorHAnsi"/>
        </w:rPr>
        <w:t xml:space="preserve">anel is age. Atrius Health data for 2022 </w:t>
      </w:r>
      <w:r w:rsidR="00A00378">
        <w:rPr>
          <w:rFonts w:cstheme="minorHAnsi"/>
        </w:rPr>
        <w:t xml:space="preserve">year to date </w:t>
      </w:r>
      <w:r>
        <w:rPr>
          <w:rFonts w:cstheme="minorHAnsi"/>
        </w:rPr>
        <w:t xml:space="preserve">show that over 35% of the Plymouth </w:t>
      </w:r>
      <w:r w:rsidR="00A00378">
        <w:rPr>
          <w:rFonts w:cstheme="minorHAnsi"/>
        </w:rPr>
        <w:t xml:space="preserve">Practice Patient Panel </w:t>
      </w:r>
      <w:r>
        <w:rPr>
          <w:rFonts w:cstheme="minorHAnsi"/>
        </w:rPr>
        <w:t xml:space="preserve">is over the age of 65 compared to 24% of the </w:t>
      </w:r>
      <w:r w:rsidR="00D32942">
        <w:rPr>
          <w:rFonts w:cstheme="minorHAnsi"/>
        </w:rPr>
        <w:t xml:space="preserve">total </w:t>
      </w:r>
      <w:r>
        <w:rPr>
          <w:rFonts w:cstheme="minorHAnsi"/>
        </w:rPr>
        <w:t>Atrius Health patient panel.</w:t>
      </w:r>
      <w:r w:rsidR="00E56DD1">
        <w:rPr>
          <w:rFonts w:cstheme="minorHAnsi"/>
        </w:rPr>
        <w:t xml:space="preserve"> The </w:t>
      </w:r>
      <w:r w:rsidR="00E56DD1" w:rsidRPr="00E56DD1">
        <w:rPr>
          <w:rFonts w:cstheme="minorHAnsi"/>
        </w:rPr>
        <w:t>Atrius Health</w:t>
      </w:r>
      <w:r w:rsidR="00E56DD1">
        <w:rPr>
          <w:rFonts w:cstheme="minorHAnsi"/>
        </w:rPr>
        <w:t xml:space="preserve"> patient panel has experienced an increasing percentage of patients aged 65 and over</w:t>
      </w:r>
      <w:r w:rsidR="00780C6D">
        <w:rPr>
          <w:rFonts w:cstheme="minorHAnsi"/>
        </w:rPr>
        <w:t>,</w:t>
      </w:r>
      <w:r w:rsidR="00E56DD1">
        <w:rPr>
          <w:rFonts w:cstheme="minorHAnsi"/>
        </w:rPr>
        <w:t xml:space="preserve"> year over year</w:t>
      </w:r>
      <w:r w:rsidR="00780C6D">
        <w:rPr>
          <w:rFonts w:cstheme="minorHAnsi"/>
        </w:rPr>
        <w:t>,</w:t>
      </w:r>
      <w:r w:rsidR="00E56DD1">
        <w:rPr>
          <w:rFonts w:cstheme="minorHAnsi"/>
        </w:rPr>
        <w:t xml:space="preserve"> for the </w:t>
      </w:r>
      <w:r w:rsidR="006E3FD0">
        <w:rPr>
          <w:rFonts w:cstheme="minorHAnsi"/>
        </w:rPr>
        <w:t>three-year</w:t>
      </w:r>
      <w:r w:rsidR="00E56DD1">
        <w:rPr>
          <w:rFonts w:cstheme="minorHAnsi"/>
        </w:rPr>
        <w:t xml:space="preserve"> </w:t>
      </w:r>
      <w:r w:rsidR="005D0452">
        <w:rPr>
          <w:rFonts w:cstheme="minorHAnsi"/>
        </w:rPr>
        <w:t>period 2019-2021</w:t>
      </w:r>
      <w:r w:rsidR="00A00378">
        <w:rPr>
          <w:rFonts w:cstheme="minorHAnsi"/>
        </w:rPr>
        <w:t xml:space="preserve"> as noted in Table 2 above</w:t>
      </w:r>
      <w:r w:rsidR="00E56DD1">
        <w:rPr>
          <w:rFonts w:cstheme="minorHAnsi"/>
        </w:rPr>
        <w:t xml:space="preserve">. </w:t>
      </w:r>
      <w:r w:rsidR="00973435">
        <w:rPr>
          <w:rFonts w:cstheme="minorHAnsi"/>
        </w:rPr>
        <w:t>T</w:t>
      </w:r>
      <w:r w:rsidR="00E56DD1">
        <w:rPr>
          <w:rFonts w:cstheme="minorHAnsi"/>
        </w:rPr>
        <w:t>he</w:t>
      </w:r>
      <w:r w:rsidR="005D0452">
        <w:rPr>
          <w:rFonts w:cstheme="minorHAnsi"/>
        </w:rPr>
        <w:t xml:space="preserve"> over 65 population in the </w:t>
      </w:r>
      <w:r w:rsidR="00973435">
        <w:rPr>
          <w:rFonts w:cstheme="minorHAnsi"/>
        </w:rPr>
        <w:t>s</w:t>
      </w:r>
      <w:r w:rsidR="005D0452">
        <w:rPr>
          <w:rFonts w:cstheme="minorHAnsi"/>
        </w:rPr>
        <w:t xml:space="preserve">outheast region </w:t>
      </w:r>
      <w:r w:rsidR="002A134A">
        <w:rPr>
          <w:rFonts w:cstheme="minorHAnsi"/>
        </w:rPr>
        <w:t>of Massachusetts</w:t>
      </w:r>
      <w:r w:rsidR="00E56DD1">
        <w:rPr>
          <w:rFonts w:cstheme="minorHAnsi"/>
        </w:rPr>
        <w:t xml:space="preserve"> </w:t>
      </w:r>
      <w:r w:rsidR="005D0452">
        <w:rPr>
          <w:rFonts w:cstheme="minorHAnsi"/>
        </w:rPr>
        <w:t xml:space="preserve">where the </w:t>
      </w:r>
      <w:r w:rsidR="00973435">
        <w:rPr>
          <w:rFonts w:cstheme="minorHAnsi"/>
        </w:rPr>
        <w:t xml:space="preserve">Proposed </w:t>
      </w:r>
      <w:r w:rsidR="005D0452">
        <w:rPr>
          <w:rFonts w:cstheme="minorHAnsi"/>
        </w:rPr>
        <w:t>Project will be located is expected to increase to 24% of the region</w:t>
      </w:r>
      <w:r w:rsidR="00973435">
        <w:rPr>
          <w:rFonts w:cstheme="minorHAnsi"/>
        </w:rPr>
        <w:t>’</w:t>
      </w:r>
      <w:r w:rsidR="005D0452">
        <w:rPr>
          <w:rFonts w:cstheme="minorHAnsi"/>
        </w:rPr>
        <w:t xml:space="preserve">s population by 2035 according to the Donahue Institute’s Long-term Population Projections for Massachusetts Regions and Municipalities. </w:t>
      </w:r>
      <w:r w:rsidR="00973435">
        <w:rPr>
          <w:rStyle w:val="FootnoteReference"/>
          <w:rFonts w:cstheme="minorHAnsi"/>
        </w:rPr>
        <w:footnoteReference w:id="8"/>
      </w:r>
      <w:r w:rsidR="005D0452">
        <w:rPr>
          <w:rFonts w:cstheme="minorHAnsi"/>
        </w:rPr>
        <w:t xml:space="preserve"> </w:t>
      </w:r>
      <w:r>
        <w:rPr>
          <w:rFonts w:cstheme="minorHAnsi"/>
        </w:rPr>
        <w:t xml:space="preserve"> Factor 1.a.ii details the increased need for advanced imaging services of MRI and CT in the aging and aged population. </w:t>
      </w:r>
    </w:p>
    <w:p w14:paraId="3476FEE1" w14:textId="504E35C3" w:rsidR="00D32942" w:rsidRDefault="00362076" w:rsidP="009E10AE">
      <w:pPr>
        <w:pStyle w:val="ListParagraph"/>
        <w:numPr>
          <w:ilvl w:val="0"/>
          <w:numId w:val="2"/>
        </w:numPr>
        <w:ind w:left="1440"/>
        <w:jc w:val="both"/>
      </w:pPr>
      <w:r>
        <w:t xml:space="preserve">The patient panel associated with the </w:t>
      </w:r>
      <w:r w:rsidR="00D32942">
        <w:t>PMG practice</w:t>
      </w:r>
      <w:r w:rsidR="007F3D21">
        <w:t>s (i.e., the Plymouth Practice Patient Panel)</w:t>
      </w:r>
      <w:r>
        <w:t xml:space="preserve"> obtains care from </w:t>
      </w:r>
      <w:r w:rsidR="005D0452">
        <w:t>PMG</w:t>
      </w:r>
      <w:r w:rsidR="00F95138" w:rsidRPr="00307942">
        <w:rPr>
          <w:rFonts w:ascii="Calibri" w:hAnsi="Calibri" w:cs="Calibri"/>
        </w:rPr>
        <w:t>,</w:t>
      </w:r>
      <w:r w:rsidR="00AA2597" w:rsidRPr="00307942">
        <w:rPr>
          <w:rFonts w:ascii="Calibri" w:hAnsi="Calibri" w:cs="Calibri"/>
        </w:rPr>
        <w:t xml:space="preserve"> </w:t>
      </w:r>
      <w:bookmarkStart w:id="18" w:name="_BPDCI_23"/>
      <w:r w:rsidR="00AA2597" w:rsidRPr="00307942">
        <w:rPr>
          <w:rFonts w:ascii="Calibri" w:hAnsi="Calibri" w:cs="Calibri"/>
        </w:rPr>
        <w:t>now Atrius</w:t>
      </w:r>
      <w:r w:rsidR="00F95138" w:rsidRPr="00307942">
        <w:rPr>
          <w:rFonts w:ascii="Calibri" w:hAnsi="Calibri" w:cs="Calibri"/>
        </w:rPr>
        <w:t>,</w:t>
      </w:r>
      <w:r w:rsidR="005D0452" w:rsidRPr="00307942">
        <w:rPr>
          <w:rFonts w:ascii="Calibri" w:hAnsi="Calibri" w:cs="Calibri"/>
        </w:rPr>
        <w:t xml:space="preserve"> </w:t>
      </w:r>
      <w:bookmarkEnd w:id="18"/>
      <w:r w:rsidR="005D0452" w:rsidRPr="00307942">
        <w:rPr>
          <w:rFonts w:ascii="Calibri" w:hAnsi="Calibri" w:cs="Calibri"/>
        </w:rPr>
        <w:t>providers</w:t>
      </w:r>
      <w:r w:rsidR="005D0452">
        <w:t xml:space="preserve"> specializing in </w:t>
      </w:r>
      <w:r>
        <w:t xml:space="preserve">Internal Medicine/Family Medicine, ENT, Visual Specialty, Orthopedics, Podiatry, and Urgent Care. These primary care and specialty providers typically order CT and MRI exams for the diagnosis and management of disease. </w:t>
      </w:r>
      <w:r w:rsidR="00D32942">
        <w:t xml:space="preserve">The volume of MRIs and CTs </w:t>
      </w:r>
      <w:r w:rsidR="00A736FA">
        <w:t>historically performed</w:t>
      </w:r>
      <w:r w:rsidR="00D32942">
        <w:t xml:space="preserve"> </w:t>
      </w:r>
      <w:r w:rsidR="00A00378">
        <w:t>at</w:t>
      </w:r>
      <w:r w:rsidR="00D32942">
        <w:t xml:space="preserve"> Atrius Health</w:t>
      </w:r>
      <w:r w:rsidR="00A00378">
        <w:t xml:space="preserve"> locations is </w:t>
      </w:r>
      <w:r w:rsidR="00D32942">
        <w:t>outlined in the tables below.</w:t>
      </w:r>
      <w:r w:rsidR="00A00378">
        <w:t xml:space="preserve"> </w:t>
      </w:r>
      <w:r w:rsidR="00D32942">
        <w:t>Of note, 2020 volumes were negatively impacted by the COVID-19 Pandemic.</w:t>
      </w:r>
    </w:p>
    <w:p w14:paraId="41844065" w14:textId="0000EBCE" w:rsidR="00E51C70" w:rsidRDefault="00D32942" w:rsidP="009E10AE">
      <w:pPr>
        <w:pStyle w:val="ListParagraph"/>
        <w:numPr>
          <w:ilvl w:val="0"/>
          <w:numId w:val="2"/>
        </w:numPr>
        <w:ind w:left="1440"/>
        <w:jc w:val="both"/>
      </w:pPr>
      <w:r w:rsidRPr="00942B3B">
        <w:rPr>
          <w:b/>
        </w:rPr>
        <w:t>MRI Utilization:</w:t>
      </w:r>
      <w:r>
        <w:t xml:space="preserve"> </w:t>
      </w:r>
      <w:r w:rsidR="00362076">
        <w:t>PMG providers placed orders for 1</w:t>
      </w:r>
      <w:r w:rsidR="00B46C3C">
        <w:t>,</w:t>
      </w:r>
      <w:r w:rsidR="00362076">
        <w:t xml:space="preserve">286 </w:t>
      </w:r>
      <w:r w:rsidR="00362076" w:rsidRPr="007D4F4C">
        <w:t>MRI</w:t>
      </w:r>
      <w:r w:rsidR="00362076">
        <w:t xml:space="preserve">s between </w:t>
      </w:r>
      <w:r w:rsidR="00362076" w:rsidRPr="007D4F4C">
        <w:t xml:space="preserve">April 1, </w:t>
      </w:r>
      <w:r w:rsidR="006E3FD0" w:rsidRPr="007D4F4C">
        <w:t>2021,</w:t>
      </w:r>
      <w:r w:rsidR="00362076" w:rsidRPr="007D4F4C">
        <w:t xml:space="preserve"> </w:t>
      </w:r>
      <w:r w:rsidR="00362076">
        <w:t>and</w:t>
      </w:r>
      <w:r w:rsidR="00362076" w:rsidRPr="007D4F4C">
        <w:t xml:space="preserve"> March 31, 2022. 1</w:t>
      </w:r>
      <w:r w:rsidR="00B46C3C">
        <w:t>,</w:t>
      </w:r>
      <w:r w:rsidR="00362076" w:rsidRPr="007D4F4C">
        <w:t>059 of these</w:t>
      </w:r>
      <w:r w:rsidR="00362076">
        <w:t xml:space="preserve"> orders were referred </w:t>
      </w:r>
      <w:r w:rsidR="00362076" w:rsidRPr="007D4F4C">
        <w:t xml:space="preserve">to external provider locations and 227 </w:t>
      </w:r>
      <w:r w:rsidR="00362076">
        <w:t xml:space="preserve">were referred </w:t>
      </w:r>
      <w:r w:rsidR="00362076" w:rsidRPr="007D4F4C">
        <w:t xml:space="preserve">to an Atrius Health </w:t>
      </w:r>
      <w:r w:rsidR="00105576">
        <w:t xml:space="preserve">practice with MRI </w:t>
      </w:r>
      <w:r w:rsidR="002A134A">
        <w:t>services</w:t>
      </w:r>
      <w:r w:rsidR="00362076" w:rsidRPr="007D4F4C">
        <w:t>. The top 10 MRI exams order</w:t>
      </w:r>
      <w:r w:rsidR="00A72BFA">
        <w:t>s</w:t>
      </w:r>
      <w:r w:rsidR="00362076">
        <w:t xml:space="preserve"> placed</w:t>
      </w:r>
      <w:r w:rsidR="00362076" w:rsidRPr="007D4F4C">
        <w:t>, comprising 95% of total MRI orders</w:t>
      </w:r>
      <w:r w:rsidR="00362076">
        <w:t xml:space="preserve"> placed</w:t>
      </w:r>
      <w:r w:rsidR="00362076" w:rsidRPr="007D4F4C">
        <w:t xml:space="preserve"> for th</w:t>
      </w:r>
      <w:r w:rsidR="007F3D21">
        <w:t>e</w:t>
      </w:r>
      <w:r w:rsidR="00362076" w:rsidRPr="007D4F4C">
        <w:t xml:space="preserve"> </w:t>
      </w:r>
      <w:r w:rsidR="00362076">
        <w:t>P</w:t>
      </w:r>
      <w:r w:rsidR="007F3D21">
        <w:t>lymouth Practice P</w:t>
      </w:r>
      <w:r w:rsidR="00362076">
        <w:t xml:space="preserve">atient </w:t>
      </w:r>
      <w:r w:rsidR="007F3D21">
        <w:t>P</w:t>
      </w:r>
      <w:r w:rsidR="00362076" w:rsidRPr="007D4F4C">
        <w:t>anel, are: lumbar spine, brain, abdomen, cervical spine, upper extremity joint, lower extremity joint, magnetic resonance angiography of the head, magnetic resonance angiography of the neck, thoracic spine, and breast.</w:t>
      </w:r>
      <w:r w:rsidR="00362076">
        <w:t xml:space="preserve">  </w:t>
      </w:r>
      <w:r w:rsidR="00E51C70">
        <w:t>MRI services are provided in Chelmsford, Concord, Kenmore (Boston), Norwood, and Weymouth. The Chelmsford and Concord locations are serviced with a mobile MRI unit.</w:t>
      </w:r>
    </w:p>
    <w:p w14:paraId="06F1B263" w14:textId="60F0A30C" w:rsidR="00362076" w:rsidRDefault="00D32942" w:rsidP="009E10AE">
      <w:pPr>
        <w:pStyle w:val="ListParagraph"/>
        <w:numPr>
          <w:ilvl w:val="0"/>
          <w:numId w:val="2"/>
        </w:numPr>
        <w:ind w:left="1440"/>
        <w:jc w:val="both"/>
      </w:pPr>
      <w:r w:rsidRPr="00D32942">
        <w:rPr>
          <w:b/>
        </w:rPr>
        <w:lastRenderedPageBreak/>
        <w:t>CT Utilization:</w:t>
      </w:r>
      <w:r>
        <w:t xml:space="preserve"> </w:t>
      </w:r>
      <w:r w:rsidR="00362076">
        <w:t>PMG providers placed orders for 2</w:t>
      </w:r>
      <w:r w:rsidR="00B46C3C">
        <w:t>,</w:t>
      </w:r>
      <w:r w:rsidR="00362076">
        <w:t xml:space="preserve">635 </w:t>
      </w:r>
      <w:r w:rsidR="00362076" w:rsidRPr="007D4F4C">
        <w:t>CT</w:t>
      </w:r>
      <w:r w:rsidR="00362076">
        <w:t>s</w:t>
      </w:r>
      <w:r w:rsidR="00362076" w:rsidRPr="007D4F4C">
        <w:t xml:space="preserve"> </w:t>
      </w:r>
      <w:r w:rsidR="00362076">
        <w:t>in the same period</w:t>
      </w:r>
      <w:r w:rsidR="00362076" w:rsidRPr="007D4F4C">
        <w:t>. 2</w:t>
      </w:r>
      <w:r w:rsidR="00B46C3C">
        <w:t>,</w:t>
      </w:r>
      <w:r w:rsidR="00362076" w:rsidRPr="007D4F4C">
        <w:t xml:space="preserve">151 of these </w:t>
      </w:r>
      <w:r w:rsidR="00362076">
        <w:t xml:space="preserve">orders were referred </w:t>
      </w:r>
      <w:r w:rsidR="00362076" w:rsidRPr="007D4F4C">
        <w:t xml:space="preserve">to external locations and 214 were </w:t>
      </w:r>
      <w:r w:rsidR="00362076">
        <w:t xml:space="preserve">referred to </w:t>
      </w:r>
      <w:r w:rsidR="00362076" w:rsidRPr="007D4F4C">
        <w:t xml:space="preserve">another Atrius </w:t>
      </w:r>
      <w:r>
        <w:t xml:space="preserve">Health </w:t>
      </w:r>
      <w:r w:rsidR="00362076" w:rsidRPr="007D4F4C">
        <w:t xml:space="preserve">location. The top 5 CT exams ordered, comprising 92% of the total CT orders for this panel, </w:t>
      </w:r>
      <w:r w:rsidR="00362076">
        <w:t>were</w:t>
      </w:r>
      <w:r w:rsidR="00362076" w:rsidRPr="007D4F4C">
        <w:t xml:space="preserve"> abdomen/pelvis, chest, chest for lung cancer screening (</w:t>
      </w:r>
      <w:r w:rsidR="00362076" w:rsidRPr="00AA2597">
        <w:t>LDCT</w:t>
      </w:r>
      <w:r w:rsidR="00362076" w:rsidRPr="007D4F4C">
        <w:t>), brain, and abdomen.</w:t>
      </w:r>
      <w:r w:rsidRPr="00D32942">
        <w:t xml:space="preserve"> </w:t>
      </w:r>
      <w:r>
        <w:t>CT services are provided at three (3) locations</w:t>
      </w:r>
      <w:r w:rsidR="00A043B5">
        <w:t>:</w:t>
      </w:r>
      <w:r>
        <w:t xml:space="preserve"> Kenmore, Weymouth, and Norwood. </w:t>
      </w:r>
      <w:r w:rsidR="00362076">
        <w:t xml:space="preserve"> </w:t>
      </w:r>
    </w:p>
    <w:p w14:paraId="01552835" w14:textId="2A80C5FC" w:rsidR="00362076" w:rsidRPr="00884312" w:rsidRDefault="00362076" w:rsidP="00362076">
      <w:pPr>
        <w:rPr>
          <w:sz w:val="2"/>
          <w:szCs w:val="2"/>
        </w:rPr>
      </w:pPr>
    </w:p>
    <w:tbl>
      <w:tblPr>
        <w:tblW w:w="7209" w:type="dxa"/>
        <w:tblInd w:w="1495" w:type="dxa"/>
        <w:tblLook w:val="04A0" w:firstRow="1" w:lastRow="0" w:firstColumn="1" w:lastColumn="0" w:noHBand="0" w:noVBand="1"/>
      </w:tblPr>
      <w:tblGrid>
        <w:gridCol w:w="2365"/>
        <w:gridCol w:w="1252"/>
        <w:gridCol w:w="1197"/>
        <w:gridCol w:w="1197"/>
        <w:gridCol w:w="1198"/>
      </w:tblGrid>
      <w:tr w:rsidR="00362076" w:rsidRPr="00116397" w14:paraId="41C15200" w14:textId="77777777" w:rsidTr="00BA014C">
        <w:trPr>
          <w:cantSplit/>
          <w:trHeight w:val="262"/>
          <w:tblHeader/>
        </w:trPr>
        <w:tc>
          <w:tcPr>
            <w:tcW w:w="7209" w:type="dxa"/>
            <w:gridSpan w:val="5"/>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bottom"/>
            <w:hideMark/>
          </w:tcPr>
          <w:p w14:paraId="3AF41B1F" w14:textId="77777777" w:rsidR="00362076" w:rsidRPr="00116397" w:rsidRDefault="00362076" w:rsidP="003962B6">
            <w:pPr>
              <w:keepNext/>
              <w:spacing w:after="0" w:line="240" w:lineRule="auto"/>
              <w:jc w:val="center"/>
              <w:rPr>
                <w:rFonts w:ascii="Calibri" w:eastAsia="Times New Roman" w:hAnsi="Calibri" w:cs="Calibri"/>
                <w:b/>
                <w:bCs/>
                <w:color w:val="000000"/>
              </w:rPr>
            </w:pPr>
            <w:r w:rsidRPr="00116397">
              <w:rPr>
                <w:rFonts w:ascii="Calibri" w:eastAsia="Times New Roman" w:hAnsi="Calibri" w:cs="Calibri"/>
                <w:b/>
                <w:bCs/>
                <w:color w:val="000000"/>
              </w:rPr>
              <w:t>Total CT</w:t>
            </w:r>
            <w:r w:rsidR="00D33E32" w:rsidRPr="00116397">
              <w:rPr>
                <w:rFonts w:ascii="Calibri" w:eastAsia="Times New Roman" w:hAnsi="Calibri" w:cs="Calibri"/>
                <w:b/>
                <w:bCs/>
                <w:color w:val="000000"/>
              </w:rPr>
              <w:t>s performed at Atrius Health</w:t>
            </w:r>
          </w:p>
        </w:tc>
      </w:tr>
      <w:tr w:rsidR="00362076" w:rsidRPr="00116397" w14:paraId="37FFCD81" w14:textId="77777777" w:rsidTr="00BA014C">
        <w:trPr>
          <w:cantSplit/>
          <w:trHeight w:val="262"/>
        </w:trPr>
        <w:tc>
          <w:tcPr>
            <w:tcW w:w="2365"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307391DC" w14:textId="2356C9EF" w:rsidR="00362076" w:rsidRPr="00116397" w:rsidRDefault="00362076" w:rsidP="003962B6">
            <w:pPr>
              <w:keepNext/>
              <w:spacing w:after="0" w:line="240" w:lineRule="auto"/>
              <w:rPr>
                <w:rFonts w:ascii="Calibri" w:eastAsia="Times New Roman" w:hAnsi="Calibri" w:cs="Calibri"/>
                <w:b/>
                <w:bCs/>
                <w:color w:val="000000"/>
              </w:rPr>
            </w:pPr>
            <w:r w:rsidRPr="00116397">
              <w:rPr>
                <w:rFonts w:ascii="Calibri" w:eastAsia="Times New Roman" w:hAnsi="Calibri" w:cs="Calibri"/>
                <w:b/>
                <w:bCs/>
                <w:color w:val="000000"/>
              </w:rPr>
              <w:t> </w:t>
            </w:r>
            <w:r w:rsidR="00116397" w:rsidRPr="00116397">
              <w:rPr>
                <w:rFonts w:ascii="Calibri" w:eastAsia="Times New Roman" w:hAnsi="Calibri" w:cs="Calibri"/>
                <w:b/>
                <w:bCs/>
                <w:color w:val="000000"/>
              </w:rPr>
              <w:t>Month</w:t>
            </w:r>
          </w:p>
        </w:tc>
        <w:tc>
          <w:tcPr>
            <w:tcW w:w="1252" w:type="dxa"/>
            <w:tcBorders>
              <w:top w:val="nil"/>
              <w:left w:val="nil"/>
              <w:bottom w:val="single" w:sz="4" w:space="0" w:color="auto"/>
              <w:right w:val="single" w:sz="4" w:space="0" w:color="auto"/>
            </w:tcBorders>
            <w:shd w:val="clear" w:color="auto" w:fill="DEEAF6" w:themeFill="accent1" w:themeFillTint="33"/>
            <w:noWrap/>
            <w:vAlign w:val="bottom"/>
            <w:hideMark/>
          </w:tcPr>
          <w:p w14:paraId="5CAF5FD0" w14:textId="77777777" w:rsidR="00362076" w:rsidRPr="00116397" w:rsidRDefault="00362076" w:rsidP="003962B6">
            <w:pPr>
              <w:keepNext/>
              <w:spacing w:after="0" w:line="240" w:lineRule="auto"/>
              <w:jc w:val="right"/>
              <w:rPr>
                <w:rFonts w:ascii="Calibri" w:eastAsia="Times New Roman" w:hAnsi="Calibri" w:cs="Calibri"/>
                <w:b/>
                <w:bCs/>
                <w:color w:val="000000"/>
              </w:rPr>
            </w:pPr>
            <w:r w:rsidRPr="00116397">
              <w:rPr>
                <w:rFonts w:ascii="Calibri" w:eastAsia="Times New Roman" w:hAnsi="Calibri" w:cs="Calibri"/>
                <w:b/>
                <w:bCs/>
                <w:color w:val="000000"/>
              </w:rPr>
              <w:t>2019</w:t>
            </w:r>
          </w:p>
        </w:tc>
        <w:tc>
          <w:tcPr>
            <w:tcW w:w="1197" w:type="dxa"/>
            <w:tcBorders>
              <w:top w:val="nil"/>
              <w:left w:val="nil"/>
              <w:bottom w:val="single" w:sz="4" w:space="0" w:color="auto"/>
              <w:right w:val="single" w:sz="4" w:space="0" w:color="auto"/>
            </w:tcBorders>
            <w:shd w:val="clear" w:color="auto" w:fill="DEEAF6" w:themeFill="accent1" w:themeFillTint="33"/>
            <w:noWrap/>
            <w:vAlign w:val="bottom"/>
            <w:hideMark/>
          </w:tcPr>
          <w:p w14:paraId="4EFBA5EC" w14:textId="77777777" w:rsidR="00362076" w:rsidRPr="00116397" w:rsidRDefault="00362076" w:rsidP="003962B6">
            <w:pPr>
              <w:keepNext/>
              <w:spacing w:after="0" w:line="240" w:lineRule="auto"/>
              <w:jc w:val="right"/>
              <w:rPr>
                <w:rFonts w:ascii="Calibri" w:eastAsia="Times New Roman" w:hAnsi="Calibri" w:cs="Calibri"/>
                <w:b/>
                <w:bCs/>
                <w:color w:val="000000"/>
              </w:rPr>
            </w:pPr>
            <w:r w:rsidRPr="00116397">
              <w:rPr>
                <w:rFonts w:ascii="Calibri" w:eastAsia="Times New Roman" w:hAnsi="Calibri" w:cs="Calibri"/>
                <w:b/>
                <w:bCs/>
                <w:color w:val="000000"/>
              </w:rPr>
              <w:t>2020</w:t>
            </w:r>
          </w:p>
        </w:tc>
        <w:tc>
          <w:tcPr>
            <w:tcW w:w="1197" w:type="dxa"/>
            <w:tcBorders>
              <w:top w:val="nil"/>
              <w:left w:val="nil"/>
              <w:bottom w:val="single" w:sz="4" w:space="0" w:color="auto"/>
              <w:right w:val="single" w:sz="4" w:space="0" w:color="auto"/>
            </w:tcBorders>
            <w:shd w:val="clear" w:color="auto" w:fill="DEEAF6" w:themeFill="accent1" w:themeFillTint="33"/>
            <w:noWrap/>
            <w:vAlign w:val="bottom"/>
            <w:hideMark/>
          </w:tcPr>
          <w:p w14:paraId="27193623" w14:textId="77777777" w:rsidR="00362076" w:rsidRPr="00116397" w:rsidRDefault="00362076" w:rsidP="003962B6">
            <w:pPr>
              <w:keepNext/>
              <w:spacing w:after="0" w:line="240" w:lineRule="auto"/>
              <w:jc w:val="right"/>
              <w:rPr>
                <w:rFonts w:ascii="Calibri" w:eastAsia="Times New Roman" w:hAnsi="Calibri" w:cs="Calibri"/>
                <w:b/>
                <w:bCs/>
                <w:color w:val="000000"/>
              </w:rPr>
            </w:pPr>
            <w:r w:rsidRPr="00116397">
              <w:rPr>
                <w:rFonts w:ascii="Calibri" w:eastAsia="Times New Roman" w:hAnsi="Calibri" w:cs="Calibri"/>
                <w:b/>
                <w:bCs/>
                <w:color w:val="000000"/>
              </w:rPr>
              <w:t>2021</w:t>
            </w:r>
          </w:p>
        </w:tc>
        <w:tc>
          <w:tcPr>
            <w:tcW w:w="1198" w:type="dxa"/>
            <w:tcBorders>
              <w:top w:val="nil"/>
              <w:left w:val="nil"/>
              <w:bottom w:val="single" w:sz="4" w:space="0" w:color="auto"/>
              <w:right w:val="single" w:sz="4" w:space="0" w:color="auto"/>
            </w:tcBorders>
            <w:shd w:val="clear" w:color="auto" w:fill="DEEAF6" w:themeFill="accent1" w:themeFillTint="33"/>
            <w:noWrap/>
            <w:vAlign w:val="bottom"/>
            <w:hideMark/>
          </w:tcPr>
          <w:p w14:paraId="0D3EA9AB" w14:textId="77777777" w:rsidR="00362076" w:rsidRPr="00116397" w:rsidRDefault="00362076" w:rsidP="003962B6">
            <w:pPr>
              <w:keepNext/>
              <w:spacing w:after="0" w:line="240" w:lineRule="auto"/>
              <w:jc w:val="right"/>
              <w:rPr>
                <w:rFonts w:ascii="Calibri" w:eastAsia="Times New Roman" w:hAnsi="Calibri" w:cs="Calibri"/>
                <w:b/>
                <w:bCs/>
                <w:color w:val="000000"/>
              </w:rPr>
            </w:pPr>
            <w:r w:rsidRPr="00116397">
              <w:rPr>
                <w:rFonts w:ascii="Calibri" w:eastAsia="Times New Roman" w:hAnsi="Calibri" w:cs="Calibri"/>
                <w:b/>
                <w:bCs/>
                <w:color w:val="000000"/>
              </w:rPr>
              <w:t>2022</w:t>
            </w:r>
          </w:p>
        </w:tc>
      </w:tr>
      <w:tr w:rsidR="00362076" w:rsidRPr="00754502" w14:paraId="4F29342C" w14:textId="77777777" w:rsidTr="00BA014C">
        <w:trPr>
          <w:cantSplit/>
          <w:trHeight w:val="262"/>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6B7B932B" w14:textId="77777777" w:rsidR="00362076" w:rsidRPr="00754502" w:rsidRDefault="00362076" w:rsidP="003962B6">
            <w:pPr>
              <w:keepNext/>
              <w:spacing w:after="0" w:line="240" w:lineRule="auto"/>
              <w:rPr>
                <w:rFonts w:ascii="Calibri" w:eastAsia="Times New Roman" w:hAnsi="Calibri" w:cs="Calibri"/>
                <w:color w:val="000000"/>
              </w:rPr>
            </w:pPr>
            <w:r w:rsidRPr="00754502">
              <w:rPr>
                <w:rFonts w:ascii="Calibri" w:eastAsia="Times New Roman" w:hAnsi="Calibri" w:cs="Calibri"/>
                <w:color w:val="000000"/>
              </w:rPr>
              <w:t>January</w:t>
            </w:r>
          </w:p>
        </w:tc>
        <w:tc>
          <w:tcPr>
            <w:tcW w:w="1252" w:type="dxa"/>
            <w:tcBorders>
              <w:top w:val="nil"/>
              <w:left w:val="nil"/>
              <w:bottom w:val="single" w:sz="4" w:space="0" w:color="auto"/>
              <w:right w:val="single" w:sz="4" w:space="0" w:color="auto"/>
            </w:tcBorders>
            <w:shd w:val="clear" w:color="auto" w:fill="auto"/>
            <w:noWrap/>
            <w:vAlign w:val="bottom"/>
            <w:hideMark/>
          </w:tcPr>
          <w:p w14:paraId="7EC9D97F" w14:textId="2FB8B909" w:rsidR="00362076" w:rsidRPr="00754502" w:rsidRDefault="00362076" w:rsidP="003962B6">
            <w:pPr>
              <w:keepNext/>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702</w:t>
            </w:r>
          </w:p>
        </w:tc>
        <w:tc>
          <w:tcPr>
            <w:tcW w:w="1197" w:type="dxa"/>
            <w:tcBorders>
              <w:top w:val="nil"/>
              <w:left w:val="nil"/>
              <w:bottom w:val="single" w:sz="4" w:space="0" w:color="auto"/>
              <w:right w:val="single" w:sz="4" w:space="0" w:color="auto"/>
            </w:tcBorders>
            <w:shd w:val="clear" w:color="auto" w:fill="auto"/>
            <w:noWrap/>
            <w:vAlign w:val="bottom"/>
            <w:hideMark/>
          </w:tcPr>
          <w:p w14:paraId="20A9C72A" w14:textId="358A8153" w:rsidR="00362076" w:rsidRPr="00754502" w:rsidRDefault="00362076" w:rsidP="003962B6">
            <w:pPr>
              <w:keepNext/>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666</w:t>
            </w:r>
          </w:p>
        </w:tc>
        <w:tc>
          <w:tcPr>
            <w:tcW w:w="1197" w:type="dxa"/>
            <w:tcBorders>
              <w:top w:val="nil"/>
              <w:left w:val="nil"/>
              <w:bottom w:val="single" w:sz="4" w:space="0" w:color="auto"/>
              <w:right w:val="single" w:sz="4" w:space="0" w:color="auto"/>
            </w:tcBorders>
            <w:shd w:val="clear" w:color="auto" w:fill="auto"/>
            <w:noWrap/>
            <w:vAlign w:val="bottom"/>
            <w:hideMark/>
          </w:tcPr>
          <w:p w14:paraId="2C4A4AA2" w14:textId="1D901B01" w:rsidR="00362076" w:rsidRPr="00754502" w:rsidRDefault="00362076" w:rsidP="003962B6">
            <w:pPr>
              <w:keepNext/>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371</w:t>
            </w:r>
          </w:p>
        </w:tc>
        <w:tc>
          <w:tcPr>
            <w:tcW w:w="1198" w:type="dxa"/>
            <w:tcBorders>
              <w:top w:val="nil"/>
              <w:left w:val="nil"/>
              <w:bottom w:val="single" w:sz="4" w:space="0" w:color="auto"/>
              <w:right w:val="single" w:sz="4" w:space="0" w:color="auto"/>
            </w:tcBorders>
            <w:shd w:val="clear" w:color="auto" w:fill="auto"/>
            <w:noWrap/>
            <w:vAlign w:val="bottom"/>
            <w:hideMark/>
          </w:tcPr>
          <w:p w14:paraId="391E016B" w14:textId="269B0D50" w:rsidR="00362076" w:rsidRPr="00754502" w:rsidRDefault="00362076" w:rsidP="003962B6">
            <w:pPr>
              <w:keepNext/>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622</w:t>
            </w:r>
          </w:p>
        </w:tc>
      </w:tr>
      <w:tr w:rsidR="00362076" w:rsidRPr="00754502" w14:paraId="04FCD970" w14:textId="77777777" w:rsidTr="00BA014C">
        <w:trPr>
          <w:cantSplit/>
          <w:trHeight w:val="262"/>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7AC34EB4" w14:textId="77777777" w:rsidR="00362076" w:rsidRPr="00754502" w:rsidRDefault="00362076" w:rsidP="00D33E32">
            <w:pPr>
              <w:spacing w:after="0" w:line="240" w:lineRule="auto"/>
              <w:rPr>
                <w:rFonts w:ascii="Calibri" w:eastAsia="Times New Roman" w:hAnsi="Calibri" w:cs="Calibri"/>
                <w:color w:val="000000"/>
              </w:rPr>
            </w:pPr>
            <w:r w:rsidRPr="00754502">
              <w:rPr>
                <w:rFonts w:ascii="Calibri" w:eastAsia="Times New Roman" w:hAnsi="Calibri" w:cs="Calibri"/>
                <w:color w:val="000000"/>
              </w:rPr>
              <w:t>February</w:t>
            </w:r>
          </w:p>
        </w:tc>
        <w:tc>
          <w:tcPr>
            <w:tcW w:w="1252" w:type="dxa"/>
            <w:tcBorders>
              <w:top w:val="nil"/>
              <w:left w:val="nil"/>
              <w:bottom w:val="single" w:sz="4" w:space="0" w:color="auto"/>
              <w:right w:val="single" w:sz="4" w:space="0" w:color="auto"/>
            </w:tcBorders>
            <w:shd w:val="clear" w:color="auto" w:fill="auto"/>
            <w:noWrap/>
            <w:vAlign w:val="bottom"/>
            <w:hideMark/>
          </w:tcPr>
          <w:p w14:paraId="31AF3D9D" w14:textId="5C9F56A6"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438</w:t>
            </w:r>
          </w:p>
        </w:tc>
        <w:tc>
          <w:tcPr>
            <w:tcW w:w="1197" w:type="dxa"/>
            <w:tcBorders>
              <w:top w:val="nil"/>
              <w:left w:val="nil"/>
              <w:bottom w:val="single" w:sz="4" w:space="0" w:color="auto"/>
              <w:right w:val="single" w:sz="4" w:space="0" w:color="auto"/>
            </w:tcBorders>
            <w:shd w:val="clear" w:color="auto" w:fill="auto"/>
            <w:noWrap/>
            <w:vAlign w:val="bottom"/>
            <w:hideMark/>
          </w:tcPr>
          <w:p w14:paraId="2ADB6B01" w14:textId="3A785610"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490</w:t>
            </w:r>
          </w:p>
        </w:tc>
        <w:tc>
          <w:tcPr>
            <w:tcW w:w="1197" w:type="dxa"/>
            <w:tcBorders>
              <w:top w:val="nil"/>
              <w:left w:val="nil"/>
              <w:bottom w:val="single" w:sz="4" w:space="0" w:color="auto"/>
              <w:right w:val="single" w:sz="4" w:space="0" w:color="auto"/>
            </w:tcBorders>
            <w:shd w:val="clear" w:color="auto" w:fill="auto"/>
            <w:noWrap/>
            <w:vAlign w:val="bottom"/>
            <w:hideMark/>
          </w:tcPr>
          <w:p w14:paraId="3EA4DD54" w14:textId="3C68C4A3"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427</w:t>
            </w:r>
          </w:p>
        </w:tc>
        <w:tc>
          <w:tcPr>
            <w:tcW w:w="1198" w:type="dxa"/>
            <w:tcBorders>
              <w:top w:val="nil"/>
              <w:left w:val="nil"/>
              <w:bottom w:val="single" w:sz="4" w:space="0" w:color="auto"/>
              <w:right w:val="single" w:sz="4" w:space="0" w:color="auto"/>
            </w:tcBorders>
            <w:shd w:val="clear" w:color="auto" w:fill="auto"/>
            <w:noWrap/>
            <w:vAlign w:val="bottom"/>
            <w:hideMark/>
          </w:tcPr>
          <w:p w14:paraId="55CBC2CB" w14:textId="44450343"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741</w:t>
            </w:r>
          </w:p>
        </w:tc>
      </w:tr>
      <w:tr w:rsidR="00362076" w:rsidRPr="00754502" w14:paraId="7AA93395" w14:textId="77777777" w:rsidTr="00BA014C">
        <w:trPr>
          <w:cantSplit/>
          <w:trHeight w:val="262"/>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732E628B" w14:textId="77777777" w:rsidR="00362076" w:rsidRPr="00754502" w:rsidRDefault="00362076" w:rsidP="00D33E32">
            <w:pPr>
              <w:spacing w:after="0" w:line="240" w:lineRule="auto"/>
              <w:rPr>
                <w:rFonts w:ascii="Calibri" w:eastAsia="Times New Roman" w:hAnsi="Calibri" w:cs="Calibri"/>
                <w:color w:val="000000"/>
              </w:rPr>
            </w:pPr>
            <w:r w:rsidRPr="00754502">
              <w:rPr>
                <w:rFonts w:ascii="Calibri" w:eastAsia="Times New Roman" w:hAnsi="Calibri" w:cs="Calibri"/>
                <w:color w:val="000000"/>
              </w:rPr>
              <w:t>March</w:t>
            </w:r>
          </w:p>
        </w:tc>
        <w:tc>
          <w:tcPr>
            <w:tcW w:w="1252" w:type="dxa"/>
            <w:tcBorders>
              <w:top w:val="nil"/>
              <w:left w:val="nil"/>
              <w:bottom w:val="single" w:sz="4" w:space="0" w:color="auto"/>
              <w:right w:val="single" w:sz="4" w:space="0" w:color="auto"/>
            </w:tcBorders>
            <w:shd w:val="clear" w:color="auto" w:fill="auto"/>
            <w:noWrap/>
            <w:vAlign w:val="bottom"/>
            <w:hideMark/>
          </w:tcPr>
          <w:p w14:paraId="55876BED" w14:textId="67CC09F9"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646</w:t>
            </w:r>
          </w:p>
        </w:tc>
        <w:tc>
          <w:tcPr>
            <w:tcW w:w="1197" w:type="dxa"/>
            <w:tcBorders>
              <w:top w:val="nil"/>
              <w:left w:val="nil"/>
              <w:bottom w:val="single" w:sz="4" w:space="0" w:color="auto"/>
              <w:right w:val="single" w:sz="4" w:space="0" w:color="auto"/>
            </w:tcBorders>
            <w:shd w:val="clear" w:color="auto" w:fill="auto"/>
            <w:noWrap/>
            <w:vAlign w:val="bottom"/>
            <w:hideMark/>
          </w:tcPr>
          <w:p w14:paraId="47443FA2" w14:textId="3916CB0C"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061</w:t>
            </w:r>
          </w:p>
        </w:tc>
        <w:tc>
          <w:tcPr>
            <w:tcW w:w="1197" w:type="dxa"/>
            <w:tcBorders>
              <w:top w:val="nil"/>
              <w:left w:val="nil"/>
              <w:bottom w:val="single" w:sz="4" w:space="0" w:color="auto"/>
              <w:right w:val="single" w:sz="4" w:space="0" w:color="auto"/>
            </w:tcBorders>
            <w:shd w:val="clear" w:color="auto" w:fill="auto"/>
            <w:noWrap/>
            <w:vAlign w:val="bottom"/>
            <w:hideMark/>
          </w:tcPr>
          <w:p w14:paraId="204A1035" w14:textId="1A4C81CD"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751</w:t>
            </w:r>
          </w:p>
        </w:tc>
        <w:tc>
          <w:tcPr>
            <w:tcW w:w="1198" w:type="dxa"/>
            <w:tcBorders>
              <w:top w:val="nil"/>
              <w:left w:val="nil"/>
              <w:bottom w:val="single" w:sz="4" w:space="0" w:color="auto"/>
              <w:right w:val="single" w:sz="4" w:space="0" w:color="auto"/>
            </w:tcBorders>
            <w:shd w:val="clear" w:color="auto" w:fill="auto"/>
            <w:noWrap/>
            <w:vAlign w:val="bottom"/>
            <w:hideMark/>
          </w:tcPr>
          <w:p w14:paraId="545C7960" w14:textId="10EF3806"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2</w:t>
            </w:r>
            <w:r w:rsidR="00116397">
              <w:rPr>
                <w:rFonts w:ascii="Calibri" w:eastAsia="Times New Roman" w:hAnsi="Calibri" w:cs="Calibri"/>
                <w:color w:val="000000"/>
              </w:rPr>
              <w:t>,</w:t>
            </w:r>
            <w:r w:rsidRPr="00754502">
              <w:rPr>
                <w:rFonts w:ascii="Calibri" w:eastAsia="Times New Roman" w:hAnsi="Calibri" w:cs="Calibri"/>
                <w:color w:val="000000"/>
              </w:rPr>
              <w:t>156</w:t>
            </w:r>
          </w:p>
        </w:tc>
      </w:tr>
      <w:tr w:rsidR="00362076" w:rsidRPr="00754502" w14:paraId="2F050221" w14:textId="77777777" w:rsidTr="00BA014C">
        <w:trPr>
          <w:cantSplit/>
          <w:trHeight w:val="262"/>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482CE7EB" w14:textId="77777777" w:rsidR="00362076" w:rsidRPr="00754502" w:rsidRDefault="00362076" w:rsidP="00D33E32">
            <w:pPr>
              <w:spacing w:after="0" w:line="240" w:lineRule="auto"/>
              <w:rPr>
                <w:rFonts w:ascii="Calibri" w:eastAsia="Times New Roman" w:hAnsi="Calibri" w:cs="Calibri"/>
                <w:color w:val="000000"/>
              </w:rPr>
            </w:pPr>
            <w:r w:rsidRPr="00754502">
              <w:rPr>
                <w:rFonts w:ascii="Calibri" w:eastAsia="Times New Roman" w:hAnsi="Calibri" w:cs="Calibri"/>
                <w:color w:val="000000"/>
              </w:rPr>
              <w:t>April</w:t>
            </w:r>
          </w:p>
        </w:tc>
        <w:tc>
          <w:tcPr>
            <w:tcW w:w="1252" w:type="dxa"/>
            <w:tcBorders>
              <w:top w:val="nil"/>
              <w:left w:val="nil"/>
              <w:bottom w:val="single" w:sz="4" w:space="0" w:color="auto"/>
              <w:right w:val="single" w:sz="4" w:space="0" w:color="auto"/>
            </w:tcBorders>
            <w:shd w:val="clear" w:color="auto" w:fill="auto"/>
            <w:noWrap/>
            <w:vAlign w:val="bottom"/>
            <w:hideMark/>
          </w:tcPr>
          <w:p w14:paraId="7DCA07E5" w14:textId="19A79656"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738</w:t>
            </w:r>
          </w:p>
        </w:tc>
        <w:tc>
          <w:tcPr>
            <w:tcW w:w="1197" w:type="dxa"/>
            <w:tcBorders>
              <w:top w:val="nil"/>
              <w:left w:val="nil"/>
              <w:bottom w:val="single" w:sz="4" w:space="0" w:color="auto"/>
              <w:right w:val="single" w:sz="4" w:space="0" w:color="auto"/>
            </w:tcBorders>
            <w:shd w:val="clear" w:color="auto" w:fill="auto"/>
            <w:noWrap/>
            <w:vAlign w:val="bottom"/>
            <w:hideMark/>
          </w:tcPr>
          <w:p w14:paraId="4A9DE11D" w14:textId="77777777"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500</w:t>
            </w:r>
          </w:p>
        </w:tc>
        <w:tc>
          <w:tcPr>
            <w:tcW w:w="1197" w:type="dxa"/>
            <w:tcBorders>
              <w:top w:val="nil"/>
              <w:left w:val="nil"/>
              <w:bottom w:val="single" w:sz="4" w:space="0" w:color="auto"/>
              <w:right w:val="single" w:sz="4" w:space="0" w:color="auto"/>
            </w:tcBorders>
            <w:shd w:val="clear" w:color="auto" w:fill="auto"/>
            <w:noWrap/>
            <w:vAlign w:val="bottom"/>
            <w:hideMark/>
          </w:tcPr>
          <w:p w14:paraId="25D1F85E" w14:textId="041C4E1F"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607</w:t>
            </w:r>
          </w:p>
        </w:tc>
        <w:tc>
          <w:tcPr>
            <w:tcW w:w="1198" w:type="dxa"/>
            <w:tcBorders>
              <w:top w:val="nil"/>
              <w:left w:val="nil"/>
              <w:bottom w:val="single" w:sz="4" w:space="0" w:color="auto"/>
              <w:right w:val="single" w:sz="4" w:space="0" w:color="auto"/>
            </w:tcBorders>
            <w:shd w:val="clear" w:color="auto" w:fill="auto"/>
            <w:noWrap/>
            <w:vAlign w:val="bottom"/>
            <w:hideMark/>
          </w:tcPr>
          <w:p w14:paraId="0331F808" w14:textId="2DBB9927"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880</w:t>
            </w:r>
          </w:p>
        </w:tc>
      </w:tr>
      <w:tr w:rsidR="00362076" w:rsidRPr="00754502" w14:paraId="1671EE3B" w14:textId="77777777" w:rsidTr="00BA014C">
        <w:trPr>
          <w:cantSplit/>
          <w:trHeight w:val="262"/>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6E2F80CF" w14:textId="77777777" w:rsidR="00362076" w:rsidRPr="00754502" w:rsidRDefault="00362076" w:rsidP="00D33E32">
            <w:pPr>
              <w:spacing w:after="0" w:line="240" w:lineRule="auto"/>
              <w:rPr>
                <w:rFonts w:ascii="Calibri" w:eastAsia="Times New Roman" w:hAnsi="Calibri" w:cs="Calibri"/>
                <w:color w:val="000000"/>
              </w:rPr>
            </w:pPr>
            <w:r w:rsidRPr="00754502">
              <w:rPr>
                <w:rFonts w:ascii="Calibri" w:eastAsia="Times New Roman" w:hAnsi="Calibri" w:cs="Calibri"/>
                <w:color w:val="000000"/>
              </w:rPr>
              <w:t>May</w:t>
            </w:r>
          </w:p>
        </w:tc>
        <w:tc>
          <w:tcPr>
            <w:tcW w:w="1252" w:type="dxa"/>
            <w:tcBorders>
              <w:top w:val="nil"/>
              <w:left w:val="nil"/>
              <w:bottom w:val="single" w:sz="4" w:space="0" w:color="auto"/>
              <w:right w:val="single" w:sz="4" w:space="0" w:color="auto"/>
            </w:tcBorders>
            <w:shd w:val="clear" w:color="auto" w:fill="auto"/>
            <w:noWrap/>
            <w:vAlign w:val="bottom"/>
            <w:hideMark/>
          </w:tcPr>
          <w:p w14:paraId="2F6D675B" w14:textId="4D3F24E7"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796</w:t>
            </w:r>
          </w:p>
        </w:tc>
        <w:tc>
          <w:tcPr>
            <w:tcW w:w="1197" w:type="dxa"/>
            <w:tcBorders>
              <w:top w:val="nil"/>
              <w:left w:val="nil"/>
              <w:bottom w:val="single" w:sz="4" w:space="0" w:color="auto"/>
              <w:right w:val="single" w:sz="4" w:space="0" w:color="auto"/>
            </w:tcBorders>
            <w:shd w:val="clear" w:color="auto" w:fill="auto"/>
            <w:noWrap/>
            <w:vAlign w:val="bottom"/>
            <w:hideMark/>
          </w:tcPr>
          <w:p w14:paraId="1322E61A" w14:textId="77777777"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796</w:t>
            </w:r>
          </w:p>
        </w:tc>
        <w:tc>
          <w:tcPr>
            <w:tcW w:w="1197" w:type="dxa"/>
            <w:tcBorders>
              <w:top w:val="nil"/>
              <w:left w:val="nil"/>
              <w:bottom w:val="single" w:sz="4" w:space="0" w:color="auto"/>
              <w:right w:val="single" w:sz="4" w:space="0" w:color="auto"/>
            </w:tcBorders>
            <w:shd w:val="clear" w:color="auto" w:fill="auto"/>
            <w:noWrap/>
            <w:vAlign w:val="bottom"/>
            <w:hideMark/>
          </w:tcPr>
          <w:p w14:paraId="3CE23755" w14:textId="4CEDBB06"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567</w:t>
            </w:r>
          </w:p>
        </w:tc>
        <w:tc>
          <w:tcPr>
            <w:tcW w:w="1198" w:type="dxa"/>
            <w:tcBorders>
              <w:top w:val="nil"/>
              <w:left w:val="nil"/>
              <w:bottom w:val="single" w:sz="4" w:space="0" w:color="auto"/>
              <w:right w:val="single" w:sz="4" w:space="0" w:color="auto"/>
            </w:tcBorders>
            <w:shd w:val="clear" w:color="auto" w:fill="auto"/>
            <w:noWrap/>
            <w:vAlign w:val="bottom"/>
            <w:hideMark/>
          </w:tcPr>
          <w:p w14:paraId="4D718115" w14:textId="51CC829D"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857</w:t>
            </w:r>
          </w:p>
        </w:tc>
      </w:tr>
      <w:tr w:rsidR="00362076" w:rsidRPr="00754502" w14:paraId="6AE75E76" w14:textId="77777777" w:rsidTr="00BA014C">
        <w:trPr>
          <w:cantSplit/>
          <w:trHeight w:val="262"/>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2BCCFA9E" w14:textId="77777777" w:rsidR="00362076" w:rsidRPr="00754502" w:rsidRDefault="00362076" w:rsidP="00D33E32">
            <w:pPr>
              <w:spacing w:after="0" w:line="240" w:lineRule="auto"/>
              <w:rPr>
                <w:rFonts w:ascii="Calibri" w:eastAsia="Times New Roman" w:hAnsi="Calibri" w:cs="Calibri"/>
                <w:color w:val="000000"/>
              </w:rPr>
            </w:pPr>
            <w:r w:rsidRPr="00754502">
              <w:rPr>
                <w:rFonts w:ascii="Calibri" w:eastAsia="Times New Roman" w:hAnsi="Calibri" w:cs="Calibri"/>
                <w:color w:val="000000"/>
              </w:rPr>
              <w:t>June</w:t>
            </w:r>
          </w:p>
        </w:tc>
        <w:tc>
          <w:tcPr>
            <w:tcW w:w="1252" w:type="dxa"/>
            <w:tcBorders>
              <w:top w:val="nil"/>
              <w:left w:val="nil"/>
              <w:bottom w:val="single" w:sz="4" w:space="0" w:color="auto"/>
              <w:right w:val="single" w:sz="4" w:space="0" w:color="auto"/>
            </w:tcBorders>
            <w:shd w:val="clear" w:color="auto" w:fill="auto"/>
            <w:noWrap/>
            <w:vAlign w:val="bottom"/>
            <w:hideMark/>
          </w:tcPr>
          <w:p w14:paraId="71B7472D" w14:textId="0A778C96"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637</w:t>
            </w:r>
          </w:p>
        </w:tc>
        <w:tc>
          <w:tcPr>
            <w:tcW w:w="1197" w:type="dxa"/>
            <w:tcBorders>
              <w:top w:val="nil"/>
              <w:left w:val="nil"/>
              <w:bottom w:val="single" w:sz="4" w:space="0" w:color="auto"/>
              <w:right w:val="single" w:sz="4" w:space="0" w:color="auto"/>
            </w:tcBorders>
            <w:shd w:val="clear" w:color="auto" w:fill="auto"/>
            <w:noWrap/>
            <w:vAlign w:val="bottom"/>
            <w:hideMark/>
          </w:tcPr>
          <w:p w14:paraId="1F328A00" w14:textId="3D1711E8"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198</w:t>
            </w:r>
          </w:p>
        </w:tc>
        <w:tc>
          <w:tcPr>
            <w:tcW w:w="1197" w:type="dxa"/>
            <w:tcBorders>
              <w:top w:val="nil"/>
              <w:left w:val="nil"/>
              <w:bottom w:val="single" w:sz="4" w:space="0" w:color="auto"/>
              <w:right w:val="single" w:sz="4" w:space="0" w:color="auto"/>
            </w:tcBorders>
            <w:shd w:val="clear" w:color="auto" w:fill="auto"/>
            <w:noWrap/>
            <w:vAlign w:val="bottom"/>
            <w:hideMark/>
          </w:tcPr>
          <w:p w14:paraId="70E4F731" w14:textId="572CC51F"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724</w:t>
            </w:r>
          </w:p>
        </w:tc>
        <w:tc>
          <w:tcPr>
            <w:tcW w:w="1198" w:type="dxa"/>
            <w:tcBorders>
              <w:top w:val="nil"/>
              <w:left w:val="nil"/>
              <w:bottom w:val="single" w:sz="4" w:space="0" w:color="auto"/>
              <w:right w:val="single" w:sz="4" w:space="0" w:color="auto"/>
            </w:tcBorders>
            <w:shd w:val="clear" w:color="auto" w:fill="auto"/>
            <w:noWrap/>
            <w:vAlign w:val="bottom"/>
            <w:hideMark/>
          </w:tcPr>
          <w:p w14:paraId="1AEC00CC" w14:textId="323C63C6"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918</w:t>
            </w:r>
          </w:p>
        </w:tc>
      </w:tr>
      <w:tr w:rsidR="00362076" w:rsidRPr="00754502" w14:paraId="600B95E9" w14:textId="77777777" w:rsidTr="00BA014C">
        <w:trPr>
          <w:cantSplit/>
          <w:trHeight w:val="262"/>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491FB23A" w14:textId="77777777" w:rsidR="00362076" w:rsidRPr="00754502" w:rsidRDefault="00362076" w:rsidP="00D33E32">
            <w:pPr>
              <w:spacing w:after="0" w:line="240" w:lineRule="auto"/>
              <w:rPr>
                <w:rFonts w:ascii="Calibri" w:eastAsia="Times New Roman" w:hAnsi="Calibri" w:cs="Calibri"/>
                <w:color w:val="000000"/>
              </w:rPr>
            </w:pPr>
            <w:r w:rsidRPr="00754502">
              <w:rPr>
                <w:rFonts w:ascii="Calibri" w:eastAsia="Times New Roman" w:hAnsi="Calibri" w:cs="Calibri"/>
                <w:color w:val="000000"/>
              </w:rPr>
              <w:t>July</w:t>
            </w:r>
          </w:p>
        </w:tc>
        <w:tc>
          <w:tcPr>
            <w:tcW w:w="1252" w:type="dxa"/>
            <w:tcBorders>
              <w:top w:val="nil"/>
              <w:left w:val="nil"/>
              <w:bottom w:val="single" w:sz="4" w:space="0" w:color="auto"/>
              <w:right w:val="single" w:sz="4" w:space="0" w:color="auto"/>
            </w:tcBorders>
            <w:shd w:val="clear" w:color="auto" w:fill="auto"/>
            <w:noWrap/>
            <w:vAlign w:val="bottom"/>
            <w:hideMark/>
          </w:tcPr>
          <w:p w14:paraId="6005417F" w14:textId="275901BA"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640</w:t>
            </w:r>
          </w:p>
        </w:tc>
        <w:tc>
          <w:tcPr>
            <w:tcW w:w="1197" w:type="dxa"/>
            <w:tcBorders>
              <w:top w:val="nil"/>
              <w:left w:val="nil"/>
              <w:bottom w:val="single" w:sz="4" w:space="0" w:color="auto"/>
              <w:right w:val="single" w:sz="4" w:space="0" w:color="auto"/>
            </w:tcBorders>
            <w:shd w:val="clear" w:color="auto" w:fill="auto"/>
            <w:noWrap/>
            <w:vAlign w:val="bottom"/>
            <w:hideMark/>
          </w:tcPr>
          <w:p w14:paraId="44AE8A97" w14:textId="05D0FA18"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447</w:t>
            </w:r>
          </w:p>
        </w:tc>
        <w:tc>
          <w:tcPr>
            <w:tcW w:w="1197" w:type="dxa"/>
            <w:tcBorders>
              <w:top w:val="nil"/>
              <w:left w:val="nil"/>
              <w:bottom w:val="single" w:sz="4" w:space="0" w:color="auto"/>
              <w:right w:val="single" w:sz="4" w:space="0" w:color="auto"/>
            </w:tcBorders>
            <w:shd w:val="clear" w:color="auto" w:fill="auto"/>
            <w:noWrap/>
            <w:vAlign w:val="bottom"/>
            <w:hideMark/>
          </w:tcPr>
          <w:p w14:paraId="77079A72" w14:textId="6B931E56"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659</w:t>
            </w:r>
          </w:p>
        </w:tc>
        <w:tc>
          <w:tcPr>
            <w:tcW w:w="1198" w:type="dxa"/>
            <w:tcBorders>
              <w:top w:val="nil"/>
              <w:left w:val="nil"/>
              <w:bottom w:val="single" w:sz="4" w:space="0" w:color="auto"/>
              <w:right w:val="single" w:sz="4" w:space="0" w:color="auto"/>
            </w:tcBorders>
            <w:shd w:val="clear" w:color="auto" w:fill="auto"/>
            <w:noWrap/>
            <w:vAlign w:val="bottom"/>
            <w:hideMark/>
          </w:tcPr>
          <w:p w14:paraId="79BCEE36" w14:textId="7F1A625C"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683</w:t>
            </w:r>
          </w:p>
        </w:tc>
      </w:tr>
      <w:tr w:rsidR="00362076" w:rsidRPr="00754502" w14:paraId="2B6FD558" w14:textId="77777777" w:rsidTr="00BA014C">
        <w:trPr>
          <w:cantSplit/>
          <w:trHeight w:val="262"/>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3782F512" w14:textId="77777777" w:rsidR="00362076" w:rsidRPr="00754502" w:rsidRDefault="00362076" w:rsidP="00D33E32">
            <w:pPr>
              <w:spacing w:after="0" w:line="240" w:lineRule="auto"/>
              <w:rPr>
                <w:rFonts w:ascii="Calibri" w:eastAsia="Times New Roman" w:hAnsi="Calibri" w:cs="Calibri"/>
                <w:color w:val="000000"/>
              </w:rPr>
            </w:pPr>
            <w:r w:rsidRPr="00754502">
              <w:rPr>
                <w:rFonts w:ascii="Calibri" w:eastAsia="Times New Roman" w:hAnsi="Calibri" w:cs="Calibri"/>
                <w:color w:val="000000"/>
              </w:rPr>
              <w:t>August</w:t>
            </w:r>
          </w:p>
        </w:tc>
        <w:tc>
          <w:tcPr>
            <w:tcW w:w="1252" w:type="dxa"/>
            <w:tcBorders>
              <w:top w:val="nil"/>
              <w:left w:val="nil"/>
              <w:bottom w:val="single" w:sz="4" w:space="0" w:color="auto"/>
              <w:right w:val="single" w:sz="4" w:space="0" w:color="auto"/>
            </w:tcBorders>
            <w:shd w:val="clear" w:color="auto" w:fill="auto"/>
            <w:noWrap/>
            <w:vAlign w:val="bottom"/>
            <w:hideMark/>
          </w:tcPr>
          <w:p w14:paraId="36007CD2" w14:textId="1CA40EFE"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643</w:t>
            </w:r>
          </w:p>
        </w:tc>
        <w:tc>
          <w:tcPr>
            <w:tcW w:w="1197" w:type="dxa"/>
            <w:tcBorders>
              <w:top w:val="nil"/>
              <w:left w:val="nil"/>
              <w:bottom w:val="single" w:sz="4" w:space="0" w:color="auto"/>
              <w:right w:val="single" w:sz="4" w:space="0" w:color="auto"/>
            </w:tcBorders>
            <w:shd w:val="clear" w:color="auto" w:fill="auto"/>
            <w:noWrap/>
            <w:vAlign w:val="bottom"/>
            <w:hideMark/>
          </w:tcPr>
          <w:p w14:paraId="4BC1507E" w14:textId="07C759E9"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572</w:t>
            </w:r>
          </w:p>
        </w:tc>
        <w:tc>
          <w:tcPr>
            <w:tcW w:w="1197" w:type="dxa"/>
            <w:tcBorders>
              <w:top w:val="nil"/>
              <w:left w:val="nil"/>
              <w:bottom w:val="single" w:sz="4" w:space="0" w:color="auto"/>
              <w:right w:val="single" w:sz="4" w:space="0" w:color="auto"/>
            </w:tcBorders>
            <w:shd w:val="clear" w:color="auto" w:fill="auto"/>
            <w:noWrap/>
            <w:vAlign w:val="bottom"/>
            <w:hideMark/>
          </w:tcPr>
          <w:p w14:paraId="5239C132" w14:textId="05FFAE8D"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612</w:t>
            </w:r>
          </w:p>
        </w:tc>
        <w:tc>
          <w:tcPr>
            <w:tcW w:w="1198" w:type="dxa"/>
            <w:tcBorders>
              <w:top w:val="nil"/>
              <w:left w:val="nil"/>
              <w:bottom w:val="single" w:sz="4" w:space="0" w:color="auto"/>
              <w:right w:val="single" w:sz="4" w:space="0" w:color="auto"/>
            </w:tcBorders>
            <w:shd w:val="clear" w:color="auto" w:fill="auto"/>
            <w:noWrap/>
            <w:vAlign w:val="bottom"/>
            <w:hideMark/>
          </w:tcPr>
          <w:p w14:paraId="0CB589B0" w14:textId="77777777" w:rsidR="00362076" w:rsidRPr="00754502" w:rsidRDefault="00D33E32" w:rsidP="00D33E32">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362076" w:rsidRPr="00754502" w14:paraId="7A548443" w14:textId="77777777" w:rsidTr="00BA014C">
        <w:trPr>
          <w:cantSplit/>
          <w:trHeight w:val="262"/>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7C58517B" w14:textId="77777777" w:rsidR="00362076" w:rsidRPr="00754502" w:rsidRDefault="00362076" w:rsidP="00D33E32">
            <w:pPr>
              <w:spacing w:after="0" w:line="240" w:lineRule="auto"/>
              <w:rPr>
                <w:rFonts w:ascii="Calibri" w:eastAsia="Times New Roman" w:hAnsi="Calibri" w:cs="Calibri"/>
                <w:color w:val="000000"/>
              </w:rPr>
            </w:pPr>
            <w:r w:rsidRPr="00754502">
              <w:rPr>
                <w:rFonts w:ascii="Calibri" w:eastAsia="Times New Roman" w:hAnsi="Calibri" w:cs="Calibri"/>
                <w:color w:val="000000"/>
              </w:rPr>
              <w:t>September</w:t>
            </w:r>
          </w:p>
        </w:tc>
        <w:tc>
          <w:tcPr>
            <w:tcW w:w="1252" w:type="dxa"/>
            <w:tcBorders>
              <w:top w:val="nil"/>
              <w:left w:val="nil"/>
              <w:bottom w:val="single" w:sz="4" w:space="0" w:color="auto"/>
              <w:right w:val="single" w:sz="4" w:space="0" w:color="auto"/>
            </w:tcBorders>
            <w:shd w:val="clear" w:color="auto" w:fill="auto"/>
            <w:noWrap/>
            <w:vAlign w:val="bottom"/>
            <w:hideMark/>
          </w:tcPr>
          <w:p w14:paraId="633AC495" w14:textId="5CDFF89E"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566</w:t>
            </w:r>
          </w:p>
        </w:tc>
        <w:tc>
          <w:tcPr>
            <w:tcW w:w="1197" w:type="dxa"/>
            <w:tcBorders>
              <w:top w:val="nil"/>
              <w:left w:val="nil"/>
              <w:bottom w:val="single" w:sz="4" w:space="0" w:color="auto"/>
              <w:right w:val="single" w:sz="4" w:space="0" w:color="auto"/>
            </w:tcBorders>
            <w:shd w:val="clear" w:color="auto" w:fill="auto"/>
            <w:noWrap/>
            <w:vAlign w:val="bottom"/>
            <w:hideMark/>
          </w:tcPr>
          <w:p w14:paraId="60946D5B" w14:textId="601459D6"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624</w:t>
            </w:r>
          </w:p>
        </w:tc>
        <w:tc>
          <w:tcPr>
            <w:tcW w:w="1197" w:type="dxa"/>
            <w:tcBorders>
              <w:top w:val="nil"/>
              <w:left w:val="nil"/>
              <w:bottom w:val="single" w:sz="4" w:space="0" w:color="auto"/>
              <w:right w:val="single" w:sz="4" w:space="0" w:color="auto"/>
            </w:tcBorders>
            <w:shd w:val="clear" w:color="auto" w:fill="auto"/>
            <w:noWrap/>
            <w:vAlign w:val="bottom"/>
            <w:hideMark/>
          </w:tcPr>
          <w:p w14:paraId="3934251C" w14:textId="3CD7FA84"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808</w:t>
            </w:r>
          </w:p>
        </w:tc>
        <w:tc>
          <w:tcPr>
            <w:tcW w:w="1198" w:type="dxa"/>
            <w:tcBorders>
              <w:top w:val="nil"/>
              <w:left w:val="nil"/>
              <w:bottom w:val="single" w:sz="4" w:space="0" w:color="auto"/>
              <w:right w:val="single" w:sz="4" w:space="0" w:color="auto"/>
            </w:tcBorders>
            <w:shd w:val="clear" w:color="auto" w:fill="auto"/>
            <w:noWrap/>
            <w:vAlign w:val="bottom"/>
            <w:hideMark/>
          </w:tcPr>
          <w:p w14:paraId="20806FFA" w14:textId="77777777" w:rsidR="00362076" w:rsidRPr="00754502" w:rsidRDefault="00D33E32" w:rsidP="00D33E32">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362076" w:rsidRPr="00754502" w14:paraId="2987AA67" w14:textId="77777777" w:rsidTr="00BA014C">
        <w:trPr>
          <w:cantSplit/>
          <w:trHeight w:val="262"/>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1762F242" w14:textId="77777777" w:rsidR="00362076" w:rsidRPr="00754502" w:rsidRDefault="00362076" w:rsidP="00D33E32">
            <w:pPr>
              <w:spacing w:after="0" w:line="240" w:lineRule="auto"/>
              <w:rPr>
                <w:rFonts w:ascii="Calibri" w:eastAsia="Times New Roman" w:hAnsi="Calibri" w:cs="Calibri"/>
                <w:color w:val="000000"/>
              </w:rPr>
            </w:pPr>
            <w:r w:rsidRPr="00754502">
              <w:rPr>
                <w:rFonts w:ascii="Calibri" w:eastAsia="Times New Roman" w:hAnsi="Calibri" w:cs="Calibri"/>
                <w:color w:val="000000"/>
              </w:rPr>
              <w:t>October</w:t>
            </w:r>
          </w:p>
        </w:tc>
        <w:tc>
          <w:tcPr>
            <w:tcW w:w="1252" w:type="dxa"/>
            <w:tcBorders>
              <w:top w:val="nil"/>
              <w:left w:val="nil"/>
              <w:bottom w:val="single" w:sz="4" w:space="0" w:color="auto"/>
              <w:right w:val="single" w:sz="4" w:space="0" w:color="auto"/>
            </w:tcBorders>
            <w:shd w:val="clear" w:color="auto" w:fill="auto"/>
            <w:noWrap/>
            <w:vAlign w:val="bottom"/>
            <w:hideMark/>
          </w:tcPr>
          <w:p w14:paraId="49F48174" w14:textId="1751B724"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776</w:t>
            </w:r>
          </w:p>
        </w:tc>
        <w:tc>
          <w:tcPr>
            <w:tcW w:w="1197" w:type="dxa"/>
            <w:tcBorders>
              <w:top w:val="nil"/>
              <w:left w:val="nil"/>
              <w:bottom w:val="single" w:sz="4" w:space="0" w:color="auto"/>
              <w:right w:val="single" w:sz="4" w:space="0" w:color="auto"/>
            </w:tcBorders>
            <w:shd w:val="clear" w:color="auto" w:fill="auto"/>
            <w:noWrap/>
            <w:vAlign w:val="bottom"/>
            <w:hideMark/>
          </w:tcPr>
          <w:p w14:paraId="441710D0" w14:textId="78DD6263"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787</w:t>
            </w:r>
          </w:p>
        </w:tc>
        <w:tc>
          <w:tcPr>
            <w:tcW w:w="1197" w:type="dxa"/>
            <w:tcBorders>
              <w:top w:val="nil"/>
              <w:left w:val="nil"/>
              <w:bottom w:val="single" w:sz="4" w:space="0" w:color="auto"/>
              <w:right w:val="single" w:sz="4" w:space="0" w:color="auto"/>
            </w:tcBorders>
            <w:shd w:val="clear" w:color="auto" w:fill="auto"/>
            <w:noWrap/>
            <w:vAlign w:val="bottom"/>
            <w:hideMark/>
          </w:tcPr>
          <w:p w14:paraId="43ECD4F4" w14:textId="44B262A2"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755</w:t>
            </w:r>
          </w:p>
        </w:tc>
        <w:tc>
          <w:tcPr>
            <w:tcW w:w="1198" w:type="dxa"/>
            <w:tcBorders>
              <w:top w:val="nil"/>
              <w:left w:val="nil"/>
              <w:bottom w:val="single" w:sz="4" w:space="0" w:color="auto"/>
              <w:right w:val="single" w:sz="4" w:space="0" w:color="auto"/>
            </w:tcBorders>
            <w:shd w:val="clear" w:color="auto" w:fill="auto"/>
            <w:noWrap/>
            <w:vAlign w:val="bottom"/>
            <w:hideMark/>
          </w:tcPr>
          <w:p w14:paraId="6FB262DD" w14:textId="77777777" w:rsidR="00362076" w:rsidRPr="00754502" w:rsidRDefault="00D33E32" w:rsidP="00D33E32">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362076" w:rsidRPr="00754502" w14:paraId="5A13C252" w14:textId="77777777" w:rsidTr="00BA014C">
        <w:trPr>
          <w:cantSplit/>
          <w:trHeight w:val="262"/>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54A0FD78" w14:textId="77777777" w:rsidR="00362076" w:rsidRPr="00754502" w:rsidRDefault="00362076" w:rsidP="00D33E32">
            <w:pPr>
              <w:spacing w:after="0" w:line="240" w:lineRule="auto"/>
              <w:rPr>
                <w:rFonts w:ascii="Calibri" w:eastAsia="Times New Roman" w:hAnsi="Calibri" w:cs="Calibri"/>
                <w:color w:val="000000"/>
              </w:rPr>
            </w:pPr>
            <w:r w:rsidRPr="00754502">
              <w:rPr>
                <w:rFonts w:ascii="Calibri" w:eastAsia="Times New Roman" w:hAnsi="Calibri" w:cs="Calibri"/>
                <w:color w:val="000000"/>
              </w:rPr>
              <w:t>November</w:t>
            </w:r>
          </w:p>
        </w:tc>
        <w:tc>
          <w:tcPr>
            <w:tcW w:w="1252" w:type="dxa"/>
            <w:tcBorders>
              <w:top w:val="nil"/>
              <w:left w:val="nil"/>
              <w:bottom w:val="single" w:sz="4" w:space="0" w:color="auto"/>
              <w:right w:val="single" w:sz="4" w:space="0" w:color="auto"/>
            </w:tcBorders>
            <w:shd w:val="clear" w:color="auto" w:fill="auto"/>
            <w:noWrap/>
            <w:vAlign w:val="bottom"/>
            <w:hideMark/>
          </w:tcPr>
          <w:p w14:paraId="3F28CC72" w14:textId="34EBAF94"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475</w:t>
            </w:r>
          </w:p>
        </w:tc>
        <w:tc>
          <w:tcPr>
            <w:tcW w:w="1197" w:type="dxa"/>
            <w:tcBorders>
              <w:top w:val="nil"/>
              <w:left w:val="nil"/>
              <w:bottom w:val="single" w:sz="4" w:space="0" w:color="auto"/>
              <w:right w:val="single" w:sz="4" w:space="0" w:color="auto"/>
            </w:tcBorders>
            <w:shd w:val="clear" w:color="auto" w:fill="auto"/>
            <w:noWrap/>
            <w:vAlign w:val="bottom"/>
            <w:hideMark/>
          </w:tcPr>
          <w:p w14:paraId="1B3801D1" w14:textId="136A8783"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576</w:t>
            </w:r>
          </w:p>
        </w:tc>
        <w:tc>
          <w:tcPr>
            <w:tcW w:w="1197" w:type="dxa"/>
            <w:tcBorders>
              <w:top w:val="nil"/>
              <w:left w:val="nil"/>
              <w:bottom w:val="single" w:sz="4" w:space="0" w:color="auto"/>
              <w:right w:val="single" w:sz="4" w:space="0" w:color="auto"/>
            </w:tcBorders>
            <w:shd w:val="clear" w:color="auto" w:fill="auto"/>
            <w:noWrap/>
            <w:vAlign w:val="bottom"/>
            <w:hideMark/>
          </w:tcPr>
          <w:p w14:paraId="4EAA5E94" w14:textId="0A7EC20A"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821</w:t>
            </w:r>
          </w:p>
        </w:tc>
        <w:tc>
          <w:tcPr>
            <w:tcW w:w="1198" w:type="dxa"/>
            <w:tcBorders>
              <w:top w:val="nil"/>
              <w:left w:val="nil"/>
              <w:bottom w:val="single" w:sz="4" w:space="0" w:color="auto"/>
              <w:right w:val="single" w:sz="4" w:space="0" w:color="auto"/>
            </w:tcBorders>
            <w:shd w:val="clear" w:color="auto" w:fill="auto"/>
            <w:noWrap/>
            <w:vAlign w:val="bottom"/>
            <w:hideMark/>
          </w:tcPr>
          <w:p w14:paraId="78FB41AF" w14:textId="77777777" w:rsidR="00362076" w:rsidRPr="00754502" w:rsidRDefault="00D33E32" w:rsidP="00D33E32">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362076" w:rsidRPr="00754502" w14:paraId="0F534D67" w14:textId="77777777" w:rsidTr="00BA014C">
        <w:trPr>
          <w:cantSplit/>
          <w:trHeight w:val="262"/>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4312A56C" w14:textId="77777777" w:rsidR="00362076" w:rsidRPr="00754502" w:rsidRDefault="00362076" w:rsidP="00D33E32">
            <w:pPr>
              <w:spacing w:after="0" w:line="240" w:lineRule="auto"/>
              <w:rPr>
                <w:rFonts w:ascii="Calibri" w:eastAsia="Times New Roman" w:hAnsi="Calibri" w:cs="Calibri"/>
                <w:color w:val="000000"/>
              </w:rPr>
            </w:pPr>
            <w:r w:rsidRPr="00754502">
              <w:rPr>
                <w:rFonts w:ascii="Calibri" w:eastAsia="Times New Roman" w:hAnsi="Calibri" w:cs="Calibri"/>
                <w:color w:val="000000"/>
              </w:rPr>
              <w:t>December</w:t>
            </w:r>
          </w:p>
        </w:tc>
        <w:tc>
          <w:tcPr>
            <w:tcW w:w="1252" w:type="dxa"/>
            <w:tcBorders>
              <w:top w:val="nil"/>
              <w:left w:val="nil"/>
              <w:bottom w:val="single" w:sz="4" w:space="0" w:color="auto"/>
              <w:right w:val="single" w:sz="4" w:space="0" w:color="auto"/>
            </w:tcBorders>
            <w:shd w:val="clear" w:color="auto" w:fill="auto"/>
            <w:noWrap/>
            <w:vAlign w:val="bottom"/>
            <w:hideMark/>
          </w:tcPr>
          <w:p w14:paraId="3D60EDB6" w14:textId="50BB8FE4"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453</w:t>
            </w:r>
          </w:p>
        </w:tc>
        <w:tc>
          <w:tcPr>
            <w:tcW w:w="1197" w:type="dxa"/>
            <w:tcBorders>
              <w:top w:val="nil"/>
              <w:left w:val="nil"/>
              <w:bottom w:val="single" w:sz="4" w:space="0" w:color="auto"/>
              <w:right w:val="single" w:sz="4" w:space="0" w:color="auto"/>
            </w:tcBorders>
            <w:shd w:val="clear" w:color="auto" w:fill="auto"/>
            <w:noWrap/>
            <w:vAlign w:val="bottom"/>
            <w:hideMark/>
          </w:tcPr>
          <w:p w14:paraId="4A8C31EA" w14:textId="54C08BA2"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609</w:t>
            </w:r>
          </w:p>
        </w:tc>
        <w:tc>
          <w:tcPr>
            <w:tcW w:w="1197" w:type="dxa"/>
            <w:tcBorders>
              <w:top w:val="nil"/>
              <w:left w:val="nil"/>
              <w:bottom w:val="single" w:sz="4" w:space="0" w:color="auto"/>
              <w:right w:val="single" w:sz="4" w:space="0" w:color="auto"/>
            </w:tcBorders>
            <w:shd w:val="clear" w:color="auto" w:fill="auto"/>
            <w:noWrap/>
            <w:vAlign w:val="bottom"/>
            <w:hideMark/>
          </w:tcPr>
          <w:p w14:paraId="7F63ACD4" w14:textId="3BE69D4D" w:rsidR="00362076" w:rsidRPr="00754502" w:rsidRDefault="00362076" w:rsidP="00D33E32">
            <w:pPr>
              <w:spacing w:after="0" w:line="240" w:lineRule="auto"/>
              <w:jc w:val="right"/>
              <w:rPr>
                <w:rFonts w:ascii="Calibri" w:eastAsia="Times New Roman" w:hAnsi="Calibri" w:cs="Calibri"/>
                <w:color w:val="000000"/>
              </w:rPr>
            </w:pPr>
            <w:r w:rsidRPr="00754502">
              <w:rPr>
                <w:rFonts w:ascii="Calibri" w:eastAsia="Times New Roman" w:hAnsi="Calibri" w:cs="Calibri"/>
                <w:color w:val="000000"/>
              </w:rPr>
              <w:t>1</w:t>
            </w:r>
            <w:r w:rsidR="00116397">
              <w:rPr>
                <w:rFonts w:ascii="Calibri" w:eastAsia="Times New Roman" w:hAnsi="Calibri" w:cs="Calibri"/>
                <w:color w:val="000000"/>
              </w:rPr>
              <w:t>,</w:t>
            </w:r>
            <w:r w:rsidRPr="00754502">
              <w:rPr>
                <w:rFonts w:ascii="Calibri" w:eastAsia="Times New Roman" w:hAnsi="Calibri" w:cs="Calibri"/>
                <w:color w:val="000000"/>
              </w:rPr>
              <w:t>870</w:t>
            </w:r>
          </w:p>
        </w:tc>
        <w:tc>
          <w:tcPr>
            <w:tcW w:w="1198" w:type="dxa"/>
            <w:tcBorders>
              <w:top w:val="nil"/>
              <w:left w:val="nil"/>
              <w:bottom w:val="single" w:sz="4" w:space="0" w:color="auto"/>
              <w:right w:val="single" w:sz="4" w:space="0" w:color="auto"/>
            </w:tcBorders>
            <w:shd w:val="clear" w:color="auto" w:fill="auto"/>
            <w:noWrap/>
            <w:vAlign w:val="bottom"/>
            <w:hideMark/>
          </w:tcPr>
          <w:p w14:paraId="2DEA4484" w14:textId="77777777" w:rsidR="00362076" w:rsidRPr="00754502" w:rsidRDefault="00D33E32" w:rsidP="00D33E32">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362076" w:rsidRPr="00754502" w14:paraId="5E0E47EB" w14:textId="77777777" w:rsidTr="00BA014C">
        <w:trPr>
          <w:cantSplit/>
          <w:trHeight w:val="262"/>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09CD2CE8" w14:textId="77777777" w:rsidR="00362076" w:rsidRPr="00116397" w:rsidRDefault="00362076" w:rsidP="00D33E32">
            <w:pPr>
              <w:spacing w:after="0" w:line="240" w:lineRule="auto"/>
              <w:rPr>
                <w:rFonts w:ascii="Calibri" w:eastAsia="Times New Roman" w:hAnsi="Calibri" w:cs="Calibri"/>
                <w:b/>
                <w:bCs/>
                <w:color w:val="000000"/>
              </w:rPr>
            </w:pPr>
            <w:r w:rsidRPr="00116397">
              <w:rPr>
                <w:rFonts w:ascii="Calibri" w:eastAsia="Times New Roman" w:hAnsi="Calibri" w:cs="Calibri"/>
                <w:b/>
                <w:bCs/>
                <w:color w:val="000000"/>
              </w:rPr>
              <w:t>Total</w:t>
            </w:r>
          </w:p>
        </w:tc>
        <w:tc>
          <w:tcPr>
            <w:tcW w:w="1252" w:type="dxa"/>
            <w:tcBorders>
              <w:top w:val="nil"/>
              <w:left w:val="nil"/>
              <w:bottom w:val="single" w:sz="4" w:space="0" w:color="auto"/>
              <w:right w:val="single" w:sz="4" w:space="0" w:color="auto"/>
            </w:tcBorders>
            <w:shd w:val="clear" w:color="auto" w:fill="auto"/>
            <w:noWrap/>
            <w:vAlign w:val="bottom"/>
            <w:hideMark/>
          </w:tcPr>
          <w:p w14:paraId="1F407482" w14:textId="468BF079" w:rsidR="00362076" w:rsidRPr="00116397" w:rsidRDefault="00362076" w:rsidP="00D33E32">
            <w:pPr>
              <w:spacing w:after="0" w:line="240" w:lineRule="auto"/>
              <w:jc w:val="right"/>
              <w:rPr>
                <w:rFonts w:ascii="Calibri" w:eastAsia="Times New Roman" w:hAnsi="Calibri" w:cs="Calibri"/>
                <w:b/>
                <w:bCs/>
                <w:color w:val="000000"/>
              </w:rPr>
            </w:pPr>
            <w:r w:rsidRPr="00116397">
              <w:rPr>
                <w:rFonts w:ascii="Calibri" w:eastAsia="Times New Roman" w:hAnsi="Calibri" w:cs="Calibri"/>
                <w:b/>
                <w:bCs/>
                <w:color w:val="000000"/>
              </w:rPr>
              <w:t>19</w:t>
            </w:r>
            <w:r w:rsidR="00116397">
              <w:rPr>
                <w:rFonts w:ascii="Calibri" w:eastAsia="Times New Roman" w:hAnsi="Calibri" w:cs="Calibri"/>
                <w:b/>
                <w:bCs/>
                <w:color w:val="000000"/>
              </w:rPr>
              <w:t>,</w:t>
            </w:r>
            <w:r w:rsidRPr="00116397">
              <w:rPr>
                <w:rFonts w:ascii="Calibri" w:eastAsia="Times New Roman" w:hAnsi="Calibri" w:cs="Calibri"/>
                <w:b/>
                <w:bCs/>
                <w:color w:val="000000"/>
              </w:rPr>
              <w:t>510</w:t>
            </w:r>
          </w:p>
        </w:tc>
        <w:tc>
          <w:tcPr>
            <w:tcW w:w="1197" w:type="dxa"/>
            <w:tcBorders>
              <w:top w:val="nil"/>
              <w:left w:val="nil"/>
              <w:bottom w:val="single" w:sz="4" w:space="0" w:color="auto"/>
              <w:right w:val="single" w:sz="4" w:space="0" w:color="auto"/>
            </w:tcBorders>
            <w:shd w:val="clear" w:color="auto" w:fill="auto"/>
            <w:noWrap/>
            <w:vAlign w:val="bottom"/>
            <w:hideMark/>
          </w:tcPr>
          <w:p w14:paraId="06C269DC" w14:textId="5FCE9658" w:rsidR="00362076" w:rsidRPr="00116397" w:rsidRDefault="00362076" w:rsidP="00D33E32">
            <w:pPr>
              <w:spacing w:after="0" w:line="240" w:lineRule="auto"/>
              <w:jc w:val="right"/>
              <w:rPr>
                <w:rFonts w:ascii="Calibri" w:eastAsia="Times New Roman" w:hAnsi="Calibri" w:cs="Calibri"/>
                <w:b/>
                <w:bCs/>
                <w:color w:val="000000"/>
              </w:rPr>
            </w:pPr>
            <w:r w:rsidRPr="00116397">
              <w:rPr>
                <w:rFonts w:ascii="Calibri" w:eastAsia="Times New Roman" w:hAnsi="Calibri" w:cs="Calibri"/>
                <w:b/>
                <w:bCs/>
                <w:color w:val="000000"/>
              </w:rPr>
              <w:t>16</w:t>
            </w:r>
            <w:r w:rsidR="00116397">
              <w:rPr>
                <w:rFonts w:ascii="Calibri" w:eastAsia="Times New Roman" w:hAnsi="Calibri" w:cs="Calibri"/>
                <w:b/>
                <w:bCs/>
                <w:color w:val="000000"/>
              </w:rPr>
              <w:t>,</w:t>
            </w:r>
            <w:r w:rsidRPr="00116397">
              <w:rPr>
                <w:rFonts w:ascii="Calibri" w:eastAsia="Times New Roman" w:hAnsi="Calibri" w:cs="Calibri"/>
                <w:b/>
                <w:bCs/>
                <w:color w:val="000000"/>
              </w:rPr>
              <w:t>326</w:t>
            </w:r>
          </w:p>
        </w:tc>
        <w:tc>
          <w:tcPr>
            <w:tcW w:w="1197" w:type="dxa"/>
            <w:tcBorders>
              <w:top w:val="nil"/>
              <w:left w:val="nil"/>
              <w:bottom w:val="single" w:sz="4" w:space="0" w:color="auto"/>
              <w:right w:val="single" w:sz="4" w:space="0" w:color="auto"/>
            </w:tcBorders>
            <w:shd w:val="clear" w:color="auto" w:fill="auto"/>
            <w:noWrap/>
            <w:vAlign w:val="bottom"/>
            <w:hideMark/>
          </w:tcPr>
          <w:p w14:paraId="6B63CD19" w14:textId="192D5822" w:rsidR="00362076" w:rsidRPr="00116397" w:rsidRDefault="00362076" w:rsidP="00D33E32">
            <w:pPr>
              <w:spacing w:after="0" w:line="240" w:lineRule="auto"/>
              <w:jc w:val="right"/>
              <w:rPr>
                <w:rFonts w:ascii="Calibri" w:eastAsia="Times New Roman" w:hAnsi="Calibri" w:cs="Calibri"/>
                <w:b/>
                <w:bCs/>
                <w:color w:val="000000"/>
              </w:rPr>
            </w:pPr>
            <w:r w:rsidRPr="00116397">
              <w:rPr>
                <w:rFonts w:ascii="Calibri" w:eastAsia="Times New Roman" w:hAnsi="Calibri" w:cs="Calibri"/>
                <w:b/>
                <w:bCs/>
                <w:color w:val="000000"/>
              </w:rPr>
              <w:t>19</w:t>
            </w:r>
            <w:r w:rsidR="00116397">
              <w:rPr>
                <w:rFonts w:ascii="Calibri" w:eastAsia="Times New Roman" w:hAnsi="Calibri" w:cs="Calibri"/>
                <w:b/>
                <w:bCs/>
                <w:color w:val="000000"/>
              </w:rPr>
              <w:t>,</w:t>
            </w:r>
            <w:r w:rsidRPr="00116397">
              <w:rPr>
                <w:rFonts w:ascii="Calibri" w:eastAsia="Times New Roman" w:hAnsi="Calibri" w:cs="Calibri"/>
                <w:b/>
                <w:bCs/>
                <w:color w:val="000000"/>
              </w:rPr>
              <w:t>972</w:t>
            </w:r>
          </w:p>
        </w:tc>
        <w:tc>
          <w:tcPr>
            <w:tcW w:w="1198" w:type="dxa"/>
            <w:tcBorders>
              <w:top w:val="nil"/>
              <w:left w:val="nil"/>
              <w:bottom w:val="single" w:sz="4" w:space="0" w:color="auto"/>
              <w:right w:val="single" w:sz="4" w:space="0" w:color="auto"/>
            </w:tcBorders>
            <w:shd w:val="clear" w:color="auto" w:fill="auto"/>
            <w:noWrap/>
            <w:vAlign w:val="bottom"/>
            <w:hideMark/>
          </w:tcPr>
          <w:p w14:paraId="6EC0306A" w14:textId="7B9ADCED" w:rsidR="00362076" w:rsidRPr="00116397" w:rsidRDefault="00362076" w:rsidP="00D33E32">
            <w:pPr>
              <w:spacing w:after="0" w:line="240" w:lineRule="auto"/>
              <w:jc w:val="right"/>
              <w:rPr>
                <w:rFonts w:ascii="Calibri" w:eastAsia="Times New Roman" w:hAnsi="Calibri" w:cs="Calibri"/>
                <w:b/>
                <w:bCs/>
                <w:color w:val="000000"/>
              </w:rPr>
            </w:pPr>
            <w:r w:rsidRPr="00116397">
              <w:rPr>
                <w:rFonts w:ascii="Calibri" w:eastAsia="Times New Roman" w:hAnsi="Calibri" w:cs="Calibri"/>
                <w:b/>
                <w:bCs/>
                <w:color w:val="000000"/>
              </w:rPr>
              <w:t>12</w:t>
            </w:r>
            <w:r w:rsidR="00116397">
              <w:rPr>
                <w:rFonts w:ascii="Calibri" w:eastAsia="Times New Roman" w:hAnsi="Calibri" w:cs="Calibri"/>
                <w:b/>
                <w:bCs/>
                <w:color w:val="000000"/>
              </w:rPr>
              <w:t>,</w:t>
            </w:r>
            <w:r w:rsidRPr="00116397">
              <w:rPr>
                <w:rFonts w:ascii="Calibri" w:eastAsia="Times New Roman" w:hAnsi="Calibri" w:cs="Calibri"/>
                <w:b/>
                <w:bCs/>
                <w:color w:val="000000"/>
              </w:rPr>
              <w:t>857</w:t>
            </w:r>
          </w:p>
        </w:tc>
      </w:tr>
    </w:tbl>
    <w:p w14:paraId="64E9F47C" w14:textId="77777777" w:rsidR="00EC351E" w:rsidRPr="00FB0D19" w:rsidRDefault="00EC351E" w:rsidP="00362076">
      <w:pPr>
        <w:rPr>
          <w:rFonts w:cstheme="minorHAnsi"/>
          <w:sz w:val="12"/>
          <w:szCs w:val="12"/>
        </w:rPr>
      </w:pPr>
    </w:p>
    <w:tbl>
      <w:tblPr>
        <w:tblStyle w:val="TableGrid"/>
        <w:tblW w:w="0" w:type="auto"/>
        <w:tblInd w:w="1525" w:type="dxa"/>
        <w:tblLook w:val="04A0" w:firstRow="1" w:lastRow="0" w:firstColumn="1" w:lastColumn="0" w:noHBand="0" w:noVBand="1"/>
      </w:tblPr>
      <w:tblGrid>
        <w:gridCol w:w="2349"/>
        <w:gridCol w:w="1251"/>
        <w:gridCol w:w="1170"/>
        <w:gridCol w:w="1260"/>
        <w:gridCol w:w="1170"/>
      </w:tblGrid>
      <w:tr w:rsidR="00A11A43" w:rsidRPr="00116397" w14:paraId="246E55D9" w14:textId="77777777" w:rsidTr="00BA014C">
        <w:trPr>
          <w:cantSplit/>
          <w:tblHeader/>
        </w:trPr>
        <w:tc>
          <w:tcPr>
            <w:tcW w:w="7200" w:type="dxa"/>
            <w:gridSpan w:val="5"/>
            <w:shd w:val="clear" w:color="auto" w:fill="DEEAF6" w:themeFill="accent1" w:themeFillTint="33"/>
          </w:tcPr>
          <w:p w14:paraId="7E552B62" w14:textId="77777777" w:rsidR="00A11A43" w:rsidRPr="00116397" w:rsidRDefault="00A11A43" w:rsidP="00A11A43">
            <w:pPr>
              <w:jc w:val="center"/>
              <w:rPr>
                <w:rFonts w:cstheme="minorHAnsi"/>
                <w:b/>
              </w:rPr>
            </w:pPr>
            <w:r w:rsidRPr="00116397">
              <w:rPr>
                <w:rFonts w:cstheme="minorHAnsi"/>
                <w:b/>
              </w:rPr>
              <w:t>Total MRIs performed at Atrius Health</w:t>
            </w:r>
          </w:p>
        </w:tc>
      </w:tr>
      <w:tr w:rsidR="00A11A43" w:rsidRPr="00116397" w14:paraId="6DB0AB87" w14:textId="77777777" w:rsidTr="00BA014C">
        <w:trPr>
          <w:cantSplit/>
          <w:tblHeader/>
        </w:trPr>
        <w:tc>
          <w:tcPr>
            <w:tcW w:w="2349" w:type="dxa"/>
            <w:tcBorders>
              <w:top w:val="nil"/>
              <w:left w:val="single" w:sz="4" w:space="0" w:color="auto"/>
              <w:bottom w:val="single" w:sz="4" w:space="0" w:color="auto"/>
              <w:right w:val="single" w:sz="4" w:space="0" w:color="auto"/>
            </w:tcBorders>
            <w:shd w:val="clear" w:color="auto" w:fill="DEEAF6" w:themeFill="accent1" w:themeFillTint="33"/>
            <w:vAlign w:val="bottom"/>
          </w:tcPr>
          <w:p w14:paraId="37E03A6D" w14:textId="6C577F75" w:rsidR="00A11A43" w:rsidRPr="00116397" w:rsidRDefault="00A11A43" w:rsidP="00A11A43">
            <w:pPr>
              <w:rPr>
                <w:rFonts w:ascii="Calibri" w:eastAsia="Times New Roman" w:hAnsi="Calibri" w:cs="Calibri"/>
                <w:b/>
                <w:color w:val="000000"/>
              </w:rPr>
            </w:pPr>
            <w:r w:rsidRPr="00116397">
              <w:rPr>
                <w:rFonts w:ascii="Calibri" w:eastAsia="Times New Roman" w:hAnsi="Calibri" w:cs="Calibri"/>
                <w:b/>
                <w:color w:val="000000"/>
              </w:rPr>
              <w:t> </w:t>
            </w:r>
            <w:r w:rsidR="00116397" w:rsidRPr="00116397">
              <w:rPr>
                <w:rFonts w:ascii="Calibri" w:eastAsia="Times New Roman" w:hAnsi="Calibri" w:cs="Calibri"/>
                <w:b/>
                <w:color w:val="000000"/>
              </w:rPr>
              <w:t>Month</w:t>
            </w:r>
          </w:p>
        </w:tc>
        <w:tc>
          <w:tcPr>
            <w:tcW w:w="1251" w:type="dxa"/>
            <w:tcBorders>
              <w:top w:val="nil"/>
              <w:left w:val="nil"/>
              <w:bottom w:val="single" w:sz="4" w:space="0" w:color="auto"/>
              <w:right w:val="single" w:sz="4" w:space="0" w:color="auto"/>
            </w:tcBorders>
            <w:shd w:val="clear" w:color="auto" w:fill="DEEAF6" w:themeFill="accent1" w:themeFillTint="33"/>
            <w:vAlign w:val="bottom"/>
          </w:tcPr>
          <w:p w14:paraId="302E4436" w14:textId="77777777" w:rsidR="00A11A43" w:rsidRPr="00116397" w:rsidRDefault="00A11A43" w:rsidP="00A11A43">
            <w:pPr>
              <w:jc w:val="right"/>
              <w:rPr>
                <w:rFonts w:ascii="Calibri" w:eastAsia="Times New Roman" w:hAnsi="Calibri" w:cs="Calibri"/>
                <w:b/>
                <w:color w:val="000000"/>
              </w:rPr>
            </w:pPr>
            <w:r w:rsidRPr="00116397">
              <w:rPr>
                <w:rFonts w:ascii="Calibri" w:eastAsia="Times New Roman" w:hAnsi="Calibri" w:cs="Calibri"/>
                <w:b/>
                <w:color w:val="000000"/>
              </w:rPr>
              <w:t>2019</w:t>
            </w:r>
          </w:p>
        </w:tc>
        <w:tc>
          <w:tcPr>
            <w:tcW w:w="1170" w:type="dxa"/>
            <w:tcBorders>
              <w:top w:val="nil"/>
              <w:left w:val="nil"/>
              <w:bottom w:val="single" w:sz="4" w:space="0" w:color="auto"/>
              <w:right w:val="single" w:sz="4" w:space="0" w:color="auto"/>
            </w:tcBorders>
            <w:shd w:val="clear" w:color="auto" w:fill="DEEAF6" w:themeFill="accent1" w:themeFillTint="33"/>
            <w:vAlign w:val="bottom"/>
          </w:tcPr>
          <w:p w14:paraId="79FB9292" w14:textId="77777777" w:rsidR="00A11A43" w:rsidRPr="00116397" w:rsidRDefault="00A11A43" w:rsidP="00A11A43">
            <w:pPr>
              <w:jc w:val="right"/>
              <w:rPr>
                <w:rFonts w:ascii="Calibri" w:eastAsia="Times New Roman" w:hAnsi="Calibri" w:cs="Calibri"/>
                <w:b/>
                <w:color w:val="000000"/>
              </w:rPr>
            </w:pPr>
            <w:r w:rsidRPr="00116397">
              <w:rPr>
                <w:rFonts w:ascii="Calibri" w:eastAsia="Times New Roman" w:hAnsi="Calibri" w:cs="Calibri"/>
                <w:b/>
                <w:color w:val="000000"/>
              </w:rPr>
              <w:t>2020</w:t>
            </w:r>
          </w:p>
        </w:tc>
        <w:tc>
          <w:tcPr>
            <w:tcW w:w="1260" w:type="dxa"/>
            <w:tcBorders>
              <w:top w:val="nil"/>
              <w:left w:val="nil"/>
              <w:bottom w:val="single" w:sz="4" w:space="0" w:color="auto"/>
              <w:right w:val="single" w:sz="4" w:space="0" w:color="auto"/>
            </w:tcBorders>
            <w:shd w:val="clear" w:color="auto" w:fill="DEEAF6" w:themeFill="accent1" w:themeFillTint="33"/>
            <w:vAlign w:val="bottom"/>
          </w:tcPr>
          <w:p w14:paraId="4332EBC4" w14:textId="77777777" w:rsidR="00A11A43" w:rsidRPr="00116397" w:rsidRDefault="00A11A43" w:rsidP="00A11A43">
            <w:pPr>
              <w:jc w:val="right"/>
              <w:rPr>
                <w:rFonts w:ascii="Calibri" w:eastAsia="Times New Roman" w:hAnsi="Calibri" w:cs="Calibri"/>
                <w:b/>
                <w:color w:val="000000"/>
              </w:rPr>
            </w:pPr>
            <w:r w:rsidRPr="00116397">
              <w:rPr>
                <w:rFonts w:ascii="Calibri" w:eastAsia="Times New Roman" w:hAnsi="Calibri" w:cs="Calibri"/>
                <w:b/>
                <w:color w:val="000000"/>
              </w:rPr>
              <w:t>2021</w:t>
            </w:r>
          </w:p>
        </w:tc>
        <w:tc>
          <w:tcPr>
            <w:tcW w:w="1170" w:type="dxa"/>
            <w:tcBorders>
              <w:top w:val="nil"/>
              <w:left w:val="nil"/>
              <w:bottom w:val="single" w:sz="4" w:space="0" w:color="auto"/>
              <w:right w:val="single" w:sz="4" w:space="0" w:color="auto"/>
            </w:tcBorders>
            <w:shd w:val="clear" w:color="auto" w:fill="DEEAF6" w:themeFill="accent1" w:themeFillTint="33"/>
            <w:vAlign w:val="bottom"/>
          </w:tcPr>
          <w:p w14:paraId="138B9A71" w14:textId="77777777" w:rsidR="00A11A43" w:rsidRPr="00116397" w:rsidRDefault="00A11A43" w:rsidP="00A11A43">
            <w:pPr>
              <w:jc w:val="right"/>
              <w:rPr>
                <w:rFonts w:ascii="Calibri" w:eastAsia="Times New Roman" w:hAnsi="Calibri" w:cs="Calibri"/>
                <w:b/>
                <w:color w:val="000000"/>
              </w:rPr>
            </w:pPr>
            <w:r w:rsidRPr="00116397">
              <w:rPr>
                <w:rFonts w:ascii="Calibri" w:eastAsia="Times New Roman" w:hAnsi="Calibri" w:cs="Calibri"/>
                <w:b/>
                <w:color w:val="000000"/>
              </w:rPr>
              <w:t>2022</w:t>
            </w:r>
          </w:p>
        </w:tc>
      </w:tr>
      <w:tr w:rsidR="00A11A43" w14:paraId="39658038" w14:textId="77777777" w:rsidTr="00BA014C">
        <w:trPr>
          <w:cantSplit/>
        </w:trPr>
        <w:tc>
          <w:tcPr>
            <w:tcW w:w="2349" w:type="dxa"/>
            <w:tcBorders>
              <w:top w:val="nil"/>
              <w:left w:val="single" w:sz="4" w:space="0" w:color="auto"/>
              <w:bottom w:val="single" w:sz="4" w:space="0" w:color="auto"/>
              <w:right w:val="single" w:sz="4" w:space="0" w:color="auto"/>
            </w:tcBorders>
            <w:shd w:val="clear" w:color="auto" w:fill="auto"/>
            <w:vAlign w:val="bottom"/>
          </w:tcPr>
          <w:p w14:paraId="2DB14903" w14:textId="77777777" w:rsidR="00A11A43" w:rsidRPr="00575467" w:rsidRDefault="00A11A43" w:rsidP="00A11A43">
            <w:pPr>
              <w:rPr>
                <w:rFonts w:ascii="Calibri" w:eastAsia="Times New Roman" w:hAnsi="Calibri" w:cs="Calibri"/>
                <w:color w:val="000000"/>
              </w:rPr>
            </w:pPr>
            <w:r w:rsidRPr="00575467">
              <w:rPr>
                <w:rFonts w:ascii="Calibri" w:eastAsia="Times New Roman" w:hAnsi="Calibri" w:cs="Calibri"/>
                <w:color w:val="000000"/>
              </w:rPr>
              <w:t>January</w:t>
            </w:r>
          </w:p>
        </w:tc>
        <w:tc>
          <w:tcPr>
            <w:tcW w:w="1251" w:type="dxa"/>
            <w:tcBorders>
              <w:top w:val="nil"/>
              <w:left w:val="nil"/>
              <w:bottom w:val="single" w:sz="4" w:space="0" w:color="auto"/>
              <w:right w:val="single" w:sz="4" w:space="0" w:color="auto"/>
            </w:tcBorders>
            <w:shd w:val="clear" w:color="auto" w:fill="auto"/>
            <w:vAlign w:val="bottom"/>
          </w:tcPr>
          <w:p w14:paraId="054AD262" w14:textId="73C19394"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111</w:t>
            </w:r>
          </w:p>
        </w:tc>
        <w:tc>
          <w:tcPr>
            <w:tcW w:w="1170" w:type="dxa"/>
            <w:tcBorders>
              <w:top w:val="nil"/>
              <w:left w:val="nil"/>
              <w:bottom w:val="single" w:sz="4" w:space="0" w:color="auto"/>
              <w:right w:val="single" w:sz="4" w:space="0" w:color="auto"/>
            </w:tcBorders>
            <w:shd w:val="clear" w:color="auto" w:fill="auto"/>
            <w:vAlign w:val="bottom"/>
          </w:tcPr>
          <w:p w14:paraId="2275A85C" w14:textId="1D6AEE07"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969</w:t>
            </w:r>
          </w:p>
        </w:tc>
        <w:tc>
          <w:tcPr>
            <w:tcW w:w="1260" w:type="dxa"/>
            <w:tcBorders>
              <w:top w:val="nil"/>
              <w:left w:val="nil"/>
              <w:bottom w:val="single" w:sz="4" w:space="0" w:color="auto"/>
              <w:right w:val="single" w:sz="4" w:space="0" w:color="auto"/>
            </w:tcBorders>
            <w:shd w:val="clear" w:color="auto" w:fill="auto"/>
            <w:vAlign w:val="bottom"/>
          </w:tcPr>
          <w:p w14:paraId="16C89216" w14:textId="2A3A41DC"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077</w:t>
            </w:r>
          </w:p>
        </w:tc>
        <w:tc>
          <w:tcPr>
            <w:tcW w:w="1170" w:type="dxa"/>
            <w:tcBorders>
              <w:top w:val="nil"/>
              <w:left w:val="nil"/>
              <w:bottom w:val="single" w:sz="4" w:space="0" w:color="auto"/>
              <w:right w:val="single" w:sz="4" w:space="0" w:color="auto"/>
            </w:tcBorders>
            <w:shd w:val="clear" w:color="auto" w:fill="auto"/>
            <w:vAlign w:val="bottom"/>
          </w:tcPr>
          <w:p w14:paraId="27992678" w14:textId="5E25D5A1"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869</w:t>
            </w:r>
          </w:p>
        </w:tc>
      </w:tr>
      <w:tr w:rsidR="00A11A43" w14:paraId="401C657E" w14:textId="77777777" w:rsidTr="00BA014C">
        <w:trPr>
          <w:cantSplit/>
        </w:trPr>
        <w:tc>
          <w:tcPr>
            <w:tcW w:w="2349" w:type="dxa"/>
            <w:tcBorders>
              <w:top w:val="nil"/>
              <w:left w:val="single" w:sz="4" w:space="0" w:color="auto"/>
              <w:bottom w:val="single" w:sz="4" w:space="0" w:color="auto"/>
              <w:right w:val="single" w:sz="4" w:space="0" w:color="auto"/>
            </w:tcBorders>
            <w:shd w:val="clear" w:color="auto" w:fill="auto"/>
            <w:vAlign w:val="bottom"/>
          </w:tcPr>
          <w:p w14:paraId="05F4A7C8" w14:textId="77777777" w:rsidR="00A11A43" w:rsidRPr="00575467" w:rsidRDefault="00A11A43" w:rsidP="00A11A43">
            <w:pPr>
              <w:rPr>
                <w:rFonts w:ascii="Calibri" w:eastAsia="Times New Roman" w:hAnsi="Calibri" w:cs="Calibri"/>
                <w:color w:val="000000"/>
              </w:rPr>
            </w:pPr>
            <w:r w:rsidRPr="00575467">
              <w:rPr>
                <w:rFonts w:ascii="Calibri" w:eastAsia="Times New Roman" w:hAnsi="Calibri" w:cs="Calibri"/>
                <w:color w:val="000000"/>
              </w:rPr>
              <w:t>February</w:t>
            </w:r>
          </w:p>
        </w:tc>
        <w:tc>
          <w:tcPr>
            <w:tcW w:w="1251" w:type="dxa"/>
            <w:tcBorders>
              <w:top w:val="nil"/>
              <w:left w:val="nil"/>
              <w:bottom w:val="single" w:sz="4" w:space="0" w:color="auto"/>
              <w:right w:val="single" w:sz="4" w:space="0" w:color="auto"/>
            </w:tcBorders>
            <w:shd w:val="clear" w:color="auto" w:fill="auto"/>
            <w:vAlign w:val="bottom"/>
          </w:tcPr>
          <w:p w14:paraId="15D5696B" w14:textId="64477A24"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929</w:t>
            </w:r>
          </w:p>
        </w:tc>
        <w:tc>
          <w:tcPr>
            <w:tcW w:w="1170" w:type="dxa"/>
            <w:tcBorders>
              <w:top w:val="nil"/>
              <w:left w:val="nil"/>
              <w:bottom w:val="single" w:sz="4" w:space="0" w:color="auto"/>
              <w:right w:val="single" w:sz="4" w:space="0" w:color="auto"/>
            </w:tcBorders>
            <w:shd w:val="clear" w:color="auto" w:fill="auto"/>
            <w:vAlign w:val="bottom"/>
          </w:tcPr>
          <w:p w14:paraId="3739E578" w14:textId="7F593C4A"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074</w:t>
            </w:r>
          </w:p>
        </w:tc>
        <w:tc>
          <w:tcPr>
            <w:tcW w:w="1260" w:type="dxa"/>
            <w:tcBorders>
              <w:top w:val="nil"/>
              <w:left w:val="nil"/>
              <w:bottom w:val="single" w:sz="4" w:space="0" w:color="auto"/>
              <w:right w:val="single" w:sz="4" w:space="0" w:color="auto"/>
            </w:tcBorders>
            <w:shd w:val="clear" w:color="auto" w:fill="auto"/>
            <w:vAlign w:val="bottom"/>
          </w:tcPr>
          <w:p w14:paraId="4324FDE4" w14:textId="17FD5B0F"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864</w:t>
            </w:r>
          </w:p>
        </w:tc>
        <w:tc>
          <w:tcPr>
            <w:tcW w:w="1170" w:type="dxa"/>
            <w:tcBorders>
              <w:top w:val="nil"/>
              <w:left w:val="nil"/>
              <w:bottom w:val="single" w:sz="4" w:space="0" w:color="auto"/>
              <w:right w:val="single" w:sz="4" w:space="0" w:color="auto"/>
            </w:tcBorders>
            <w:shd w:val="clear" w:color="auto" w:fill="auto"/>
            <w:vAlign w:val="bottom"/>
          </w:tcPr>
          <w:p w14:paraId="7D2CF0BC" w14:textId="1C4D5796"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847</w:t>
            </w:r>
          </w:p>
        </w:tc>
      </w:tr>
      <w:tr w:rsidR="00A11A43" w14:paraId="02606631" w14:textId="77777777" w:rsidTr="00BA014C">
        <w:trPr>
          <w:cantSplit/>
        </w:trPr>
        <w:tc>
          <w:tcPr>
            <w:tcW w:w="2349" w:type="dxa"/>
            <w:tcBorders>
              <w:top w:val="nil"/>
              <w:left w:val="single" w:sz="4" w:space="0" w:color="auto"/>
              <w:bottom w:val="single" w:sz="4" w:space="0" w:color="auto"/>
              <w:right w:val="single" w:sz="4" w:space="0" w:color="auto"/>
            </w:tcBorders>
            <w:shd w:val="clear" w:color="auto" w:fill="auto"/>
            <w:vAlign w:val="bottom"/>
          </w:tcPr>
          <w:p w14:paraId="1C6E5CBB" w14:textId="77777777" w:rsidR="00A11A43" w:rsidRPr="00575467" w:rsidRDefault="00A11A43" w:rsidP="00A11A43">
            <w:pPr>
              <w:rPr>
                <w:rFonts w:ascii="Calibri" w:eastAsia="Times New Roman" w:hAnsi="Calibri" w:cs="Calibri"/>
                <w:color w:val="000000"/>
              </w:rPr>
            </w:pPr>
            <w:r w:rsidRPr="00575467">
              <w:rPr>
                <w:rFonts w:ascii="Calibri" w:eastAsia="Times New Roman" w:hAnsi="Calibri" w:cs="Calibri"/>
                <w:color w:val="000000"/>
              </w:rPr>
              <w:t>March</w:t>
            </w:r>
          </w:p>
        </w:tc>
        <w:tc>
          <w:tcPr>
            <w:tcW w:w="1251" w:type="dxa"/>
            <w:tcBorders>
              <w:top w:val="nil"/>
              <w:left w:val="nil"/>
              <w:bottom w:val="single" w:sz="4" w:space="0" w:color="auto"/>
              <w:right w:val="single" w:sz="4" w:space="0" w:color="auto"/>
            </w:tcBorders>
            <w:shd w:val="clear" w:color="auto" w:fill="auto"/>
            <w:vAlign w:val="bottom"/>
          </w:tcPr>
          <w:p w14:paraId="50E83020" w14:textId="2525AE24"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231</w:t>
            </w:r>
          </w:p>
        </w:tc>
        <w:tc>
          <w:tcPr>
            <w:tcW w:w="1170" w:type="dxa"/>
            <w:tcBorders>
              <w:top w:val="nil"/>
              <w:left w:val="nil"/>
              <w:bottom w:val="single" w:sz="4" w:space="0" w:color="auto"/>
              <w:right w:val="single" w:sz="4" w:space="0" w:color="auto"/>
            </w:tcBorders>
            <w:shd w:val="clear" w:color="auto" w:fill="auto"/>
            <w:vAlign w:val="bottom"/>
          </w:tcPr>
          <w:p w14:paraId="768B0C52" w14:textId="18D35B10"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556</w:t>
            </w:r>
          </w:p>
        </w:tc>
        <w:tc>
          <w:tcPr>
            <w:tcW w:w="1260" w:type="dxa"/>
            <w:tcBorders>
              <w:top w:val="nil"/>
              <w:left w:val="nil"/>
              <w:bottom w:val="single" w:sz="4" w:space="0" w:color="auto"/>
              <w:right w:val="single" w:sz="4" w:space="0" w:color="auto"/>
            </w:tcBorders>
            <w:shd w:val="clear" w:color="auto" w:fill="auto"/>
            <w:vAlign w:val="bottom"/>
          </w:tcPr>
          <w:p w14:paraId="4F6497AE" w14:textId="6D9B0286"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163</w:t>
            </w:r>
          </w:p>
        </w:tc>
        <w:tc>
          <w:tcPr>
            <w:tcW w:w="1170" w:type="dxa"/>
            <w:tcBorders>
              <w:top w:val="nil"/>
              <w:left w:val="nil"/>
              <w:bottom w:val="single" w:sz="4" w:space="0" w:color="auto"/>
              <w:right w:val="single" w:sz="4" w:space="0" w:color="auto"/>
            </w:tcBorders>
            <w:shd w:val="clear" w:color="auto" w:fill="auto"/>
            <w:vAlign w:val="bottom"/>
          </w:tcPr>
          <w:p w14:paraId="611BCBA5" w14:textId="2CCF005A"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263</w:t>
            </w:r>
          </w:p>
        </w:tc>
      </w:tr>
      <w:tr w:rsidR="00A11A43" w14:paraId="06E83409" w14:textId="77777777" w:rsidTr="00BA014C">
        <w:trPr>
          <w:cantSplit/>
        </w:trPr>
        <w:tc>
          <w:tcPr>
            <w:tcW w:w="2349" w:type="dxa"/>
            <w:tcBorders>
              <w:top w:val="nil"/>
              <w:left w:val="single" w:sz="4" w:space="0" w:color="auto"/>
              <w:bottom w:val="single" w:sz="4" w:space="0" w:color="auto"/>
              <w:right w:val="single" w:sz="4" w:space="0" w:color="auto"/>
            </w:tcBorders>
            <w:shd w:val="clear" w:color="auto" w:fill="auto"/>
            <w:vAlign w:val="bottom"/>
          </w:tcPr>
          <w:p w14:paraId="473D12D5" w14:textId="77777777" w:rsidR="00A11A43" w:rsidRPr="00575467" w:rsidRDefault="00A11A43" w:rsidP="00A11A43">
            <w:pPr>
              <w:rPr>
                <w:rFonts w:ascii="Calibri" w:eastAsia="Times New Roman" w:hAnsi="Calibri" w:cs="Calibri"/>
                <w:color w:val="000000"/>
              </w:rPr>
            </w:pPr>
            <w:r w:rsidRPr="00575467">
              <w:rPr>
                <w:rFonts w:ascii="Calibri" w:eastAsia="Times New Roman" w:hAnsi="Calibri" w:cs="Calibri"/>
                <w:color w:val="000000"/>
              </w:rPr>
              <w:t>April</w:t>
            </w:r>
          </w:p>
        </w:tc>
        <w:tc>
          <w:tcPr>
            <w:tcW w:w="1251" w:type="dxa"/>
            <w:tcBorders>
              <w:top w:val="nil"/>
              <w:left w:val="nil"/>
              <w:bottom w:val="single" w:sz="4" w:space="0" w:color="auto"/>
              <w:right w:val="single" w:sz="4" w:space="0" w:color="auto"/>
            </w:tcBorders>
            <w:shd w:val="clear" w:color="auto" w:fill="auto"/>
            <w:vAlign w:val="bottom"/>
          </w:tcPr>
          <w:p w14:paraId="0D085598" w14:textId="3196669B"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119</w:t>
            </w:r>
          </w:p>
        </w:tc>
        <w:tc>
          <w:tcPr>
            <w:tcW w:w="1170" w:type="dxa"/>
            <w:tcBorders>
              <w:top w:val="nil"/>
              <w:left w:val="nil"/>
              <w:bottom w:val="single" w:sz="4" w:space="0" w:color="auto"/>
              <w:right w:val="single" w:sz="4" w:space="0" w:color="auto"/>
            </w:tcBorders>
            <w:shd w:val="clear" w:color="auto" w:fill="auto"/>
            <w:vAlign w:val="bottom"/>
          </w:tcPr>
          <w:p w14:paraId="13C85507" w14:textId="77777777"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420</w:t>
            </w:r>
          </w:p>
        </w:tc>
        <w:tc>
          <w:tcPr>
            <w:tcW w:w="1260" w:type="dxa"/>
            <w:tcBorders>
              <w:top w:val="nil"/>
              <w:left w:val="nil"/>
              <w:bottom w:val="single" w:sz="4" w:space="0" w:color="auto"/>
              <w:right w:val="single" w:sz="4" w:space="0" w:color="auto"/>
            </w:tcBorders>
            <w:shd w:val="clear" w:color="auto" w:fill="auto"/>
            <w:vAlign w:val="bottom"/>
          </w:tcPr>
          <w:p w14:paraId="0772B8DA" w14:textId="6EBCB1BB"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036</w:t>
            </w:r>
          </w:p>
        </w:tc>
        <w:tc>
          <w:tcPr>
            <w:tcW w:w="1170" w:type="dxa"/>
            <w:tcBorders>
              <w:top w:val="nil"/>
              <w:left w:val="nil"/>
              <w:bottom w:val="single" w:sz="4" w:space="0" w:color="auto"/>
              <w:right w:val="single" w:sz="4" w:space="0" w:color="auto"/>
            </w:tcBorders>
            <w:shd w:val="clear" w:color="auto" w:fill="auto"/>
            <w:vAlign w:val="bottom"/>
          </w:tcPr>
          <w:p w14:paraId="572A255D" w14:textId="5157B531"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993</w:t>
            </w:r>
          </w:p>
        </w:tc>
      </w:tr>
      <w:tr w:rsidR="00A11A43" w14:paraId="2E20B448" w14:textId="77777777" w:rsidTr="00BA014C">
        <w:trPr>
          <w:cantSplit/>
        </w:trPr>
        <w:tc>
          <w:tcPr>
            <w:tcW w:w="2349" w:type="dxa"/>
            <w:tcBorders>
              <w:top w:val="nil"/>
              <w:left w:val="single" w:sz="4" w:space="0" w:color="auto"/>
              <w:bottom w:val="single" w:sz="4" w:space="0" w:color="auto"/>
              <w:right w:val="single" w:sz="4" w:space="0" w:color="auto"/>
            </w:tcBorders>
            <w:shd w:val="clear" w:color="auto" w:fill="auto"/>
            <w:vAlign w:val="bottom"/>
          </w:tcPr>
          <w:p w14:paraId="1520E92E" w14:textId="77777777" w:rsidR="00A11A43" w:rsidRPr="00575467" w:rsidRDefault="00A11A43" w:rsidP="00A11A43">
            <w:pPr>
              <w:rPr>
                <w:rFonts w:ascii="Calibri" w:eastAsia="Times New Roman" w:hAnsi="Calibri" w:cs="Calibri"/>
                <w:color w:val="000000"/>
              </w:rPr>
            </w:pPr>
            <w:r w:rsidRPr="00575467">
              <w:rPr>
                <w:rFonts w:ascii="Calibri" w:eastAsia="Times New Roman" w:hAnsi="Calibri" w:cs="Calibri"/>
                <w:color w:val="000000"/>
              </w:rPr>
              <w:t>May</w:t>
            </w:r>
          </w:p>
        </w:tc>
        <w:tc>
          <w:tcPr>
            <w:tcW w:w="1251" w:type="dxa"/>
            <w:tcBorders>
              <w:top w:val="nil"/>
              <w:left w:val="nil"/>
              <w:bottom w:val="single" w:sz="4" w:space="0" w:color="auto"/>
              <w:right w:val="single" w:sz="4" w:space="0" w:color="auto"/>
            </w:tcBorders>
            <w:shd w:val="clear" w:color="auto" w:fill="auto"/>
            <w:vAlign w:val="bottom"/>
          </w:tcPr>
          <w:p w14:paraId="2A9E4E1F" w14:textId="71EB25BE"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246</w:t>
            </w:r>
          </w:p>
        </w:tc>
        <w:tc>
          <w:tcPr>
            <w:tcW w:w="1170" w:type="dxa"/>
            <w:tcBorders>
              <w:top w:val="nil"/>
              <w:left w:val="nil"/>
              <w:bottom w:val="single" w:sz="4" w:space="0" w:color="auto"/>
              <w:right w:val="single" w:sz="4" w:space="0" w:color="auto"/>
            </w:tcBorders>
            <w:shd w:val="clear" w:color="auto" w:fill="auto"/>
            <w:vAlign w:val="bottom"/>
          </w:tcPr>
          <w:p w14:paraId="1627CEE2" w14:textId="77777777"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804</w:t>
            </w:r>
          </w:p>
        </w:tc>
        <w:tc>
          <w:tcPr>
            <w:tcW w:w="1260" w:type="dxa"/>
            <w:tcBorders>
              <w:top w:val="nil"/>
              <w:left w:val="nil"/>
              <w:bottom w:val="single" w:sz="4" w:space="0" w:color="auto"/>
              <w:right w:val="single" w:sz="4" w:space="0" w:color="auto"/>
            </w:tcBorders>
            <w:shd w:val="clear" w:color="auto" w:fill="auto"/>
            <w:vAlign w:val="bottom"/>
          </w:tcPr>
          <w:p w14:paraId="103882DB" w14:textId="57FB583B"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178</w:t>
            </w:r>
          </w:p>
        </w:tc>
        <w:tc>
          <w:tcPr>
            <w:tcW w:w="1170" w:type="dxa"/>
            <w:tcBorders>
              <w:top w:val="nil"/>
              <w:left w:val="nil"/>
              <w:bottom w:val="single" w:sz="4" w:space="0" w:color="auto"/>
              <w:right w:val="single" w:sz="4" w:space="0" w:color="auto"/>
            </w:tcBorders>
            <w:shd w:val="clear" w:color="auto" w:fill="auto"/>
            <w:vAlign w:val="bottom"/>
          </w:tcPr>
          <w:p w14:paraId="6300BB5C" w14:textId="28F16FB8"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166</w:t>
            </w:r>
          </w:p>
        </w:tc>
      </w:tr>
      <w:tr w:rsidR="00A11A43" w14:paraId="4B7386E9" w14:textId="77777777" w:rsidTr="00BA014C">
        <w:trPr>
          <w:cantSplit/>
        </w:trPr>
        <w:tc>
          <w:tcPr>
            <w:tcW w:w="2349" w:type="dxa"/>
            <w:tcBorders>
              <w:top w:val="nil"/>
              <w:left w:val="single" w:sz="4" w:space="0" w:color="auto"/>
              <w:bottom w:val="single" w:sz="4" w:space="0" w:color="auto"/>
              <w:right w:val="single" w:sz="4" w:space="0" w:color="auto"/>
            </w:tcBorders>
            <w:shd w:val="clear" w:color="auto" w:fill="auto"/>
            <w:vAlign w:val="bottom"/>
          </w:tcPr>
          <w:p w14:paraId="37B0EB4C" w14:textId="77777777" w:rsidR="00A11A43" w:rsidRPr="00575467" w:rsidRDefault="00A11A43" w:rsidP="00A11A43">
            <w:pPr>
              <w:rPr>
                <w:rFonts w:ascii="Calibri" w:eastAsia="Times New Roman" w:hAnsi="Calibri" w:cs="Calibri"/>
                <w:color w:val="000000"/>
              </w:rPr>
            </w:pPr>
            <w:r w:rsidRPr="00575467">
              <w:rPr>
                <w:rFonts w:ascii="Calibri" w:eastAsia="Times New Roman" w:hAnsi="Calibri" w:cs="Calibri"/>
                <w:color w:val="000000"/>
              </w:rPr>
              <w:t>June</w:t>
            </w:r>
          </w:p>
        </w:tc>
        <w:tc>
          <w:tcPr>
            <w:tcW w:w="1251" w:type="dxa"/>
            <w:tcBorders>
              <w:top w:val="nil"/>
              <w:left w:val="nil"/>
              <w:bottom w:val="single" w:sz="4" w:space="0" w:color="auto"/>
              <w:right w:val="single" w:sz="4" w:space="0" w:color="auto"/>
            </w:tcBorders>
            <w:shd w:val="clear" w:color="auto" w:fill="auto"/>
            <w:vAlign w:val="bottom"/>
          </w:tcPr>
          <w:p w14:paraId="193FA4D8" w14:textId="6513D744"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209</w:t>
            </w:r>
          </w:p>
        </w:tc>
        <w:tc>
          <w:tcPr>
            <w:tcW w:w="1170" w:type="dxa"/>
            <w:tcBorders>
              <w:top w:val="nil"/>
              <w:left w:val="nil"/>
              <w:bottom w:val="single" w:sz="4" w:space="0" w:color="auto"/>
              <w:right w:val="single" w:sz="4" w:space="0" w:color="auto"/>
            </w:tcBorders>
            <w:shd w:val="clear" w:color="auto" w:fill="auto"/>
            <w:vAlign w:val="bottom"/>
          </w:tcPr>
          <w:p w14:paraId="39A3AAF7" w14:textId="1C58E199"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318</w:t>
            </w:r>
          </w:p>
        </w:tc>
        <w:tc>
          <w:tcPr>
            <w:tcW w:w="1260" w:type="dxa"/>
            <w:tcBorders>
              <w:top w:val="nil"/>
              <w:left w:val="nil"/>
              <w:bottom w:val="single" w:sz="4" w:space="0" w:color="auto"/>
              <w:right w:val="single" w:sz="4" w:space="0" w:color="auto"/>
            </w:tcBorders>
            <w:shd w:val="clear" w:color="auto" w:fill="auto"/>
            <w:vAlign w:val="bottom"/>
          </w:tcPr>
          <w:p w14:paraId="56E29DEC" w14:textId="6074AEAA"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174</w:t>
            </w:r>
          </w:p>
        </w:tc>
        <w:tc>
          <w:tcPr>
            <w:tcW w:w="1170" w:type="dxa"/>
            <w:tcBorders>
              <w:top w:val="nil"/>
              <w:left w:val="nil"/>
              <w:bottom w:val="single" w:sz="4" w:space="0" w:color="auto"/>
              <w:right w:val="single" w:sz="4" w:space="0" w:color="auto"/>
            </w:tcBorders>
            <w:shd w:val="clear" w:color="auto" w:fill="auto"/>
            <w:vAlign w:val="bottom"/>
          </w:tcPr>
          <w:p w14:paraId="4ED1388E" w14:textId="0CD38066"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124</w:t>
            </w:r>
          </w:p>
        </w:tc>
      </w:tr>
      <w:tr w:rsidR="00A11A43" w14:paraId="58FA8FD7" w14:textId="77777777" w:rsidTr="00BA014C">
        <w:trPr>
          <w:cantSplit/>
        </w:trPr>
        <w:tc>
          <w:tcPr>
            <w:tcW w:w="2349" w:type="dxa"/>
            <w:vAlign w:val="bottom"/>
          </w:tcPr>
          <w:p w14:paraId="2A0B84FE" w14:textId="77777777" w:rsidR="00A11A43" w:rsidRPr="00575467" w:rsidRDefault="00A11A43" w:rsidP="00A11A43">
            <w:pPr>
              <w:rPr>
                <w:rFonts w:ascii="Calibri" w:eastAsia="Times New Roman" w:hAnsi="Calibri" w:cs="Calibri"/>
                <w:color w:val="000000"/>
              </w:rPr>
            </w:pPr>
            <w:r w:rsidRPr="00575467">
              <w:rPr>
                <w:rFonts w:ascii="Calibri" w:eastAsia="Times New Roman" w:hAnsi="Calibri" w:cs="Calibri"/>
                <w:color w:val="000000"/>
              </w:rPr>
              <w:t>July</w:t>
            </w:r>
          </w:p>
        </w:tc>
        <w:tc>
          <w:tcPr>
            <w:tcW w:w="1251" w:type="dxa"/>
            <w:vAlign w:val="bottom"/>
          </w:tcPr>
          <w:p w14:paraId="16F9D0C7" w14:textId="4536459D"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193</w:t>
            </w:r>
          </w:p>
        </w:tc>
        <w:tc>
          <w:tcPr>
            <w:tcW w:w="1170" w:type="dxa"/>
            <w:vAlign w:val="bottom"/>
          </w:tcPr>
          <w:p w14:paraId="08CB273B" w14:textId="3E63F91F"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761</w:t>
            </w:r>
          </w:p>
        </w:tc>
        <w:tc>
          <w:tcPr>
            <w:tcW w:w="1260" w:type="dxa"/>
            <w:vAlign w:val="bottom"/>
          </w:tcPr>
          <w:p w14:paraId="74ACBA1A" w14:textId="775DAAC9"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190</w:t>
            </w:r>
          </w:p>
        </w:tc>
        <w:tc>
          <w:tcPr>
            <w:tcW w:w="1170" w:type="dxa"/>
            <w:vAlign w:val="bottom"/>
          </w:tcPr>
          <w:p w14:paraId="216C7614" w14:textId="498BA205"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137</w:t>
            </w:r>
          </w:p>
        </w:tc>
      </w:tr>
      <w:tr w:rsidR="00A11A43" w14:paraId="47A288F2" w14:textId="77777777" w:rsidTr="00BA014C">
        <w:trPr>
          <w:cantSplit/>
        </w:trPr>
        <w:tc>
          <w:tcPr>
            <w:tcW w:w="2349" w:type="dxa"/>
            <w:vAlign w:val="bottom"/>
          </w:tcPr>
          <w:p w14:paraId="1F6D1C40" w14:textId="77777777" w:rsidR="00A11A43" w:rsidRPr="00575467" w:rsidRDefault="00A11A43" w:rsidP="00A11A43">
            <w:pPr>
              <w:rPr>
                <w:rFonts w:ascii="Calibri" w:eastAsia="Times New Roman" w:hAnsi="Calibri" w:cs="Calibri"/>
                <w:color w:val="000000"/>
              </w:rPr>
            </w:pPr>
            <w:r w:rsidRPr="00575467">
              <w:rPr>
                <w:rFonts w:ascii="Calibri" w:eastAsia="Times New Roman" w:hAnsi="Calibri" w:cs="Calibri"/>
                <w:color w:val="000000"/>
              </w:rPr>
              <w:t>August</w:t>
            </w:r>
          </w:p>
        </w:tc>
        <w:tc>
          <w:tcPr>
            <w:tcW w:w="1251" w:type="dxa"/>
            <w:vAlign w:val="bottom"/>
          </w:tcPr>
          <w:p w14:paraId="37E1815E" w14:textId="4E195FD1"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246</w:t>
            </w:r>
          </w:p>
        </w:tc>
        <w:tc>
          <w:tcPr>
            <w:tcW w:w="1170" w:type="dxa"/>
            <w:vAlign w:val="bottom"/>
          </w:tcPr>
          <w:p w14:paraId="612CBCE0" w14:textId="6A0E3714"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889</w:t>
            </w:r>
          </w:p>
        </w:tc>
        <w:tc>
          <w:tcPr>
            <w:tcW w:w="1260" w:type="dxa"/>
            <w:vAlign w:val="bottom"/>
          </w:tcPr>
          <w:p w14:paraId="0C56D364" w14:textId="5F6DEAF6"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113</w:t>
            </w:r>
          </w:p>
        </w:tc>
        <w:tc>
          <w:tcPr>
            <w:tcW w:w="1170" w:type="dxa"/>
            <w:vAlign w:val="bottom"/>
          </w:tcPr>
          <w:p w14:paraId="79F85A06" w14:textId="77777777" w:rsidR="00A11A43" w:rsidRPr="00575467" w:rsidRDefault="00A11A43" w:rsidP="00A11A43">
            <w:pPr>
              <w:jc w:val="right"/>
              <w:rPr>
                <w:rFonts w:ascii="Calibri" w:eastAsia="Times New Roman" w:hAnsi="Calibri" w:cs="Calibri"/>
                <w:color w:val="000000"/>
              </w:rPr>
            </w:pPr>
            <w:r>
              <w:rPr>
                <w:rFonts w:ascii="Calibri" w:eastAsia="Times New Roman" w:hAnsi="Calibri" w:cs="Calibri"/>
                <w:color w:val="000000"/>
              </w:rPr>
              <w:t>--</w:t>
            </w:r>
          </w:p>
        </w:tc>
      </w:tr>
      <w:tr w:rsidR="00A11A43" w14:paraId="356796CC" w14:textId="77777777" w:rsidTr="00BA014C">
        <w:trPr>
          <w:cantSplit/>
        </w:trPr>
        <w:tc>
          <w:tcPr>
            <w:tcW w:w="2349" w:type="dxa"/>
            <w:vAlign w:val="bottom"/>
          </w:tcPr>
          <w:p w14:paraId="416C93FD" w14:textId="77777777" w:rsidR="00A11A43" w:rsidRPr="00575467" w:rsidRDefault="00A11A43" w:rsidP="00A11A43">
            <w:pPr>
              <w:rPr>
                <w:rFonts w:ascii="Calibri" w:eastAsia="Times New Roman" w:hAnsi="Calibri" w:cs="Calibri"/>
                <w:color w:val="000000"/>
              </w:rPr>
            </w:pPr>
            <w:r w:rsidRPr="00575467">
              <w:rPr>
                <w:rFonts w:ascii="Calibri" w:eastAsia="Times New Roman" w:hAnsi="Calibri" w:cs="Calibri"/>
                <w:color w:val="000000"/>
              </w:rPr>
              <w:t>September</w:t>
            </w:r>
          </w:p>
        </w:tc>
        <w:tc>
          <w:tcPr>
            <w:tcW w:w="1251" w:type="dxa"/>
            <w:vAlign w:val="bottom"/>
          </w:tcPr>
          <w:p w14:paraId="7D763636" w14:textId="3E7DAF37"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006</w:t>
            </w:r>
          </w:p>
        </w:tc>
        <w:tc>
          <w:tcPr>
            <w:tcW w:w="1170" w:type="dxa"/>
            <w:vAlign w:val="bottom"/>
          </w:tcPr>
          <w:p w14:paraId="3B0AA5A3" w14:textId="2BE778B3"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837</w:t>
            </w:r>
          </w:p>
        </w:tc>
        <w:tc>
          <w:tcPr>
            <w:tcW w:w="1260" w:type="dxa"/>
            <w:vAlign w:val="bottom"/>
          </w:tcPr>
          <w:p w14:paraId="228126F9" w14:textId="16DBC8A5"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102</w:t>
            </w:r>
          </w:p>
        </w:tc>
        <w:tc>
          <w:tcPr>
            <w:tcW w:w="1170" w:type="dxa"/>
            <w:vAlign w:val="bottom"/>
          </w:tcPr>
          <w:p w14:paraId="4FC0E03E" w14:textId="77777777" w:rsidR="00A11A43" w:rsidRPr="00575467" w:rsidRDefault="00A11A43" w:rsidP="00A11A43">
            <w:pPr>
              <w:jc w:val="right"/>
              <w:rPr>
                <w:rFonts w:ascii="Calibri" w:eastAsia="Times New Roman" w:hAnsi="Calibri" w:cs="Calibri"/>
                <w:color w:val="000000"/>
              </w:rPr>
            </w:pPr>
            <w:r>
              <w:rPr>
                <w:rFonts w:ascii="Calibri" w:eastAsia="Times New Roman" w:hAnsi="Calibri" w:cs="Calibri"/>
                <w:color w:val="000000"/>
              </w:rPr>
              <w:t>--</w:t>
            </w:r>
          </w:p>
        </w:tc>
      </w:tr>
      <w:tr w:rsidR="00A11A43" w14:paraId="24BC2B53" w14:textId="77777777" w:rsidTr="00BA014C">
        <w:trPr>
          <w:cantSplit/>
        </w:trPr>
        <w:tc>
          <w:tcPr>
            <w:tcW w:w="2349" w:type="dxa"/>
            <w:vAlign w:val="bottom"/>
          </w:tcPr>
          <w:p w14:paraId="6210D5A4" w14:textId="77777777" w:rsidR="00A11A43" w:rsidRPr="00575467" w:rsidRDefault="00A11A43" w:rsidP="00A11A43">
            <w:pPr>
              <w:rPr>
                <w:rFonts w:ascii="Calibri" w:eastAsia="Times New Roman" w:hAnsi="Calibri" w:cs="Calibri"/>
                <w:color w:val="000000"/>
              </w:rPr>
            </w:pPr>
            <w:r w:rsidRPr="00575467">
              <w:rPr>
                <w:rFonts w:ascii="Calibri" w:eastAsia="Times New Roman" w:hAnsi="Calibri" w:cs="Calibri"/>
                <w:color w:val="000000"/>
              </w:rPr>
              <w:t>October</w:t>
            </w:r>
          </w:p>
        </w:tc>
        <w:tc>
          <w:tcPr>
            <w:tcW w:w="1251" w:type="dxa"/>
            <w:vAlign w:val="bottom"/>
          </w:tcPr>
          <w:p w14:paraId="3AE0E3FF" w14:textId="76B7A619"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242</w:t>
            </w:r>
          </w:p>
        </w:tc>
        <w:tc>
          <w:tcPr>
            <w:tcW w:w="1170" w:type="dxa"/>
            <w:vAlign w:val="bottom"/>
          </w:tcPr>
          <w:p w14:paraId="60978B4C" w14:textId="02705E8A"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001</w:t>
            </w:r>
          </w:p>
        </w:tc>
        <w:tc>
          <w:tcPr>
            <w:tcW w:w="1260" w:type="dxa"/>
            <w:vAlign w:val="bottom"/>
          </w:tcPr>
          <w:p w14:paraId="30C7BE66" w14:textId="08AD1D4A"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165</w:t>
            </w:r>
          </w:p>
        </w:tc>
        <w:tc>
          <w:tcPr>
            <w:tcW w:w="1170" w:type="dxa"/>
            <w:vAlign w:val="bottom"/>
          </w:tcPr>
          <w:p w14:paraId="79E01615" w14:textId="77777777" w:rsidR="00A11A43" w:rsidRPr="00575467" w:rsidRDefault="00A11A43" w:rsidP="00A11A43">
            <w:pPr>
              <w:jc w:val="right"/>
              <w:rPr>
                <w:rFonts w:ascii="Calibri" w:eastAsia="Times New Roman" w:hAnsi="Calibri" w:cs="Calibri"/>
                <w:color w:val="000000"/>
              </w:rPr>
            </w:pPr>
            <w:r>
              <w:rPr>
                <w:rFonts w:ascii="Calibri" w:eastAsia="Times New Roman" w:hAnsi="Calibri" w:cs="Calibri"/>
                <w:color w:val="000000"/>
              </w:rPr>
              <w:t>--</w:t>
            </w:r>
          </w:p>
        </w:tc>
      </w:tr>
      <w:tr w:rsidR="00A11A43" w14:paraId="5579EA66" w14:textId="77777777" w:rsidTr="00BA014C">
        <w:trPr>
          <w:cantSplit/>
        </w:trPr>
        <w:tc>
          <w:tcPr>
            <w:tcW w:w="2349" w:type="dxa"/>
            <w:vAlign w:val="bottom"/>
          </w:tcPr>
          <w:p w14:paraId="61D6E731" w14:textId="77777777" w:rsidR="00A11A43" w:rsidRPr="00575467" w:rsidRDefault="00A11A43" w:rsidP="00A11A43">
            <w:pPr>
              <w:rPr>
                <w:rFonts w:ascii="Calibri" w:eastAsia="Times New Roman" w:hAnsi="Calibri" w:cs="Calibri"/>
                <w:color w:val="000000"/>
              </w:rPr>
            </w:pPr>
            <w:r w:rsidRPr="00575467">
              <w:rPr>
                <w:rFonts w:ascii="Calibri" w:eastAsia="Times New Roman" w:hAnsi="Calibri" w:cs="Calibri"/>
                <w:color w:val="000000"/>
              </w:rPr>
              <w:t>November</w:t>
            </w:r>
          </w:p>
        </w:tc>
        <w:tc>
          <w:tcPr>
            <w:tcW w:w="1251" w:type="dxa"/>
            <w:vAlign w:val="bottom"/>
          </w:tcPr>
          <w:p w14:paraId="0C702D0D" w14:textId="7E6BF41B"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015</w:t>
            </w:r>
          </w:p>
        </w:tc>
        <w:tc>
          <w:tcPr>
            <w:tcW w:w="1170" w:type="dxa"/>
            <w:vAlign w:val="bottom"/>
          </w:tcPr>
          <w:p w14:paraId="467D14ED" w14:textId="557EF456"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834</w:t>
            </w:r>
          </w:p>
        </w:tc>
        <w:tc>
          <w:tcPr>
            <w:tcW w:w="1260" w:type="dxa"/>
            <w:vAlign w:val="bottom"/>
          </w:tcPr>
          <w:p w14:paraId="4798B3B2" w14:textId="74494DF6"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977</w:t>
            </w:r>
          </w:p>
        </w:tc>
        <w:tc>
          <w:tcPr>
            <w:tcW w:w="1170" w:type="dxa"/>
            <w:vAlign w:val="bottom"/>
          </w:tcPr>
          <w:p w14:paraId="48328735" w14:textId="77777777" w:rsidR="00A11A43" w:rsidRPr="00575467" w:rsidRDefault="00A11A43" w:rsidP="00A11A43">
            <w:pPr>
              <w:jc w:val="right"/>
              <w:rPr>
                <w:rFonts w:ascii="Calibri" w:eastAsia="Times New Roman" w:hAnsi="Calibri" w:cs="Calibri"/>
                <w:color w:val="000000"/>
              </w:rPr>
            </w:pPr>
            <w:r>
              <w:rPr>
                <w:rFonts w:ascii="Calibri" w:eastAsia="Times New Roman" w:hAnsi="Calibri" w:cs="Calibri"/>
                <w:color w:val="000000"/>
              </w:rPr>
              <w:t>--</w:t>
            </w:r>
          </w:p>
        </w:tc>
      </w:tr>
      <w:tr w:rsidR="00A11A43" w14:paraId="281BDA73" w14:textId="77777777" w:rsidTr="00BA014C">
        <w:trPr>
          <w:cantSplit/>
        </w:trPr>
        <w:tc>
          <w:tcPr>
            <w:tcW w:w="2349" w:type="dxa"/>
            <w:vAlign w:val="bottom"/>
          </w:tcPr>
          <w:p w14:paraId="41222558" w14:textId="77777777" w:rsidR="00A11A43" w:rsidRPr="00575467" w:rsidRDefault="00A11A43" w:rsidP="00A11A43">
            <w:pPr>
              <w:rPr>
                <w:rFonts w:ascii="Calibri" w:eastAsia="Times New Roman" w:hAnsi="Calibri" w:cs="Calibri"/>
                <w:color w:val="000000"/>
              </w:rPr>
            </w:pPr>
            <w:r w:rsidRPr="00575467">
              <w:rPr>
                <w:rFonts w:ascii="Calibri" w:eastAsia="Times New Roman" w:hAnsi="Calibri" w:cs="Calibri"/>
                <w:color w:val="000000"/>
              </w:rPr>
              <w:t>December</w:t>
            </w:r>
          </w:p>
        </w:tc>
        <w:tc>
          <w:tcPr>
            <w:tcW w:w="1251" w:type="dxa"/>
            <w:vAlign w:val="bottom"/>
          </w:tcPr>
          <w:p w14:paraId="55FF7616" w14:textId="0E80A6B9"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2</w:t>
            </w:r>
            <w:r w:rsidR="00116397">
              <w:rPr>
                <w:rFonts w:ascii="Calibri" w:eastAsia="Times New Roman" w:hAnsi="Calibri" w:cs="Calibri"/>
                <w:color w:val="000000"/>
              </w:rPr>
              <w:t>,</w:t>
            </w:r>
            <w:r w:rsidRPr="00575467">
              <w:rPr>
                <w:rFonts w:ascii="Calibri" w:eastAsia="Times New Roman" w:hAnsi="Calibri" w:cs="Calibri"/>
                <w:color w:val="000000"/>
              </w:rPr>
              <w:t>080</w:t>
            </w:r>
          </w:p>
        </w:tc>
        <w:tc>
          <w:tcPr>
            <w:tcW w:w="1170" w:type="dxa"/>
            <w:vAlign w:val="bottom"/>
          </w:tcPr>
          <w:p w14:paraId="44621105" w14:textId="33FB948F"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995</w:t>
            </w:r>
          </w:p>
        </w:tc>
        <w:tc>
          <w:tcPr>
            <w:tcW w:w="1260" w:type="dxa"/>
            <w:vAlign w:val="bottom"/>
          </w:tcPr>
          <w:p w14:paraId="0133BD4B" w14:textId="3B40CB68" w:rsidR="00A11A43" w:rsidRPr="00575467" w:rsidRDefault="00A11A43" w:rsidP="00A11A43">
            <w:pPr>
              <w:jc w:val="right"/>
              <w:rPr>
                <w:rFonts w:ascii="Calibri" w:eastAsia="Times New Roman" w:hAnsi="Calibri" w:cs="Calibri"/>
                <w:color w:val="000000"/>
              </w:rPr>
            </w:pPr>
            <w:r w:rsidRPr="00575467">
              <w:rPr>
                <w:rFonts w:ascii="Calibri" w:eastAsia="Times New Roman" w:hAnsi="Calibri" w:cs="Calibri"/>
                <w:color w:val="000000"/>
              </w:rPr>
              <w:t>1</w:t>
            </w:r>
            <w:r w:rsidR="00116397">
              <w:rPr>
                <w:rFonts w:ascii="Calibri" w:eastAsia="Times New Roman" w:hAnsi="Calibri" w:cs="Calibri"/>
                <w:color w:val="000000"/>
              </w:rPr>
              <w:t>,</w:t>
            </w:r>
            <w:r w:rsidRPr="00575467">
              <w:rPr>
                <w:rFonts w:ascii="Calibri" w:eastAsia="Times New Roman" w:hAnsi="Calibri" w:cs="Calibri"/>
                <w:color w:val="000000"/>
              </w:rPr>
              <w:t>985</w:t>
            </w:r>
          </w:p>
        </w:tc>
        <w:tc>
          <w:tcPr>
            <w:tcW w:w="1170" w:type="dxa"/>
            <w:vAlign w:val="bottom"/>
          </w:tcPr>
          <w:p w14:paraId="38F19CDF" w14:textId="77777777" w:rsidR="00A11A43" w:rsidRPr="00575467" w:rsidRDefault="00A11A43" w:rsidP="00A11A43">
            <w:pPr>
              <w:jc w:val="right"/>
              <w:rPr>
                <w:rFonts w:ascii="Calibri" w:eastAsia="Times New Roman" w:hAnsi="Calibri" w:cs="Calibri"/>
                <w:color w:val="000000"/>
              </w:rPr>
            </w:pPr>
            <w:r>
              <w:rPr>
                <w:rFonts w:ascii="Calibri" w:eastAsia="Times New Roman" w:hAnsi="Calibri" w:cs="Calibri"/>
                <w:color w:val="000000"/>
              </w:rPr>
              <w:t>--</w:t>
            </w:r>
          </w:p>
        </w:tc>
      </w:tr>
      <w:tr w:rsidR="00A11A43" w14:paraId="27623C0A" w14:textId="77777777" w:rsidTr="00BA014C">
        <w:trPr>
          <w:cantSplit/>
        </w:trPr>
        <w:tc>
          <w:tcPr>
            <w:tcW w:w="2349" w:type="dxa"/>
            <w:tcBorders>
              <w:top w:val="nil"/>
              <w:left w:val="single" w:sz="4" w:space="0" w:color="auto"/>
              <w:bottom w:val="single" w:sz="4" w:space="0" w:color="auto"/>
              <w:right w:val="single" w:sz="4" w:space="0" w:color="auto"/>
            </w:tcBorders>
            <w:shd w:val="clear" w:color="auto" w:fill="auto"/>
            <w:vAlign w:val="bottom"/>
          </w:tcPr>
          <w:p w14:paraId="4F983F00" w14:textId="77777777" w:rsidR="00A11A43" w:rsidRPr="00116397" w:rsidRDefault="00A11A43" w:rsidP="00A11A43">
            <w:pPr>
              <w:rPr>
                <w:rFonts w:ascii="Calibri" w:eastAsia="Times New Roman" w:hAnsi="Calibri" w:cs="Calibri"/>
                <w:b/>
                <w:bCs/>
                <w:color w:val="000000"/>
              </w:rPr>
            </w:pPr>
            <w:r w:rsidRPr="00116397">
              <w:rPr>
                <w:rFonts w:ascii="Calibri" w:eastAsia="Times New Roman" w:hAnsi="Calibri" w:cs="Calibri"/>
                <w:b/>
                <w:bCs/>
                <w:color w:val="000000"/>
              </w:rPr>
              <w:t>Total</w:t>
            </w:r>
          </w:p>
        </w:tc>
        <w:tc>
          <w:tcPr>
            <w:tcW w:w="1251" w:type="dxa"/>
            <w:tcBorders>
              <w:top w:val="nil"/>
              <w:left w:val="nil"/>
              <w:bottom w:val="single" w:sz="4" w:space="0" w:color="auto"/>
              <w:right w:val="single" w:sz="4" w:space="0" w:color="auto"/>
            </w:tcBorders>
            <w:shd w:val="clear" w:color="auto" w:fill="auto"/>
            <w:vAlign w:val="bottom"/>
          </w:tcPr>
          <w:p w14:paraId="1EB5B8F2" w14:textId="7888C4DF" w:rsidR="00A11A43" w:rsidRPr="00116397" w:rsidRDefault="00A11A43" w:rsidP="00A11A43">
            <w:pPr>
              <w:jc w:val="right"/>
              <w:rPr>
                <w:rFonts w:ascii="Calibri" w:eastAsia="Times New Roman" w:hAnsi="Calibri" w:cs="Calibri"/>
                <w:b/>
                <w:bCs/>
                <w:color w:val="000000"/>
              </w:rPr>
            </w:pPr>
            <w:r w:rsidRPr="00116397">
              <w:rPr>
                <w:rFonts w:ascii="Calibri" w:eastAsia="Times New Roman" w:hAnsi="Calibri" w:cs="Calibri"/>
                <w:b/>
                <w:bCs/>
                <w:color w:val="000000"/>
              </w:rPr>
              <w:t>25</w:t>
            </w:r>
            <w:r w:rsidR="00116397">
              <w:rPr>
                <w:rFonts w:ascii="Calibri" w:eastAsia="Times New Roman" w:hAnsi="Calibri" w:cs="Calibri"/>
                <w:b/>
                <w:bCs/>
                <w:color w:val="000000"/>
              </w:rPr>
              <w:t>,</w:t>
            </w:r>
            <w:r w:rsidRPr="00116397">
              <w:rPr>
                <w:rFonts w:ascii="Calibri" w:eastAsia="Times New Roman" w:hAnsi="Calibri" w:cs="Calibri"/>
                <w:b/>
                <w:bCs/>
                <w:color w:val="000000"/>
              </w:rPr>
              <w:t>627</w:t>
            </w:r>
          </w:p>
        </w:tc>
        <w:tc>
          <w:tcPr>
            <w:tcW w:w="1170" w:type="dxa"/>
            <w:tcBorders>
              <w:top w:val="nil"/>
              <w:left w:val="nil"/>
              <w:bottom w:val="single" w:sz="4" w:space="0" w:color="auto"/>
              <w:right w:val="single" w:sz="4" w:space="0" w:color="auto"/>
            </w:tcBorders>
            <w:shd w:val="clear" w:color="auto" w:fill="auto"/>
            <w:vAlign w:val="bottom"/>
          </w:tcPr>
          <w:p w14:paraId="3C84DC81" w14:textId="31F58BA9" w:rsidR="00A11A43" w:rsidRPr="00116397" w:rsidRDefault="00A11A43" w:rsidP="00A11A43">
            <w:pPr>
              <w:jc w:val="right"/>
              <w:rPr>
                <w:rFonts w:ascii="Calibri" w:eastAsia="Times New Roman" w:hAnsi="Calibri" w:cs="Calibri"/>
                <w:b/>
                <w:bCs/>
                <w:color w:val="000000"/>
              </w:rPr>
            </w:pPr>
            <w:r w:rsidRPr="00116397">
              <w:rPr>
                <w:rFonts w:ascii="Calibri" w:eastAsia="Times New Roman" w:hAnsi="Calibri" w:cs="Calibri"/>
                <w:b/>
                <w:bCs/>
                <w:color w:val="000000"/>
              </w:rPr>
              <w:t>19</w:t>
            </w:r>
            <w:r w:rsidR="00116397">
              <w:rPr>
                <w:rFonts w:ascii="Calibri" w:eastAsia="Times New Roman" w:hAnsi="Calibri" w:cs="Calibri"/>
                <w:b/>
                <w:bCs/>
                <w:color w:val="000000"/>
              </w:rPr>
              <w:t>,</w:t>
            </w:r>
            <w:r w:rsidRPr="00116397">
              <w:rPr>
                <w:rFonts w:ascii="Calibri" w:eastAsia="Times New Roman" w:hAnsi="Calibri" w:cs="Calibri"/>
                <w:b/>
                <w:bCs/>
                <w:color w:val="000000"/>
              </w:rPr>
              <w:t>458</w:t>
            </w:r>
          </w:p>
        </w:tc>
        <w:tc>
          <w:tcPr>
            <w:tcW w:w="1260" w:type="dxa"/>
            <w:tcBorders>
              <w:top w:val="nil"/>
              <w:left w:val="nil"/>
              <w:bottom w:val="single" w:sz="4" w:space="0" w:color="auto"/>
              <w:right w:val="single" w:sz="4" w:space="0" w:color="auto"/>
            </w:tcBorders>
            <w:shd w:val="clear" w:color="auto" w:fill="auto"/>
            <w:vAlign w:val="bottom"/>
          </w:tcPr>
          <w:p w14:paraId="500C0A5E" w14:textId="3FC82421" w:rsidR="00A11A43" w:rsidRPr="00116397" w:rsidRDefault="00A11A43" w:rsidP="00A11A43">
            <w:pPr>
              <w:jc w:val="right"/>
              <w:rPr>
                <w:rFonts w:ascii="Calibri" w:eastAsia="Times New Roman" w:hAnsi="Calibri" w:cs="Calibri"/>
                <w:b/>
                <w:bCs/>
                <w:color w:val="000000"/>
              </w:rPr>
            </w:pPr>
            <w:r w:rsidRPr="00116397">
              <w:rPr>
                <w:rFonts w:ascii="Calibri" w:eastAsia="Times New Roman" w:hAnsi="Calibri" w:cs="Calibri"/>
                <w:b/>
                <w:bCs/>
                <w:color w:val="000000"/>
              </w:rPr>
              <w:t>25</w:t>
            </w:r>
            <w:r w:rsidR="00116397">
              <w:rPr>
                <w:rFonts w:ascii="Calibri" w:eastAsia="Times New Roman" w:hAnsi="Calibri" w:cs="Calibri"/>
                <w:b/>
                <w:bCs/>
                <w:color w:val="000000"/>
              </w:rPr>
              <w:t>,</w:t>
            </w:r>
            <w:r w:rsidRPr="00116397">
              <w:rPr>
                <w:rFonts w:ascii="Calibri" w:eastAsia="Times New Roman" w:hAnsi="Calibri" w:cs="Calibri"/>
                <w:b/>
                <w:bCs/>
                <w:color w:val="000000"/>
              </w:rPr>
              <w:t>024</w:t>
            </w:r>
          </w:p>
        </w:tc>
        <w:tc>
          <w:tcPr>
            <w:tcW w:w="1170" w:type="dxa"/>
            <w:tcBorders>
              <w:top w:val="nil"/>
              <w:left w:val="nil"/>
              <w:bottom w:val="single" w:sz="4" w:space="0" w:color="auto"/>
              <w:right w:val="single" w:sz="4" w:space="0" w:color="auto"/>
            </w:tcBorders>
            <w:shd w:val="clear" w:color="auto" w:fill="auto"/>
            <w:vAlign w:val="bottom"/>
          </w:tcPr>
          <w:p w14:paraId="78F69941" w14:textId="7C1EED89" w:rsidR="00A11A43" w:rsidRPr="00116397" w:rsidRDefault="00A11A43" w:rsidP="00A11A43">
            <w:pPr>
              <w:jc w:val="right"/>
              <w:rPr>
                <w:rFonts w:ascii="Calibri" w:eastAsia="Times New Roman" w:hAnsi="Calibri" w:cs="Calibri"/>
                <w:b/>
                <w:bCs/>
                <w:color w:val="000000"/>
              </w:rPr>
            </w:pPr>
            <w:r w:rsidRPr="00116397">
              <w:rPr>
                <w:rFonts w:ascii="Calibri" w:eastAsia="Times New Roman" w:hAnsi="Calibri" w:cs="Calibri"/>
                <w:b/>
                <w:bCs/>
                <w:color w:val="000000"/>
              </w:rPr>
              <w:t>14</w:t>
            </w:r>
            <w:r w:rsidR="00116397">
              <w:rPr>
                <w:rFonts w:ascii="Calibri" w:eastAsia="Times New Roman" w:hAnsi="Calibri" w:cs="Calibri"/>
                <w:b/>
                <w:bCs/>
                <w:color w:val="000000"/>
              </w:rPr>
              <w:t>,</w:t>
            </w:r>
            <w:r w:rsidRPr="00116397">
              <w:rPr>
                <w:rFonts w:ascii="Calibri" w:eastAsia="Times New Roman" w:hAnsi="Calibri" w:cs="Calibri"/>
                <w:b/>
                <w:bCs/>
                <w:color w:val="000000"/>
              </w:rPr>
              <w:t>399</w:t>
            </w:r>
          </w:p>
        </w:tc>
      </w:tr>
    </w:tbl>
    <w:p w14:paraId="7EA614FC" w14:textId="77777777" w:rsidR="00916925" w:rsidRDefault="00916925" w:rsidP="00362076">
      <w:pPr>
        <w:rPr>
          <w:rFonts w:cstheme="minorHAnsi"/>
        </w:rPr>
      </w:pPr>
    </w:p>
    <w:p w14:paraId="2B157DFA" w14:textId="653CD50F" w:rsidR="00BA62C6" w:rsidRDefault="00362076" w:rsidP="00C14A29">
      <w:pPr>
        <w:ind w:left="1080"/>
        <w:jc w:val="both"/>
        <w:rPr>
          <w:rFonts w:cstheme="minorHAnsi"/>
        </w:rPr>
      </w:pPr>
      <w:r>
        <w:rPr>
          <w:rFonts w:cstheme="minorHAnsi"/>
        </w:rPr>
        <w:t xml:space="preserve">Although Atrius Health has CT and MRI equipment in other regions, there is currently no way </w:t>
      </w:r>
      <w:r w:rsidR="00A12075">
        <w:rPr>
          <w:rFonts w:cstheme="minorHAnsi"/>
        </w:rPr>
        <w:t>Atrius Health can</w:t>
      </w:r>
      <w:r>
        <w:rPr>
          <w:rFonts w:cstheme="minorHAnsi"/>
        </w:rPr>
        <w:t xml:space="preserve"> adequately serve the disproportionately elderly population of the PMG region</w:t>
      </w:r>
      <w:r w:rsidR="00A12075">
        <w:rPr>
          <w:rFonts w:cstheme="minorHAnsi"/>
        </w:rPr>
        <w:t xml:space="preserve"> which will be served by the new Plymouth Practice</w:t>
      </w:r>
      <w:r>
        <w:rPr>
          <w:rFonts w:cstheme="minorHAnsi"/>
        </w:rPr>
        <w:t xml:space="preserve">. </w:t>
      </w:r>
      <w:r w:rsidR="00916925">
        <w:rPr>
          <w:rFonts w:cstheme="minorHAnsi"/>
        </w:rPr>
        <w:t xml:space="preserve">Current wait times in Weymouth, the closest Atrius </w:t>
      </w:r>
      <w:r w:rsidR="00635C38">
        <w:rPr>
          <w:rFonts w:cstheme="minorHAnsi"/>
        </w:rPr>
        <w:t xml:space="preserve">Health </w:t>
      </w:r>
      <w:r w:rsidR="00916925">
        <w:rPr>
          <w:rFonts w:cstheme="minorHAnsi"/>
        </w:rPr>
        <w:t xml:space="preserve">location </w:t>
      </w:r>
      <w:r w:rsidR="00A12075">
        <w:rPr>
          <w:rFonts w:cstheme="minorHAnsi"/>
        </w:rPr>
        <w:t xml:space="preserve">to Plymouth that </w:t>
      </w:r>
      <w:r w:rsidR="00916925">
        <w:rPr>
          <w:rFonts w:cstheme="minorHAnsi"/>
        </w:rPr>
        <w:t>offer</w:t>
      </w:r>
      <w:r w:rsidR="00A12075">
        <w:rPr>
          <w:rFonts w:cstheme="minorHAnsi"/>
        </w:rPr>
        <w:t>s</w:t>
      </w:r>
      <w:r w:rsidR="00916925">
        <w:rPr>
          <w:rFonts w:cstheme="minorHAnsi"/>
        </w:rPr>
        <w:t xml:space="preserve"> </w:t>
      </w:r>
      <w:r w:rsidR="00A12075">
        <w:rPr>
          <w:rFonts w:cstheme="minorHAnsi"/>
        </w:rPr>
        <w:t>imaging</w:t>
      </w:r>
      <w:r w:rsidR="00916925">
        <w:rPr>
          <w:rFonts w:cstheme="minorHAnsi"/>
        </w:rPr>
        <w:t xml:space="preserve"> services, </w:t>
      </w:r>
      <w:r w:rsidR="002B0E4F">
        <w:rPr>
          <w:rFonts w:cstheme="minorHAnsi"/>
        </w:rPr>
        <w:t xml:space="preserve">are </w:t>
      </w:r>
      <w:r w:rsidR="0078530F">
        <w:rPr>
          <w:rFonts w:cstheme="minorHAnsi"/>
        </w:rPr>
        <w:t xml:space="preserve">1-2 </w:t>
      </w:r>
      <w:r w:rsidR="00327DE3">
        <w:rPr>
          <w:rFonts w:cstheme="minorHAnsi"/>
        </w:rPr>
        <w:t>days</w:t>
      </w:r>
      <w:r w:rsidR="00916925">
        <w:rPr>
          <w:rFonts w:cstheme="minorHAnsi"/>
        </w:rPr>
        <w:t xml:space="preserve"> for routine CT exams and nearly two weeks for routine MRI exams. </w:t>
      </w:r>
      <w:r>
        <w:rPr>
          <w:rFonts w:cstheme="minorHAnsi"/>
        </w:rPr>
        <w:t xml:space="preserve">Including CT and mobile MRI at the Plymouth Practice will ensure that elderly patients, who bear the brunt of diseases for which these imaging modalities are useful, are able to </w:t>
      </w:r>
      <w:r w:rsidR="00F53DEE">
        <w:rPr>
          <w:rFonts w:cstheme="minorHAnsi"/>
        </w:rPr>
        <w:t>access this care conveniently and efficiently</w:t>
      </w:r>
      <w:r>
        <w:rPr>
          <w:rFonts w:cstheme="minorHAnsi"/>
        </w:rPr>
        <w:t>. Th</w:t>
      </w:r>
      <w:r w:rsidR="00A12075">
        <w:rPr>
          <w:rFonts w:cstheme="minorHAnsi"/>
        </w:rPr>
        <w:t>e ability to offer imaging services at the Plymouth Practice</w:t>
      </w:r>
      <w:r>
        <w:rPr>
          <w:rFonts w:cstheme="minorHAnsi"/>
        </w:rPr>
        <w:t xml:space="preserve"> will help ensure </w:t>
      </w:r>
      <w:r w:rsidR="00B650CE">
        <w:rPr>
          <w:rFonts w:cstheme="minorHAnsi"/>
        </w:rPr>
        <w:t xml:space="preserve">Atrius Health’s patients can </w:t>
      </w:r>
      <w:r w:rsidR="003D0B18">
        <w:rPr>
          <w:rFonts w:cstheme="minorHAnsi"/>
        </w:rPr>
        <w:t>access</w:t>
      </w:r>
      <w:r>
        <w:rPr>
          <w:rFonts w:cstheme="minorHAnsi"/>
        </w:rPr>
        <w:t xml:space="preserve"> recommended imaging exams and </w:t>
      </w:r>
      <w:r w:rsidR="00E51C70">
        <w:rPr>
          <w:rFonts w:cstheme="minorHAnsi"/>
        </w:rPr>
        <w:t>facilitate continuity of care</w:t>
      </w:r>
      <w:r>
        <w:rPr>
          <w:rFonts w:cstheme="minorHAnsi"/>
        </w:rPr>
        <w:t>.</w:t>
      </w:r>
      <w:r w:rsidR="00BA62C6">
        <w:rPr>
          <w:rFonts w:cstheme="minorHAnsi"/>
        </w:rPr>
        <w:br w:type="page"/>
      </w:r>
    </w:p>
    <w:p w14:paraId="7DB64E14" w14:textId="77777777" w:rsidR="00D14E54" w:rsidRPr="00D643A8" w:rsidRDefault="00D14E54" w:rsidP="00E736C2">
      <w:pPr>
        <w:spacing w:after="0" w:line="240" w:lineRule="auto"/>
        <w:rPr>
          <w:b/>
        </w:rPr>
      </w:pPr>
      <w:r w:rsidRPr="00D643A8">
        <w:rPr>
          <w:b/>
        </w:rPr>
        <w:lastRenderedPageBreak/>
        <w:t>F1.</w:t>
      </w:r>
      <w:proofErr w:type="gramStart"/>
      <w:r w:rsidRPr="00D643A8">
        <w:rPr>
          <w:b/>
        </w:rPr>
        <w:t>a.ii</w:t>
      </w:r>
      <w:proofErr w:type="gramEnd"/>
      <w:r w:rsidRPr="00D643A8">
        <w:rPr>
          <w:b/>
        </w:rPr>
        <w:t xml:space="preserve"> </w:t>
      </w:r>
      <w:r w:rsidRPr="00D643A8">
        <w:rPr>
          <w:b/>
        </w:rPr>
        <w:tab/>
        <w:t xml:space="preserve">Need by Patient Panel: </w:t>
      </w:r>
    </w:p>
    <w:p w14:paraId="55DE5218" w14:textId="10EC8E55" w:rsidR="00D14E54" w:rsidRDefault="00D14E54" w:rsidP="00E736C2">
      <w:pPr>
        <w:keepNext/>
        <w:keepLines/>
        <w:spacing w:after="0" w:line="240" w:lineRule="auto"/>
        <w:ind w:left="720"/>
        <w:rPr>
          <w:b/>
        </w:rPr>
      </w:pPr>
      <w:r w:rsidRPr="00D643A8">
        <w:rPr>
          <w:b/>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5E1D13FD" w14:textId="77777777" w:rsidR="00BA62C6" w:rsidRDefault="00BA62C6" w:rsidP="00BA62C6">
      <w:pPr>
        <w:keepNext/>
        <w:spacing w:after="0" w:line="240" w:lineRule="auto"/>
        <w:ind w:left="720"/>
        <w:jc w:val="both"/>
        <w:rPr>
          <w:b/>
        </w:rPr>
      </w:pPr>
    </w:p>
    <w:p w14:paraId="4D00543C" w14:textId="77777777" w:rsidR="00EE60D7" w:rsidRDefault="00153C10" w:rsidP="00C255B7">
      <w:pPr>
        <w:pStyle w:val="ListParagraph"/>
        <w:numPr>
          <w:ilvl w:val="0"/>
          <w:numId w:val="18"/>
        </w:numPr>
        <w:ind w:left="1080"/>
        <w:jc w:val="both"/>
      </w:pPr>
      <w:r w:rsidRPr="00C255B7">
        <w:rPr>
          <w:rFonts w:cstheme="minorHAnsi"/>
          <w:b/>
          <w:bCs/>
        </w:rPr>
        <w:t>Aging</w:t>
      </w:r>
      <w:r>
        <w:t xml:space="preserve"> </w:t>
      </w:r>
      <w:r w:rsidRPr="00C255B7">
        <w:rPr>
          <w:rFonts w:cstheme="minorHAnsi"/>
          <w:b/>
          <w:bCs/>
        </w:rPr>
        <w:t>Population</w:t>
      </w:r>
    </w:p>
    <w:p w14:paraId="20AC62C2" w14:textId="11534614" w:rsidR="00D14E54" w:rsidRDefault="00D14E54" w:rsidP="00D353A7">
      <w:pPr>
        <w:ind w:left="1080"/>
        <w:jc w:val="both"/>
      </w:pPr>
      <w:r>
        <w:t xml:space="preserve">MRI and CT are imaging modalities of great utility in older adult patients due to the higher prevalence of conditions which these modalities </w:t>
      </w:r>
      <w:r w:rsidR="006E3FD0">
        <w:t>can</w:t>
      </w:r>
      <w:r>
        <w:t xml:space="preserve"> diagnose. </w:t>
      </w:r>
      <w:r w:rsidRPr="00117AE5">
        <w:t>MRI is most beneficial for diagnosis and treatment planning for a variety of neurological disorders, musculoskeletal conditions, vascular diseases, and cancers that have higher inc</w:t>
      </w:r>
      <w:r>
        <w:t xml:space="preserve">idence rates related </w:t>
      </w:r>
      <w:r w:rsidRPr="00D353A7">
        <w:rPr>
          <w:rFonts w:cstheme="minorHAnsi"/>
        </w:rPr>
        <w:t>to</w:t>
      </w:r>
      <w:r>
        <w:t xml:space="preserve"> aging. Like MRI, CT scanning plays a role in evaluating patients with potential stroke and other brain diseases, arthritic conditions, and cancers. In addition, CT</w:t>
      </w:r>
      <w:r w:rsidRPr="00117AE5">
        <w:t xml:space="preserve"> is optimally suited to diagnose and evaluate </w:t>
      </w:r>
      <w:r>
        <w:t>lung diseases such as chronic obstructive pulmonary disease, interstitial lung disease, and both primary and secondary lung malignancies.</w:t>
      </w:r>
      <w:r w:rsidRPr="00117AE5">
        <w:t xml:space="preserve"> </w:t>
      </w:r>
      <w:r w:rsidRPr="00DB4AEF">
        <w:t>Th</w:t>
      </w:r>
      <w:r>
        <w:t xml:space="preserve">ese conditions are prevalent within the Atrius </w:t>
      </w:r>
      <w:r w:rsidR="00A171CF">
        <w:t xml:space="preserve">Health </w:t>
      </w:r>
      <w:r>
        <w:t xml:space="preserve">patient panel today, and as </w:t>
      </w:r>
      <w:r w:rsidRPr="00DB4AEF">
        <w:t xml:space="preserve">the population ages, </w:t>
      </w:r>
      <w:r>
        <w:t xml:space="preserve">there will be </w:t>
      </w:r>
      <w:r w:rsidRPr="00DB4AEF">
        <w:t xml:space="preserve">increased need for advanced imaging to be able to </w:t>
      </w:r>
      <w:r>
        <w:t xml:space="preserve">diagnose and </w:t>
      </w:r>
      <w:r w:rsidRPr="00DB4AEF">
        <w:t xml:space="preserve">manage these disease states in the most expeditious, </w:t>
      </w:r>
      <w:r w:rsidR="006E3FD0" w:rsidRPr="00DB4AEF">
        <w:t>cost-effective</w:t>
      </w:r>
      <w:r w:rsidRPr="00DB4AEF">
        <w:t xml:space="preserve"> manner. </w:t>
      </w:r>
    </w:p>
    <w:p w14:paraId="1055619B" w14:textId="13058E73" w:rsidR="00D14E54" w:rsidRPr="005E1381" w:rsidRDefault="00153C10" w:rsidP="00D353A7">
      <w:pPr>
        <w:ind w:left="1080"/>
        <w:jc w:val="both"/>
        <w:rPr>
          <w:vertAlign w:val="superscript"/>
        </w:rPr>
      </w:pPr>
      <w:r>
        <w:t>A report by t</w:t>
      </w:r>
      <w:r w:rsidR="00D14E54">
        <w:t>he U</w:t>
      </w:r>
      <w:r w:rsidR="001C7344">
        <w:t>Mass</w:t>
      </w:r>
      <w:r w:rsidR="00D14E54">
        <w:t xml:space="preserve"> Donahue Institute </w:t>
      </w:r>
      <w:r>
        <w:t xml:space="preserve">in </w:t>
      </w:r>
      <w:r w:rsidR="00D14E54">
        <w:t>2018 not</w:t>
      </w:r>
      <w:r>
        <w:t xml:space="preserve">ed </w:t>
      </w:r>
      <w:r w:rsidR="00D14E54">
        <w:t>a 4.6% increase</w:t>
      </w:r>
      <w:r w:rsidR="00D14E54">
        <w:rPr>
          <w:color w:val="FF0000"/>
        </w:rPr>
        <w:t xml:space="preserve"> </w:t>
      </w:r>
      <w:r w:rsidR="00D14E54" w:rsidRPr="00DB4AEF">
        <w:t xml:space="preserve">in </w:t>
      </w:r>
      <w:r w:rsidR="00D14E54">
        <w:t>the population in Plymouth, MA</w:t>
      </w:r>
      <w:r>
        <w:t xml:space="preserve"> –</w:t>
      </w:r>
      <w:r w:rsidR="00DA4DF3">
        <w:t xml:space="preserve"> </w:t>
      </w:r>
      <w:r>
        <w:t xml:space="preserve">where four of the </w:t>
      </w:r>
      <w:r w:rsidRPr="00D353A7">
        <w:rPr>
          <w:rFonts w:cstheme="minorHAnsi"/>
        </w:rPr>
        <w:t>PMG</w:t>
      </w:r>
      <w:r>
        <w:t xml:space="preserve"> </w:t>
      </w:r>
      <w:r w:rsidR="00DA4DF3">
        <w:t>practices are currently located</w:t>
      </w:r>
      <w:r>
        <w:t xml:space="preserve"> - between 2015 and 2018</w:t>
      </w:r>
      <w:r w:rsidR="001C37C2">
        <w:t>.</w:t>
      </w:r>
      <w:r w:rsidR="001C7344">
        <w:rPr>
          <w:rStyle w:val="FootnoteReference"/>
        </w:rPr>
        <w:footnoteReference w:id="9"/>
      </w:r>
      <w:r w:rsidR="00D14E54">
        <w:t xml:space="preserve"> Between 2020 and 2025, the population aged 0-64 in </w:t>
      </w:r>
      <w:r w:rsidR="00725E79">
        <w:t xml:space="preserve">Plymouth </w:t>
      </w:r>
      <w:r w:rsidR="00D33E32">
        <w:t xml:space="preserve">is expected </w:t>
      </w:r>
      <w:r w:rsidR="001C37C2">
        <w:t>to decrease</w:t>
      </w:r>
      <w:r w:rsidR="00D14E54">
        <w:t xml:space="preserve"> by 2% and the population of persons aged 65 and older </w:t>
      </w:r>
      <w:r w:rsidR="004273E0">
        <w:t xml:space="preserve">is expected </w:t>
      </w:r>
      <w:r w:rsidR="00D14E54">
        <w:t xml:space="preserve">to increase by 18%, increasing the need for </w:t>
      </w:r>
      <w:r w:rsidR="00EE60D7">
        <w:t xml:space="preserve">more </w:t>
      </w:r>
      <w:r w:rsidR="00EE60D7" w:rsidRPr="00B92C18">
        <w:t xml:space="preserve">accessible </w:t>
      </w:r>
      <w:r w:rsidR="00D14E54" w:rsidRPr="00B92C18">
        <w:t>MRI and CT services</w:t>
      </w:r>
      <w:r w:rsidR="00B92C18" w:rsidRPr="00B92C18">
        <w:rPr>
          <w:rStyle w:val="FootnoteReference"/>
        </w:rPr>
        <w:footnoteReference w:id="10"/>
      </w:r>
      <w:r w:rsidR="00EE60D7" w:rsidRPr="00B92C18">
        <w:t>.</w:t>
      </w:r>
    </w:p>
    <w:p w14:paraId="368E2278" w14:textId="5268942C" w:rsidR="00947A4C" w:rsidRPr="00C255B7" w:rsidRDefault="00061E97" w:rsidP="00C255B7">
      <w:pPr>
        <w:pStyle w:val="ListParagraph"/>
        <w:numPr>
          <w:ilvl w:val="0"/>
          <w:numId w:val="18"/>
        </w:numPr>
        <w:ind w:left="1080"/>
        <w:jc w:val="both"/>
        <w:rPr>
          <w:rFonts w:cstheme="minorHAnsi"/>
          <w:b/>
          <w:bCs/>
        </w:rPr>
      </w:pPr>
      <w:r w:rsidRPr="00C255B7">
        <w:rPr>
          <w:rFonts w:cstheme="minorHAnsi"/>
          <w:b/>
          <w:bCs/>
        </w:rPr>
        <w:t>Need</w:t>
      </w:r>
      <w:r w:rsidR="00CA6207" w:rsidRPr="00C255B7">
        <w:rPr>
          <w:rFonts w:cstheme="minorHAnsi"/>
          <w:b/>
          <w:bCs/>
        </w:rPr>
        <w:t xml:space="preserve"> exists for local</w:t>
      </w:r>
      <w:r w:rsidR="00832EF8" w:rsidRPr="00C255B7">
        <w:rPr>
          <w:rFonts w:cstheme="minorHAnsi"/>
          <w:b/>
          <w:bCs/>
        </w:rPr>
        <w:t>,</w:t>
      </w:r>
      <w:r w:rsidR="008D38AD" w:rsidRPr="00C255B7">
        <w:rPr>
          <w:rFonts w:cstheme="minorHAnsi"/>
          <w:b/>
          <w:bCs/>
        </w:rPr>
        <w:t xml:space="preserve"> more accessible</w:t>
      </w:r>
      <w:r w:rsidR="00832EF8" w:rsidRPr="00C255B7">
        <w:rPr>
          <w:rFonts w:cstheme="minorHAnsi"/>
          <w:b/>
          <w:bCs/>
        </w:rPr>
        <w:t>, and cost-effective</w:t>
      </w:r>
      <w:r w:rsidR="008D38AD" w:rsidRPr="00C255B7">
        <w:rPr>
          <w:rFonts w:cstheme="minorHAnsi"/>
          <w:b/>
          <w:bCs/>
        </w:rPr>
        <w:t xml:space="preserve"> </w:t>
      </w:r>
      <w:r w:rsidR="00CA6207" w:rsidRPr="00C255B7">
        <w:rPr>
          <w:rFonts w:cstheme="minorHAnsi"/>
          <w:b/>
          <w:bCs/>
        </w:rPr>
        <w:t xml:space="preserve">imaging services. </w:t>
      </w:r>
    </w:p>
    <w:p w14:paraId="05CD210D" w14:textId="7CC80156" w:rsidR="00D14E54" w:rsidRDefault="00D14E54" w:rsidP="00D353A7">
      <w:pPr>
        <w:ind w:left="1080"/>
        <w:jc w:val="both"/>
      </w:pPr>
      <w:r>
        <w:t xml:space="preserve">The need for the Proposed Project is demonstrated by the current </w:t>
      </w:r>
      <w:r w:rsidR="002B0E4F">
        <w:t xml:space="preserve">number </w:t>
      </w:r>
      <w:r>
        <w:t xml:space="preserve">of MRI and CT </w:t>
      </w:r>
      <w:r w:rsidR="002B0E4F">
        <w:t xml:space="preserve">exams </w:t>
      </w:r>
      <w:r w:rsidR="00F53DEE">
        <w:t>ordered by</w:t>
      </w:r>
      <w:r w:rsidR="00061E97">
        <w:t xml:space="preserve"> </w:t>
      </w:r>
      <w:r w:rsidR="002B0E4F">
        <w:t xml:space="preserve">PMG </w:t>
      </w:r>
      <w:r w:rsidR="00061E97">
        <w:t xml:space="preserve">providers </w:t>
      </w:r>
      <w:r w:rsidR="002B0E4F">
        <w:t xml:space="preserve">for the Plymouth Practice Patient Panel which are referred to </w:t>
      </w:r>
      <w:r w:rsidR="000F41E4">
        <w:t>by higher</w:t>
      </w:r>
      <w:r w:rsidR="002B0E4F">
        <w:t>-</w:t>
      </w:r>
      <w:r w:rsidR="000F41E4">
        <w:t xml:space="preserve">cost </w:t>
      </w:r>
      <w:r w:rsidR="00E20CC1">
        <w:t xml:space="preserve">hospital-based </w:t>
      </w:r>
      <w:r w:rsidR="000F41E4">
        <w:t>imaging provider</w:t>
      </w:r>
      <w:r w:rsidR="001C7344">
        <w:t>s</w:t>
      </w:r>
      <w:r w:rsidR="002B0E4F">
        <w:t>.</w:t>
      </w:r>
      <w:r>
        <w:t xml:space="preserve"> </w:t>
      </w:r>
      <w:r w:rsidR="004B30F9">
        <w:t>The</w:t>
      </w:r>
      <w:r w:rsidR="001C7344">
        <w:t xml:space="preserve"> Plymouth Practice Patient Panel</w:t>
      </w:r>
      <w:r w:rsidR="004B30F9">
        <w:t xml:space="preserve"> currently ha</w:t>
      </w:r>
      <w:r w:rsidR="001C7344">
        <w:t>s</w:t>
      </w:r>
      <w:r w:rsidR="004B30F9">
        <w:t xml:space="preserve"> limited </w:t>
      </w:r>
      <w:r w:rsidR="001C7344">
        <w:t xml:space="preserve">MRI and CT services </w:t>
      </w:r>
      <w:r w:rsidR="004B30F9">
        <w:t xml:space="preserve">access and options </w:t>
      </w:r>
      <w:r w:rsidR="00F53DEE">
        <w:t>locally and</w:t>
      </w:r>
      <w:r w:rsidR="001C7344">
        <w:t xml:space="preserve"> may </w:t>
      </w:r>
      <w:r w:rsidR="004B30F9">
        <w:t xml:space="preserve">need to travel outside of their region for services. </w:t>
      </w:r>
      <w:r>
        <w:t xml:space="preserve"> As noted in Factor 1.a.i, PMG providers placed orders for 1286 MRI scans and 2635 CT scans between April 1, </w:t>
      </w:r>
      <w:r w:rsidR="006E3FD0">
        <w:t>2021,</w:t>
      </w:r>
      <w:r>
        <w:t xml:space="preserve"> and March 31, 2022</w:t>
      </w:r>
      <w:r w:rsidR="00DA4DF3">
        <w:t xml:space="preserve">, </w:t>
      </w:r>
      <w:r w:rsidR="00DA4DF3" w:rsidRPr="008863AC">
        <w:t xml:space="preserve">of which </w:t>
      </w:r>
      <w:r w:rsidR="008863AC" w:rsidRPr="008863AC">
        <w:t>1059 and 2151 respectively</w:t>
      </w:r>
      <w:r w:rsidR="00DA4DF3" w:rsidRPr="008863AC">
        <w:t xml:space="preserve"> were</w:t>
      </w:r>
      <w:r w:rsidR="002B0E4F">
        <w:t xml:space="preserve"> made </w:t>
      </w:r>
      <w:r w:rsidR="00DA4DF3" w:rsidRPr="008863AC">
        <w:t>to externa</w:t>
      </w:r>
      <w:r w:rsidR="008863AC" w:rsidRPr="008863AC">
        <w:t>l providers</w:t>
      </w:r>
      <w:r w:rsidR="002B0E4F">
        <w:t>, despite patients being offered appointments at another Atrius Health location.</w:t>
      </w:r>
      <w:r w:rsidR="002B0E4F" w:rsidRPr="008863AC" w:rsidDel="002B0E4F">
        <w:t xml:space="preserve"> </w:t>
      </w:r>
    </w:p>
    <w:p w14:paraId="29799FD4" w14:textId="110B04B3" w:rsidR="004B30F9" w:rsidRDefault="008D38AD" w:rsidP="00D353A7">
      <w:pPr>
        <w:ind w:left="1080"/>
        <w:jc w:val="both"/>
      </w:pPr>
      <w:r>
        <w:t xml:space="preserve">Through the Proposed Project, Atrius Health seeks approval to provide CT and mobile MRI services at the Plymouth Practice. These advanced imaging services will be </w:t>
      </w:r>
      <w:r w:rsidR="00E756C2">
        <w:t xml:space="preserve">used primarily </w:t>
      </w:r>
      <w:r>
        <w:t xml:space="preserve">by </w:t>
      </w:r>
      <w:r w:rsidR="004B30F9">
        <w:t>the Plymouth Practice P</w:t>
      </w:r>
      <w:r>
        <w:t xml:space="preserve">atient </w:t>
      </w:r>
      <w:r w:rsidR="004B30F9">
        <w:t>P</w:t>
      </w:r>
      <w:r>
        <w:t xml:space="preserve">anel. The only current local option for MRI and CT in the greater Plymouth region is through </w:t>
      </w:r>
      <w:r w:rsidR="008863AC">
        <w:t>a local hospital facility</w:t>
      </w:r>
      <w:r>
        <w:t xml:space="preserve">. While PMG patients have the option to utilize Atrius Health’s other MRI and CT services as described in Factor 1.a.i, the closest location is 30 minutes away and </w:t>
      </w:r>
      <w:proofErr w:type="gramStart"/>
      <w:r>
        <w:t>all of</w:t>
      </w:r>
      <w:proofErr w:type="gramEnd"/>
      <w:r>
        <w:t xml:space="preserve"> Atrius Health’s </w:t>
      </w:r>
      <w:r w:rsidR="00357BF7">
        <w:t xml:space="preserve">existing </w:t>
      </w:r>
      <w:r>
        <w:t xml:space="preserve">MRI and CT locations are nearing capacity. Approval of the Proposed Project </w:t>
      </w:r>
      <w:r w:rsidRPr="00307942">
        <w:rPr>
          <w:rFonts w:ascii="Calibri" w:hAnsi="Calibri" w:cs="Calibri"/>
        </w:rPr>
        <w:t xml:space="preserve">will </w:t>
      </w:r>
      <w:bookmarkStart w:id="19" w:name="_BPDCD_24"/>
      <w:r w:rsidR="007B4309" w:rsidRPr="00307942">
        <w:rPr>
          <w:rFonts w:ascii="Calibri" w:hAnsi="Calibri" w:cs="Calibri"/>
        </w:rPr>
        <w:t>provide Atrius Health’s patient population with</w:t>
      </w:r>
      <w:r w:rsidRPr="00307942">
        <w:rPr>
          <w:rFonts w:ascii="Calibri" w:hAnsi="Calibri" w:cs="Calibri"/>
        </w:rPr>
        <w:t xml:space="preserve"> </w:t>
      </w:r>
      <w:bookmarkEnd w:id="19"/>
      <w:r w:rsidRPr="00307942">
        <w:rPr>
          <w:rFonts w:ascii="Calibri" w:hAnsi="Calibri" w:cs="Calibri"/>
        </w:rPr>
        <w:t xml:space="preserve">access </w:t>
      </w:r>
      <w:r w:rsidR="00357BF7" w:rsidRPr="00307942">
        <w:rPr>
          <w:rFonts w:ascii="Calibri" w:hAnsi="Calibri" w:cs="Calibri"/>
        </w:rPr>
        <w:t>to</w:t>
      </w:r>
      <w:r w:rsidRPr="00307942">
        <w:rPr>
          <w:rFonts w:ascii="Calibri" w:hAnsi="Calibri" w:cs="Calibri"/>
        </w:rPr>
        <w:t xml:space="preserve"> the most cost-effective </w:t>
      </w:r>
      <w:r w:rsidRPr="00307942">
        <w:rPr>
          <w:rFonts w:ascii="Calibri" w:hAnsi="Calibri" w:cs="Calibri"/>
        </w:rPr>
        <w:lastRenderedPageBreak/>
        <w:t>solution with the gr</w:t>
      </w:r>
      <w:r>
        <w:t>eatest care coordination.</w:t>
      </w:r>
      <w:r w:rsidR="007B4309">
        <w:t xml:space="preserve"> </w:t>
      </w:r>
      <w:r w:rsidR="004B30F9" w:rsidRPr="004B30F9">
        <w:t xml:space="preserve"> </w:t>
      </w:r>
      <w:r w:rsidR="004B30F9">
        <w:t xml:space="preserve">Based on Atrius Health’s experience when it opened ultrasound services </w:t>
      </w:r>
      <w:r w:rsidR="008863AC">
        <w:t>in Plymouth</w:t>
      </w:r>
      <w:r w:rsidR="004B30F9">
        <w:t>, Atrius Health anticipates that 75% of CT and MRI orders will be fulfilled at the Plymouth Practice resulting in a volume of 9-10 exams each day for two days of MRI service,</w:t>
      </w:r>
      <w:r w:rsidR="008863AC">
        <w:t xml:space="preserve"> </w:t>
      </w:r>
      <w:r w:rsidR="004B30F9">
        <w:t>and 6 CTs per day during a typical week (5 days of service).</w:t>
      </w:r>
      <w:r w:rsidR="004B30F9" w:rsidDel="00DA4DF3">
        <w:t xml:space="preserve"> </w:t>
      </w:r>
      <w:r w:rsidR="004B30F9">
        <w:t xml:space="preserve"> </w:t>
      </w:r>
    </w:p>
    <w:p w14:paraId="39F55305" w14:textId="5BC336E1" w:rsidR="00B331FE" w:rsidRDefault="00B331FE" w:rsidP="00D353A7">
      <w:pPr>
        <w:ind w:left="1080"/>
        <w:jc w:val="both"/>
      </w:pPr>
      <w:r>
        <w:t xml:space="preserve">Atrius Health is currently leasing </w:t>
      </w:r>
      <w:proofErr w:type="gramStart"/>
      <w:r>
        <w:t>on a monthly basis</w:t>
      </w:r>
      <w:proofErr w:type="gramEnd"/>
      <w:r>
        <w:t xml:space="preserve"> a </w:t>
      </w:r>
      <w:r w:rsidR="00511358">
        <w:t>m</w:t>
      </w:r>
      <w:r>
        <w:t xml:space="preserve">obile MRI unit that provides services at two other Atrius Health locations (Chelmsford 3 </w:t>
      </w:r>
      <w:r w:rsidRPr="00307942">
        <w:rPr>
          <w:rFonts w:ascii="Calibri" w:hAnsi="Calibri" w:cs="Calibri"/>
        </w:rPr>
        <w:t>days</w:t>
      </w:r>
      <w:r w:rsidR="007B4309" w:rsidRPr="00307942">
        <w:rPr>
          <w:rFonts w:ascii="Calibri" w:hAnsi="Calibri" w:cs="Calibri"/>
        </w:rPr>
        <w:t xml:space="preserve"> </w:t>
      </w:r>
      <w:bookmarkStart w:id="20" w:name="_BPDCI_26"/>
      <w:r w:rsidR="007B4309" w:rsidRPr="00307942">
        <w:rPr>
          <w:rFonts w:ascii="Calibri" w:hAnsi="Calibri" w:cs="Calibri"/>
        </w:rPr>
        <w:t>a week</w:t>
      </w:r>
      <w:r w:rsidRPr="00307942">
        <w:rPr>
          <w:rFonts w:ascii="Calibri" w:hAnsi="Calibri" w:cs="Calibri"/>
        </w:rPr>
        <w:t xml:space="preserve"> </w:t>
      </w:r>
      <w:bookmarkEnd w:id="20"/>
      <w:r w:rsidRPr="00307942">
        <w:rPr>
          <w:rFonts w:ascii="Calibri" w:hAnsi="Calibri" w:cs="Calibri"/>
        </w:rPr>
        <w:t xml:space="preserve">and Concord 2 days </w:t>
      </w:r>
      <w:bookmarkStart w:id="21" w:name="_BPDCD_27"/>
      <w:r w:rsidR="007B4309" w:rsidRPr="00307942">
        <w:rPr>
          <w:rFonts w:ascii="Calibri" w:hAnsi="Calibri" w:cs="Calibri"/>
        </w:rPr>
        <w:t>a week</w:t>
      </w:r>
      <w:bookmarkEnd w:id="21"/>
      <w:r w:rsidRPr="00307942">
        <w:rPr>
          <w:rFonts w:ascii="Calibri" w:hAnsi="Calibri" w:cs="Calibri"/>
        </w:rPr>
        <w:t>). The</w:t>
      </w:r>
      <w:r>
        <w:t xml:space="preserve"> Applicant seeks to </w:t>
      </w:r>
      <w:r w:rsidRPr="00307942">
        <w:rPr>
          <w:rFonts w:ascii="Calibri" w:hAnsi="Calibri" w:cs="Calibri"/>
        </w:rPr>
        <w:t xml:space="preserve">add </w:t>
      </w:r>
      <w:bookmarkStart w:id="22" w:name="_BPDCD_28"/>
      <w:r w:rsidR="007B4309" w:rsidRPr="00307942">
        <w:rPr>
          <w:rFonts w:ascii="Calibri" w:hAnsi="Calibri" w:cs="Calibri"/>
        </w:rPr>
        <w:t xml:space="preserve">(2) </w:t>
      </w:r>
      <w:bookmarkEnd w:id="22"/>
      <w:r w:rsidRPr="00307942">
        <w:rPr>
          <w:rFonts w:ascii="Calibri" w:hAnsi="Calibri" w:cs="Calibri"/>
        </w:rPr>
        <w:t>additional</w:t>
      </w:r>
      <w:r>
        <w:t xml:space="preserve"> days of service at the </w:t>
      </w:r>
      <w:r w:rsidRPr="00D353A7">
        <w:rPr>
          <w:rFonts w:cstheme="minorHAnsi"/>
        </w:rPr>
        <w:t>Plymouth</w:t>
      </w:r>
      <w:r>
        <w:t xml:space="preserve"> Practice under the existing lease. By leveraging this equipment seven </w:t>
      </w:r>
      <w:r w:rsidRPr="00307942">
        <w:rPr>
          <w:rFonts w:ascii="Calibri" w:hAnsi="Calibri" w:cs="Calibri"/>
        </w:rPr>
        <w:t>days</w:t>
      </w:r>
      <w:bookmarkStart w:id="23" w:name="_BPDCD_29"/>
      <w:r w:rsidR="00B71584" w:rsidRPr="00307942">
        <w:rPr>
          <w:rFonts w:ascii="Calibri" w:hAnsi="Calibri" w:cs="Calibri"/>
        </w:rPr>
        <w:t xml:space="preserve"> </w:t>
      </w:r>
      <w:r w:rsidR="007B4309" w:rsidRPr="00307942">
        <w:rPr>
          <w:rFonts w:ascii="Calibri" w:hAnsi="Calibri" w:cs="Calibri"/>
        </w:rPr>
        <w:t xml:space="preserve">per </w:t>
      </w:r>
      <w:bookmarkEnd w:id="23"/>
      <w:r w:rsidRPr="00307942">
        <w:rPr>
          <w:rFonts w:ascii="Calibri" w:hAnsi="Calibri" w:cs="Calibri"/>
        </w:rPr>
        <w:t>week, Atrius</w:t>
      </w:r>
      <w:r>
        <w:t xml:space="preserve"> will be able to expand access with very little </w:t>
      </w:r>
      <w:r w:rsidR="00511358">
        <w:t xml:space="preserve">additional </w:t>
      </w:r>
      <w:r>
        <w:t xml:space="preserve">incremental cost to the organization for implementation. CT services will be provided by an installed CT scanner at the Plymouth Practice in addition to other </w:t>
      </w:r>
      <w:r w:rsidR="006E3FD0">
        <w:t>on-site</w:t>
      </w:r>
      <w:r>
        <w:t xml:space="preserve"> ancillary services including x-ray, ultrasound, lab, and pharmacy.</w:t>
      </w:r>
      <w:r w:rsidR="00554845">
        <w:t xml:space="preserve"> This will allow for the right care to be provided to the patient panel</w:t>
      </w:r>
      <w:bookmarkStart w:id="24" w:name="_BPDCI_30"/>
      <w:r w:rsidR="000C0533">
        <w:t xml:space="preserve"> </w:t>
      </w:r>
      <w:r w:rsidR="007B4309" w:rsidRPr="00307942">
        <w:rPr>
          <w:rFonts w:ascii="Calibri" w:hAnsi="Calibri" w:cs="Calibri"/>
        </w:rPr>
        <w:t>when services are needed</w:t>
      </w:r>
      <w:bookmarkEnd w:id="24"/>
      <w:r w:rsidR="00554845" w:rsidRPr="00307942">
        <w:rPr>
          <w:rFonts w:ascii="Calibri" w:hAnsi="Calibri" w:cs="Calibri"/>
        </w:rPr>
        <w:t>, in the</w:t>
      </w:r>
      <w:r w:rsidR="00554845">
        <w:t xml:space="preserve"> right place, at the right time.</w:t>
      </w:r>
    </w:p>
    <w:p w14:paraId="137EB9D7" w14:textId="594B89D1" w:rsidR="00CA6207" w:rsidRPr="00C255B7" w:rsidRDefault="00CA6207" w:rsidP="00C255B7">
      <w:pPr>
        <w:pStyle w:val="ListParagraph"/>
        <w:numPr>
          <w:ilvl w:val="0"/>
          <w:numId w:val="18"/>
        </w:numPr>
        <w:ind w:left="1080"/>
        <w:jc w:val="both"/>
        <w:rPr>
          <w:rFonts w:cstheme="minorHAnsi"/>
          <w:b/>
          <w:bCs/>
        </w:rPr>
      </w:pPr>
      <w:bookmarkStart w:id="25" w:name="_Hlk119487700"/>
      <w:bookmarkStart w:id="26" w:name="_Hlk119480682"/>
      <w:r w:rsidRPr="00C255B7">
        <w:rPr>
          <w:rFonts w:cstheme="minorHAnsi"/>
          <w:b/>
          <w:bCs/>
        </w:rPr>
        <w:t xml:space="preserve">Increasing </w:t>
      </w:r>
      <w:r w:rsidR="00061E97" w:rsidRPr="00C255B7">
        <w:rPr>
          <w:rFonts w:cstheme="minorHAnsi"/>
          <w:b/>
          <w:bCs/>
        </w:rPr>
        <w:t>need</w:t>
      </w:r>
      <w:r w:rsidRPr="00C255B7">
        <w:rPr>
          <w:rFonts w:cstheme="minorHAnsi"/>
          <w:b/>
          <w:bCs/>
        </w:rPr>
        <w:t xml:space="preserve"> for imaging services projected over the next 5 years</w:t>
      </w:r>
    </w:p>
    <w:bookmarkEnd w:id="25"/>
    <w:p w14:paraId="7FAC2A78" w14:textId="58555BB2" w:rsidR="00D14E54" w:rsidRDefault="00061E97" w:rsidP="00D353A7">
      <w:pPr>
        <w:ind w:left="1080"/>
        <w:jc w:val="both"/>
      </w:pPr>
      <w:r>
        <w:t xml:space="preserve">The need for the Proposed Project is also supported by projected demand. </w:t>
      </w:r>
      <w:r w:rsidR="00D14E54">
        <w:t>A</w:t>
      </w:r>
      <w:r w:rsidR="005E05E5">
        <w:t>trius Health commissioned a</w:t>
      </w:r>
      <w:r w:rsidR="00D14E54">
        <w:t xml:space="preserve"> comprehensive study completed</w:t>
      </w:r>
      <w:r w:rsidR="00D33E32">
        <w:t xml:space="preserve"> </w:t>
      </w:r>
      <w:r w:rsidR="00D14E54">
        <w:t>by Stroudwater Associates</w:t>
      </w:r>
      <w:r w:rsidR="00D33E32">
        <w:t xml:space="preserve"> </w:t>
      </w:r>
      <w:r w:rsidR="00D14E54">
        <w:t>in 2019</w:t>
      </w:r>
      <w:r w:rsidR="005E05E5">
        <w:t>, which</w:t>
      </w:r>
      <w:r w:rsidR="00D14E54">
        <w:t xml:space="preserve"> </w:t>
      </w:r>
      <w:r w:rsidR="00BC63AE">
        <w:t xml:space="preserve">informed Atrius Health’s decision to consolidate </w:t>
      </w:r>
      <w:r w:rsidR="00D14E54">
        <w:t xml:space="preserve">the 6 PMG </w:t>
      </w:r>
      <w:r w:rsidR="00D14E54" w:rsidRPr="00D353A7">
        <w:rPr>
          <w:rFonts w:cstheme="minorHAnsi"/>
        </w:rPr>
        <w:t>practice</w:t>
      </w:r>
      <w:r w:rsidR="00D14E54">
        <w:t xml:space="preserve"> locations </w:t>
      </w:r>
      <w:r w:rsidR="005E05E5">
        <w:t>and identified the</w:t>
      </w:r>
      <w:r w:rsidR="00BC63AE">
        <w:t xml:space="preserve"> ancillary </w:t>
      </w:r>
      <w:r w:rsidR="00D14E54">
        <w:t xml:space="preserve">services to provide at the new location. </w:t>
      </w:r>
      <w:r w:rsidR="005E05E5">
        <w:t>Based on this study, Atrius Health expects</w:t>
      </w:r>
      <w:r w:rsidR="00EE60D7">
        <w:t xml:space="preserve"> that a</w:t>
      </w:r>
      <w:r w:rsidR="00D14E54">
        <w:t xml:space="preserve">s overall patient volume at </w:t>
      </w:r>
      <w:r w:rsidR="004B62F8">
        <w:t xml:space="preserve">the Plymouth Practice and the Bourne </w:t>
      </w:r>
      <w:r w:rsidR="002A134A">
        <w:t>practice</w:t>
      </w:r>
      <w:r w:rsidR="002A134A">
        <w:rPr>
          <w:rStyle w:val="CommentReference"/>
        </w:rPr>
        <w:t xml:space="preserve"> </w:t>
      </w:r>
      <w:r w:rsidR="002A134A">
        <w:t>grows</w:t>
      </w:r>
      <w:r w:rsidR="00D14E54">
        <w:t xml:space="preserve"> over the next five years, MRI and CT utilization will increase proportionately as well.</w:t>
      </w:r>
      <w:r w:rsidR="00554845">
        <w:t xml:space="preserve"> The growth projections </w:t>
      </w:r>
      <w:r w:rsidR="004B62F8">
        <w:t xml:space="preserve">in the table below assume that </w:t>
      </w:r>
      <w:r w:rsidR="00554845">
        <w:t xml:space="preserve">75% of the current orders </w:t>
      </w:r>
      <w:r w:rsidR="004B62F8">
        <w:t xml:space="preserve">to non-Atrius Health providers </w:t>
      </w:r>
      <w:r w:rsidR="00554845">
        <w:t xml:space="preserve">for MRI and CT imaging services </w:t>
      </w:r>
      <w:r w:rsidR="004B62F8">
        <w:t xml:space="preserve">will be </w:t>
      </w:r>
      <w:r w:rsidR="00E20CC1">
        <w:t>provided</w:t>
      </w:r>
      <w:r w:rsidR="004B62F8">
        <w:t xml:space="preserve"> at the Plymouth Practice (</w:t>
      </w:r>
      <w:proofErr w:type="gramStart"/>
      <w:r w:rsidR="00E756C2">
        <w:t>similar to</w:t>
      </w:r>
      <w:proofErr w:type="gramEnd"/>
      <w:r w:rsidR="004B62F8">
        <w:t xml:space="preserve"> the </w:t>
      </w:r>
      <w:r w:rsidR="00C765B1">
        <w:t>actual</w:t>
      </w:r>
      <w:r w:rsidR="00554845">
        <w:t xml:space="preserve"> growth experienced in </w:t>
      </w:r>
      <w:r w:rsidR="004B62F8">
        <w:t>u</w:t>
      </w:r>
      <w:r w:rsidR="00554845">
        <w:t xml:space="preserve">ltrasound imaging when </w:t>
      </w:r>
      <w:r w:rsidR="004B62F8">
        <w:t xml:space="preserve">those services opened </w:t>
      </w:r>
      <w:r w:rsidR="00E756C2">
        <w:t xml:space="preserve">at one of the PMG practices in </w:t>
      </w:r>
      <w:r w:rsidR="008863AC">
        <w:t>Plymouth</w:t>
      </w:r>
      <w:r w:rsidR="00E756C2">
        <w:t xml:space="preserve"> in 2021</w:t>
      </w:r>
      <w:r w:rsidR="00554845">
        <w:t>.</w:t>
      </w:r>
      <w:r w:rsidR="00AE40D5">
        <w:t>)</w:t>
      </w:r>
    </w:p>
    <w:bookmarkEnd w:id="26"/>
    <w:p w14:paraId="0AE634BC" w14:textId="6D2C776B" w:rsidR="00D14E54" w:rsidRDefault="00D14E54" w:rsidP="00BA62C6">
      <w:pPr>
        <w:ind w:left="1080"/>
      </w:pPr>
      <w:r w:rsidRPr="00947A4C">
        <w:rPr>
          <w:b/>
        </w:rPr>
        <w:t xml:space="preserve">5-year growth projections </w:t>
      </w:r>
      <w:r w:rsidR="004B62F8">
        <w:rPr>
          <w:b/>
        </w:rPr>
        <w:t xml:space="preserve">of the total number of </w:t>
      </w:r>
      <w:r w:rsidRPr="00947A4C">
        <w:rPr>
          <w:b/>
        </w:rPr>
        <w:t>CT and MRI</w:t>
      </w:r>
      <w:r w:rsidR="004B62F8">
        <w:rPr>
          <w:b/>
        </w:rPr>
        <w:t xml:space="preserve"> imaging</w:t>
      </w:r>
      <w:r w:rsidRPr="00947A4C">
        <w:rPr>
          <w:b/>
        </w:rPr>
        <w:t xml:space="preserve"> </w:t>
      </w:r>
      <w:r w:rsidR="008863AC">
        <w:rPr>
          <w:b/>
        </w:rPr>
        <w:t xml:space="preserve">exams performed </w:t>
      </w:r>
      <w:r w:rsidR="007100EE">
        <w:rPr>
          <w:b/>
        </w:rPr>
        <w:t xml:space="preserve">for the </w:t>
      </w:r>
      <w:r w:rsidR="002620B2">
        <w:rPr>
          <w:b/>
        </w:rPr>
        <w:t xml:space="preserve">Plymouth Practice </w:t>
      </w:r>
      <w:r w:rsidR="007100EE">
        <w:rPr>
          <w:b/>
        </w:rPr>
        <w:t xml:space="preserve">Patient Panel </w:t>
      </w:r>
    </w:p>
    <w:tbl>
      <w:tblPr>
        <w:tblStyle w:val="TableGrid"/>
        <w:tblW w:w="0" w:type="auto"/>
        <w:tblInd w:w="1075" w:type="dxa"/>
        <w:tblLook w:val="04A0" w:firstRow="1" w:lastRow="0" w:firstColumn="1" w:lastColumn="0" w:noHBand="0" w:noVBand="1"/>
      </w:tblPr>
      <w:tblGrid>
        <w:gridCol w:w="1451"/>
        <w:gridCol w:w="1451"/>
        <w:gridCol w:w="1451"/>
        <w:gridCol w:w="1451"/>
        <w:gridCol w:w="1451"/>
        <w:gridCol w:w="1452"/>
      </w:tblGrid>
      <w:tr w:rsidR="00D14E54" w14:paraId="59A5F7C1" w14:textId="77777777" w:rsidTr="00BA62C6">
        <w:tc>
          <w:tcPr>
            <w:tcW w:w="1451" w:type="dxa"/>
            <w:shd w:val="clear" w:color="auto" w:fill="DEEAF6" w:themeFill="accent1" w:themeFillTint="33"/>
          </w:tcPr>
          <w:p w14:paraId="3C81BC94" w14:textId="77777777" w:rsidR="00D14E54" w:rsidRPr="00C80BE4" w:rsidRDefault="00D14E54" w:rsidP="00D33E32">
            <w:pPr>
              <w:jc w:val="center"/>
              <w:rPr>
                <w:b/>
              </w:rPr>
            </w:pPr>
            <w:r>
              <w:rPr>
                <w:b/>
              </w:rPr>
              <w:t>Modality</w:t>
            </w:r>
          </w:p>
        </w:tc>
        <w:tc>
          <w:tcPr>
            <w:tcW w:w="1451" w:type="dxa"/>
            <w:shd w:val="clear" w:color="auto" w:fill="DEEAF6" w:themeFill="accent1" w:themeFillTint="33"/>
          </w:tcPr>
          <w:p w14:paraId="582C6104" w14:textId="77777777" w:rsidR="00D14E54" w:rsidRPr="00C80BE4" w:rsidRDefault="00C238F9" w:rsidP="00D33E32">
            <w:pPr>
              <w:jc w:val="center"/>
              <w:rPr>
                <w:b/>
              </w:rPr>
            </w:pPr>
            <w:r>
              <w:rPr>
                <w:b/>
              </w:rPr>
              <w:t>Year 1</w:t>
            </w:r>
          </w:p>
        </w:tc>
        <w:tc>
          <w:tcPr>
            <w:tcW w:w="1451" w:type="dxa"/>
            <w:shd w:val="clear" w:color="auto" w:fill="DEEAF6" w:themeFill="accent1" w:themeFillTint="33"/>
          </w:tcPr>
          <w:p w14:paraId="3992BBD5" w14:textId="77777777" w:rsidR="00D14E54" w:rsidRPr="00C80BE4" w:rsidRDefault="00C238F9" w:rsidP="00D33E32">
            <w:pPr>
              <w:jc w:val="center"/>
              <w:rPr>
                <w:b/>
              </w:rPr>
            </w:pPr>
            <w:r>
              <w:rPr>
                <w:b/>
              </w:rPr>
              <w:t>Year 2</w:t>
            </w:r>
          </w:p>
        </w:tc>
        <w:tc>
          <w:tcPr>
            <w:tcW w:w="1451" w:type="dxa"/>
            <w:shd w:val="clear" w:color="auto" w:fill="DEEAF6" w:themeFill="accent1" w:themeFillTint="33"/>
          </w:tcPr>
          <w:p w14:paraId="4D3CAB00" w14:textId="77777777" w:rsidR="00D14E54" w:rsidRPr="00C80BE4" w:rsidRDefault="00C238F9" w:rsidP="00D33E32">
            <w:pPr>
              <w:jc w:val="center"/>
              <w:rPr>
                <w:b/>
              </w:rPr>
            </w:pPr>
            <w:r>
              <w:rPr>
                <w:b/>
              </w:rPr>
              <w:t>Year 3</w:t>
            </w:r>
          </w:p>
        </w:tc>
        <w:tc>
          <w:tcPr>
            <w:tcW w:w="1451" w:type="dxa"/>
            <w:shd w:val="clear" w:color="auto" w:fill="DEEAF6" w:themeFill="accent1" w:themeFillTint="33"/>
          </w:tcPr>
          <w:p w14:paraId="2B7909ED" w14:textId="77777777" w:rsidR="00D14E54" w:rsidRPr="00C80BE4" w:rsidRDefault="00C238F9" w:rsidP="00D33E32">
            <w:pPr>
              <w:jc w:val="center"/>
              <w:rPr>
                <w:b/>
              </w:rPr>
            </w:pPr>
            <w:r>
              <w:rPr>
                <w:b/>
              </w:rPr>
              <w:t>Year 4</w:t>
            </w:r>
          </w:p>
        </w:tc>
        <w:tc>
          <w:tcPr>
            <w:tcW w:w="1452" w:type="dxa"/>
            <w:shd w:val="clear" w:color="auto" w:fill="DEEAF6" w:themeFill="accent1" w:themeFillTint="33"/>
          </w:tcPr>
          <w:p w14:paraId="5D7E844A" w14:textId="77777777" w:rsidR="00D14E54" w:rsidRPr="00C80BE4" w:rsidRDefault="00C238F9" w:rsidP="00D33E32">
            <w:pPr>
              <w:jc w:val="center"/>
              <w:rPr>
                <w:b/>
              </w:rPr>
            </w:pPr>
            <w:r>
              <w:rPr>
                <w:b/>
              </w:rPr>
              <w:t>Year 5</w:t>
            </w:r>
          </w:p>
        </w:tc>
      </w:tr>
      <w:tr w:rsidR="00D14E54" w14:paraId="5D2E9A20" w14:textId="77777777" w:rsidTr="00BA62C6">
        <w:tc>
          <w:tcPr>
            <w:tcW w:w="1451" w:type="dxa"/>
          </w:tcPr>
          <w:p w14:paraId="4F1E7E08" w14:textId="77777777" w:rsidR="00D14E54" w:rsidRDefault="00D14E54" w:rsidP="00D33E32">
            <w:pPr>
              <w:jc w:val="center"/>
            </w:pPr>
            <w:r>
              <w:t>MRI</w:t>
            </w:r>
          </w:p>
        </w:tc>
        <w:tc>
          <w:tcPr>
            <w:tcW w:w="1451" w:type="dxa"/>
          </w:tcPr>
          <w:p w14:paraId="5FD5C75B" w14:textId="77777777" w:rsidR="00D14E54" w:rsidRDefault="00D14E54" w:rsidP="00D33E32">
            <w:pPr>
              <w:jc w:val="center"/>
            </w:pPr>
            <w:r>
              <w:t>956</w:t>
            </w:r>
          </w:p>
        </w:tc>
        <w:tc>
          <w:tcPr>
            <w:tcW w:w="1451" w:type="dxa"/>
          </w:tcPr>
          <w:p w14:paraId="274DCEB8" w14:textId="77777777" w:rsidR="00D14E54" w:rsidRDefault="00D14E54" w:rsidP="00D33E32">
            <w:pPr>
              <w:jc w:val="center"/>
            </w:pPr>
            <w:r>
              <w:t>1,173</w:t>
            </w:r>
          </w:p>
        </w:tc>
        <w:tc>
          <w:tcPr>
            <w:tcW w:w="1451" w:type="dxa"/>
          </w:tcPr>
          <w:p w14:paraId="6F002875" w14:textId="77777777" w:rsidR="00D14E54" w:rsidRDefault="00D14E54" w:rsidP="00D33E32">
            <w:pPr>
              <w:jc w:val="center"/>
            </w:pPr>
            <w:r>
              <w:t>1,537</w:t>
            </w:r>
          </w:p>
        </w:tc>
        <w:tc>
          <w:tcPr>
            <w:tcW w:w="1451" w:type="dxa"/>
          </w:tcPr>
          <w:p w14:paraId="741CF282" w14:textId="77777777" w:rsidR="00D14E54" w:rsidRDefault="00D14E54" w:rsidP="00D33E32">
            <w:pPr>
              <w:jc w:val="center"/>
            </w:pPr>
            <w:r>
              <w:t>1,611</w:t>
            </w:r>
          </w:p>
        </w:tc>
        <w:tc>
          <w:tcPr>
            <w:tcW w:w="1452" w:type="dxa"/>
          </w:tcPr>
          <w:p w14:paraId="1590558C" w14:textId="77777777" w:rsidR="00D14E54" w:rsidRDefault="00D14E54" w:rsidP="00D33E32">
            <w:pPr>
              <w:jc w:val="center"/>
            </w:pPr>
            <w:r>
              <w:t>1,626</w:t>
            </w:r>
          </w:p>
        </w:tc>
      </w:tr>
      <w:tr w:rsidR="00D14E54" w14:paraId="06CEBE64" w14:textId="77777777" w:rsidTr="00BA62C6">
        <w:tc>
          <w:tcPr>
            <w:tcW w:w="1451" w:type="dxa"/>
          </w:tcPr>
          <w:p w14:paraId="5FDB954A" w14:textId="77777777" w:rsidR="00D14E54" w:rsidRDefault="00D14E54" w:rsidP="00D33E32">
            <w:pPr>
              <w:jc w:val="center"/>
            </w:pPr>
            <w:r>
              <w:t>CT</w:t>
            </w:r>
          </w:p>
        </w:tc>
        <w:tc>
          <w:tcPr>
            <w:tcW w:w="1451" w:type="dxa"/>
          </w:tcPr>
          <w:p w14:paraId="05FB25A8" w14:textId="77777777" w:rsidR="00D14E54" w:rsidRDefault="00D14E54" w:rsidP="00D33E32">
            <w:pPr>
              <w:jc w:val="center"/>
            </w:pPr>
            <w:r>
              <w:t>1,866</w:t>
            </w:r>
          </w:p>
        </w:tc>
        <w:tc>
          <w:tcPr>
            <w:tcW w:w="1451" w:type="dxa"/>
          </w:tcPr>
          <w:p w14:paraId="0EE0557B" w14:textId="77777777" w:rsidR="00D14E54" w:rsidRDefault="00D14E54" w:rsidP="00D33E32">
            <w:pPr>
              <w:jc w:val="center"/>
            </w:pPr>
            <w:r>
              <w:t>2,209</w:t>
            </w:r>
          </w:p>
        </w:tc>
        <w:tc>
          <w:tcPr>
            <w:tcW w:w="1451" w:type="dxa"/>
          </w:tcPr>
          <w:p w14:paraId="4F3C130B" w14:textId="77777777" w:rsidR="00D14E54" w:rsidRDefault="00D14E54" w:rsidP="00D33E32">
            <w:pPr>
              <w:jc w:val="center"/>
            </w:pPr>
            <w:r>
              <w:t>2,999</w:t>
            </w:r>
          </w:p>
        </w:tc>
        <w:tc>
          <w:tcPr>
            <w:tcW w:w="1451" w:type="dxa"/>
          </w:tcPr>
          <w:p w14:paraId="4EB37226" w14:textId="77777777" w:rsidR="00D14E54" w:rsidRDefault="00D14E54" w:rsidP="00D33E32">
            <w:pPr>
              <w:jc w:val="center"/>
            </w:pPr>
            <w:r>
              <w:t>3,142</w:t>
            </w:r>
          </w:p>
        </w:tc>
        <w:tc>
          <w:tcPr>
            <w:tcW w:w="1452" w:type="dxa"/>
          </w:tcPr>
          <w:p w14:paraId="552EFDE3" w14:textId="77777777" w:rsidR="00D14E54" w:rsidRDefault="00D14E54" w:rsidP="00D33E32">
            <w:pPr>
              <w:jc w:val="center"/>
            </w:pPr>
            <w:r>
              <w:t>3,173</w:t>
            </w:r>
          </w:p>
        </w:tc>
      </w:tr>
    </w:tbl>
    <w:p w14:paraId="446ABC66" w14:textId="5998E9E3" w:rsidR="00CF59D8" w:rsidRDefault="00CF59D8" w:rsidP="00B331FE">
      <w:pPr>
        <w:pStyle w:val="CommentText"/>
        <w:rPr>
          <w:rFonts w:cs="Times New Roman"/>
          <w:sz w:val="22"/>
          <w:szCs w:val="22"/>
        </w:rPr>
      </w:pPr>
    </w:p>
    <w:p w14:paraId="6BC545DC" w14:textId="3C63A5D5" w:rsidR="00F96C8F" w:rsidRPr="00C255B7" w:rsidRDefault="00F96C8F" w:rsidP="00C255B7">
      <w:pPr>
        <w:pStyle w:val="ListParagraph"/>
        <w:numPr>
          <w:ilvl w:val="0"/>
          <w:numId w:val="18"/>
        </w:numPr>
        <w:ind w:left="1080"/>
        <w:jc w:val="both"/>
        <w:rPr>
          <w:rFonts w:cstheme="minorHAnsi"/>
          <w:b/>
          <w:bCs/>
        </w:rPr>
      </w:pPr>
      <w:r w:rsidRPr="00C255B7">
        <w:rPr>
          <w:rFonts w:cstheme="minorHAnsi"/>
          <w:b/>
          <w:bCs/>
        </w:rPr>
        <w:t>Increasing prevalence of diseases requiring diagnostic or treatment imaging modalities</w:t>
      </w:r>
    </w:p>
    <w:p w14:paraId="0A15FE57" w14:textId="1C2EC87F" w:rsidR="00F96C8F" w:rsidRDefault="00F96C8F" w:rsidP="00D353A7">
      <w:pPr>
        <w:ind w:left="1080"/>
        <w:jc w:val="both"/>
      </w:pPr>
      <w:r>
        <w:t xml:space="preserve">MRI and CT are used for diagnosis and treatment planning for both chronic and acute illnesses that are not well evaluated by other </w:t>
      </w:r>
      <w:r w:rsidRPr="00D353A7">
        <w:rPr>
          <w:rFonts w:cstheme="minorHAnsi"/>
        </w:rPr>
        <w:t>imaging</w:t>
      </w:r>
      <w:r>
        <w:t xml:space="preserve"> modalities. As noted in Factor F1a.i and above, the </w:t>
      </w:r>
      <w:r w:rsidR="002620B2">
        <w:t>Plymouth Practice P</w:t>
      </w:r>
      <w:r>
        <w:t xml:space="preserve">atient </w:t>
      </w:r>
      <w:r w:rsidR="002620B2">
        <w:t>P</w:t>
      </w:r>
      <w:r>
        <w:t xml:space="preserve">anel is aging, which is associated with an increased incidence of certain </w:t>
      </w:r>
      <w:r w:rsidR="006E3FD0">
        <w:t>age-related</w:t>
      </w:r>
      <w:r>
        <w:t xml:space="preserve"> disease processes that are effectively diagnosed using MRI and/or CT. </w:t>
      </w:r>
    </w:p>
    <w:p w14:paraId="5875B5EB" w14:textId="176BB8E7" w:rsidR="00F96C8F" w:rsidRPr="00E736C2" w:rsidRDefault="00F96C8F" w:rsidP="00D353A7">
      <w:pPr>
        <w:ind w:left="1080"/>
        <w:jc w:val="both"/>
        <w:rPr>
          <w:b/>
          <w:bCs/>
        </w:rPr>
      </w:pPr>
      <w:r>
        <w:t>Based on provider order data from the Atrius Health EMR for the period April 1, 2021-March 30, 2022, nearly 25% of the CT orders placed by Atrius Health providers for the Plymouth Practice Patient Panel were placed for</w:t>
      </w:r>
      <w:r w:rsidR="00B71584">
        <w:t xml:space="preserve"> </w:t>
      </w:r>
      <w:r w:rsidRPr="007B4309">
        <w:t>LDCT</w:t>
      </w:r>
      <w:bookmarkStart w:id="27" w:name="_BPDCD_33"/>
      <w:r w:rsidR="000C0533">
        <w:t xml:space="preserve"> </w:t>
      </w:r>
      <w:bookmarkEnd w:id="27"/>
      <w:r>
        <w:t xml:space="preserve">Chest for lung cancer </w:t>
      </w:r>
      <w:r w:rsidRPr="00D353A7">
        <w:rPr>
          <w:rFonts w:cstheme="minorHAnsi"/>
        </w:rPr>
        <w:t>screening</w:t>
      </w:r>
      <w:r>
        <w:t xml:space="preserve">. According to the American Cancer Society, annual LDCT screening for persons who meet eligibility criteria (age 50-80 and in fairly good health, currently smoke or have quit in the past 15 years, and have at least a 20 pack-year smoking history) has been shown to result in a significantly lower chance of dying from lung </w:t>
      </w:r>
      <w:r>
        <w:lastRenderedPageBreak/>
        <w:t>cancer based on early detection.</w:t>
      </w:r>
      <w:r>
        <w:rPr>
          <w:rStyle w:val="FootnoteReference"/>
        </w:rPr>
        <w:footnoteReference w:id="11"/>
      </w:r>
      <w:r>
        <w:t xml:space="preserve"> Since the expansion of LDCT inclusion criteria in 2021, the number of eligible, enrolled patients in the Atrius Health LDCT program has increased. In addition to the expanded criteria for LDCT for lung cancer screening, Atrius Health implemented a “Best Practice Advisory” within the electronic medical record in 2021 to prompt providers to order LDCT for eligible patients, using a process </w:t>
      </w:r>
      <w:proofErr w:type="gramStart"/>
      <w:r>
        <w:t>similar to</w:t>
      </w:r>
      <w:proofErr w:type="gramEnd"/>
      <w:r>
        <w:t xml:space="preserve"> what is in place for reminding patients of the importance of an annual mammogram. LDCT volume among the Plymouth Practice Patient Panel is expected to </w:t>
      </w:r>
      <w:r w:rsidRPr="00307942">
        <w:rPr>
          <w:rFonts w:ascii="Calibri" w:hAnsi="Calibri" w:cs="Calibri"/>
        </w:rPr>
        <w:t xml:space="preserve">increase </w:t>
      </w:r>
      <w:bookmarkStart w:id="28" w:name="_BPDCD_34"/>
      <w:r w:rsidRPr="00307942">
        <w:rPr>
          <w:rFonts w:ascii="Calibri" w:hAnsi="Calibri" w:cs="Calibri"/>
        </w:rPr>
        <w:t>proportiona</w:t>
      </w:r>
      <w:r w:rsidR="007B4309" w:rsidRPr="00307942">
        <w:rPr>
          <w:rFonts w:ascii="Calibri" w:hAnsi="Calibri" w:cs="Calibri"/>
        </w:rPr>
        <w:t>tel</w:t>
      </w:r>
      <w:r w:rsidRPr="00307942">
        <w:rPr>
          <w:rFonts w:ascii="Calibri" w:hAnsi="Calibri" w:cs="Calibri"/>
        </w:rPr>
        <w:t xml:space="preserve">y </w:t>
      </w:r>
      <w:bookmarkEnd w:id="28"/>
      <w:r w:rsidRPr="00307942">
        <w:rPr>
          <w:rFonts w:ascii="Calibri" w:hAnsi="Calibri" w:cs="Calibri"/>
        </w:rPr>
        <w:t>to</w:t>
      </w:r>
      <w:r>
        <w:t xml:space="preserve"> the total Atrius Health patient panel.  As of August 1, 2022, 67 unique PMG patients were enrolled in Atrius Health’s LDCT </w:t>
      </w:r>
      <w:r w:rsidR="006E3FD0">
        <w:t>program,</w:t>
      </w:r>
      <w:r>
        <w:t xml:space="preserve"> and 585 unique patient orders were placed for LDCT screening for the Plymouth Practice Patient Panel for the above referenced timeframe demonstrating need for access to CT exams. Early identification of lung cancer allows for better prognosis and decreased mortality</w:t>
      </w:r>
      <w:r>
        <w:rPr>
          <w:rStyle w:val="FootnoteReference"/>
        </w:rPr>
        <w:footnoteReference w:id="12"/>
      </w:r>
      <w:r>
        <w:t>.  According to the American Cancer Society, “screening with LDCT has been shown to substantially reduce the risk of dying from lung cancer.”</w:t>
      </w:r>
      <w:r>
        <w:rPr>
          <w:rStyle w:val="FootnoteReference"/>
        </w:rPr>
        <w:footnoteReference w:id="13"/>
      </w:r>
      <w:r>
        <w:rPr>
          <w:rFonts w:ascii="Arial" w:hAnsi="Arial" w:cs="Arial"/>
          <w:color w:val="1C1D1E"/>
          <w:shd w:val="clear" w:color="auto" w:fill="FFFFFF"/>
        </w:rPr>
        <w:t> </w:t>
      </w:r>
      <w:r>
        <w:t xml:space="preserve"> The table</w:t>
      </w:r>
      <w:r w:rsidR="00E756C2">
        <w:t xml:space="preserve"> below</w:t>
      </w:r>
      <w:r>
        <w:t xml:space="preserve"> demonstrates the Atrius Health LDCT program growth (note: 2020 </w:t>
      </w:r>
      <w:r w:rsidR="002620B2">
        <w:t xml:space="preserve">screening volume was </w:t>
      </w:r>
      <w:r>
        <w:t xml:space="preserve">affected by </w:t>
      </w:r>
      <w:r w:rsidR="002620B2">
        <w:t xml:space="preserve">the </w:t>
      </w:r>
      <w:r>
        <w:t xml:space="preserve">Public Health Emergency). </w:t>
      </w:r>
    </w:p>
    <w:tbl>
      <w:tblPr>
        <w:tblW w:w="8730" w:type="dxa"/>
        <w:tblInd w:w="1075" w:type="dxa"/>
        <w:tblLook w:val="04A0" w:firstRow="1" w:lastRow="0" w:firstColumn="1" w:lastColumn="0" w:noHBand="0" w:noVBand="1"/>
      </w:tblPr>
      <w:tblGrid>
        <w:gridCol w:w="1890"/>
        <w:gridCol w:w="2520"/>
        <w:gridCol w:w="4320"/>
      </w:tblGrid>
      <w:tr w:rsidR="00E736C2" w:rsidRPr="00C26AF8" w14:paraId="37CB5481" w14:textId="77777777" w:rsidTr="00C14A29">
        <w:trPr>
          <w:cantSplit/>
          <w:trHeight w:val="327"/>
          <w:tblHeader/>
        </w:trPr>
        <w:tc>
          <w:tcPr>
            <w:tcW w:w="873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7098FA68" w14:textId="29575BDB" w:rsidR="00E736C2" w:rsidRPr="00884312" w:rsidRDefault="00E736C2" w:rsidP="00884312">
            <w:pPr>
              <w:spacing w:after="0" w:line="240" w:lineRule="auto"/>
              <w:jc w:val="center"/>
              <w:rPr>
                <w:b/>
                <w:bCs/>
              </w:rPr>
            </w:pPr>
            <w:r w:rsidRPr="00E736C2">
              <w:rPr>
                <w:rFonts w:cstheme="minorHAnsi"/>
                <w:b/>
                <w:bCs/>
              </w:rPr>
              <w:t>Atrius</w:t>
            </w:r>
            <w:r w:rsidRPr="00E736C2">
              <w:rPr>
                <w:b/>
                <w:bCs/>
              </w:rPr>
              <w:t xml:space="preserve"> Health LDCT Program – CT screenings completed at Atrius Health</w:t>
            </w:r>
          </w:p>
        </w:tc>
      </w:tr>
      <w:tr w:rsidR="00F96C8F" w:rsidRPr="00C26AF8" w14:paraId="701F9876" w14:textId="77777777" w:rsidTr="00C14A29">
        <w:trPr>
          <w:cantSplit/>
          <w:trHeight w:val="957"/>
          <w:tblHeader/>
        </w:trPr>
        <w:tc>
          <w:tcPr>
            <w:tcW w:w="189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6D0CCF7" w14:textId="77777777" w:rsidR="00F96C8F" w:rsidRPr="00884312" w:rsidRDefault="00F96C8F" w:rsidP="00884312">
            <w:pPr>
              <w:spacing w:after="0" w:line="240" w:lineRule="auto"/>
              <w:jc w:val="center"/>
              <w:rPr>
                <w:rFonts w:ascii="Calibri" w:eastAsia="Times New Roman" w:hAnsi="Calibri" w:cs="Calibri"/>
                <w:b/>
                <w:bCs/>
                <w:color w:val="000000"/>
              </w:rPr>
            </w:pPr>
            <w:r w:rsidRPr="00884312">
              <w:rPr>
                <w:rFonts w:ascii="Calibri" w:eastAsia="Times New Roman" w:hAnsi="Calibri" w:cs="Calibri"/>
                <w:b/>
                <w:bCs/>
                <w:color w:val="000000"/>
              </w:rPr>
              <w:t>Year</w:t>
            </w:r>
          </w:p>
        </w:tc>
        <w:tc>
          <w:tcPr>
            <w:tcW w:w="252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0353FC59" w14:textId="77777777" w:rsidR="00F96C8F" w:rsidRPr="00884312" w:rsidRDefault="00F96C8F" w:rsidP="00884312">
            <w:pPr>
              <w:spacing w:after="0" w:line="240" w:lineRule="auto"/>
              <w:jc w:val="center"/>
              <w:rPr>
                <w:rFonts w:ascii="Calibri" w:eastAsia="Times New Roman" w:hAnsi="Calibri" w:cs="Calibri"/>
                <w:b/>
                <w:bCs/>
                <w:color w:val="000000"/>
              </w:rPr>
            </w:pPr>
            <w:r w:rsidRPr="00884312">
              <w:rPr>
                <w:rFonts w:ascii="Calibri" w:eastAsia="Times New Roman" w:hAnsi="Calibri" w:cs="Calibri"/>
                <w:b/>
                <w:bCs/>
                <w:color w:val="000000"/>
              </w:rPr>
              <w:t>New Patient/Initial LDCT Screenings</w:t>
            </w:r>
          </w:p>
        </w:tc>
        <w:tc>
          <w:tcPr>
            <w:tcW w:w="432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0B942634" w14:textId="2B8F7A1B" w:rsidR="00E756C2" w:rsidRPr="00884312" w:rsidRDefault="00E756C2" w:rsidP="00884312">
            <w:pPr>
              <w:spacing w:after="0" w:line="240" w:lineRule="auto"/>
              <w:jc w:val="center"/>
              <w:rPr>
                <w:rFonts w:ascii="Calibri" w:eastAsia="Times New Roman" w:hAnsi="Calibri" w:cs="Calibri"/>
                <w:b/>
                <w:bCs/>
                <w:color w:val="000000"/>
              </w:rPr>
            </w:pPr>
            <w:r w:rsidRPr="00884312">
              <w:rPr>
                <w:b/>
                <w:bCs/>
              </w:rPr>
              <w:t>Total LDCT Program Screenings (includes new patient/initial and follow-up screenings as part of the LDCT program</w:t>
            </w:r>
          </w:p>
          <w:p w14:paraId="480482ED" w14:textId="31E2A8BA" w:rsidR="00F96C8F" w:rsidRPr="00884312" w:rsidRDefault="00F96C8F" w:rsidP="00884312">
            <w:pPr>
              <w:spacing w:after="0" w:line="240" w:lineRule="auto"/>
              <w:jc w:val="center"/>
              <w:rPr>
                <w:rFonts w:ascii="Calibri" w:eastAsia="Times New Roman" w:hAnsi="Calibri" w:cs="Calibri"/>
                <w:b/>
                <w:bCs/>
                <w:color w:val="000000"/>
              </w:rPr>
            </w:pPr>
          </w:p>
        </w:tc>
      </w:tr>
      <w:tr w:rsidR="00F96C8F" w:rsidRPr="00C26AF8" w14:paraId="792AFB77" w14:textId="77777777" w:rsidTr="00C14A29">
        <w:trPr>
          <w:cantSplit/>
          <w:trHeight w:val="296"/>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0728D9F6" w14:textId="77777777"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2016</w:t>
            </w:r>
          </w:p>
        </w:tc>
        <w:tc>
          <w:tcPr>
            <w:tcW w:w="2520" w:type="dxa"/>
            <w:tcBorders>
              <w:top w:val="nil"/>
              <w:left w:val="nil"/>
              <w:bottom w:val="single" w:sz="4" w:space="0" w:color="auto"/>
              <w:right w:val="single" w:sz="4" w:space="0" w:color="auto"/>
            </w:tcBorders>
            <w:shd w:val="clear" w:color="auto" w:fill="auto"/>
            <w:noWrap/>
            <w:vAlign w:val="center"/>
            <w:hideMark/>
          </w:tcPr>
          <w:p w14:paraId="453E65D8" w14:textId="77777777"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471</w:t>
            </w:r>
          </w:p>
        </w:tc>
        <w:tc>
          <w:tcPr>
            <w:tcW w:w="4320" w:type="dxa"/>
            <w:tcBorders>
              <w:top w:val="nil"/>
              <w:left w:val="nil"/>
              <w:bottom w:val="single" w:sz="4" w:space="0" w:color="auto"/>
              <w:right w:val="single" w:sz="4" w:space="0" w:color="auto"/>
            </w:tcBorders>
            <w:shd w:val="clear" w:color="auto" w:fill="auto"/>
            <w:noWrap/>
            <w:vAlign w:val="center"/>
            <w:hideMark/>
          </w:tcPr>
          <w:p w14:paraId="05D5E125" w14:textId="1AA12F51"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1</w:t>
            </w:r>
            <w:r w:rsidR="00E736C2">
              <w:rPr>
                <w:rFonts w:ascii="Calibri" w:eastAsia="Times New Roman" w:hAnsi="Calibri" w:cs="Calibri"/>
                <w:color w:val="000000"/>
              </w:rPr>
              <w:t>,</w:t>
            </w:r>
            <w:r w:rsidRPr="00C26AF8">
              <w:rPr>
                <w:rFonts w:ascii="Calibri" w:eastAsia="Times New Roman" w:hAnsi="Calibri" w:cs="Calibri"/>
                <w:color w:val="000000"/>
              </w:rPr>
              <w:t>632</w:t>
            </w:r>
          </w:p>
        </w:tc>
      </w:tr>
      <w:tr w:rsidR="00F96C8F" w:rsidRPr="00C26AF8" w14:paraId="2AE285D8" w14:textId="77777777" w:rsidTr="00C14A29">
        <w:trPr>
          <w:cantSplit/>
          <w:trHeight w:val="296"/>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00FDF8D3" w14:textId="77777777"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2017</w:t>
            </w:r>
          </w:p>
        </w:tc>
        <w:tc>
          <w:tcPr>
            <w:tcW w:w="2520" w:type="dxa"/>
            <w:tcBorders>
              <w:top w:val="nil"/>
              <w:left w:val="nil"/>
              <w:bottom w:val="single" w:sz="4" w:space="0" w:color="auto"/>
              <w:right w:val="single" w:sz="4" w:space="0" w:color="auto"/>
            </w:tcBorders>
            <w:shd w:val="clear" w:color="auto" w:fill="auto"/>
            <w:noWrap/>
            <w:vAlign w:val="center"/>
            <w:hideMark/>
          </w:tcPr>
          <w:p w14:paraId="2A3F5C0B" w14:textId="77777777"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719</w:t>
            </w:r>
          </w:p>
        </w:tc>
        <w:tc>
          <w:tcPr>
            <w:tcW w:w="4320" w:type="dxa"/>
            <w:tcBorders>
              <w:top w:val="nil"/>
              <w:left w:val="nil"/>
              <w:bottom w:val="single" w:sz="4" w:space="0" w:color="auto"/>
              <w:right w:val="single" w:sz="4" w:space="0" w:color="auto"/>
            </w:tcBorders>
            <w:shd w:val="clear" w:color="auto" w:fill="auto"/>
            <w:noWrap/>
            <w:vAlign w:val="center"/>
            <w:hideMark/>
          </w:tcPr>
          <w:p w14:paraId="5BBADDF9" w14:textId="34A0EF26"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1</w:t>
            </w:r>
            <w:r w:rsidR="00E736C2">
              <w:rPr>
                <w:rFonts w:ascii="Calibri" w:eastAsia="Times New Roman" w:hAnsi="Calibri" w:cs="Calibri"/>
                <w:color w:val="000000"/>
              </w:rPr>
              <w:t>,</w:t>
            </w:r>
            <w:r w:rsidRPr="00C26AF8">
              <w:rPr>
                <w:rFonts w:ascii="Calibri" w:eastAsia="Times New Roman" w:hAnsi="Calibri" w:cs="Calibri"/>
                <w:color w:val="000000"/>
              </w:rPr>
              <w:t>929</w:t>
            </w:r>
          </w:p>
        </w:tc>
      </w:tr>
      <w:tr w:rsidR="00F96C8F" w:rsidRPr="00C26AF8" w14:paraId="193E63AD" w14:textId="77777777" w:rsidTr="00C14A29">
        <w:trPr>
          <w:cantSplit/>
          <w:trHeight w:val="296"/>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4F356C4F" w14:textId="77777777"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2018</w:t>
            </w:r>
          </w:p>
        </w:tc>
        <w:tc>
          <w:tcPr>
            <w:tcW w:w="2520" w:type="dxa"/>
            <w:tcBorders>
              <w:top w:val="nil"/>
              <w:left w:val="nil"/>
              <w:bottom w:val="single" w:sz="4" w:space="0" w:color="auto"/>
              <w:right w:val="single" w:sz="4" w:space="0" w:color="auto"/>
            </w:tcBorders>
            <w:shd w:val="clear" w:color="auto" w:fill="auto"/>
            <w:noWrap/>
            <w:vAlign w:val="center"/>
            <w:hideMark/>
          </w:tcPr>
          <w:p w14:paraId="4F88FF6B" w14:textId="77777777"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608</w:t>
            </w:r>
          </w:p>
        </w:tc>
        <w:tc>
          <w:tcPr>
            <w:tcW w:w="4320" w:type="dxa"/>
            <w:tcBorders>
              <w:top w:val="nil"/>
              <w:left w:val="nil"/>
              <w:bottom w:val="single" w:sz="4" w:space="0" w:color="auto"/>
              <w:right w:val="single" w:sz="4" w:space="0" w:color="auto"/>
            </w:tcBorders>
            <w:shd w:val="clear" w:color="auto" w:fill="auto"/>
            <w:noWrap/>
            <w:vAlign w:val="center"/>
            <w:hideMark/>
          </w:tcPr>
          <w:p w14:paraId="55BB9B37" w14:textId="1D034B8A"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2</w:t>
            </w:r>
            <w:r w:rsidR="00E736C2">
              <w:rPr>
                <w:rFonts w:ascii="Calibri" w:eastAsia="Times New Roman" w:hAnsi="Calibri" w:cs="Calibri"/>
                <w:color w:val="000000"/>
              </w:rPr>
              <w:t>,</w:t>
            </w:r>
            <w:r w:rsidRPr="00C26AF8">
              <w:rPr>
                <w:rFonts w:ascii="Calibri" w:eastAsia="Times New Roman" w:hAnsi="Calibri" w:cs="Calibri"/>
                <w:color w:val="000000"/>
              </w:rPr>
              <w:t>130</w:t>
            </w:r>
          </w:p>
        </w:tc>
      </w:tr>
      <w:tr w:rsidR="00F96C8F" w:rsidRPr="00C26AF8" w14:paraId="348168CC" w14:textId="77777777" w:rsidTr="00C14A29">
        <w:trPr>
          <w:cantSplit/>
          <w:trHeight w:val="296"/>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09829D65" w14:textId="77777777"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2019</w:t>
            </w:r>
          </w:p>
        </w:tc>
        <w:tc>
          <w:tcPr>
            <w:tcW w:w="2520" w:type="dxa"/>
            <w:tcBorders>
              <w:top w:val="nil"/>
              <w:left w:val="nil"/>
              <w:bottom w:val="single" w:sz="4" w:space="0" w:color="auto"/>
              <w:right w:val="single" w:sz="4" w:space="0" w:color="auto"/>
            </w:tcBorders>
            <w:shd w:val="clear" w:color="auto" w:fill="auto"/>
            <w:noWrap/>
            <w:vAlign w:val="center"/>
            <w:hideMark/>
          </w:tcPr>
          <w:p w14:paraId="72DCF259" w14:textId="77777777"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634</w:t>
            </w:r>
          </w:p>
        </w:tc>
        <w:tc>
          <w:tcPr>
            <w:tcW w:w="4320" w:type="dxa"/>
            <w:tcBorders>
              <w:top w:val="nil"/>
              <w:left w:val="nil"/>
              <w:bottom w:val="single" w:sz="4" w:space="0" w:color="auto"/>
              <w:right w:val="single" w:sz="4" w:space="0" w:color="auto"/>
            </w:tcBorders>
            <w:shd w:val="clear" w:color="auto" w:fill="auto"/>
            <w:noWrap/>
            <w:vAlign w:val="center"/>
            <w:hideMark/>
          </w:tcPr>
          <w:p w14:paraId="214A2530" w14:textId="2275B298"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2</w:t>
            </w:r>
            <w:r w:rsidR="00E736C2">
              <w:rPr>
                <w:rFonts w:ascii="Calibri" w:eastAsia="Times New Roman" w:hAnsi="Calibri" w:cs="Calibri"/>
                <w:color w:val="000000"/>
              </w:rPr>
              <w:t>,</w:t>
            </w:r>
            <w:r w:rsidRPr="00C26AF8">
              <w:rPr>
                <w:rFonts w:ascii="Calibri" w:eastAsia="Times New Roman" w:hAnsi="Calibri" w:cs="Calibri"/>
                <w:color w:val="000000"/>
              </w:rPr>
              <w:t>510</w:t>
            </w:r>
          </w:p>
        </w:tc>
      </w:tr>
      <w:tr w:rsidR="00F96C8F" w:rsidRPr="00C26AF8" w14:paraId="301099BA" w14:textId="77777777" w:rsidTr="00C14A29">
        <w:trPr>
          <w:cantSplit/>
          <w:trHeight w:val="296"/>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639E2316" w14:textId="77777777"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2020</w:t>
            </w:r>
          </w:p>
        </w:tc>
        <w:tc>
          <w:tcPr>
            <w:tcW w:w="2520" w:type="dxa"/>
            <w:tcBorders>
              <w:top w:val="nil"/>
              <w:left w:val="nil"/>
              <w:bottom w:val="single" w:sz="4" w:space="0" w:color="auto"/>
              <w:right w:val="single" w:sz="4" w:space="0" w:color="auto"/>
            </w:tcBorders>
            <w:shd w:val="clear" w:color="auto" w:fill="auto"/>
            <w:noWrap/>
            <w:vAlign w:val="center"/>
            <w:hideMark/>
          </w:tcPr>
          <w:p w14:paraId="44B5000C" w14:textId="77777777"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356</w:t>
            </w:r>
          </w:p>
        </w:tc>
        <w:tc>
          <w:tcPr>
            <w:tcW w:w="4320" w:type="dxa"/>
            <w:tcBorders>
              <w:top w:val="nil"/>
              <w:left w:val="nil"/>
              <w:bottom w:val="single" w:sz="4" w:space="0" w:color="auto"/>
              <w:right w:val="single" w:sz="4" w:space="0" w:color="auto"/>
            </w:tcBorders>
            <w:shd w:val="clear" w:color="auto" w:fill="auto"/>
            <w:noWrap/>
            <w:vAlign w:val="center"/>
            <w:hideMark/>
          </w:tcPr>
          <w:p w14:paraId="6ECFAC44" w14:textId="1851334F"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2</w:t>
            </w:r>
            <w:r w:rsidR="00E736C2">
              <w:rPr>
                <w:rFonts w:ascii="Calibri" w:eastAsia="Times New Roman" w:hAnsi="Calibri" w:cs="Calibri"/>
                <w:color w:val="000000"/>
              </w:rPr>
              <w:t>,</w:t>
            </w:r>
            <w:r w:rsidRPr="00C26AF8">
              <w:rPr>
                <w:rFonts w:ascii="Calibri" w:eastAsia="Times New Roman" w:hAnsi="Calibri" w:cs="Calibri"/>
                <w:color w:val="000000"/>
              </w:rPr>
              <w:t>308</w:t>
            </w:r>
          </w:p>
        </w:tc>
      </w:tr>
      <w:tr w:rsidR="00F96C8F" w:rsidRPr="00C26AF8" w14:paraId="46F7C1D8" w14:textId="77777777" w:rsidTr="00C14A29">
        <w:trPr>
          <w:cantSplit/>
          <w:trHeight w:val="296"/>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07E63324" w14:textId="77777777"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2021</w:t>
            </w:r>
          </w:p>
        </w:tc>
        <w:tc>
          <w:tcPr>
            <w:tcW w:w="2520" w:type="dxa"/>
            <w:tcBorders>
              <w:top w:val="nil"/>
              <w:left w:val="nil"/>
              <w:bottom w:val="single" w:sz="4" w:space="0" w:color="auto"/>
              <w:right w:val="single" w:sz="4" w:space="0" w:color="auto"/>
            </w:tcBorders>
            <w:shd w:val="clear" w:color="auto" w:fill="auto"/>
            <w:noWrap/>
            <w:vAlign w:val="center"/>
            <w:hideMark/>
          </w:tcPr>
          <w:p w14:paraId="254492E5" w14:textId="77777777"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750</w:t>
            </w:r>
          </w:p>
        </w:tc>
        <w:tc>
          <w:tcPr>
            <w:tcW w:w="4320" w:type="dxa"/>
            <w:tcBorders>
              <w:top w:val="nil"/>
              <w:left w:val="nil"/>
              <w:bottom w:val="single" w:sz="4" w:space="0" w:color="auto"/>
              <w:right w:val="single" w:sz="4" w:space="0" w:color="auto"/>
            </w:tcBorders>
            <w:shd w:val="clear" w:color="auto" w:fill="auto"/>
            <w:noWrap/>
            <w:vAlign w:val="center"/>
            <w:hideMark/>
          </w:tcPr>
          <w:p w14:paraId="52C4121D" w14:textId="7E2A191D"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2</w:t>
            </w:r>
            <w:r w:rsidR="00E736C2">
              <w:rPr>
                <w:rFonts w:ascii="Calibri" w:eastAsia="Times New Roman" w:hAnsi="Calibri" w:cs="Calibri"/>
                <w:color w:val="000000"/>
              </w:rPr>
              <w:t>,</w:t>
            </w:r>
            <w:r w:rsidRPr="00C26AF8">
              <w:rPr>
                <w:rFonts w:ascii="Calibri" w:eastAsia="Times New Roman" w:hAnsi="Calibri" w:cs="Calibri"/>
                <w:color w:val="000000"/>
              </w:rPr>
              <w:t>945</w:t>
            </w:r>
          </w:p>
        </w:tc>
      </w:tr>
      <w:tr w:rsidR="00F96C8F" w:rsidRPr="00C26AF8" w14:paraId="5D3D2302" w14:textId="77777777" w:rsidTr="00C14A29">
        <w:trPr>
          <w:cantSplit/>
          <w:trHeight w:val="296"/>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136FB71E" w14:textId="77777777" w:rsidR="00BA62C6"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 xml:space="preserve">2022 </w:t>
            </w:r>
          </w:p>
          <w:p w14:paraId="29D4571C" w14:textId="1E252E58" w:rsidR="00F96C8F" w:rsidRPr="00C26AF8" w:rsidRDefault="00F96C8F" w:rsidP="00884312">
            <w:pPr>
              <w:spacing w:after="0" w:line="240" w:lineRule="auto"/>
              <w:jc w:val="center"/>
              <w:rPr>
                <w:rFonts w:ascii="Calibri" w:eastAsia="Times New Roman" w:hAnsi="Calibri" w:cs="Calibri"/>
                <w:color w:val="000000"/>
              </w:rPr>
            </w:pPr>
            <w:r w:rsidRPr="00E736C2">
              <w:rPr>
                <w:rFonts w:ascii="Calibri" w:eastAsia="Times New Roman" w:hAnsi="Calibri" w:cs="Calibri"/>
                <w:color w:val="000000"/>
                <w:sz w:val="20"/>
                <w:szCs w:val="20"/>
              </w:rPr>
              <w:t>(</w:t>
            </w:r>
            <w:proofErr w:type="gramStart"/>
            <w:r w:rsidRPr="00E736C2">
              <w:rPr>
                <w:rFonts w:ascii="Calibri" w:eastAsia="Times New Roman" w:hAnsi="Calibri" w:cs="Calibri"/>
                <w:color w:val="000000"/>
                <w:sz w:val="20"/>
                <w:szCs w:val="20"/>
              </w:rPr>
              <w:t>thru</w:t>
            </w:r>
            <w:proofErr w:type="gramEnd"/>
            <w:r w:rsidRPr="00E736C2">
              <w:rPr>
                <w:rFonts w:ascii="Calibri" w:eastAsia="Times New Roman" w:hAnsi="Calibri" w:cs="Calibri"/>
                <w:color w:val="000000"/>
                <w:sz w:val="20"/>
                <w:szCs w:val="20"/>
              </w:rPr>
              <w:t xml:space="preserve"> 8/5/22)</w:t>
            </w:r>
          </w:p>
        </w:tc>
        <w:tc>
          <w:tcPr>
            <w:tcW w:w="2520" w:type="dxa"/>
            <w:tcBorders>
              <w:top w:val="nil"/>
              <w:left w:val="nil"/>
              <w:bottom w:val="single" w:sz="4" w:space="0" w:color="auto"/>
              <w:right w:val="single" w:sz="4" w:space="0" w:color="auto"/>
            </w:tcBorders>
            <w:shd w:val="clear" w:color="auto" w:fill="auto"/>
            <w:noWrap/>
            <w:vAlign w:val="center"/>
            <w:hideMark/>
          </w:tcPr>
          <w:p w14:paraId="521E8644" w14:textId="77777777"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876</w:t>
            </w:r>
          </w:p>
        </w:tc>
        <w:tc>
          <w:tcPr>
            <w:tcW w:w="4320" w:type="dxa"/>
            <w:tcBorders>
              <w:top w:val="nil"/>
              <w:left w:val="nil"/>
              <w:bottom w:val="single" w:sz="4" w:space="0" w:color="auto"/>
              <w:right w:val="single" w:sz="4" w:space="0" w:color="auto"/>
            </w:tcBorders>
            <w:shd w:val="clear" w:color="auto" w:fill="auto"/>
            <w:noWrap/>
            <w:vAlign w:val="center"/>
            <w:hideMark/>
          </w:tcPr>
          <w:p w14:paraId="7811C846" w14:textId="30126F50" w:rsidR="00F96C8F" w:rsidRPr="00C26AF8" w:rsidRDefault="00F96C8F" w:rsidP="00884312">
            <w:pPr>
              <w:spacing w:after="0" w:line="240" w:lineRule="auto"/>
              <w:jc w:val="center"/>
              <w:rPr>
                <w:rFonts w:ascii="Calibri" w:eastAsia="Times New Roman" w:hAnsi="Calibri" w:cs="Calibri"/>
                <w:color w:val="000000"/>
              </w:rPr>
            </w:pPr>
            <w:r w:rsidRPr="00C26AF8">
              <w:rPr>
                <w:rFonts w:ascii="Calibri" w:eastAsia="Times New Roman" w:hAnsi="Calibri" w:cs="Calibri"/>
                <w:color w:val="000000"/>
              </w:rPr>
              <w:t>2</w:t>
            </w:r>
            <w:r w:rsidR="00E736C2">
              <w:rPr>
                <w:rFonts w:ascii="Calibri" w:eastAsia="Times New Roman" w:hAnsi="Calibri" w:cs="Calibri"/>
                <w:color w:val="000000"/>
              </w:rPr>
              <w:t>,</w:t>
            </w:r>
            <w:r w:rsidRPr="00C26AF8">
              <w:rPr>
                <w:rFonts w:ascii="Calibri" w:eastAsia="Times New Roman" w:hAnsi="Calibri" w:cs="Calibri"/>
                <w:color w:val="000000"/>
              </w:rPr>
              <w:t>133</w:t>
            </w:r>
          </w:p>
        </w:tc>
      </w:tr>
      <w:tr w:rsidR="00F96C8F" w:rsidRPr="00C26AF8" w14:paraId="26A6C40B" w14:textId="77777777" w:rsidTr="00C14A29">
        <w:trPr>
          <w:cantSplit/>
          <w:trHeight w:val="296"/>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0D74EE0E" w14:textId="77777777" w:rsidR="00F96C8F" w:rsidRPr="00BA62C6" w:rsidRDefault="00F96C8F" w:rsidP="00884312">
            <w:pPr>
              <w:spacing w:after="0" w:line="240" w:lineRule="auto"/>
              <w:jc w:val="center"/>
              <w:rPr>
                <w:rFonts w:ascii="Calibri" w:eastAsia="Times New Roman" w:hAnsi="Calibri" w:cs="Calibri"/>
                <w:b/>
                <w:bCs/>
                <w:color w:val="000000"/>
              </w:rPr>
            </w:pPr>
            <w:r w:rsidRPr="00BA62C6">
              <w:rPr>
                <w:rFonts w:ascii="Calibri" w:eastAsia="Times New Roman" w:hAnsi="Calibri" w:cs="Calibri"/>
                <w:b/>
                <w:bCs/>
                <w:color w:val="000000"/>
              </w:rPr>
              <w:t>Grand Total</w:t>
            </w:r>
          </w:p>
        </w:tc>
        <w:tc>
          <w:tcPr>
            <w:tcW w:w="2520" w:type="dxa"/>
            <w:tcBorders>
              <w:top w:val="nil"/>
              <w:left w:val="nil"/>
              <w:bottom w:val="single" w:sz="4" w:space="0" w:color="auto"/>
              <w:right w:val="single" w:sz="4" w:space="0" w:color="auto"/>
            </w:tcBorders>
            <w:shd w:val="clear" w:color="auto" w:fill="auto"/>
            <w:noWrap/>
            <w:vAlign w:val="center"/>
            <w:hideMark/>
          </w:tcPr>
          <w:p w14:paraId="59DD38E5" w14:textId="4C1AEEF9" w:rsidR="00F96C8F" w:rsidRPr="00BA62C6" w:rsidRDefault="00F96C8F" w:rsidP="00884312">
            <w:pPr>
              <w:spacing w:after="0" w:line="240" w:lineRule="auto"/>
              <w:jc w:val="center"/>
              <w:rPr>
                <w:rFonts w:ascii="Calibri" w:eastAsia="Times New Roman" w:hAnsi="Calibri" w:cs="Calibri"/>
                <w:b/>
                <w:bCs/>
                <w:color w:val="000000"/>
              </w:rPr>
            </w:pPr>
            <w:r w:rsidRPr="00BA62C6">
              <w:rPr>
                <w:rFonts w:ascii="Calibri" w:eastAsia="Times New Roman" w:hAnsi="Calibri" w:cs="Calibri"/>
                <w:b/>
                <w:bCs/>
                <w:color w:val="000000"/>
              </w:rPr>
              <w:t>4</w:t>
            </w:r>
            <w:r w:rsidR="00E736C2">
              <w:rPr>
                <w:rFonts w:ascii="Calibri" w:eastAsia="Times New Roman" w:hAnsi="Calibri" w:cs="Calibri"/>
                <w:b/>
                <w:bCs/>
                <w:color w:val="000000"/>
              </w:rPr>
              <w:t>,</w:t>
            </w:r>
            <w:r w:rsidRPr="00BA62C6">
              <w:rPr>
                <w:rFonts w:ascii="Calibri" w:eastAsia="Times New Roman" w:hAnsi="Calibri" w:cs="Calibri"/>
                <w:b/>
                <w:bCs/>
                <w:color w:val="000000"/>
              </w:rPr>
              <w:t>414</w:t>
            </w:r>
          </w:p>
        </w:tc>
        <w:tc>
          <w:tcPr>
            <w:tcW w:w="4320" w:type="dxa"/>
            <w:tcBorders>
              <w:top w:val="nil"/>
              <w:left w:val="nil"/>
              <w:bottom w:val="single" w:sz="4" w:space="0" w:color="auto"/>
              <w:right w:val="single" w:sz="4" w:space="0" w:color="auto"/>
            </w:tcBorders>
            <w:shd w:val="clear" w:color="auto" w:fill="auto"/>
            <w:noWrap/>
            <w:vAlign w:val="center"/>
            <w:hideMark/>
          </w:tcPr>
          <w:p w14:paraId="16DC90AC" w14:textId="4E451A9E" w:rsidR="00F96C8F" w:rsidRPr="00BA62C6" w:rsidRDefault="00F96C8F" w:rsidP="00884312">
            <w:pPr>
              <w:spacing w:after="0" w:line="240" w:lineRule="auto"/>
              <w:jc w:val="center"/>
              <w:rPr>
                <w:rFonts w:ascii="Calibri" w:eastAsia="Times New Roman" w:hAnsi="Calibri" w:cs="Calibri"/>
                <w:b/>
                <w:bCs/>
                <w:color w:val="000000"/>
              </w:rPr>
            </w:pPr>
            <w:r w:rsidRPr="00BA62C6">
              <w:rPr>
                <w:rFonts w:ascii="Calibri" w:eastAsia="Times New Roman" w:hAnsi="Calibri" w:cs="Calibri"/>
                <w:b/>
                <w:bCs/>
                <w:color w:val="000000"/>
              </w:rPr>
              <w:t>15</w:t>
            </w:r>
            <w:r w:rsidR="00E736C2">
              <w:rPr>
                <w:rFonts w:ascii="Calibri" w:eastAsia="Times New Roman" w:hAnsi="Calibri" w:cs="Calibri"/>
                <w:b/>
                <w:bCs/>
                <w:color w:val="000000"/>
              </w:rPr>
              <w:t>,</w:t>
            </w:r>
            <w:r w:rsidRPr="00BA62C6">
              <w:rPr>
                <w:rFonts w:ascii="Calibri" w:eastAsia="Times New Roman" w:hAnsi="Calibri" w:cs="Calibri"/>
                <w:b/>
                <w:bCs/>
                <w:color w:val="000000"/>
              </w:rPr>
              <w:t>587</w:t>
            </w:r>
          </w:p>
        </w:tc>
      </w:tr>
    </w:tbl>
    <w:p w14:paraId="5FBD20F5" w14:textId="77777777" w:rsidR="00BA62C6" w:rsidRDefault="00BA62C6" w:rsidP="00B174F1">
      <w:pPr>
        <w:spacing w:after="0"/>
        <w:rPr>
          <w:b/>
        </w:rPr>
      </w:pPr>
    </w:p>
    <w:p w14:paraId="351B4BA9" w14:textId="0414043E" w:rsidR="00F96C8F" w:rsidRDefault="00FB0D19" w:rsidP="00BA62C6">
      <w:pPr>
        <w:spacing w:after="0" w:line="240" w:lineRule="auto"/>
        <w:rPr>
          <w:b/>
        </w:rPr>
      </w:pPr>
      <w:r>
        <w:rPr>
          <w:b/>
        </w:rPr>
        <w:t xml:space="preserve">  </w:t>
      </w:r>
      <w:r w:rsidR="00F96C8F" w:rsidRPr="005F62DD">
        <w:rPr>
          <w:b/>
        </w:rPr>
        <w:t xml:space="preserve">F1.a.iii Competition: </w:t>
      </w:r>
    </w:p>
    <w:p w14:paraId="73326E2E" w14:textId="081C8493" w:rsidR="00F96C8F" w:rsidRDefault="00F96C8F" w:rsidP="00A046A7">
      <w:pPr>
        <w:keepNext/>
        <w:keepLines/>
        <w:spacing w:after="0" w:line="240" w:lineRule="auto"/>
        <w:ind w:left="720"/>
        <w:jc w:val="both"/>
        <w:rPr>
          <w:b/>
        </w:rPr>
      </w:pPr>
      <w:r w:rsidRPr="005F62DD">
        <w:rPr>
          <w:b/>
        </w:rPr>
        <w:t xml:space="preserve">Provide evidence that the Proposed Project will compete </w:t>
      </w:r>
      <w:proofErr w:type="gramStart"/>
      <w:r w:rsidRPr="005F62DD">
        <w:rPr>
          <w:b/>
        </w:rPr>
        <w:t>on the basis of</w:t>
      </w:r>
      <w:proofErr w:type="gramEnd"/>
      <w:r w:rsidRPr="005F62DD">
        <w:rPr>
          <w:b/>
        </w:rPr>
        <w:t xml:space="preserve"> price, total medical expenses, provider costs, and other recognized measures of health care spending. When responding to this question, please consider Factor 4, Financial Feasibility and Reasonableness of Costs.</w:t>
      </w:r>
      <w:r>
        <w:rPr>
          <w:b/>
        </w:rPr>
        <w:t xml:space="preserve">  </w:t>
      </w:r>
    </w:p>
    <w:p w14:paraId="4916C25C" w14:textId="77777777" w:rsidR="006E733D" w:rsidRDefault="006E733D" w:rsidP="006E733D">
      <w:pPr>
        <w:keepNext/>
        <w:keepLines/>
        <w:spacing w:after="0"/>
      </w:pPr>
    </w:p>
    <w:p w14:paraId="70B9C81B" w14:textId="3B2BA464" w:rsidR="00F96C8F" w:rsidRDefault="00F96C8F" w:rsidP="00E736C2">
      <w:pPr>
        <w:ind w:left="720"/>
        <w:jc w:val="both"/>
      </w:pPr>
      <w:r>
        <w:t xml:space="preserve">The Proposed Project will compete </w:t>
      </w:r>
      <w:proofErr w:type="gramStart"/>
      <w:r>
        <w:t>on the basis of</w:t>
      </w:r>
      <w:proofErr w:type="gramEnd"/>
      <w:r>
        <w:t xml:space="preserve"> price, total medical expense, provider costs and other recognized measures of health care spending because it will provide a lower cost alternative to the only CT and MRI available to the Plymouth region located at a higher cost hospital outpatient department.  The </w:t>
      </w:r>
      <w:r w:rsidRPr="00D353A7">
        <w:rPr>
          <w:rFonts w:cstheme="minorHAnsi"/>
        </w:rPr>
        <w:t>Proposed</w:t>
      </w:r>
      <w:r>
        <w:t xml:space="preserve"> Project will allow Atrius</w:t>
      </w:r>
      <w:r w:rsidR="000035C8">
        <w:t xml:space="preserve"> Health</w:t>
      </w:r>
      <w:r>
        <w:t xml:space="preserve"> patients to receive care not only at a lower cost, but also with improved coordination of care, since Atrius Health uses a single, integrated EMR across its practices. Additionally, value-based primary care is at the core of the practice’s strategy, operations, and culture.  Atrius Health derives nearly </w:t>
      </w:r>
      <w:r w:rsidRPr="00554845">
        <w:t>85%</w:t>
      </w:r>
      <w:r>
        <w:t xml:space="preserve"> of its revenue from risk-based arrangements.  Its core business model creates value for patients, purchasers, and public and private payers by leveraging population-based payments to deliver market leading total medical expense </w:t>
      </w:r>
      <w:r>
        <w:lastRenderedPageBreak/>
        <w:t xml:space="preserve">performance, with </w:t>
      </w:r>
      <w:proofErr w:type="gramStart"/>
      <w:r>
        <w:t>particular efficiency</w:t>
      </w:r>
      <w:proofErr w:type="gramEnd"/>
      <w:r>
        <w:t xml:space="preserve"> in inpatient and outpatient hospital </w:t>
      </w:r>
      <w:r w:rsidRPr="00307942">
        <w:rPr>
          <w:rFonts w:ascii="Calibri" w:hAnsi="Calibri" w:cs="Calibri"/>
        </w:rPr>
        <w:t xml:space="preserve">utilization, </w:t>
      </w:r>
      <w:bookmarkStart w:id="29" w:name="_BPDCD_35"/>
      <w:r w:rsidR="007B4309" w:rsidRPr="00307942">
        <w:rPr>
          <w:rFonts w:ascii="Calibri" w:hAnsi="Calibri" w:cs="Calibri"/>
        </w:rPr>
        <w:t>while providing a very high</w:t>
      </w:r>
      <w:r w:rsidRPr="00307942">
        <w:rPr>
          <w:rFonts w:ascii="Calibri" w:hAnsi="Calibri" w:cs="Calibri"/>
        </w:rPr>
        <w:t xml:space="preserve"> </w:t>
      </w:r>
      <w:bookmarkEnd w:id="29"/>
      <w:r w:rsidRPr="00307942">
        <w:rPr>
          <w:rFonts w:ascii="Calibri" w:hAnsi="Calibri" w:cs="Calibri"/>
        </w:rPr>
        <w:t xml:space="preserve">quality of care. The most recent HPC cost trends report shows Atrius Health with the lowest </w:t>
      </w:r>
      <w:bookmarkStart w:id="30" w:name="_BPDCD_36"/>
      <w:r w:rsidRPr="00307942">
        <w:rPr>
          <w:rFonts w:ascii="Calibri" w:hAnsi="Calibri" w:cs="Calibri"/>
        </w:rPr>
        <w:t>percent</w:t>
      </w:r>
      <w:r w:rsidR="007B4309" w:rsidRPr="00307942">
        <w:rPr>
          <w:rFonts w:ascii="Calibri" w:hAnsi="Calibri" w:cs="Calibri"/>
        </w:rPr>
        <w:t>age among provider</w:t>
      </w:r>
      <w:r w:rsidR="007B4309">
        <w:rPr>
          <w:rFonts w:cstheme="minorHAnsi"/>
          <w:color w:val="0000FF"/>
          <w:u w:val="double"/>
        </w:rPr>
        <w:t xml:space="preserve"> </w:t>
      </w:r>
      <w:r w:rsidR="007B4309" w:rsidRPr="00307942">
        <w:rPr>
          <w:rFonts w:ascii="Calibri" w:hAnsi="Calibri" w:cs="Calibri"/>
        </w:rPr>
        <w:t>organizations</w:t>
      </w:r>
      <w:r w:rsidRPr="00307942">
        <w:rPr>
          <w:rFonts w:ascii="Calibri" w:hAnsi="Calibri" w:cs="Calibri"/>
        </w:rPr>
        <w:t xml:space="preserve"> </w:t>
      </w:r>
      <w:bookmarkEnd w:id="30"/>
      <w:r w:rsidRPr="00307942">
        <w:rPr>
          <w:rFonts w:ascii="Calibri" w:hAnsi="Calibri" w:cs="Calibri"/>
        </w:rPr>
        <w:t>of certain</w:t>
      </w:r>
      <w:r>
        <w:rPr>
          <w:rFonts w:cstheme="minorHAnsi"/>
        </w:rPr>
        <w:t xml:space="preserve"> services encounters taking place at a hospital outpatient department in 2019, and second lowest in 2020.</w:t>
      </w:r>
      <w:r>
        <w:rPr>
          <w:rStyle w:val="FootnoteReference"/>
          <w:rFonts w:cstheme="minorHAnsi"/>
        </w:rPr>
        <w:footnoteReference w:id="14"/>
      </w:r>
      <w:r>
        <w:rPr>
          <w:rFonts w:cstheme="minorHAnsi"/>
        </w:rPr>
        <w:t xml:space="preserve"> </w:t>
      </w:r>
      <w:r>
        <w:t xml:space="preserve"> Atrius Health delivers medically necessary imaging services throughout its </w:t>
      </w:r>
      <w:r w:rsidRPr="00307942">
        <w:rPr>
          <w:rFonts w:ascii="Calibri" w:hAnsi="Calibri" w:cs="Calibri"/>
        </w:rPr>
        <w:t xml:space="preserve">practices </w:t>
      </w:r>
      <w:bookmarkStart w:id="31" w:name="_BPDCD_37"/>
      <w:r w:rsidR="007B4309" w:rsidRPr="00307942">
        <w:rPr>
          <w:rFonts w:ascii="Calibri" w:hAnsi="Calibri" w:cs="Calibri"/>
        </w:rPr>
        <w:t>through</w:t>
      </w:r>
      <w:r w:rsidRPr="00307942">
        <w:rPr>
          <w:rFonts w:ascii="Calibri" w:hAnsi="Calibri" w:cs="Calibri"/>
        </w:rPr>
        <w:t xml:space="preserve"> </w:t>
      </w:r>
      <w:bookmarkEnd w:id="31"/>
      <w:r w:rsidRPr="00307942">
        <w:rPr>
          <w:rFonts w:ascii="Calibri" w:hAnsi="Calibri" w:cs="Calibri"/>
        </w:rPr>
        <w:t>fully</w:t>
      </w:r>
      <w:r>
        <w:t xml:space="preserve"> integrated team of radiologists. Because Atrius Health operates as one system, using fully integrated </w:t>
      </w:r>
      <w:r w:rsidR="000035C8">
        <w:t xml:space="preserve">EMR and </w:t>
      </w:r>
      <w:r w:rsidR="000035C8" w:rsidRPr="005C0A95">
        <w:t>PACS</w:t>
      </w:r>
      <w:r w:rsidR="000035C8">
        <w:t xml:space="preserve"> </w:t>
      </w:r>
      <w:r>
        <w:t>software platforms</w:t>
      </w:r>
      <w:r w:rsidR="000035C8">
        <w:t>,</w:t>
      </w:r>
      <w:r>
        <w:t xml:space="preserve"> </w:t>
      </w:r>
      <w:r w:rsidR="000035C8">
        <w:t>A</w:t>
      </w:r>
      <w:r>
        <w:t xml:space="preserve">trius Health </w:t>
      </w:r>
      <w:r w:rsidR="006E3FD0">
        <w:t>can</w:t>
      </w:r>
      <w:r>
        <w:t xml:space="preserve"> operate at a high level of efficiency and at a lower cost per </w:t>
      </w:r>
      <w:r w:rsidR="000035C8">
        <w:t xml:space="preserve">imaging </w:t>
      </w:r>
      <w:r>
        <w:t xml:space="preserve">exam. </w:t>
      </w:r>
    </w:p>
    <w:p w14:paraId="223E9525" w14:textId="110BAF8B" w:rsidR="00884312" w:rsidRDefault="00F96C8F" w:rsidP="00E736C2">
      <w:pPr>
        <w:ind w:left="720"/>
        <w:jc w:val="both"/>
      </w:pPr>
      <w:r w:rsidRPr="00307942">
        <w:rPr>
          <w:rFonts w:ascii="Calibri" w:hAnsi="Calibri" w:cs="Calibri"/>
        </w:rPr>
        <w:t xml:space="preserve">The </w:t>
      </w:r>
      <w:bookmarkStart w:id="32" w:name="_BPDCD_38"/>
      <w:r w:rsidRPr="00307942">
        <w:rPr>
          <w:rFonts w:ascii="Calibri" w:hAnsi="Calibri" w:cs="Calibri"/>
        </w:rPr>
        <w:t xml:space="preserve">HPC </w:t>
      </w:r>
      <w:bookmarkEnd w:id="32"/>
      <w:r w:rsidRPr="00307942">
        <w:rPr>
          <w:rFonts w:ascii="Calibri" w:hAnsi="Calibri" w:cs="Calibri"/>
        </w:rPr>
        <w:t>reported</w:t>
      </w:r>
      <w:r>
        <w:t xml:space="preserve"> in its Board Meeting on June 8, </w:t>
      </w:r>
      <w:r w:rsidR="006E3FD0">
        <w:t>2022,</w:t>
      </w:r>
      <w:r>
        <w:t xml:space="preserve"> that Atrius Health was consistently among the three provider groups with the lowest unadjusted total medical spending </w:t>
      </w:r>
      <w:r w:rsidRPr="00AA2B61">
        <w:t>PMPY</w:t>
      </w:r>
      <w:bookmarkStart w:id="33" w:name="_BPDCD_40"/>
      <w:r w:rsidR="00B71584" w:rsidRPr="00F857A9">
        <w:t xml:space="preserve"> </w:t>
      </w:r>
      <w:bookmarkEnd w:id="33"/>
      <w:r>
        <w:t xml:space="preserve">for the </w:t>
      </w:r>
      <w:r w:rsidR="006E3FD0">
        <w:t>five-year</w:t>
      </w:r>
      <w:r>
        <w:t xml:space="preserve"> period 2015-2020.</w:t>
      </w:r>
      <w:r>
        <w:rPr>
          <w:rStyle w:val="FootnoteReference"/>
        </w:rPr>
        <w:footnoteReference w:id="15"/>
      </w:r>
      <w:r>
        <w:t xml:space="preserve"> After </w:t>
      </w:r>
      <w:r w:rsidRPr="00D353A7">
        <w:rPr>
          <w:rFonts w:cstheme="minorHAnsi"/>
        </w:rPr>
        <w:t>adjusting</w:t>
      </w:r>
      <w:r>
        <w:t xml:space="preserve"> for patient risk scores and other characteristics, the HPC reported Atrius Health had the second lowest medical claims spending PMPY in 2019</w:t>
      </w:r>
      <w:r>
        <w:rPr>
          <w:rStyle w:val="FootnoteReference"/>
        </w:rPr>
        <w:footnoteReference w:id="16"/>
      </w:r>
      <w:r>
        <w:t>.</w:t>
      </w:r>
    </w:p>
    <w:p w14:paraId="1FF76E03" w14:textId="77777777" w:rsidR="00F96C8F" w:rsidRPr="003620D3" w:rsidRDefault="00F96C8F" w:rsidP="00B174F1">
      <w:pPr>
        <w:spacing w:after="0"/>
        <w:rPr>
          <w:b/>
        </w:rPr>
      </w:pPr>
      <w:r w:rsidRPr="003620D3">
        <w:rPr>
          <w:b/>
        </w:rPr>
        <w:t xml:space="preserve">F1.b.i </w:t>
      </w:r>
      <w:r w:rsidRPr="003620D3">
        <w:rPr>
          <w:b/>
        </w:rPr>
        <w:tab/>
        <w:t xml:space="preserve">Public Health Value/Evidence-Based: </w:t>
      </w:r>
    </w:p>
    <w:p w14:paraId="72442E52" w14:textId="404E9C8D" w:rsidR="00F96C8F" w:rsidRDefault="00F96C8F" w:rsidP="00A046A7">
      <w:pPr>
        <w:keepNext/>
        <w:keepLines/>
        <w:spacing w:after="0" w:line="240" w:lineRule="auto"/>
        <w:ind w:left="720"/>
        <w:jc w:val="both"/>
        <w:rPr>
          <w:b/>
        </w:rPr>
      </w:pPr>
      <w:r w:rsidRPr="003620D3">
        <w:rPr>
          <w:b/>
        </w:rPr>
        <w:t>Provide information on the evidence-base for the Proposed Project. That is, how does the Proposed Project address the Need that the Applicant has identified.</w:t>
      </w:r>
    </w:p>
    <w:p w14:paraId="22D89BC0" w14:textId="77777777" w:rsidR="00E736C2" w:rsidRPr="003620D3" w:rsidRDefault="00E736C2" w:rsidP="00BA62C6">
      <w:pPr>
        <w:keepNext/>
        <w:keepLines/>
        <w:spacing w:after="0" w:line="240" w:lineRule="auto"/>
        <w:ind w:left="720"/>
        <w:rPr>
          <w:b/>
        </w:rPr>
      </w:pPr>
    </w:p>
    <w:p w14:paraId="12C50FE3" w14:textId="5B53B990" w:rsidR="00F96C8F" w:rsidRPr="003620D3" w:rsidRDefault="00F96C8F" w:rsidP="00E736C2">
      <w:pPr>
        <w:ind w:left="720"/>
        <w:jc w:val="both"/>
      </w:pPr>
      <w:r w:rsidRPr="003620D3">
        <w:t xml:space="preserve">The Proposed Project will meet the identified need for the </w:t>
      </w:r>
      <w:r>
        <w:t>Plymouth Practice P</w:t>
      </w:r>
      <w:r w:rsidRPr="003620D3">
        <w:t xml:space="preserve">atient </w:t>
      </w:r>
      <w:r>
        <w:t>P</w:t>
      </w:r>
      <w:r w:rsidRPr="003620D3">
        <w:t>anel as described in Factor F1.</w:t>
      </w:r>
      <w:proofErr w:type="gramStart"/>
      <w:r w:rsidRPr="003620D3">
        <w:t>a.ii.</w:t>
      </w:r>
      <w:proofErr w:type="gramEnd"/>
      <w:r w:rsidRPr="003620D3">
        <w:t xml:space="preserve">  The clinical value of MRI and CT as diagnostic tools for the identification of disease as well as treatment planning for various musculoskeletal, neurological, and other disorders and diseases has been well established. The Proposed Project will support the care and treatment needs of the </w:t>
      </w:r>
      <w:r>
        <w:t xml:space="preserve">Plymouth </w:t>
      </w:r>
      <w:r w:rsidR="000035C8">
        <w:t>Practice P</w:t>
      </w:r>
      <w:r w:rsidRPr="003620D3">
        <w:t xml:space="preserve">atient </w:t>
      </w:r>
      <w:r w:rsidR="000035C8">
        <w:t>P</w:t>
      </w:r>
      <w:r w:rsidRPr="003620D3">
        <w:t xml:space="preserve">anel </w:t>
      </w:r>
      <w:proofErr w:type="gramStart"/>
      <w:r w:rsidRPr="003620D3">
        <w:t>in particular by</w:t>
      </w:r>
      <w:proofErr w:type="gramEnd"/>
      <w:r w:rsidRPr="003620D3">
        <w:t xml:space="preserve"> improving timely access to these services when recommended by primary care and specialty </w:t>
      </w:r>
      <w:r w:rsidRPr="00D353A7">
        <w:rPr>
          <w:rFonts w:cstheme="minorHAnsi"/>
        </w:rPr>
        <w:t>providers</w:t>
      </w:r>
      <w:r w:rsidRPr="003620D3">
        <w:t xml:space="preserve"> including orthopedics, podiatry, ENT, and ophthalmology. Results from MRI and CT exams, in conjunction with Atrius Health’s unique radiology practice discussed further in Factor F1.</w:t>
      </w:r>
      <w:proofErr w:type="gramStart"/>
      <w:r w:rsidRPr="003620D3">
        <w:t>b.ii</w:t>
      </w:r>
      <w:proofErr w:type="gramEnd"/>
      <w:r w:rsidRPr="003620D3">
        <w:t xml:space="preserve">, provide primary care and specialty clinicians with valuable information in the care of the </w:t>
      </w:r>
      <w:r>
        <w:t>Plymouth</w:t>
      </w:r>
      <w:r w:rsidRPr="003620D3">
        <w:t xml:space="preserve"> </w:t>
      </w:r>
      <w:r w:rsidR="000035C8">
        <w:t>Practice P</w:t>
      </w:r>
      <w:r w:rsidRPr="003620D3">
        <w:t xml:space="preserve">atient </w:t>
      </w:r>
      <w:r w:rsidR="000035C8">
        <w:t>P</w:t>
      </w:r>
      <w:r w:rsidRPr="003620D3">
        <w:t xml:space="preserve">anel. Currently patients are referred to outside hospital-based providers of MRI and CT services at an increased cost to the patient </w:t>
      </w:r>
      <w:r>
        <w:t xml:space="preserve">due to facility fees and typically higher charges, </w:t>
      </w:r>
      <w:r w:rsidRPr="003620D3">
        <w:t xml:space="preserve">and </w:t>
      </w:r>
      <w:r>
        <w:t>to Atrius Health under its risk-based contracts but also in the context of the resulting inefficiencies of lack of care coordination and communication of critical information.</w:t>
      </w:r>
    </w:p>
    <w:p w14:paraId="2CFF325C" w14:textId="4719B072" w:rsidR="00F96C8F" w:rsidRPr="00C255B7" w:rsidRDefault="00F96C8F" w:rsidP="00E736C2">
      <w:pPr>
        <w:pStyle w:val="ListParagraph"/>
        <w:numPr>
          <w:ilvl w:val="0"/>
          <w:numId w:val="19"/>
        </w:numPr>
        <w:ind w:left="1080"/>
        <w:jc w:val="both"/>
        <w:rPr>
          <w:rFonts w:cstheme="minorHAnsi"/>
          <w:b/>
          <w:bCs/>
        </w:rPr>
      </w:pPr>
      <w:r w:rsidRPr="00C255B7">
        <w:rPr>
          <w:rFonts w:cstheme="minorHAnsi"/>
          <w:b/>
          <w:bCs/>
        </w:rPr>
        <w:t>Addressing Aging Population Imaging Needs</w:t>
      </w:r>
    </w:p>
    <w:p w14:paraId="553BC46B" w14:textId="1E92FCD5" w:rsidR="00F96C8F" w:rsidRDefault="00F96C8F" w:rsidP="00D353A7">
      <w:pPr>
        <w:ind w:left="1080"/>
        <w:jc w:val="both"/>
      </w:pPr>
      <w:r w:rsidRPr="003620D3">
        <w:t xml:space="preserve">The patient panel that will be served by the Proposed Project is aging. As noted in Factor 1.a.ii., consistent with an aging population is the increased incidence of disease which has </w:t>
      </w:r>
      <w:r>
        <w:t xml:space="preserve">an </w:t>
      </w:r>
      <w:r w:rsidRPr="003620D3">
        <w:t>associated increased need for diagnostic imaging. Aging increases the risk of chronic diseases including heart disease, stroke, and cancer. In addition to more pervasive medical conditions, the risk of accidents and injury</w:t>
      </w:r>
      <w:r w:rsidR="000035C8">
        <w:t>,</w:t>
      </w:r>
      <w:r w:rsidRPr="003620D3">
        <w:t xml:space="preserve"> including falls</w:t>
      </w:r>
      <w:r w:rsidR="000035C8">
        <w:t>,</w:t>
      </w:r>
      <w:r w:rsidRPr="003620D3">
        <w:t xml:space="preserve"> </w:t>
      </w:r>
      <w:r w:rsidR="000035C8">
        <w:t>is higher</w:t>
      </w:r>
      <w:r w:rsidRPr="003620D3">
        <w:t xml:space="preserve"> in the aging population.</w:t>
      </w:r>
      <w:r w:rsidR="000C079F">
        <w:rPr>
          <w:rStyle w:val="FootnoteReference"/>
        </w:rPr>
        <w:footnoteReference w:id="17"/>
      </w:r>
      <w:r w:rsidRPr="003620D3">
        <w:rPr>
          <w:vertAlign w:val="superscript"/>
        </w:rPr>
        <w:t xml:space="preserve">   </w:t>
      </w:r>
      <w:r>
        <w:t xml:space="preserve"> Many of these injuries require timely access to CT and MRI to assess severity and expedite appropriate interventions and treatments. A</w:t>
      </w:r>
      <w:r w:rsidRPr="003620D3">
        <w:t xml:space="preserve">cross the </w:t>
      </w:r>
      <w:r>
        <w:t xml:space="preserve">Atrius Health patient population </w:t>
      </w:r>
      <w:r w:rsidRPr="003620D3">
        <w:t xml:space="preserve">there is strong prevalence of vascular disease, various cancers, lung disease, stroke, as well as arthritis and connective tissue disease. MRI and CT are both readily used in the diagnosis, treatment planning, and monitoring of these diseases and injury. </w:t>
      </w:r>
    </w:p>
    <w:p w14:paraId="70EB2445" w14:textId="77777777" w:rsidR="00F96C8F" w:rsidRPr="00E736C2" w:rsidRDefault="00F96C8F" w:rsidP="00E736C2">
      <w:pPr>
        <w:pStyle w:val="ListParagraph"/>
        <w:numPr>
          <w:ilvl w:val="0"/>
          <w:numId w:val="21"/>
        </w:numPr>
        <w:rPr>
          <w:b/>
        </w:rPr>
      </w:pPr>
      <w:r w:rsidRPr="00E736C2">
        <w:rPr>
          <w:b/>
        </w:rPr>
        <w:lastRenderedPageBreak/>
        <w:t>MRI</w:t>
      </w:r>
    </w:p>
    <w:p w14:paraId="07DB5E63" w14:textId="0B14A957" w:rsidR="00F96C8F" w:rsidRPr="00AA2B61" w:rsidRDefault="00F96C8F" w:rsidP="00A046A7">
      <w:pPr>
        <w:ind w:left="1440"/>
        <w:jc w:val="both"/>
      </w:pPr>
      <w:r w:rsidRPr="003620D3">
        <w:t xml:space="preserve">The National Institute of Biomedical Imaging and Bioengineering defines Magnetic Resonance Imaging as a non-invasive imaging technology that produces detailed anatomic images for the use of disease detection, diagnosis, and treatment monitoring. This advanced imaging modality is used in a wide array of clinical applications and has </w:t>
      </w:r>
      <w:r>
        <w:t>the</w:t>
      </w:r>
      <w:r w:rsidRPr="003620D3">
        <w:t xml:space="preserve"> advantage of not using ionizing radiation.</w:t>
      </w:r>
      <w:r w:rsidR="00DD5A9E">
        <w:rPr>
          <w:rStyle w:val="FootnoteReference"/>
        </w:rPr>
        <w:footnoteReference w:id="18"/>
      </w:r>
      <w:r w:rsidRPr="003620D3">
        <w:rPr>
          <w:vertAlign w:val="superscript"/>
        </w:rPr>
        <w:t xml:space="preserve"> </w:t>
      </w:r>
      <w:r w:rsidRPr="003620D3">
        <w:t xml:space="preserve">MRI is particularly good at differentiating soft tissue abnormalities making the technology ideal for imaging joints, muscles, </w:t>
      </w:r>
      <w:proofErr w:type="gramStart"/>
      <w:r w:rsidRPr="003620D3">
        <w:t>brain</w:t>
      </w:r>
      <w:proofErr w:type="gramEnd"/>
      <w:r w:rsidRPr="003620D3">
        <w:t xml:space="preserve"> and spinal cord tissue, as well as bones and internal organs.</w:t>
      </w:r>
      <w:r w:rsidR="00DD5A9E">
        <w:rPr>
          <w:rStyle w:val="FootnoteReference"/>
        </w:rPr>
        <w:footnoteReference w:id="19"/>
      </w:r>
      <w:r w:rsidRPr="003620D3">
        <w:t xml:space="preserve"> There is an increased demand for this type of imaging </w:t>
      </w:r>
      <w:r>
        <w:t>since</w:t>
      </w:r>
      <w:r w:rsidRPr="003620D3">
        <w:t xml:space="preserve"> many of the conditions which it is capable of detecting are associated with an aging population.</w:t>
      </w:r>
    </w:p>
    <w:p w14:paraId="05C09E10" w14:textId="036F6D79" w:rsidR="00F96C8F" w:rsidRPr="003620D3" w:rsidRDefault="00F96C8F" w:rsidP="00A046A7">
      <w:pPr>
        <w:ind w:left="1440"/>
        <w:jc w:val="both"/>
      </w:pPr>
      <w:r w:rsidRPr="003620D3">
        <w:t>Clinical applications of MRI include neurologic evaluation of the brain (including vessels) and spine, orthopedic evaluation of the spine and joints, and general imaging of the abdomen and internal organs. As mentioned in Factor F1.a.i, 95% of all MRI orders entered by PMG providers are for patients with conditions in these categories. MRI is vital to identifying demyelinating plaques, cerebral contusions, syringomyelia, and infarction including hemorrhagic and ischemic stroke, allowing early intervention and treatment leading to better patient outcomes.</w:t>
      </w:r>
      <w:r w:rsidR="00DD5A9E">
        <w:rPr>
          <w:rStyle w:val="FootnoteReference"/>
        </w:rPr>
        <w:footnoteReference w:id="20"/>
      </w:r>
      <w:r w:rsidR="000C0533" w:rsidRPr="000C0533">
        <w:rPr>
          <w:vertAlign w:val="superscript"/>
        </w:rPr>
        <w:t>,</w:t>
      </w:r>
      <w:r w:rsidR="000C0533">
        <w:rPr>
          <w:vertAlign w:val="superscript"/>
        </w:rPr>
        <w:t xml:space="preserve"> </w:t>
      </w:r>
      <w:r w:rsidR="00DD5A9E">
        <w:rPr>
          <w:rStyle w:val="FootnoteReference"/>
        </w:rPr>
        <w:footnoteReference w:id="21"/>
      </w:r>
      <w:r w:rsidR="007219FB">
        <w:rPr>
          <w:vertAlign w:val="superscript"/>
        </w:rPr>
        <w:t xml:space="preserve"> </w:t>
      </w:r>
      <w:r w:rsidRPr="003620D3">
        <w:rPr>
          <w:vertAlign w:val="superscript"/>
        </w:rPr>
        <w:t xml:space="preserve"> </w:t>
      </w:r>
      <w:r w:rsidR="00884312">
        <w:rPr>
          <w:vertAlign w:val="superscript"/>
        </w:rPr>
        <w:t xml:space="preserve"> </w:t>
      </w:r>
      <w:r w:rsidRPr="003620D3">
        <w:t>Orthopedic imaging with MRI of the joints and spine provides high diagnostic accuracy for ligament and tendon tears, disc herniation, annular tears and other soft tissue and bony abnormalities. MRI imaging also provides disease progression and staging for oncology patients.</w:t>
      </w:r>
      <w:r w:rsidR="007219FB">
        <w:rPr>
          <w:rStyle w:val="FootnoteReference"/>
        </w:rPr>
        <w:footnoteReference w:id="22"/>
      </w:r>
      <w:r w:rsidRPr="003620D3">
        <w:t xml:space="preserve"> </w:t>
      </w:r>
    </w:p>
    <w:p w14:paraId="497C71BA" w14:textId="77777777" w:rsidR="00F96C8F" w:rsidRPr="003620D3" w:rsidRDefault="00F96C8F" w:rsidP="00E736C2">
      <w:pPr>
        <w:pStyle w:val="ListParagraph"/>
        <w:numPr>
          <w:ilvl w:val="0"/>
          <w:numId w:val="21"/>
        </w:numPr>
      </w:pPr>
      <w:r w:rsidRPr="003620D3">
        <w:rPr>
          <w:b/>
        </w:rPr>
        <w:t>CT</w:t>
      </w:r>
    </w:p>
    <w:p w14:paraId="4623C2F6" w14:textId="6070AC1E" w:rsidR="00F96C8F" w:rsidRPr="00BA5641" w:rsidRDefault="00F96C8F" w:rsidP="00A046A7">
      <w:pPr>
        <w:ind w:left="1440"/>
        <w:jc w:val="both"/>
      </w:pPr>
      <w:bookmarkStart w:id="34" w:name="_BPDCD_41"/>
      <w:r w:rsidRPr="00307942">
        <w:rPr>
          <w:rFonts w:ascii="Calibri" w:hAnsi="Calibri" w:cs="Calibri"/>
        </w:rPr>
        <w:t xml:space="preserve">CT </w:t>
      </w:r>
      <w:bookmarkEnd w:id="34"/>
      <w:r w:rsidRPr="00307942">
        <w:rPr>
          <w:rFonts w:ascii="Calibri" w:hAnsi="Calibri" w:cs="Calibri"/>
        </w:rPr>
        <w:t>produces</w:t>
      </w:r>
      <w:r w:rsidRPr="003620D3">
        <w:t xml:space="preserve"> tomographic images or slices by quickly rotating an x-ray tube and detector around the patient’s body. CT scans are used to identify disease or injury within various regions of the body including lesions in the abdomen, lungs, and brain. CT is particularly useful in diagnosing pulmonary embolisms (blood clots in the pulmonary veins) and brain hemorrhage.</w:t>
      </w:r>
      <w:r w:rsidR="007219FB">
        <w:rPr>
          <w:rStyle w:val="FootnoteReference"/>
        </w:rPr>
        <w:footnoteReference w:id="23"/>
      </w:r>
      <w:r w:rsidRPr="003620D3">
        <w:t xml:space="preserve"> CT scans provide physicians with a diagnosis or exclusion of disease within minutes and have </w:t>
      </w:r>
      <w:r w:rsidR="000035C8">
        <w:t xml:space="preserve">been shown to </w:t>
      </w:r>
      <w:r w:rsidRPr="003620D3">
        <w:t>reduce the rate of hospitalizations.</w:t>
      </w:r>
      <w:r w:rsidR="007219FB">
        <w:rPr>
          <w:rStyle w:val="FootnoteReference"/>
        </w:rPr>
        <w:footnoteReference w:id="24"/>
      </w:r>
      <w:r w:rsidRPr="003620D3">
        <w:t xml:space="preserve"> </w:t>
      </w:r>
    </w:p>
    <w:p w14:paraId="64FB41C3" w14:textId="78D8A1A4" w:rsidR="00F96C8F" w:rsidRPr="003620D3" w:rsidRDefault="00F96C8F" w:rsidP="00A046A7">
      <w:pPr>
        <w:ind w:left="1440"/>
        <w:jc w:val="both"/>
      </w:pPr>
      <w:r w:rsidRPr="003620D3">
        <w:t xml:space="preserve">CT has also proven to be valuable in the early detection of lung cancer. The accessibility and availability of diagnostic imaging (as well as the quality of subsequent treatment) are directly associated with lung cancer outcomes. The United States Preventative Services Task </w:t>
      </w:r>
      <w:r w:rsidRPr="00307942">
        <w:rPr>
          <w:rFonts w:ascii="Calibri" w:hAnsi="Calibri" w:cs="Calibri"/>
        </w:rPr>
        <w:t xml:space="preserve">Force, </w:t>
      </w:r>
      <w:bookmarkStart w:id="35" w:name="_BPDCD_42"/>
      <w:r w:rsidR="00AA2B61" w:rsidRPr="00307942">
        <w:rPr>
          <w:rFonts w:ascii="Calibri" w:hAnsi="Calibri" w:cs="Calibri"/>
        </w:rPr>
        <w:t>(</w:t>
      </w:r>
      <w:r w:rsidRPr="00307942">
        <w:rPr>
          <w:rFonts w:ascii="Calibri" w:hAnsi="Calibri" w:cs="Calibri"/>
        </w:rPr>
        <w:t>USPSTF</w:t>
      </w:r>
      <w:r w:rsidR="00AA2B61" w:rsidRPr="00307942">
        <w:rPr>
          <w:rFonts w:ascii="Calibri" w:hAnsi="Calibri" w:cs="Calibri"/>
        </w:rPr>
        <w:t>)</w:t>
      </w:r>
      <w:bookmarkEnd w:id="35"/>
      <w:r w:rsidRPr="00307942">
        <w:rPr>
          <w:rFonts w:ascii="Calibri" w:hAnsi="Calibri" w:cs="Calibri"/>
        </w:rPr>
        <w:t>, has</w:t>
      </w:r>
      <w:r w:rsidRPr="003620D3">
        <w:t xml:space="preserve"> endorsed annual screening for </w:t>
      </w:r>
      <w:r w:rsidRPr="00AA2B61">
        <w:t>LDCT</w:t>
      </w:r>
      <w:bookmarkStart w:id="36" w:name="_BPDCD_44"/>
      <w:bookmarkEnd w:id="36"/>
      <w:r w:rsidR="00F857A9">
        <w:t xml:space="preserve"> </w:t>
      </w:r>
      <w:r w:rsidRPr="003620D3">
        <w:t xml:space="preserve">for people </w:t>
      </w:r>
      <w:r w:rsidR="006E3FD0" w:rsidRPr="003620D3">
        <w:t>age</w:t>
      </w:r>
      <w:r w:rsidR="006E3FD0">
        <w:t>d</w:t>
      </w:r>
      <w:r w:rsidRPr="003620D3">
        <w:t xml:space="preserve"> 50-80 who are either current smokers or have quit in the past 15 years.</w:t>
      </w:r>
      <w:r w:rsidRPr="003620D3">
        <w:rPr>
          <w:color w:val="FF0000"/>
        </w:rPr>
        <w:t xml:space="preserve"> </w:t>
      </w:r>
      <w:r w:rsidRPr="003620D3">
        <w:t>The National Cancer Institute’s National Lung Screening Trial documented that heavy smokers between the ages of 55-74 are 20% less likely to die from lung cancer when they are screened with LDCT of the chest.</w:t>
      </w:r>
      <w:r w:rsidR="007219FB">
        <w:rPr>
          <w:rStyle w:val="FootnoteReference"/>
        </w:rPr>
        <w:footnoteReference w:id="25"/>
      </w:r>
      <w:r w:rsidRPr="003620D3">
        <w:t xml:space="preserve"> As noted in Factor F1.</w:t>
      </w:r>
      <w:proofErr w:type="gramStart"/>
      <w:r w:rsidRPr="003620D3">
        <w:t>a.ii</w:t>
      </w:r>
      <w:proofErr w:type="gramEnd"/>
      <w:r w:rsidRPr="003620D3">
        <w:t xml:space="preserve">, 25% of CT orders for the </w:t>
      </w:r>
      <w:r>
        <w:t>Plymouth</w:t>
      </w:r>
      <w:r w:rsidRPr="003620D3">
        <w:t xml:space="preserve"> patient panel are specifically for LDCT. Current practice at Atrius Health is to follow the Lung Cancer Screening with </w:t>
      </w:r>
      <w:bookmarkStart w:id="37" w:name="_BPDCD_45"/>
      <w:bookmarkEnd w:id="37"/>
      <w:r w:rsidRPr="00AA2B61">
        <w:t>LDCT</w:t>
      </w:r>
      <w:bookmarkStart w:id="38" w:name="_BPDCD_46"/>
      <w:r w:rsidR="000C0533">
        <w:t xml:space="preserve"> </w:t>
      </w:r>
      <w:bookmarkEnd w:id="38"/>
      <w:r w:rsidRPr="003620D3">
        <w:t xml:space="preserve">guidelines </w:t>
      </w:r>
      <w:r w:rsidRPr="003620D3">
        <w:lastRenderedPageBreak/>
        <w:t>set forth by the Centers for Medicare &amp; Medicaid Services (</w:t>
      </w:r>
      <w:r w:rsidRPr="00AA2B61">
        <w:t>CMS</w:t>
      </w:r>
      <w:r w:rsidRPr="003620D3">
        <w:t>). These guidelines require that patient</w:t>
      </w:r>
      <w:r>
        <w:t>s</w:t>
      </w:r>
      <w:r w:rsidRPr="003620D3">
        <w:t xml:space="preserve"> meet certain eligibility criteria for the services to be covered as screening</w:t>
      </w:r>
      <w:r>
        <w:t>,</w:t>
      </w:r>
      <w:r w:rsidRPr="003620D3">
        <w:t xml:space="preserve"> </w:t>
      </w:r>
      <w:proofErr w:type="gramStart"/>
      <w:r w:rsidRPr="003620D3">
        <w:t>including:</w:t>
      </w:r>
      <w:proofErr w:type="gramEnd"/>
      <w:r w:rsidRPr="003620D3">
        <w:t xml:space="preserve"> age 50-77 years, have no sign of lung cancer, have a smoking history of at least 20 pack-years, currently smoke or have quit within the last 15 years. Patients aged 78-80 are recommended for screening by the American Cancer Society but are not currently covered under CMS reimbursement guidelines.</w:t>
      </w:r>
      <w:r>
        <w:rPr>
          <w:rStyle w:val="FootnoteReference"/>
        </w:rPr>
        <w:footnoteReference w:id="26"/>
      </w:r>
      <w:r w:rsidRPr="003620D3">
        <w:t xml:space="preserve"> </w:t>
      </w:r>
    </w:p>
    <w:p w14:paraId="04B6BA54" w14:textId="2A2FD678" w:rsidR="00F96C8F" w:rsidRPr="00C255B7" w:rsidRDefault="00F96C8F" w:rsidP="00E736C2">
      <w:pPr>
        <w:pStyle w:val="ListParagraph"/>
        <w:numPr>
          <w:ilvl w:val="0"/>
          <w:numId w:val="19"/>
        </w:numPr>
        <w:ind w:left="1080"/>
        <w:jc w:val="both"/>
        <w:rPr>
          <w:rFonts w:cstheme="minorHAnsi"/>
          <w:b/>
          <w:bCs/>
        </w:rPr>
      </w:pPr>
      <w:r w:rsidRPr="00C255B7">
        <w:rPr>
          <w:rFonts w:cstheme="minorHAnsi"/>
          <w:b/>
          <w:bCs/>
        </w:rPr>
        <w:t xml:space="preserve">Addressing Current </w:t>
      </w:r>
      <w:r w:rsidR="009C0290" w:rsidRPr="00C255B7">
        <w:rPr>
          <w:rFonts w:cstheme="minorHAnsi"/>
          <w:b/>
          <w:bCs/>
        </w:rPr>
        <w:t>Need</w:t>
      </w:r>
      <w:r w:rsidRPr="00C255B7">
        <w:rPr>
          <w:rFonts w:cstheme="minorHAnsi"/>
          <w:b/>
          <w:bCs/>
        </w:rPr>
        <w:t xml:space="preserve"> for Accessible Imaging Services</w:t>
      </w:r>
    </w:p>
    <w:p w14:paraId="7116D672" w14:textId="084373F7" w:rsidR="00F96C8F" w:rsidRDefault="00F96C8F" w:rsidP="00D353A7">
      <w:pPr>
        <w:ind w:left="1080"/>
        <w:jc w:val="both"/>
      </w:pPr>
      <w:r w:rsidRPr="003620D3">
        <w:t xml:space="preserve">The accessibility and availability of advanced imaging modalities including MRI and CT have been challenged by the COVID-19 </w:t>
      </w:r>
      <w:r w:rsidRPr="00D353A7">
        <w:rPr>
          <w:rFonts w:cstheme="minorHAnsi"/>
        </w:rPr>
        <w:t>pandemic</w:t>
      </w:r>
      <w:r w:rsidRPr="003620D3">
        <w:t>, which has resulted in longer wait times for these services and delayed diagnosis and treatment of disease nationally and internationally.</w:t>
      </w:r>
      <w:r w:rsidR="000C079F">
        <w:rPr>
          <w:rStyle w:val="FootnoteReference"/>
        </w:rPr>
        <w:footnoteReference w:id="27"/>
      </w:r>
      <w:r w:rsidR="00F960E0">
        <w:rPr>
          <w:vertAlign w:val="superscript"/>
        </w:rPr>
        <w:t xml:space="preserve">, </w:t>
      </w:r>
      <w:r w:rsidR="000C079F">
        <w:rPr>
          <w:rStyle w:val="FootnoteReference"/>
        </w:rPr>
        <w:footnoteReference w:id="28"/>
      </w:r>
      <w:r w:rsidRPr="003620D3">
        <w:rPr>
          <w:vertAlign w:val="superscript"/>
        </w:rPr>
        <w:t xml:space="preserve"> </w:t>
      </w:r>
      <w:r w:rsidRPr="003620D3">
        <w:t xml:space="preserve"> Local hospitals have been overwhelmed by the number of patients who need to be seen for imaging due to deferred care during the pandemic.</w:t>
      </w:r>
      <w:r>
        <w:rPr>
          <w:rStyle w:val="FootnoteReference"/>
        </w:rPr>
        <w:footnoteReference w:id="29"/>
      </w:r>
      <w:r w:rsidRPr="003620D3">
        <w:t xml:space="preserve"> </w:t>
      </w:r>
      <w:r w:rsidR="000C0533">
        <w:t xml:space="preserve"> </w:t>
      </w:r>
      <w:r w:rsidRPr="003620D3">
        <w:t xml:space="preserve">In general, sending patients outside of the Atrius Health system for imaging is challenging to the quality of patient care, because it compromises continuity of care. Continuity of care is especially important </w:t>
      </w:r>
      <w:r>
        <w:t xml:space="preserve">because </w:t>
      </w:r>
      <w:r w:rsidRPr="003620D3">
        <w:t xml:space="preserve">it supports prompt and efficient diagnosis and treatment of </w:t>
      </w:r>
      <w:r>
        <w:t xml:space="preserve">identified </w:t>
      </w:r>
      <w:r w:rsidRPr="003620D3">
        <w:t xml:space="preserve">conditions and </w:t>
      </w:r>
      <w:r>
        <w:t xml:space="preserve">can </w:t>
      </w:r>
      <w:r w:rsidRPr="003620D3">
        <w:t>effectively decrease hospitalization as well as morbidity and mortality of the aging population.</w:t>
      </w:r>
      <w:r w:rsidR="000C079F">
        <w:rPr>
          <w:rStyle w:val="FootnoteReference"/>
        </w:rPr>
        <w:footnoteReference w:id="30"/>
      </w:r>
      <w:r w:rsidRPr="003620D3">
        <w:t xml:space="preserve"> Keeping imaging </w:t>
      </w:r>
      <w:r w:rsidRPr="00307942">
        <w:rPr>
          <w:rFonts w:ascii="Calibri" w:hAnsi="Calibri" w:cs="Calibri"/>
        </w:rPr>
        <w:t xml:space="preserve">services </w:t>
      </w:r>
      <w:bookmarkStart w:id="39" w:name="_BPDCD_47"/>
      <w:r w:rsidRPr="00307942">
        <w:rPr>
          <w:rFonts w:ascii="Calibri" w:hAnsi="Calibri" w:cs="Calibri"/>
        </w:rPr>
        <w:t>local</w:t>
      </w:r>
      <w:bookmarkEnd w:id="39"/>
      <w:r w:rsidRPr="00307942">
        <w:rPr>
          <w:rFonts w:ascii="Calibri" w:hAnsi="Calibri" w:cs="Calibri"/>
        </w:rPr>
        <w:t>, within</w:t>
      </w:r>
      <w:r w:rsidRPr="003620D3">
        <w:t xml:space="preserve"> Atrius</w:t>
      </w:r>
      <w:r>
        <w:t xml:space="preserve"> Health’s ambulatory practice</w:t>
      </w:r>
      <w:r w:rsidRPr="003620D3">
        <w:t>, will ensure patients</w:t>
      </w:r>
      <w:r w:rsidR="000035C8">
        <w:t xml:space="preserve"> have</w:t>
      </w:r>
      <w:r w:rsidRPr="003620D3">
        <w:t xml:space="preserve"> timely access to these services and optimize </w:t>
      </w:r>
      <w:r>
        <w:t xml:space="preserve">care </w:t>
      </w:r>
      <w:r w:rsidRPr="003620D3">
        <w:t>coordination</w:t>
      </w:r>
      <w:r>
        <w:t xml:space="preserve"> and continuity</w:t>
      </w:r>
      <w:r w:rsidRPr="003620D3">
        <w:t xml:space="preserve"> of care.</w:t>
      </w:r>
    </w:p>
    <w:p w14:paraId="19F73F9C" w14:textId="77777777" w:rsidR="00E736C2" w:rsidRDefault="00E736C2" w:rsidP="00B174F1">
      <w:pPr>
        <w:spacing w:after="0"/>
        <w:rPr>
          <w:b/>
        </w:rPr>
      </w:pPr>
      <w:bookmarkStart w:id="40" w:name="_Hlk119487961"/>
    </w:p>
    <w:p w14:paraId="2AC67B33" w14:textId="760787F2" w:rsidR="00F96C8F" w:rsidRPr="004828A2" w:rsidRDefault="00F96C8F" w:rsidP="00B174F1">
      <w:pPr>
        <w:spacing w:after="0"/>
        <w:rPr>
          <w:b/>
        </w:rPr>
      </w:pPr>
      <w:r w:rsidRPr="004828A2">
        <w:rPr>
          <w:b/>
        </w:rPr>
        <w:t>F1.</w:t>
      </w:r>
      <w:proofErr w:type="gramStart"/>
      <w:r w:rsidRPr="004828A2">
        <w:rPr>
          <w:b/>
        </w:rPr>
        <w:t>b.ii</w:t>
      </w:r>
      <w:proofErr w:type="gramEnd"/>
      <w:r w:rsidRPr="004828A2">
        <w:rPr>
          <w:b/>
        </w:rPr>
        <w:t xml:space="preserve"> </w:t>
      </w:r>
      <w:r w:rsidRPr="004828A2">
        <w:rPr>
          <w:b/>
        </w:rPr>
        <w:tab/>
        <w:t xml:space="preserve">Public Health Value /Outcome-Oriented: </w:t>
      </w:r>
    </w:p>
    <w:p w14:paraId="1B712281" w14:textId="39359045" w:rsidR="00F96C8F" w:rsidRDefault="00F96C8F" w:rsidP="00A046A7">
      <w:pPr>
        <w:keepNext/>
        <w:keepLines/>
        <w:spacing w:after="0" w:line="240" w:lineRule="auto"/>
        <w:ind w:left="720"/>
        <w:jc w:val="both"/>
        <w:rPr>
          <w:b/>
        </w:rPr>
      </w:pPr>
      <w:r w:rsidRPr="004828A2">
        <w:rPr>
          <w:b/>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14:paraId="56EC7810" w14:textId="77777777" w:rsidR="00A046A7" w:rsidRPr="004828A2" w:rsidRDefault="00A046A7" w:rsidP="00A046A7">
      <w:pPr>
        <w:keepNext/>
        <w:keepLines/>
        <w:spacing w:after="0" w:line="240" w:lineRule="auto"/>
        <w:ind w:left="720"/>
        <w:jc w:val="both"/>
        <w:rPr>
          <w:b/>
        </w:rPr>
      </w:pPr>
    </w:p>
    <w:bookmarkEnd w:id="40"/>
    <w:p w14:paraId="5E457F13" w14:textId="01E6893A" w:rsidR="00F96C8F" w:rsidRPr="004828A2" w:rsidRDefault="00F96C8F" w:rsidP="00D353A7">
      <w:pPr>
        <w:ind w:left="720"/>
        <w:jc w:val="both"/>
      </w:pPr>
      <w:r w:rsidRPr="004828A2">
        <w:t>The Proposed Project will have a significant positive impact for the</w:t>
      </w:r>
      <w:r w:rsidR="00F960E0">
        <w:t xml:space="preserve"> Plymouth Practice</w:t>
      </w:r>
      <w:r w:rsidRPr="004828A2">
        <w:t xml:space="preserve"> </w:t>
      </w:r>
      <w:r w:rsidR="00F960E0">
        <w:t>P</w:t>
      </w:r>
      <w:r w:rsidRPr="004828A2">
        <w:t xml:space="preserve">atient </w:t>
      </w:r>
      <w:r w:rsidR="00F960E0">
        <w:t>P</w:t>
      </w:r>
      <w:r w:rsidRPr="004828A2">
        <w:t>anel with respect to access to care, health care costs, health outcomes, and quality of life.</w:t>
      </w:r>
    </w:p>
    <w:p w14:paraId="2B28D3AF" w14:textId="5D0A61B0" w:rsidR="00F96C8F" w:rsidRPr="004828A2" w:rsidRDefault="00F96C8F" w:rsidP="00D353A7">
      <w:pPr>
        <w:ind w:left="720"/>
        <w:jc w:val="both"/>
      </w:pPr>
      <w:bookmarkStart w:id="41" w:name="_Hlk119488650"/>
      <w:r w:rsidRPr="004828A2">
        <w:t xml:space="preserve">Approval of the Proposed Project will allow for the advanced imaging modalities of CT and MRI to be readily accessible to the </w:t>
      </w:r>
      <w:r>
        <w:t>Plymouth Practice P</w:t>
      </w:r>
      <w:r w:rsidRPr="004828A2">
        <w:t xml:space="preserve">atient </w:t>
      </w:r>
      <w:r>
        <w:t>P</w:t>
      </w:r>
      <w:r w:rsidRPr="004828A2">
        <w:t xml:space="preserve">anel within Atrius Health’s system of care.  PMG patients needing CT and MRI currently need to be referred to a local hospital service or travel outside the greater Plymouth area for testing. Providing a local, in-house option for CT and MRI services increases the likelihood that patients will obtain medically necessary imaging in a timely manner, facilitating early diagnosis and treatment.  In addition, all CT and MRI examinations ordered at Atrius Health undergo a clinical review of the </w:t>
      </w:r>
      <w:r>
        <w:t xml:space="preserve">order </w:t>
      </w:r>
      <w:r w:rsidRPr="004828A2">
        <w:t xml:space="preserve">prior to imaging, to ensure </w:t>
      </w:r>
      <w:r>
        <w:t>appropriateness of the exam and to provide guidance as to how the exam is clinically performed</w:t>
      </w:r>
      <w:r w:rsidRPr="004828A2">
        <w:t xml:space="preserve">. Exam protocols are individually determined, in conjunction with a review of relevant portions of the patient’s electronic medical record and in the context of prior imaging exams. Use of a single, integrated EMR speeds </w:t>
      </w:r>
      <w:r w:rsidRPr="00B420C9">
        <w:t>access to imaging results and supports communication among a patient’s treating providers</w:t>
      </w:r>
      <w:r w:rsidR="00435030">
        <w:t xml:space="preserve">.  The integration of these imaging services into the Plymouth Practice and the care delivery system there, supported by </w:t>
      </w:r>
      <w:r w:rsidR="00435030">
        <w:lastRenderedPageBreak/>
        <w:t xml:space="preserve">the EMR, will significantly enhance the </w:t>
      </w:r>
      <w:r w:rsidRPr="00B420C9">
        <w:t xml:space="preserve">coordination and continuity of </w:t>
      </w:r>
      <w:proofErr w:type="gramStart"/>
      <w:r w:rsidRPr="00B420C9">
        <w:t>care</w:t>
      </w:r>
      <w:r w:rsidR="00435030">
        <w:t>,  improving</w:t>
      </w:r>
      <w:proofErr w:type="gramEnd"/>
      <w:r w:rsidR="00435030">
        <w:t xml:space="preserve"> the quality of care and patient outcomes</w:t>
      </w:r>
      <w:r w:rsidRPr="00B420C9">
        <w:t>.</w:t>
      </w:r>
    </w:p>
    <w:bookmarkEnd w:id="41"/>
    <w:p w14:paraId="584D9F37" w14:textId="276EFAEB" w:rsidR="00F96C8F" w:rsidRPr="004828A2" w:rsidRDefault="00F96C8F" w:rsidP="00D353A7">
      <w:pPr>
        <w:ind w:left="720"/>
        <w:jc w:val="both"/>
      </w:pPr>
      <w:r>
        <w:t>Based on Atrius’ experience, l</w:t>
      </w:r>
      <w:r w:rsidRPr="004828A2">
        <w:t>ocal hospitals are struggling to provide adequate access to imaging due to resource constraints and pent-up demand resulting from the COVID-19 pandemic. In addition, when patients seek imaging exams at a hospital</w:t>
      </w:r>
      <w:r w:rsidR="00F960E0">
        <w:t xml:space="preserve"> on an outpatient, non-emergency basis</w:t>
      </w:r>
      <w:r w:rsidRPr="004828A2">
        <w:t>, their care can be delayed or even deferred when the imaging needs of emergency department patients and inpatients exceed capacity. In an outpatient setting like the Plymouth Practice, such delays very rarely occur</w:t>
      </w:r>
      <w:r>
        <w:t xml:space="preserve"> because there are not the same emergent circumstances which compete for imaging services as there are in a hospital setting</w:t>
      </w:r>
      <w:r w:rsidRPr="004828A2">
        <w:t xml:space="preserve">.  </w:t>
      </w:r>
      <w:r>
        <w:t>Moreover, patients will benefit from the</w:t>
      </w:r>
      <w:r w:rsidRPr="004828A2">
        <w:t xml:space="preserve"> convenien</w:t>
      </w:r>
      <w:r>
        <w:t>ce</w:t>
      </w:r>
      <w:r w:rsidRPr="004828A2">
        <w:t xml:space="preserve"> </w:t>
      </w:r>
      <w:r>
        <w:t>of</w:t>
      </w:r>
      <w:r w:rsidRPr="004828A2">
        <w:t xml:space="preserve"> receiv</w:t>
      </w:r>
      <w:r>
        <w:t>ing</w:t>
      </w:r>
      <w:r w:rsidRPr="004828A2">
        <w:t xml:space="preserve"> imaging services in an outpatient location which does not require them to navigate a hospital patient registration system, hospital parking, or travel distances</w:t>
      </w:r>
      <w:r>
        <w:t xml:space="preserve"> to or</w:t>
      </w:r>
      <w:r w:rsidRPr="004828A2">
        <w:t xml:space="preserve"> within the hospital itself. This can be a burden particularly for elderly or chronically ill patients who are most likely to need advanced imaging. Improving patient satisfaction and convenience are expected to drive improved compliance with imaging orders, and thus improve health outcomes.</w:t>
      </w:r>
      <w:r>
        <w:t xml:space="preserve"> </w:t>
      </w:r>
    </w:p>
    <w:p w14:paraId="34E1D520" w14:textId="132A9224" w:rsidR="00F96C8F" w:rsidRPr="004828A2" w:rsidRDefault="00F96C8F" w:rsidP="00A046A7">
      <w:pPr>
        <w:ind w:left="720"/>
        <w:jc w:val="both"/>
      </w:pPr>
      <w:r w:rsidRPr="004828A2">
        <w:t xml:space="preserve">It can be challenging to ensure </w:t>
      </w:r>
      <w:r>
        <w:t xml:space="preserve">timely </w:t>
      </w:r>
      <w:r w:rsidRPr="004828A2">
        <w:t xml:space="preserve">communication of important abnormal results, including incidental findings like pulmonary nodules that may represent early lung cancers, from a </w:t>
      </w:r>
      <w:r w:rsidR="006E3FD0" w:rsidRPr="004828A2">
        <w:t>hospital-based</w:t>
      </w:r>
      <w:r w:rsidRPr="004828A2">
        <w:t xml:space="preserve"> radiology department to providers who use a different EMR, despite advances in EMR interoperability. Atrius Health’s team of dedicated primary care focused radiologists greatly improve care coordination for </w:t>
      </w:r>
      <w:r w:rsidR="006E3FD0">
        <w:t>patients as</w:t>
      </w:r>
      <w:r w:rsidRPr="004828A2">
        <w:t xml:space="preserve"> discussed in the Project Description. </w:t>
      </w:r>
      <w:proofErr w:type="gramStart"/>
      <w:r w:rsidRPr="004828A2">
        <w:t>All of</w:t>
      </w:r>
      <w:proofErr w:type="gramEnd"/>
      <w:r w:rsidRPr="004828A2">
        <w:t xml:space="preserve"> Atrius Health’s imaging is integrated in the electronic medical record </w:t>
      </w:r>
      <w:r>
        <w:t>via a link to the</w:t>
      </w:r>
      <w:r w:rsidRPr="004828A2">
        <w:t xml:space="preserve"> </w:t>
      </w:r>
      <w:r w:rsidRPr="005C0A95">
        <w:t>PACs</w:t>
      </w:r>
      <w:r>
        <w:t xml:space="preserve"> system</w:t>
      </w:r>
      <w:r w:rsidRPr="004828A2">
        <w:t xml:space="preserve">. Full integration of primary care, specialty, and radiology providers </w:t>
      </w:r>
      <w:r>
        <w:t>across</w:t>
      </w:r>
      <w:r w:rsidRPr="004828A2">
        <w:t xml:space="preserve"> Atrius Health practices, including the Plymouth Practice, facilitates effective, timely communication between providers and more comprehensive diagnostic reports, promoting early diagnosis and treatment to improve health outcomes and quality of life. </w:t>
      </w:r>
    </w:p>
    <w:p w14:paraId="56BA05CA" w14:textId="77777777" w:rsidR="00F96C8F" w:rsidRPr="004828A2" w:rsidRDefault="00F96C8F" w:rsidP="00A046A7">
      <w:pPr>
        <w:ind w:left="720"/>
        <w:jc w:val="both"/>
      </w:pPr>
      <w:r w:rsidRPr="004828A2">
        <w:t xml:space="preserve">Several metrics will be monitored regularly to assess the impact of the Proposed Project: </w:t>
      </w:r>
    </w:p>
    <w:p w14:paraId="397CF611" w14:textId="2F6C8E3C" w:rsidR="00F96C8F" w:rsidRPr="004828A2" w:rsidRDefault="00AA2B61" w:rsidP="00A046A7">
      <w:pPr>
        <w:pStyle w:val="ListParagraph"/>
        <w:numPr>
          <w:ilvl w:val="0"/>
          <w:numId w:val="20"/>
        </w:numPr>
        <w:jc w:val="both"/>
      </w:pPr>
      <w:bookmarkStart w:id="42" w:name="_BPDCD_48"/>
      <w:r w:rsidRPr="00307942">
        <w:rPr>
          <w:rFonts w:ascii="Calibri" w:hAnsi="Calibri" w:cs="Calibri"/>
          <w:b/>
          <w:bCs/>
        </w:rPr>
        <w:t>T</w:t>
      </w:r>
      <w:r w:rsidR="00F96C8F" w:rsidRPr="00307942">
        <w:rPr>
          <w:rFonts w:ascii="Calibri" w:hAnsi="Calibri" w:cs="Calibri"/>
          <w:b/>
          <w:bCs/>
        </w:rPr>
        <w:t xml:space="preserve">urnaround </w:t>
      </w:r>
      <w:r w:rsidRPr="00307942">
        <w:rPr>
          <w:rFonts w:ascii="Calibri" w:hAnsi="Calibri" w:cs="Calibri"/>
          <w:b/>
          <w:bCs/>
        </w:rPr>
        <w:t>T</w:t>
      </w:r>
      <w:r w:rsidR="00F96C8F" w:rsidRPr="00307942">
        <w:rPr>
          <w:rFonts w:ascii="Calibri" w:hAnsi="Calibri" w:cs="Calibri"/>
          <w:b/>
          <w:bCs/>
        </w:rPr>
        <w:t>ime</w:t>
      </w:r>
      <w:r w:rsidRPr="00307942">
        <w:rPr>
          <w:rFonts w:ascii="Calibri" w:hAnsi="Calibri" w:cs="Calibri"/>
          <w:b/>
          <w:bCs/>
        </w:rPr>
        <w:t xml:space="preserve"> (TAT</w:t>
      </w:r>
      <w:bookmarkEnd w:id="42"/>
      <w:r w:rsidR="00F96C8F" w:rsidRPr="00307942">
        <w:rPr>
          <w:rFonts w:ascii="Calibri" w:hAnsi="Calibri" w:cs="Calibri"/>
          <w:b/>
          <w:bCs/>
        </w:rPr>
        <w:t>):</w:t>
      </w:r>
      <w:r w:rsidR="00F96C8F" w:rsidRPr="004828A2">
        <w:t xml:space="preserve"> Radiology reports are typically available in the patient’s medical record, through the patient portal, and to the ordering provider the day the exam is completed. Atrius Health radiology leadership closely </w:t>
      </w:r>
      <w:r w:rsidR="00F96C8F" w:rsidRPr="00307942">
        <w:rPr>
          <w:rFonts w:ascii="Calibri" w:hAnsi="Calibri" w:cs="Calibri"/>
        </w:rPr>
        <w:t xml:space="preserve">monitors </w:t>
      </w:r>
      <w:bookmarkStart w:id="43" w:name="_BPDCD_49"/>
      <w:r w:rsidR="00F96C8F" w:rsidRPr="00307942">
        <w:rPr>
          <w:rFonts w:ascii="Calibri" w:hAnsi="Calibri" w:cs="Calibri"/>
        </w:rPr>
        <w:t>TAT</w:t>
      </w:r>
      <w:bookmarkEnd w:id="43"/>
      <w:r w:rsidR="00F96C8F" w:rsidRPr="00307942">
        <w:rPr>
          <w:rFonts w:ascii="Calibri" w:hAnsi="Calibri" w:cs="Calibri"/>
        </w:rPr>
        <w:t>, including</w:t>
      </w:r>
      <w:r w:rsidR="00F96C8F">
        <w:t xml:space="preserve"> urgent requests (STAT),</w:t>
      </w:r>
      <w:r w:rsidR="00F96C8F" w:rsidRPr="004828A2">
        <w:t xml:space="preserve"> for CT and MRI and will continue to do so for services provided at the Plymouth Practice. </w:t>
      </w:r>
    </w:p>
    <w:p w14:paraId="09F8C24C" w14:textId="16E1E13A" w:rsidR="00F96C8F" w:rsidRPr="004828A2" w:rsidRDefault="00F96C8F" w:rsidP="00A046A7">
      <w:pPr>
        <w:numPr>
          <w:ilvl w:val="1"/>
          <w:numId w:val="3"/>
        </w:numPr>
        <w:ind w:left="1620"/>
        <w:contextualSpacing/>
        <w:jc w:val="both"/>
      </w:pPr>
      <w:r w:rsidRPr="004828A2">
        <w:rPr>
          <w:b/>
        </w:rPr>
        <w:t xml:space="preserve">Measure: </w:t>
      </w:r>
      <w:r w:rsidR="00E756C2">
        <w:t xml:space="preserve">TAT </w:t>
      </w:r>
      <w:r w:rsidR="0018651E">
        <w:t xml:space="preserve">is measured from the time the exam is completed to the time </w:t>
      </w:r>
      <w:r w:rsidRPr="004828A2">
        <w:t xml:space="preserve">the interpretation is finalized for all imaging services provided at Atrius Health including </w:t>
      </w:r>
      <w:r>
        <w:t>MRI and CT</w:t>
      </w:r>
      <w:r w:rsidRPr="004828A2">
        <w:t xml:space="preserve">. </w:t>
      </w:r>
    </w:p>
    <w:p w14:paraId="2742821A" w14:textId="0095D0BE" w:rsidR="00F96C8F" w:rsidRPr="004828A2" w:rsidRDefault="00F96C8F" w:rsidP="00A046A7">
      <w:pPr>
        <w:numPr>
          <w:ilvl w:val="1"/>
          <w:numId w:val="3"/>
        </w:numPr>
        <w:ind w:left="1620"/>
        <w:contextualSpacing/>
        <w:jc w:val="both"/>
      </w:pPr>
      <w:r w:rsidRPr="004828A2">
        <w:rPr>
          <w:b/>
        </w:rPr>
        <w:t xml:space="preserve">Projections: </w:t>
      </w:r>
      <w:r w:rsidRPr="004828A2">
        <w:t xml:space="preserve">For STAT exams: </w:t>
      </w:r>
      <w:r>
        <w:t xml:space="preserve">Reporting is expected within one hour. </w:t>
      </w:r>
      <w:r w:rsidRPr="004828A2">
        <w:t>For Routine exams:</w:t>
      </w:r>
      <w:r>
        <w:t xml:space="preserve"> Reporting is expected within 48 hours.</w:t>
      </w:r>
      <w:r w:rsidRPr="004828A2">
        <w:t xml:space="preserve"> </w:t>
      </w:r>
      <w:r w:rsidR="00320F5E" w:rsidRPr="00320F5E">
        <w:t>In YTD 2022, 99.34% of all CT exams and 98.67% of all MRI exams are reported within their expected applicable TAT. TAT for CT and MRI at the Plymouth Practice are expected to meet or exceed these performance thresholds</w:t>
      </w:r>
      <w:r w:rsidR="00A72B53">
        <w:t xml:space="preserve">.  </w:t>
      </w:r>
    </w:p>
    <w:p w14:paraId="3D85E488" w14:textId="4424BDF1" w:rsidR="00F96C8F" w:rsidRPr="004828A2" w:rsidRDefault="00F96C8F" w:rsidP="00A046A7">
      <w:pPr>
        <w:numPr>
          <w:ilvl w:val="1"/>
          <w:numId w:val="3"/>
        </w:numPr>
        <w:ind w:left="1620"/>
        <w:contextualSpacing/>
        <w:jc w:val="both"/>
      </w:pPr>
      <w:r w:rsidRPr="004828A2">
        <w:rPr>
          <w:b/>
        </w:rPr>
        <w:t xml:space="preserve">Monitoring: </w:t>
      </w:r>
      <w:r w:rsidR="00A72B53">
        <w:rPr>
          <w:bCs/>
        </w:rPr>
        <w:t xml:space="preserve">Plymouth Practice performance will be monitored like all other Atrius Health imaging: </w:t>
      </w:r>
      <w:r w:rsidRPr="004828A2">
        <w:t>TAT for CT and MRI exams are compiled and reviewed monthly</w:t>
      </w:r>
      <w:r>
        <w:t xml:space="preserve"> by radiology leadership</w:t>
      </w:r>
      <w:r w:rsidRPr="004828A2">
        <w:t>.</w:t>
      </w:r>
      <w:r w:rsidR="0046735E" w:rsidRPr="0046735E">
        <w:t xml:space="preserve"> </w:t>
      </w:r>
      <w:r w:rsidR="0046735E">
        <w:t xml:space="preserve">All exams that do not meet the reporting TAT standard are reviewed to determine </w:t>
      </w:r>
      <w:r w:rsidR="0018651E">
        <w:t xml:space="preserve">the </w:t>
      </w:r>
      <w:r w:rsidR="0046735E">
        <w:t xml:space="preserve">cause of the delay. </w:t>
      </w:r>
      <w:r w:rsidR="0046735E" w:rsidRPr="004828A2">
        <w:t xml:space="preserve">Improvement measures will be </w:t>
      </w:r>
      <w:r w:rsidR="0046735E">
        <w:t>implemented</w:t>
      </w:r>
      <w:r w:rsidR="0046735E" w:rsidRPr="004828A2">
        <w:t xml:space="preserve"> </w:t>
      </w:r>
      <w:r w:rsidR="0046735E">
        <w:t xml:space="preserve">by radiology leadership </w:t>
      </w:r>
      <w:r w:rsidR="0046735E" w:rsidRPr="004828A2">
        <w:t>if a problem is identified.</w:t>
      </w:r>
      <w:r w:rsidRPr="004828A2">
        <w:t xml:space="preserve"> </w:t>
      </w:r>
    </w:p>
    <w:p w14:paraId="549CFB04" w14:textId="4744549C" w:rsidR="00F96C8F" w:rsidRPr="004828A2" w:rsidRDefault="00F96C8F" w:rsidP="00C255B7">
      <w:pPr>
        <w:pStyle w:val="ListParagraph"/>
        <w:numPr>
          <w:ilvl w:val="0"/>
          <w:numId w:val="20"/>
        </w:numPr>
        <w:jc w:val="both"/>
      </w:pPr>
      <w:r w:rsidRPr="00C255B7">
        <w:rPr>
          <w:rFonts w:ascii="Calibri" w:hAnsi="Calibri" w:cs="Calibri"/>
          <w:b/>
          <w:bCs/>
        </w:rPr>
        <w:t>Quality</w:t>
      </w:r>
      <w:r w:rsidRPr="004828A2">
        <w:rPr>
          <w:b/>
        </w:rPr>
        <w:t xml:space="preserve"> </w:t>
      </w:r>
      <w:r w:rsidRPr="00307942">
        <w:rPr>
          <w:b/>
        </w:rPr>
        <w:t>Assurance</w:t>
      </w:r>
      <w:bookmarkStart w:id="44" w:name="_BPDCI_50"/>
      <w:r w:rsidR="00AA2B61" w:rsidRPr="00307942">
        <w:rPr>
          <w:b/>
        </w:rPr>
        <w:t xml:space="preserve"> (QA)</w:t>
      </w:r>
      <w:bookmarkEnd w:id="44"/>
      <w:r w:rsidRPr="00307942">
        <w:rPr>
          <w:b/>
        </w:rPr>
        <w:t>:</w:t>
      </w:r>
      <w:r w:rsidRPr="004828A2">
        <w:t xml:space="preserve"> Atrius Health has an intensive </w:t>
      </w:r>
      <w:r>
        <w:t xml:space="preserve">imaging </w:t>
      </w:r>
      <w:r w:rsidRPr="004828A2">
        <w:t xml:space="preserve">QA program, facilitated by the </w:t>
      </w:r>
      <w:r>
        <w:t>provision of direct</w:t>
      </w:r>
      <w:r w:rsidRPr="004828A2">
        <w:t xml:space="preserve"> technical feedback</w:t>
      </w:r>
      <w:r>
        <w:t xml:space="preserve"> by radiologists</w:t>
      </w:r>
      <w:r w:rsidRPr="004828A2">
        <w:t xml:space="preserve">. </w:t>
      </w:r>
      <w:r>
        <w:t xml:space="preserve">Radiologists </w:t>
      </w:r>
      <w:r w:rsidR="00244DC9">
        <w:t xml:space="preserve">can </w:t>
      </w:r>
      <w:r>
        <w:t xml:space="preserve">dictate comments on any technical imaging </w:t>
      </w:r>
      <w:r w:rsidR="00A72B53">
        <w:t>issues.</w:t>
      </w:r>
      <w:r>
        <w:t xml:space="preserve"> </w:t>
      </w:r>
      <w:r w:rsidRPr="004828A2">
        <w:t xml:space="preserve">Comments </w:t>
      </w:r>
      <w:r w:rsidR="00244DC9">
        <w:t xml:space="preserve">for each imaging modality </w:t>
      </w:r>
      <w:r w:rsidRPr="004828A2">
        <w:t xml:space="preserve">are reviewed monthly by the </w:t>
      </w:r>
      <w:r w:rsidRPr="004828A2">
        <w:lastRenderedPageBreak/>
        <w:t xml:space="preserve">radiology </w:t>
      </w:r>
      <w:r>
        <w:t xml:space="preserve">services </w:t>
      </w:r>
      <w:r w:rsidRPr="004828A2">
        <w:t xml:space="preserve">management team </w:t>
      </w:r>
      <w:r>
        <w:t>which is made up of regional managers. The feedback</w:t>
      </w:r>
      <w:r w:rsidRPr="004828A2">
        <w:t xml:space="preserve"> drive</w:t>
      </w:r>
      <w:r>
        <w:t>s</w:t>
      </w:r>
      <w:r w:rsidRPr="004828A2">
        <w:t xml:space="preserve"> improvement in exam quality</w:t>
      </w:r>
      <w:r w:rsidRPr="001A783F">
        <w:t xml:space="preserve"> </w:t>
      </w:r>
      <w:r w:rsidR="00B41FF6">
        <w:t>across Atrius</w:t>
      </w:r>
      <w:r>
        <w:t xml:space="preserve"> </w:t>
      </w:r>
      <w:r w:rsidR="00AD203B">
        <w:t>Health.</w:t>
      </w:r>
      <w:r w:rsidRPr="004828A2">
        <w:t xml:space="preserve"> This </w:t>
      </w:r>
      <w:r>
        <w:t xml:space="preserve">imaging QA </w:t>
      </w:r>
      <w:r w:rsidRPr="004828A2">
        <w:t xml:space="preserve">program will include the new </w:t>
      </w:r>
      <w:r>
        <w:t>Plymouth Practice</w:t>
      </w:r>
      <w:r w:rsidRPr="004828A2">
        <w:t xml:space="preserve"> CT and MRI scans. Currently, fewer than 1% of </w:t>
      </w:r>
      <w:r w:rsidR="00A72B53">
        <w:t xml:space="preserve">all </w:t>
      </w:r>
      <w:r w:rsidRPr="004828A2">
        <w:t>imaging studies are identified as having QA issues</w:t>
      </w:r>
      <w:r w:rsidR="00AD203B">
        <w:t xml:space="preserve"> requiring repeat imaging; Atrius Health </w:t>
      </w:r>
      <w:r w:rsidRPr="004828A2">
        <w:t xml:space="preserve">will closely monitor the exams at </w:t>
      </w:r>
      <w:r>
        <w:t>the Plymouth Practice</w:t>
      </w:r>
      <w:r w:rsidRPr="004828A2">
        <w:t xml:space="preserve">, particularly in the first year, to ensure that similar or better quality is achieved. </w:t>
      </w:r>
    </w:p>
    <w:p w14:paraId="2556987A" w14:textId="728A724A" w:rsidR="00F96C8F" w:rsidRPr="004828A2" w:rsidRDefault="00F96C8F" w:rsidP="00A046A7">
      <w:pPr>
        <w:numPr>
          <w:ilvl w:val="0"/>
          <w:numId w:val="22"/>
        </w:numPr>
        <w:ind w:left="1710"/>
        <w:contextualSpacing/>
      </w:pPr>
      <w:r w:rsidRPr="004828A2">
        <w:rPr>
          <w:b/>
        </w:rPr>
        <w:t>Measure:</w:t>
      </w:r>
      <w:r w:rsidR="00A72B53">
        <w:t xml:space="preserve"> Percentage </w:t>
      </w:r>
      <w:r w:rsidRPr="004828A2">
        <w:t xml:space="preserve">of </w:t>
      </w:r>
      <w:r>
        <w:t xml:space="preserve">non-diagnostic </w:t>
      </w:r>
      <w:r w:rsidRPr="004828A2">
        <w:t>exams requiring repeat imaging</w:t>
      </w:r>
      <w:r>
        <w:t xml:space="preserve">. </w:t>
      </w:r>
      <w:r w:rsidRPr="004828A2">
        <w:t xml:space="preserve"> </w:t>
      </w:r>
    </w:p>
    <w:p w14:paraId="062459DD" w14:textId="6E01C830" w:rsidR="00F96C8F" w:rsidRPr="004828A2" w:rsidRDefault="00F96C8F" w:rsidP="00A046A7">
      <w:pPr>
        <w:numPr>
          <w:ilvl w:val="0"/>
          <w:numId w:val="22"/>
        </w:numPr>
        <w:ind w:left="1710"/>
        <w:contextualSpacing/>
        <w:jc w:val="both"/>
      </w:pPr>
      <w:r w:rsidRPr="004828A2">
        <w:rPr>
          <w:b/>
        </w:rPr>
        <w:t xml:space="preserve">Projections: </w:t>
      </w:r>
      <w:r w:rsidRPr="004828A2">
        <w:t>Currently there is no baseline for th</w:t>
      </w:r>
      <w:r w:rsidR="00AD203B">
        <w:t>e Plymouth Practice</w:t>
      </w:r>
      <w:r w:rsidRPr="004828A2">
        <w:t xml:space="preserve">. </w:t>
      </w:r>
      <w:r w:rsidR="006E3FD0" w:rsidRPr="004828A2">
        <w:t>Overall,</w:t>
      </w:r>
      <w:r w:rsidRPr="004828A2">
        <w:t xml:space="preserve"> across all imaging modalities</w:t>
      </w:r>
      <w:r>
        <w:t xml:space="preserve"> at Atrius</w:t>
      </w:r>
      <w:r w:rsidR="00AD203B">
        <w:t xml:space="preserve"> Health</w:t>
      </w:r>
      <w:r>
        <w:t xml:space="preserve"> practice</w:t>
      </w:r>
      <w:r w:rsidR="00AD203B">
        <w:t>s</w:t>
      </w:r>
      <w:r>
        <w:t>,</w:t>
      </w:r>
      <w:r w:rsidRPr="004828A2">
        <w:t xml:space="preserve"> the incidence of negative technical feedback and the need for a repeat exam is less than 1%</w:t>
      </w:r>
      <w:r>
        <w:t xml:space="preserve"> for each modality. The incidence of repeat imaging for Plymouth Practice is projected to be consistent with this threshold. </w:t>
      </w:r>
    </w:p>
    <w:p w14:paraId="3B982916" w14:textId="302C46FD" w:rsidR="00F96C8F" w:rsidRPr="004828A2" w:rsidRDefault="00F96C8F" w:rsidP="00A046A7">
      <w:pPr>
        <w:numPr>
          <w:ilvl w:val="0"/>
          <w:numId w:val="22"/>
        </w:numPr>
        <w:ind w:left="1710"/>
        <w:contextualSpacing/>
        <w:jc w:val="both"/>
      </w:pPr>
      <w:r w:rsidRPr="004828A2">
        <w:rPr>
          <w:b/>
        </w:rPr>
        <w:t xml:space="preserve">Monitoring: </w:t>
      </w:r>
      <w:r w:rsidRPr="004828A2">
        <w:t xml:space="preserve">QA comments </w:t>
      </w:r>
      <w:r w:rsidR="00A72B53">
        <w:t xml:space="preserve">and the repeat rate (need for repeat imaging) </w:t>
      </w:r>
      <w:r w:rsidRPr="004828A2">
        <w:t xml:space="preserve">will be evaluated </w:t>
      </w:r>
      <w:proofErr w:type="gramStart"/>
      <w:r w:rsidRPr="004828A2">
        <w:t>monthly</w:t>
      </w:r>
      <w:proofErr w:type="gramEnd"/>
      <w:r w:rsidRPr="004828A2">
        <w:t xml:space="preserve"> and action taken on any improvement measures identified</w:t>
      </w:r>
      <w:r>
        <w:t>, including the basis for any required repeat imaging</w:t>
      </w:r>
      <w:r w:rsidRPr="004828A2">
        <w:t>.</w:t>
      </w:r>
    </w:p>
    <w:p w14:paraId="576CF480" w14:textId="77777777" w:rsidR="00F96C8F" w:rsidRPr="004828A2" w:rsidRDefault="00F96C8F" w:rsidP="00A046A7">
      <w:pPr>
        <w:pStyle w:val="ListParagraph"/>
        <w:numPr>
          <w:ilvl w:val="0"/>
          <w:numId w:val="20"/>
        </w:numPr>
        <w:jc w:val="both"/>
      </w:pPr>
      <w:r w:rsidRPr="004828A2">
        <w:rPr>
          <w:b/>
        </w:rPr>
        <w:t>Patient Experience/Satisfaction</w:t>
      </w:r>
      <w:r w:rsidRPr="004828A2">
        <w:t>: Patient satisfaction and positive patient experience help to ensure patient compliance with imaging</w:t>
      </w:r>
      <w:r>
        <w:t xml:space="preserve"> orders.</w:t>
      </w:r>
      <w:r w:rsidRPr="004828A2">
        <w:t xml:space="preserve"> </w:t>
      </w:r>
    </w:p>
    <w:p w14:paraId="09ECC598" w14:textId="5569DD89" w:rsidR="00F96C8F" w:rsidRPr="004828A2" w:rsidRDefault="00F96C8F" w:rsidP="00A046A7">
      <w:pPr>
        <w:numPr>
          <w:ilvl w:val="0"/>
          <w:numId w:val="23"/>
        </w:numPr>
        <w:ind w:left="1710"/>
        <w:contextualSpacing/>
        <w:jc w:val="both"/>
      </w:pPr>
      <w:r w:rsidRPr="004828A2">
        <w:rPr>
          <w:b/>
        </w:rPr>
        <w:t>Measure:</w:t>
      </w:r>
      <w:r w:rsidRPr="004828A2">
        <w:t xml:space="preserve"> Patient satisfaction is </w:t>
      </w:r>
      <w:r>
        <w:t>reported monthly for radiology services including CT and MRI based on Press Ganey survey responses.</w:t>
      </w:r>
      <w:r w:rsidRPr="004828A2">
        <w:t xml:space="preserve"> </w:t>
      </w:r>
    </w:p>
    <w:p w14:paraId="5B650BB1" w14:textId="4F63F72E" w:rsidR="00F96C8F" w:rsidRPr="004828A2" w:rsidRDefault="00F96C8F" w:rsidP="00A046A7">
      <w:pPr>
        <w:numPr>
          <w:ilvl w:val="0"/>
          <w:numId w:val="23"/>
        </w:numPr>
        <w:ind w:left="1710"/>
        <w:contextualSpacing/>
        <w:jc w:val="both"/>
      </w:pPr>
      <w:r w:rsidRPr="004828A2">
        <w:rPr>
          <w:b/>
        </w:rPr>
        <w:t xml:space="preserve">Projections: </w:t>
      </w:r>
      <w:r w:rsidRPr="008E236B">
        <w:t xml:space="preserve">Radiology </w:t>
      </w:r>
      <w:r>
        <w:t xml:space="preserve">Department </w:t>
      </w:r>
      <w:r w:rsidRPr="004828A2">
        <w:t>Baseline: 2021</w:t>
      </w:r>
      <w:r w:rsidR="00AD203B">
        <w:t xml:space="preserve"> </w:t>
      </w:r>
      <w:r w:rsidR="00B41FF6">
        <w:t xml:space="preserve">- </w:t>
      </w:r>
      <w:r w:rsidR="00B41FF6" w:rsidRPr="004828A2">
        <w:t>82.4</w:t>
      </w:r>
      <w:r w:rsidRPr="004828A2">
        <w:t xml:space="preserve">% </w:t>
      </w:r>
      <w:r w:rsidR="00AD203B">
        <w:t>“</w:t>
      </w:r>
      <w:r w:rsidRPr="004828A2">
        <w:t>very good</w:t>
      </w:r>
      <w:r w:rsidR="00AD203B">
        <w:t>”</w:t>
      </w:r>
      <w:r w:rsidRPr="004828A2">
        <w:t>; Projection</w:t>
      </w:r>
      <w:r w:rsidR="005B0962">
        <w:t>s for the Radiology Department for the 2022 and 2023 are 83% “very good” and for the following three years</w:t>
      </w:r>
      <w:r w:rsidRPr="004828A2">
        <w:t>: 2024—83%; 202</w:t>
      </w:r>
      <w:r>
        <w:t>5</w:t>
      </w:r>
      <w:r w:rsidRPr="004828A2">
        <w:t>—85</w:t>
      </w:r>
      <w:r w:rsidR="00B41FF6" w:rsidRPr="004828A2">
        <w:t>%; 2026</w:t>
      </w:r>
      <w:r w:rsidRPr="004828A2">
        <w:t>—85%</w:t>
      </w:r>
      <w:r>
        <w:t xml:space="preserve">. Plymouth Practice patient satisfaction </w:t>
      </w:r>
      <w:r w:rsidR="00AD203B">
        <w:t xml:space="preserve">with MRI and CT </w:t>
      </w:r>
      <w:r>
        <w:t xml:space="preserve">is </w:t>
      </w:r>
      <w:r w:rsidR="00AD203B">
        <w:t xml:space="preserve">expected </w:t>
      </w:r>
      <w:r>
        <w:t>to be consistent with these projections</w:t>
      </w:r>
      <w:r w:rsidR="00AD203B">
        <w:t>.</w:t>
      </w:r>
      <w:r>
        <w:t xml:space="preserve"> </w:t>
      </w:r>
    </w:p>
    <w:p w14:paraId="4E7E7D56" w14:textId="7025AC7A" w:rsidR="00F96C8F" w:rsidRPr="004828A2" w:rsidRDefault="00F96C8F" w:rsidP="00A046A7">
      <w:pPr>
        <w:numPr>
          <w:ilvl w:val="0"/>
          <w:numId w:val="23"/>
        </w:numPr>
        <w:ind w:left="1710"/>
        <w:contextualSpacing/>
        <w:jc w:val="both"/>
      </w:pPr>
      <w:r w:rsidRPr="004828A2">
        <w:rPr>
          <w:b/>
        </w:rPr>
        <w:t xml:space="preserve">Monitoring: </w:t>
      </w:r>
      <w:r w:rsidRPr="004828A2">
        <w:t xml:space="preserve">Patient </w:t>
      </w:r>
      <w:r>
        <w:t>s</w:t>
      </w:r>
      <w:r w:rsidRPr="004828A2">
        <w:t xml:space="preserve">atisfaction scores </w:t>
      </w:r>
      <w:r w:rsidR="00AD203B">
        <w:t xml:space="preserve">by practice location </w:t>
      </w:r>
      <w:r w:rsidRPr="004828A2">
        <w:t>are monitored a</w:t>
      </w:r>
      <w:r>
        <w:t xml:space="preserve">nd evaluated monthly by </w:t>
      </w:r>
      <w:r w:rsidR="0078530F">
        <w:t>the</w:t>
      </w:r>
      <w:r w:rsidR="00C3185B">
        <w:t xml:space="preserve"> Atrius Health </w:t>
      </w:r>
      <w:r w:rsidR="00AD203B">
        <w:t>D</w:t>
      </w:r>
      <w:r w:rsidR="00C3185B">
        <w:t>epartment of Quality, Safety, and Patient Experience</w:t>
      </w:r>
      <w:r w:rsidR="00AD203B">
        <w:t xml:space="preserve">, and </w:t>
      </w:r>
      <w:r w:rsidR="00C3185B">
        <w:t>reviewed monthly by the Radiology Regional Service Line Managers.</w:t>
      </w:r>
      <w:r>
        <w:t xml:space="preserve"> If monthly </w:t>
      </w:r>
      <w:r w:rsidRPr="004828A2">
        <w:t>trending shows a decline</w:t>
      </w:r>
      <w:r w:rsidR="00AD203B">
        <w:t xml:space="preserve">, </w:t>
      </w:r>
      <w:r w:rsidRPr="004828A2">
        <w:t xml:space="preserve">the </w:t>
      </w:r>
      <w:r w:rsidR="00AD203B">
        <w:t xml:space="preserve">practice </w:t>
      </w:r>
      <w:r w:rsidRPr="004828A2">
        <w:t xml:space="preserve">and staff will be evaluated </w:t>
      </w:r>
      <w:r>
        <w:t xml:space="preserve">by </w:t>
      </w:r>
      <w:r w:rsidR="00C3185B">
        <w:t>Radiology Regional Service Line Managers</w:t>
      </w:r>
      <w:r w:rsidR="00C3185B" w:rsidRPr="004828A2">
        <w:t xml:space="preserve"> </w:t>
      </w:r>
      <w:r w:rsidRPr="004828A2">
        <w:t xml:space="preserve">and improvement measures </w:t>
      </w:r>
      <w:r>
        <w:t>will be implemented as</w:t>
      </w:r>
      <w:r w:rsidRPr="004828A2">
        <w:t xml:space="preserve"> needed.</w:t>
      </w:r>
    </w:p>
    <w:p w14:paraId="659B25A1" w14:textId="2DF4A349" w:rsidR="00F96C8F" w:rsidRPr="004828A2" w:rsidRDefault="00F96C8F" w:rsidP="00863D93">
      <w:pPr>
        <w:pStyle w:val="ListParagraph"/>
        <w:numPr>
          <w:ilvl w:val="0"/>
          <w:numId w:val="20"/>
        </w:numPr>
        <w:jc w:val="both"/>
      </w:pPr>
      <w:r w:rsidRPr="004828A2">
        <w:rPr>
          <w:b/>
        </w:rPr>
        <w:t>Access</w:t>
      </w:r>
      <w:r w:rsidRPr="004828A2">
        <w:t xml:space="preserve">: Access to advanced imaging is currently monitored for each </w:t>
      </w:r>
      <w:r w:rsidR="00AD203B">
        <w:t xml:space="preserve">practice </w:t>
      </w:r>
      <w:r>
        <w:t xml:space="preserve">that provides </w:t>
      </w:r>
      <w:r w:rsidR="004476E0">
        <w:t xml:space="preserve">CT and MRI </w:t>
      </w:r>
      <w:r>
        <w:t>imaging services</w:t>
      </w:r>
      <w:r w:rsidRPr="004828A2">
        <w:t xml:space="preserve">. The Proposed Project seeks to ensure timely access for CT and MRI exams for the </w:t>
      </w:r>
      <w:r>
        <w:t>Plymouth</w:t>
      </w:r>
      <w:r w:rsidR="00AD203B">
        <w:t xml:space="preserve"> Practice</w:t>
      </w:r>
      <w:r w:rsidRPr="004828A2">
        <w:t xml:space="preserve"> </w:t>
      </w:r>
      <w:r w:rsidR="00AD203B">
        <w:t>P</w:t>
      </w:r>
      <w:r w:rsidRPr="004828A2">
        <w:t xml:space="preserve">atient </w:t>
      </w:r>
      <w:r w:rsidR="00AD203B">
        <w:t>P</w:t>
      </w:r>
      <w:r w:rsidRPr="004828A2">
        <w:t>anel</w:t>
      </w:r>
      <w:r w:rsidR="005B0962">
        <w:t xml:space="preserve"> at the Plymouth Practice</w:t>
      </w:r>
      <w:r w:rsidRPr="004828A2">
        <w:t xml:space="preserve">. </w:t>
      </w:r>
    </w:p>
    <w:p w14:paraId="0BFF8615" w14:textId="77777777" w:rsidR="00F96C8F" w:rsidRPr="004828A2" w:rsidRDefault="00F96C8F" w:rsidP="00863D93">
      <w:pPr>
        <w:numPr>
          <w:ilvl w:val="0"/>
          <w:numId w:val="24"/>
        </w:numPr>
        <w:ind w:left="1710"/>
        <w:contextualSpacing/>
        <w:jc w:val="both"/>
      </w:pPr>
      <w:r w:rsidRPr="004828A2">
        <w:rPr>
          <w:b/>
        </w:rPr>
        <w:t xml:space="preserve">Measure: </w:t>
      </w:r>
      <w:r w:rsidRPr="004828A2">
        <w:t>Wait time for</w:t>
      </w:r>
      <w:r>
        <w:t xml:space="preserve"> first</w:t>
      </w:r>
      <w:r w:rsidRPr="004828A2">
        <w:t xml:space="preserve"> available appointment from when the order was placed.</w:t>
      </w:r>
    </w:p>
    <w:p w14:paraId="64C77904" w14:textId="05AD71AE" w:rsidR="00F96C8F" w:rsidRPr="004828A2" w:rsidRDefault="00F96C8F" w:rsidP="00863D93">
      <w:pPr>
        <w:numPr>
          <w:ilvl w:val="0"/>
          <w:numId w:val="24"/>
        </w:numPr>
        <w:ind w:left="1710"/>
        <w:contextualSpacing/>
        <w:jc w:val="both"/>
      </w:pPr>
      <w:r w:rsidRPr="004828A2">
        <w:rPr>
          <w:b/>
        </w:rPr>
        <w:t xml:space="preserve">Projections: </w:t>
      </w:r>
      <w:r w:rsidRPr="004828A2">
        <w:t xml:space="preserve">Currently there is no baseline for </w:t>
      </w:r>
      <w:r>
        <w:t xml:space="preserve">the Plymouth Practice. Current </w:t>
      </w:r>
      <w:r w:rsidR="005B0962">
        <w:t xml:space="preserve">average </w:t>
      </w:r>
      <w:r>
        <w:t>access for CT at other Atrius Health locations is same day/next day</w:t>
      </w:r>
      <w:r w:rsidR="005B0962">
        <w:t xml:space="preserve"> for first available appointment</w:t>
      </w:r>
      <w:r>
        <w:t>; access for MRI services at other Atrius Health locations for urgent and emergent exams is same day/next day,</w:t>
      </w:r>
      <w:r w:rsidR="00AA2B61">
        <w:t xml:space="preserve"> </w:t>
      </w:r>
      <w:bookmarkStart w:id="45" w:name="_BPDCI_51"/>
      <w:r w:rsidR="00AA2B61" w:rsidRPr="00307942">
        <w:t>access</w:t>
      </w:r>
      <w:r w:rsidRPr="00307942">
        <w:t xml:space="preserve"> </w:t>
      </w:r>
      <w:bookmarkEnd w:id="45"/>
      <w:r>
        <w:t xml:space="preserve">for routine exams is within 10 -14 days. Access </w:t>
      </w:r>
      <w:r w:rsidR="005B0962">
        <w:t xml:space="preserve">in the </w:t>
      </w:r>
      <w:r>
        <w:t>Plymouth</w:t>
      </w:r>
      <w:r w:rsidR="005B0962">
        <w:t xml:space="preserve"> Practice Patient Panel</w:t>
      </w:r>
      <w:r>
        <w:t xml:space="preserve"> for </w:t>
      </w:r>
      <w:r w:rsidR="00AD203B">
        <w:t xml:space="preserve">CT and MRI </w:t>
      </w:r>
      <w:r>
        <w:t>would be improved based on increased capacity associated with the planned service days and projected volume.</w:t>
      </w:r>
    </w:p>
    <w:p w14:paraId="537A80CB" w14:textId="1A3F1829" w:rsidR="00F96C8F" w:rsidRPr="004828A2" w:rsidRDefault="00F96C8F" w:rsidP="00863D93">
      <w:pPr>
        <w:numPr>
          <w:ilvl w:val="0"/>
          <w:numId w:val="24"/>
        </w:numPr>
        <w:ind w:left="1710"/>
        <w:contextualSpacing/>
        <w:jc w:val="both"/>
      </w:pPr>
      <w:r w:rsidRPr="004828A2">
        <w:rPr>
          <w:b/>
        </w:rPr>
        <w:t xml:space="preserve">Monitoring: </w:t>
      </w:r>
      <w:r>
        <w:t xml:space="preserve">The Plymouth Practice </w:t>
      </w:r>
      <w:r w:rsidR="009C4F24">
        <w:t xml:space="preserve">wait times </w:t>
      </w:r>
      <w:r w:rsidRPr="004828A2">
        <w:t xml:space="preserve">will be added to </w:t>
      </w:r>
      <w:r w:rsidR="009C4F24">
        <w:t xml:space="preserve">Atrius Health </w:t>
      </w:r>
      <w:r w:rsidR="006E3FD0">
        <w:t>standard</w:t>
      </w:r>
      <w:r w:rsidR="006E3FD0" w:rsidRPr="004828A2">
        <w:t xml:space="preserve"> reporting</w:t>
      </w:r>
      <w:r w:rsidRPr="004828A2">
        <w:t xml:space="preserve"> data </w:t>
      </w:r>
      <w:r>
        <w:t xml:space="preserve">when services become </w:t>
      </w:r>
      <w:r w:rsidR="006E3FD0">
        <w:t>operational and</w:t>
      </w:r>
      <w:r>
        <w:t xml:space="preserve"> will be</w:t>
      </w:r>
      <w:r w:rsidRPr="004828A2">
        <w:t xml:space="preserve"> monitored monthly</w:t>
      </w:r>
      <w:r>
        <w:t xml:space="preserve"> by </w:t>
      </w:r>
      <w:r w:rsidR="00C3185B">
        <w:t>Radiology Regional Service Line Managers</w:t>
      </w:r>
      <w:r w:rsidRPr="004828A2">
        <w:t>. Service adjustments will be made if there are access constraints</w:t>
      </w:r>
      <w:r>
        <w:t>, as indicated by persistent increases in wait times for first available appointments from when the order was placed</w:t>
      </w:r>
      <w:r w:rsidRPr="004828A2">
        <w:t>.</w:t>
      </w:r>
    </w:p>
    <w:p w14:paraId="1DABCCA1" w14:textId="77777777" w:rsidR="00F96C8F" w:rsidRPr="004828A2" w:rsidRDefault="00F96C8F" w:rsidP="00F96C8F">
      <w:pPr>
        <w:ind w:left="1440"/>
        <w:contextualSpacing/>
      </w:pPr>
    </w:p>
    <w:p w14:paraId="62D61101" w14:textId="77777777" w:rsidR="00F96C8F" w:rsidRPr="006A268D" w:rsidRDefault="00F96C8F" w:rsidP="00B174F1">
      <w:pPr>
        <w:spacing w:after="0"/>
        <w:rPr>
          <w:b/>
        </w:rPr>
      </w:pPr>
      <w:r w:rsidRPr="006A268D">
        <w:rPr>
          <w:b/>
        </w:rPr>
        <w:t xml:space="preserve">F1.b.iii </w:t>
      </w:r>
      <w:r w:rsidRPr="006A268D">
        <w:rPr>
          <w:b/>
        </w:rPr>
        <w:tab/>
        <w:t xml:space="preserve">Public Health Value /Health Equity-Focused: </w:t>
      </w:r>
    </w:p>
    <w:p w14:paraId="49574F5F" w14:textId="79C32ECC" w:rsidR="00F96C8F" w:rsidRDefault="00F96C8F" w:rsidP="00BA62C6">
      <w:pPr>
        <w:keepNext/>
        <w:keepLines/>
        <w:spacing w:after="0" w:line="240" w:lineRule="auto"/>
        <w:ind w:left="720"/>
        <w:rPr>
          <w:b/>
        </w:rPr>
      </w:pPr>
      <w:r w:rsidRPr="006A268D">
        <w:rPr>
          <w:b/>
        </w:rPr>
        <w:lastRenderedPageBreak/>
        <w:t>For Proposed Projects addressing health inequities identified within the Applicant's description of the Proposed Project's need-base, please justify how the Proposed Project will reduce the health inequity, including the operational components (</w:t>
      </w:r>
      <w:r w:rsidR="006E3FD0" w:rsidRPr="006A268D">
        <w:rPr>
          <w:b/>
        </w:rPr>
        <w:t>e.g.,</w:t>
      </w:r>
      <w:r w:rsidRPr="006A268D">
        <w:rPr>
          <w:b/>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4FE73F78" w14:textId="77777777" w:rsidR="00863D93" w:rsidRDefault="00863D93" w:rsidP="00BA62C6">
      <w:pPr>
        <w:keepNext/>
        <w:keepLines/>
        <w:spacing w:after="0" w:line="240" w:lineRule="auto"/>
        <w:ind w:left="720"/>
        <w:rPr>
          <w:b/>
        </w:rPr>
      </w:pPr>
    </w:p>
    <w:p w14:paraId="358CBA97" w14:textId="0C74FF02" w:rsidR="00F96C8F" w:rsidRDefault="00F96C8F" w:rsidP="00D353A7">
      <w:pPr>
        <w:ind w:left="720"/>
        <w:jc w:val="both"/>
      </w:pPr>
      <w:r>
        <w:t>Atrius Health is an HPC-certified ACO</w:t>
      </w:r>
      <w:r w:rsidR="00F857A9">
        <w:t xml:space="preserve"> </w:t>
      </w:r>
      <w:r>
        <w:t xml:space="preserve">driven to improve the health and wellness of the population of the Commonwealth by providing high-quality, coordinated care for patients across Eastern Massachusetts.  Atrius Health is committed to serving a diverse patient </w:t>
      </w:r>
      <w:r w:rsidR="006E3FD0">
        <w:t>population and</w:t>
      </w:r>
      <w:r>
        <w:t xml:space="preserve"> strives to address the needs of individuals who may be at particular risk for poor health </w:t>
      </w:r>
      <w:proofErr w:type="gramStart"/>
      <w:r>
        <w:t>as a result of</w:t>
      </w:r>
      <w:proofErr w:type="gramEnd"/>
      <w:r>
        <w:t xml:space="preserve"> social and other conditions.  Atrius Health prides itself on delivering a model of care that is focused on the individual, regardless of payer source or ability to pay.  Atrius Health accepts most insurance plans and works with patients who have difficulty paying for care. Atrius Health has always participated in Medicaid (MassHealth) and currently participates as the ACO Partner in the MassHealth ACO plan, Tufts Health Together with Atrius Health, serving some of the Commonwealth’s most vulnerable populations.  </w:t>
      </w:r>
      <w:r w:rsidRPr="007818EF">
        <w:t xml:space="preserve">Atrius </w:t>
      </w:r>
      <w:r>
        <w:t xml:space="preserve">Health participates in Medicare alternative payment models, such as the Medicare Shared Savings Program and Primary Care First, the aims of which include improving access to, and coordinating care for, Medicare beneficiaries.  </w:t>
      </w:r>
    </w:p>
    <w:p w14:paraId="72DF0CD7" w14:textId="75F9B043" w:rsidR="00F96C8F" w:rsidRDefault="00F96C8F" w:rsidP="00D353A7">
      <w:pPr>
        <w:ind w:left="720"/>
        <w:jc w:val="both"/>
      </w:pPr>
      <w:r>
        <w:t>The Proposed Project will contribute to</w:t>
      </w:r>
      <w:r w:rsidR="009F5FFC">
        <w:t xml:space="preserve"> </w:t>
      </w:r>
      <w:bookmarkStart w:id="46" w:name="_BPDCI_57"/>
      <w:r w:rsidR="009F5FFC" w:rsidRPr="00307942">
        <w:t>Atrius Health’s</w:t>
      </w:r>
      <w:r w:rsidRPr="00307942">
        <w:t xml:space="preserve"> </w:t>
      </w:r>
      <w:bookmarkEnd w:id="46"/>
      <w:r>
        <w:t xml:space="preserve">efforts to improve access to care for underserved populations by making MRI and CT services more accessible at a lower cost to the Plymouth </w:t>
      </w:r>
      <w:r w:rsidR="008E6994">
        <w:t xml:space="preserve">Practice </w:t>
      </w:r>
      <w:r>
        <w:t xml:space="preserve">Patient Panel and surrounding communities. </w:t>
      </w:r>
      <w:r w:rsidRPr="009D6FCE">
        <w:t xml:space="preserve"> </w:t>
      </w:r>
      <w:r w:rsidRPr="005114CF">
        <w:t xml:space="preserve">The HPC has shared findings </w:t>
      </w:r>
      <w:r>
        <w:t xml:space="preserve">from an analysis of the CHIA 2019 Massachusetts Health Insurance Survey, </w:t>
      </w:r>
      <w:r w:rsidRPr="005114CF">
        <w:t xml:space="preserve">indicating that among Massachusetts </w:t>
      </w:r>
      <w:r w:rsidR="006E3FD0" w:rsidRPr="005114CF">
        <w:t>commercially insured</w:t>
      </w:r>
      <w:r w:rsidRPr="005114CF">
        <w:t xml:space="preserve"> patients with lower incomes, 59% </w:t>
      </w:r>
      <w:r w:rsidR="006E3FD0" w:rsidRPr="005114CF">
        <w:t>had trouble</w:t>
      </w:r>
      <w:r>
        <w:t xml:space="preserve"> accessing care due to cost. </w:t>
      </w:r>
      <w:r w:rsidRPr="005114CF">
        <w:t xml:space="preserve"> The HPC has also found that lower-income residents </w:t>
      </w:r>
      <w:r>
        <w:t xml:space="preserve">disproportionately </w:t>
      </w:r>
      <w:bookmarkStart w:id="47" w:name="_BPDCD_58"/>
      <w:r w:rsidRPr="00307942">
        <w:t>for</w:t>
      </w:r>
      <w:r w:rsidR="00021F0D" w:rsidRPr="00307942">
        <w:t xml:space="preserve"> </w:t>
      </w:r>
      <w:r w:rsidRPr="00307942">
        <w:t xml:space="preserve">go </w:t>
      </w:r>
      <w:bookmarkEnd w:id="47"/>
      <w:r w:rsidRPr="005114CF">
        <w:t>needed care.</w:t>
      </w:r>
      <w:r>
        <w:rPr>
          <w:rStyle w:val="FootnoteReference"/>
        </w:rPr>
        <w:footnoteReference w:id="31"/>
      </w:r>
      <w:r w:rsidRPr="005114CF">
        <w:t xml:space="preserve">  </w:t>
      </w:r>
      <w:r>
        <w:t>Reducing</w:t>
      </w:r>
      <w:r w:rsidR="00021F0D">
        <w:t xml:space="preserve"> </w:t>
      </w:r>
      <w:bookmarkStart w:id="48" w:name="_BPDCD_59"/>
      <w:r w:rsidR="00021F0D" w:rsidRPr="00307942">
        <w:t>the</w:t>
      </w:r>
      <w:r w:rsidRPr="00307942">
        <w:t xml:space="preserve"> cost</w:t>
      </w:r>
      <w:r w:rsidR="000C0533">
        <w:t xml:space="preserve"> </w:t>
      </w:r>
      <w:bookmarkEnd w:id="48"/>
      <w:r>
        <w:t xml:space="preserve">of care, including for advanced imaging, can be incredibly meaningful for families with significant cost-sharing as part of their health insurance plans.  Because the Proposed Project will </w:t>
      </w:r>
      <w:bookmarkStart w:id="49" w:name="_BPDCD_60"/>
      <w:r w:rsidRPr="00307942">
        <w:t>imp</w:t>
      </w:r>
      <w:r w:rsidR="00021F0D" w:rsidRPr="00307942">
        <w:t>rove</w:t>
      </w:r>
      <w:r w:rsidRPr="00307942">
        <w:t xml:space="preserve"> </w:t>
      </w:r>
      <w:bookmarkEnd w:id="49"/>
      <w:r>
        <w:t>affordability for lower-income residents by offering imaging services at lower</w:t>
      </w:r>
      <w:r w:rsidR="0069530E">
        <w:t xml:space="preserve"> cost than hospital-based imag</w:t>
      </w:r>
      <w:r>
        <w:t>ing</w:t>
      </w:r>
      <w:r w:rsidR="00026336">
        <w:t xml:space="preserve"> - which will reduce out-of-pocket expenses for patients with cost-sharing obligations for these services</w:t>
      </w:r>
      <w:r w:rsidR="00B41FF6">
        <w:t>- it</w:t>
      </w:r>
      <w:r>
        <w:t xml:space="preserve"> will help address inequities in access and cost of care.  In addition, for some patients and families, offering </w:t>
      </w:r>
      <w:r w:rsidRPr="005114CF">
        <w:t>imaging services</w:t>
      </w:r>
      <w:r>
        <w:t xml:space="preserve"> </w:t>
      </w:r>
      <w:r w:rsidR="006E3FD0">
        <w:t>near</w:t>
      </w:r>
      <w:r>
        <w:t xml:space="preserve"> their primary care or specialty providers permits patients to coordinate </w:t>
      </w:r>
      <w:r w:rsidR="006E3FD0">
        <w:t>visits,</w:t>
      </w:r>
      <w:r w:rsidR="008E6994">
        <w:t xml:space="preserve"> reducing </w:t>
      </w:r>
      <w:r>
        <w:t>drive time and</w:t>
      </w:r>
      <w:r w:rsidR="00836CC0">
        <w:t xml:space="preserve"> associated</w:t>
      </w:r>
      <w:r>
        <w:t xml:space="preserve"> expense</w:t>
      </w:r>
      <w:r w:rsidR="00836CC0">
        <w:t>s such a</w:t>
      </w:r>
      <w:r w:rsidR="00E01A2B">
        <w:t xml:space="preserve">s time away from work and </w:t>
      </w:r>
      <w:r w:rsidR="008E6994">
        <w:t xml:space="preserve">costs of </w:t>
      </w:r>
      <w:r w:rsidR="00E01A2B">
        <w:t xml:space="preserve">child and elder </w:t>
      </w:r>
      <w:r w:rsidR="00836CC0">
        <w:t>care</w:t>
      </w:r>
      <w:r>
        <w:t xml:space="preserve">, which may meaningfully impact lower-income families.  </w:t>
      </w:r>
      <w:r w:rsidR="00836CC0">
        <w:t xml:space="preserve"> </w:t>
      </w:r>
    </w:p>
    <w:p w14:paraId="71FC9A13" w14:textId="64E55330" w:rsidR="00F96C8F" w:rsidRDefault="00F96C8F" w:rsidP="00D353A7">
      <w:pPr>
        <w:ind w:left="720"/>
        <w:jc w:val="both"/>
      </w:pPr>
      <w:r>
        <w:t xml:space="preserve">As a result of how Atrius Health radiologists practice, </w:t>
      </w:r>
      <w:r w:rsidR="00C3185B">
        <w:t xml:space="preserve">utilizing the patients full medical record and appropriate, pertinent prior imaging, and </w:t>
      </w:r>
      <w:r w:rsidRPr="0034781A">
        <w:t xml:space="preserve">as described in </w:t>
      </w:r>
      <w:r w:rsidRPr="00C3185B">
        <w:t>F1.</w:t>
      </w:r>
      <w:r w:rsidR="00B41FF6" w:rsidRPr="00C3185B">
        <w:t>b. ii</w:t>
      </w:r>
      <w:r w:rsidRPr="0034781A">
        <w:t>,</w:t>
      </w:r>
      <w:r>
        <w:t xml:space="preserve"> p</w:t>
      </w:r>
      <w:r w:rsidR="00836CC0">
        <w:t>atients are often able to forgo</w:t>
      </w:r>
      <w:r>
        <w:t xml:space="preserve"> incidental follow-up studies, allowing patients to avoid the incremental costs associated with subsequent </w:t>
      </w:r>
      <w:r w:rsidRPr="005F0C39">
        <w:t>imaging.</w:t>
      </w:r>
      <w:r w:rsidRPr="005F0C39">
        <w:rPr>
          <w:rFonts w:cstheme="minorHAnsi"/>
        </w:rPr>
        <w:t xml:space="preserve"> </w:t>
      </w:r>
      <w:r w:rsidRPr="00C3185B">
        <w:t>Atrius Health has</w:t>
      </w:r>
      <w:r w:rsidRPr="00A93E52">
        <w:t xml:space="preserve"> documented in its radiology e-consult program that nearly 50% of follow up CTs and MRIs recommended by external imaging facilities can be cancelled based on a more comprehensive review of the patient’s medical record and prior imaging. </w:t>
      </w:r>
      <w:r>
        <w:t>H</w:t>
      </w:r>
      <w:r w:rsidRPr="00A93E52">
        <w:t xml:space="preserve">aving Atrius </w:t>
      </w:r>
      <w:r>
        <w:t xml:space="preserve">Health </w:t>
      </w:r>
      <w:r w:rsidRPr="00A93E52">
        <w:t xml:space="preserve">radiologists interpret CT and MRI exams for </w:t>
      </w:r>
      <w:r>
        <w:t>the Plymouth Practice Patient Panel</w:t>
      </w:r>
      <w:r w:rsidRPr="00A93E52">
        <w:t xml:space="preserve"> is expected to significantly decrease unnecessary imaging utilization and cost.</w:t>
      </w:r>
      <w:r>
        <w:t xml:space="preserve"> The Plymouth Practice Patient Panel includes a large MassHealth population who</w:t>
      </w:r>
      <w:r w:rsidR="008E6994">
        <w:t xml:space="preserve"> </w:t>
      </w:r>
      <w:r>
        <w:t xml:space="preserve">do not currently have </w:t>
      </w:r>
      <w:r w:rsidR="00EE0EE4">
        <w:t xml:space="preserve">convenient </w:t>
      </w:r>
      <w:r>
        <w:t>access to Atrius Health’s primary care focused advanced imaging services</w:t>
      </w:r>
      <w:r w:rsidR="008E6994">
        <w:t xml:space="preserve">, and the attendant benefits described earlier, because </w:t>
      </w:r>
      <w:r w:rsidR="008E6994">
        <w:lastRenderedPageBreak/>
        <w:t>the closest Atrius Health service is at least 30 minutes away.</w:t>
      </w:r>
      <w:r>
        <w:t xml:space="preserve">  The Proposed Project would provide access to these services for this segment of the Atrius Health MassHealth population (and, additionally, support efforts to manage MassHealth ACO medical expense trends).</w:t>
      </w:r>
    </w:p>
    <w:p w14:paraId="02AFC26B" w14:textId="750791AC" w:rsidR="00F96C8F" w:rsidRDefault="00F96C8F" w:rsidP="00D353A7">
      <w:pPr>
        <w:ind w:left="720"/>
        <w:jc w:val="both"/>
      </w:pPr>
      <w:r>
        <w:t xml:space="preserve">Atrius Health respects and honors the cultural differences among its patient panel and staff. Atrius Health has a robust DEI (diversity, </w:t>
      </w:r>
      <w:proofErr w:type="gramStart"/>
      <w:r>
        <w:t>equity</w:t>
      </w:r>
      <w:proofErr w:type="gramEnd"/>
      <w:r>
        <w:t xml:space="preserve"> and inclusion) program, </w:t>
      </w:r>
      <w:r w:rsidR="00A13109">
        <w:t>which provides</w:t>
      </w:r>
      <w:r>
        <w:t xml:space="preserve"> training </w:t>
      </w:r>
      <w:r w:rsidR="00A13109">
        <w:t xml:space="preserve">to staff </w:t>
      </w:r>
      <w:r>
        <w:t>on cultural and socioeconomic differences</w:t>
      </w:r>
      <w:r w:rsidR="00411EC4">
        <w:t xml:space="preserve"> as part of an effort to help address any disparities and inequities in patient care</w:t>
      </w:r>
      <w:r w:rsidR="00A13109">
        <w:t>.</w:t>
      </w:r>
      <w:r>
        <w:t xml:space="preserve"> Atrius Health </w:t>
      </w:r>
      <w:r w:rsidR="00D9448A">
        <w:t xml:space="preserve">also </w:t>
      </w:r>
      <w:r>
        <w:t xml:space="preserve">provides interpreter services for 240 spoken languages for patients in their preferred language as well as American Sign Language.  The Radiology Services leadership is culturally diverse and the staff performing the CT and MRI imaging provide respectful, compassionate, and empathetic care to all patients consistent with Atrius Health policy and its DEI program. </w:t>
      </w:r>
      <w:r w:rsidR="00D9448A">
        <w:t xml:space="preserve">The </w:t>
      </w:r>
      <w:r>
        <w:t xml:space="preserve">Atrius Health </w:t>
      </w:r>
      <w:r w:rsidR="006764FA">
        <w:t>H</w:t>
      </w:r>
      <w:r>
        <w:t>e</w:t>
      </w:r>
      <w:r w:rsidR="006764FA">
        <w:t>alth E</w:t>
      </w:r>
      <w:r>
        <w:t xml:space="preserve">quity </w:t>
      </w:r>
      <w:r w:rsidR="006764FA">
        <w:t>Steering C</w:t>
      </w:r>
      <w:r>
        <w:t xml:space="preserve">ommittee </w:t>
      </w:r>
      <w:r w:rsidR="00D9448A">
        <w:t xml:space="preserve">is </w:t>
      </w:r>
      <w:r>
        <w:t xml:space="preserve">charged with monitoring health disparities and establishing plans to reduce inequities, improving equitable access to services </w:t>
      </w:r>
      <w:r w:rsidR="00D9448A">
        <w:t xml:space="preserve">for </w:t>
      </w:r>
      <w:r>
        <w:t xml:space="preserve">all Atrius Health patients.  The scope of the </w:t>
      </w:r>
      <w:r w:rsidR="00D9448A">
        <w:t>H</w:t>
      </w:r>
      <w:r>
        <w:t xml:space="preserve">ealth </w:t>
      </w:r>
      <w:r w:rsidR="00D9448A">
        <w:t>E</w:t>
      </w:r>
      <w:r>
        <w:t xml:space="preserve">quity </w:t>
      </w:r>
      <w:r w:rsidR="00D9448A">
        <w:t>S</w:t>
      </w:r>
      <w:r>
        <w:t xml:space="preserve">teering </w:t>
      </w:r>
      <w:r w:rsidR="00D9448A">
        <w:t>C</w:t>
      </w:r>
      <w:r>
        <w:t xml:space="preserve">ommittee is </w:t>
      </w:r>
      <w:r w:rsidR="006E3FD0">
        <w:t>broad and</w:t>
      </w:r>
      <w:r w:rsidR="00D9448A">
        <w:t xml:space="preserve"> includes </w:t>
      </w:r>
      <w:r>
        <w:t>ancillary and imaging services, including those imaging services to be provided under the Proposed Project.</w:t>
      </w:r>
    </w:p>
    <w:p w14:paraId="553C7480" w14:textId="2CBF9D17" w:rsidR="00F96C8F" w:rsidRDefault="00F96C8F" w:rsidP="00381167">
      <w:pPr>
        <w:spacing w:after="0" w:line="240" w:lineRule="auto"/>
        <w:ind w:left="720" w:hanging="720"/>
        <w:jc w:val="both"/>
        <w:rPr>
          <w:b/>
        </w:rPr>
      </w:pPr>
      <w:r>
        <w:rPr>
          <w:b/>
        </w:rPr>
        <w:t>F</w:t>
      </w:r>
      <w:r w:rsidRPr="00A32310">
        <w:rPr>
          <w:b/>
        </w:rPr>
        <w:t>1.</w:t>
      </w:r>
      <w:proofErr w:type="gramStart"/>
      <w:r w:rsidRPr="00A32310">
        <w:rPr>
          <w:b/>
        </w:rPr>
        <w:t>b.iv</w:t>
      </w:r>
      <w:proofErr w:type="gramEnd"/>
      <w:r w:rsidRPr="00A32310">
        <w:rPr>
          <w:b/>
        </w:rPr>
        <w:t xml:space="preserve"> </w:t>
      </w:r>
      <w:r>
        <w:rPr>
          <w:b/>
        </w:rPr>
        <w:tab/>
      </w:r>
      <w:r w:rsidRPr="00A32310">
        <w:rPr>
          <w:b/>
        </w:rPr>
        <w:t>Provide additional information to demonstrate that the Proposed Project will result in improved health outcomes and quality of life of the Applicant's existing Patient Panel, while providing reasonable assurances of health equity.</w:t>
      </w:r>
    </w:p>
    <w:p w14:paraId="4DFA3B6B" w14:textId="77777777" w:rsidR="00BA62C6" w:rsidRDefault="00BA62C6" w:rsidP="00BA62C6">
      <w:pPr>
        <w:spacing w:after="0" w:line="240" w:lineRule="auto"/>
        <w:ind w:left="720" w:hanging="720"/>
        <w:rPr>
          <w:b/>
        </w:rPr>
      </w:pPr>
    </w:p>
    <w:p w14:paraId="0B4E2E71" w14:textId="40E3A6FD" w:rsidR="00F96C8F" w:rsidRDefault="00F96C8F" w:rsidP="00D353A7">
      <w:pPr>
        <w:ind w:left="720"/>
        <w:jc w:val="both"/>
      </w:pPr>
      <w:r>
        <w:t xml:space="preserve">The Proposed Project will improve health outcomes and quality of life for the Plymouth Practice Patient Panel by providing increased access to </w:t>
      </w:r>
      <w:r w:rsidR="006E3FD0">
        <w:t>high-quality, low-cost</w:t>
      </w:r>
      <w:r>
        <w:t xml:space="preserve"> CT and MRI imaging services with increased care coordination. As discussed in the Project Description, Atrius </w:t>
      </w:r>
      <w:r w:rsidR="00D9448A">
        <w:t xml:space="preserve">Health </w:t>
      </w:r>
      <w:r>
        <w:t xml:space="preserve">participates in a high percentage of risk-based contracts. These </w:t>
      </w:r>
      <w:r w:rsidR="00D9448A">
        <w:t xml:space="preserve">arrangements foster </w:t>
      </w:r>
      <w:r>
        <w:t>positive health outcomes by incentivizing Atrius</w:t>
      </w:r>
      <w:r w:rsidR="00D9448A">
        <w:t xml:space="preserve"> Health</w:t>
      </w:r>
      <w:r>
        <w:t xml:space="preserve"> to </w:t>
      </w:r>
      <w:r w:rsidR="00B41FF6">
        <w:t>keep patients</w:t>
      </w:r>
      <w:r>
        <w:t xml:space="preserve"> healthy, detect medical issues early and coordinate care to prevent gaps and delays in care</w:t>
      </w:r>
      <w:r w:rsidR="00D9448A">
        <w:t>.</w:t>
      </w:r>
      <w:r>
        <w:t xml:space="preserve"> In addition, the interpretation of the CT and MRI exams is done internally by a team of primary care focused radiologists who have full access </w:t>
      </w:r>
      <w:r w:rsidR="00B41FF6">
        <w:t>to patients</w:t>
      </w:r>
      <w:r>
        <w:t>’ complete medical record</w:t>
      </w:r>
      <w:r w:rsidR="00D9448A">
        <w:t>s</w:t>
      </w:r>
      <w:r>
        <w:t xml:space="preserve">. Because the ordering provider and interpreting physician are linked by communication tools within the medical record, the results are immediately available to the ordering provider after interpretation. </w:t>
      </w:r>
      <w:r w:rsidR="00021F0D">
        <w:t xml:space="preserve"> </w:t>
      </w:r>
      <w:bookmarkStart w:id="50" w:name="_BPDCD_61"/>
      <w:r w:rsidR="00021F0D" w:rsidRPr="00307942">
        <w:t>Excellent c</w:t>
      </w:r>
      <w:r w:rsidRPr="00307942">
        <w:t xml:space="preserve">are </w:t>
      </w:r>
      <w:bookmarkEnd w:id="50"/>
      <w:r>
        <w:t>coordination</w:t>
      </w:r>
      <w:r w:rsidR="00021F0D">
        <w:t xml:space="preserve"> </w:t>
      </w:r>
      <w:bookmarkStart w:id="51" w:name="_BPDCI_62"/>
      <w:r w:rsidR="00021F0D" w:rsidRPr="00307942">
        <w:t>defragments patient care and</w:t>
      </w:r>
      <w:r w:rsidRPr="00307942">
        <w:t xml:space="preserve"> </w:t>
      </w:r>
      <w:bookmarkEnd w:id="51"/>
      <w:r>
        <w:t xml:space="preserve">is well documented to improve health outcomes. </w:t>
      </w:r>
    </w:p>
    <w:p w14:paraId="515853A8" w14:textId="305FAFAC" w:rsidR="00F96C8F" w:rsidRDefault="00F96C8F" w:rsidP="00D353A7">
      <w:pPr>
        <w:ind w:left="720"/>
        <w:jc w:val="both"/>
      </w:pPr>
      <w:r>
        <w:t>The response to</w:t>
      </w:r>
      <w:r w:rsidR="00D9448A">
        <w:t xml:space="preserve"> Factor </w:t>
      </w:r>
      <w:r w:rsidRPr="005F0C39">
        <w:t xml:space="preserve">F1.b.iii </w:t>
      </w:r>
      <w:r>
        <w:t xml:space="preserve">above describes </w:t>
      </w:r>
      <w:r w:rsidRPr="005F0C39">
        <w:t xml:space="preserve">the expected improvements in quality of life resulting from the Proposed Project, including reduced </w:t>
      </w:r>
      <w:r>
        <w:t>out</w:t>
      </w:r>
      <w:r w:rsidR="00026336">
        <w:t>-</w:t>
      </w:r>
      <w:r>
        <w:t>of</w:t>
      </w:r>
      <w:r w:rsidR="00026336">
        <w:t>-</w:t>
      </w:r>
      <w:r>
        <w:t>pocket expense</w:t>
      </w:r>
      <w:r w:rsidR="00026336">
        <w:t>s</w:t>
      </w:r>
      <w:r w:rsidR="00B67C17">
        <w:t xml:space="preserve"> for those with cost sharing</w:t>
      </w:r>
      <w:r w:rsidR="00E43481">
        <w:t xml:space="preserve"> obligations</w:t>
      </w:r>
      <w:r w:rsidRPr="005F0C39">
        <w:t xml:space="preserve"> for needed studies</w:t>
      </w:r>
      <w:r w:rsidR="00E43481">
        <w:t xml:space="preserve">, </w:t>
      </w:r>
      <w:r w:rsidR="00B41FF6">
        <w:t xml:space="preserve">and </w:t>
      </w:r>
      <w:r w:rsidR="00B41FF6" w:rsidRPr="005F0C39">
        <w:t>reduced</w:t>
      </w:r>
      <w:r w:rsidRPr="005F0C39">
        <w:t xml:space="preserve"> patient time off work, child</w:t>
      </w:r>
      <w:r w:rsidR="00B67C17">
        <w:t xml:space="preserve"> and elder </w:t>
      </w:r>
      <w:r w:rsidRPr="005F0C39">
        <w:t>care expense</w:t>
      </w:r>
      <w:r w:rsidR="00E43481">
        <w:t>s</w:t>
      </w:r>
      <w:r w:rsidRPr="005F0C39">
        <w:t xml:space="preserve">, and travel time and expense associated with </w:t>
      </w:r>
      <w:r w:rsidR="00B41FF6">
        <w:t xml:space="preserve">fewer </w:t>
      </w:r>
      <w:r w:rsidR="00B41FF6" w:rsidRPr="005F0C39">
        <w:t>repeat</w:t>
      </w:r>
      <w:r w:rsidRPr="005F0C39">
        <w:t xml:space="preserve"> studies.  </w:t>
      </w:r>
      <w:r>
        <w:t xml:space="preserve">The response to </w:t>
      </w:r>
      <w:r w:rsidRPr="005F0C39">
        <w:t xml:space="preserve">F1.b.iii </w:t>
      </w:r>
      <w:r>
        <w:t xml:space="preserve">summarizes </w:t>
      </w:r>
      <w:r w:rsidRPr="005F0C39">
        <w:t xml:space="preserve">Atrius Health’s approach to health equity, including the </w:t>
      </w:r>
      <w:r w:rsidR="00E43481">
        <w:t>H</w:t>
      </w:r>
      <w:r w:rsidRPr="005F0C39">
        <w:t xml:space="preserve">ealth </w:t>
      </w:r>
      <w:r w:rsidR="00E43481">
        <w:t>E</w:t>
      </w:r>
      <w:r w:rsidRPr="005F0C39">
        <w:t xml:space="preserve">quity </w:t>
      </w:r>
      <w:r w:rsidR="00E43481">
        <w:t>S</w:t>
      </w:r>
      <w:r w:rsidRPr="005F0C39">
        <w:t xml:space="preserve">teering </w:t>
      </w:r>
      <w:r w:rsidR="00E43481">
        <w:t>C</w:t>
      </w:r>
      <w:r w:rsidRPr="005F0C39">
        <w:t>ommittee’s oversight of all Atrius Health services i</w:t>
      </w:r>
      <w:r w:rsidRPr="00EA5919">
        <w:t xml:space="preserve">ncluding </w:t>
      </w:r>
      <w:r w:rsidR="00E43481">
        <w:t>imaging.</w:t>
      </w:r>
    </w:p>
    <w:p w14:paraId="1D65D6FB" w14:textId="044A58E7" w:rsidR="00F96C8F" w:rsidRDefault="00F96C8F" w:rsidP="00381167">
      <w:pPr>
        <w:spacing w:after="0" w:line="240" w:lineRule="auto"/>
        <w:ind w:left="720" w:hanging="720"/>
        <w:jc w:val="both"/>
        <w:rPr>
          <w:b/>
        </w:rPr>
      </w:pPr>
      <w:r w:rsidRPr="009E06E3">
        <w:rPr>
          <w:b/>
        </w:rPr>
        <w:t xml:space="preserve">F1.c </w:t>
      </w:r>
      <w:r w:rsidRPr="009E06E3">
        <w:rPr>
          <w:b/>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33414712" w14:textId="77777777" w:rsidR="00BA62C6" w:rsidRPr="009E06E3" w:rsidRDefault="00BA62C6" w:rsidP="00BA62C6">
      <w:pPr>
        <w:spacing w:after="0" w:line="240" w:lineRule="auto"/>
        <w:ind w:left="720" w:hanging="720"/>
        <w:rPr>
          <w:b/>
        </w:rPr>
      </w:pPr>
    </w:p>
    <w:p w14:paraId="66F5110E" w14:textId="1F5EEE78" w:rsidR="00F96C8F" w:rsidRDefault="00F96C8F" w:rsidP="00D353A7">
      <w:pPr>
        <w:ind w:left="720"/>
        <w:jc w:val="both"/>
      </w:pPr>
      <w:r w:rsidRPr="009E06E3">
        <w:t xml:space="preserve">The Proposed Project will allow for the </w:t>
      </w:r>
      <w:r w:rsidR="00E43481">
        <w:t xml:space="preserve">Plymouth Practice </w:t>
      </w:r>
      <w:r w:rsidRPr="009E06E3">
        <w:t>Patient Panel to receive CT and MRI services within Atrius Health’s system of care, where the imaging reports are integrated into the patient’s medical record and immediately accessible by the patient’s Atrius Health primary care provider and other Atrius Health clinicians.</w:t>
      </w:r>
      <w:r w:rsidRPr="009E06E3" w:rsidDel="008C6A35">
        <w:t xml:space="preserve"> </w:t>
      </w:r>
      <w:r w:rsidRPr="009E06E3">
        <w:t xml:space="preserve"> The integrated record facilitates the delivery of efficient and effective care by ensuring that radiology staff and physicians have access to pertinent medical history and that </w:t>
      </w:r>
      <w:r w:rsidRPr="009E06E3">
        <w:lastRenderedPageBreak/>
        <w:t xml:space="preserve">the patient’s Atrius Health primary and specialty (as applicable) care teams have timely access to results, as well as to each other and the radiologists, facilitating diagnosis and treatment.  Co-location of these services within the </w:t>
      </w:r>
      <w:r>
        <w:t xml:space="preserve">Plymouth </w:t>
      </w:r>
      <w:r w:rsidRPr="009E06E3">
        <w:t>Practice also will improve efficiency and continuity and coordination of care for the Patient Panel by easing coordination of visits to multiple providers.</w:t>
      </w:r>
    </w:p>
    <w:p w14:paraId="3D765EAB" w14:textId="7342430B" w:rsidR="00F22FB8" w:rsidRDefault="00F22FB8" w:rsidP="00381167">
      <w:pPr>
        <w:spacing w:line="240" w:lineRule="auto"/>
        <w:ind w:left="720" w:hanging="720"/>
        <w:jc w:val="both"/>
        <w:rPr>
          <w:b/>
        </w:rPr>
      </w:pPr>
      <w:r>
        <w:rPr>
          <w:b/>
        </w:rPr>
        <w:t>F1.d</w:t>
      </w:r>
      <w:r w:rsidRPr="009E06E3">
        <w:rPr>
          <w:b/>
        </w:rPr>
        <w:t xml:space="preserve"> </w:t>
      </w:r>
      <w:r w:rsidRPr="009E06E3">
        <w:rPr>
          <w:b/>
        </w:rPr>
        <w:tab/>
        <w:t xml:space="preserve">Provide evidence </w:t>
      </w:r>
      <w:r>
        <w:rPr>
          <w:b/>
        </w:rPr>
        <w:t>of consultation, both prior to and after the Filing Date, with all Government Agencies with relevant licensure, certification, or other regulatory oversight of the Applicant or the Proposed Project.</w:t>
      </w:r>
    </w:p>
    <w:p w14:paraId="0620B695" w14:textId="4AE8858C" w:rsidR="003D741B" w:rsidRDefault="003D741B" w:rsidP="00D353A7">
      <w:pPr>
        <w:ind w:left="720"/>
        <w:jc w:val="both"/>
        <w:rPr>
          <w:color w:val="000000"/>
        </w:rPr>
      </w:pPr>
      <w:r>
        <w:rPr>
          <w:color w:val="000000"/>
        </w:rPr>
        <w:t xml:space="preserve">The </w:t>
      </w:r>
      <w:r w:rsidRPr="00D353A7">
        <w:t>following</w:t>
      </w:r>
      <w:r>
        <w:rPr>
          <w:color w:val="000000"/>
        </w:rPr>
        <w:t xml:space="preserve"> individuals and agencies</w:t>
      </w:r>
      <w:bookmarkStart w:id="52" w:name="_BPDCD_65"/>
      <w:r w:rsidR="00F857A9">
        <w:rPr>
          <w:color w:val="000000"/>
        </w:rPr>
        <w:t xml:space="preserve"> </w:t>
      </w:r>
      <w:r w:rsidR="00021F0D" w:rsidRPr="00307942">
        <w:rPr>
          <w:color w:val="000000"/>
        </w:rPr>
        <w:t>have been</w:t>
      </w:r>
      <w:r w:rsidRPr="00307942">
        <w:rPr>
          <w:color w:val="000000"/>
        </w:rPr>
        <w:t xml:space="preserve"> </w:t>
      </w:r>
      <w:bookmarkEnd w:id="52"/>
      <w:r>
        <w:rPr>
          <w:color w:val="000000"/>
        </w:rPr>
        <w:t>consulted:</w:t>
      </w:r>
    </w:p>
    <w:p w14:paraId="5EC86226" w14:textId="0FBAA38B" w:rsidR="00F22FB8" w:rsidRPr="00582FDB" w:rsidRDefault="00F22FB8" w:rsidP="00582FDB">
      <w:pPr>
        <w:pStyle w:val="ListParagraph"/>
        <w:numPr>
          <w:ilvl w:val="0"/>
          <w:numId w:val="21"/>
        </w:numPr>
        <w:spacing w:after="0"/>
        <w:ind w:left="1080"/>
        <w:jc w:val="both"/>
        <w:rPr>
          <w:color w:val="000000"/>
        </w:rPr>
      </w:pPr>
      <w:r w:rsidRPr="00582FDB">
        <w:rPr>
          <w:color w:val="000000"/>
        </w:rPr>
        <w:t>Rebecca Rodman, General Counsel, Department of Public Health</w:t>
      </w:r>
    </w:p>
    <w:p w14:paraId="486A3ED2" w14:textId="77777777" w:rsidR="00F22FB8" w:rsidRPr="00582FDB" w:rsidRDefault="00F22FB8" w:rsidP="00582FDB">
      <w:pPr>
        <w:pStyle w:val="ListParagraph"/>
        <w:numPr>
          <w:ilvl w:val="0"/>
          <w:numId w:val="21"/>
        </w:numPr>
        <w:spacing w:after="0"/>
        <w:ind w:left="1080"/>
        <w:jc w:val="both"/>
        <w:rPr>
          <w:color w:val="000000"/>
        </w:rPr>
      </w:pPr>
      <w:r w:rsidRPr="00582FDB">
        <w:rPr>
          <w:color w:val="000000"/>
        </w:rPr>
        <w:t>Rodrigo Monterrey, Acting Director, Office of Health Equity</w:t>
      </w:r>
    </w:p>
    <w:p w14:paraId="2EF8D129" w14:textId="4B1AB33E" w:rsidR="00F22FB8" w:rsidRPr="00582FDB" w:rsidRDefault="00F22FB8" w:rsidP="00582FDB">
      <w:pPr>
        <w:pStyle w:val="ListParagraph"/>
        <w:numPr>
          <w:ilvl w:val="0"/>
          <w:numId w:val="21"/>
        </w:numPr>
        <w:spacing w:after="0"/>
        <w:ind w:left="1080"/>
        <w:jc w:val="both"/>
        <w:rPr>
          <w:color w:val="000000"/>
        </w:rPr>
      </w:pPr>
      <w:r w:rsidRPr="00582FDB">
        <w:rPr>
          <w:color w:val="000000"/>
        </w:rPr>
        <w:t>Elizabeth D. Kelley, Former Acting Director, Determination of Need Program, Current Director, Bureau of Health Care Safety and Quality</w:t>
      </w:r>
    </w:p>
    <w:p w14:paraId="1A7CE7B1" w14:textId="77777777" w:rsidR="00F22FB8" w:rsidRPr="00582FDB" w:rsidRDefault="00F22FB8" w:rsidP="00582FDB">
      <w:pPr>
        <w:pStyle w:val="ListParagraph"/>
        <w:numPr>
          <w:ilvl w:val="0"/>
          <w:numId w:val="21"/>
        </w:numPr>
        <w:spacing w:after="0"/>
        <w:ind w:left="1080"/>
        <w:jc w:val="both"/>
        <w:rPr>
          <w:color w:val="000000"/>
        </w:rPr>
      </w:pPr>
      <w:r w:rsidRPr="00582FDB">
        <w:rPr>
          <w:color w:val="000000"/>
        </w:rPr>
        <w:t>Dennis Renaud, Director, Determination of Need Program</w:t>
      </w:r>
    </w:p>
    <w:p w14:paraId="44D123F4" w14:textId="77777777" w:rsidR="00F22FB8" w:rsidRPr="00582FDB" w:rsidRDefault="00F22FB8" w:rsidP="00582FDB">
      <w:pPr>
        <w:pStyle w:val="ListParagraph"/>
        <w:numPr>
          <w:ilvl w:val="0"/>
          <w:numId w:val="21"/>
        </w:numPr>
        <w:spacing w:after="0"/>
        <w:ind w:left="1080"/>
        <w:jc w:val="both"/>
        <w:rPr>
          <w:color w:val="000000"/>
        </w:rPr>
      </w:pPr>
      <w:r w:rsidRPr="00582FDB">
        <w:rPr>
          <w:color w:val="000000"/>
        </w:rPr>
        <w:t>Jennica Allen, Division of Community Health Planning and Engagement Specialist</w:t>
      </w:r>
    </w:p>
    <w:p w14:paraId="265D1964" w14:textId="77777777" w:rsidR="00F22FB8" w:rsidRPr="00582FDB" w:rsidRDefault="00F22FB8" w:rsidP="00582FDB">
      <w:pPr>
        <w:pStyle w:val="ListParagraph"/>
        <w:numPr>
          <w:ilvl w:val="0"/>
          <w:numId w:val="21"/>
        </w:numPr>
        <w:spacing w:after="0"/>
        <w:ind w:left="1080"/>
        <w:jc w:val="both"/>
        <w:rPr>
          <w:color w:val="000000"/>
        </w:rPr>
      </w:pPr>
      <w:r w:rsidRPr="00582FDB">
        <w:rPr>
          <w:color w:val="000000"/>
        </w:rPr>
        <w:t>Katelyn Teague, Division of Community Health Planning and Engagement Specialist</w:t>
      </w:r>
    </w:p>
    <w:p w14:paraId="5012F362" w14:textId="77777777" w:rsidR="00F22FB8" w:rsidRPr="009E06E3" w:rsidRDefault="00F22FB8" w:rsidP="00F22FB8">
      <w:pPr>
        <w:ind w:left="720" w:hanging="720"/>
        <w:rPr>
          <w:b/>
        </w:rPr>
      </w:pPr>
    </w:p>
    <w:p w14:paraId="1DF41112" w14:textId="77777777" w:rsidR="00F96C8F" w:rsidRPr="009E06E3" w:rsidRDefault="00F96C8F" w:rsidP="00381167">
      <w:pPr>
        <w:spacing w:line="240" w:lineRule="auto"/>
        <w:ind w:left="720" w:hanging="720"/>
        <w:jc w:val="both"/>
        <w:rPr>
          <w:b/>
        </w:rPr>
      </w:pPr>
      <w:r w:rsidRPr="009E06E3">
        <w:rPr>
          <w:b/>
        </w:rPr>
        <w:t xml:space="preserve">F1.e.i </w:t>
      </w:r>
      <w:r w:rsidRPr="009E06E3">
        <w:rPr>
          <w:b/>
        </w:rPr>
        <w:tab/>
        <w:t>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373F9364" w14:textId="77777777" w:rsidR="00F96C8F" w:rsidRPr="009E06E3" w:rsidRDefault="00F96C8F" w:rsidP="00381167">
      <w:pPr>
        <w:ind w:left="720"/>
        <w:jc w:val="both"/>
      </w:pPr>
      <w:r w:rsidRPr="009E06E3">
        <w:t xml:space="preserve">In </w:t>
      </w:r>
      <w:r>
        <w:t>considering</w:t>
      </w:r>
      <w:r w:rsidRPr="009E06E3">
        <w:t xml:space="preserve"> </w:t>
      </w:r>
      <w:r>
        <w:t xml:space="preserve">whether </w:t>
      </w:r>
      <w:r w:rsidRPr="009E06E3">
        <w:t xml:space="preserve">to </w:t>
      </w:r>
      <w:r>
        <w:t>place a</w:t>
      </w:r>
      <w:r w:rsidRPr="009E06E3">
        <w:t xml:space="preserve"> CT and mobile MRI at the new </w:t>
      </w:r>
      <w:r>
        <w:t>Plymouth Practice</w:t>
      </w:r>
      <w:r w:rsidRPr="009E06E3">
        <w:t xml:space="preserve">, Atrius Health evaluated current utilization data for the </w:t>
      </w:r>
      <w:r>
        <w:t xml:space="preserve">Plymouth Practice </w:t>
      </w:r>
      <w:r w:rsidRPr="009E06E3">
        <w:t>Patient Panel, as discussed in the Project Description and Factors F1.a.i and F1.</w:t>
      </w:r>
      <w:proofErr w:type="gramStart"/>
      <w:r w:rsidRPr="009E06E3">
        <w:t>a.ii.</w:t>
      </w:r>
      <w:proofErr w:type="gramEnd"/>
      <w:r w:rsidRPr="009E06E3">
        <w:t xml:space="preserve"> PMG physicians</w:t>
      </w:r>
      <w:r>
        <w:t xml:space="preserve"> were also consulted and</w:t>
      </w:r>
      <w:r w:rsidRPr="009E06E3">
        <w:t xml:space="preserve"> commented that having internal CT and MRI services would greatly improve quality of care due to better care coordination and timely access to imaging results. </w:t>
      </w:r>
    </w:p>
    <w:p w14:paraId="1D06317B" w14:textId="17EF2406" w:rsidR="00F96C8F" w:rsidRPr="009E06E3" w:rsidRDefault="00F96C8F" w:rsidP="00381167">
      <w:pPr>
        <w:ind w:left="720"/>
        <w:jc w:val="both"/>
      </w:pPr>
      <w:r w:rsidRPr="009E06E3">
        <w:t xml:space="preserve">Atrius Health solicited feedback on the Proposed Project from </w:t>
      </w:r>
      <w:r>
        <w:t xml:space="preserve">a representative group of volunteers of </w:t>
      </w:r>
      <w:r w:rsidRPr="009E06E3">
        <w:t>the</w:t>
      </w:r>
      <w:r w:rsidRPr="000D32F1">
        <w:t xml:space="preserve"> </w:t>
      </w:r>
      <w:r>
        <w:t>Plymouth</w:t>
      </w:r>
      <w:r w:rsidRPr="009E06E3">
        <w:t xml:space="preserve"> Patient Panel through a </w:t>
      </w:r>
      <w:r>
        <w:t xml:space="preserve">virtual </w:t>
      </w:r>
      <w:r w:rsidRPr="009E06E3">
        <w:t xml:space="preserve">focus group conducted on August 3, </w:t>
      </w:r>
      <w:r w:rsidR="006E3FD0" w:rsidRPr="009E06E3">
        <w:t>2022,</w:t>
      </w:r>
      <w:r w:rsidRPr="009E06E3">
        <w:t xml:space="preserve"> </w:t>
      </w:r>
      <w:r>
        <w:t xml:space="preserve">via </w:t>
      </w:r>
      <w:r w:rsidRPr="009E06E3">
        <w:t xml:space="preserve">Zoom. The presentation included an overview of the new building and the proposed new CT and MRI service offerings, and a discussion </w:t>
      </w:r>
      <w:r>
        <w:t xml:space="preserve">of </w:t>
      </w:r>
      <w:r w:rsidRPr="009E06E3">
        <w:t xml:space="preserve">the implications for </w:t>
      </w:r>
      <w:r>
        <w:t>patients</w:t>
      </w:r>
      <w:r w:rsidRPr="009E06E3">
        <w:t xml:space="preserve"> of having CT and MRI services provided locally and internally to Atrius Health, including improved coordination of care and access to high quality, low-cost </w:t>
      </w:r>
      <w:proofErr w:type="gramStart"/>
      <w:r w:rsidRPr="009E06E3">
        <w:t>CT</w:t>
      </w:r>
      <w:proofErr w:type="gramEnd"/>
      <w:r w:rsidRPr="009E06E3">
        <w:t xml:space="preserve"> and MRI imaging services.</w:t>
      </w:r>
    </w:p>
    <w:p w14:paraId="11A50079" w14:textId="6D235108" w:rsidR="00F96C8F" w:rsidRPr="009E06E3" w:rsidRDefault="00F96C8F" w:rsidP="00D353A7">
      <w:pPr>
        <w:ind w:left="720"/>
        <w:jc w:val="both"/>
      </w:pPr>
      <w:r w:rsidRPr="009E06E3">
        <w:t>A</w:t>
      </w:r>
      <w:r w:rsidR="003D741B">
        <w:t>trius Health sent a</w:t>
      </w:r>
      <w:r w:rsidRPr="009E06E3">
        <w:t xml:space="preserve"> random sample of 500 patients from the </w:t>
      </w:r>
      <w:r>
        <w:t>Plymouth</w:t>
      </w:r>
      <w:r w:rsidR="003D741B">
        <w:t xml:space="preserve"> Practice</w:t>
      </w:r>
      <w:r w:rsidRPr="009E06E3">
        <w:t xml:space="preserve"> Patient Panel </w:t>
      </w:r>
      <w:r w:rsidR="003D741B">
        <w:t>email invitations for the focus group.</w:t>
      </w:r>
      <w:r w:rsidRPr="009E06E3">
        <w:t xml:space="preserve"> </w:t>
      </w:r>
      <w:r w:rsidR="003D741B">
        <w:t>Thirteen (</w:t>
      </w:r>
      <w:r w:rsidRPr="009E06E3">
        <w:t>13</w:t>
      </w:r>
      <w:r w:rsidR="003D741B">
        <w:t>)</w:t>
      </w:r>
      <w:r w:rsidRPr="009E06E3">
        <w:t xml:space="preserve"> patients </w:t>
      </w:r>
      <w:r w:rsidR="003D741B">
        <w:t xml:space="preserve">responded and </w:t>
      </w:r>
      <w:r w:rsidRPr="009E06E3">
        <w:t xml:space="preserve">volunteered to participate in the focus group; of these, seven (7) patients attended the presentation and participated in the discussion. Patients were interested in the types of imaging services that </w:t>
      </w:r>
      <w:r>
        <w:t>would</w:t>
      </w:r>
      <w:r w:rsidRPr="009E06E3">
        <w:t xml:space="preserve"> be available </w:t>
      </w:r>
      <w:r>
        <w:t>at the Plymouth Practice</w:t>
      </w:r>
      <w:r w:rsidRPr="009E06E3">
        <w:t>, as well as what other specialty services would be available and the timeframe for the opening.</w:t>
      </w:r>
    </w:p>
    <w:p w14:paraId="020FCBB2" w14:textId="77777777" w:rsidR="00F96C8F" w:rsidRPr="009E06E3" w:rsidRDefault="00F96C8F" w:rsidP="00D353A7">
      <w:pPr>
        <w:ind w:left="720"/>
        <w:jc w:val="both"/>
      </w:pPr>
      <w:r w:rsidRPr="009E06E3">
        <w:t>The patients in attendance were enthusiastic about the Proposed Project</w:t>
      </w:r>
      <w:r>
        <w:t>.</w:t>
      </w:r>
      <w:r w:rsidRPr="009E06E3">
        <w:t xml:space="preserve"> </w:t>
      </w:r>
    </w:p>
    <w:p w14:paraId="330625CF" w14:textId="77777777" w:rsidR="00F96C8F" w:rsidRPr="009E06E3" w:rsidRDefault="00F96C8F" w:rsidP="00D353A7">
      <w:pPr>
        <w:ind w:left="720"/>
        <w:jc w:val="both"/>
      </w:pPr>
      <w:r w:rsidRPr="009E06E3">
        <w:t>The panel was hosted by:</w:t>
      </w:r>
    </w:p>
    <w:p w14:paraId="0DE54E3F" w14:textId="77777777" w:rsidR="00F96C8F" w:rsidRPr="009E06E3" w:rsidRDefault="00F96C8F" w:rsidP="00381167">
      <w:pPr>
        <w:numPr>
          <w:ilvl w:val="0"/>
          <w:numId w:val="4"/>
        </w:numPr>
        <w:ind w:left="1080"/>
        <w:contextualSpacing/>
      </w:pPr>
      <w:r w:rsidRPr="009E06E3">
        <w:t>Dr. Rebecca Schwartz, Executive Chair, Ancillary Services, Chief Radiology</w:t>
      </w:r>
    </w:p>
    <w:p w14:paraId="30F77B6A" w14:textId="77777777" w:rsidR="00F96C8F" w:rsidRPr="009E06E3" w:rsidRDefault="00F96C8F" w:rsidP="00381167">
      <w:pPr>
        <w:numPr>
          <w:ilvl w:val="0"/>
          <w:numId w:val="4"/>
        </w:numPr>
        <w:ind w:left="1080"/>
        <w:contextualSpacing/>
      </w:pPr>
      <w:r w:rsidRPr="009E06E3">
        <w:t xml:space="preserve">Dr. David Grace, Chief, </w:t>
      </w:r>
      <w:r>
        <w:t xml:space="preserve">PMG </w:t>
      </w:r>
      <w:r w:rsidRPr="009E06E3">
        <w:t xml:space="preserve">Internal Medicine </w:t>
      </w:r>
    </w:p>
    <w:p w14:paraId="214651A6" w14:textId="77777777" w:rsidR="00F96C8F" w:rsidRPr="009E06E3" w:rsidRDefault="00F96C8F" w:rsidP="00381167">
      <w:pPr>
        <w:numPr>
          <w:ilvl w:val="0"/>
          <w:numId w:val="4"/>
        </w:numPr>
        <w:ind w:left="1080"/>
        <w:contextualSpacing/>
      </w:pPr>
      <w:r w:rsidRPr="009E06E3">
        <w:t>Karen Craft, Senior Director, Radiology Services</w:t>
      </w:r>
    </w:p>
    <w:p w14:paraId="21B7135D" w14:textId="1F542332" w:rsidR="00F96C8F" w:rsidRDefault="00F96C8F" w:rsidP="00381167">
      <w:pPr>
        <w:numPr>
          <w:ilvl w:val="0"/>
          <w:numId w:val="4"/>
        </w:numPr>
        <w:ind w:left="1080"/>
        <w:contextualSpacing/>
      </w:pPr>
      <w:r w:rsidRPr="009E06E3">
        <w:lastRenderedPageBreak/>
        <w:t xml:space="preserve">John Clark, Senior Director, Real Estate </w:t>
      </w:r>
    </w:p>
    <w:p w14:paraId="79D706E8" w14:textId="77777777" w:rsidR="009D6C00" w:rsidRPr="009E06E3" w:rsidRDefault="009D6C00" w:rsidP="009D6C00">
      <w:pPr>
        <w:contextualSpacing/>
      </w:pPr>
    </w:p>
    <w:p w14:paraId="3B8666CA" w14:textId="74222BF3" w:rsidR="00F96C8F" w:rsidRDefault="00F96C8F" w:rsidP="00381167">
      <w:pPr>
        <w:spacing w:after="0" w:line="240" w:lineRule="auto"/>
        <w:ind w:left="720" w:hanging="720"/>
        <w:jc w:val="both"/>
        <w:rPr>
          <w:b/>
        </w:rPr>
      </w:pPr>
      <w:r w:rsidRPr="00025D89">
        <w:rPr>
          <w:b/>
        </w:rPr>
        <w:t>F1.</w:t>
      </w:r>
      <w:proofErr w:type="gramStart"/>
      <w:r w:rsidRPr="00025D89">
        <w:rPr>
          <w:b/>
        </w:rPr>
        <w:t>e.ii</w:t>
      </w:r>
      <w:proofErr w:type="gramEnd"/>
      <w:r w:rsidRPr="00025D89">
        <w:rPr>
          <w:b/>
        </w:rPr>
        <w:t xml:space="preserve"> </w:t>
      </w:r>
      <w:r>
        <w:rPr>
          <w:b/>
        </w:rPr>
        <w:tab/>
      </w:r>
      <w:r w:rsidRPr="00025D89">
        <w:rPr>
          <w:b/>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5DFCF792" w14:textId="77777777" w:rsidR="00BA62C6" w:rsidRDefault="00BA62C6" w:rsidP="00BA62C6">
      <w:pPr>
        <w:spacing w:after="0" w:line="240" w:lineRule="auto"/>
        <w:ind w:left="720" w:hanging="720"/>
        <w:rPr>
          <w:b/>
        </w:rPr>
      </w:pPr>
    </w:p>
    <w:p w14:paraId="2E2231CB" w14:textId="6D1CC726" w:rsidR="00F96C8F" w:rsidRDefault="003D741B" w:rsidP="00D353A7">
      <w:pPr>
        <w:ind w:left="720"/>
        <w:jc w:val="both"/>
      </w:pPr>
      <w:r>
        <w:t xml:space="preserve">As described above, </w:t>
      </w:r>
      <w:r w:rsidR="00F96C8F">
        <w:t xml:space="preserve">Atrius Health met with members of the </w:t>
      </w:r>
      <w:r>
        <w:t xml:space="preserve">Plymouth Practice </w:t>
      </w:r>
      <w:r w:rsidR="00F96C8F">
        <w:t xml:space="preserve">Patient Panel on August 3, </w:t>
      </w:r>
      <w:r w:rsidR="006E3FD0">
        <w:t>2022,</w:t>
      </w:r>
      <w:r w:rsidR="00F96C8F">
        <w:t xml:space="preserve"> to present the Proposed Project and obtain feedback. The Public Health Value of the Proposed Project was discussed in the presentation with particular emphasis on improved coordination of care and access to high-quality, </w:t>
      </w:r>
      <w:r w:rsidR="006E3FD0">
        <w:t>low-cost</w:t>
      </w:r>
      <w:r w:rsidR="00F96C8F">
        <w:t xml:space="preserve"> advanced imaging services including CT and MRI. Patients voiced their enthusiasm for having a local option for advanced imaging that did not require them to travel long distances or obtain care in a hospital system where their own specialists would have difficulty accessing images. </w:t>
      </w:r>
    </w:p>
    <w:p w14:paraId="70DD0D7D" w14:textId="2790D0C7" w:rsidR="00F96C8F" w:rsidRDefault="00F96C8F" w:rsidP="00D353A7">
      <w:pPr>
        <w:ind w:left="720"/>
        <w:jc w:val="both"/>
      </w:pPr>
      <w:r>
        <w:t>Feedback from the patients in attendance, as discussed in F1.e.i, was positive</w:t>
      </w:r>
      <w:r w:rsidR="003D741B">
        <w:t xml:space="preserve">; the participants indicated that they believed the new services would be </w:t>
      </w:r>
      <w:r>
        <w:t>of added value to the community. The patients in attendance were enthusiastic about the Proposed Project and their f</w:t>
      </w:r>
      <w:r w:rsidRPr="00BD63AD">
        <w:t>eedback included the following comments: “sounds like improvements” and “this sounds amazing!” One patient emailed following the presentation to say, “Looking forward to your new facility! Everything under one roof”</w:t>
      </w:r>
      <w:r>
        <w:t xml:space="preserve"> </w:t>
      </w:r>
      <w:r w:rsidR="003D741B">
        <w:t>[</w:t>
      </w:r>
      <w:r>
        <w:t>referring to CT and MRI services</w:t>
      </w:r>
      <w:r w:rsidR="003D741B">
        <w:t>]</w:t>
      </w:r>
      <w:r>
        <w:t xml:space="preserve">.  A copy of the presentation is attached as </w:t>
      </w:r>
      <w:r w:rsidR="006C3B04">
        <w:t xml:space="preserve">Exhibit </w:t>
      </w:r>
      <w:r w:rsidR="005818AA">
        <w:t>1</w:t>
      </w:r>
      <w:r w:rsidR="00D30A7A">
        <w:t>.1</w:t>
      </w:r>
      <w:r w:rsidRPr="00D30A7A">
        <w:t>.</w:t>
      </w:r>
    </w:p>
    <w:p w14:paraId="79A62726" w14:textId="77777777" w:rsidR="00264510" w:rsidRDefault="00264510" w:rsidP="00D353A7">
      <w:pPr>
        <w:ind w:left="720"/>
        <w:jc w:val="both"/>
      </w:pPr>
    </w:p>
    <w:p w14:paraId="4264940F" w14:textId="274E9C97" w:rsidR="00264510" w:rsidRPr="00B174F1" w:rsidRDefault="00264510" w:rsidP="00264510">
      <w:pPr>
        <w:rPr>
          <w:rFonts w:cstheme="minorHAnsi"/>
          <w:b/>
          <w:bCs/>
          <w:sz w:val="24"/>
          <w:szCs w:val="24"/>
        </w:rPr>
      </w:pPr>
      <w:r>
        <w:rPr>
          <w:rFonts w:cstheme="minorHAnsi"/>
          <w:b/>
          <w:bCs/>
          <w:sz w:val="24"/>
          <w:szCs w:val="24"/>
        </w:rPr>
        <w:t>Factor 2: Health Priorities</w:t>
      </w:r>
    </w:p>
    <w:p w14:paraId="6B5B5EF5" w14:textId="01713792" w:rsidR="00F96C8F" w:rsidRDefault="00F96C8F" w:rsidP="00381167">
      <w:pPr>
        <w:spacing w:after="0" w:line="240" w:lineRule="auto"/>
        <w:ind w:left="720" w:hanging="720"/>
        <w:jc w:val="both"/>
        <w:rPr>
          <w:b/>
        </w:rPr>
      </w:pPr>
      <w:r w:rsidRPr="00B71856">
        <w:rPr>
          <w:b/>
        </w:rPr>
        <w:t xml:space="preserve">F2.a. </w:t>
      </w:r>
      <w:r w:rsidRPr="00B71856">
        <w:rPr>
          <w:b/>
        </w:rPr>
        <w:tab/>
        <w:t>Cost Containment: Using objective data, please describe, for each new or expanded service, how the Proposed Project will meaningfully contribute to the Commonwealth's goals for cost containment.</w:t>
      </w:r>
    </w:p>
    <w:p w14:paraId="6F6D9774" w14:textId="77777777" w:rsidR="00381167" w:rsidRPr="00B71856" w:rsidRDefault="00381167" w:rsidP="00381167">
      <w:pPr>
        <w:spacing w:after="0" w:line="240" w:lineRule="auto"/>
        <w:ind w:left="720" w:hanging="720"/>
        <w:jc w:val="both"/>
        <w:rPr>
          <w:b/>
        </w:rPr>
      </w:pPr>
    </w:p>
    <w:p w14:paraId="2B56C23C" w14:textId="6466526B" w:rsidR="00F96C8F" w:rsidRPr="00B71856" w:rsidRDefault="00F96C8F" w:rsidP="00D353A7">
      <w:pPr>
        <w:ind w:left="720"/>
        <w:jc w:val="both"/>
      </w:pPr>
      <w:r w:rsidRPr="00B71856">
        <w:t xml:space="preserve">As discussed in the Project Description, the Proposed Project will contribute directly and meaningfully to the Commonwealth’s cost containment goals by improving availability and accessibility of lower cost MRI and CT services as an alternative to higher cost, </w:t>
      </w:r>
      <w:r w:rsidR="006E3FD0" w:rsidRPr="00B71856">
        <w:t>hospital-based</w:t>
      </w:r>
      <w:r w:rsidRPr="00B71856">
        <w:t xml:space="preserve"> services. Atrius Health has already established its strength in managing TME (adjusted and unadjusted) and minimizing the use of low-value services. </w:t>
      </w:r>
      <w:r>
        <w:rPr>
          <w:rStyle w:val="FootnoteReference"/>
        </w:rPr>
        <w:footnoteReference w:id="32"/>
      </w:r>
      <w:r w:rsidRPr="00B71856">
        <w:t xml:space="preserve"> The Proposed Project will help ensure that Atrius Health continues to deliver timely, connected and coordinated care to its patients, facilitated by its integrated EMR</w:t>
      </w:r>
      <w:r>
        <w:t>.</w:t>
      </w:r>
      <w:r w:rsidRPr="00B71856">
        <w:t xml:space="preserve"> </w:t>
      </w:r>
    </w:p>
    <w:p w14:paraId="3A663A8F" w14:textId="6EE02766" w:rsidR="00F96C8F" w:rsidRPr="00B71856" w:rsidRDefault="00F96C8F" w:rsidP="00D353A7">
      <w:pPr>
        <w:ind w:left="720"/>
        <w:jc w:val="both"/>
      </w:pPr>
      <w:r w:rsidRPr="00B71856">
        <w:t xml:space="preserve">Atrius Health’s delivery model is focused </w:t>
      </w:r>
      <w:r>
        <w:t xml:space="preserve">on </w:t>
      </w:r>
      <w:r w:rsidRPr="00B71856">
        <w:t>providing high quality care in a cost</w:t>
      </w:r>
      <w:r w:rsidR="008B1EB2">
        <w:t>-</w:t>
      </w:r>
      <w:r w:rsidRPr="00B71856">
        <w:t>efficient manner.</w:t>
      </w:r>
      <w:r w:rsidRPr="00B71856">
        <w:rPr>
          <w:sz w:val="16"/>
          <w:szCs w:val="16"/>
        </w:rPr>
        <w:t xml:space="preserve"> </w:t>
      </w:r>
      <w:r w:rsidRPr="00B71856">
        <w:t xml:space="preserve">Atrius Health utilizes several tools within the </w:t>
      </w:r>
      <w:r>
        <w:t>EMR</w:t>
      </w:r>
      <w:r w:rsidRPr="00B71856">
        <w:t xml:space="preserve"> to promote the appropriate use of medical imaging, including CT and MRI. CT and MRI orders are reviewed </w:t>
      </w:r>
      <w:r w:rsidR="008B1EB2" w:rsidRPr="00B71856">
        <w:t xml:space="preserve">for appropriateness and need </w:t>
      </w:r>
      <w:r w:rsidRPr="00B71856">
        <w:t xml:space="preserve">prior to </w:t>
      </w:r>
      <w:r w:rsidR="005C4F00">
        <w:t xml:space="preserve">the </w:t>
      </w:r>
      <w:r w:rsidRPr="00B71856">
        <w:t>patient</w:t>
      </w:r>
      <w:r w:rsidR="008B1EB2">
        <w:t>’s</w:t>
      </w:r>
      <w:r w:rsidRPr="00B71856">
        <w:t xml:space="preserve"> being seen. Requisitions are reviewed in the context of the patient</w:t>
      </w:r>
      <w:r w:rsidR="005C4F00">
        <w:t>’</w:t>
      </w:r>
      <w:r w:rsidRPr="00B71856">
        <w:t xml:space="preserve">s </w:t>
      </w:r>
      <w:r w:rsidR="005C4F00">
        <w:t xml:space="preserve">history (as documented in their </w:t>
      </w:r>
      <w:r w:rsidRPr="00B71856">
        <w:t>medical record</w:t>
      </w:r>
      <w:r w:rsidR="005C4F00">
        <w:t>)</w:t>
      </w:r>
      <w:r w:rsidRPr="00B71856">
        <w:t>, any prior imaging (including external imaging), and whether the exam is the most appropriate for the patient for the clinical indications.  Together, these features and functions improve the efficiency of care delivery.</w:t>
      </w:r>
    </w:p>
    <w:p w14:paraId="7EE153B7" w14:textId="29188FCA" w:rsidR="00F96C8F" w:rsidRDefault="00F96C8F" w:rsidP="00D353A7">
      <w:pPr>
        <w:ind w:left="720"/>
        <w:jc w:val="both"/>
      </w:pPr>
      <w:r w:rsidRPr="00B71856">
        <w:lastRenderedPageBreak/>
        <w:t>The Proposed Project will further contribute to lowering TME f</w:t>
      </w:r>
      <w:r>
        <w:t>or the Plymouth</w:t>
      </w:r>
      <w:r w:rsidR="005C4F00">
        <w:t xml:space="preserve"> Practice</w:t>
      </w:r>
      <w:r w:rsidRPr="00B71856">
        <w:t xml:space="preserve"> </w:t>
      </w:r>
      <w:r>
        <w:t>P</w:t>
      </w:r>
      <w:r w:rsidRPr="00B71856">
        <w:t xml:space="preserve">atient </w:t>
      </w:r>
      <w:r>
        <w:t>Panel</w:t>
      </w:r>
      <w:r w:rsidRPr="00B71856">
        <w:t>. Over 45% of the</w:t>
      </w:r>
      <w:r w:rsidR="005C4F00">
        <w:t xml:space="preserve"> Plymouth Practice</w:t>
      </w:r>
      <w:r w:rsidRPr="00B71856">
        <w:t xml:space="preserve"> Patient Panel is enrolled in health plan products for which Atrius Health is at risk, meaning that Atrius Health assumes most- if not all – of the financial responsibility for the costs of care delivered to the patient.  By providing the services in-house, Atrius Health saves money for the consumer and the Commonwealth by ensuring the care is coordinated for every patient and by delivering these services at a lower cost tha</w:t>
      </w:r>
      <w:r>
        <w:t>n</w:t>
      </w:r>
      <w:r w:rsidRPr="00B71856">
        <w:t xml:space="preserve"> other providers, such as hospitals. </w:t>
      </w:r>
    </w:p>
    <w:p w14:paraId="25559688" w14:textId="2F949F88" w:rsidR="00F96C8F" w:rsidRDefault="00F96C8F" w:rsidP="00D353A7">
      <w:pPr>
        <w:ind w:left="720"/>
        <w:jc w:val="both"/>
      </w:pPr>
      <w:r>
        <w:t xml:space="preserve">In addition, Atrius Health has elected </w:t>
      </w:r>
      <w:r w:rsidRPr="005F0C39">
        <w:t>to maximize the u</w:t>
      </w:r>
      <w:r w:rsidR="005C4F00">
        <w:t xml:space="preserve">se </w:t>
      </w:r>
      <w:r w:rsidRPr="005F0C39">
        <w:t xml:space="preserve">of </w:t>
      </w:r>
      <w:r>
        <w:t xml:space="preserve">its </w:t>
      </w:r>
      <w:r w:rsidRPr="005F0C39">
        <w:t>existing mobile MRI contract</w:t>
      </w:r>
      <w:r w:rsidR="005C4F00">
        <w:t xml:space="preserve">, thus avoiding </w:t>
      </w:r>
      <w:r w:rsidRPr="005F0C39">
        <w:t>additional capital</w:t>
      </w:r>
      <w:r>
        <w:t xml:space="preserve"> equipment</w:t>
      </w:r>
      <w:r w:rsidRPr="005F0C39">
        <w:t xml:space="preserve"> expense</w:t>
      </w:r>
      <w:r w:rsidR="005C4F00">
        <w:t>.</w:t>
      </w:r>
      <w:r w:rsidRPr="005F0C39">
        <w:t xml:space="preserve"> Fu</w:t>
      </w:r>
      <w:r>
        <w:t>r</w:t>
      </w:r>
      <w:r w:rsidRPr="005F0C39">
        <w:t xml:space="preserve">thermore, </w:t>
      </w:r>
      <w:r>
        <w:t xml:space="preserve">Atrius Health’s </w:t>
      </w:r>
      <w:r w:rsidRPr="005F0C39">
        <w:t>selection of CT equipment</w:t>
      </w:r>
      <w:r w:rsidR="005C4F00">
        <w:t xml:space="preserve"> for the Proposed Project</w:t>
      </w:r>
      <w:r w:rsidRPr="005F0C39">
        <w:t xml:space="preserve"> reflects the minimum requirements for an outpatient practice, rather than a higher end, more expensive unit that might</w:t>
      </w:r>
      <w:r w:rsidRPr="00EA5919">
        <w:t xml:space="preserve"> be more appropriate for a hospital with intensive care needs.</w:t>
      </w:r>
      <w:r>
        <w:t xml:space="preserve"> </w:t>
      </w:r>
    </w:p>
    <w:p w14:paraId="4D154BFE" w14:textId="5A583EEB" w:rsidR="00F96C8F" w:rsidRDefault="00F96C8F" w:rsidP="00381167">
      <w:pPr>
        <w:spacing w:after="0" w:line="240" w:lineRule="auto"/>
        <w:ind w:left="720" w:hanging="720"/>
        <w:jc w:val="both"/>
        <w:rPr>
          <w:b/>
        </w:rPr>
      </w:pPr>
      <w:r w:rsidRPr="003E2027">
        <w:rPr>
          <w:b/>
        </w:rPr>
        <w:t xml:space="preserve">F2.b </w:t>
      </w:r>
      <w:r w:rsidRPr="003E2027">
        <w:rPr>
          <w:b/>
        </w:rPr>
        <w:tab/>
        <w:t>Public Health Outcomes: Describe, as relevant, for each new or expanded service, how the Proposed Project will improve public health outcomes.</w:t>
      </w:r>
    </w:p>
    <w:p w14:paraId="06729378" w14:textId="77777777" w:rsidR="00381167" w:rsidRPr="003E2027" w:rsidRDefault="00381167" w:rsidP="00BA62C6">
      <w:pPr>
        <w:spacing w:after="0" w:line="240" w:lineRule="auto"/>
        <w:ind w:left="720" w:hanging="720"/>
        <w:rPr>
          <w:b/>
        </w:rPr>
      </w:pPr>
    </w:p>
    <w:p w14:paraId="4511279D" w14:textId="4BD26CB3" w:rsidR="00F96C8F" w:rsidRDefault="00F96C8F" w:rsidP="00D353A7">
      <w:pPr>
        <w:ind w:left="720"/>
        <w:jc w:val="both"/>
      </w:pPr>
      <w:bookmarkStart w:id="53" w:name="_Hlk119480744"/>
      <w:r w:rsidRPr="003E2027">
        <w:t xml:space="preserve">The Proposed Project will improve public health outcomes by improving access to high quality, low-cost </w:t>
      </w:r>
      <w:proofErr w:type="gramStart"/>
      <w:r w:rsidRPr="003E2027">
        <w:t>CT</w:t>
      </w:r>
      <w:proofErr w:type="gramEnd"/>
      <w:r w:rsidRPr="003E2027">
        <w:t xml:space="preserve"> and MRI services</w:t>
      </w:r>
      <w:r w:rsidR="006C3B04">
        <w:t>, thereby improving speed of diagnosis and treatment</w:t>
      </w:r>
      <w:bookmarkEnd w:id="53"/>
      <w:r w:rsidRPr="003E2027">
        <w:t xml:space="preserve">. As stated in Factor F.1.a.ii, CT and MRI are critical to properly diagnosing and planning treatment for many common health conditions, including cancer, cardiovascular disease, pulmonary conditions, and arthritis. The COVID-19 pandemic has constrained access to advanced imaging services, negatively impacting public health. Adding a resource of CT and MRI services in an outpatient setting will make these critical services more broadly and conveniently available. In addition, making these services available </w:t>
      </w:r>
      <w:r>
        <w:t>at the Plymouth Practice</w:t>
      </w:r>
      <w:r w:rsidRPr="003E2027">
        <w:t xml:space="preserve">, and thus integrating these services into Atrius Health’s delivery system, will result in improvements in both continuity and coordination of care, with attendant improvements in health outcomes for the </w:t>
      </w:r>
      <w:r w:rsidR="005C4F00">
        <w:t xml:space="preserve">Plymouth Practice </w:t>
      </w:r>
      <w:r w:rsidRPr="003E2027">
        <w:t xml:space="preserve">Patient Panel. </w:t>
      </w:r>
    </w:p>
    <w:p w14:paraId="3E2991CB" w14:textId="6440484E" w:rsidR="00F96C8F" w:rsidRPr="003E2027" w:rsidRDefault="00F96C8F" w:rsidP="00D353A7">
      <w:pPr>
        <w:ind w:left="720"/>
        <w:jc w:val="both"/>
      </w:pPr>
      <w:r>
        <w:t>The</w:t>
      </w:r>
      <w:r w:rsidRPr="005F0C39">
        <w:t xml:space="preserve"> </w:t>
      </w:r>
      <w:r>
        <w:t>P</w:t>
      </w:r>
      <w:r w:rsidRPr="005F0C39">
        <w:t xml:space="preserve">roposed </w:t>
      </w:r>
      <w:r>
        <w:t>P</w:t>
      </w:r>
      <w:r w:rsidRPr="005F0C39">
        <w:t>roject will allow for</w:t>
      </w:r>
      <w:r w:rsidR="00663163">
        <w:t xml:space="preserve"> Plymouth Practice </w:t>
      </w:r>
      <w:r w:rsidR="005C4F00">
        <w:t xml:space="preserve">Patient </w:t>
      </w:r>
      <w:r w:rsidR="00B41FF6">
        <w:t>Panel to</w:t>
      </w:r>
      <w:r w:rsidR="00663163">
        <w:t xml:space="preserve"> have </w:t>
      </w:r>
      <w:r w:rsidRPr="005F0C39">
        <w:t xml:space="preserve">CT exams </w:t>
      </w:r>
      <w:r>
        <w:t xml:space="preserve">completed the </w:t>
      </w:r>
      <w:r w:rsidRPr="005F0C39">
        <w:t xml:space="preserve">same day </w:t>
      </w:r>
      <w:r w:rsidR="00411EC4">
        <w:t xml:space="preserve">they are ordered, </w:t>
      </w:r>
      <w:r w:rsidRPr="005F0C39">
        <w:t xml:space="preserve">and MRI exams </w:t>
      </w:r>
      <w:r>
        <w:t xml:space="preserve">completed </w:t>
      </w:r>
      <w:r w:rsidRPr="005F0C39">
        <w:t>within a week with full inte</w:t>
      </w:r>
      <w:r w:rsidRPr="00EA5919">
        <w:t xml:space="preserve">gration within the Atrius Health EMR and immediately available to the ordering provider. </w:t>
      </w:r>
      <w:r w:rsidR="00447F22">
        <w:t>In the event there is a “critical result”</w:t>
      </w:r>
      <w:bookmarkStart w:id="54" w:name="_BPDCD_67"/>
      <w:r w:rsidR="00F857A9">
        <w:t xml:space="preserve"> </w:t>
      </w:r>
      <w:bookmarkEnd w:id="54"/>
      <w:r w:rsidRPr="00EA5919">
        <w:t xml:space="preserve">Atrius </w:t>
      </w:r>
      <w:r w:rsidR="005C4F00">
        <w:t xml:space="preserve">Health </w:t>
      </w:r>
      <w:r w:rsidRPr="00EA5919">
        <w:t>Radiologists</w:t>
      </w:r>
      <w:r w:rsidR="00447F22">
        <w:t xml:space="preserve"> immediately direct message the ordering provider through the EMR.</w:t>
      </w:r>
    </w:p>
    <w:p w14:paraId="5BCAF7D4" w14:textId="4E800A3E" w:rsidR="00F96C8F" w:rsidRDefault="00F96C8F" w:rsidP="00BA62C6">
      <w:pPr>
        <w:spacing w:after="0" w:line="240" w:lineRule="auto"/>
        <w:ind w:left="720" w:hanging="720"/>
        <w:rPr>
          <w:b/>
        </w:rPr>
      </w:pPr>
      <w:r w:rsidRPr="003E2027">
        <w:rPr>
          <w:b/>
        </w:rPr>
        <w:t xml:space="preserve">F2.c </w:t>
      </w:r>
      <w:r w:rsidRPr="003E2027">
        <w:rPr>
          <w:b/>
        </w:rPr>
        <w:tab/>
        <w:t>Delivery System Transformation: 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2115D563" w14:textId="77777777" w:rsidR="006B20C1" w:rsidRPr="003E2027" w:rsidRDefault="006B20C1" w:rsidP="00BA62C6">
      <w:pPr>
        <w:spacing w:after="0" w:line="240" w:lineRule="auto"/>
        <w:ind w:left="720" w:hanging="720"/>
        <w:rPr>
          <w:b/>
        </w:rPr>
      </w:pPr>
    </w:p>
    <w:p w14:paraId="14926D1D" w14:textId="52A2099B" w:rsidR="00F96C8F" w:rsidRDefault="00F96C8F" w:rsidP="00D353A7">
      <w:pPr>
        <w:ind w:left="720"/>
        <w:jc w:val="both"/>
        <w:rPr>
          <w:rFonts w:cstheme="minorHAnsi"/>
          <w:shd w:val="clear" w:color="auto" w:fill="FFFFFF"/>
        </w:rPr>
      </w:pPr>
      <w:r>
        <w:rPr>
          <w:rFonts w:cstheme="minorHAnsi"/>
          <w:shd w:val="clear" w:color="auto" w:fill="FFFFFF"/>
        </w:rPr>
        <w:t xml:space="preserve">Atrius Health delivers an effective system of connected care for adult and pediatric patients at more than 30 medical practice locations in eastern Massachusetts.  Atrius Health aims to provide consistently culturally competent care </w:t>
      </w:r>
      <w:r w:rsidR="005C4F00">
        <w:rPr>
          <w:rFonts w:cstheme="minorHAnsi"/>
          <w:shd w:val="clear" w:color="auto" w:fill="FFFFFF"/>
        </w:rPr>
        <w:t xml:space="preserve">to its entire </w:t>
      </w:r>
      <w:r w:rsidRPr="00D353A7">
        <w:t>patient</w:t>
      </w:r>
      <w:r>
        <w:rPr>
          <w:rFonts w:cstheme="minorHAnsi"/>
          <w:shd w:val="clear" w:color="auto" w:fill="FFFFFF"/>
        </w:rPr>
        <w:t xml:space="preserve"> population. </w:t>
      </w:r>
      <w:r w:rsidR="005C4F00">
        <w:rPr>
          <w:rFonts w:cstheme="minorHAnsi"/>
          <w:shd w:val="clear" w:color="auto" w:fill="FFFFFF"/>
        </w:rPr>
        <w:t xml:space="preserve">Atrius Health’s </w:t>
      </w:r>
      <w:r>
        <w:rPr>
          <w:rFonts w:cstheme="minorHAnsi"/>
          <w:shd w:val="clear" w:color="auto" w:fill="FFFFFF"/>
        </w:rPr>
        <w:t>emphasis on diversity, equity, and inclusion guides major decision</w:t>
      </w:r>
      <w:r w:rsidR="00447F22">
        <w:rPr>
          <w:rFonts w:cstheme="minorHAnsi"/>
          <w:shd w:val="clear" w:color="auto" w:fill="FFFFFF"/>
        </w:rPr>
        <w:t>s</w:t>
      </w:r>
      <w:r w:rsidR="005C4F00">
        <w:rPr>
          <w:rFonts w:cstheme="minorHAnsi"/>
          <w:shd w:val="clear" w:color="auto" w:fill="FFFFFF"/>
        </w:rPr>
        <w:t xml:space="preserve"> made by the organization.</w:t>
      </w:r>
      <w:r>
        <w:rPr>
          <w:rFonts w:cstheme="minorHAnsi"/>
          <w:shd w:val="clear" w:color="auto" w:fill="FFFFFF"/>
        </w:rPr>
        <w:t xml:space="preserve"> Atrius Health patients speak dozens of languages; interpreter services, both in person and via an iPad app, are available to make sure that patients fully understand imaging procedures and other components of their care plans. </w:t>
      </w:r>
    </w:p>
    <w:p w14:paraId="5070B6FE" w14:textId="69EE1FE8" w:rsidR="00F96C8F" w:rsidRDefault="00F96C8F" w:rsidP="00D353A7">
      <w:pPr>
        <w:ind w:left="720"/>
        <w:jc w:val="both"/>
        <w:rPr>
          <w:rFonts w:cstheme="minorHAnsi"/>
          <w:shd w:val="clear" w:color="auto" w:fill="FFFFFF"/>
        </w:rPr>
      </w:pPr>
      <w:r>
        <w:rPr>
          <w:rFonts w:cstheme="minorHAnsi"/>
          <w:shd w:val="clear" w:color="auto" w:fill="FFFFFF"/>
        </w:rPr>
        <w:t xml:space="preserve">Atrius Health routinely screens for social determinants of health in </w:t>
      </w:r>
      <w:r w:rsidR="005C4F00">
        <w:rPr>
          <w:rFonts w:cstheme="minorHAnsi"/>
          <w:shd w:val="clear" w:color="auto" w:fill="FFFFFF"/>
        </w:rPr>
        <w:t>its</w:t>
      </w:r>
      <w:r>
        <w:rPr>
          <w:rFonts w:cstheme="minorHAnsi"/>
          <w:shd w:val="clear" w:color="auto" w:fill="FFFFFF"/>
        </w:rPr>
        <w:t xml:space="preserve"> pediatric and adult </w:t>
      </w:r>
      <w:r w:rsidR="006E3FD0">
        <w:rPr>
          <w:rFonts w:cstheme="minorHAnsi"/>
          <w:shd w:val="clear" w:color="auto" w:fill="FFFFFF"/>
        </w:rPr>
        <w:t>populations and</w:t>
      </w:r>
      <w:r>
        <w:rPr>
          <w:rFonts w:cstheme="minorHAnsi"/>
          <w:shd w:val="clear" w:color="auto" w:fill="FFFFFF"/>
        </w:rPr>
        <w:t xml:space="preserve"> helps connect patients to internal and external resources (e.g., social work; community services) to support identified vulnerabilities and </w:t>
      </w:r>
      <w:r w:rsidRPr="00D353A7">
        <w:t>needs</w:t>
      </w:r>
      <w:r>
        <w:rPr>
          <w:rFonts w:cstheme="minorHAnsi"/>
          <w:shd w:val="clear" w:color="auto" w:fill="FFFFFF"/>
        </w:rPr>
        <w:t>, including but not limited to those specific to an aging population. The efforts will be integrated into the Proposed Project</w:t>
      </w:r>
      <w:r w:rsidR="005C4F00">
        <w:rPr>
          <w:rFonts w:cstheme="minorHAnsi"/>
          <w:shd w:val="clear" w:color="auto" w:fill="FFFFFF"/>
        </w:rPr>
        <w:t>.</w:t>
      </w:r>
    </w:p>
    <w:p w14:paraId="0F2916BA" w14:textId="28545D2E" w:rsidR="00F96C8F" w:rsidRDefault="005C4F00" w:rsidP="00D353A7">
      <w:pPr>
        <w:ind w:left="720"/>
        <w:jc w:val="both"/>
        <w:rPr>
          <w:rFonts w:cstheme="minorHAnsi"/>
          <w:shd w:val="clear" w:color="auto" w:fill="FFFFFF"/>
        </w:rPr>
      </w:pPr>
      <w:r>
        <w:rPr>
          <w:rFonts w:cstheme="minorHAnsi"/>
          <w:shd w:val="clear" w:color="auto" w:fill="FFFFFF"/>
        </w:rPr>
        <w:lastRenderedPageBreak/>
        <w:t xml:space="preserve">In addition, </w:t>
      </w:r>
      <w:r w:rsidR="00F96C8F">
        <w:rPr>
          <w:rFonts w:cstheme="minorHAnsi"/>
          <w:shd w:val="clear" w:color="auto" w:fill="FFFFFF"/>
        </w:rPr>
        <w:t xml:space="preserve">Atrius Health is </w:t>
      </w:r>
      <w:r w:rsidR="00F96C8F" w:rsidRPr="00EA5919">
        <w:rPr>
          <w:rFonts w:cstheme="minorHAnsi"/>
          <w:shd w:val="clear" w:color="auto" w:fill="FFFFFF"/>
        </w:rPr>
        <w:t xml:space="preserve">in the early stages of an IT and operational project to develop the necessary fields and </w:t>
      </w:r>
      <w:r w:rsidR="00F96C8F" w:rsidRPr="004639BF">
        <w:rPr>
          <w:rFonts w:cstheme="minorHAnsi"/>
          <w:shd w:val="clear" w:color="auto" w:fill="FFFFFF"/>
        </w:rPr>
        <w:t xml:space="preserve">capabilities </w:t>
      </w:r>
      <w:r w:rsidR="00F96C8F" w:rsidRPr="005F0C39">
        <w:rPr>
          <w:rFonts w:cstheme="minorHAnsi"/>
          <w:shd w:val="clear" w:color="auto" w:fill="FFFFFF"/>
        </w:rPr>
        <w:t xml:space="preserve">to capture </w:t>
      </w:r>
      <w:r w:rsidR="00F96C8F">
        <w:rPr>
          <w:rFonts w:cstheme="minorHAnsi"/>
          <w:shd w:val="clear" w:color="auto" w:fill="FFFFFF"/>
        </w:rPr>
        <w:t>r</w:t>
      </w:r>
      <w:r w:rsidR="00F96C8F" w:rsidRPr="005F0C39">
        <w:rPr>
          <w:rFonts w:cstheme="minorHAnsi"/>
          <w:shd w:val="clear" w:color="auto" w:fill="FFFFFF"/>
        </w:rPr>
        <w:t xml:space="preserve">ace and </w:t>
      </w:r>
      <w:r w:rsidR="00F96C8F">
        <w:rPr>
          <w:rFonts w:cstheme="minorHAnsi"/>
          <w:shd w:val="clear" w:color="auto" w:fill="FFFFFF"/>
        </w:rPr>
        <w:t>e</w:t>
      </w:r>
      <w:r w:rsidR="00F96C8F" w:rsidRPr="005F0C39">
        <w:rPr>
          <w:rFonts w:cstheme="minorHAnsi"/>
          <w:shd w:val="clear" w:color="auto" w:fill="FFFFFF"/>
        </w:rPr>
        <w:t xml:space="preserve">thnicity data more accurately and in greater detail to </w:t>
      </w:r>
      <w:r w:rsidR="00F96C8F">
        <w:rPr>
          <w:rFonts w:cstheme="minorHAnsi"/>
          <w:shd w:val="clear" w:color="auto" w:fill="FFFFFF"/>
        </w:rPr>
        <w:t xml:space="preserve">help </w:t>
      </w:r>
      <w:r w:rsidR="00F96C8F" w:rsidRPr="005F0C39">
        <w:rPr>
          <w:rFonts w:cstheme="minorHAnsi"/>
          <w:shd w:val="clear" w:color="auto" w:fill="FFFFFF"/>
        </w:rPr>
        <w:t xml:space="preserve">better </w:t>
      </w:r>
      <w:r w:rsidR="00F96C8F">
        <w:rPr>
          <w:rFonts w:cstheme="minorHAnsi"/>
          <w:shd w:val="clear" w:color="auto" w:fill="FFFFFF"/>
        </w:rPr>
        <w:t xml:space="preserve">identify and </w:t>
      </w:r>
      <w:r w:rsidR="00F96C8F" w:rsidRPr="005F0C39">
        <w:rPr>
          <w:rFonts w:cstheme="minorHAnsi"/>
          <w:shd w:val="clear" w:color="auto" w:fill="FFFFFF"/>
        </w:rPr>
        <w:t xml:space="preserve">address </w:t>
      </w:r>
      <w:r w:rsidR="00F96C8F" w:rsidRPr="00D353A7">
        <w:t>disparities</w:t>
      </w:r>
      <w:r w:rsidR="00F96C8F" w:rsidRPr="005F0C39">
        <w:rPr>
          <w:rFonts w:cstheme="minorHAnsi"/>
          <w:shd w:val="clear" w:color="auto" w:fill="FFFFFF"/>
        </w:rPr>
        <w:t xml:space="preserve">. </w:t>
      </w:r>
    </w:p>
    <w:p w14:paraId="365998FD" w14:textId="1D2DE03D" w:rsidR="006B20C1" w:rsidRDefault="00F96C8F" w:rsidP="006B20C1">
      <w:pPr>
        <w:ind w:left="720"/>
        <w:jc w:val="both"/>
        <w:rPr>
          <w:rFonts w:cstheme="minorHAnsi"/>
          <w:shd w:val="clear" w:color="auto" w:fill="FFFFFF"/>
        </w:rPr>
      </w:pPr>
      <w:r>
        <w:rPr>
          <w:rFonts w:cstheme="minorHAnsi"/>
          <w:shd w:val="clear" w:color="auto" w:fill="FFFFFF"/>
        </w:rPr>
        <w:t xml:space="preserve">Atrius Health trains staff regularly to fully respect patients of all cultural, racial, and ethnic backgrounds. In addition to trainings, </w:t>
      </w:r>
      <w:r w:rsidRPr="00D353A7">
        <w:t>Atrius</w:t>
      </w:r>
      <w:r>
        <w:rPr>
          <w:rFonts w:cstheme="minorHAnsi"/>
          <w:shd w:val="clear" w:color="auto" w:fill="FFFFFF"/>
        </w:rPr>
        <w:t xml:space="preserve"> Health</w:t>
      </w:r>
      <w:r w:rsidR="003D27F7">
        <w:rPr>
          <w:rFonts w:cstheme="minorHAnsi"/>
          <w:shd w:val="clear" w:color="auto" w:fill="FFFFFF"/>
        </w:rPr>
        <w:t xml:space="preserve"> offers</w:t>
      </w:r>
      <w:r>
        <w:rPr>
          <w:rFonts w:cstheme="minorHAnsi"/>
          <w:shd w:val="clear" w:color="auto" w:fill="FFFFFF"/>
        </w:rPr>
        <w:t xml:space="preserve"> DEI resources</w:t>
      </w:r>
      <w:r w:rsidR="003D27F7">
        <w:rPr>
          <w:rFonts w:cstheme="minorHAnsi"/>
          <w:shd w:val="clear" w:color="auto" w:fill="FFFFFF"/>
        </w:rPr>
        <w:t xml:space="preserve"> on its Intranet, available to all staff</w:t>
      </w:r>
      <w:r>
        <w:rPr>
          <w:rFonts w:cstheme="minorHAnsi"/>
          <w:shd w:val="clear" w:color="auto" w:fill="FFFFFF"/>
        </w:rPr>
        <w:t xml:space="preserve">. </w:t>
      </w:r>
      <w:r w:rsidRPr="005F0C39">
        <w:rPr>
          <w:rFonts w:cstheme="minorHAnsi"/>
          <w:shd w:val="clear" w:color="auto" w:fill="FFFFFF"/>
        </w:rPr>
        <w:t>Additionally, in 2023 all patient</w:t>
      </w:r>
      <w:r>
        <w:rPr>
          <w:rFonts w:cstheme="minorHAnsi"/>
          <w:shd w:val="clear" w:color="auto" w:fill="FFFFFF"/>
        </w:rPr>
        <w:t>-</w:t>
      </w:r>
      <w:r w:rsidRPr="005F0C39">
        <w:rPr>
          <w:rFonts w:cstheme="minorHAnsi"/>
          <w:shd w:val="clear" w:color="auto" w:fill="FFFFFF"/>
        </w:rPr>
        <w:t>facing staff will complete implicit bias training</w:t>
      </w:r>
      <w:r>
        <w:rPr>
          <w:rFonts w:cstheme="minorHAnsi"/>
          <w:shd w:val="clear" w:color="auto" w:fill="FFFFFF"/>
        </w:rPr>
        <w:t xml:space="preserve">. </w:t>
      </w:r>
    </w:p>
    <w:p w14:paraId="040034B8" w14:textId="77777777" w:rsidR="006B20C1" w:rsidRDefault="006B20C1" w:rsidP="006B20C1">
      <w:pPr>
        <w:ind w:left="720"/>
        <w:jc w:val="both"/>
        <w:rPr>
          <w:rFonts w:cstheme="minorHAnsi"/>
          <w:shd w:val="clear" w:color="auto" w:fill="FFFFFF"/>
        </w:rPr>
      </w:pPr>
    </w:p>
    <w:p w14:paraId="11E7740A" w14:textId="222E5D3D" w:rsidR="00F96C8F" w:rsidRDefault="006B20C1" w:rsidP="006B20C1">
      <w:pPr>
        <w:jc w:val="both"/>
        <w:rPr>
          <w:rFonts w:cstheme="minorHAnsi"/>
          <w:shd w:val="clear" w:color="auto" w:fill="FFFFFF"/>
        </w:rPr>
      </w:pPr>
      <w:r>
        <w:rPr>
          <w:rFonts w:cstheme="minorHAnsi"/>
          <w:b/>
          <w:bCs/>
          <w:sz w:val="24"/>
          <w:szCs w:val="24"/>
        </w:rPr>
        <w:t>Factor 5: Relative Merit</w:t>
      </w:r>
    </w:p>
    <w:p w14:paraId="264EFD53" w14:textId="52B2063C" w:rsidR="00F96C8F" w:rsidRDefault="00F96C8F" w:rsidP="006B20C1">
      <w:pPr>
        <w:spacing w:after="0" w:line="240" w:lineRule="auto"/>
        <w:ind w:left="720" w:hanging="720"/>
        <w:jc w:val="both"/>
        <w:rPr>
          <w:b/>
        </w:rPr>
      </w:pPr>
      <w:r w:rsidRPr="00757295">
        <w:rPr>
          <w:b/>
        </w:rPr>
        <w:t xml:space="preserve">F5.a.i </w:t>
      </w:r>
      <w:r w:rsidRPr="00757295">
        <w:rPr>
          <w:b/>
        </w:rPr>
        <w:tab/>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r w:rsidR="00B41FF6" w:rsidRPr="00757295">
        <w:rPr>
          <w:b/>
        </w:rPr>
        <w:t>consider</w:t>
      </w:r>
      <w:r w:rsidRPr="00757295">
        <w:rPr>
          <w:b/>
        </w:rPr>
        <w:t>, at a minimum, the quality, efficiency, and capital and operating costs of the Proposed Project relative to potential alternatives or substitutes, including alternative evidence-based strategies and public health interventions.</w:t>
      </w:r>
    </w:p>
    <w:p w14:paraId="12A60CFB" w14:textId="77777777" w:rsidR="00BA62C6" w:rsidRPr="00757295" w:rsidRDefault="00BA62C6" w:rsidP="006B20C1">
      <w:pPr>
        <w:spacing w:after="0" w:line="240" w:lineRule="auto"/>
        <w:ind w:left="720" w:hanging="720"/>
        <w:jc w:val="both"/>
        <w:rPr>
          <w:b/>
        </w:rPr>
      </w:pPr>
    </w:p>
    <w:p w14:paraId="3F5923B5" w14:textId="1365A40F" w:rsidR="00F96C8F" w:rsidRPr="00757295" w:rsidRDefault="006B20C1" w:rsidP="006B20C1">
      <w:pPr>
        <w:spacing w:after="0"/>
        <w:ind w:left="720"/>
        <w:jc w:val="both"/>
        <w:rPr>
          <w:rFonts w:cstheme="minorHAnsi"/>
          <w:b/>
        </w:rPr>
      </w:pPr>
      <w:r>
        <w:rPr>
          <w:rFonts w:cstheme="minorHAnsi"/>
          <w:b/>
        </w:rPr>
        <w:t>Proposal</w:t>
      </w:r>
      <w:r w:rsidR="00F96C8F" w:rsidRPr="00757295">
        <w:rPr>
          <w:rFonts w:cstheme="minorHAnsi"/>
          <w:b/>
        </w:rPr>
        <w:t>:</w:t>
      </w:r>
    </w:p>
    <w:p w14:paraId="59BBA654" w14:textId="1F28F912" w:rsidR="00F96C8F" w:rsidRPr="00BA5641" w:rsidRDefault="00F96C8F" w:rsidP="006B20C1">
      <w:pPr>
        <w:ind w:left="720"/>
        <w:jc w:val="both"/>
        <w:rPr>
          <w:rFonts w:cstheme="minorHAnsi"/>
        </w:rPr>
      </w:pPr>
      <w:r w:rsidRPr="00757295">
        <w:rPr>
          <w:rFonts w:cstheme="minorHAnsi"/>
        </w:rPr>
        <w:t xml:space="preserve">The Proposed Project is to provide advanced imaging modalities with a fixed/installed scanner to provide </w:t>
      </w:r>
      <w:bookmarkStart w:id="55" w:name="_BPDCD_68"/>
      <w:r w:rsidRPr="00307942">
        <w:rPr>
          <w:rFonts w:cstheme="minorHAnsi"/>
        </w:rPr>
        <w:t xml:space="preserve">CT </w:t>
      </w:r>
      <w:bookmarkEnd w:id="55"/>
      <w:r w:rsidRPr="00757295">
        <w:rPr>
          <w:rFonts w:cstheme="minorHAnsi"/>
        </w:rPr>
        <w:t>and two days of service of a mobile MRI</w:t>
      </w:r>
      <w:r w:rsidR="00F857A9">
        <w:rPr>
          <w:rFonts w:cstheme="minorHAnsi"/>
        </w:rPr>
        <w:t xml:space="preserve"> </w:t>
      </w:r>
      <w:r w:rsidRPr="00757295">
        <w:rPr>
          <w:rFonts w:cstheme="minorHAnsi"/>
        </w:rPr>
        <w:t>at the Plymouth Practice described in Factor 1.a.i.</w:t>
      </w:r>
    </w:p>
    <w:p w14:paraId="114BC133" w14:textId="368ABA79" w:rsidR="00F96C8F" w:rsidRPr="00757295" w:rsidRDefault="006B20C1" w:rsidP="006B20C1">
      <w:pPr>
        <w:spacing w:after="0"/>
        <w:ind w:left="720"/>
        <w:jc w:val="both"/>
        <w:rPr>
          <w:b/>
        </w:rPr>
      </w:pPr>
      <w:r>
        <w:rPr>
          <w:b/>
        </w:rPr>
        <w:t>Quality</w:t>
      </w:r>
      <w:r w:rsidR="00F96C8F" w:rsidRPr="00757295">
        <w:rPr>
          <w:b/>
        </w:rPr>
        <w:t>:</w:t>
      </w:r>
    </w:p>
    <w:p w14:paraId="223F82CB" w14:textId="30286BFF" w:rsidR="00F96C8F" w:rsidRPr="00757295" w:rsidRDefault="00F96C8F" w:rsidP="006B20C1">
      <w:pPr>
        <w:ind w:left="720"/>
        <w:jc w:val="both"/>
      </w:pPr>
      <w:r w:rsidRPr="00757295">
        <w:t>The Proposed Project will result in improved health outcomes and quality of life as the care coordination is greatly improved by keeping services internally as discussed in Factor 1.</w:t>
      </w:r>
      <w:proofErr w:type="gramStart"/>
      <w:r w:rsidRPr="00757295">
        <w:t>b.ii.</w:t>
      </w:r>
      <w:proofErr w:type="gramEnd"/>
      <w:r w:rsidRPr="00757295">
        <w:t xml:space="preserve"> Quality of service will be held to the same metrics as </w:t>
      </w:r>
      <w:r w:rsidR="003D27F7">
        <w:t>Atrius Health’s other practices which provide CT and/or MRI services</w:t>
      </w:r>
      <w:r w:rsidRPr="00757295">
        <w:t xml:space="preserve"> and will be monitored for image quality and TAT as discussed in Factor F1.</w:t>
      </w:r>
      <w:proofErr w:type="gramStart"/>
      <w:r w:rsidRPr="00757295">
        <w:t>b.ii.</w:t>
      </w:r>
      <w:proofErr w:type="gramEnd"/>
      <w:r w:rsidRPr="00757295">
        <w:t xml:space="preserve"> </w:t>
      </w:r>
    </w:p>
    <w:p w14:paraId="7989613C" w14:textId="7D8D4974" w:rsidR="00F96C8F" w:rsidRPr="00757295" w:rsidRDefault="006B20C1" w:rsidP="006B20C1">
      <w:pPr>
        <w:keepNext/>
        <w:spacing w:after="0"/>
        <w:ind w:left="720"/>
        <w:jc w:val="both"/>
        <w:rPr>
          <w:b/>
        </w:rPr>
      </w:pPr>
      <w:r>
        <w:rPr>
          <w:b/>
        </w:rPr>
        <w:t>Efficiency</w:t>
      </w:r>
      <w:r w:rsidR="00F96C8F" w:rsidRPr="00757295">
        <w:rPr>
          <w:b/>
        </w:rPr>
        <w:t>:</w:t>
      </w:r>
    </w:p>
    <w:p w14:paraId="2664438B" w14:textId="77777777" w:rsidR="00F96C8F" w:rsidRPr="00757295" w:rsidRDefault="00F96C8F" w:rsidP="006B20C1">
      <w:pPr>
        <w:ind w:left="720"/>
        <w:jc w:val="both"/>
      </w:pPr>
      <w:r w:rsidRPr="00757295">
        <w:t xml:space="preserve">The Proposed Project will improve the efficiency of obtaining CT and MRI imaging services for the </w:t>
      </w:r>
      <w:r>
        <w:t>Plymouth Practice P</w:t>
      </w:r>
      <w:r w:rsidRPr="00757295">
        <w:t xml:space="preserve">atient </w:t>
      </w:r>
      <w:r>
        <w:t>P</w:t>
      </w:r>
      <w:r w:rsidRPr="00757295">
        <w:t xml:space="preserve">anel because the services will be available within the Atrius Health system of care. Images will </w:t>
      </w:r>
      <w:r>
        <w:t xml:space="preserve">be </w:t>
      </w:r>
      <w:r w:rsidRPr="00757295">
        <w:t xml:space="preserve">available to the ordering provider immediately after acquisition and the report will typically be available on the same day. Both the images and the report are integrated directly in the patient’s medical record. </w:t>
      </w:r>
      <w:r>
        <w:t>Plymouth Practice patients will have the convenience of “one stop shopping” for care when they can coordinate provider visits and imaging appointments.  Patients will</w:t>
      </w:r>
      <w:r w:rsidRPr="00EA5919">
        <w:t xml:space="preserve"> no longer need to travel to a hospital or other outside facility for i</w:t>
      </w:r>
      <w:r w:rsidRPr="008D2F5D">
        <w:t xml:space="preserve">maging services and bear the inconvenience </w:t>
      </w:r>
      <w:r>
        <w:t xml:space="preserve">and stress </w:t>
      </w:r>
      <w:r w:rsidRPr="008D2F5D">
        <w:t xml:space="preserve">of parking, walking, and navigating </w:t>
      </w:r>
      <w:r>
        <w:t>unfamiliar facilities</w:t>
      </w:r>
      <w:r w:rsidRPr="004639BF">
        <w:t xml:space="preserve">. This </w:t>
      </w:r>
      <w:r>
        <w:t>would be</w:t>
      </w:r>
      <w:r w:rsidRPr="004639BF">
        <w:t xml:space="preserve"> </w:t>
      </w:r>
      <w:r>
        <w:t xml:space="preserve">a </w:t>
      </w:r>
      <w:r w:rsidRPr="004639BF">
        <w:t xml:space="preserve">particularly important </w:t>
      </w:r>
      <w:r>
        <w:t xml:space="preserve">improvement </w:t>
      </w:r>
      <w:r w:rsidRPr="004639BF">
        <w:t>for the elderly population.</w:t>
      </w:r>
      <w:r>
        <w:t xml:space="preserve"> </w:t>
      </w:r>
    </w:p>
    <w:p w14:paraId="6F7FF200" w14:textId="62E50C3E" w:rsidR="00F96C8F" w:rsidRPr="00757295" w:rsidRDefault="006B20C1" w:rsidP="006B20C1">
      <w:pPr>
        <w:spacing w:after="0"/>
        <w:ind w:left="720"/>
        <w:jc w:val="both"/>
        <w:rPr>
          <w:b/>
        </w:rPr>
      </w:pPr>
      <w:r>
        <w:rPr>
          <w:b/>
        </w:rPr>
        <w:t>Capital Expense:</w:t>
      </w:r>
    </w:p>
    <w:p w14:paraId="1A73E748" w14:textId="6A4B0AB5" w:rsidR="00F96C8F" w:rsidRDefault="00F96C8F" w:rsidP="006B20C1">
      <w:pPr>
        <w:spacing w:after="0"/>
        <w:ind w:left="720"/>
        <w:jc w:val="both"/>
      </w:pPr>
      <w:r w:rsidRPr="00757295">
        <w:t>Because Atrius Health is a</w:t>
      </w:r>
      <w:r>
        <w:t xml:space="preserve">n ambulatory practice, </w:t>
      </w:r>
      <w:r w:rsidRPr="00757295">
        <w:t xml:space="preserve">the </w:t>
      </w:r>
      <w:r>
        <w:t xml:space="preserve">installed </w:t>
      </w:r>
      <w:r w:rsidRPr="00757295">
        <w:t xml:space="preserve">CT equipment </w:t>
      </w:r>
      <w:r>
        <w:t xml:space="preserve">will be that which is sufficient and </w:t>
      </w:r>
      <w:r w:rsidRPr="00757295">
        <w:t xml:space="preserve">is appropriate </w:t>
      </w:r>
      <w:r>
        <w:t xml:space="preserve">for </w:t>
      </w:r>
      <w:r w:rsidRPr="00757295">
        <w:t>routine imaging needs. This equipment can be purchased at a lower price point than a scanner that might be needed in a setting that also provides emergent and high acuity care services. The expected cost of the CT scanner is $561,120</w:t>
      </w:r>
      <w:r>
        <w:t xml:space="preserve">. </w:t>
      </w:r>
      <w:r w:rsidRPr="00757295">
        <w:t xml:space="preserve">Atrius Health currently leases a mobile MRI coach </w:t>
      </w:r>
      <w:proofErr w:type="gramStart"/>
      <w:r w:rsidRPr="00757295">
        <w:t>on a monthly basis</w:t>
      </w:r>
      <w:proofErr w:type="gramEnd"/>
      <w:r w:rsidRPr="00757295">
        <w:t xml:space="preserve">. This unit is only utilized five days per week. The cost of utilizing this scanner </w:t>
      </w:r>
      <w:r w:rsidR="003D27F7">
        <w:t>for an additional</w:t>
      </w:r>
      <w:r w:rsidRPr="00757295">
        <w:t xml:space="preserve"> two days/week is limited to operational costs, including the transport costs of the </w:t>
      </w:r>
      <w:r w:rsidR="003D27F7">
        <w:t>coach</w:t>
      </w:r>
      <w:r w:rsidRPr="00757295">
        <w:t>, staff to operate the scanner</w:t>
      </w:r>
      <w:r w:rsidR="003D27F7">
        <w:t xml:space="preserve"> at the Plymouth Practice</w:t>
      </w:r>
      <w:r w:rsidRPr="00757295">
        <w:t xml:space="preserve">, and minor supply costs. There is no incremental capital </w:t>
      </w:r>
      <w:r w:rsidR="00CB32D9">
        <w:t xml:space="preserve">equipment </w:t>
      </w:r>
      <w:r w:rsidRPr="00757295">
        <w:t>cost.</w:t>
      </w:r>
      <w:r w:rsidR="00CB32D9">
        <w:t xml:space="preserve"> </w:t>
      </w:r>
      <w:r w:rsidR="003D27F7">
        <w:t xml:space="preserve">The </w:t>
      </w:r>
      <w:r w:rsidR="00447F22">
        <w:t xml:space="preserve">estimated </w:t>
      </w:r>
      <w:r w:rsidR="003D27F7">
        <w:t>c</w:t>
      </w:r>
      <w:r w:rsidR="00CB32D9">
        <w:t xml:space="preserve">apital cost to construct the space for the CT </w:t>
      </w:r>
      <w:r w:rsidR="00CB32D9">
        <w:lastRenderedPageBreak/>
        <w:t xml:space="preserve">scanner at </w:t>
      </w:r>
      <w:r w:rsidR="003D27F7">
        <w:t>the Plymouth Practice</w:t>
      </w:r>
      <w:r w:rsidR="00CB32D9">
        <w:t xml:space="preserve"> is $266,500</w:t>
      </w:r>
      <w:r w:rsidR="003D27F7">
        <w:t xml:space="preserve">; the </w:t>
      </w:r>
      <w:r w:rsidR="00447F22">
        <w:t xml:space="preserve">estimated </w:t>
      </w:r>
      <w:r w:rsidR="003D27F7">
        <w:t>capital cost for constructing</w:t>
      </w:r>
      <w:r w:rsidR="00CB32D9">
        <w:t xml:space="preserve"> the MRI vestibule </w:t>
      </w:r>
      <w:r w:rsidR="003D27F7">
        <w:t xml:space="preserve">is </w:t>
      </w:r>
      <w:r w:rsidR="00CB32D9">
        <w:t>$111,500.</w:t>
      </w:r>
    </w:p>
    <w:p w14:paraId="428DCF8B" w14:textId="77777777" w:rsidR="00543AB9" w:rsidRPr="00757295" w:rsidRDefault="00543AB9" w:rsidP="006B20C1">
      <w:pPr>
        <w:spacing w:after="0"/>
        <w:ind w:left="720"/>
        <w:jc w:val="both"/>
      </w:pPr>
    </w:p>
    <w:p w14:paraId="6B7C839B" w14:textId="54B7911F" w:rsidR="00F96C8F" w:rsidRPr="00757295" w:rsidRDefault="006B20C1" w:rsidP="006B20C1">
      <w:pPr>
        <w:spacing w:after="0"/>
        <w:ind w:left="720"/>
        <w:jc w:val="both"/>
        <w:rPr>
          <w:b/>
        </w:rPr>
      </w:pPr>
      <w:r>
        <w:rPr>
          <w:b/>
        </w:rPr>
        <w:t>Operating Costs:</w:t>
      </w:r>
    </w:p>
    <w:p w14:paraId="22D1B1F8" w14:textId="27165A10" w:rsidR="00F96C8F" w:rsidRPr="00757295" w:rsidRDefault="00F96C8F" w:rsidP="006B20C1">
      <w:pPr>
        <w:ind w:left="720"/>
        <w:jc w:val="both"/>
      </w:pPr>
      <w:r w:rsidRPr="00757295">
        <w:t>The cost to Atrius Health will be lower to provide the services internally than to send the patients to the local hospital provider or other external imaging services provider.</w:t>
      </w:r>
    </w:p>
    <w:p w14:paraId="4373879B" w14:textId="77777777" w:rsidR="006B20C1" w:rsidRDefault="006B20C1" w:rsidP="006B20C1">
      <w:pPr>
        <w:keepNext/>
        <w:spacing w:after="0"/>
        <w:ind w:left="720"/>
        <w:jc w:val="both"/>
        <w:rPr>
          <w:rFonts w:cstheme="minorHAnsi"/>
          <w:b/>
        </w:rPr>
      </w:pPr>
    </w:p>
    <w:p w14:paraId="61A536DB" w14:textId="214732C6" w:rsidR="00F96C8F" w:rsidRPr="00757295" w:rsidRDefault="00F96C8F" w:rsidP="006B20C1">
      <w:pPr>
        <w:keepNext/>
        <w:spacing w:after="0"/>
        <w:ind w:left="720"/>
        <w:jc w:val="both"/>
        <w:rPr>
          <w:rFonts w:cstheme="minorHAnsi"/>
        </w:rPr>
      </w:pPr>
      <w:r w:rsidRPr="00757295">
        <w:rPr>
          <w:rFonts w:cstheme="minorHAnsi"/>
          <w:b/>
        </w:rPr>
        <w:t>Alternative options</w:t>
      </w:r>
      <w:r w:rsidRPr="00757295">
        <w:rPr>
          <w:rFonts w:cstheme="minorHAnsi"/>
        </w:rPr>
        <w:t>:</w:t>
      </w:r>
    </w:p>
    <w:p w14:paraId="1A365F81" w14:textId="77777777" w:rsidR="00F96C8F" w:rsidRPr="00757295" w:rsidRDefault="00F96C8F" w:rsidP="006B20C1">
      <w:pPr>
        <w:keepNext/>
        <w:spacing w:after="0"/>
        <w:ind w:left="720"/>
        <w:jc w:val="both"/>
        <w:rPr>
          <w:rFonts w:cstheme="minorHAnsi"/>
        </w:rPr>
      </w:pPr>
    </w:p>
    <w:p w14:paraId="32FA9994" w14:textId="77777777" w:rsidR="00F96C8F" w:rsidRPr="00757295" w:rsidRDefault="00F96C8F" w:rsidP="006B20C1">
      <w:pPr>
        <w:keepNext/>
        <w:spacing w:after="0"/>
        <w:ind w:left="720"/>
        <w:jc w:val="both"/>
        <w:rPr>
          <w:rFonts w:cstheme="minorHAnsi"/>
          <w:b/>
        </w:rPr>
      </w:pPr>
      <w:r w:rsidRPr="00757295">
        <w:rPr>
          <w:rFonts w:cstheme="minorHAnsi"/>
          <w:b/>
        </w:rPr>
        <w:t xml:space="preserve">Alternative Proposal 1: </w:t>
      </w:r>
    </w:p>
    <w:p w14:paraId="52E281B4" w14:textId="39D79D49" w:rsidR="00F96C8F" w:rsidRPr="00757295" w:rsidRDefault="00F96C8F" w:rsidP="006B20C1">
      <w:pPr>
        <w:spacing w:after="0"/>
        <w:ind w:left="720"/>
        <w:jc w:val="both"/>
        <w:rPr>
          <w:rFonts w:cstheme="minorHAnsi"/>
        </w:rPr>
      </w:pPr>
      <w:r w:rsidRPr="00757295">
        <w:rPr>
          <w:rFonts w:cstheme="minorHAnsi"/>
        </w:rPr>
        <w:t xml:space="preserve">Do not acquire CT or expand days of mobile MRI to </w:t>
      </w:r>
      <w:r>
        <w:rPr>
          <w:rFonts w:cstheme="minorHAnsi"/>
        </w:rPr>
        <w:t xml:space="preserve">extend MRI </w:t>
      </w:r>
      <w:r w:rsidRPr="00757295">
        <w:rPr>
          <w:rFonts w:cstheme="minorHAnsi"/>
        </w:rPr>
        <w:t>service</w:t>
      </w:r>
      <w:r>
        <w:rPr>
          <w:rFonts w:cstheme="minorHAnsi"/>
        </w:rPr>
        <w:t>s to the</w:t>
      </w:r>
      <w:r w:rsidRPr="00757295">
        <w:rPr>
          <w:rFonts w:cstheme="minorHAnsi"/>
        </w:rPr>
        <w:t xml:space="preserve"> </w:t>
      </w:r>
      <w:r>
        <w:rPr>
          <w:rFonts w:cstheme="minorHAnsi"/>
        </w:rPr>
        <w:t xml:space="preserve">Plymouth Practice </w:t>
      </w:r>
      <w:r w:rsidRPr="00757295">
        <w:rPr>
          <w:rFonts w:cstheme="minorHAnsi"/>
        </w:rPr>
        <w:t xml:space="preserve">and continue to utilize external providers for CT and MRI imaging for the </w:t>
      </w:r>
      <w:r w:rsidR="003D27F7">
        <w:rPr>
          <w:rFonts w:cstheme="minorHAnsi"/>
        </w:rPr>
        <w:t>Plymouth Practice P</w:t>
      </w:r>
      <w:r w:rsidRPr="00757295">
        <w:rPr>
          <w:rFonts w:cstheme="minorHAnsi"/>
        </w:rPr>
        <w:t xml:space="preserve">atient </w:t>
      </w:r>
      <w:r w:rsidR="003D27F7">
        <w:rPr>
          <w:rFonts w:cstheme="minorHAnsi"/>
        </w:rPr>
        <w:t>P</w:t>
      </w:r>
      <w:r w:rsidRPr="00757295">
        <w:rPr>
          <w:rFonts w:cstheme="minorHAnsi"/>
        </w:rPr>
        <w:t>anel.</w:t>
      </w:r>
    </w:p>
    <w:p w14:paraId="5696C668" w14:textId="77777777" w:rsidR="00F96C8F" w:rsidRPr="00757295" w:rsidRDefault="00F96C8F" w:rsidP="006B20C1">
      <w:pPr>
        <w:spacing w:after="0"/>
        <w:ind w:left="720"/>
        <w:jc w:val="both"/>
        <w:rPr>
          <w:rFonts w:cstheme="minorHAnsi"/>
          <w:b/>
        </w:rPr>
      </w:pPr>
    </w:p>
    <w:p w14:paraId="714672D3" w14:textId="77777777" w:rsidR="00F96C8F" w:rsidRPr="00757295" w:rsidRDefault="00F96C8F" w:rsidP="006B20C1">
      <w:pPr>
        <w:keepNext/>
        <w:spacing w:after="0"/>
        <w:ind w:left="720"/>
        <w:jc w:val="both"/>
        <w:rPr>
          <w:rFonts w:cstheme="minorHAnsi"/>
          <w:b/>
        </w:rPr>
      </w:pPr>
      <w:r w:rsidRPr="00757295">
        <w:rPr>
          <w:rFonts w:cstheme="minorHAnsi"/>
          <w:b/>
        </w:rPr>
        <w:t>Alternative Quality 1:</w:t>
      </w:r>
    </w:p>
    <w:p w14:paraId="36AFE9D6" w14:textId="0EB87A0D" w:rsidR="00F96C8F" w:rsidRPr="00757295" w:rsidRDefault="00F96C8F" w:rsidP="006B20C1">
      <w:pPr>
        <w:keepNext/>
        <w:spacing w:after="0"/>
        <w:ind w:left="720"/>
        <w:jc w:val="both"/>
        <w:rPr>
          <w:rFonts w:cstheme="minorHAnsi"/>
        </w:rPr>
      </w:pPr>
      <w:r w:rsidRPr="00757295">
        <w:rPr>
          <w:rFonts w:cstheme="minorHAnsi"/>
        </w:rPr>
        <w:t>Continuity of care and care coordination are significantly decreased when these services are provided by external providers because there is a delay in Atrius</w:t>
      </w:r>
      <w:r>
        <w:rPr>
          <w:rFonts w:cstheme="minorHAnsi"/>
        </w:rPr>
        <w:t xml:space="preserve"> Health’s</w:t>
      </w:r>
      <w:r w:rsidRPr="00757295">
        <w:rPr>
          <w:rFonts w:cstheme="minorHAnsi"/>
        </w:rPr>
        <w:t xml:space="preserve"> receipt of images and reports</w:t>
      </w:r>
      <w:r w:rsidR="003D27F7">
        <w:rPr>
          <w:rFonts w:cstheme="minorHAnsi"/>
        </w:rPr>
        <w:t>.</w:t>
      </w:r>
    </w:p>
    <w:p w14:paraId="15AA80D9" w14:textId="0D60BA22" w:rsidR="00F96C8F" w:rsidRPr="00757295" w:rsidRDefault="003D27F7" w:rsidP="006B20C1">
      <w:pPr>
        <w:spacing w:after="0"/>
        <w:ind w:left="720"/>
        <w:jc w:val="both"/>
        <w:rPr>
          <w:rFonts w:cstheme="minorHAnsi"/>
        </w:rPr>
      </w:pPr>
      <w:r>
        <w:rPr>
          <w:rFonts w:cstheme="minorHAnsi"/>
        </w:rPr>
        <w:t>In addition,</w:t>
      </w:r>
      <w:r w:rsidR="00F96C8F" w:rsidRPr="00757295">
        <w:rPr>
          <w:rFonts w:cstheme="minorHAnsi"/>
        </w:rPr>
        <w:t xml:space="preserve"> image and service quality are dependent on outside factors</w:t>
      </w:r>
      <w:r>
        <w:rPr>
          <w:rFonts w:cstheme="minorHAnsi"/>
        </w:rPr>
        <w:t xml:space="preserve"> over which Atrius Health has no control and limited ability to monitor.</w:t>
      </w:r>
      <w:r w:rsidR="00F96C8F" w:rsidRPr="00757295">
        <w:rPr>
          <w:rFonts w:cstheme="minorHAnsi"/>
        </w:rPr>
        <w:t xml:space="preserve"> </w:t>
      </w:r>
    </w:p>
    <w:p w14:paraId="491DD0F5" w14:textId="77777777" w:rsidR="00F96C8F" w:rsidRPr="00757295" w:rsidRDefault="00F96C8F" w:rsidP="006B20C1">
      <w:pPr>
        <w:spacing w:after="0"/>
        <w:ind w:left="720"/>
        <w:jc w:val="both"/>
        <w:rPr>
          <w:rFonts w:cstheme="minorHAnsi"/>
          <w:b/>
        </w:rPr>
      </w:pPr>
    </w:p>
    <w:p w14:paraId="17E635D3" w14:textId="77777777" w:rsidR="00F96C8F" w:rsidRPr="00757295" w:rsidRDefault="00F96C8F" w:rsidP="006B20C1">
      <w:pPr>
        <w:keepNext/>
        <w:spacing w:after="0"/>
        <w:ind w:left="720"/>
        <w:jc w:val="both"/>
        <w:rPr>
          <w:rFonts w:cstheme="minorHAnsi"/>
          <w:b/>
        </w:rPr>
      </w:pPr>
      <w:r w:rsidRPr="00757295">
        <w:rPr>
          <w:rFonts w:cstheme="minorHAnsi"/>
          <w:b/>
        </w:rPr>
        <w:t>Alternative Efficiency 1:</w:t>
      </w:r>
    </w:p>
    <w:p w14:paraId="75ABABED" w14:textId="0C9CE6B0" w:rsidR="00F96C8F" w:rsidRPr="00757295" w:rsidRDefault="00F96C8F" w:rsidP="006B20C1">
      <w:pPr>
        <w:spacing w:after="0"/>
        <w:ind w:left="720"/>
        <w:jc w:val="both"/>
        <w:rPr>
          <w:rFonts w:cstheme="minorHAnsi"/>
        </w:rPr>
      </w:pPr>
      <w:r w:rsidRPr="00757295">
        <w:rPr>
          <w:rFonts w:cstheme="minorHAnsi"/>
        </w:rPr>
        <w:t>The efficiency of care is decreased when utilizing outside providers</w:t>
      </w:r>
      <w:r>
        <w:rPr>
          <w:rFonts w:cstheme="minorHAnsi"/>
        </w:rPr>
        <w:t>, particularly when Atrius Health is trying to improve efficiencies</w:t>
      </w:r>
      <w:r w:rsidR="003D27F7">
        <w:rPr>
          <w:rFonts w:cstheme="minorHAnsi"/>
        </w:rPr>
        <w:t xml:space="preserve"> in service delivery generally</w:t>
      </w:r>
      <w:r>
        <w:rPr>
          <w:rFonts w:cstheme="minorHAnsi"/>
        </w:rPr>
        <w:t xml:space="preserve"> through consolidation of the 6 PMG practices </w:t>
      </w:r>
      <w:r w:rsidR="003D27F7">
        <w:rPr>
          <w:rFonts w:cstheme="minorHAnsi"/>
        </w:rPr>
        <w:t xml:space="preserve">at the </w:t>
      </w:r>
      <w:r>
        <w:rPr>
          <w:rFonts w:cstheme="minorHAnsi"/>
        </w:rPr>
        <w:t xml:space="preserve">Plymouth Practice. </w:t>
      </w:r>
    </w:p>
    <w:p w14:paraId="55EF9FDA" w14:textId="77777777" w:rsidR="00F96C8F" w:rsidRPr="00757295" w:rsidRDefault="00F96C8F" w:rsidP="006B20C1">
      <w:pPr>
        <w:spacing w:after="0"/>
        <w:ind w:left="720"/>
        <w:jc w:val="both"/>
        <w:rPr>
          <w:rFonts w:cstheme="minorHAnsi"/>
          <w:b/>
        </w:rPr>
      </w:pPr>
    </w:p>
    <w:p w14:paraId="64D458AB" w14:textId="77777777" w:rsidR="00F96C8F" w:rsidRPr="00757295" w:rsidRDefault="00F96C8F" w:rsidP="006B20C1">
      <w:pPr>
        <w:spacing w:after="0"/>
        <w:ind w:left="720"/>
        <w:jc w:val="both"/>
        <w:rPr>
          <w:rFonts w:cstheme="minorHAnsi"/>
          <w:b/>
        </w:rPr>
      </w:pPr>
      <w:r w:rsidRPr="00757295">
        <w:rPr>
          <w:rFonts w:cstheme="minorHAnsi"/>
          <w:b/>
        </w:rPr>
        <w:t>Alternative Capital Expense 1:</w:t>
      </w:r>
    </w:p>
    <w:p w14:paraId="415A763B" w14:textId="77777777" w:rsidR="00F96C8F" w:rsidRPr="00757295" w:rsidRDefault="00F96C8F" w:rsidP="006B20C1">
      <w:pPr>
        <w:spacing w:after="0"/>
        <w:ind w:left="720"/>
        <w:jc w:val="both"/>
        <w:rPr>
          <w:rFonts w:cstheme="minorHAnsi"/>
        </w:rPr>
      </w:pPr>
      <w:r w:rsidRPr="00757295">
        <w:rPr>
          <w:rFonts w:cstheme="minorHAnsi"/>
        </w:rPr>
        <w:t>The capital expense would be $0.</w:t>
      </w:r>
    </w:p>
    <w:p w14:paraId="077DD0A0" w14:textId="77777777" w:rsidR="00543AB9" w:rsidRDefault="00543AB9" w:rsidP="006B20C1">
      <w:pPr>
        <w:spacing w:after="0"/>
        <w:ind w:left="720"/>
        <w:jc w:val="both"/>
        <w:rPr>
          <w:rFonts w:cstheme="minorHAnsi"/>
          <w:b/>
        </w:rPr>
      </w:pPr>
    </w:p>
    <w:p w14:paraId="4E3238CA" w14:textId="72FA4D8B" w:rsidR="00F96C8F" w:rsidRPr="00757295" w:rsidRDefault="00F96C8F" w:rsidP="006B20C1">
      <w:pPr>
        <w:spacing w:after="0"/>
        <w:ind w:left="720"/>
        <w:jc w:val="both"/>
        <w:rPr>
          <w:rFonts w:cstheme="minorHAnsi"/>
          <w:b/>
        </w:rPr>
      </w:pPr>
      <w:r w:rsidRPr="00757295">
        <w:rPr>
          <w:rFonts w:cstheme="minorHAnsi"/>
          <w:b/>
        </w:rPr>
        <w:t>Alternative Operating Costs 1:</w:t>
      </w:r>
    </w:p>
    <w:p w14:paraId="77B980F6" w14:textId="54AA5667" w:rsidR="00F96C8F" w:rsidRDefault="00F96C8F" w:rsidP="006B20C1">
      <w:pPr>
        <w:spacing w:after="0"/>
        <w:ind w:left="720"/>
        <w:jc w:val="both"/>
      </w:pPr>
      <w:r w:rsidRPr="00757295">
        <w:rPr>
          <w:rFonts w:cstheme="minorHAnsi"/>
        </w:rPr>
        <w:t xml:space="preserve">Operating costs will be higher relative to the Proposed Project as the expense to the organization to utilize outside service providers is greater than the cost to provide the same services internally. In addition, there are costs associated with recommendations for </w:t>
      </w:r>
      <w:r>
        <w:rPr>
          <w:rFonts w:cstheme="minorHAnsi"/>
        </w:rPr>
        <w:t xml:space="preserve">often unnecessary </w:t>
      </w:r>
      <w:r w:rsidRPr="00757295">
        <w:rPr>
          <w:rFonts w:cstheme="minorHAnsi"/>
        </w:rPr>
        <w:t xml:space="preserve">follow up imaging made by outside imaging providers </w:t>
      </w:r>
      <w:r w:rsidR="003D27F7">
        <w:rPr>
          <w:rFonts w:cstheme="minorHAnsi"/>
        </w:rPr>
        <w:t xml:space="preserve">because they don’t have seamless access to the </w:t>
      </w:r>
      <w:r w:rsidRPr="00757295">
        <w:rPr>
          <w:rFonts w:cstheme="minorHAnsi"/>
        </w:rPr>
        <w:t xml:space="preserve">Atrius </w:t>
      </w:r>
      <w:r>
        <w:rPr>
          <w:rFonts w:cstheme="minorHAnsi"/>
        </w:rPr>
        <w:t xml:space="preserve">Health </w:t>
      </w:r>
      <w:r w:rsidRPr="00757295">
        <w:rPr>
          <w:rFonts w:cstheme="minorHAnsi"/>
        </w:rPr>
        <w:t>EMR</w:t>
      </w:r>
      <w:r w:rsidR="00172D97">
        <w:rPr>
          <w:rFonts w:cstheme="minorHAnsi"/>
        </w:rPr>
        <w:t xml:space="preserve"> and the patient’s medical history, including history of prior imaging</w:t>
      </w:r>
      <w:r w:rsidRPr="00757295">
        <w:rPr>
          <w:rFonts w:cstheme="minorHAnsi"/>
        </w:rPr>
        <w:t xml:space="preserve"> studies.</w:t>
      </w:r>
      <w:r>
        <w:rPr>
          <w:rFonts w:cstheme="minorHAnsi"/>
        </w:rPr>
        <w:t xml:space="preserve"> </w:t>
      </w:r>
      <w:r w:rsidRPr="008D2F5D">
        <w:t xml:space="preserve">Atrius Health has documented in its radiology e-consult program that nearly 50% of follow up CTs and MRIs recommended by </w:t>
      </w:r>
      <w:r w:rsidRPr="001D4E35">
        <w:t xml:space="preserve">external imaging facilities </w:t>
      </w:r>
      <w:r>
        <w:t xml:space="preserve">are not clinically indicated and </w:t>
      </w:r>
      <w:r w:rsidRPr="008D2F5D">
        <w:t xml:space="preserve">can be cancelled based on </w:t>
      </w:r>
      <w:r>
        <w:t>the</w:t>
      </w:r>
      <w:r w:rsidRPr="008D2F5D">
        <w:t xml:space="preserve"> more comprehensive review of the pat</w:t>
      </w:r>
      <w:r w:rsidRPr="00395067">
        <w:t>ient’s medical record and prior imaging</w:t>
      </w:r>
      <w:r>
        <w:t xml:space="preserve"> that is a standard part of practice for Atrius Health’s radiologists</w:t>
      </w:r>
      <w:r w:rsidRPr="00395067">
        <w:t>. Therefore, having Atrius radiologists interpret CT and MRI exams for Atrius Plymouth patients is expected to significantly decrease unnecessary imaging utilization and cost.</w:t>
      </w:r>
      <w:r>
        <w:t xml:space="preserve"> </w:t>
      </w:r>
    </w:p>
    <w:p w14:paraId="53C1036A" w14:textId="77777777" w:rsidR="00F96C8F" w:rsidRPr="00757295" w:rsidRDefault="00F96C8F" w:rsidP="006B20C1">
      <w:pPr>
        <w:spacing w:after="0"/>
        <w:ind w:left="720"/>
        <w:jc w:val="both"/>
        <w:rPr>
          <w:b/>
        </w:rPr>
      </w:pPr>
    </w:p>
    <w:p w14:paraId="2EACD213" w14:textId="77777777" w:rsidR="00F96C8F" w:rsidRPr="00757295" w:rsidRDefault="00F96C8F" w:rsidP="006B20C1">
      <w:pPr>
        <w:spacing w:after="0"/>
        <w:ind w:left="720"/>
        <w:jc w:val="both"/>
        <w:rPr>
          <w:rFonts w:cstheme="minorHAnsi"/>
          <w:b/>
        </w:rPr>
      </w:pPr>
      <w:r w:rsidRPr="00757295">
        <w:rPr>
          <w:rFonts w:cstheme="minorHAnsi"/>
          <w:b/>
        </w:rPr>
        <w:t>Alternative Proposal 2:</w:t>
      </w:r>
    </w:p>
    <w:p w14:paraId="3703F134" w14:textId="77777777" w:rsidR="00F96C8F" w:rsidRPr="00757295" w:rsidRDefault="00F96C8F" w:rsidP="006B20C1">
      <w:pPr>
        <w:spacing w:after="0"/>
        <w:ind w:left="720"/>
        <w:jc w:val="both"/>
        <w:rPr>
          <w:rFonts w:cstheme="minorHAnsi"/>
        </w:rPr>
      </w:pPr>
      <w:r w:rsidRPr="00757295">
        <w:rPr>
          <w:rFonts w:cstheme="minorHAnsi"/>
        </w:rPr>
        <w:t>A second alternative proposal would be to install both a fixed CT scanner and a fixed MRI scanner.</w:t>
      </w:r>
    </w:p>
    <w:p w14:paraId="2D492A9D" w14:textId="77777777" w:rsidR="00F96C8F" w:rsidRPr="00757295" w:rsidRDefault="00F96C8F" w:rsidP="006B20C1">
      <w:pPr>
        <w:spacing w:after="0"/>
        <w:ind w:left="720"/>
        <w:jc w:val="both"/>
        <w:rPr>
          <w:rFonts w:cstheme="minorHAnsi"/>
          <w:b/>
        </w:rPr>
      </w:pPr>
    </w:p>
    <w:p w14:paraId="6AF490E4" w14:textId="77777777" w:rsidR="00F96C8F" w:rsidRPr="00757295" w:rsidRDefault="00F96C8F" w:rsidP="006B20C1">
      <w:pPr>
        <w:spacing w:after="0"/>
        <w:ind w:left="720"/>
        <w:jc w:val="both"/>
        <w:rPr>
          <w:rFonts w:cstheme="minorHAnsi"/>
          <w:b/>
        </w:rPr>
      </w:pPr>
      <w:r w:rsidRPr="00757295">
        <w:rPr>
          <w:rFonts w:cstheme="minorHAnsi"/>
          <w:b/>
        </w:rPr>
        <w:t>Alternative Quality 2:</w:t>
      </w:r>
    </w:p>
    <w:p w14:paraId="43675C16" w14:textId="77777777" w:rsidR="00F96C8F" w:rsidRPr="00757295" w:rsidRDefault="00F96C8F" w:rsidP="006B20C1">
      <w:pPr>
        <w:spacing w:after="0"/>
        <w:ind w:left="720"/>
        <w:jc w:val="both"/>
        <w:rPr>
          <w:rFonts w:cstheme="minorHAnsi"/>
        </w:rPr>
      </w:pPr>
      <w:r w:rsidRPr="00757295">
        <w:rPr>
          <w:rFonts w:cstheme="minorHAnsi"/>
        </w:rPr>
        <w:t>The level of quality for alternative 2 is the same as the Proposed Project.</w:t>
      </w:r>
    </w:p>
    <w:p w14:paraId="6F448923" w14:textId="77777777" w:rsidR="00F96C8F" w:rsidRPr="00757295" w:rsidRDefault="00F96C8F" w:rsidP="006B20C1">
      <w:pPr>
        <w:spacing w:after="0"/>
        <w:ind w:left="720"/>
        <w:jc w:val="both"/>
        <w:rPr>
          <w:rFonts w:cstheme="minorHAnsi"/>
          <w:b/>
        </w:rPr>
      </w:pPr>
    </w:p>
    <w:p w14:paraId="334DF90E" w14:textId="77777777" w:rsidR="00F96C8F" w:rsidRPr="00757295" w:rsidRDefault="00F96C8F" w:rsidP="006B20C1">
      <w:pPr>
        <w:spacing w:after="0"/>
        <w:ind w:left="720"/>
        <w:jc w:val="both"/>
        <w:rPr>
          <w:rFonts w:cstheme="minorHAnsi"/>
          <w:b/>
        </w:rPr>
      </w:pPr>
      <w:r w:rsidRPr="00757295">
        <w:rPr>
          <w:rFonts w:cstheme="minorHAnsi"/>
          <w:b/>
        </w:rPr>
        <w:lastRenderedPageBreak/>
        <w:t>Alternative Efficiency 2:</w:t>
      </w:r>
    </w:p>
    <w:p w14:paraId="515852F2" w14:textId="77777777" w:rsidR="00F96C8F" w:rsidRPr="00757295" w:rsidRDefault="00F96C8F" w:rsidP="006B20C1">
      <w:pPr>
        <w:spacing w:after="0"/>
        <w:ind w:left="720"/>
        <w:jc w:val="both"/>
        <w:rPr>
          <w:rFonts w:cstheme="minorHAnsi"/>
        </w:rPr>
      </w:pPr>
      <w:r w:rsidRPr="00757295">
        <w:rPr>
          <w:rFonts w:cstheme="minorHAnsi"/>
        </w:rPr>
        <w:t>The level of efficiency for alternative 2 is the same as the Proposed Project.</w:t>
      </w:r>
    </w:p>
    <w:p w14:paraId="4472E4FB" w14:textId="77777777" w:rsidR="00F96C8F" w:rsidRPr="00757295" w:rsidRDefault="00F96C8F" w:rsidP="006B20C1">
      <w:pPr>
        <w:spacing w:after="0"/>
        <w:ind w:left="720"/>
        <w:jc w:val="both"/>
        <w:rPr>
          <w:rFonts w:cstheme="minorHAnsi"/>
          <w:b/>
        </w:rPr>
      </w:pPr>
    </w:p>
    <w:p w14:paraId="06C74D93" w14:textId="77777777" w:rsidR="00F96C8F" w:rsidRPr="00757295" w:rsidRDefault="00F96C8F" w:rsidP="006B20C1">
      <w:pPr>
        <w:keepNext/>
        <w:spacing w:after="0"/>
        <w:ind w:left="720"/>
        <w:jc w:val="both"/>
        <w:rPr>
          <w:rFonts w:cstheme="minorHAnsi"/>
          <w:b/>
        </w:rPr>
      </w:pPr>
      <w:r w:rsidRPr="00757295">
        <w:rPr>
          <w:rFonts w:cstheme="minorHAnsi"/>
          <w:b/>
        </w:rPr>
        <w:t>Alternative Capital Expense 2:</w:t>
      </w:r>
    </w:p>
    <w:p w14:paraId="26F7B275" w14:textId="102635D8" w:rsidR="00F96C8F" w:rsidRPr="00757295" w:rsidRDefault="00F96C8F" w:rsidP="006B20C1">
      <w:pPr>
        <w:keepNext/>
        <w:spacing w:after="0"/>
        <w:ind w:left="720"/>
        <w:jc w:val="both"/>
        <w:rPr>
          <w:rFonts w:cstheme="minorHAnsi"/>
        </w:rPr>
      </w:pPr>
      <w:r w:rsidRPr="00757295">
        <w:rPr>
          <w:rFonts w:cstheme="minorHAnsi"/>
        </w:rPr>
        <w:t>Alternative Capital Expense 2 would be greater</w:t>
      </w:r>
      <w:r w:rsidR="00BA5641">
        <w:rPr>
          <w:rFonts w:cstheme="minorHAnsi"/>
        </w:rPr>
        <w:t xml:space="preserve"> </w:t>
      </w:r>
      <w:bookmarkStart w:id="56" w:name="_BPDCD_71"/>
      <w:r w:rsidR="00BA5641" w:rsidRPr="00307942">
        <w:rPr>
          <w:rFonts w:cstheme="minorHAnsi"/>
        </w:rPr>
        <w:t>because</w:t>
      </w:r>
      <w:r w:rsidR="000C0533">
        <w:rPr>
          <w:rFonts w:cstheme="minorHAnsi"/>
        </w:rPr>
        <w:t xml:space="preserve"> </w:t>
      </w:r>
      <w:bookmarkEnd w:id="56"/>
      <w:r w:rsidRPr="00757295">
        <w:rPr>
          <w:rFonts w:cstheme="minorHAnsi"/>
        </w:rPr>
        <w:t xml:space="preserve">this option would require the purchase or lease of an additional MRI scanner in addition to </w:t>
      </w:r>
      <w:r w:rsidR="00172D97">
        <w:rPr>
          <w:rFonts w:cstheme="minorHAnsi"/>
        </w:rPr>
        <w:t xml:space="preserve">construction to house the fixed scanner.  Because </w:t>
      </w:r>
      <w:r w:rsidRPr="00757295">
        <w:rPr>
          <w:rFonts w:cstheme="minorHAnsi"/>
        </w:rPr>
        <w:t>Atrius Health has two days of service available on a</w:t>
      </w:r>
      <w:r w:rsidR="00172D97">
        <w:rPr>
          <w:rFonts w:cstheme="minorHAnsi"/>
        </w:rPr>
        <w:t>n MRI</w:t>
      </w:r>
      <w:r w:rsidRPr="00757295">
        <w:rPr>
          <w:rFonts w:cstheme="minorHAnsi"/>
        </w:rPr>
        <w:t xml:space="preserve"> scanner that is currently leased </w:t>
      </w:r>
      <w:proofErr w:type="gramStart"/>
      <w:r w:rsidRPr="00757295">
        <w:rPr>
          <w:rFonts w:cstheme="minorHAnsi"/>
        </w:rPr>
        <w:t>on a monthly basis</w:t>
      </w:r>
      <w:proofErr w:type="gramEnd"/>
      <w:r w:rsidRPr="00757295">
        <w:rPr>
          <w:rFonts w:cstheme="minorHAnsi"/>
        </w:rPr>
        <w:t>, there is no additional capital expense relative to th</w:t>
      </w:r>
      <w:r w:rsidR="00172D97">
        <w:rPr>
          <w:rFonts w:cstheme="minorHAnsi"/>
        </w:rPr>
        <w:t>at</w:t>
      </w:r>
      <w:r w:rsidRPr="00757295">
        <w:rPr>
          <w:rFonts w:cstheme="minorHAnsi"/>
        </w:rPr>
        <w:t xml:space="preserve"> equipment. The Proposed Project is the better option. </w:t>
      </w:r>
    </w:p>
    <w:p w14:paraId="0785F2DF" w14:textId="77777777" w:rsidR="00F96C8F" w:rsidRPr="00757295" w:rsidRDefault="00F96C8F" w:rsidP="006B20C1">
      <w:pPr>
        <w:spacing w:after="0"/>
        <w:ind w:left="720"/>
        <w:jc w:val="both"/>
        <w:rPr>
          <w:rFonts w:cstheme="minorHAnsi"/>
          <w:b/>
        </w:rPr>
      </w:pPr>
    </w:p>
    <w:p w14:paraId="38C3099D" w14:textId="77777777" w:rsidR="00F96C8F" w:rsidRPr="00757295" w:rsidRDefault="00F96C8F" w:rsidP="006B20C1">
      <w:pPr>
        <w:keepNext/>
        <w:spacing w:after="0"/>
        <w:ind w:left="720"/>
        <w:jc w:val="both"/>
        <w:rPr>
          <w:rFonts w:cstheme="minorHAnsi"/>
          <w:b/>
        </w:rPr>
      </w:pPr>
      <w:r w:rsidRPr="00757295">
        <w:rPr>
          <w:rFonts w:cstheme="minorHAnsi"/>
          <w:b/>
        </w:rPr>
        <w:t>Alternative Operating Costs 2:</w:t>
      </w:r>
    </w:p>
    <w:p w14:paraId="2D549325" w14:textId="50A8BC02" w:rsidR="00F96C8F" w:rsidRDefault="00F96C8F" w:rsidP="006B20C1">
      <w:pPr>
        <w:keepNext/>
        <w:spacing w:after="0"/>
        <w:ind w:left="720"/>
        <w:jc w:val="both"/>
        <w:rPr>
          <w:rFonts w:cstheme="minorHAnsi"/>
        </w:rPr>
      </w:pPr>
      <w:r w:rsidRPr="00757295">
        <w:rPr>
          <w:rFonts w:cstheme="minorHAnsi"/>
        </w:rPr>
        <w:t>Operating cost</w:t>
      </w:r>
      <w:r w:rsidR="00172D97">
        <w:rPr>
          <w:rFonts w:cstheme="minorHAnsi"/>
        </w:rPr>
        <w:t>s</w:t>
      </w:r>
      <w:r w:rsidRPr="00757295">
        <w:rPr>
          <w:rFonts w:cstheme="minorHAnsi"/>
        </w:rPr>
        <w:t xml:space="preserve"> for Alternative 2 are</w:t>
      </w:r>
      <w:r w:rsidR="00447F22">
        <w:rPr>
          <w:rFonts w:cstheme="minorHAnsi"/>
        </w:rPr>
        <w:t xml:space="preserve"> lower than for </w:t>
      </w:r>
      <w:r w:rsidRPr="00757295">
        <w:rPr>
          <w:rFonts w:cstheme="minorHAnsi"/>
        </w:rPr>
        <w:t xml:space="preserve">Alternative 1 and the same as </w:t>
      </w:r>
      <w:r w:rsidR="00447F22">
        <w:rPr>
          <w:rFonts w:cstheme="minorHAnsi"/>
        </w:rPr>
        <w:t xml:space="preserve">for </w:t>
      </w:r>
      <w:r w:rsidRPr="00757295">
        <w:rPr>
          <w:rFonts w:cstheme="minorHAnsi"/>
        </w:rPr>
        <w:t>the Proposed Project.</w:t>
      </w:r>
    </w:p>
    <w:p w14:paraId="5CC516E4" w14:textId="77777777" w:rsidR="00543AB9" w:rsidRPr="00757295" w:rsidRDefault="00543AB9" w:rsidP="006B20C1">
      <w:pPr>
        <w:spacing w:after="0"/>
        <w:jc w:val="both"/>
        <w:rPr>
          <w:rFonts w:cstheme="minorHAnsi"/>
        </w:rPr>
      </w:pPr>
    </w:p>
    <w:p w14:paraId="5D1DC115" w14:textId="06085B06" w:rsidR="00F96C8F" w:rsidRDefault="00F96C8F" w:rsidP="006B20C1">
      <w:pPr>
        <w:spacing w:after="0" w:line="240" w:lineRule="auto"/>
        <w:ind w:left="720" w:hanging="720"/>
        <w:jc w:val="both"/>
        <w:rPr>
          <w:b/>
        </w:rPr>
      </w:pPr>
      <w:r>
        <w:rPr>
          <w:b/>
        </w:rPr>
        <w:t>F5.</w:t>
      </w:r>
      <w:proofErr w:type="gramStart"/>
      <w:r>
        <w:rPr>
          <w:b/>
        </w:rPr>
        <w:t>a.ii</w:t>
      </w:r>
      <w:proofErr w:type="gramEnd"/>
      <w:r w:rsidRPr="00A051E4">
        <w:rPr>
          <w:b/>
        </w:rPr>
        <w:t xml:space="preserve"> </w:t>
      </w:r>
      <w:r>
        <w:rPr>
          <w:b/>
        </w:rPr>
        <w:tab/>
      </w:r>
      <w:r w:rsidRPr="00A051E4">
        <w:rPr>
          <w:b/>
        </w:rPr>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A051E4">
        <w:rPr>
          <w:b/>
        </w:rPr>
        <w:t>take into account</w:t>
      </w:r>
      <w:proofErr w:type="gramEnd"/>
      <w:r w:rsidRPr="00A051E4">
        <w:rPr>
          <w:b/>
        </w:rPr>
        <w:t>, at a minimum, the quality, efficiency, and capital and operating costs of the Proposed Project relative to potential alternatives or substitutes, including alternative evidence-based strategies and public health interventions.</w:t>
      </w:r>
    </w:p>
    <w:p w14:paraId="099896FA" w14:textId="77777777" w:rsidR="00BA62C6" w:rsidRDefault="00BA62C6" w:rsidP="006B20C1">
      <w:pPr>
        <w:spacing w:after="0" w:line="240" w:lineRule="auto"/>
        <w:ind w:left="720" w:hanging="720"/>
        <w:jc w:val="both"/>
        <w:rPr>
          <w:b/>
        </w:rPr>
      </w:pPr>
    </w:p>
    <w:p w14:paraId="25B83580" w14:textId="6E5D0B74" w:rsidR="00104F36" w:rsidRDefault="00F96C8F" w:rsidP="006B20C1">
      <w:pPr>
        <w:ind w:left="720"/>
        <w:jc w:val="both"/>
      </w:pPr>
      <w:r>
        <w:t xml:space="preserve">The Proposed Project was chosen as the best alternative to meet the needs of the Plymouth Practice Patient Panel. Quality and efficiency </w:t>
      </w:r>
      <w:r w:rsidR="006C3B04">
        <w:t xml:space="preserve">of care will be </w:t>
      </w:r>
      <w:r>
        <w:t>improved,</w:t>
      </w:r>
      <w:r w:rsidR="006C3B04">
        <w:t xml:space="preserve"> and</w:t>
      </w:r>
      <w:r>
        <w:t xml:space="preserve"> capital expense </w:t>
      </w:r>
      <w:r w:rsidR="006C3B04">
        <w:t>and operating costs will be</w:t>
      </w:r>
      <w:r>
        <w:t xml:space="preserve"> kept to a minimum under the implementation of the Proposed Project</w:t>
      </w:r>
      <w:r w:rsidR="006C3B04">
        <w:t>; it is also the least costly alternative</w:t>
      </w:r>
      <w:r>
        <w:t xml:space="preserve">.  The Proposed Project will improve local access to CT and MRI imaging services, provide better care coordination for patients and providers, and reduce costs associated with </w:t>
      </w:r>
      <w:r w:rsidR="00172D97">
        <w:t>use of</w:t>
      </w:r>
      <w:r>
        <w:t xml:space="preserve"> hospital</w:t>
      </w:r>
      <w:r w:rsidR="00172D97">
        <w:t>-</w:t>
      </w:r>
      <w:r>
        <w:t>based service</w:t>
      </w:r>
      <w:r w:rsidR="0068516E">
        <w:t>.</w:t>
      </w:r>
    </w:p>
    <w:p w14:paraId="028D53DC" w14:textId="02D6D600" w:rsidR="009D0BD0" w:rsidRPr="009D0BD0" w:rsidRDefault="009D0BD0" w:rsidP="009D0BD0">
      <w:pPr>
        <w:rPr>
          <w:sz w:val="20"/>
          <w:szCs w:val="20"/>
        </w:rPr>
      </w:pPr>
    </w:p>
    <w:p w14:paraId="06DC5E86" w14:textId="4F22FEB6" w:rsidR="009D0BD0" w:rsidRPr="009D0BD0" w:rsidRDefault="009D0BD0" w:rsidP="009D0BD0">
      <w:pPr>
        <w:rPr>
          <w:sz w:val="20"/>
          <w:szCs w:val="20"/>
        </w:rPr>
      </w:pPr>
    </w:p>
    <w:p w14:paraId="0C925BA3" w14:textId="65D24378" w:rsidR="009D0BD0" w:rsidRPr="009D0BD0" w:rsidRDefault="009D0BD0" w:rsidP="009D0BD0">
      <w:pPr>
        <w:rPr>
          <w:sz w:val="20"/>
          <w:szCs w:val="20"/>
        </w:rPr>
      </w:pPr>
    </w:p>
    <w:p w14:paraId="4E7348D4" w14:textId="37BDDEFB" w:rsidR="009D0BD0" w:rsidRPr="009D0BD0" w:rsidRDefault="009D0BD0" w:rsidP="009D0BD0">
      <w:pPr>
        <w:rPr>
          <w:sz w:val="20"/>
          <w:szCs w:val="20"/>
        </w:rPr>
      </w:pPr>
    </w:p>
    <w:p w14:paraId="0A202797" w14:textId="0E9B8E9F" w:rsidR="009D0BD0" w:rsidRPr="009D0BD0" w:rsidRDefault="009D0BD0" w:rsidP="009D0BD0">
      <w:pPr>
        <w:rPr>
          <w:sz w:val="20"/>
          <w:szCs w:val="20"/>
        </w:rPr>
      </w:pPr>
    </w:p>
    <w:p w14:paraId="00BB172C" w14:textId="2474A94F" w:rsidR="009D0BD0" w:rsidRPr="009D0BD0" w:rsidRDefault="009D0BD0" w:rsidP="009D0BD0">
      <w:pPr>
        <w:rPr>
          <w:sz w:val="20"/>
          <w:szCs w:val="20"/>
        </w:rPr>
      </w:pPr>
    </w:p>
    <w:p w14:paraId="2A9009A1" w14:textId="72CE20DE" w:rsidR="009D0BD0" w:rsidRPr="009D0BD0" w:rsidRDefault="009D0BD0" w:rsidP="009D0BD0">
      <w:pPr>
        <w:rPr>
          <w:sz w:val="20"/>
          <w:szCs w:val="20"/>
        </w:rPr>
      </w:pPr>
    </w:p>
    <w:p w14:paraId="68CFCFC2" w14:textId="07622550" w:rsidR="009D0BD0" w:rsidRPr="009D0BD0" w:rsidRDefault="009D0BD0" w:rsidP="009D0BD0">
      <w:pPr>
        <w:rPr>
          <w:sz w:val="20"/>
          <w:szCs w:val="20"/>
        </w:rPr>
      </w:pPr>
    </w:p>
    <w:p w14:paraId="5B3E2DC0" w14:textId="7B6E07B9" w:rsidR="009D0BD0" w:rsidRPr="009D0BD0" w:rsidRDefault="009D0BD0" w:rsidP="009D0BD0">
      <w:pPr>
        <w:rPr>
          <w:sz w:val="20"/>
          <w:szCs w:val="20"/>
        </w:rPr>
      </w:pPr>
    </w:p>
    <w:p w14:paraId="472B3067" w14:textId="5EECC458" w:rsidR="009D0BD0" w:rsidRPr="009D0BD0" w:rsidRDefault="009D0BD0" w:rsidP="009D0BD0">
      <w:pPr>
        <w:rPr>
          <w:sz w:val="20"/>
          <w:szCs w:val="20"/>
        </w:rPr>
      </w:pPr>
    </w:p>
    <w:p w14:paraId="3C355782" w14:textId="656AF383" w:rsidR="009D0BD0" w:rsidRPr="009D0BD0" w:rsidRDefault="009D0BD0" w:rsidP="009D0BD0">
      <w:pPr>
        <w:rPr>
          <w:sz w:val="20"/>
          <w:szCs w:val="20"/>
        </w:rPr>
      </w:pPr>
    </w:p>
    <w:p w14:paraId="530CC7E6" w14:textId="2C5D9E32" w:rsidR="009D0BD0" w:rsidRPr="009D0BD0" w:rsidRDefault="009D0BD0" w:rsidP="009D0BD0">
      <w:pPr>
        <w:rPr>
          <w:sz w:val="20"/>
          <w:szCs w:val="20"/>
        </w:rPr>
      </w:pPr>
    </w:p>
    <w:p w14:paraId="1E8A9D43" w14:textId="77777777" w:rsidR="009D0BD0" w:rsidRPr="009D0BD0" w:rsidRDefault="009D0BD0" w:rsidP="009D0BD0">
      <w:pPr>
        <w:jc w:val="center"/>
        <w:rPr>
          <w:sz w:val="20"/>
          <w:szCs w:val="20"/>
        </w:rPr>
      </w:pPr>
    </w:p>
    <w:sectPr w:rsidR="009D0BD0" w:rsidRPr="009D0BD0" w:rsidSect="006B6340">
      <w:footerReference w:type="default" r:id="rId12"/>
      <w:pgSz w:w="12240" w:h="15840" w:code="1"/>
      <w:pgMar w:top="806" w:right="1224" w:bottom="1080" w:left="1224" w:header="720" w:footer="3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353D" w14:textId="77777777" w:rsidR="004714C6" w:rsidRDefault="004714C6" w:rsidP="002343B8">
      <w:pPr>
        <w:spacing w:after="0" w:line="240" w:lineRule="auto"/>
      </w:pPr>
      <w:r>
        <w:separator/>
      </w:r>
    </w:p>
  </w:endnote>
  <w:endnote w:type="continuationSeparator" w:id="0">
    <w:p w14:paraId="0AF1A20D" w14:textId="77777777" w:rsidR="004714C6" w:rsidRDefault="004714C6" w:rsidP="0023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4F9C" w14:textId="77777777" w:rsidR="000375B6" w:rsidRDefault="0098717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F484" w14:textId="0247EFB5" w:rsidR="000375B6" w:rsidRPr="00BC7136" w:rsidRDefault="000375B6" w:rsidP="00AF4CC4">
    <w:pP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3CDA" w14:textId="73A41DA9" w:rsidR="009D0BD0" w:rsidRPr="009D0BD0" w:rsidRDefault="006B6340" w:rsidP="009D0BD0">
    <w:pPr>
      <w:jc w:val="center"/>
      <w:rPr>
        <w:b/>
        <w:bCs/>
        <w:sz w:val="20"/>
        <w:szCs w:val="20"/>
      </w:rPr>
    </w:pPr>
    <w:r w:rsidRPr="00BC7136">
      <w:rPr>
        <w:sz w:val="20"/>
        <w:szCs w:val="20"/>
      </w:rPr>
      <w:t xml:space="preserve">Page </w:t>
    </w:r>
    <w:r w:rsidRPr="00BC7136">
      <w:rPr>
        <w:b/>
        <w:bCs/>
        <w:sz w:val="20"/>
        <w:szCs w:val="20"/>
      </w:rPr>
      <w:fldChar w:fldCharType="begin"/>
    </w:r>
    <w:r w:rsidRPr="00BC7136">
      <w:rPr>
        <w:b/>
        <w:bCs/>
        <w:sz w:val="20"/>
        <w:szCs w:val="20"/>
      </w:rPr>
      <w:instrText xml:space="preserve"> PAGE  \* Arabic  \* MERGEFORMAT </w:instrText>
    </w:r>
    <w:r w:rsidRPr="00BC7136">
      <w:rPr>
        <w:b/>
        <w:bCs/>
        <w:sz w:val="20"/>
        <w:szCs w:val="20"/>
      </w:rPr>
      <w:fldChar w:fldCharType="separate"/>
    </w:r>
    <w:r w:rsidRPr="00BC7136">
      <w:rPr>
        <w:b/>
        <w:bCs/>
        <w:noProof/>
        <w:sz w:val="20"/>
        <w:szCs w:val="20"/>
      </w:rPr>
      <w:t>1</w:t>
    </w:r>
    <w:r w:rsidRPr="00BC7136">
      <w:rPr>
        <w:b/>
        <w:bCs/>
        <w:sz w:val="20"/>
        <w:szCs w:val="20"/>
      </w:rPr>
      <w:fldChar w:fldCharType="end"/>
    </w:r>
    <w:r w:rsidRPr="00BC7136">
      <w:rPr>
        <w:sz w:val="20"/>
        <w:szCs w:val="20"/>
      </w:rPr>
      <w:t xml:space="preserve"> of </w:t>
    </w:r>
    <w:r w:rsidR="009D0BD0">
      <w:rPr>
        <w:b/>
        <w:bCs/>
        <w:sz w:val="20"/>
        <w:szCs w:val="20"/>
      </w:rPr>
      <w:t>23</w:t>
    </w:r>
  </w:p>
  <w:p w14:paraId="4839B4E2" w14:textId="77777777" w:rsidR="006B6340" w:rsidRPr="00AF4CC4" w:rsidRDefault="006B6340" w:rsidP="00AF4CC4">
    <w:pPr>
      <w:rPr>
        <w:b/>
        <w:iCs/>
        <w:sz w:val="14"/>
        <w:szCs w:val="14"/>
      </w:rPr>
    </w:pPr>
    <w:r w:rsidRPr="00AF4CC4">
      <w:rPr>
        <w:b/>
        <w:iCs/>
        <w:sz w:val="14"/>
        <w:szCs w:val="14"/>
      </w:rPr>
      <w:t>Atrius Health, Inc. -22101711-RE</w:t>
    </w:r>
    <w:r>
      <w:rPr>
        <w:b/>
        <w:iCs/>
        <w:sz w:val="14"/>
        <w:szCs w:val="14"/>
      </w:rPr>
      <w:t xml:space="preserve"> </w:t>
    </w:r>
    <w:r w:rsidRPr="00AF4CC4">
      <w:rPr>
        <w:sz w:val="14"/>
        <w:szCs w:val="14"/>
      </w:rPr>
      <w:t>2022-12-30</w:t>
    </w:r>
  </w:p>
  <w:p w14:paraId="68DD2FDF" w14:textId="77777777" w:rsidR="006B6340" w:rsidRPr="00BC7136" w:rsidRDefault="006B6340" w:rsidP="00AF4CC4">
    <w:pP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CDEA0" w14:textId="77777777" w:rsidR="004714C6" w:rsidRDefault="004714C6" w:rsidP="002343B8">
      <w:pPr>
        <w:spacing w:after="0" w:line="240" w:lineRule="auto"/>
      </w:pPr>
      <w:r>
        <w:separator/>
      </w:r>
    </w:p>
  </w:footnote>
  <w:footnote w:type="continuationSeparator" w:id="0">
    <w:p w14:paraId="28EB890E" w14:textId="77777777" w:rsidR="004714C6" w:rsidRDefault="004714C6" w:rsidP="002343B8">
      <w:pPr>
        <w:spacing w:after="0" w:line="240" w:lineRule="auto"/>
      </w:pPr>
      <w:r>
        <w:continuationSeparator/>
      </w:r>
    </w:p>
  </w:footnote>
  <w:footnote w:id="1">
    <w:p w14:paraId="3D1E7061" w14:textId="0A969281" w:rsidR="00945768" w:rsidRDefault="00945768" w:rsidP="0067083C">
      <w:pPr>
        <w:pStyle w:val="FootnoteText"/>
      </w:pPr>
      <w:r>
        <w:rPr>
          <w:rStyle w:val="FootnoteReference"/>
        </w:rPr>
        <w:footnoteRef/>
      </w:r>
      <w:r>
        <w:t xml:space="preserve"> </w:t>
      </w:r>
      <w:hyperlink r:id="rId1" w:history="1">
        <w:r w:rsidRPr="00C87EA7">
          <w:rPr>
            <w:rStyle w:val="Hyperlink"/>
          </w:rPr>
          <w:t>https://www.mass.gov/doc/2022-cost-trends-report-chartpack/download</w:t>
        </w:r>
      </w:hyperlink>
      <w:r>
        <w:t xml:space="preserve"> (p. 63)</w:t>
      </w:r>
    </w:p>
  </w:footnote>
  <w:footnote w:id="2">
    <w:p w14:paraId="06AD2196" w14:textId="3025FDEC" w:rsidR="00945768" w:rsidRDefault="00945768" w:rsidP="0067083C">
      <w:pPr>
        <w:pStyle w:val="FootnoteText"/>
      </w:pPr>
      <w:r>
        <w:rPr>
          <w:rStyle w:val="FootnoteReference"/>
        </w:rPr>
        <w:footnoteRef/>
      </w:r>
      <w:r>
        <w:t xml:space="preserve"> </w:t>
      </w:r>
      <w:hyperlink r:id="rId2" w:history="1">
        <w:r w:rsidRPr="00E83129">
          <w:rPr>
            <w:rStyle w:val="Hyperlink"/>
          </w:rPr>
          <w:t>https://www.mass.gov/doc/2021-cost-trends-report-chartpack/download</w:t>
        </w:r>
      </w:hyperlink>
      <w:r>
        <w:t xml:space="preserve"> (see page 59)</w:t>
      </w:r>
    </w:p>
  </w:footnote>
  <w:footnote w:id="3">
    <w:p w14:paraId="3AEE1AC9" w14:textId="77777777" w:rsidR="00945768" w:rsidRDefault="00945768" w:rsidP="0067083C">
      <w:pPr>
        <w:pStyle w:val="FootnoteText"/>
      </w:pPr>
      <w:r>
        <w:rPr>
          <w:rStyle w:val="FootnoteReference"/>
        </w:rPr>
        <w:footnoteRef/>
      </w:r>
      <w:r>
        <w:t xml:space="preserve"> </w:t>
      </w:r>
      <w:hyperlink r:id="rId3" w:history="1">
        <w:r w:rsidRPr="009D50A0">
          <w:rPr>
            <w:rStyle w:val="Hyperlink"/>
          </w:rPr>
          <w:t>https://www.mass.gov/doc/2022-cost-trends-report-chartpack/download</w:t>
        </w:r>
      </w:hyperlink>
      <w:r>
        <w:t xml:space="preserve"> (see page 69).</w:t>
      </w:r>
    </w:p>
  </w:footnote>
  <w:footnote w:id="4">
    <w:p w14:paraId="5B8659B3" w14:textId="77777777" w:rsidR="00945768" w:rsidRDefault="00945768" w:rsidP="0067083C">
      <w:pPr>
        <w:pStyle w:val="FootnoteText"/>
      </w:pPr>
      <w:r>
        <w:rPr>
          <w:rStyle w:val="FootnoteReference"/>
        </w:rPr>
        <w:footnoteRef/>
      </w:r>
      <w:r>
        <w:t xml:space="preserve"> </w:t>
      </w:r>
      <w:hyperlink r:id="rId4" w:history="1">
        <w:r w:rsidRPr="00DE4F6A">
          <w:rPr>
            <w:rStyle w:val="Hyperlink"/>
          </w:rPr>
          <w:t>https://www.mass.gov/doc/presentation-board-meeting-june-8-2022/download</w:t>
        </w:r>
      </w:hyperlink>
      <w:r>
        <w:rPr>
          <w:rStyle w:val="Hyperlink"/>
        </w:rPr>
        <w:t xml:space="preserve"> </w:t>
      </w:r>
      <w:r>
        <w:t>(slide 27)</w:t>
      </w:r>
    </w:p>
  </w:footnote>
  <w:footnote w:id="5">
    <w:p w14:paraId="4C2C0935" w14:textId="77777777" w:rsidR="00945768" w:rsidRDefault="00945768" w:rsidP="0067083C">
      <w:pPr>
        <w:pStyle w:val="FootnoteText"/>
      </w:pPr>
      <w:r>
        <w:rPr>
          <w:rStyle w:val="FootnoteReference"/>
        </w:rPr>
        <w:footnoteRef/>
      </w:r>
      <w:r>
        <w:t xml:space="preserve"> </w:t>
      </w:r>
      <w:hyperlink r:id="rId5" w:history="1">
        <w:r w:rsidRPr="00DE4F6A">
          <w:rPr>
            <w:rStyle w:val="Hyperlink"/>
          </w:rPr>
          <w:t>https://www.mass.gov/doc/presentation-board-meeting-june-8-2022/download</w:t>
        </w:r>
      </w:hyperlink>
      <w:r>
        <w:t xml:space="preserve"> (slide 28)</w:t>
      </w:r>
    </w:p>
  </w:footnote>
  <w:footnote w:id="6">
    <w:p w14:paraId="506A26A5" w14:textId="6E60B79F" w:rsidR="00945768" w:rsidRDefault="00945768" w:rsidP="00362076">
      <w:pPr>
        <w:pStyle w:val="FootnoteText"/>
      </w:pPr>
      <w:r>
        <w:rPr>
          <w:rStyle w:val="FootnoteReference"/>
        </w:rPr>
        <w:footnoteRef/>
      </w:r>
      <w:r>
        <w:t xml:space="preserve"> Patient Panel data through June 2022</w:t>
      </w:r>
    </w:p>
    <w:p w14:paraId="0F71344B" w14:textId="77777777" w:rsidR="00003E41" w:rsidRDefault="00003E41" w:rsidP="00362076">
      <w:pPr>
        <w:pStyle w:val="FootnoteText"/>
      </w:pPr>
    </w:p>
  </w:footnote>
  <w:footnote w:id="7">
    <w:p w14:paraId="18F19050" w14:textId="0639FA06" w:rsidR="00945768" w:rsidRDefault="00945768">
      <w:pPr>
        <w:pStyle w:val="FootnoteText"/>
      </w:pPr>
      <w:r>
        <w:rPr>
          <w:rStyle w:val="FootnoteReference"/>
        </w:rPr>
        <w:footnoteRef/>
      </w:r>
      <w:r>
        <w:t xml:space="preserve"> </w:t>
      </w:r>
      <w:r w:rsidRPr="00D33249">
        <w:rPr>
          <w:rStyle w:val="Hyperlink"/>
        </w:rPr>
        <w:t>https://www.mass.gov/doc/population-projections-methods-umdi-massdot/download</w:t>
      </w:r>
    </w:p>
    <w:p w14:paraId="13597377" w14:textId="0D9210A4" w:rsidR="00945768" w:rsidRDefault="009D0BD0">
      <w:pPr>
        <w:pStyle w:val="FootnoteText"/>
      </w:pPr>
      <w:hyperlink r:id="rId6" w:anchor=":~:text=The%20UMass%20Donahue%20Institute%E2%80%99s%20Population%20Estimates%20Program%20released,20-year%20term%20to%20a%20new%20total%20of%206%2C838%2C254" w:history="1"/>
    </w:p>
  </w:footnote>
  <w:footnote w:id="8">
    <w:p w14:paraId="69AF68CE" w14:textId="4A9BA526" w:rsidR="00945768" w:rsidRDefault="00945768" w:rsidP="008A187C">
      <w:pPr>
        <w:pStyle w:val="CommentText"/>
      </w:pPr>
      <w:r>
        <w:rPr>
          <w:rStyle w:val="FootnoteReference"/>
        </w:rPr>
        <w:footnoteRef/>
      </w:r>
      <w:r>
        <w:t xml:space="preserve"> </w:t>
      </w:r>
      <w:hyperlink r:id="rId7" w:history="1">
        <w:r w:rsidRPr="002710A0">
          <w:rPr>
            <w:rStyle w:val="Hyperlink"/>
          </w:rPr>
          <w:t>UMDI_LongTermPopulationProjectionsReport_2015 04 _29.pdf (donahue-institute.org)</w:t>
        </w:r>
      </w:hyperlink>
      <w:r w:rsidRPr="00C02E8E">
        <w:rPr>
          <w:rStyle w:val="Hyperlink"/>
          <w:u w:val="none"/>
        </w:rPr>
        <w:t xml:space="preserve"> </w:t>
      </w:r>
      <w:r w:rsidR="00C02E8E" w:rsidRPr="00C02E8E">
        <w:rPr>
          <w:rStyle w:val="Hyperlink"/>
          <w:u w:val="none"/>
        </w:rPr>
        <w:t xml:space="preserve"> </w:t>
      </w:r>
      <w:r>
        <w:rPr>
          <w:sz w:val="22"/>
          <w:szCs w:val="22"/>
        </w:rPr>
        <w:t>P 31</w:t>
      </w:r>
    </w:p>
  </w:footnote>
  <w:footnote w:id="9">
    <w:p w14:paraId="7EEFBABB" w14:textId="0E3C0CCB" w:rsidR="00945768" w:rsidRDefault="00945768">
      <w:pPr>
        <w:pStyle w:val="FootnoteText"/>
      </w:pPr>
      <w:r>
        <w:rPr>
          <w:rStyle w:val="FootnoteReference"/>
        </w:rPr>
        <w:footnoteRef/>
      </w:r>
      <w:r>
        <w:t xml:space="preserve"> </w:t>
      </w:r>
      <w:r w:rsidRPr="00D33249">
        <w:rPr>
          <w:rStyle w:val="Hyperlink"/>
        </w:rPr>
        <w:t>https://www.mass.gov/doc/population-projections-methods-umdi-massdot/download</w:t>
      </w:r>
    </w:p>
  </w:footnote>
  <w:footnote w:id="10">
    <w:p w14:paraId="6849FF82" w14:textId="544875D0" w:rsidR="00945768" w:rsidRPr="00D33249" w:rsidRDefault="00945768">
      <w:pPr>
        <w:pStyle w:val="FootnoteText"/>
        <w:rPr>
          <w:rStyle w:val="Hyperlink"/>
        </w:rPr>
      </w:pPr>
      <w:r>
        <w:rPr>
          <w:rStyle w:val="FootnoteReference"/>
        </w:rPr>
        <w:footnoteRef/>
      </w:r>
      <w:r w:rsidRPr="00D33249">
        <w:rPr>
          <w:rStyle w:val="Hyperlink"/>
        </w:rPr>
        <w:t>https://www.mass.gov/doc/population-projections-methods-umdi-massdot/download</w:t>
      </w:r>
    </w:p>
    <w:p w14:paraId="0954991B" w14:textId="2DC74FEB" w:rsidR="00945768" w:rsidRDefault="00945768">
      <w:pPr>
        <w:pStyle w:val="FootnoteText"/>
      </w:pPr>
      <w:r>
        <w:t xml:space="preserve"> </w:t>
      </w:r>
    </w:p>
  </w:footnote>
  <w:footnote w:id="11">
    <w:p w14:paraId="0CFA62F7" w14:textId="540BC6F8" w:rsidR="00945768" w:rsidRDefault="00945768">
      <w:pPr>
        <w:pStyle w:val="FootnoteText"/>
      </w:pPr>
      <w:r>
        <w:rPr>
          <w:rStyle w:val="FootnoteReference"/>
        </w:rPr>
        <w:footnoteRef/>
      </w:r>
      <w:r>
        <w:t xml:space="preserve"> </w:t>
      </w:r>
      <w:hyperlink r:id="rId8" w:anchor=":~:text=LDCT%20scans%20can%20help%20find%20abnormal%20areas%20in,lower%20the%20risk%20of%20dying%20from%20lung%20cancer." w:history="1">
        <w:r>
          <w:rPr>
            <w:rStyle w:val="Hyperlink"/>
          </w:rPr>
          <w:t>Lung Cancer Early Detection | Lung Cancer Screening</w:t>
        </w:r>
      </w:hyperlink>
    </w:p>
  </w:footnote>
  <w:footnote w:id="12">
    <w:p w14:paraId="04439498" w14:textId="77777777" w:rsidR="00945768" w:rsidRDefault="00945768" w:rsidP="00F96C8F">
      <w:pPr>
        <w:pStyle w:val="FootnoteText"/>
      </w:pPr>
      <w:r>
        <w:rPr>
          <w:rStyle w:val="FootnoteReference"/>
        </w:rPr>
        <w:footnoteRef/>
      </w:r>
      <w:r>
        <w:t xml:space="preserve"> </w:t>
      </w:r>
      <w:r w:rsidRPr="00D33249">
        <w:rPr>
          <w:rStyle w:val="Hyperlink"/>
        </w:rPr>
        <w:t>https://www.uspreventiveservicestaskforce.org/uspstf/recommendation/lung-cancer-screening#bootstrap-panel--4</w:t>
      </w:r>
    </w:p>
  </w:footnote>
  <w:footnote w:id="13">
    <w:p w14:paraId="2FA8497C" w14:textId="77777777" w:rsidR="00945768" w:rsidRDefault="00945768" w:rsidP="00F96C8F">
      <w:pPr>
        <w:pStyle w:val="FootnoteText"/>
      </w:pPr>
      <w:r>
        <w:rPr>
          <w:rStyle w:val="FootnoteReference"/>
        </w:rPr>
        <w:footnoteRef/>
      </w:r>
      <w:r>
        <w:t xml:space="preserve"> </w:t>
      </w:r>
      <w:r w:rsidRPr="00D33249">
        <w:rPr>
          <w:rStyle w:val="Hyperlink"/>
        </w:rPr>
        <w:t>https://acsjournals.onlinelibrary.wiley.com/doi/full/10.3322/caac.21172</w:t>
      </w:r>
    </w:p>
  </w:footnote>
  <w:footnote w:id="14">
    <w:p w14:paraId="6617F1B6" w14:textId="77777777" w:rsidR="00945768" w:rsidRDefault="00945768" w:rsidP="00F96C8F">
      <w:pPr>
        <w:pStyle w:val="FootnoteText"/>
      </w:pPr>
      <w:r>
        <w:rPr>
          <w:rStyle w:val="FootnoteReference"/>
        </w:rPr>
        <w:footnoteRef/>
      </w:r>
      <w:r>
        <w:t xml:space="preserve"> </w:t>
      </w:r>
      <w:hyperlink r:id="rId9" w:history="1">
        <w:r w:rsidRPr="00C87EA7">
          <w:rPr>
            <w:rStyle w:val="Hyperlink"/>
          </w:rPr>
          <w:t>https://www.mass.gov/doc/2022-cost-trends-report-chartpack/download</w:t>
        </w:r>
      </w:hyperlink>
      <w:r>
        <w:t xml:space="preserve"> (p. 63)</w:t>
      </w:r>
    </w:p>
  </w:footnote>
  <w:footnote w:id="15">
    <w:p w14:paraId="3FA0C0E3" w14:textId="77777777" w:rsidR="00945768" w:rsidRDefault="00945768" w:rsidP="00F96C8F">
      <w:pPr>
        <w:pStyle w:val="FootnoteText"/>
      </w:pPr>
      <w:r>
        <w:rPr>
          <w:rStyle w:val="FootnoteReference"/>
        </w:rPr>
        <w:footnoteRef/>
      </w:r>
      <w:r>
        <w:t xml:space="preserve"> </w:t>
      </w:r>
      <w:hyperlink r:id="rId10" w:history="1">
        <w:r w:rsidRPr="00DE4F6A">
          <w:rPr>
            <w:rStyle w:val="Hyperlink"/>
          </w:rPr>
          <w:t>https://www.mass.gov/doc/presentation-board-meeting-june-8-2022/download</w:t>
        </w:r>
      </w:hyperlink>
    </w:p>
    <w:p w14:paraId="1514A247" w14:textId="77777777" w:rsidR="00945768" w:rsidRDefault="00945768" w:rsidP="00F96C8F">
      <w:pPr>
        <w:pStyle w:val="FootnoteText"/>
      </w:pPr>
      <w:r>
        <w:t>(</w:t>
      </w:r>
      <w:proofErr w:type="gramStart"/>
      <w:r>
        <w:t>slide</w:t>
      </w:r>
      <w:proofErr w:type="gramEnd"/>
      <w:r>
        <w:t xml:space="preserve"> 27)</w:t>
      </w:r>
    </w:p>
  </w:footnote>
  <w:footnote w:id="16">
    <w:p w14:paraId="53A24127" w14:textId="77777777" w:rsidR="00945768" w:rsidRDefault="00945768" w:rsidP="00F96C8F">
      <w:pPr>
        <w:pStyle w:val="FootnoteText"/>
      </w:pPr>
      <w:r>
        <w:rPr>
          <w:rStyle w:val="FootnoteReference"/>
        </w:rPr>
        <w:footnoteRef/>
      </w:r>
      <w:r>
        <w:t xml:space="preserve"> </w:t>
      </w:r>
      <w:hyperlink r:id="rId11" w:history="1">
        <w:r w:rsidRPr="00DE4F6A">
          <w:rPr>
            <w:rStyle w:val="Hyperlink"/>
          </w:rPr>
          <w:t>https://www.mass.gov/doc/presentation-board-meeting-june-8-2022/download</w:t>
        </w:r>
      </w:hyperlink>
      <w:r>
        <w:t xml:space="preserve"> (slide 28)</w:t>
      </w:r>
    </w:p>
  </w:footnote>
  <w:footnote w:id="17">
    <w:p w14:paraId="24E3E92A" w14:textId="143E3CCF" w:rsidR="00945768" w:rsidRDefault="00945768" w:rsidP="009D6C00">
      <w:pPr>
        <w:pStyle w:val="FootnoteText"/>
      </w:pPr>
      <w:r>
        <w:rPr>
          <w:rStyle w:val="FootnoteReference"/>
        </w:rPr>
        <w:footnoteRef/>
      </w:r>
      <w:r>
        <w:t xml:space="preserve"> </w:t>
      </w:r>
      <w:hyperlink r:id="rId12" w:anchor=":~:text=By%202040%2C%20the%20number%20of%20older%20adults%20is,heart%20disease%2C%20type%202%20diabetes%2C%20arthritis%2C%20and%20cancer." w:history="1">
        <w:r w:rsidRPr="00D33249">
          <w:rPr>
            <w:rStyle w:val="Hyperlink"/>
          </w:rPr>
          <w:t>Promoting Health for Older Adults | CDC</w:t>
        </w:r>
      </w:hyperlink>
    </w:p>
  </w:footnote>
  <w:footnote w:id="18">
    <w:p w14:paraId="7C556799" w14:textId="799C2A9D" w:rsidR="00945768" w:rsidRPr="00D33249" w:rsidRDefault="00945768" w:rsidP="009D6C00">
      <w:pPr>
        <w:spacing w:after="0"/>
        <w:rPr>
          <w:rStyle w:val="Hyperlink"/>
          <w:sz w:val="20"/>
          <w:szCs w:val="20"/>
        </w:rPr>
      </w:pPr>
      <w:r>
        <w:rPr>
          <w:rStyle w:val="FootnoteReference"/>
        </w:rPr>
        <w:footnoteRef/>
      </w:r>
      <w:r>
        <w:t xml:space="preserve"> </w:t>
      </w:r>
      <w:hyperlink r:id="rId13" w:history="1">
        <w:r w:rsidRPr="00D33249">
          <w:rPr>
            <w:rStyle w:val="Hyperlink"/>
            <w:sz w:val="20"/>
            <w:szCs w:val="20"/>
          </w:rPr>
          <w:t>Magnetic Resonance Imaging (MRI) (nih.gov)</w:t>
        </w:r>
      </w:hyperlink>
    </w:p>
  </w:footnote>
  <w:footnote w:id="19">
    <w:p w14:paraId="19E35885" w14:textId="28457134" w:rsidR="00945768" w:rsidRPr="00D33249" w:rsidRDefault="00945768" w:rsidP="009D6C00">
      <w:pPr>
        <w:spacing w:after="0"/>
        <w:rPr>
          <w:rStyle w:val="Hyperlink"/>
          <w:sz w:val="20"/>
          <w:szCs w:val="20"/>
        </w:rPr>
      </w:pPr>
      <w:r>
        <w:rPr>
          <w:rStyle w:val="FootnoteReference"/>
        </w:rPr>
        <w:footnoteRef/>
      </w:r>
      <w:r>
        <w:t xml:space="preserve"> </w:t>
      </w:r>
      <w:hyperlink r:id="rId14" w:history="1">
        <w:r w:rsidRPr="00D33249">
          <w:rPr>
            <w:rStyle w:val="Hyperlink"/>
            <w:sz w:val="20"/>
            <w:szCs w:val="20"/>
          </w:rPr>
          <w:t>Magnetic Resonance Imaging (MRI) of the Bones, Joints, and Soft Tissues | Johns Hopkins Medicine</w:t>
        </w:r>
      </w:hyperlink>
    </w:p>
  </w:footnote>
  <w:footnote w:id="20">
    <w:p w14:paraId="363D6C0A" w14:textId="312619A1" w:rsidR="00945768" w:rsidRDefault="00945768" w:rsidP="009D6C00">
      <w:pPr>
        <w:pStyle w:val="FootnoteText"/>
      </w:pPr>
      <w:r>
        <w:rPr>
          <w:rStyle w:val="FootnoteReference"/>
        </w:rPr>
        <w:footnoteRef/>
      </w:r>
      <w:r>
        <w:t xml:space="preserve"> </w:t>
      </w:r>
      <w:hyperlink r:id="rId15" w:anchor=":~:text=MRI%20of%20brain%20infarction.%20MRI%20with%20long%20SE,patient%27s%20course%2C%20for%20a%20period%20of%20several%20months." w:history="1">
        <w:r w:rsidRPr="00D33249">
          <w:rPr>
            <w:rStyle w:val="Hyperlink"/>
          </w:rPr>
          <w:t>MRI of brain infarction - PubMed (nih.gov)</w:t>
        </w:r>
      </w:hyperlink>
    </w:p>
  </w:footnote>
  <w:footnote w:id="21">
    <w:p w14:paraId="342C0B01" w14:textId="216CFD57" w:rsidR="00945768" w:rsidRDefault="00945768" w:rsidP="009D6C00">
      <w:pPr>
        <w:spacing w:after="0"/>
      </w:pPr>
      <w:r>
        <w:rPr>
          <w:rStyle w:val="FootnoteReference"/>
        </w:rPr>
        <w:footnoteRef/>
      </w:r>
      <w:r>
        <w:t xml:space="preserve"> </w:t>
      </w:r>
      <w:hyperlink r:id="rId16" w:history="1">
        <w:r w:rsidRPr="00D33249">
          <w:rPr>
            <w:rStyle w:val="Hyperlink"/>
            <w:sz w:val="20"/>
            <w:szCs w:val="20"/>
          </w:rPr>
          <w:t>Magnetic resonance imaging in neurological disorders - PubMed (nih.gov)</w:t>
        </w:r>
      </w:hyperlink>
    </w:p>
  </w:footnote>
  <w:footnote w:id="22">
    <w:p w14:paraId="0338DEE5" w14:textId="257A1B78" w:rsidR="00945768" w:rsidRDefault="00945768" w:rsidP="009D6C00">
      <w:pPr>
        <w:spacing w:after="0"/>
      </w:pPr>
      <w:r>
        <w:rPr>
          <w:rStyle w:val="FootnoteReference"/>
        </w:rPr>
        <w:footnoteRef/>
      </w:r>
      <w:r>
        <w:t xml:space="preserve"> </w:t>
      </w:r>
      <w:hyperlink r:id="rId17" w:history="1">
        <w:r w:rsidRPr="00D33249">
          <w:rPr>
            <w:rStyle w:val="Hyperlink"/>
            <w:sz w:val="20"/>
            <w:szCs w:val="20"/>
          </w:rPr>
          <w:t>The role of MRI in musculoskeletal practice: a clinical perspective - PMC (nih.gov)</w:t>
        </w:r>
      </w:hyperlink>
    </w:p>
  </w:footnote>
  <w:footnote w:id="23">
    <w:p w14:paraId="640608FC" w14:textId="4782A4D7" w:rsidR="00945768" w:rsidRDefault="00945768" w:rsidP="00314E24">
      <w:pPr>
        <w:pStyle w:val="FootnoteText"/>
      </w:pPr>
      <w:r>
        <w:rPr>
          <w:rStyle w:val="FootnoteReference"/>
        </w:rPr>
        <w:footnoteRef/>
      </w:r>
      <w:r>
        <w:t xml:space="preserve"> </w:t>
      </w:r>
      <w:hyperlink r:id="rId18" w:history="1">
        <w:r w:rsidRPr="00D33249">
          <w:rPr>
            <w:rStyle w:val="Hyperlink"/>
          </w:rPr>
          <w:t>Computed Tomography (CT) (nih.gov)</w:t>
        </w:r>
      </w:hyperlink>
    </w:p>
  </w:footnote>
  <w:footnote w:id="24">
    <w:p w14:paraId="1BFC05E1" w14:textId="3A517DB5" w:rsidR="00945768" w:rsidRPr="00D33249" w:rsidRDefault="00945768" w:rsidP="00314E24">
      <w:pPr>
        <w:pStyle w:val="FootnoteText"/>
        <w:rPr>
          <w:rStyle w:val="Hyperlink"/>
        </w:rPr>
      </w:pPr>
      <w:r>
        <w:rPr>
          <w:rStyle w:val="FootnoteReference"/>
        </w:rPr>
        <w:footnoteRef/>
      </w:r>
      <w:r>
        <w:t xml:space="preserve"> </w:t>
      </w:r>
      <w:hyperlink r:id="rId19" w:history="1">
        <w:r w:rsidRPr="00D33249">
          <w:rPr>
            <w:rStyle w:val="Hyperlink"/>
          </w:rPr>
          <w:t>https://www.ncbi.nlm.nih.gov/pmc/articles/PMC5183924/</w:t>
        </w:r>
      </w:hyperlink>
    </w:p>
  </w:footnote>
  <w:footnote w:id="25">
    <w:p w14:paraId="25588D6D" w14:textId="27FB1B32" w:rsidR="00945768" w:rsidRDefault="00945768" w:rsidP="00314E24">
      <w:pPr>
        <w:spacing w:after="0" w:line="240" w:lineRule="auto"/>
      </w:pPr>
      <w:r>
        <w:rPr>
          <w:rStyle w:val="FootnoteReference"/>
        </w:rPr>
        <w:footnoteRef/>
      </w:r>
      <w:r>
        <w:t xml:space="preserve"> </w:t>
      </w:r>
      <w:hyperlink r:id="rId20" w:anchor=":~:text=What%20is%20computed%20tomography%3F%20Computed%20tomography%20%28CT%29%20is,called%20computerized%20tomography%20or%20computerized%20axial%20tomography%20%28CAT%29." w:history="1">
        <w:r w:rsidRPr="00D33249">
          <w:rPr>
            <w:rStyle w:val="Hyperlink"/>
            <w:sz w:val="20"/>
            <w:szCs w:val="20"/>
          </w:rPr>
          <w:t>Computed Tomography (CT) Scans and Cancer Fact Sheet - NCI</w:t>
        </w:r>
      </w:hyperlink>
    </w:p>
  </w:footnote>
  <w:footnote w:id="26">
    <w:p w14:paraId="12AA5A53" w14:textId="77777777" w:rsidR="00945768" w:rsidRPr="00D33249" w:rsidRDefault="00945768" w:rsidP="00314E24">
      <w:pPr>
        <w:pStyle w:val="FootnoteText"/>
        <w:rPr>
          <w:rStyle w:val="Hyperlink"/>
        </w:rPr>
      </w:pPr>
      <w:r>
        <w:rPr>
          <w:rStyle w:val="FootnoteReference"/>
        </w:rPr>
        <w:footnoteRef/>
      </w:r>
      <w:r>
        <w:t xml:space="preserve"> </w:t>
      </w:r>
      <w:hyperlink r:id="rId21" w:history="1">
        <w:r w:rsidRPr="00D33249">
          <w:rPr>
            <w:rStyle w:val="Hyperlink"/>
          </w:rPr>
          <w:t>NCD - Lung Cancer Screening with Low Dose Computed Tomography (LDCT) (210.14) (cms.gov)</w:t>
        </w:r>
      </w:hyperlink>
    </w:p>
  </w:footnote>
  <w:footnote w:id="27">
    <w:p w14:paraId="5E8325D8" w14:textId="7C6AC7FE" w:rsidR="00945768" w:rsidRDefault="00945768" w:rsidP="00314E24">
      <w:pPr>
        <w:pStyle w:val="FootnoteText"/>
      </w:pPr>
      <w:r>
        <w:rPr>
          <w:rStyle w:val="FootnoteReference"/>
        </w:rPr>
        <w:footnoteRef/>
      </w:r>
      <w:r>
        <w:t xml:space="preserve"> </w:t>
      </w:r>
      <w:hyperlink r:id="rId22" w:history="1">
        <w:r w:rsidRPr="00D33249">
          <w:rPr>
            <w:rStyle w:val="Hyperlink"/>
          </w:rPr>
          <w:t>https://www.ncbi.nlm.nih.gov/pmc/articles/PMC8280577/</w:t>
        </w:r>
      </w:hyperlink>
    </w:p>
  </w:footnote>
  <w:footnote w:id="28">
    <w:p w14:paraId="623A6B5D" w14:textId="68ADFEFD" w:rsidR="00945768" w:rsidRDefault="00945768" w:rsidP="00314E24">
      <w:pPr>
        <w:pStyle w:val="FootnoteText"/>
      </w:pPr>
      <w:r>
        <w:rPr>
          <w:rStyle w:val="FootnoteReference"/>
        </w:rPr>
        <w:footnoteRef/>
      </w:r>
      <w:r>
        <w:t xml:space="preserve"> </w:t>
      </w:r>
      <w:r w:rsidRPr="00D33249">
        <w:rPr>
          <w:rStyle w:val="Hyperlink"/>
        </w:rPr>
        <w:t>https://ascopost.com/news/december-2021/effect-of-the-covid-19-pandemic-on-cancer-imaging/</w:t>
      </w:r>
    </w:p>
  </w:footnote>
  <w:footnote w:id="29">
    <w:p w14:paraId="41E784EF" w14:textId="5FF14CEA" w:rsidR="00945768" w:rsidRPr="000C079F" w:rsidRDefault="00945768" w:rsidP="00314E24">
      <w:pPr>
        <w:spacing w:after="0"/>
        <w:rPr>
          <w:color w:val="FF0000"/>
        </w:rPr>
      </w:pPr>
      <w:r>
        <w:rPr>
          <w:rStyle w:val="FootnoteReference"/>
        </w:rPr>
        <w:footnoteRef/>
      </w:r>
      <w:r>
        <w:t xml:space="preserve"> </w:t>
      </w:r>
      <w:hyperlink r:id="rId23" w:anchor="Sec21" w:history="1">
        <w:r w:rsidRPr="00D33249">
          <w:rPr>
            <w:rStyle w:val="Hyperlink"/>
          </w:rPr>
          <w:t>https://bmcgeriatr.biomedcentral.com/articles/10.1186/s12877-019-1197-9#Sec21</w:t>
        </w:r>
      </w:hyperlink>
      <w:r w:rsidRPr="003620D3">
        <w:rPr>
          <w:color w:val="FF0000"/>
        </w:rPr>
        <w:t xml:space="preserve"> </w:t>
      </w:r>
    </w:p>
  </w:footnote>
  <w:footnote w:id="30">
    <w:p w14:paraId="535B26BC" w14:textId="15A8C45E" w:rsidR="00945768" w:rsidRDefault="00945768" w:rsidP="00314E24">
      <w:pPr>
        <w:pStyle w:val="FootnoteText"/>
      </w:pPr>
      <w:r>
        <w:rPr>
          <w:rStyle w:val="FootnoteReference"/>
        </w:rPr>
        <w:footnoteRef/>
      </w:r>
      <w:r>
        <w:t xml:space="preserve"> </w:t>
      </w:r>
      <w:hyperlink r:id="rId24" w:anchor="Sec21" w:history="1">
        <w:r w:rsidRPr="00D33249">
          <w:rPr>
            <w:rStyle w:val="Hyperlink"/>
          </w:rPr>
          <w:t>https://bmcgeriatr.biomedcentral.com/articles/10.1186/s12877-019-1197-9#Sec21</w:t>
        </w:r>
      </w:hyperlink>
    </w:p>
  </w:footnote>
  <w:footnote w:id="31">
    <w:p w14:paraId="1334A00B" w14:textId="77777777" w:rsidR="00DA3973" w:rsidRDefault="00945768" w:rsidP="00F96C8F">
      <w:pPr>
        <w:pStyle w:val="FootnoteText"/>
      </w:pPr>
      <w:r>
        <w:rPr>
          <w:rStyle w:val="FootnoteReference"/>
        </w:rPr>
        <w:footnoteRef/>
      </w:r>
      <w:r>
        <w:t xml:space="preserve"> Massachusetts Health Policy Commission, 2021 Cost Trends Report, pp. 18-19.  </w:t>
      </w:r>
    </w:p>
    <w:p w14:paraId="69E3A541" w14:textId="0172326E" w:rsidR="00945768" w:rsidRDefault="009D0BD0" w:rsidP="00DA3973">
      <w:pPr>
        <w:pStyle w:val="FootnoteText"/>
        <w:ind w:firstLine="180"/>
      </w:pPr>
      <w:hyperlink r:id="rId25" w:history="1">
        <w:r w:rsidR="0068516E" w:rsidRPr="00BD264F">
          <w:rPr>
            <w:rStyle w:val="Hyperlink"/>
          </w:rPr>
          <w:t>https://www.mass.gov/doc/2021-health-care-cost-trends-report/download</w:t>
        </w:r>
      </w:hyperlink>
      <w:r w:rsidR="00945768">
        <w:t xml:space="preserve"> </w:t>
      </w:r>
    </w:p>
  </w:footnote>
  <w:footnote w:id="32">
    <w:p w14:paraId="5D47A60C" w14:textId="798C8721" w:rsidR="00945768" w:rsidRDefault="00945768" w:rsidP="00F96C8F">
      <w:r>
        <w:rPr>
          <w:rStyle w:val="FootnoteReference"/>
        </w:rPr>
        <w:footnoteRef/>
      </w:r>
      <w:r>
        <w:t xml:space="preserve"> </w:t>
      </w:r>
      <w:hyperlink r:id="rId26" w:history="1">
        <w:r>
          <w:rPr>
            <w:rStyle w:val="Hyperlink"/>
          </w:rPr>
          <w:t>https://www.mass.gov/doc/presentation-board-meeting-june-8-2022/download</w:t>
        </w:r>
      </w:hyperlink>
      <w:r>
        <w:t xml:space="preserve"> </w:t>
      </w:r>
      <w:r w:rsidR="0068516E">
        <w:rPr>
          <w:noProof/>
        </w:rPr>
        <w:t>SLIDE 27</w:t>
      </w:r>
    </w:p>
    <w:p w14:paraId="20BA08BB" w14:textId="338E6A30" w:rsidR="00945768" w:rsidRDefault="00945768" w:rsidP="00F96C8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C09B" w14:textId="77777777" w:rsidR="000375B6" w:rsidRDefault="0098717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6692"/>
    <w:multiLevelType w:val="hybridMultilevel"/>
    <w:tmpl w:val="49BAC0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4014D"/>
    <w:multiLevelType w:val="hybridMultilevel"/>
    <w:tmpl w:val="5D94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102D9"/>
    <w:multiLevelType w:val="hybridMultilevel"/>
    <w:tmpl w:val="9FD2A5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BB1F9A"/>
    <w:multiLevelType w:val="hybridMultilevel"/>
    <w:tmpl w:val="2140DC06"/>
    <w:lvl w:ilvl="0" w:tplc="802A4B5C">
      <w:start w:val="2"/>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345CF"/>
    <w:multiLevelType w:val="hybridMultilevel"/>
    <w:tmpl w:val="49FCB1AA"/>
    <w:lvl w:ilvl="0" w:tplc="77C42E2C">
      <w:start w:val="13"/>
      <w:numFmt w:val="decimal"/>
      <w:lvlText w:val="%1."/>
      <w:lvlJc w:val="left"/>
      <w:pPr>
        <w:ind w:left="720" w:hanging="360"/>
      </w:pPr>
      <w:rPr>
        <w:rFonts w:asciiTheme="minorHAnsi" w:hAnsiTheme="minorHAnsi" w:cs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B2348"/>
    <w:multiLevelType w:val="hybridMultilevel"/>
    <w:tmpl w:val="2140DC06"/>
    <w:lvl w:ilvl="0" w:tplc="FFFFFFFF">
      <w:start w:val="2"/>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384646"/>
    <w:multiLevelType w:val="hybridMultilevel"/>
    <w:tmpl w:val="57A6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B5B6D"/>
    <w:multiLevelType w:val="hybridMultilevel"/>
    <w:tmpl w:val="3EB28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D22EAF"/>
    <w:multiLevelType w:val="hybridMultilevel"/>
    <w:tmpl w:val="F39414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0937"/>
    <w:multiLevelType w:val="hybridMultilevel"/>
    <w:tmpl w:val="941EACF0"/>
    <w:lvl w:ilvl="0" w:tplc="FFFFFFFF">
      <w:start w:val="1"/>
      <w:numFmt w:val="decimal"/>
      <w:lvlText w:val="%1."/>
      <w:lvlJc w:val="left"/>
      <w:pPr>
        <w:ind w:left="126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5E53F33"/>
    <w:multiLevelType w:val="hybridMultilevel"/>
    <w:tmpl w:val="9FD2A5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FC10D0D"/>
    <w:multiLevelType w:val="hybridMultilevel"/>
    <w:tmpl w:val="A858C77A"/>
    <w:lvl w:ilvl="0" w:tplc="BE5C5CC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3606B24"/>
    <w:multiLevelType w:val="hybridMultilevel"/>
    <w:tmpl w:val="2B688B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BB5800"/>
    <w:multiLevelType w:val="hybridMultilevel"/>
    <w:tmpl w:val="941EACF0"/>
    <w:lvl w:ilvl="0" w:tplc="FFFFFFFF">
      <w:start w:val="1"/>
      <w:numFmt w:val="decimal"/>
      <w:lvlText w:val="%1."/>
      <w:lvlJc w:val="left"/>
      <w:pPr>
        <w:ind w:left="126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4D7215"/>
    <w:multiLevelType w:val="hybridMultilevel"/>
    <w:tmpl w:val="F8C2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E08E4"/>
    <w:multiLevelType w:val="hybridMultilevel"/>
    <w:tmpl w:val="74B602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B620A1B"/>
    <w:multiLevelType w:val="hybridMultilevel"/>
    <w:tmpl w:val="790429F8"/>
    <w:lvl w:ilvl="0" w:tplc="0409000F">
      <w:start w:val="1"/>
      <w:numFmt w:val="decimal"/>
      <w:lvlText w:val="%1."/>
      <w:lvlJc w:val="left"/>
      <w:pPr>
        <w:ind w:left="720" w:hanging="360"/>
      </w:pPr>
      <w:rPr>
        <w:rFonts w:hint="default"/>
        <w:spacing w:val="-1"/>
        <w:w w:val="100"/>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17" w15:restartNumberingAfterBreak="0">
    <w:nsid w:val="5DEB53DA"/>
    <w:multiLevelType w:val="hybridMultilevel"/>
    <w:tmpl w:val="941EACF0"/>
    <w:lvl w:ilvl="0" w:tplc="1BB2C4B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6F729A"/>
    <w:multiLevelType w:val="hybridMultilevel"/>
    <w:tmpl w:val="941EACF0"/>
    <w:lvl w:ilvl="0" w:tplc="FFFFFFFF">
      <w:start w:val="1"/>
      <w:numFmt w:val="decimal"/>
      <w:lvlText w:val="%1."/>
      <w:lvlJc w:val="left"/>
      <w:pPr>
        <w:ind w:left="126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B060BAE"/>
    <w:multiLevelType w:val="hybridMultilevel"/>
    <w:tmpl w:val="9FD2A5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3C75A3"/>
    <w:multiLevelType w:val="hybridMultilevel"/>
    <w:tmpl w:val="179A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133FE"/>
    <w:multiLevelType w:val="hybridMultilevel"/>
    <w:tmpl w:val="B384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A63726"/>
    <w:multiLevelType w:val="hybridMultilevel"/>
    <w:tmpl w:val="56A6B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C03AAB"/>
    <w:multiLevelType w:val="hybridMultilevel"/>
    <w:tmpl w:val="ED5C62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840476">
    <w:abstractNumId w:val="0"/>
  </w:num>
  <w:num w:numId="2" w16cid:durableId="1672369218">
    <w:abstractNumId w:val="20"/>
  </w:num>
  <w:num w:numId="3" w16cid:durableId="10378537">
    <w:abstractNumId w:val="23"/>
  </w:num>
  <w:num w:numId="4" w16cid:durableId="1045257502">
    <w:abstractNumId w:val="15"/>
  </w:num>
  <w:num w:numId="5" w16cid:durableId="1366951469">
    <w:abstractNumId w:val="6"/>
  </w:num>
  <w:num w:numId="6" w16cid:durableId="635530728">
    <w:abstractNumId w:val="7"/>
  </w:num>
  <w:num w:numId="7" w16cid:durableId="2059624290">
    <w:abstractNumId w:val="21"/>
  </w:num>
  <w:num w:numId="8" w16cid:durableId="595749831">
    <w:abstractNumId w:val="14"/>
  </w:num>
  <w:num w:numId="9" w16cid:durableId="465508790">
    <w:abstractNumId w:val="16"/>
  </w:num>
  <w:num w:numId="10" w16cid:durableId="1924801293">
    <w:abstractNumId w:val="11"/>
  </w:num>
  <w:num w:numId="11" w16cid:durableId="628702480">
    <w:abstractNumId w:val="12"/>
  </w:num>
  <w:num w:numId="12" w16cid:durableId="395589562">
    <w:abstractNumId w:val="17"/>
  </w:num>
  <w:num w:numId="13" w16cid:durableId="430248367">
    <w:abstractNumId w:val="8"/>
  </w:num>
  <w:num w:numId="14" w16cid:durableId="897781420">
    <w:abstractNumId w:val="1"/>
  </w:num>
  <w:num w:numId="15" w16cid:durableId="230237101">
    <w:abstractNumId w:val="3"/>
  </w:num>
  <w:num w:numId="16" w16cid:durableId="1774208426">
    <w:abstractNumId w:val="5"/>
  </w:num>
  <w:num w:numId="17" w16cid:durableId="1146320396">
    <w:abstractNumId w:val="4"/>
  </w:num>
  <w:num w:numId="18" w16cid:durableId="859247306">
    <w:abstractNumId w:val="9"/>
  </w:num>
  <w:num w:numId="19" w16cid:durableId="2113282048">
    <w:abstractNumId w:val="18"/>
  </w:num>
  <w:num w:numId="20" w16cid:durableId="854075205">
    <w:abstractNumId w:val="13"/>
  </w:num>
  <w:num w:numId="21" w16cid:durableId="557399682">
    <w:abstractNumId w:val="22"/>
  </w:num>
  <w:num w:numId="22" w16cid:durableId="1081372532">
    <w:abstractNumId w:val="19"/>
  </w:num>
  <w:num w:numId="23" w16cid:durableId="543830175">
    <w:abstractNumId w:val="2"/>
  </w:num>
  <w:num w:numId="24" w16cid:durableId="62338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hideSpellingErrors/>
  <w:hideGrammaticalError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RCDMS||1~26015026||2~2||3~REDLINE - Plymouth CT-MRI DoN 11.2.22 - 25913766.2 to 26016675.1||5~TAC||6~TAC||7~WORDX||8~Documents-General||10~11/8/2022 7:22:37 PM||11~11/8/2022 4:45:51 PM||13~114242||14~False||17~public||18~TAC||19~1492||21~False||22~False||25~40370||26~0001||53~BHC||54~HEALC||60~Atrius Health, Inc.||61~Determination of Need Filings||72~BU-HC - Health Care||73~BU-HC-Health Care||74~Cavicchi, Tracy||75~Cavicchi, Tracy||76~WORD 2007||77~Documents-General||82~docx||85~11/8/2022 7:22:37 PM||99~1/1/0001 5:00:00 AM||102~False||106~C:\Users\1492\AppData\Roaming\iManage\Work\Recent\Atrius Health_ Inc. - Determination of Need Filings\REDLINE - Plymouth CT-MRI DoN 11.2.22 - 25913766.2 to 26016675.1(26015026.2).docx||107~1/1/0001 5:00:00 AM||109~1/1/0001 5:00:00 AM||112~1/1/0001 5:00:00 AM||113~11/8/2022 7:28:28 PM||114~11/8/2022 7:28:28 PM||117~True||118~False||124~False||"/>
    <w:docVar w:name="ForteTempFile" w:val="C:\Users\charlieh\AppData\Local\Temp\92fe60ee-1ed9-4db0-a0ec-88fdbfbf8386.docx"/>
    <w:docVar w:name="zzmp10LastTrailerInserted" w:val="^`~#mp!@I.N#⌊┘┫24?||Śm3h7`4n°d×⌅pÖŧ⌌Ť⌓ž⌒⌎Í⌕!9⌒¬⌎-⌕©⌒5⌎I⌕@‰⌒p⌎)⌕K⌞ã€°#†⌌f§èA⌏tY‷@⌛°xÙ‥,0h9äf\⌅f⌞⌃ùÊLu⌍OŠ¼⌊U«⌋U©§¨[[⌊fw⌈7®úe⌎⌏ºÛˍÁ⌒ïfG⌏S$⌒=bƖK⌖⌛⌉Y*-{=\Z=7^a011"/>
    <w:docVar w:name="zzmp10LastTrailerInserted_1078" w:val="^`~#mp!@I.N#⌊┘┫24?||Śm3h7`4n°d×⌅pÖŧ⌌Ť⌓ž⌒⌎Í⌕!9⌒¬⌎-⌕©⌒5⌎I⌕@‰⌒p⌎)⌕K⌞ã€°#†⌌f§èA⌏tY‷@⌛°xÙ‥,0h9äf\⌅f⌞⌃ùÊLu⌍OŠ¼⌊U«⌋U©§¨[[⌊fw⌈7®úe⌎⌏ºÛˍÁ⌒ïfG⌏S$⌒=bƖK⌖⌛⌉Y*-{=\Z=7^a011"/>
    <w:docVar w:name="zzmp10mSEGsValidated" w:val="1"/>
    <w:docVar w:name="zzmpCompatibilityMode" w:val="15"/>
  </w:docVars>
  <w:rsids>
    <w:rsidRoot w:val="00CC2CD3"/>
    <w:rsid w:val="000035C8"/>
    <w:rsid w:val="00003E41"/>
    <w:rsid w:val="000108AB"/>
    <w:rsid w:val="000128E7"/>
    <w:rsid w:val="00016577"/>
    <w:rsid w:val="00021F0D"/>
    <w:rsid w:val="00026336"/>
    <w:rsid w:val="00035D60"/>
    <w:rsid w:val="000375B6"/>
    <w:rsid w:val="00052B97"/>
    <w:rsid w:val="00054750"/>
    <w:rsid w:val="00060FFD"/>
    <w:rsid w:val="00061E97"/>
    <w:rsid w:val="000713AB"/>
    <w:rsid w:val="00075A3F"/>
    <w:rsid w:val="00076022"/>
    <w:rsid w:val="000B007D"/>
    <w:rsid w:val="000B2E50"/>
    <w:rsid w:val="000B2F24"/>
    <w:rsid w:val="000B6B93"/>
    <w:rsid w:val="000C0533"/>
    <w:rsid w:val="000C079F"/>
    <w:rsid w:val="000C1AE4"/>
    <w:rsid w:val="000C782C"/>
    <w:rsid w:val="000D32F1"/>
    <w:rsid w:val="000D4B12"/>
    <w:rsid w:val="000D733F"/>
    <w:rsid w:val="000E33CE"/>
    <w:rsid w:val="000E7508"/>
    <w:rsid w:val="000F41E4"/>
    <w:rsid w:val="001012DB"/>
    <w:rsid w:val="001025B8"/>
    <w:rsid w:val="00105576"/>
    <w:rsid w:val="00111C0D"/>
    <w:rsid w:val="00116397"/>
    <w:rsid w:val="001167A0"/>
    <w:rsid w:val="00122AC2"/>
    <w:rsid w:val="001255F0"/>
    <w:rsid w:val="00125E7A"/>
    <w:rsid w:val="00132D50"/>
    <w:rsid w:val="00153C10"/>
    <w:rsid w:val="00162181"/>
    <w:rsid w:val="00172D97"/>
    <w:rsid w:val="0018112A"/>
    <w:rsid w:val="00182C5C"/>
    <w:rsid w:val="0018651E"/>
    <w:rsid w:val="00196D96"/>
    <w:rsid w:val="001B1806"/>
    <w:rsid w:val="001C233B"/>
    <w:rsid w:val="001C2D9B"/>
    <w:rsid w:val="001C37C2"/>
    <w:rsid w:val="001C7344"/>
    <w:rsid w:val="001D452E"/>
    <w:rsid w:val="001D4E35"/>
    <w:rsid w:val="001D5B2A"/>
    <w:rsid w:val="001E43F3"/>
    <w:rsid w:val="001E4B76"/>
    <w:rsid w:val="001E6451"/>
    <w:rsid w:val="001F1265"/>
    <w:rsid w:val="001F57BC"/>
    <w:rsid w:val="001F6212"/>
    <w:rsid w:val="0020135E"/>
    <w:rsid w:val="00202CD2"/>
    <w:rsid w:val="00215E2B"/>
    <w:rsid w:val="00220FCF"/>
    <w:rsid w:val="00224D40"/>
    <w:rsid w:val="002343B8"/>
    <w:rsid w:val="00244DC9"/>
    <w:rsid w:val="002466AB"/>
    <w:rsid w:val="0025169B"/>
    <w:rsid w:val="0025321F"/>
    <w:rsid w:val="00257314"/>
    <w:rsid w:val="00257AFD"/>
    <w:rsid w:val="002620B2"/>
    <w:rsid w:val="00262923"/>
    <w:rsid w:val="00264215"/>
    <w:rsid w:val="00264510"/>
    <w:rsid w:val="0026459E"/>
    <w:rsid w:val="00267581"/>
    <w:rsid w:val="002710A0"/>
    <w:rsid w:val="00272BB5"/>
    <w:rsid w:val="002822BB"/>
    <w:rsid w:val="00287718"/>
    <w:rsid w:val="002939F0"/>
    <w:rsid w:val="002A134A"/>
    <w:rsid w:val="002B0E4F"/>
    <w:rsid w:val="002B48EB"/>
    <w:rsid w:val="002B700E"/>
    <w:rsid w:val="002C358F"/>
    <w:rsid w:val="002C5A5F"/>
    <w:rsid w:val="002D177E"/>
    <w:rsid w:val="002E144E"/>
    <w:rsid w:val="002E2A93"/>
    <w:rsid w:val="002E6A75"/>
    <w:rsid w:val="002F065A"/>
    <w:rsid w:val="002F5326"/>
    <w:rsid w:val="002F630B"/>
    <w:rsid w:val="002F7030"/>
    <w:rsid w:val="00300B31"/>
    <w:rsid w:val="00307942"/>
    <w:rsid w:val="00313EBC"/>
    <w:rsid w:val="00314E24"/>
    <w:rsid w:val="00320F5E"/>
    <w:rsid w:val="00324734"/>
    <w:rsid w:val="00327DE3"/>
    <w:rsid w:val="0033197F"/>
    <w:rsid w:val="003373CF"/>
    <w:rsid w:val="00341B7C"/>
    <w:rsid w:val="00342411"/>
    <w:rsid w:val="0034770D"/>
    <w:rsid w:val="0034781A"/>
    <w:rsid w:val="00357BF7"/>
    <w:rsid w:val="00362076"/>
    <w:rsid w:val="003620D3"/>
    <w:rsid w:val="00363195"/>
    <w:rsid w:val="003669FA"/>
    <w:rsid w:val="0037098C"/>
    <w:rsid w:val="0037227A"/>
    <w:rsid w:val="00381167"/>
    <w:rsid w:val="00382C8B"/>
    <w:rsid w:val="0038772D"/>
    <w:rsid w:val="00391A5D"/>
    <w:rsid w:val="00392888"/>
    <w:rsid w:val="003938FD"/>
    <w:rsid w:val="00395067"/>
    <w:rsid w:val="003962B6"/>
    <w:rsid w:val="003A119C"/>
    <w:rsid w:val="003A2A03"/>
    <w:rsid w:val="003A3C7E"/>
    <w:rsid w:val="003B023B"/>
    <w:rsid w:val="003B7617"/>
    <w:rsid w:val="003C2477"/>
    <w:rsid w:val="003C5E8B"/>
    <w:rsid w:val="003D0B18"/>
    <w:rsid w:val="003D27F7"/>
    <w:rsid w:val="003D741B"/>
    <w:rsid w:val="003E2027"/>
    <w:rsid w:val="003E3066"/>
    <w:rsid w:val="004040F4"/>
    <w:rsid w:val="0040609E"/>
    <w:rsid w:val="0041058B"/>
    <w:rsid w:val="00411EC4"/>
    <w:rsid w:val="00416024"/>
    <w:rsid w:val="0042322B"/>
    <w:rsid w:val="00423538"/>
    <w:rsid w:val="004273E0"/>
    <w:rsid w:val="00435030"/>
    <w:rsid w:val="00445AD8"/>
    <w:rsid w:val="004476E0"/>
    <w:rsid w:val="00447F22"/>
    <w:rsid w:val="004620A7"/>
    <w:rsid w:val="004639BF"/>
    <w:rsid w:val="0046735E"/>
    <w:rsid w:val="004714C6"/>
    <w:rsid w:val="004743FB"/>
    <w:rsid w:val="004828A2"/>
    <w:rsid w:val="004837A7"/>
    <w:rsid w:val="004927F7"/>
    <w:rsid w:val="00493BED"/>
    <w:rsid w:val="004B30F9"/>
    <w:rsid w:val="004B62F8"/>
    <w:rsid w:val="004C3FBF"/>
    <w:rsid w:val="004D5125"/>
    <w:rsid w:val="004E5F80"/>
    <w:rsid w:val="004F57EB"/>
    <w:rsid w:val="005106C9"/>
    <w:rsid w:val="005108F4"/>
    <w:rsid w:val="00511358"/>
    <w:rsid w:val="0051200E"/>
    <w:rsid w:val="00512B2B"/>
    <w:rsid w:val="00520F28"/>
    <w:rsid w:val="00521C2A"/>
    <w:rsid w:val="00521DFF"/>
    <w:rsid w:val="00522159"/>
    <w:rsid w:val="005251CC"/>
    <w:rsid w:val="005342C1"/>
    <w:rsid w:val="00535793"/>
    <w:rsid w:val="0054089C"/>
    <w:rsid w:val="00541ED1"/>
    <w:rsid w:val="005437CA"/>
    <w:rsid w:val="00543AB9"/>
    <w:rsid w:val="0054482E"/>
    <w:rsid w:val="00551248"/>
    <w:rsid w:val="00554596"/>
    <w:rsid w:val="00554845"/>
    <w:rsid w:val="00555E29"/>
    <w:rsid w:val="00577B00"/>
    <w:rsid w:val="005818AA"/>
    <w:rsid w:val="00582FDB"/>
    <w:rsid w:val="00583989"/>
    <w:rsid w:val="00583F55"/>
    <w:rsid w:val="00584528"/>
    <w:rsid w:val="0058476B"/>
    <w:rsid w:val="0059541D"/>
    <w:rsid w:val="005B0962"/>
    <w:rsid w:val="005B1D90"/>
    <w:rsid w:val="005B5A90"/>
    <w:rsid w:val="005C03EA"/>
    <w:rsid w:val="005C0A95"/>
    <w:rsid w:val="005C2C4B"/>
    <w:rsid w:val="005C2F7F"/>
    <w:rsid w:val="005C4CA2"/>
    <w:rsid w:val="005C4F00"/>
    <w:rsid w:val="005D0452"/>
    <w:rsid w:val="005D5C31"/>
    <w:rsid w:val="005E05E5"/>
    <w:rsid w:val="005E5D0C"/>
    <w:rsid w:val="005F0C39"/>
    <w:rsid w:val="006100C4"/>
    <w:rsid w:val="00627803"/>
    <w:rsid w:val="00630265"/>
    <w:rsid w:val="006318D9"/>
    <w:rsid w:val="00635C38"/>
    <w:rsid w:val="006369CE"/>
    <w:rsid w:val="0064028A"/>
    <w:rsid w:val="006424BA"/>
    <w:rsid w:val="00643D63"/>
    <w:rsid w:val="006473B2"/>
    <w:rsid w:val="00651675"/>
    <w:rsid w:val="006541E8"/>
    <w:rsid w:val="006627D8"/>
    <w:rsid w:val="00663163"/>
    <w:rsid w:val="00664037"/>
    <w:rsid w:val="0066523B"/>
    <w:rsid w:val="0067083C"/>
    <w:rsid w:val="0067476C"/>
    <w:rsid w:val="006764FA"/>
    <w:rsid w:val="0068516E"/>
    <w:rsid w:val="0069530E"/>
    <w:rsid w:val="006A0C23"/>
    <w:rsid w:val="006A2337"/>
    <w:rsid w:val="006A4619"/>
    <w:rsid w:val="006A6B11"/>
    <w:rsid w:val="006B20C1"/>
    <w:rsid w:val="006B5F59"/>
    <w:rsid w:val="006B6340"/>
    <w:rsid w:val="006C3B04"/>
    <w:rsid w:val="006C5727"/>
    <w:rsid w:val="006D0171"/>
    <w:rsid w:val="006E302D"/>
    <w:rsid w:val="006E3FD0"/>
    <w:rsid w:val="006E733D"/>
    <w:rsid w:val="006F20AC"/>
    <w:rsid w:val="006F5B13"/>
    <w:rsid w:val="006F5BF7"/>
    <w:rsid w:val="00704029"/>
    <w:rsid w:val="007044A6"/>
    <w:rsid w:val="00706712"/>
    <w:rsid w:val="00707F5E"/>
    <w:rsid w:val="007100EE"/>
    <w:rsid w:val="007219FB"/>
    <w:rsid w:val="00725E79"/>
    <w:rsid w:val="007263AB"/>
    <w:rsid w:val="00735ACB"/>
    <w:rsid w:val="00740250"/>
    <w:rsid w:val="00743CEA"/>
    <w:rsid w:val="00757295"/>
    <w:rsid w:val="00772DCD"/>
    <w:rsid w:val="00780C6D"/>
    <w:rsid w:val="0078530F"/>
    <w:rsid w:val="00786346"/>
    <w:rsid w:val="007B1BD2"/>
    <w:rsid w:val="007B4309"/>
    <w:rsid w:val="007B4959"/>
    <w:rsid w:val="007C093E"/>
    <w:rsid w:val="007C0A80"/>
    <w:rsid w:val="007C585E"/>
    <w:rsid w:val="007D1D21"/>
    <w:rsid w:val="007E3D30"/>
    <w:rsid w:val="007F3D21"/>
    <w:rsid w:val="00801337"/>
    <w:rsid w:val="00804BBF"/>
    <w:rsid w:val="00805C2E"/>
    <w:rsid w:val="00821034"/>
    <w:rsid w:val="00823D0A"/>
    <w:rsid w:val="00832EF8"/>
    <w:rsid w:val="00836CC0"/>
    <w:rsid w:val="00842EBB"/>
    <w:rsid w:val="00843A6E"/>
    <w:rsid w:val="0085207D"/>
    <w:rsid w:val="00854DD7"/>
    <w:rsid w:val="008564B2"/>
    <w:rsid w:val="0086167E"/>
    <w:rsid w:val="00863D93"/>
    <w:rsid w:val="00864281"/>
    <w:rsid w:val="00867E5C"/>
    <w:rsid w:val="00873DA2"/>
    <w:rsid w:val="00877D3F"/>
    <w:rsid w:val="0088078A"/>
    <w:rsid w:val="00884312"/>
    <w:rsid w:val="008863AC"/>
    <w:rsid w:val="00890227"/>
    <w:rsid w:val="008A187C"/>
    <w:rsid w:val="008A2514"/>
    <w:rsid w:val="008B1EB2"/>
    <w:rsid w:val="008C02DA"/>
    <w:rsid w:val="008C582A"/>
    <w:rsid w:val="008D114C"/>
    <w:rsid w:val="008D2F5D"/>
    <w:rsid w:val="008D38AD"/>
    <w:rsid w:val="008D5431"/>
    <w:rsid w:val="008E33E8"/>
    <w:rsid w:val="008E6994"/>
    <w:rsid w:val="008F1A33"/>
    <w:rsid w:val="008F458A"/>
    <w:rsid w:val="00902238"/>
    <w:rsid w:val="00911F5B"/>
    <w:rsid w:val="00915544"/>
    <w:rsid w:val="00916925"/>
    <w:rsid w:val="009262A1"/>
    <w:rsid w:val="00927B25"/>
    <w:rsid w:val="00931393"/>
    <w:rsid w:val="0093476E"/>
    <w:rsid w:val="0093544F"/>
    <w:rsid w:val="00941B91"/>
    <w:rsid w:val="00942B3B"/>
    <w:rsid w:val="0094420A"/>
    <w:rsid w:val="00945768"/>
    <w:rsid w:val="00946329"/>
    <w:rsid w:val="00947A4C"/>
    <w:rsid w:val="00951EDF"/>
    <w:rsid w:val="0096158A"/>
    <w:rsid w:val="00972A35"/>
    <w:rsid w:val="00973435"/>
    <w:rsid w:val="00987174"/>
    <w:rsid w:val="00990036"/>
    <w:rsid w:val="009926A0"/>
    <w:rsid w:val="009935B2"/>
    <w:rsid w:val="00995969"/>
    <w:rsid w:val="00995C41"/>
    <w:rsid w:val="009B22AD"/>
    <w:rsid w:val="009B4A23"/>
    <w:rsid w:val="009B51BE"/>
    <w:rsid w:val="009C0290"/>
    <w:rsid w:val="009C4F24"/>
    <w:rsid w:val="009C5ECB"/>
    <w:rsid w:val="009D0BD0"/>
    <w:rsid w:val="009D2A71"/>
    <w:rsid w:val="009D329A"/>
    <w:rsid w:val="009D6C00"/>
    <w:rsid w:val="009D6FCE"/>
    <w:rsid w:val="009E06E3"/>
    <w:rsid w:val="009E10AE"/>
    <w:rsid w:val="009E3723"/>
    <w:rsid w:val="009F5FFC"/>
    <w:rsid w:val="009F7354"/>
    <w:rsid w:val="00A00378"/>
    <w:rsid w:val="00A04245"/>
    <w:rsid w:val="00A043B5"/>
    <w:rsid w:val="00A046A7"/>
    <w:rsid w:val="00A11A43"/>
    <w:rsid w:val="00A12075"/>
    <w:rsid w:val="00A13109"/>
    <w:rsid w:val="00A14C9F"/>
    <w:rsid w:val="00A165D0"/>
    <w:rsid w:val="00A171CF"/>
    <w:rsid w:val="00A20D9A"/>
    <w:rsid w:val="00A24481"/>
    <w:rsid w:val="00A272D2"/>
    <w:rsid w:val="00A36F52"/>
    <w:rsid w:val="00A4175F"/>
    <w:rsid w:val="00A448AF"/>
    <w:rsid w:val="00A5151B"/>
    <w:rsid w:val="00A5163D"/>
    <w:rsid w:val="00A72B53"/>
    <w:rsid w:val="00A72BFA"/>
    <w:rsid w:val="00A736FA"/>
    <w:rsid w:val="00A91446"/>
    <w:rsid w:val="00A93E52"/>
    <w:rsid w:val="00A93E75"/>
    <w:rsid w:val="00A96853"/>
    <w:rsid w:val="00AA2597"/>
    <w:rsid w:val="00AA2B61"/>
    <w:rsid w:val="00AA7E47"/>
    <w:rsid w:val="00AD1EE5"/>
    <w:rsid w:val="00AD203B"/>
    <w:rsid w:val="00AD2C44"/>
    <w:rsid w:val="00AD501A"/>
    <w:rsid w:val="00AD783D"/>
    <w:rsid w:val="00AE40D5"/>
    <w:rsid w:val="00AE4B60"/>
    <w:rsid w:val="00AF019A"/>
    <w:rsid w:val="00AF4CC4"/>
    <w:rsid w:val="00B05AD8"/>
    <w:rsid w:val="00B13E8B"/>
    <w:rsid w:val="00B15737"/>
    <w:rsid w:val="00B1619C"/>
    <w:rsid w:val="00B174F1"/>
    <w:rsid w:val="00B1774E"/>
    <w:rsid w:val="00B331FE"/>
    <w:rsid w:val="00B36F82"/>
    <w:rsid w:val="00B41FF6"/>
    <w:rsid w:val="00B420C9"/>
    <w:rsid w:val="00B46C3C"/>
    <w:rsid w:val="00B60512"/>
    <w:rsid w:val="00B60A3F"/>
    <w:rsid w:val="00B63057"/>
    <w:rsid w:val="00B650CE"/>
    <w:rsid w:val="00B67C17"/>
    <w:rsid w:val="00B71584"/>
    <w:rsid w:val="00B71856"/>
    <w:rsid w:val="00B77AB7"/>
    <w:rsid w:val="00B87401"/>
    <w:rsid w:val="00B90C7A"/>
    <w:rsid w:val="00B92C18"/>
    <w:rsid w:val="00BA014C"/>
    <w:rsid w:val="00BA0C79"/>
    <w:rsid w:val="00BA481D"/>
    <w:rsid w:val="00BA5641"/>
    <w:rsid w:val="00BA62C6"/>
    <w:rsid w:val="00BB05C6"/>
    <w:rsid w:val="00BB17F9"/>
    <w:rsid w:val="00BC63AE"/>
    <w:rsid w:val="00BC7136"/>
    <w:rsid w:val="00BD52F4"/>
    <w:rsid w:val="00BE0581"/>
    <w:rsid w:val="00BE24DC"/>
    <w:rsid w:val="00BE5349"/>
    <w:rsid w:val="00BE5569"/>
    <w:rsid w:val="00BF2153"/>
    <w:rsid w:val="00BF5BCD"/>
    <w:rsid w:val="00BF7B12"/>
    <w:rsid w:val="00C0102A"/>
    <w:rsid w:val="00C02E8E"/>
    <w:rsid w:val="00C11D2C"/>
    <w:rsid w:val="00C14A29"/>
    <w:rsid w:val="00C2145D"/>
    <w:rsid w:val="00C238F9"/>
    <w:rsid w:val="00C255B7"/>
    <w:rsid w:val="00C279FA"/>
    <w:rsid w:val="00C27CFA"/>
    <w:rsid w:val="00C3185B"/>
    <w:rsid w:val="00C369AE"/>
    <w:rsid w:val="00C46970"/>
    <w:rsid w:val="00C567F9"/>
    <w:rsid w:val="00C56EB0"/>
    <w:rsid w:val="00C63F81"/>
    <w:rsid w:val="00C66CCC"/>
    <w:rsid w:val="00C765B1"/>
    <w:rsid w:val="00C8514B"/>
    <w:rsid w:val="00C92C99"/>
    <w:rsid w:val="00C95E89"/>
    <w:rsid w:val="00CA6207"/>
    <w:rsid w:val="00CA73D3"/>
    <w:rsid w:val="00CB32D9"/>
    <w:rsid w:val="00CB47C8"/>
    <w:rsid w:val="00CC149F"/>
    <w:rsid w:val="00CC1EB8"/>
    <w:rsid w:val="00CC1F11"/>
    <w:rsid w:val="00CC2CD3"/>
    <w:rsid w:val="00CD3F37"/>
    <w:rsid w:val="00CF3EBC"/>
    <w:rsid w:val="00CF59D8"/>
    <w:rsid w:val="00CF7BCB"/>
    <w:rsid w:val="00D05926"/>
    <w:rsid w:val="00D05D43"/>
    <w:rsid w:val="00D141F2"/>
    <w:rsid w:val="00D14E54"/>
    <w:rsid w:val="00D151F3"/>
    <w:rsid w:val="00D3076D"/>
    <w:rsid w:val="00D30A7A"/>
    <w:rsid w:val="00D32942"/>
    <w:rsid w:val="00D33249"/>
    <w:rsid w:val="00D33E32"/>
    <w:rsid w:val="00D353A7"/>
    <w:rsid w:val="00D50CE3"/>
    <w:rsid w:val="00D52FB1"/>
    <w:rsid w:val="00D63AC2"/>
    <w:rsid w:val="00D83DFD"/>
    <w:rsid w:val="00D84F44"/>
    <w:rsid w:val="00D86B7B"/>
    <w:rsid w:val="00D9448A"/>
    <w:rsid w:val="00D94CE3"/>
    <w:rsid w:val="00DA3973"/>
    <w:rsid w:val="00DA4DF3"/>
    <w:rsid w:val="00DA6E8F"/>
    <w:rsid w:val="00DC0233"/>
    <w:rsid w:val="00DC0F93"/>
    <w:rsid w:val="00DD324E"/>
    <w:rsid w:val="00DD43B0"/>
    <w:rsid w:val="00DD5A9E"/>
    <w:rsid w:val="00DE11DC"/>
    <w:rsid w:val="00DE58C6"/>
    <w:rsid w:val="00DF5E98"/>
    <w:rsid w:val="00DF651E"/>
    <w:rsid w:val="00E01A2B"/>
    <w:rsid w:val="00E131E7"/>
    <w:rsid w:val="00E20CC1"/>
    <w:rsid w:val="00E367B9"/>
    <w:rsid w:val="00E42729"/>
    <w:rsid w:val="00E43481"/>
    <w:rsid w:val="00E51C70"/>
    <w:rsid w:val="00E5334D"/>
    <w:rsid w:val="00E536B9"/>
    <w:rsid w:val="00E56DD1"/>
    <w:rsid w:val="00E63082"/>
    <w:rsid w:val="00E66C94"/>
    <w:rsid w:val="00E736C2"/>
    <w:rsid w:val="00E756C2"/>
    <w:rsid w:val="00E81170"/>
    <w:rsid w:val="00E81246"/>
    <w:rsid w:val="00EA5919"/>
    <w:rsid w:val="00EA695E"/>
    <w:rsid w:val="00EB1A21"/>
    <w:rsid w:val="00EB6F64"/>
    <w:rsid w:val="00EC351E"/>
    <w:rsid w:val="00ED1CCB"/>
    <w:rsid w:val="00EE0EE4"/>
    <w:rsid w:val="00EE5A57"/>
    <w:rsid w:val="00EE60D7"/>
    <w:rsid w:val="00EE7BDF"/>
    <w:rsid w:val="00EF0C09"/>
    <w:rsid w:val="00EF1037"/>
    <w:rsid w:val="00EF70E0"/>
    <w:rsid w:val="00F21556"/>
    <w:rsid w:val="00F22FB8"/>
    <w:rsid w:val="00F23A2E"/>
    <w:rsid w:val="00F24070"/>
    <w:rsid w:val="00F258DF"/>
    <w:rsid w:val="00F27094"/>
    <w:rsid w:val="00F30875"/>
    <w:rsid w:val="00F334E9"/>
    <w:rsid w:val="00F53DEE"/>
    <w:rsid w:val="00F81150"/>
    <w:rsid w:val="00F857A9"/>
    <w:rsid w:val="00F918B3"/>
    <w:rsid w:val="00F95138"/>
    <w:rsid w:val="00F960E0"/>
    <w:rsid w:val="00F96C8F"/>
    <w:rsid w:val="00FA053D"/>
    <w:rsid w:val="00FB0D19"/>
    <w:rsid w:val="00FB3B46"/>
    <w:rsid w:val="00FC5F01"/>
    <w:rsid w:val="00FF682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110A4"/>
  <w15:chartTrackingRefBased/>
  <w15:docId w15:val="{EE62DF92-C6FE-47E9-89E4-56CF6DCE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3B8"/>
    <w:rPr>
      <w:color w:val="0563C1" w:themeColor="hyperlink"/>
      <w:u w:val="single"/>
    </w:rPr>
  </w:style>
  <w:style w:type="paragraph" w:styleId="FootnoteText">
    <w:name w:val="footnote text"/>
    <w:basedOn w:val="Normal"/>
    <w:link w:val="FootnoteTextChar"/>
    <w:uiPriority w:val="99"/>
    <w:semiHidden/>
    <w:unhideWhenUsed/>
    <w:rsid w:val="002343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43B8"/>
    <w:rPr>
      <w:sz w:val="20"/>
      <w:szCs w:val="20"/>
    </w:rPr>
  </w:style>
  <w:style w:type="character" w:styleId="FootnoteReference">
    <w:name w:val="footnote reference"/>
    <w:basedOn w:val="DefaultParagraphFont"/>
    <w:uiPriority w:val="99"/>
    <w:semiHidden/>
    <w:unhideWhenUsed/>
    <w:rsid w:val="002343B8"/>
    <w:rPr>
      <w:vertAlign w:val="superscript"/>
    </w:rPr>
  </w:style>
  <w:style w:type="character" w:styleId="CommentReference">
    <w:name w:val="annotation reference"/>
    <w:basedOn w:val="DefaultParagraphFont"/>
    <w:uiPriority w:val="99"/>
    <w:semiHidden/>
    <w:unhideWhenUsed/>
    <w:rsid w:val="00362076"/>
    <w:rPr>
      <w:sz w:val="16"/>
      <w:szCs w:val="16"/>
    </w:rPr>
  </w:style>
  <w:style w:type="paragraph" w:styleId="CommentText">
    <w:name w:val="annotation text"/>
    <w:basedOn w:val="Normal"/>
    <w:link w:val="CommentTextChar"/>
    <w:uiPriority w:val="99"/>
    <w:unhideWhenUsed/>
    <w:rsid w:val="00362076"/>
    <w:pPr>
      <w:spacing w:line="240" w:lineRule="auto"/>
    </w:pPr>
    <w:rPr>
      <w:sz w:val="20"/>
      <w:szCs w:val="20"/>
    </w:rPr>
  </w:style>
  <w:style w:type="character" w:customStyle="1" w:styleId="CommentTextChar">
    <w:name w:val="Comment Text Char"/>
    <w:basedOn w:val="DefaultParagraphFont"/>
    <w:link w:val="CommentText"/>
    <w:uiPriority w:val="99"/>
    <w:rsid w:val="00362076"/>
    <w:rPr>
      <w:sz w:val="20"/>
      <w:szCs w:val="20"/>
    </w:rPr>
  </w:style>
  <w:style w:type="paragraph" w:styleId="ListParagraph">
    <w:name w:val="List Paragraph"/>
    <w:basedOn w:val="Normal"/>
    <w:link w:val="ListParagraphChar"/>
    <w:uiPriority w:val="34"/>
    <w:qFormat/>
    <w:rsid w:val="00362076"/>
    <w:pPr>
      <w:ind w:left="720"/>
      <w:contextualSpacing/>
    </w:pPr>
  </w:style>
  <w:style w:type="paragraph" w:styleId="CommentSubject">
    <w:name w:val="annotation subject"/>
    <w:basedOn w:val="CommentText"/>
    <w:next w:val="CommentText"/>
    <w:link w:val="CommentSubjectChar"/>
    <w:uiPriority w:val="99"/>
    <w:semiHidden/>
    <w:unhideWhenUsed/>
    <w:rsid w:val="00786346"/>
    <w:rPr>
      <w:b/>
      <w:bCs/>
    </w:rPr>
  </w:style>
  <w:style w:type="character" w:customStyle="1" w:styleId="CommentSubjectChar">
    <w:name w:val="Comment Subject Char"/>
    <w:basedOn w:val="CommentTextChar"/>
    <w:link w:val="CommentSubject"/>
    <w:uiPriority w:val="99"/>
    <w:semiHidden/>
    <w:rsid w:val="00786346"/>
    <w:rPr>
      <w:b/>
      <w:bCs/>
      <w:sz w:val="20"/>
      <w:szCs w:val="20"/>
    </w:rPr>
  </w:style>
  <w:style w:type="paragraph" w:styleId="Revision">
    <w:name w:val="Revision"/>
    <w:hidden/>
    <w:uiPriority w:val="99"/>
    <w:semiHidden/>
    <w:rsid w:val="00786346"/>
    <w:pPr>
      <w:spacing w:after="0" w:line="240" w:lineRule="auto"/>
    </w:pPr>
  </w:style>
  <w:style w:type="paragraph" w:styleId="BalloonText">
    <w:name w:val="Balloon Text"/>
    <w:basedOn w:val="Normal"/>
    <w:link w:val="BalloonTextChar"/>
    <w:uiPriority w:val="99"/>
    <w:semiHidden/>
    <w:unhideWhenUsed/>
    <w:rsid w:val="00786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346"/>
    <w:rPr>
      <w:rFonts w:ascii="Segoe UI" w:hAnsi="Segoe UI" w:cs="Segoe UI"/>
      <w:sz w:val="18"/>
      <w:szCs w:val="18"/>
    </w:rPr>
  </w:style>
  <w:style w:type="table" w:styleId="TableGrid">
    <w:name w:val="Table Grid"/>
    <w:basedOn w:val="TableNormal"/>
    <w:uiPriority w:val="39"/>
    <w:rsid w:val="00D1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4E54"/>
    <w:rPr>
      <w:color w:val="954F72" w:themeColor="followedHyperlink"/>
      <w:u w:val="single"/>
    </w:rPr>
  </w:style>
  <w:style w:type="paragraph" w:styleId="Header">
    <w:name w:val="header"/>
    <w:basedOn w:val="Normal"/>
    <w:link w:val="HeaderChar"/>
    <w:uiPriority w:val="99"/>
    <w:unhideWhenUsed/>
    <w:rsid w:val="001C3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7C2"/>
  </w:style>
  <w:style w:type="paragraph" w:styleId="Footer">
    <w:name w:val="footer"/>
    <w:basedOn w:val="Normal"/>
    <w:link w:val="FooterChar"/>
    <w:uiPriority w:val="99"/>
    <w:unhideWhenUsed/>
    <w:rsid w:val="001C3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7C2"/>
  </w:style>
  <w:style w:type="paragraph" w:styleId="BodyText">
    <w:name w:val="Body Text"/>
    <w:aliases w:val="BT"/>
    <w:basedOn w:val="Normal"/>
    <w:link w:val="BodyTextChar"/>
    <w:rsid w:val="00F81150"/>
    <w:pPr>
      <w:spacing w:after="120" w:line="240" w:lineRule="auto"/>
    </w:pPr>
    <w:rPr>
      <w:rFonts w:ascii="Times New Roman" w:eastAsia="PMingLiU" w:hAnsi="Times New Roman" w:cs="Times New Roman"/>
      <w:sz w:val="24"/>
      <w:szCs w:val="24"/>
      <w:lang w:val="x-none"/>
    </w:rPr>
  </w:style>
  <w:style w:type="character" w:customStyle="1" w:styleId="BodyTextChar">
    <w:name w:val="Body Text Char"/>
    <w:aliases w:val="BT Char"/>
    <w:basedOn w:val="DefaultParagraphFont"/>
    <w:link w:val="BodyText"/>
    <w:rsid w:val="00F81150"/>
    <w:rPr>
      <w:rFonts w:ascii="Times New Roman" w:eastAsia="PMingLiU" w:hAnsi="Times New Roman" w:cs="Times New Roman"/>
      <w:sz w:val="24"/>
      <w:szCs w:val="24"/>
      <w:lang w:val="x-none"/>
    </w:rPr>
  </w:style>
  <w:style w:type="character" w:customStyle="1" w:styleId="ListParagraphChar">
    <w:name w:val="List Paragraph Char"/>
    <w:basedOn w:val="DefaultParagraphFont"/>
    <w:link w:val="ListParagraph"/>
    <w:uiPriority w:val="34"/>
    <w:rsid w:val="00F81150"/>
  </w:style>
  <w:style w:type="paragraph" w:customStyle="1" w:styleId="MacPacTrailer">
    <w:name w:val="MacPac Trailer"/>
    <w:rsid w:val="000C782C"/>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5B1D90"/>
    <w:rPr>
      <w:color w:val="808080"/>
    </w:rPr>
  </w:style>
  <w:style w:type="character" w:styleId="UnresolvedMention">
    <w:name w:val="Unresolved Mention"/>
    <w:basedOn w:val="DefaultParagraphFont"/>
    <w:uiPriority w:val="99"/>
    <w:semiHidden/>
    <w:unhideWhenUsed/>
    <w:rsid w:val="00685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2690">
      <w:bodyDiv w:val="1"/>
      <w:marLeft w:val="0"/>
      <w:marRight w:val="0"/>
      <w:marTop w:val="0"/>
      <w:marBottom w:val="0"/>
      <w:divBdr>
        <w:top w:val="none" w:sz="0" w:space="0" w:color="auto"/>
        <w:left w:val="none" w:sz="0" w:space="0" w:color="auto"/>
        <w:bottom w:val="none" w:sz="0" w:space="0" w:color="auto"/>
        <w:right w:val="none" w:sz="0" w:space="0" w:color="auto"/>
      </w:divBdr>
    </w:div>
    <w:div w:id="332492696">
      <w:bodyDiv w:val="1"/>
      <w:marLeft w:val="0"/>
      <w:marRight w:val="0"/>
      <w:marTop w:val="0"/>
      <w:marBottom w:val="0"/>
      <w:divBdr>
        <w:top w:val="none" w:sz="0" w:space="0" w:color="auto"/>
        <w:left w:val="none" w:sz="0" w:space="0" w:color="auto"/>
        <w:bottom w:val="none" w:sz="0" w:space="0" w:color="auto"/>
        <w:right w:val="none" w:sz="0" w:space="0" w:color="auto"/>
      </w:divBdr>
    </w:div>
    <w:div w:id="333142462">
      <w:bodyDiv w:val="1"/>
      <w:marLeft w:val="0"/>
      <w:marRight w:val="0"/>
      <w:marTop w:val="0"/>
      <w:marBottom w:val="0"/>
      <w:divBdr>
        <w:top w:val="none" w:sz="0" w:space="0" w:color="auto"/>
        <w:left w:val="none" w:sz="0" w:space="0" w:color="auto"/>
        <w:bottom w:val="none" w:sz="0" w:space="0" w:color="auto"/>
        <w:right w:val="none" w:sz="0" w:space="0" w:color="auto"/>
      </w:divBdr>
    </w:div>
    <w:div w:id="388111890">
      <w:bodyDiv w:val="1"/>
      <w:marLeft w:val="0"/>
      <w:marRight w:val="0"/>
      <w:marTop w:val="0"/>
      <w:marBottom w:val="0"/>
      <w:divBdr>
        <w:top w:val="none" w:sz="0" w:space="0" w:color="auto"/>
        <w:left w:val="none" w:sz="0" w:space="0" w:color="auto"/>
        <w:bottom w:val="none" w:sz="0" w:space="0" w:color="auto"/>
        <w:right w:val="none" w:sz="0" w:space="0" w:color="auto"/>
      </w:divBdr>
    </w:div>
    <w:div w:id="903561971">
      <w:bodyDiv w:val="1"/>
      <w:marLeft w:val="0"/>
      <w:marRight w:val="0"/>
      <w:marTop w:val="0"/>
      <w:marBottom w:val="0"/>
      <w:divBdr>
        <w:top w:val="none" w:sz="0" w:space="0" w:color="auto"/>
        <w:left w:val="none" w:sz="0" w:space="0" w:color="auto"/>
        <w:bottom w:val="none" w:sz="0" w:space="0" w:color="auto"/>
        <w:right w:val="none" w:sz="0" w:space="0" w:color="auto"/>
      </w:divBdr>
    </w:div>
    <w:div w:id="1521973932">
      <w:bodyDiv w:val="1"/>
      <w:marLeft w:val="0"/>
      <w:marRight w:val="0"/>
      <w:marTop w:val="0"/>
      <w:marBottom w:val="0"/>
      <w:divBdr>
        <w:top w:val="none" w:sz="0" w:space="0" w:color="auto"/>
        <w:left w:val="none" w:sz="0" w:space="0" w:color="auto"/>
        <w:bottom w:val="none" w:sz="0" w:space="0" w:color="auto"/>
        <w:right w:val="none" w:sz="0" w:space="0" w:color="auto"/>
      </w:divBdr>
    </w:div>
    <w:div w:id="182138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ancer.org/cancer/lung-cancer/detection-diagnosis-staging/detection.html" TargetMode="External"/><Relationship Id="rId13" Type="http://schemas.openxmlformats.org/officeDocument/2006/relationships/hyperlink" Target="https://www.nibib.nih.gov/science-education/science-topics/magnetic-resonance-imaging-mri" TargetMode="External"/><Relationship Id="rId18" Type="http://schemas.openxmlformats.org/officeDocument/2006/relationships/hyperlink" Target="https://www.nibib.nih.gov/science-education/science-topics/computed-tomography-ct" TargetMode="External"/><Relationship Id="rId26" Type="http://schemas.openxmlformats.org/officeDocument/2006/relationships/hyperlink" Target="https://www.mass.gov/doc/presentation-board-meeting-june-8-2022/download" TargetMode="External"/><Relationship Id="rId3" Type="http://schemas.openxmlformats.org/officeDocument/2006/relationships/hyperlink" Target="https://www.mass.gov/doc/2022-cost-trends-report-chartpack/download" TargetMode="External"/><Relationship Id="rId21" Type="http://schemas.openxmlformats.org/officeDocument/2006/relationships/hyperlink" Target="https://www.cms.gov/medicare-coverage-database/view/ncd.aspx?NCDId=364" TargetMode="External"/><Relationship Id="rId7" Type="http://schemas.openxmlformats.org/officeDocument/2006/relationships/hyperlink" Target="http://www.pep.donahue-institute.org/downloads/2015/new/UMDI_LongTermPopulationProjectionsReport_2015%2004%20_29.pdf" TargetMode="External"/><Relationship Id="rId12" Type="http://schemas.openxmlformats.org/officeDocument/2006/relationships/hyperlink" Target="https://www.cdc.gov/chronicdisease/resources/publications/factsheets/promoting-health-for-older-adults.htm" TargetMode="External"/><Relationship Id="rId17" Type="http://schemas.openxmlformats.org/officeDocument/2006/relationships/hyperlink" Target="https://www.ncbi.nlm.nih.gov/pmc/articles/PMC3143009/" TargetMode="External"/><Relationship Id="rId25" Type="http://schemas.openxmlformats.org/officeDocument/2006/relationships/hyperlink" Target="https://www.mass.gov/doc/2021-health-care-cost-trends-report/download" TargetMode="External"/><Relationship Id="rId2" Type="http://schemas.openxmlformats.org/officeDocument/2006/relationships/hyperlink" Target="https://www.mass.gov/doc/2021-cost-trends-report-chartpack/download" TargetMode="External"/><Relationship Id="rId16" Type="http://schemas.openxmlformats.org/officeDocument/2006/relationships/hyperlink" Target="https://pubmed.ncbi.nlm.nih.gov/2221962/" TargetMode="External"/><Relationship Id="rId20" Type="http://schemas.openxmlformats.org/officeDocument/2006/relationships/hyperlink" Target="https://www.cancer.gov/about-cancer/diagnosis-staging/ct-scans-fact-sheet" TargetMode="External"/><Relationship Id="rId1" Type="http://schemas.openxmlformats.org/officeDocument/2006/relationships/hyperlink" Target="https://www.mass.gov/doc/2022-cost-trends-report-chartpack/download" TargetMode="External"/><Relationship Id="rId6" Type="http://schemas.openxmlformats.org/officeDocument/2006/relationships/hyperlink" Target="https://donahue.umass.edu/news-events/institute-news/aging-population-expected-to-slow-growth-in-massachusetts-over-long-term" TargetMode="External"/><Relationship Id="rId11" Type="http://schemas.openxmlformats.org/officeDocument/2006/relationships/hyperlink" Target="https://www.mass.gov/doc/presentation-board-meeting-june-8-2022/download" TargetMode="External"/><Relationship Id="rId24" Type="http://schemas.openxmlformats.org/officeDocument/2006/relationships/hyperlink" Target="https://bmcgeriatr.biomedcentral.com/articles/10.1186/s12877-019-1197-9" TargetMode="External"/><Relationship Id="rId5" Type="http://schemas.openxmlformats.org/officeDocument/2006/relationships/hyperlink" Target="https://www.mass.gov/doc/presentation-board-meeting-june-8-2022/download" TargetMode="External"/><Relationship Id="rId15" Type="http://schemas.openxmlformats.org/officeDocument/2006/relationships/hyperlink" Target="https://pubmed.ncbi.nlm.nih.gov/4081109/" TargetMode="External"/><Relationship Id="rId23" Type="http://schemas.openxmlformats.org/officeDocument/2006/relationships/hyperlink" Target="https://bmcgeriatr.biomedcentral.com/articles/10.1186/s12877-019-1197-9" TargetMode="External"/><Relationship Id="rId10" Type="http://schemas.openxmlformats.org/officeDocument/2006/relationships/hyperlink" Target="https://www.mass.gov/doc/presentation-board-meeting-june-8-2022/download" TargetMode="External"/><Relationship Id="rId19" Type="http://schemas.openxmlformats.org/officeDocument/2006/relationships/hyperlink" Target="https://www.ncbi.nlm.nih.gov/pmc/articles/PMC5183924/" TargetMode="External"/><Relationship Id="rId4" Type="http://schemas.openxmlformats.org/officeDocument/2006/relationships/hyperlink" Target="https://www.mass.gov/doc/presentation-board-meeting-june-8-2022/download" TargetMode="External"/><Relationship Id="rId9" Type="http://schemas.openxmlformats.org/officeDocument/2006/relationships/hyperlink" Target="https://www.mass.gov/doc/2022-cost-trends-report-chartpack/download" TargetMode="External"/><Relationship Id="rId14" Type="http://schemas.openxmlformats.org/officeDocument/2006/relationships/hyperlink" Target="https://www.hopkinsmedicine.org/health/treatment-tests-and-therapies/mri-of-the-bones-joints-and-soft-tissues" TargetMode="External"/><Relationship Id="rId22" Type="http://schemas.openxmlformats.org/officeDocument/2006/relationships/hyperlink" Target="https://www.ncbi.nlm.nih.gov/pmc/articles/PMC8280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1 6 " ? > < p r o p e r t i e s   x m l n s = " h t t p : / / w w w . i m a n a g e . c o m / w o r k / x m l s c h e m a " >  
     < d o c u m e n t i d > R C D M S ! 2 6 0 1 5 0 2 6 . 2 < / d o c u m e n t i d >  
     < s e n d e r i d > 1 4 9 2 < / s e n d e r i d >  
     < s e n d e r e m a i l > K H E A L Y @ R C . C O M < / s e n d e r e m a i l >  
     < l a s t m o d i f i e d > 2 0 2 2 - 1 1 - 0 8 T 1 4 : 2 8 : 0 0 . 0 0 0 0 0 0 0 - 0 5 : 0 0 < / l a s t m o d i f i e d >  
     < d a t a b a s e > R C D M S < / d a t a b a s e >  
 < / p r o p e r t i e s > 
</file>

<file path=customXml/itemProps1.xml><?xml version="1.0" encoding="utf-8"?>
<ds:datastoreItem xmlns:ds="http://schemas.openxmlformats.org/officeDocument/2006/customXml" ds:itemID="{B57B75CC-EF9B-4C30-AFE0-0D0248AC04B4}">
  <ds:schemaRefs>
    <ds:schemaRef ds:uri="http://schemas.openxmlformats.org/officeDocument/2006/bibliography"/>
  </ds:schemaRefs>
</ds:datastoreItem>
</file>

<file path=customXml/itemProps2.xml><?xml version="1.0" encoding="utf-8"?>
<ds:datastoreItem xmlns:ds="http://schemas.openxmlformats.org/officeDocument/2006/customXml" ds:itemID="{A21B14B5-6443-4601-B6CA-19744357A56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10942</Words>
  <Characters>62374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cmporig compared with CMPREV</vt:lpstr>
    </vt:vector>
  </TitlesOfParts>
  <Company>Atrius Health</Company>
  <LinksUpToDate>false</LinksUpToDate>
  <CharactersWithSpaces>73170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cmporig compared with CMPREV</dc:title>
  <dc:subject>
  </dc:subject>
  <dc:creator>Anon</dc:creator>
  <cp:keywords>
  </cp:keywords>
  <dc:description>
  </dc:description>
  <cp:lastModifiedBy>Marks, Brett (DPH)</cp:lastModifiedBy>
  <cp:revision>12</cp:revision>
  <cp:lastPrinted>2022-12-30T14:42:00Z</cp:lastPrinted>
  <dcterms:created xsi:type="dcterms:W3CDTF">2022-12-30T14:32:00Z</dcterms:created>
  <dcterms:modified xsi:type="dcterms:W3CDTF">2023-01-04T17:38:00Z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comparedocs">
    <vt:lpwstr>4.2.300.9 _r</vt:lpwstr>
  </property>
</Properties>
</file>